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6315F" w:rsidRPr="007D76A8" w:rsidP="00EA52F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Audit of the Energy Efficiency and Peak Demand Reductions Achieved by the Electric Distribution Utilities Pursuant to R.C. 4928.66</w:t>
            </w: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2F25B1" w:rsidRPr="00A044B5" w:rsidP="003E728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41728" w:rsidP="0094172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w:t>
            </w:r>
            <w:r w:rsidR="00EA52F3">
              <w:rPr>
                <w:rFonts w:ascii="Times New Roman" w:eastAsia="Courier New" w:hAnsi="Times New Roman" w:cs="Courier New"/>
                <w:sz w:val="24"/>
                <w:lang w:val="en-US" w:eastAsia="en-US" w:bidi="ar-SA"/>
              </w:rPr>
              <w:t>9</w:t>
            </w:r>
            <w:r>
              <w:rPr>
                <w:rFonts w:ascii="Times New Roman" w:eastAsia="Courier New" w:hAnsi="Times New Roman" w:cs="Courier New"/>
                <w:sz w:val="24"/>
                <w:lang w:val="en-US" w:eastAsia="en-US" w:bidi="ar-SA"/>
              </w:rPr>
              <w:t>-</w:t>
            </w:r>
            <w:r w:rsidR="00EA52F3">
              <w:rPr>
                <w:rFonts w:ascii="Times New Roman" w:eastAsia="Courier New" w:hAnsi="Times New Roman" w:cs="Courier New"/>
                <w:sz w:val="24"/>
                <w:lang w:val="en-US" w:eastAsia="en-US" w:bidi="ar-SA"/>
              </w:rPr>
              <w:t>0002</w:t>
            </w:r>
            <w:r>
              <w:rPr>
                <w:rFonts w:ascii="Times New Roman" w:eastAsia="Courier New" w:hAnsi="Times New Roman" w:cs="Courier New"/>
                <w:sz w:val="24"/>
                <w:lang w:val="en-US" w:eastAsia="en-US" w:bidi="ar-SA"/>
              </w:rPr>
              <w:t>-EL-</w:t>
            </w:r>
            <w:r w:rsidR="00EA52F3">
              <w:rPr>
                <w:rFonts w:ascii="Times New Roman" w:eastAsia="Courier New" w:hAnsi="Times New Roman" w:cs="Courier New"/>
                <w:sz w:val="24"/>
                <w:lang w:val="en-US" w:eastAsia="en-US" w:bidi="ar-SA"/>
              </w:rPr>
              <w:t>UNC</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2F25B1">
      <w:pPr>
        <w:pBdr>
          <w:bottom w:val="single" w:sz="12" w:space="1" w:color="auto"/>
        </w:pBdr>
        <w:tabs>
          <w:tab w:val="left" w:pos="4320"/>
        </w:tabs>
      </w:pPr>
    </w:p>
    <w:p w:rsidR="00DB0ACF">
      <w:pPr>
        <w:tabs>
          <w:tab w:val="left" w:pos="4320"/>
        </w:tabs>
      </w:pPr>
    </w:p>
    <w:p w:rsidR="00AC16E0" w:rsidP="00812543">
      <w:pPr>
        <w:pStyle w:val="BodyTextIndent3"/>
        <w:widowControl w:val="0"/>
        <w:spacing w:line="480" w:lineRule="auto"/>
        <w:ind w:right="-312"/>
      </w:pPr>
      <w:r>
        <w:t>The Office of the Ohio Consumers’ Counsel (“OCC”) moves to intervene</w:t>
      </w:r>
      <w:r>
        <w:rPr>
          <w:rStyle w:val="FootnoteReference"/>
        </w:rPr>
        <w:footnoteReference w:id="2"/>
      </w:r>
      <w:r w:rsidR="00842E7C">
        <w:t xml:space="preserve"> in this proceeding</w:t>
      </w:r>
      <w:r>
        <w:t xml:space="preserve"> where</w:t>
      </w:r>
      <w:r w:rsidR="00EA52F3">
        <w:t xml:space="preserve"> </w:t>
      </w:r>
      <w:r w:rsidR="002F25B1">
        <w:t xml:space="preserve">the PUCO </w:t>
      </w:r>
      <w:r>
        <w:t>is auditing whether each of the electric utilities</w:t>
      </w:r>
      <w:r>
        <w:rPr>
          <w:rStyle w:val="FootnoteReference"/>
        </w:rPr>
        <w:footnoteReference w:id="3"/>
      </w:r>
      <w:r>
        <w:t xml:space="preserve"> have delivered to Ohioans the energy efficiency and peak demand reductions that they have claimed</w:t>
      </w:r>
      <w:r w:rsidR="00043DEF">
        <w:t xml:space="preserve"> </w:t>
      </w:r>
      <w:r w:rsidR="00730291">
        <w:t>in their annual report under</w:t>
      </w:r>
      <w:r w:rsidR="00043DEF">
        <w:t xml:space="preserve"> R.C. 4928.66(B)</w:t>
      </w:r>
      <w:r>
        <w:t xml:space="preserve">. </w:t>
      </w:r>
      <w:r w:rsidR="00622EBE">
        <w:t xml:space="preserve"> </w:t>
      </w:r>
      <w:r>
        <w:t>Ohioans are charged hundreds of millions of dollars for these programs.</w:t>
      </w:r>
    </w:p>
    <w:p w:rsidR="00235F40" w:rsidP="001A162A">
      <w:pPr>
        <w:pStyle w:val="BodyTextIndent3"/>
        <w:widowControl w:val="0"/>
        <w:spacing w:line="480" w:lineRule="auto"/>
        <w:ind w:right="-312"/>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r>
        <w:t xml:space="preserve"> </w:t>
      </w:r>
      <w:r w:rsidR="00812543">
        <w:t xml:space="preserve">OCC </w:t>
      </w:r>
      <w:r>
        <w:t>represents th</w:t>
      </w:r>
      <w:r w:rsidR="006962C1">
        <w:t xml:space="preserve">e </w:t>
      </w:r>
      <w:r>
        <w:t xml:space="preserve">interests of </w:t>
      </w:r>
      <w:r w:rsidR="00CC1D56">
        <w:t>4</w:t>
      </w:r>
      <w:r>
        <w:t>.</w:t>
      </w:r>
      <w:r w:rsidR="00CC1D56">
        <w:t>2</w:t>
      </w:r>
      <w:r>
        <w:t xml:space="preserve"> million </w:t>
      </w:r>
      <w:r w:rsidR="00176080">
        <w:t>residential</w:t>
      </w:r>
      <w:r w:rsidR="005836FF">
        <w:t xml:space="preserve"> </w:t>
      </w:r>
      <w:r>
        <w:t>electric</w:t>
      </w:r>
      <w:r w:rsidR="00176080">
        <w:t xml:space="preserve"> utility customers</w:t>
      </w:r>
      <w:r w:rsidR="00A869C5">
        <w:t xml:space="preserve"> in Ohio</w:t>
      </w:r>
      <w:r w:rsidR="00176080">
        <w:t xml:space="preserve">. </w:t>
      </w:r>
      <w:r w:rsidR="002D2A78">
        <w:t xml:space="preserve"> </w:t>
      </w:r>
      <w:r w:rsidR="00176080">
        <w:t>The PUCO should grant OCC’s motion to intervene for the reasons set forth in the attached memorandum in support.</w:t>
      </w:r>
    </w:p>
    <w:p w:rsidR="00812543" w:rsidP="00812543">
      <w:pPr>
        <w:pStyle w:val="BodyTextIndent3"/>
        <w:widowControl w:val="0"/>
        <w:spacing w:line="480" w:lineRule="auto"/>
        <w:ind w:right="-312"/>
      </w:pPr>
    </w:p>
    <w:p w:rsidR="00812543" w:rsidP="00812543">
      <w:pPr>
        <w:pStyle w:val="BodyTextIndent3"/>
        <w:widowControl w:val="0"/>
        <w:spacing w:line="480" w:lineRule="auto"/>
        <w:ind w:right="-312"/>
        <w:rPr>
          <w:szCs w:val="24"/>
        </w:rPr>
      </w:pPr>
    </w:p>
    <w:p w:rsidR="00DB0ACF" w:rsidP="001B713B">
      <w:pPr>
        <w:pStyle w:val="BodyTextIndent3"/>
        <w:widowControl w:val="0"/>
        <w:spacing w:line="480" w:lineRule="auto"/>
        <w:ind w:left="3600" w:right="-312"/>
        <w:rPr>
          <w:szCs w:val="24"/>
        </w:rPr>
      </w:pPr>
      <w:r>
        <w:rPr>
          <w:szCs w:val="24"/>
        </w:rPr>
        <w:t>Respectfully submitted,</w:t>
      </w:r>
    </w:p>
    <w:p w:rsidR="00DB0ACF">
      <w:pPr>
        <w:pStyle w:val="Footer"/>
        <w:tabs>
          <w:tab w:val="left" w:pos="4320"/>
          <w:tab w:val="clear" w:pos="8640"/>
        </w:tabs>
        <w:spacing w:before="240"/>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rsidRPr="00812543">
      <w:pPr>
        <w:tabs>
          <w:tab w:val="left" w:pos="4320"/>
        </w:tabs>
        <w:rPr>
          <w:szCs w:val="24"/>
        </w:rPr>
      </w:pPr>
      <w:r>
        <w:rPr>
          <w:szCs w:val="24"/>
        </w:rPr>
        <w:tab/>
      </w:r>
      <w:r w:rsidR="00F6315F">
        <w:rPr>
          <w:i/>
          <w:szCs w:val="24"/>
          <w:u w:val="single"/>
        </w:rPr>
        <w:t xml:space="preserve">/s/ </w:t>
      </w:r>
      <w:r w:rsidR="00812543">
        <w:rPr>
          <w:i/>
          <w:szCs w:val="24"/>
          <w:u w:val="single"/>
        </w:rPr>
        <w:t>A</w:t>
      </w:r>
      <w:r w:rsidR="00BD67A2">
        <w:rPr>
          <w:i/>
          <w:szCs w:val="24"/>
          <w:u w:val="single"/>
        </w:rPr>
        <w:t>ngela O’Brien</w:t>
      </w:r>
      <w:r w:rsidR="00235F40">
        <w:rPr>
          <w:i/>
          <w:szCs w:val="24"/>
          <w:u w:val="single"/>
        </w:rPr>
        <w:t>____</w:t>
      </w:r>
      <w:r w:rsidR="00812543">
        <w:rPr>
          <w:szCs w:val="24"/>
        </w:rPr>
        <w:t xml:space="preserve"> </w:t>
      </w:r>
    </w:p>
    <w:p w:rsidR="00235F40" w:rsidP="00812543">
      <w:pPr>
        <w:tabs>
          <w:tab w:val="left" w:pos="4320"/>
        </w:tabs>
        <w:ind w:left="4320"/>
        <w:rPr>
          <w:szCs w:val="24"/>
        </w:rPr>
      </w:pPr>
      <w:r>
        <w:rPr>
          <w:szCs w:val="24"/>
        </w:rPr>
        <w:t>Christopher Healey</w:t>
      </w:r>
      <w:r>
        <w:rPr>
          <w:szCs w:val="24"/>
        </w:rPr>
        <w:t xml:space="preserve"> (0086027)</w:t>
      </w:r>
    </w:p>
    <w:p w:rsidR="00B506D3" w:rsidP="00812543">
      <w:pPr>
        <w:tabs>
          <w:tab w:val="left" w:pos="4320"/>
        </w:tabs>
        <w:ind w:left="4320"/>
        <w:rPr>
          <w:szCs w:val="24"/>
        </w:rPr>
      </w:pPr>
      <w:r>
        <w:rPr>
          <w:szCs w:val="24"/>
        </w:rPr>
        <w:t xml:space="preserve">Counsel of Record </w:t>
      </w:r>
    </w:p>
    <w:p w:rsidR="00005991" w:rsidRPr="00812543" w:rsidP="00812543">
      <w:pPr>
        <w:tabs>
          <w:tab w:val="left" w:pos="4320"/>
        </w:tabs>
        <w:ind w:left="4320"/>
        <w:rPr>
          <w:b/>
          <w:szCs w:val="24"/>
        </w:rPr>
      </w:pPr>
      <w:r>
        <w:rPr>
          <w:szCs w:val="24"/>
        </w:rPr>
        <w:t xml:space="preserve">Angela </w:t>
      </w:r>
      <w:r w:rsidR="00B506D3">
        <w:rPr>
          <w:szCs w:val="24"/>
        </w:rPr>
        <w:t>O’Brien (00</w:t>
      </w:r>
      <w:r>
        <w:rPr>
          <w:szCs w:val="24"/>
        </w:rPr>
        <w:t>97579</w:t>
      </w:r>
      <w:r w:rsidR="00B506D3">
        <w:rPr>
          <w:szCs w:val="24"/>
        </w:rPr>
        <w:t>)</w:t>
      </w:r>
    </w:p>
    <w:p w:rsidR="00F6315F" w:rsidP="00005991">
      <w:pPr>
        <w:tabs>
          <w:tab w:val="left" w:pos="4320"/>
        </w:tabs>
        <w:ind w:firstLine="4320"/>
        <w:rPr>
          <w:szCs w:val="24"/>
        </w:rPr>
      </w:pP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5444EA" w:rsidP="005444EA">
      <w:pPr>
        <w:pStyle w:val="Heading1"/>
        <w:ind w:left="3240" w:right="-648" w:firstLine="720"/>
        <w:rPr>
          <w:b w:val="0"/>
          <w:u w:val="none"/>
        </w:rPr>
      </w:pPr>
      <w:r>
        <w:rPr>
          <w:b w:val="0"/>
          <w:u w:val="none"/>
        </w:rPr>
        <w:tab/>
      </w:r>
      <w:r>
        <w:rPr>
          <w:b w:val="0"/>
          <w:u w:val="none"/>
        </w:rPr>
        <w:t>65 East State Street, 7th Floor</w:t>
      </w:r>
    </w:p>
    <w:p w:rsidR="005444EA" w:rsidP="005444EA">
      <w:pPr>
        <w:pStyle w:val="Heading1"/>
        <w:ind w:left="3240" w:right="-648" w:firstLine="720"/>
        <w:rPr>
          <w:b w:val="0"/>
          <w:u w:val="none"/>
        </w:rPr>
      </w:pPr>
      <w:r>
        <w:rPr>
          <w:b w:val="0"/>
          <w:u w:val="none"/>
        </w:rPr>
        <w:tab/>
        <w:t>Columbus, Ohio 43215-4213</w:t>
      </w:r>
    </w:p>
    <w:p w:rsidR="005444EA" w:rsidRPr="004E3CBF" w:rsidP="005444EA">
      <w:r>
        <w:tab/>
      </w:r>
      <w:r>
        <w:tab/>
      </w:r>
      <w:r>
        <w:tab/>
      </w:r>
      <w:r>
        <w:tab/>
      </w:r>
      <w:r>
        <w:tab/>
      </w:r>
      <w:r>
        <w:tab/>
        <w:t>Telephone [Healey] (614) 466-9571</w:t>
      </w:r>
    </w:p>
    <w:p w:rsidR="005444EA" w:rsidP="005444EA">
      <w:r>
        <w:tab/>
      </w:r>
      <w:r>
        <w:tab/>
      </w:r>
      <w:r>
        <w:tab/>
      </w:r>
      <w:r>
        <w:tab/>
      </w:r>
      <w:r>
        <w:tab/>
      </w:r>
      <w:r>
        <w:tab/>
        <w:t>Telephone [O’Brien]: (614) 466-9531</w:t>
      </w:r>
    </w:p>
    <w:p w:rsidR="005444EA" w:rsidRPr="00235F40" w:rsidP="005444EA">
      <w:r>
        <w:tab/>
      </w:r>
      <w:r>
        <w:tab/>
      </w:r>
      <w:r>
        <w:tab/>
      </w:r>
      <w:r>
        <w:tab/>
      </w:r>
      <w:r>
        <w:tab/>
      </w:r>
      <w:r>
        <w:tab/>
      </w:r>
      <w:r w:rsidRPr="00235F40" w:rsidR="00235F40">
        <w:rPr>
          <w:rStyle w:val="DefaultParagraphFont"/>
          <w:color w:val="auto"/>
          <w:u w:val="none"/>
        </w:rPr>
        <w:t>christopher.healey@occ.ohio.gov</w:t>
      </w:r>
    </w:p>
    <w:p w:rsidR="005444EA" w:rsidRPr="00235F40" w:rsidP="005444EA">
      <w:pPr>
        <w:autoSpaceDE w:val="0"/>
        <w:autoSpaceDN w:val="0"/>
        <w:adjustRightInd w:val="0"/>
        <w:ind w:left="3600" w:firstLine="720"/>
        <w:rPr>
          <w:rStyle w:val="Hyperlink"/>
          <w:color w:val="auto"/>
          <w:u w:val="none"/>
        </w:rPr>
      </w:pPr>
      <w:r w:rsidRPr="00235F40">
        <w:rPr>
          <w:rStyle w:val="DefaultParagraphFont"/>
          <w:color w:val="auto"/>
          <w:u w:val="none"/>
        </w:rPr>
        <w:t>angela.obrien@occ.ohio.gov</w:t>
      </w:r>
    </w:p>
    <w:p w:rsidR="005444EA" w:rsidRPr="004E3CBF" w:rsidP="005444EA">
      <w:pPr>
        <w:autoSpaceDE w:val="0"/>
        <w:autoSpaceDN w:val="0"/>
        <w:adjustRightInd w:val="0"/>
        <w:ind w:left="3600" w:firstLine="720"/>
      </w:pPr>
      <w:r>
        <w:rPr>
          <w:szCs w:val="24"/>
        </w:rPr>
        <w:t>(will accept service via email)</w:t>
      </w:r>
    </w:p>
    <w:p w:rsidR="00DB0ACF" w:rsidRPr="004E3CBF" w:rsidP="005444EA">
      <w:pPr>
        <w:pStyle w:val="Heading1"/>
        <w:ind w:left="3240" w:right="-648" w:firstLine="720"/>
        <w:rPr>
          <w:szCs w:val="20"/>
        </w:rPr>
      </w:pP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footerReference w:type="first" r:id="rId11"/>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877CE">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35F40" w:rsidRPr="007D76A8" w:rsidP="00A877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Audit of the Energy Efficiency and Peak Demand Reductions Achieved by the Electric Distribution Utilities Pursuant to R.C. 4928.66</w:t>
            </w:r>
          </w:p>
        </w:tc>
        <w:tc>
          <w:tcPr>
            <w:tcW w:w="360" w:type="dxa"/>
            <w:shd w:val="clear" w:color="auto" w:fill="auto"/>
          </w:tcPr>
          <w:p w:rsidR="00235F40" w:rsidRPr="00A044B5" w:rsidP="00A877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35F40" w:rsidRPr="00A044B5" w:rsidP="00A877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35F40" w:rsidP="00A877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35F40" w:rsidRPr="00A044B5" w:rsidP="00235F4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235F40" w:rsidRPr="00A044B5" w:rsidP="00A877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35F40" w:rsidP="00A877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19-0002-EL-UNC</w:t>
            </w:r>
          </w:p>
          <w:p w:rsidR="00235F40" w:rsidRPr="00A044B5" w:rsidP="00A877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DB0ACF" w:rsidP="00C27EC2">
      <w:pPr>
        <w:pStyle w:val="BodyTextIndent3"/>
        <w:widowControl w:val="0"/>
        <w:spacing w:line="480" w:lineRule="auto"/>
        <w:ind w:right="-24"/>
      </w:pPr>
      <w:r>
        <w:t>The</w:t>
      </w:r>
      <w:r w:rsidR="0043539D">
        <w:t xml:space="preserve"> </w:t>
      </w:r>
      <w:r w:rsidR="00622EBE">
        <w:t>electric utilities</w:t>
      </w:r>
      <w:r w:rsidR="00E6517B">
        <w:t xml:space="preserve"> are required to comply with the energy efficiency and peak demand reduction (</w:t>
      </w:r>
      <w:r w:rsidR="00E16EAF">
        <w:t xml:space="preserve">collectively, </w:t>
      </w:r>
      <w:r w:rsidR="00E6517B">
        <w:t>“</w:t>
      </w:r>
      <w:r w:rsidR="00E16EAF">
        <w:t>energy efficiency</w:t>
      </w:r>
      <w:r w:rsidR="00E6517B">
        <w:t>”) requirements set forth in R.C. 4928.66 through 4928.662</w:t>
      </w:r>
      <w:r w:rsidR="009B2FB3">
        <w:t>, regarding their programs that are funded by millions of Ohioans</w:t>
      </w:r>
      <w:r w:rsidR="0035319A">
        <w:t xml:space="preserve">.  R.C. 4928.66(B) requires the PUCO to “produce and docket an annual report containing the results of its verification of the levels of </w:t>
      </w:r>
      <w:r w:rsidR="001A162A">
        <w:t>energy efficiency and of peak demand reductions</w:t>
      </w:r>
      <w:r w:rsidR="0035319A">
        <w:t xml:space="preserve"> achieved by</w:t>
      </w:r>
      <w:r w:rsidR="001A162A">
        <w:t xml:space="preserve"> each electric distribution utility pursuant to division (A) of this section</w:t>
      </w:r>
      <w:r w:rsidR="0035319A">
        <w:t xml:space="preserve">.” </w:t>
      </w:r>
      <w:r w:rsidR="00216608">
        <w:t xml:space="preserve"> The statute further requires that the report be provided to OCC.  </w:t>
      </w:r>
      <w:r w:rsidR="00216608">
        <w:rPr>
          <w:i/>
        </w:rPr>
        <w:t>Id.</w:t>
      </w:r>
      <w:r w:rsidR="00406CA1">
        <w:rPr>
          <w:i/>
        </w:rPr>
        <w:t xml:space="preserve">  </w:t>
      </w:r>
      <w:r w:rsidR="0035319A">
        <w:t>The PUCO</w:t>
      </w:r>
      <w:r w:rsidR="00216608">
        <w:t xml:space="preserve"> initiated the instant proceeding for this purpose.</w:t>
      </w:r>
      <w:r w:rsidR="0043539D">
        <w:t xml:space="preserve"> </w:t>
      </w:r>
      <w:r w:rsidR="006962C1">
        <w:t xml:space="preserve"> </w:t>
      </w:r>
      <w:r w:rsidR="0043539D">
        <w:rPr>
          <w:szCs w:val="24"/>
        </w:rPr>
        <w:t xml:space="preserve">OCC has statutory authority to represent </w:t>
      </w:r>
      <w:r w:rsidR="0043539D">
        <w:t xml:space="preserve">the interests of </w:t>
      </w:r>
      <w:r w:rsidR="00216608">
        <w:t>4</w:t>
      </w:r>
      <w:r w:rsidR="0043539D">
        <w:t>.</w:t>
      </w:r>
      <w:r w:rsidR="00216608">
        <w:t>2</w:t>
      </w:r>
      <w:r w:rsidR="0078797B">
        <w:t xml:space="preserve"> million</w:t>
      </w:r>
      <w:r w:rsidR="0043539D">
        <w:t xml:space="preserve"> residential </w:t>
      </w:r>
      <w:r w:rsidR="00210BA8">
        <w:t>electric</w:t>
      </w:r>
      <w:r w:rsidR="0043539D">
        <w:t xml:space="preserve"> utility customers under R.C. Chapter 4911.</w:t>
      </w:r>
      <w:r w:rsidR="006962C1">
        <w:t xml:space="preserve">  </w:t>
      </w:r>
      <w:r w:rsidR="00180C7B">
        <w:t>Considering the complexity of the issues</w:t>
      </w:r>
      <w:r w:rsidR="002D2A78">
        <w:t xml:space="preserve"> involved</w:t>
      </w:r>
      <w:r w:rsidR="00180C7B">
        <w:t>, and the effect they have on</w:t>
      </w:r>
      <w:r w:rsidR="006962C1">
        <w:t xml:space="preserve"> the </w:t>
      </w:r>
      <w:r w:rsidR="00622EBE">
        <w:t>electric utilities</w:t>
      </w:r>
      <w:r w:rsidR="006962C1">
        <w:t>’</w:t>
      </w:r>
      <w:r w:rsidR="00180C7B">
        <w:t xml:space="preserve"> c</w:t>
      </w:r>
      <w:r w:rsidR="00210BA8">
        <w:t>ustomers</w:t>
      </w:r>
      <w:r w:rsidR="00180C7B">
        <w:t>, it is important that the PUCO thoroughly review</w:t>
      </w:r>
      <w:r w:rsidR="00216608">
        <w:t xml:space="preserve"> the </w:t>
      </w:r>
      <w:r w:rsidR="00406CA1">
        <w:t>electric u</w:t>
      </w:r>
      <w:r w:rsidR="00216608">
        <w:t xml:space="preserve">tilities’ compliance with </w:t>
      </w:r>
      <w:r w:rsidR="00406CA1">
        <w:t>energy efficiency</w:t>
      </w:r>
      <w:r w:rsidR="00216608">
        <w:t xml:space="preserve"> requirements</w:t>
      </w:r>
      <w:r w:rsidR="006962C1">
        <w:t xml:space="preserve">. </w:t>
      </w:r>
    </w:p>
    <w:p w:rsidR="00DB0ACF" w:rsidRPr="00AD52A8">
      <w:pPr>
        <w:pStyle w:val="BodyTextIndent3"/>
        <w:widowControl w:val="0"/>
        <w:spacing w:line="480" w:lineRule="auto"/>
        <w:ind w:right="-24"/>
        <w:rPr>
          <w:b/>
        </w:rPr>
      </w:pPr>
      <w:r>
        <w:t xml:space="preserve">R.C. 4903.221 provides, in part, that any person “who may be adversely affected” by a PUCO proceeding is entitled to seek intervention in that proceeding. The interests of </w:t>
      </w:r>
      <w:r w:rsidR="002D2A78">
        <w:t xml:space="preserve">the </w:t>
      </w:r>
      <w:r w:rsidR="00406CA1">
        <w:t>electric u</w:t>
      </w:r>
      <w:r w:rsidR="00342619">
        <w:t>tilities</w:t>
      </w:r>
      <w:r w:rsidR="002D2A78">
        <w:t>’</w:t>
      </w:r>
      <w:r>
        <w:t xml:space="preserve"> residential customers may be “adversely affected” by this case, especially if the</w:t>
      </w:r>
      <w:r w:rsidR="001B713B">
        <w:t>y</w:t>
      </w:r>
      <w:r>
        <w:t xml:space="preserve"> were unrepresented in a proceeding </w:t>
      </w:r>
      <w:r w:rsidR="0092448B">
        <w:t>to determine</w:t>
      </w:r>
      <w:r w:rsidR="00216608">
        <w:t xml:space="preserve"> the </w:t>
      </w:r>
      <w:r w:rsidR="00406CA1">
        <w:t>electric u</w:t>
      </w:r>
      <w:r w:rsidR="00216608">
        <w:t xml:space="preserve">tilities’ compliance with </w:t>
      </w:r>
      <w:r w:rsidR="00406CA1">
        <w:t xml:space="preserve">energy efficiency </w:t>
      </w:r>
      <w:r w:rsidR="00216608">
        <w:t>requirements</w:t>
      </w:r>
      <w:r w:rsidR="0092448B">
        <w:t>.</w:t>
      </w:r>
      <w:r>
        <w:t xml:space="preserve"> </w:t>
      </w:r>
      <w:r w:rsidR="002D2A78">
        <w:t xml:space="preserve"> </w:t>
      </w:r>
      <w:r>
        <w:t xml:space="preserve">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 xml:space="preserve">First, the nature and extent of OCC’s interest is representing </w:t>
      </w:r>
      <w:r w:rsidR="00E10926">
        <w:t>the</w:t>
      </w:r>
      <w:r w:rsidR="00406CA1">
        <w:t xml:space="preserve"> electric utilities</w:t>
      </w:r>
      <w:r w:rsidR="00E10926">
        <w:t>’</w:t>
      </w:r>
      <w:r w:rsidR="001B713B">
        <w:t xml:space="preserve"> </w:t>
      </w:r>
      <w:r>
        <w:t xml:space="preserve">residential customers </w:t>
      </w:r>
      <w:r w:rsidR="00C73768">
        <w:rPr>
          <w:szCs w:val="24"/>
        </w:rPr>
        <w:t>regarding</w:t>
      </w:r>
      <w:r>
        <w:rPr>
          <w:szCs w:val="24"/>
        </w:rPr>
        <w:t xml:space="preserve"> </w:t>
      </w:r>
      <w:r w:rsidR="00E10926">
        <w:rPr>
          <w:szCs w:val="24"/>
        </w:rPr>
        <w:t xml:space="preserve">reviews </w:t>
      </w:r>
      <w:r w:rsidR="00C73768">
        <w:rPr>
          <w:szCs w:val="24"/>
        </w:rPr>
        <w:t xml:space="preserve">of </w:t>
      </w:r>
      <w:r w:rsidR="00E10926">
        <w:rPr>
          <w:szCs w:val="24"/>
        </w:rPr>
        <w:t xml:space="preserve">the </w:t>
      </w:r>
      <w:r w:rsidR="00406CA1">
        <w:rPr>
          <w:szCs w:val="24"/>
        </w:rPr>
        <w:t>electric u</w:t>
      </w:r>
      <w:r w:rsidR="00342619">
        <w:rPr>
          <w:szCs w:val="24"/>
        </w:rPr>
        <w:t>tilities</w:t>
      </w:r>
      <w:r w:rsidR="00E10926">
        <w:rPr>
          <w:szCs w:val="24"/>
        </w:rPr>
        <w:t xml:space="preserve">’ </w:t>
      </w:r>
      <w:r w:rsidR="00216608">
        <w:rPr>
          <w:szCs w:val="24"/>
        </w:rPr>
        <w:t xml:space="preserve">compliance with </w:t>
      </w:r>
      <w:r w:rsidR="00406CA1">
        <w:rPr>
          <w:szCs w:val="24"/>
        </w:rPr>
        <w:t xml:space="preserve">energy efficiency </w:t>
      </w:r>
      <w:r w:rsidR="00216608">
        <w:rPr>
          <w:szCs w:val="24"/>
        </w:rPr>
        <w:t>requirements</w:t>
      </w:r>
      <w:r w:rsidR="00C73768">
        <w:rPr>
          <w:szCs w:val="24"/>
        </w:rPr>
        <w:t xml:space="preserve"> under Ohio law</w:t>
      </w:r>
      <w:r>
        <w:rPr>
          <w:szCs w:val="24"/>
        </w:rPr>
        <w:t xml:space="preserve">. </w:t>
      </w:r>
      <w:r w:rsidR="00C00536">
        <w:rPr>
          <w:szCs w:val="24"/>
        </w:rPr>
        <w:t xml:space="preserve"> </w:t>
      </w:r>
      <w:r>
        <w:rPr>
          <w:szCs w:val="24"/>
        </w:rPr>
        <w:t>This interest is different from that of any other party</w:t>
      </w:r>
      <w:r w:rsidR="007369DE">
        <w:rPr>
          <w:szCs w:val="24"/>
        </w:rPr>
        <w:t>,</w:t>
      </w:r>
      <w:r>
        <w:rPr>
          <w:szCs w:val="24"/>
        </w:rPr>
        <w:t xml:space="preserve"> and especially different from that of</w:t>
      </w:r>
      <w:r w:rsidR="00E10926">
        <w:rPr>
          <w:szCs w:val="24"/>
        </w:rPr>
        <w:t xml:space="preserve"> the </w:t>
      </w:r>
      <w:r w:rsidR="00406CA1">
        <w:rPr>
          <w:szCs w:val="24"/>
        </w:rPr>
        <w:t>electric u</w:t>
      </w:r>
      <w:r w:rsidR="00342619">
        <w:rPr>
          <w:szCs w:val="24"/>
        </w:rPr>
        <w:t>tilities</w:t>
      </w:r>
      <w:r w:rsidR="00A81DAD">
        <w:rPr>
          <w:szCs w:val="24"/>
        </w:rPr>
        <w:t xml:space="preserve"> </w:t>
      </w:r>
      <w:r>
        <w:rPr>
          <w:szCs w:val="24"/>
        </w:rPr>
        <w:t>whose advocacy includes the financial interest of shareholders</w:t>
      </w:r>
      <w:r w:rsidR="000E03C4">
        <w:rPr>
          <w:szCs w:val="24"/>
        </w:rPr>
        <w:t xml:space="preserve">. </w:t>
      </w:r>
      <w:r w:rsidR="00C00536">
        <w:rPr>
          <w:szCs w:val="24"/>
        </w:rPr>
        <w:t xml:space="preserve"> </w:t>
      </w:r>
      <w:r w:rsidR="004B6710">
        <w:t xml:space="preserve">As a representative of </w:t>
      </w:r>
      <w:r w:rsidR="00E10926">
        <w:t xml:space="preserve">the </w:t>
      </w:r>
      <w:r w:rsidR="00406CA1">
        <w:t>electric u</w:t>
      </w:r>
      <w:r w:rsidR="00342619">
        <w:t>tilities</w:t>
      </w:r>
      <w:r w:rsidR="00E10926">
        <w:t>’</w:t>
      </w:r>
      <w:r w:rsidR="004B6710">
        <w:t xml:space="preserve"> residential customers </w:t>
      </w:r>
      <w:r w:rsidR="002B7220">
        <w:t xml:space="preserve">who </w:t>
      </w:r>
      <w:r w:rsidR="004B6710">
        <w:t>will be affected by the outcome of this case, OCC is an “interested stakeholder.”</w:t>
      </w:r>
    </w:p>
    <w:p w:rsidR="00DB0ACF">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w:t>
      </w:r>
      <w:r w:rsidR="00E10926">
        <w:rPr>
          <w:sz w:val="24"/>
          <w:szCs w:val="24"/>
        </w:rPr>
        <w:t xml:space="preserve"> the </w:t>
      </w:r>
      <w:r w:rsidR="00406CA1">
        <w:rPr>
          <w:sz w:val="24"/>
          <w:szCs w:val="24"/>
        </w:rPr>
        <w:t>electric u</w:t>
      </w:r>
      <w:r w:rsidR="00342619">
        <w:rPr>
          <w:sz w:val="24"/>
          <w:szCs w:val="24"/>
        </w:rPr>
        <w:t>tilities</w:t>
      </w:r>
      <w:r w:rsidR="00E10926">
        <w:rPr>
          <w:sz w:val="24"/>
          <w:szCs w:val="24"/>
        </w:rPr>
        <w:t xml:space="preserve"> should </w:t>
      </w:r>
      <w:r w:rsidR="005444EA">
        <w:rPr>
          <w:sz w:val="24"/>
          <w:szCs w:val="24"/>
        </w:rPr>
        <w:t xml:space="preserve">comply with the </w:t>
      </w:r>
      <w:r w:rsidR="00406CA1">
        <w:rPr>
          <w:sz w:val="24"/>
          <w:szCs w:val="24"/>
        </w:rPr>
        <w:t xml:space="preserve">energy efficiency </w:t>
      </w:r>
      <w:r w:rsidR="005444EA">
        <w:rPr>
          <w:sz w:val="24"/>
          <w:szCs w:val="24"/>
        </w:rPr>
        <w:t xml:space="preserve">requirements </w:t>
      </w:r>
      <w:r w:rsidR="00E10926">
        <w:rPr>
          <w:sz w:val="24"/>
          <w:szCs w:val="24"/>
        </w:rPr>
        <w:t>under Ohio law</w:t>
      </w:r>
      <w:r w:rsidR="00A92B5C">
        <w:rPr>
          <w:sz w:val="24"/>
          <w:szCs w:val="24"/>
        </w:rPr>
        <w:t xml:space="preserve">. </w:t>
      </w:r>
      <w:r w:rsidR="00C00536">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w:t>
      </w:r>
      <w:r w:rsidR="00C00536">
        <w:rPr>
          <w:sz w:val="24"/>
          <w:szCs w:val="24"/>
        </w:rPr>
        <w:t xml:space="preserve"> </w:t>
      </w:r>
      <w:r>
        <w:rPr>
          <w:sz w:val="24"/>
          <w:szCs w:val="24"/>
        </w:rPr>
        <w:t xml:space="preserve">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w:t>
      </w:r>
      <w:r w:rsidR="00C00536">
        <w:rPr>
          <w:szCs w:val="24"/>
        </w:rPr>
        <w:t xml:space="preserve"> </w:t>
      </w:r>
      <w:r>
        <w:rPr>
          <w:szCs w:val="24"/>
        </w:rPr>
        <w:t xml:space="preserve">To intervene, a party should have a “real and substantial interest” according to Ohio Adm. Code 4901-1-11(A)(2). </w:t>
      </w:r>
      <w:r w:rsidR="00C00536">
        <w:rPr>
          <w:szCs w:val="24"/>
        </w:rPr>
        <w:t xml:space="preserve"> </w:t>
      </w:r>
      <w:r>
        <w:rPr>
          <w:szCs w:val="24"/>
        </w:rPr>
        <w:t xml:space="preserve">As the advocate for residential utility customers, OCC has a very real and substantial interest in this case where </w:t>
      </w:r>
      <w:r>
        <w:t>the PUCO</w:t>
      </w:r>
      <w:r w:rsidRPr="00E10926" w:rsidR="00E10926">
        <w:t xml:space="preserve"> </w:t>
      </w:r>
      <w:r w:rsidR="00E10926">
        <w:t>will determine</w:t>
      </w:r>
      <w:r w:rsidR="00111B16">
        <w:t xml:space="preserve"> the</w:t>
      </w:r>
      <w:r w:rsidR="00406CA1">
        <w:t xml:space="preserve"> electric utilities</w:t>
      </w:r>
      <w:r w:rsidR="00111B16">
        <w:t xml:space="preserve">’ compliance with </w:t>
      </w:r>
      <w:r w:rsidR="00406CA1">
        <w:t xml:space="preserve">energy efficiency </w:t>
      </w:r>
      <w:r w:rsidR="00111B16">
        <w:t>requirements</w:t>
      </w:r>
      <w:r w:rsidR="00A92B5C">
        <w:t>.</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 xml:space="preserve">Ohio Adm. Code 4901-1-11(B)(5) states that the PUCO shall consider “The extent to which the person’s interest is represented by existing parties.” </w:t>
      </w:r>
      <w:r w:rsidR="00C00536">
        <w:rPr>
          <w:szCs w:val="24"/>
        </w:rPr>
        <w:t xml:space="preserve"> </w:t>
      </w:r>
      <w:r>
        <w:rPr>
          <w:szCs w:val="24"/>
        </w:rPr>
        <w:t xml:space="preserve">While OCC does not concede the lawfulness of this criterion, OCC satisfies this criterion in that it uniquely has been designated as the state representative of the interests of Ohio’s residential utility customers. </w:t>
      </w:r>
      <w:r w:rsidR="00C00536">
        <w:rPr>
          <w:szCs w:val="24"/>
        </w:rPr>
        <w:t xml:space="preserve"> </w:t>
      </w:r>
      <w:r>
        <w:rPr>
          <w:szCs w:val="24"/>
        </w:rPr>
        <w:t>That interest is different from, and not represented by, any other entity in Ohio.</w:t>
      </w:r>
    </w:p>
    <w:p w:rsidR="00DA3AB3">
      <w:pPr>
        <w:pStyle w:val="WW-BodyTextIndent3"/>
        <w:widowControl w:val="0"/>
        <w:spacing w:line="480" w:lineRule="auto"/>
        <w:ind w:right="-24"/>
        <w:rPr>
          <w:szCs w:val="24"/>
        </w:rPr>
      </w:pPr>
      <w:r>
        <w:rPr>
          <w:szCs w:val="24"/>
        </w:rPr>
        <w:t>Further</w:t>
      </w:r>
      <w:r w:rsidR="00176080">
        <w:rPr>
          <w:szCs w:val="24"/>
        </w:rPr>
        <w:t xml:space="preserve">, the Supreme Court of Ohio (“Court”) </w:t>
      </w:r>
      <w:r w:rsidR="00E10926">
        <w:rPr>
          <w:szCs w:val="24"/>
        </w:rPr>
        <w:t>affirmed</w:t>
      </w:r>
      <w:r w:rsidR="00176080">
        <w:rPr>
          <w:szCs w:val="24"/>
        </w:rPr>
        <w:t xml:space="preserve"> OCC’s right to intervene in PUCO proceedings, in deciding two appeals in which OCC claimed the PUCO erred by denying its interventions. </w:t>
      </w:r>
      <w:r w:rsidR="00C00536">
        <w:rPr>
          <w:szCs w:val="24"/>
        </w:rPr>
        <w:t xml:space="preserve"> </w:t>
      </w:r>
      <w:r w:rsidR="00176080">
        <w:rPr>
          <w:szCs w:val="24"/>
        </w:rPr>
        <w:t xml:space="preserve">The Court found that the PUCO abused its discretion in </w:t>
      </w:r>
    </w:p>
    <w:p w:rsidR="00622EBE" w:rsidP="00622EBE">
      <w:pPr>
        <w:rPr>
          <w:szCs w:val="24"/>
        </w:rPr>
      </w:pPr>
      <w:r>
        <w:rPr>
          <w:szCs w:val="24"/>
        </w:rPr>
        <w:t xml:space="preserve">denying OCC’s interventions and that OCC should have been granted intervention in </w:t>
      </w:r>
    </w:p>
    <w:p w:rsidR="00622EBE" w:rsidP="00622EBE">
      <w:pPr>
        <w:rPr>
          <w:szCs w:val="24"/>
        </w:rPr>
      </w:pPr>
    </w:p>
    <w:p w:rsidR="00DB0ACF" w:rsidP="00622EBE">
      <w:pPr>
        <w:rPr>
          <w:szCs w:val="24"/>
        </w:rPr>
      </w:pPr>
      <w:r>
        <w:rPr>
          <w:szCs w:val="24"/>
        </w:rPr>
        <w:t>both proceedings.</w:t>
      </w:r>
      <w:r>
        <w:rPr>
          <w:rStyle w:val="FootnoteReference"/>
          <w:szCs w:val="24"/>
        </w:rPr>
        <w:footnoteReference w:id="4"/>
      </w:r>
      <w:r>
        <w:rPr>
          <w:szCs w:val="24"/>
        </w:rPr>
        <w:t xml:space="preserve">  </w:t>
      </w:r>
    </w:p>
    <w:p w:rsidR="00622EBE" w:rsidP="00622EBE">
      <w:pPr>
        <w:rPr>
          <w:szCs w:val="24"/>
          <w:lang w:eastAsia="ar-SA"/>
        </w:rPr>
      </w:pPr>
    </w:p>
    <w:p w:rsidR="00180C7B" w:rsidP="00A869C5">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r w:rsidR="00A869C5">
        <w:rPr>
          <w:szCs w:val="24"/>
        </w:rPr>
        <w:t>.</w:t>
      </w:r>
    </w:p>
    <w:p w:rsidR="00EB1267" w:rsidP="00A869C5">
      <w:pPr>
        <w:spacing w:line="480" w:lineRule="auto"/>
        <w:ind w:firstLine="720"/>
        <w:rPr>
          <w:szCs w:val="24"/>
        </w:rPr>
      </w:pPr>
    </w:p>
    <w:p w:rsidR="00A92B5C" w:rsidRPr="00E10926" w:rsidP="00E43D3E">
      <w:pPr>
        <w:ind w:left="3600" w:firstLine="720"/>
      </w:pPr>
      <w:r>
        <w:rPr>
          <w:szCs w:val="24"/>
        </w:rPr>
        <w:t>Respectfully submitted,</w:t>
      </w:r>
    </w:p>
    <w:p w:rsidR="00235F40" w:rsidP="00235F40">
      <w:pPr>
        <w:pStyle w:val="Footer"/>
        <w:tabs>
          <w:tab w:val="left" w:pos="4320"/>
          <w:tab w:val="clear" w:pos="8640"/>
        </w:tabs>
        <w:spacing w:before="240"/>
        <w:rPr>
          <w:sz w:val="24"/>
          <w:szCs w:val="24"/>
        </w:rPr>
      </w:pPr>
      <w:r>
        <w:rPr>
          <w:sz w:val="24"/>
          <w:szCs w:val="24"/>
        </w:rPr>
        <w:tab/>
      </w:r>
      <w:r>
        <w:rPr>
          <w:sz w:val="24"/>
          <w:szCs w:val="24"/>
        </w:rPr>
        <w:t>Bruce Weston (0016973)</w:t>
      </w:r>
    </w:p>
    <w:p w:rsidR="00235F40" w:rsidP="00235F40">
      <w:pPr>
        <w:tabs>
          <w:tab w:val="left" w:pos="4320"/>
        </w:tabs>
        <w:rPr>
          <w:szCs w:val="24"/>
        </w:rPr>
      </w:pPr>
      <w:r>
        <w:rPr>
          <w:szCs w:val="24"/>
        </w:rPr>
        <w:tab/>
        <w:t>Ohio Consumers’ Counsel</w:t>
      </w:r>
    </w:p>
    <w:p w:rsidR="00235F40" w:rsidP="00235F40">
      <w:pPr>
        <w:tabs>
          <w:tab w:val="left" w:pos="4320"/>
        </w:tabs>
        <w:rPr>
          <w:szCs w:val="24"/>
        </w:rPr>
      </w:pPr>
      <w:r>
        <w:rPr>
          <w:szCs w:val="24"/>
        </w:rPr>
        <w:tab/>
      </w:r>
    </w:p>
    <w:p w:rsidR="00235F40" w:rsidRPr="00812543" w:rsidP="00235F40">
      <w:pPr>
        <w:tabs>
          <w:tab w:val="left" w:pos="4320"/>
        </w:tabs>
        <w:rPr>
          <w:szCs w:val="24"/>
        </w:rPr>
      </w:pPr>
      <w:r>
        <w:rPr>
          <w:szCs w:val="24"/>
        </w:rPr>
        <w:tab/>
      </w:r>
      <w:r>
        <w:rPr>
          <w:i/>
          <w:szCs w:val="24"/>
          <w:u w:val="single"/>
        </w:rPr>
        <w:t>/s/ Angela O’Brien____</w:t>
      </w:r>
      <w:r>
        <w:rPr>
          <w:szCs w:val="24"/>
        </w:rPr>
        <w:t xml:space="preserve"> </w:t>
      </w:r>
    </w:p>
    <w:p w:rsidR="00235F40" w:rsidP="00235F40">
      <w:pPr>
        <w:tabs>
          <w:tab w:val="left" w:pos="4320"/>
        </w:tabs>
        <w:ind w:left="4320"/>
        <w:rPr>
          <w:szCs w:val="24"/>
        </w:rPr>
      </w:pPr>
      <w:r>
        <w:rPr>
          <w:szCs w:val="24"/>
        </w:rPr>
        <w:t>Christopher Healey (0086027)</w:t>
      </w:r>
    </w:p>
    <w:p w:rsidR="00235F40" w:rsidP="00235F40">
      <w:pPr>
        <w:tabs>
          <w:tab w:val="left" w:pos="4320"/>
        </w:tabs>
        <w:ind w:left="4320"/>
        <w:rPr>
          <w:szCs w:val="24"/>
        </w:rPr>
      </w:pPr>
      <w:r>
        <w:rPr>
          <w:szCs w:val="24"/>
        </w:rPr>
        <w:t xml:space="preserve">Counsel of Record </w:t>
      </w:r>
    </w:p>
    <w:p w:rsidR="00235F40" w:rsidRPr="00812543" w:rsidP="00235F40">
      <w:pPr>
        <w:tabs>
          <w:tab w:val="left" w:pos="4320"/>
        </w:tabs>
        <w:ind w:left="4320"/>
        <w:rPr>
          <w:b/>
          <w:szCs w:val="24"/>
        </w:rPr>
      </w:pPr>
      <w:r>
        <w:rPr>
          <w:szCs w:val="24"/>
        </w:rPr>
        <w:t>Angela O’Brien (0097579)</w:t>
      </w:r>
    </w:p>
    <w:p w:rsidR="00235F40" w:rsidP="00235F40">
      <w:pPr>
        <w:tabs>
          <w:tab w:val="left" w:pos="4320"/>
        </w:tabs>
        <w:ind w:firstLine="4320"/>
        <w:rPr>
          <w:szCs w:val="24"/>
        </w:rPr>
      </w:pPr>
      <w:r>
        <w:rPr>
          <w:szCs w:val="24"/>
        </w:rPr>
        <w:t>Assistant Consumers’ Counsel</w:t>
      </w:r>
    </w:p>
    <w:p w:rsidR="00235F40" w:rsidP="00235F40">
      <w:pPr>
        <w:tabs>
          <w:tab w:val="left" w:pos="4320"/>
        </w:tabs>
        <w:rPr>
          <w:szCs w:val="24"/>
        </w:rPr>
      </w:pPr>
      <w:r>
        <w:rPr>
          <w:szCs w:val="24"/>
        </w:rPr>
        <w:tab/>
      </w:r>
    </w:p>
    <w:p w:rsidR="00235F40" w:rsidP="00235F40">
      <w:pPr>
        <w:pStyle w:val="Heading1"/>
        <w:ind w:left="3240" w:right="-648" w:firstLine="720"/>
        <w:rPr>
          <w:u w:val="none"/>
        </w:rPr>
      </w:pPr>
      <w:r>
        <w:rPr>
          <w:u w:val="none"/>
        </w:rPr>
        <w:tab/>
        <w:t>Office of the Ohio Consumers’ Counsel</w:t>
      </w:r>
    </w:p>
    <w:p w:rsidR="00235F40" w:rsidP="00235F40">
      <w:pPr>
        <w:pStyle w:val="Heading1"/>
        <w:ind w:left="3240" w:right="-648" w:firstLine="720"/>
        <w:rPr>
          <w:b w:val="0"/>
          <w:u w:val="none"/>
        </w:rPr>
      </w:pPr>
      <w:r>
        <w:rPr>
          <w:b w:val="0"/>
          <w:u w:val="none"/>
        </w:rPr>
        <w:tab/>
        <w:t>65 East State Street, 7th Floor</w:t>
      </w:r>
    </w:p>
    <w:p w:rsidR="00235F40" w:rsidP="00235F40">
      <w:pPr>
        <w:pStyle w:val="Heading1"/>
        <w:ind w:left="3240" w:right="-648" w:firstLine="720"/>
        <w:rPr>
          <w:b w:val="0"/>
          <w:u w:val="none"/>
        </w:rPr>
      </w:pPr>
      <w:r>
        <w:rPr>
          <w:b w:val="0"/>
          <w:u w:val="none"/>
        </w:rPr>
        <w:tab/>
        <w:t>Columbus, Ohio 43215-4213</w:t>
      </w:r>
    </w:p>
    <w:p w:rsidR="00235F40" w:rsidRPr="004E3CBF" w:rsidP="00235F40">
      <w:r>
        <w:tab/>
      </w:r>
      <w:r>
        <w:tab/>
      </w:r>
      <w:r>
        <w:tab/>
      </w:r>
      <w:r>
        <w:tab/>
      </w:r>
      <w:r>
        <w:tab/>
      </w:r>
      <w:r>
        <w:tab/>
        <w:t>Telephone [Healey] (614) 466-9571</w:t>
      </w:r>
    </w:p>
    <w:p w:rsidR="00235F40" w:rsidP="00235F40">
      <w:r>
        <w:tab/>
      </w:r>
      <w:r>
        <w:tab/>
      </w:r>
      <w:r>
        <w:tab/>
      </w:r>
      <w:r>
        <w:tab/>
      </w:r>
      <w:r>
        <w:tab/>
      </w:r>
      <w:r>
        <w:tab/>
        <w:t>Telephone [O’Brien]: (614) 466-9531</w:t>
      </w:r>
    </w:p>
    <w:p w:rsidR="00235F40" w:rsidRPr="00235F40" w:rsidP="00235F40">
      <w:r>
        <w:tab/>
      </w:r>
      <w:r>
        <w:tab/>
      </w:r>
      <w:r>
        <w:tab/>
      </w:r>
      <w:r>
        <w:tab/>
      </w:r>
      <w:r>
        <w:tab/>
      </w:r>
      <w:r>
        <w:tab/>
      </w:r>
      <w:r w:rsidRPr="00235F40">
        <w:rPr>
          <w:rStyle w:val="DefaultParagraphFont"/>
          <w:color w:val="auto"/>
          <w:u w:val="none"/>
        </w:rPr>
        <w:t>christopher.healey@occ.ohio.gov</w:t>
      </w:r>
    </w:p>
    <w:p w:rsidR="00235F40" w:rsidRPr="00235F40" w:rsidP="00235F40">
      <w:pPr>
        <w:autoSpaceDE w:val="0"/>
        <w:autoSpaceDN w:val="0"/>
        <w:adjustRightInd w:val="0"/>
        <w:ind w:left="3600" w:firstLine="720"/>
        <w:rPr>
          <w:rStyle w:val="Hyperlink"/>
          <w:color w:val="auto"/>
          <w:u w:val="none"/>
        </w:rPr>
      </w:pPr>
      <w:r w:rsidRPr="00235F40">
        <w:rPr>
          <w:rStyle w:val="DefaultParagraphFont"/>
          <w:color w:val="auto"/>
          <w:u w:val="none"/>
        </w:rPr>
        <w:t>angela.obrien@occ.ohio.gov</w:t>
      </w:r>
    </w:p>
    <w:p w:rsidR="00235F40" w:rsidRPr="004E3CBF" w:rsidP="00235F40">
      <w:pPr>
        <w:autoSpaceDE w:val="0"/>
        <w:autoSpaceDN w:val="0"/>
        <w:adjustRightInd w:val="0"/>
        <w:ind w:left="3600" w:firstLine="720"/>
      </w:pPr>
      <w:r>
        <w:rPr>
          <w:szCs w:val="24"/>
        </w:rPr>
        <w:t>(will accept service via email)</w:t>
      </w:r>
    </w:p>
    <w:p w:rsidR="003E7284" w:rsidP="0073747D">
      <w:pPr>
        <w:sectPr>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pPr>
        <w:spacing w:line="480" w:lineRule="atLeast"/>
      </w:pPr>
      <w:r>
        <w:tab/>
        <w:t xml:space="preserve">I hereby certify that a copy of this </w:t>
      </w:r>
      <w:r w:rsidRPr="003E7284">
        <w:rPr>
          <w:iCs/>
        </w:rPr>
        <w:t>Motion to Intervene</w:t>
      </w:r>
      <w:r>
        <w:t xml:space="preserve"> was served on the persons stated below </w:t>
      </w:r>
      <w:r w:rsidRPr="00EC0B73">
        <w:t xml:space="preserve">via </w:t>
      </w:r>
      <w:r>
        <w:t>electronic transmission, this</w:t>
      </w:r>
      <w:r w:rsidR="00235F40">
        <w:t xml:space="preserve"> </w:t>
      </w:r>
      <w:r w:rsidR="003E7284">
        <w:t>6</w:t>
      </w:r>
      <w:r w:rsidRPr="003E7284" w:rsidR="003E7284">
        <w:rPr>
          <w:vertAlign w:val="superscript"/>
        </w:rPr>
        <w:t>th</w:t>
      </w:r>
      <w:r w:rsidR="003E7284">
        <w:t xml:space="preserve"> </w:t>
      </w:r>
      <w:r>
        <w:t xml:space="preserve">day of </w:t>
      </w:r>
      <w:r w:rsidR="005444EA">
        <w:t>February</w:t>
      </w:r>
      <w:r w:rsidR="00E770F5">
        <w:t xml:space="preserve"> 2019</w:t>
      </w:r>
      <w:r>
        <w:t>.</w:t>
      </w:r>
    </w:p>
    <w:p w:rsidR="00DB0ACF">
      <w:pPr>
        <w:spacing w:line="480" w:lineRule="atLeast"/>
      </w:pPr>
    </w:p>
    <w:p w:rsidR="00DB0ACF" w:rsidRPr="00F6315F">
      <w:pPr>
        <w:tabs>
          <w:tab w:val="left" w:pos="4320"/>
        </w:tabs>
        <w:rPr>
          <w:i/>
          <w:u w:val="single"/>
        </w:rPr>
      </w:pPr>
      <w:r>
        <w:tab/>
      </w:r>
      <w:r w:rsidR="00F6315F">
        <w:rPr>
          <w:i/>
          <w:u w:val="single"/>
        </w:rPr>
        <w:t xml:space="preserve">/s/ </w:t>
      </w:r>
      <w:r w:rsidR="00180C7B">
        <w:rPr>
          <w:i/>
          <w:u w:val="single"/>
        </w:rPr>
        <w:t>A</w:t>
      </w:r>
      <w:r w:rsidR="00A869C5">
        <w:rPr>
          <w:i/>
          <w:u w:val="single"/>
        </w:rPr>
        <w:t>ngela O’Brien</w:t>
      </w:r>
    </w:p>
    <w:p w:rsidR="00DB0ACF">
      <w:pPr>
        <w:tabs>
          <w:tab w:val="left" w:pos="4320"/>
        </w:tabs>
      </w:pPr>
      <w:r>
        <w:tab/>
      </w:r>
      <w:r w:rsidR="00180C7B">
        <w:t>A</w:t>
      </w:r>
      <w:r w:rsidR="00A869C5">
        <w:t>ngela O’Brien</w:t>
      </w:r>
    </w:p>
    <w:p w:rsidR="00DB0ACF">
      <w:pPr>
        <w:tabs>
          <w:tab w:val="left" w:pos="4320"/>
        </w:tabs>
      </w:pPr>
      <w:r>
        <w:tab/>
      </w:r>
      <w:r w:rsidR="00180C7B">
        <w:t>Assistant Consumers’ Counsel</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7B535B" w:rsidP="00F6315F">
      <w:pPr>
        <w:pStyle w:val="CommentText"/>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235F4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235F40" w:rsidRPr="00235F40" w:rsidP="00F6315F">
            <w:pPr>
              <w:pStyle w:val="CommentText"/>
              <w:rPr>
                <w:rStyle w:val="DefaultParagraphFont"/>
                <w:bCs/>
                <w:sz w:val="24"/>
                <w:szCs w:val="24"/>
                <w:lang w:val="en-US" w:eastAsia="en-US" w:bidi="ar-SA"/>
              </w:rPr>
            </w:pPr>
            <w:r w:rsidRPr="00235F40">
              <w:rPr>
                <w:rStyle w:val="DefaultParagraphFont"/>
                <w:bCs/>
                <w:color w:val="auto"/>
                <w:sz w:val="24"/>
                <w:szCs w:val="24"/>
                <w:u w:val="none"/>
                <w:lang w:val="en-US" w:eastAsia="en-US" w:bidi="ar-SA"/>
              </w:rPr>
              <w:t>john.jones@ohioattorneygeneral.gov</w:t>
            </w:r>
          </w:p>
          <w:p w:rsidR="00235F40" w:rsidRPr="00235F40" w:rsidP="00F6315F">
            <w:pPr>
              <w:pStyle w:val="CommentText"/>
              <w:rPr>
                <w:rStyle w:val="DefaultParagraphFont"/>
                <w:bCs/>
                <w:sz w:val="24"/>
                <w:szCs w:val="24"/>
                <w:lang w:val="en-US" w:eastAsia="en-US" w:bidi="ar-SA"/>
              </w:rPr>
            </w:pPr>
          </w:p>
          <w:p w:rsidR="00235F40" w:rsidRPr="00235F40" w:rsidP="00F6315F">
            <w:pPr>
              <w:pStyle w:val="CommentText"/>
              <w:rPr>
                <w:rStyle w:val="DefaultParagraphFont"/>
                <w:bCs/>
                <w:sz w:val="24"/>
                <w:szCs w:val="24"/>
                <w:lang w:val="en-US" w:eastAsia="en-US" w:bidi="ar-SA"/>
              </w:rPr>
            </w:pPr>
            <w:r w:rsidRPr="00235F40">
              <w:rPr>
                <w:bCs/>
                <w:sz w:val="24"/>
                <w:szCs w:val="24"/>
                <w:lang w:val="en-US" w:eastAsia="en-US" w:bidi="ar-SA"/>
              </w:rPr>
              <w:t>Attorney Examiner:</w:t>
            </w:r>
          </w:p>
          <w:p w:rsidR="00235F40" w:rsidRPr="00235F40" w:rsidP="00F6315F">
            <w:pPr>
              <w:pStyle w:val="CommentText"/>
              <w:rPr>
                <w:rStyle w:val="DefaultParagraphFont"/>
                <w:bCs/>
                <w:sz w:val="24"/>
                <w:szCs w:val="24"/>
                <w:lang w:val="en-US" w:eastAsia="en-US" w:bidi="ar-SA"/>
              </w:rPr>
            </w:pPr>
            <w:r w:rsidRPr="00235F40">
              <w:rPr>
                <w:rStyle w:val="DefaultParagraphFont"/>
                <w:bCs/>
                <w:color w:val="auto"/>
                <w:sz w:val="24"/>
                <w:szCs w:val="24"/>
                <w:u w:val="none"/>
                <w:lang w:val="en-US" w:eastAsia="en-US" w:bidi="ar-SA"/>
              </w:rPr>
              <w:t>Richard.bulgrin@puc.state.oh.us</w:t>
            </w:r>
          </w:p>
          <w:p w:rsidR="00235F40" w:rsidRPr="00235F40" w:rsidP="00F6315F">
            <w:pPr>
              <w:pStyle w:val="CommentText"/>
              <w:rPr>
                <w:rStyle w:val="DefaultParagraphFont"/>
                <w:bCs/>
                <w:sz w:val="24"/>
                <w:szCs w:val="24"/>
                <w:lang w:val="en-US" w:eastAsia="en-US" w:bidi="ar-SA"/>
              </w:rPr>
            </w:pPr>
            <w:r w:rsidRPr="00235F40">
              <w:rPr>
                <w:rStyle w:val="DefaultParagraphFont"/>
                <w:bCs/>
                <w:color w:val="auto"/>
                <w:sz w:val="24"/>
                <w:szCs w:val="24"/>
                <w:u w:val="none"/>
                <w:lang w:val="en-US" w:eastAsia="en-US" w:bidi="ar-SA"/>
              </w:rPr>
              <w:t>anna.sanyal@puc.state.oh.us</w:t>
            </w:r>
            <w:r w:rsidRPr="00235F40">
              <w:rPr>
                <w:bCs/>
                <w:sz w:val="24"/>
                <w:szCs w:val="24"/>
                <w:lang w:val="en-US" w:eastAsia="en-US" w:bidi="ar-SA"/>
              </w:rPr>
              <w:t xml:space="preserve"> </w:t>
            </w:r>
          </w:p>
        </w:tc>
        <w:tc>
          <w:tcPr>
            <w:tcW w:w="4315" w:type="dxa"/>
          </w:tcPr>
          <w:p w:rsidR="003E7284" w:rsidRPr="00235F40" w:rsidP="003E7284">
            <w:pPr>
              <w:pStyle w:val="CommentText"/>
              <w:rPr>
                <w:rStyle w:val="DefaultParagraphFont"/>
                <w:bCs/>
                <w:sz w:val="24"/>
                <w:szCs w:val="24"/>
                <w:lang w:val="en-US" w:eastAsia="en-US" w:bidi="ar-SA"/>
              </w:rPr>
            </w:pPr>
          </w:p>
        </w:tc>
      </w:tr>
    </w:tbl>
    <w:p w:rsidR="00F6315F" w:rsidP="00F6315F">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5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6924417"/>
      <w:docPartObj>
        <w:docPartGallery w:val="Page Numbers (Bottom of Page)"/>
        <w:docPartUnique/>
      </w:docPartObj>
    </w:sdtPr>
    <w:sdtEndPr>
      <w:rPr>
        <w:noProof/>
        <w:sz w:val="24"/>
        <w:szCs w:val="24"/>
      </w:rPr>
    </w:sdtEndPr>
    <w:sdtContent>
      <w:p w:rsidR="003E7284" w:rsidRPr="003E7284">
        <w:pPr>
          <w:pStyle w:val="Footer"/>
          <w:jc w:val="center"/>
          <w:rPr>
            <w:sz w:val="24"/>
            <w:szCs w:val="24"/>
          </w:rPr>
        </w:pPr>
        <w:r w:rsidRPr="003E7284">
          <w:rPr>
            <w:sz w:val="24"/>
            <w:szCs w:val="24"/>
          </w:rPr>
          <w:fldChar w:fldCharType="begin"/>
        </w:r>
        <w:r w:rsidRPr="003E7284">
          <w:rPr>
            <w:sz w:val="24"/>
            <w:szCs w:val="24"/>
          </w:rPr>
          <w:instrText xml:space="preserve"> PAGE   \* MERGEFORMAT </w:instrText>
        </w:r>
        <w:r w:rsidRPr="003E7284">
          <w:rPr>
            <w:sz w:val="24"/>
            <w:szCs w:val="24"/>
          </w:rPr>
          <w:fldChar w:fldCharType="separate"/>
        </w:r>
        <w:r w:rsidRPr="003E7284">
          <w:rPr>
            <w:noProof/>
            <w:sz w:val="24"/>
            <w:szCs w:val="24"/>
          </w:rPr>
          <w:t>2</w:t>
        </w:r>
        <w:r w:rsidRPr="003E7284">
          <w:rPr>
            <w:noProof/>
            <w:sz w:val="24"/>
            <w:szCs w:val="24"/>
          </w:rPr>
          <w:fldChar w:fldCharType="end"/>
        </w:r>
      </w:p>
    </w:sdtContent>
  </w:sdt>
  <w:p w:rsidR="003E72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4</w:t>
        </w:r>
        <w:r w:rsidRPr="0073747D">
          <w:rPr>
            <w:noProof/>
            <w:sz w:val="24"/>
            <w:szCs w:val="24"/>
          </w:rPr>
          <w:fldChar w:fldCharType="end"/>
        </w:r>
      </w:p>
    </w:sdtContent>
  </w:sdt>
  <w:p w:rsidR="00DB0ACF" w:rsidP="007374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6A4E">
      <w:r>
        <w:separator/>
      </w:r>
    </w:p>
  </w:footnote>
  <w:footnote w:type="continuationSeparator" w:id="1">
    <w:p w:rsidR="00236A4E">
      <w:r>
        <w:continuationSeparator/>
      </w:r>
    </w:p>
  </w:footnote>
  <w:footnote w:id="2">
    <w:p w:rsidR="007D0542" w:rsidP="007D0542">
      <w:pPr>
        <w:pStyle w:val="FootnoteText"/>
        <w:spacing w:after="120"/>
      </w:pPr>
      <w:r>
        <w:rPr>
          <w:rStyle w:val="FootnoteReference"/>
        </w:rPr>
        <w:footnoteRef/>
      </w:r>
      <w:r>
        <w:t xml:space="preserve"> </w:t>
      </w:r>
      <w:r w:rsidRPr="009B246C">
        <w:rPr>
          <w:i/>
        </w:rPr>
        <w:t>See</w:t>
      </w:r>
      <w:r>
        <w:t xml:space="preserve"> R.C. Chapter 4911, R.C. 4903.221 and Ohio Adm. Code 4901-1-11.</w:t>
      </w:r>
    </w:p>
  </w:footnote>
  <w:footnote w:id="3">
    <w:p w:rsidR="00590C40">
      <w:pPr>
        <w:pStyle w:val="FootnoteText"/>
      </w:pPr>
      <w:r>
        <w:rPr>
          <w:rStyle w:val="FootnoteReference"/>
        </w:rPr>
        <w:footnoteRef/>
      </w:r>
      <w:r>
        <w:t xml:space="preserve"> Ohio Power Company, d/b/a AEP Ohio, Ohio Edison Company, The Cleveland Electric Illuminating Company, The Toledo Edison Company, The Dayton Power and Light Company, and Duke Energy of Ohio, Inc. (collectively the “</w:t>
      </w:r>
      <w:r w:rsidR="001A162A">
        <w:t>electric u</w:t>
      </w:r>
      <w:r>
        <w:t>tilities”)</w:t>
      </w:r>
      <w:r w:rsidR="003E7284">
        <w:t>.</w:t>
      </w:r>
      <w:r>
        <w:t xml:space="preserve"> </w:t>
      </w:r>
    </w:p>
  </w:footnote>
  <w:footnote w:id="4">
    <w:p w:rsidR="00DB0ACF" w:rsidP="00F6315F">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FINAL MTI 19-0002-EL-UNC (00096352;1).DOCX</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2019-02-06T22:14:10Z</dcterms:created>
  <dcterms:modified xsi:type="dcterms:W3CDTF">2019-02-06T22:14:10Z</dcterms:modified>
</cp:coreProperties>
</file>