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B54C67" w:rsidRPr="009F1E79" w:rsidP="00B54C67" w14:paraId="0408B982" w14:textId="77777777">
      <w:pPr>
        <w:pStyle w:val="HTMLPreformatted"/>
        <w:jc w:val="center"/>
        <w:rPr>
          <w:rFonts w:ascii="Times New Roman" w:hAnsi="Times New Roman" w:cs="Times New Roman"/>
          <w:b/>
          <w:bCs/>
          <w:sz w:val="24"/>
          <w:szCs w:val="24"/>
        </w:rPr>
      </w:pPr>
      <w:r w:rsidRPr="009F1E79">
        <w:rPr>
          <w:rFonts w:ascii="Times New Roman" w:hAnsi="Times New Roman" w:cs="Times New Roman"/>
          <w:b/>
          <w:bCs/>
          <w:sz w:val="24"/>
          <w:szCs w:val="24"/>
        </w:rPr>
        <w:t>BEFORE</w:t>
      </w:r>
    </w:p>
    <w:p w:rsidR="00B54C67" w:rsidRPr="009F1E79" w:rsidP="00B54C67" w14:paraId="5DC16786" w14:textId="77777777">
      <w:pPr>
        <w:pStyle w:val="HTMLPreformatted"/>
        <w:jc w:val="center"/>
        <w:rPr>
          <w:rFonts w:ascii="Times New Roman" w:hAnsi="Times New Roman" w:cs="Times New Roman"/>
          <w:sz w:val="24"/>
          <w:szCs w:val="24"/>
        </w:rPr>
      </w:pPr>
      <w:r w:rsidRPr="009F1E79">
        <w:rPr>
          <w:rFonts w:ascii="Times New Roman" w:hAnsi="Times New Roman" w:cs="Times New Roman"/>
          <w:b/>
          <w:bCs/>
          <w:sz w:val="24"/>
          <w:szCs w:val="24"/>
        </w:rPr>
        <w:t>THE PUBLIC UTILITIES COMMISSION OF OHIO</w:t>
      </w:r>
    </w:p>
    <w:p w:rsidR="00B54C67" w:rsidRPr="009F1E79" w:rsidP="00B54C67" w14:paraId="5FAD5B77"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244B8E75" w14:textId="77777777" w:rsidTr="00B44BC3">
        <w:tblPrEx>
          <w:tblW w:w="8838" w:type="dxa"/>
          <w:tblLook w:val="01E0"/>
        </w:tblPrEx>
        <w:trPr>
          <w:trHeight w:val="807"/>
        </w:trPr>
        <w:tc>
          <w:tcPr>
            <w:tcW w:w="4230" w:type="dxa"/>
            <w:shd w:val="clear" w:color="auto" w:fill="auto"/>
          </w:tcPr>
          <w:p w:rsidR="00B54C67" w:rsidRPr="009F1E79" w:rsidP="00E2251E" w14:paraId="189AD1A1"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In the Matter of the Application of Campbell Soup Supply Company L.L.C. for the Approval of a Reasonable Arrangement for its Napoleon, Ohio Plant.</w:t>
            </w:r>
          </w:p>
        </w:tc>
        <w:tc>
          <w:tcPr>
            <w:tcW w:w="630" w:type="dxa"/>
            <w:shd w:val="clear" w:color="auto" w:fill="auto"/>
          </w:tcPr>
          <w:p w:rsidR="00B54C67" w:rsidRPr="009F1E79" w:rsidP="00E2251E" w14:paraId="0668C876"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B54C67" w:rsidRPr="009F1E79" w:rsidP="00E2251E" w14:paraId="7CDF0877"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B54C67" w:rsidRPr="009F1E79" w:rsidP="00E2251E" w14:paraId="1354C6E0"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B54C67" w:rsidRPr="009F1E79" w:rsidP="00E2251E" w14:paraId="37889704"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9D2168" w:rsidRPr="009F1E79" w:rsidP="00E2251E" w14:paraId="365E4CC7" w14:textId="0E1648D3">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tc>
        <w:tc>
          <w:tcPr>
            <w:tcW w:w="3978" w:type="dxa"/>
            <w:shd w:val="clear" w:color="auto" w:fill="auto"/>
          </w:tcPr>
          <w:p w:rsidR="00B54C67" w:rsidRPr="009F1E79" w:rsidP="00E2251E" w14:paraId="5AB43A1E" w14:textId="77777777">
            <w:pPr>
              <w:pStyle w:val="HTMLPreformatted"/>
              <w:rPr>
                <w:rFonts w:ascii="Times New Roman" w:hAnsi="Times New Roman" w:cs="Times New Roman"/>
                <w:sz w:val="24"/>
                <w:szCs w:val="24"/>
              </w:rPr>
            </w:pPr>
          </w:p>
          <w:p w:rsidR="00B54C67" w:rsidRPr="009F1E79" w:rsidP="00E2251E" w14:paraId="4F268A35"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Case No. 21-1047-EL-AEC</w:t>
            </w:r>
          </w:p>
          <w:p w:rsidR="00B54C67" w:rsidRPr="009F1E79" w:rsidP="00E2251E" w14:paraId="1490F005" w14:textId="77777777">
            <w:pPr>
              <w:pStyle w:val="HTMLPreformatted"/>
              <w:rPr>
                <w:rFonts w:ascii="Times New Roman" w:hAnsi="Times New Roman" w:cs="Times New Roman"/>
                <w:sz w:val="24"/>
                <w:szCs w:val="24"/>
              </w:rPr>
            </w:pPr>
          </w:p>
          <w:p w:rsidR="00B54C67" w:rsidRPr="009F1E79" w:rsidP="00E2251E" w14:paraId="17549E5A" w14:textId="77777777">
            <w:pPr>
              <w:pStyle w:val="HTMLPreformatted"/>
              <w:rPr>
                <w:rFonts w:ascii="Times New Roman" w:hAnsi="Times New Roman" w:cs="Times New Roman"/>
                <w:sz w:val="24"/>
                <w:szCs w:val="24"/>
              </w:rPr>
            </w:pPr>
          </w:p>
        </w:tc>
      </w:tr>
    </w:tbl>
    <w:p w:rsidR="00B54C67" w:rsidRPr="009F1E79" w:rsidP="00B54C67" w14:paraId="01A4D4FB" w14:textId="77777777">
      <w:pPr>
        <w:pStyle w:val="HTMLPreformatted"/>
        <w:rPr>
          <w:rFonts w:ascii="Times New Roman" w:hAnsi="Times New Roman" w:cs="Times New Roman"/>
          <w:sz w:val="24"/>
          <w:szCs w:val="24"/>
        </w:rPr>
      </w:pPr>
    </w:p>
    <w:p w:rsidR="00B54C67" w:rsidRPr="009F1E79" w:rsidP="00B54C67" w14:paraId="2B8B56AF" w14:textId="77777777">
      <w:pPr>
        <w:pStyle w:val="HTMLPreformatted"/>
        <w:pBdr>
          <w:top w:val="single" w:sz="12" w:space="1" w:color="auto"/>
        </w:pBdr>
        <w:rPr>
          <w:rFonts w:ascii="Times New Roman" w:hAnsi="Times New Roman" w:cs="Times New Roman"/>
          <w:sz w:val="24"/>
          <w:szCs w:val="24"/>
        </w:rPr>
      </w:pPr>
    </w:p>
    <w:p w:rsidR="00B54C67" w:rsidRPr="009F1E79" w:rsidP="00B54C67" w14:paraId="1B894594" w14:textId="77777777">
      <w:pPr>
        <w:jc w:val="center"/>
        <w:rPr>
          <w:b/>
          <w:bCs/>
          <w:szCs w:val="24"/>
        </w:rPr>
      </w:pPr>
      <w:bookmarkStart w:id="0" w:name="_Hlk96608389"/>
      <w:r w:rsidRPr="009F1E79">
        <w:rPr>
          <w:b/>
          <w:bCs/>
          <w:szCs w:val="24"/>
        </w:rPr>
        <w:t>REPLY</w:t>
      </w:r>
      <w:r w:rsidRPr="009F1E79">
        <w:rPr>
          <w:b/>
          <w:bCs/>
          <w:szCs w:val="24"/>
        </w:rPr>
        <w:t xml:space="preserve"> BRIEF </w:t>
      </w:r>
      <w:r w:rsidRPr="009F1E79">
        <w:rPr>
          <w:b/>
          <w:bCs/>
          <w:szCs w:val="24"/>
        </w:rPr>
        <w:t>FOR CONSUMER PROTECTION</w:t>
      </w:r>
    </w:p>
    <w:p w:rsidR="00B54C67" w:rsidRPr="009F1E79" w:rsidP="00B54C67" w14:paraId="7C3F011C" w14:textId="77777777">
      <w:pPr>
        <w:jc w:val="center"/>
        <w:rPr>
          <w:b/>
          <w:bCs/>
          <w:szCs w:val="24"/>
        </w:rPr>
      </w:pPr>
      <w:r w:rsidRPr="009F1E79">
        <w:rPr>
          <w:b/>
          <w:bCs/>
          <w:szCs w:val="24"/>
        </w:rPr>
        <w:t>BY</w:t>
      </w:r>
    </w:p>
    <w:p w:rsidR="00B54C67" w:rsidRPr="009F1E79" w:rsidP="00B54C67" w14:paraId="181A9C87" w14:textId="77777777">
      <w:pPr>
        <w:jc w:val="center"/>
        <w:rPr>
          <w:b/>
          <w:bCs/>
          <w:szCs w:val="24"/>
        </w:rPr>
      </w:pPr>
      <w:r w:rsidRPr="009F1E79">
        <w:rPr>
          <w:b/>
          <w:bCs/>
          <w:szCs w:val="24"/>
        </w:rPr>
        <w:t>OFFICE OF THE OHIO CONSUMERS’ COUNSEL</w:t>
      </w:r>
    </w:p>
    <w:bookmarkEnd w:id="0"/>
    <w:p w:rsidR="00B54C67" w:rsidRPr="009F1E79" w:rsidP="00B54C67" w14:paraId="4FF3A0F6" w14:textId="77777777">
      <w:pPr>
        <w:pBdr>
          <w:bottom w:val="single" w:sz="12" w:space="1" w:color="auto"/>
        </w:pBdr>
        <w:tabs>
          <w:tab w:val="left" w:pos="4320"/>
        </w:tabs>
        <w:rPr>
          <w:szCs w:val="24"/>
        </w:rPr>
      </w:pPr>
    </w:p>
    <w:p w:rsidR="009F1E79" w:rsidP="008A103C" w14:paraId="23F9F6B1" w14:textId="77777777">
      <w:pPr>
        <w:pStyle w:val="Footer"/>
        <w:tabs>
          <w:tab w:val="clear" w:pos="4320"/>
          <w:tab w:val="clear" w:pos="8640"/>
        </w:tabs>
        <w:ind w:firstLine="3600"/>
        <w:rPr>
          <w:sz w:val="24"/>
          <w:szCs w:val="24"/>
        </w:rPr>
      </w:pPr>
    </w:p>
    <w:p w:rsidR="00B54C67" w:rsidRPr="009F1E79" w:rsidP="00B54C67" w14:paraId="630FA2E5" w14:textId="5CF0FBD5">
      <w:pPr>
        <w:pStyle w:val="Footer"/>
        <w:tabs>
          <w:tab w:val="clear" w:pos="4320"/>
          <w:tab w:val="clear" w:pos="8640"/>
        </w:tabs>
        <w:spacing w:before="240"/>
        <w:ind w:firstLine="3600"/>
        <w:rPr>
          <w:sz w:val="24"/>
          <w:szCs w:val="24"/>
        </w:rPr>
      </w:pPr>
      <w:r w:rsidRPr="009F1E79">
        <w:rPr>
          <w:sz w:val="24"/>
          <w:szCs w:val="24"/>
        </w:rPr>
        <w:t>Bruce Weston (0016973)</w:t>
      </w:r>
    </w:p>
    <w:p w:rsidR="00B54C67" w:rsidRPr="009F1E79" w:rsidP="00B54C67" w14:paraId="69E919A2" w14:textId="77777777">
      <w:pPr>
        <w:tabs>
          <w:tab w:val="left" w:pos="4320"/>
        </w:tabs>
        <w:ind w:firstLine="3600"/>
        <w:rPr>
          <w:szCs w:val="24"/>
        </w:rPr>
      </w:pPr>
      <w:r w:rsidRPr="009F1E79">
        <w:rPr>
          <w:szCs w:val="24"/>
        </w:rPr>
        <w:t>Ohio Consumers’ Counsel</w:t>
      </w:r>
    </w:p>
    <w:p w:rsidR="00B54C67" w:rsidRPr="009F1E79" w:rsidP="00B54C67" w14:paraId="2E895204" w14:textId="77777777">
      <w:pPr>
        <w:tabs>
          <w:tab w:val="left" w:pos="4320"/>
        </w:tabs>
        <w:ind w:firstLine="3600"/>
        <w:rPr>
          <w:szCs w:val="24"/>
        </w:rPr>
      </w:pPr>
    </w:p>
    <w:p w:rsidR="00B54C67" w:rsidRPr="009F1E79" w:rsidP="00B54C67" w14:paraId="651C2816" w14:textId="77777777">
      <w:pPr>
        <w:tabs>
          <w:tab w:val="left" w:pos="4320"/>
        </w:tabs>
        <w:ind w:firstLine="3600"/>
        <w:rPr>
          <w:szCs w:val="24"/>
        </w:rPr>
      </w:pPr>
      <w:r w:rsidRPr="009F1E79">
        <w:rPr>
          <w:szCs w:val="24"/>
        </w:rPr>
        <w:t>Maureen R. Willis (0020847)</w:t>
      </w:r>
    </w:p>
    <w:p w:rsidR="00B54C67" w:rsidRPr="009F1E79" w:rsidP="00B54C67" w14:paraId="043ABC85" w14:textId="77777777">
      <w:pPr>
        <w:tabs>
          <w:tab w:val="left" w:pos="4320"/>
        </w:tabs>
        <w:ind w:firstLine="3600"/>
        <w:rPr>
          <w:szCs w:val="24"/>
        </w:rPr>
      </w:pPr>
      <w:r w:rsidRPr="009F1E79">
        <w:rPr>
          <w:szCs w:val="24"/>
        </w:rPr>
        <w:t>Counsel of Record</w:t>
      </w:r>
    </w:p>
    <w:p w:rsidR="00B54C67" w:rsidRPr="009F1E79" w:rsidP="00B54C67" w14:paraId="5C5EFCB4" w14:textId="77777777">
      <w:pPr>
        <w:tabs>
          <w:tab w:val="left" w:pos="4320"/>
        </w:tabs>
        <w:ind w:firstLine="3600"/>
        <w:rPr>
          <w:szCs w:val="24"/>
        </w:rPr>
      </w:pPr>
      <w:r w:rsidRPr="009F1E79">
        <w:rPr>
          <w:szCs w:val="24"/>
        </w:rPr>
        <w:t>Amy Botschner O’Brien (0074423)</w:t>
      </w:r>
    </w:p>
    <w:p w:rsidR="00B54C67" w:rsidRPr="009F1E79" w:rsidP="00B54C67" w14:paraId="43115CAF" w14:textId="77777777">
      <w:pPr>
        <w:tabs>
          <w:tab w:val="left" w:pos="4320"/>
        </w:tabs>
        <w:ind w:firstLine="3600"/>
        <w:rPr>
          <w:szCs w:val="24"/>
        </w:rPr>
      </w:pPr>
      <w:r w:rsidRPr="009F1E79">
        <w:rPr>
          <w:szCs w:val="24"/>
        </w:rPr>
        <w:t>Assistant Consumers’ Counsel</w:t>
      </w:r>
    </w:p>
    <w:p w:rsidR="00171004" w:rsidRPr="009F1E79" w:rsidP="00760E5D" w14:paraId="0C1D7082" w14:textId="77777777">
      <w:pPr>
        <w:ind w:left="3600"/>
        <w:rPr>
          <w:szCs w:val="24"/>
        </w:rPr>
      </w:pPr>
    </w:p>
    <w:p w:rsidR="00B54C67" w:rsidRPr="009F1E79" w:rsidP="00760E5D" w14:paraId="6071D0EA" w14:textId="77777777">
      <w:pPr>
        <w:ind w:left="3600"/>
        <w:rPr>
          <w:b/>
          <w:bCs/>
          <w:szCs w:val="24"/>
        </w:rPr>
      </w:pPr>
      <w:r w:rsidRPr="009F1E79">
        <w:rPr>
          <w:b/>
          <w:bCs/>
          <w:szCs w:val="24"/>
        </w:rPr>
        <w:t>Office of the Ohio Consumers’ Counsel</w:t>
      </w:r>
    </w:p>
    <w:p w:rsidR="00B54C67" w:rsidRPr="009F1E79" w:rsidP="00760E5D" w14:paraId="096888DD" w14:textId="77777777">
      <w:pPr>
        <w:ind w:left="3600"/>
        <w:rPr>
          <w:bCs/>
          <w:szCs w:val="24"/>
        </w:rPr>
      </w:pPr>
      <w:r w:rsidRPr="009F1E79">
        <w:rPr>
          <w:bCs/>
          <w:szCs w:val="24"/>
        </w:rPr>
        <w:t>65 East State Street, Suite 700</w:t>
      </w:r>
    </w:p>
    <w:p w:rsidR="00B54C67" w:rsidRPr="009F1E79" w:rsidP="00760E5D" w14:paraId="0A573053" w14:textId="77777777">
      <w:pPr>
        <w:ind w:left="2880" w:firstLine="720"/>
        <w:rPr>
          <w:bCs/>
          <w:szCs w:val="24"/>
        </w:rPr>
      </w:pPr>
      <w:r w:rsidRPr="009F1E79">
        <w:rPr>
          <w:bCs/>
          <w:szCs w:val="24"/>
        </w:rPr>
        <w:t>Columbus, Ohio 43215</w:t>
      </w:r>
    </w:p>
    <w:p w:rsidR="00B54C67" w:rsidRPr="009F1E79" w:rsidP="00B54C67" w14:paraId="4DE58FCE" w14:textId="77777777">
      <w:pPr>
        <w:autoSpaceDE w:val="0"/>
        <w:autoSpaceDN w:val="0"/>
        <w:adjustRightInd w:val="0"/>
        <w:ind w:left="3600"/>
        <w:rPr>
          <w:szCs w:val="24"/>
        </w:rPr>
      </w:pPr>
      <w:r w:rsidRPr="009F1E79">
        <w:rPr>
          <w:szCs w:val="24"/>
        </w:rPr>
        <w:t>Telephone [Willis]: (614) 466-9567</w:t>
      </w:r>
    </w:p>
    <w:p w:rsidR="00B54C67" w:rsidRPr="009F1E79" w:rsidP="00B54C67" w14:paraId="7ACABFC1" w14:textId="77777777">
      <w:pPr>
        <w:autoSpaceDE w:val="0"/>
        <w:autoSpaceDN w:val="0"/>
        <w:adjustRightInd w:val="0"/>
        <w:ind w:left="3600"/>
        <w:rPr>
          <w:szCs w:val="24"/>
        </w:rPr>
      </w:pPr>
      <w:r w:rsidRPr="009F1E79">
        <w:rPr>
          <w:szCs w:val="24"/>
        </w:rPr>
        <w:t>Telephone [Botschner O’Brien]: (614) 466-9575</w:t>
      </w:r>
    </w:p>
    <w:p w:rsidR="00B54C67" w:rsidRPr="009F1E79" w:rsidP="00B54C67" w14:paraId="4F2B3ADC" w14:textId="66E7A7BB">
      <w:pPr>
        <w:ind w:firstLine="3600"/>
        <w:rPr>
          <w:szCs w:val="24"/>
        </w:rPr>
      </w:pPr>
      <w:hyperlink r:id="rId6" w:history="1">
        <w:r w:rsidRPr="009F1E79">
          <w:rPr>
            <w:rStyle w:val="Hyperlink"/>
            <w:szCs w:val="24"/>
          </w:rPr>
          <w:t>maureen.willis@occ.ohio.gov</w:t>
        </w:r>
      </w:hyperlink>
    </w:p>
    <w:p w:rsidR="00B54C67" w:rsidRPr="009F1E79" w:rsidP="00B54C67" w14:paraId="487DEB8E" w14:textId="32BB1C9C">
      <w:pPr>
        <w:ind w:firstLine="3600"/>
        <w:rPr>
          <w:szCs w:val="24"/>
        </w:rPr>
      </w:pPr>
      <w:hyperlink r:id="rId7" w:history="1">
        <w:r w:rsidRPr="009F1E79">
          <w:rPr>
            <w:rStyle w:val="Hyperlink"/>
            <w:szCs w:val="24"/>
          </w:rPr>
          <w:t>amy.botschner.obrien@occ.ohio.gov</w:t>
        </w:r>
      </w:hyperlink>
      <w:r w:rsidRPr="009F1E79">
        <w:rPr>
          <w:szCs w:val="24"/>
        </w:rPr>
        <w:t xml:space="preserve"> </w:t>
      </w:r>
    </w:p>
    <w:p w:rsidR="00B54C67" w:rsidRPr="009F1E79" w:rsidP="00174266" w14:paraId="21C27410" w14:textId="4E58C77B">
      <w:pPr>
        <w:ind w:left="3600" w:hanging="3600"/>
        <w:rPr>
          <w:szCs w:val="24"/>
        </w:rPr>
      </w:pPr>
      <w:r w:rsidRPr="009F1E79">
        <w:rPr>
          <w:szCs w:val="24"/>
        </w:rPr>
        <w:t xml:space="preserve">February </w:t>
      </w:r>
      <w:r w:rsidRPr="009F1E79" w:rsidR="00A54E18">
        <w:rPr>
          <w:szCs w:val="24"/>
        </w:rPr>
        <w:t>24</w:t>
      </w:r>
      <w:r w:rsidRPr="009F1E79">
        <w:rPr>
          <w:szCs w:val="24"/>
        </w:rPr>
        <w:t>, 2022</w:t>
      </w:r>
      <w:r w:rsidRPr="009F1E79" w:rsidR="00174266">
        <w:rPr>
          <w:szCs w:val="24"/>
        </w:rPr>
        <w:tab/>
      </w:r>
      <w:r w:rsidRPr="009F1E79">
        <w:rPr>
          <w:szCs w:val="24"/>
        </w:rPr>
        <w:t>(willing to accept service by email)</w:t>
      </w:r>
    </w:p>
    <w:p w:rsidR="00B54C67" w:rsidRPr="009F1E79" w14:paraId="3BEB5C9C" w14:textId="77777777">
      <w:pPr>
        <w:pStyle w:val="HTMLPreformatted"/>
        <w:jc w:val="center"/>
        <w:rPr>
          <w:rFonts w:ascii="Times New Roman" w:hAnsi="Times New Roman" w:cs="Times New Roman"/>
          <w:b/>
          <w:bCs/>
          <w:sz w:val="24"/>
          <w:szCs w:val="24"/>
        </w:rPr>
      </w:pPr>
    </w:p>
    <w:p w:rsidR="00B54C67" w:rsidRPr="009F1E79" w14:paraId="4F4C9B7F" w14:textId="77777777">
      <w:pPr>
        <w:pStyle w:val="HTMLPreformatted"/>
        <w:jc w:val="center"/>
        <w:rPr>
          <w:rFonts w:ascii="Times New Roman" w:hAnsi="Times New Roman" w:cs="Times New Roman"/>
          <w:b/>
          <w:bCs/>
          <w:sz w:val="24"/>
          <w:szCs w:val="24"/>
        </w:rPr>
      </w:pPr>
    </w:p>
    <w:p w:rsidR="00B54C67" w:rsidRPr="009F1E79" w14:paraId="48F63446" w14:textId="77777777">
      <w:pPr>
        <w:pStyle w:val="HTMLPreformatted"/>
        <w:jc w:val="center"/>
        <w:rPr>
          <w:rFonts w:ascii="Times New Roman" w:hAnsi="Times New Roman" w:cs="Times New Roman"/>
          <w:b/>
          <w:bCs/>
          <w:sz w:val="24"/>
          <w:szCs w:val="24"/>
        </w:rPr>
        <w:sectPr w:rsidSect="00B32048">
          <w:footerReference w:type="default" r:id="rId8"/>
          <w:pgSz w:w="12240" w:h="15840"/>
          <w:pgMar w:top="1440" w:right="1800" w:bottom="1440" w:left="1800" w:header="720" w:footer="720" w:gutter="0"/>
          <w:pgNumType w:start="1"/>
          <w:cols w:space="720"/>
          <w:titlePg/>
          <w:docGrid w:linePitch="326"/>
        </w:sectPr>
      </w:pPr>
    </w:p>
    <w:p w:rsidR="00B54C67" w:rsidRPr="009F1E79" w14:paraId="284032CE" w14:textId="77777777">
      <w:pPr>
        <w:pStyle w:val="HTMLPreformatted"/>
        <w:jc w:val="center"/>
        <w:rPr>
          <w:rFonts w:ascii="Times New Roman" w:hAnsi="Times New Roman" w:cs="Times New Roman"/>
          <w:b/>
          <w:bCs/>
          <w:sz w:val="24"/>
          <w:szCs w:val="24"/>
          <w:u w:val="single"/>
        </w:rPr>
      </w:pPr>
      <w:r w:rsidRPr="009F1E79">
        <w:rPr>
          <w:rFonts w:ascii="Times New Roman" w:hAnsi="Times New Roman" w:cs="Times New Roman"/>
          <w:b/>
          <w:bCs/>
          <w:sz w:val="24"/>
          <w:szCs w:val="24"/>
          <w:u w:val="single"/>
        </w:rPr>
        <w:t>TABLE OF CONTENTS</w:t>
      </w:r>
    </w:p>
    <w:p w:rsidR="00B54C67" w:rsidRPr="009F1E79" w14:paraId="41E9C65A" w14:textId="77777777">
      <w:pPr>
        <w:pStyle w:val="HTMLPreformatted"/>
        <w:jc w:val="center"/>
        <w:rPr>
          <w:rFonts w:ascii="Times New Roman" w:hAnsi="Times New Roman" w:cs="Times New Roman"/>
          <w:b/>
          <w:bCs/>
          <w:sz w:val="24"/>
          <w:szCs w:val="24"/>
        </w:rPr>
      </w:pPr>
    </w:p>
    <w:p w:rsidR="00B54C67" w:rsidRPr="009F1E79" w:rsidP="00B54C67" w14:paraId="406B4968" w14:textId="2126EA0F">
      <w:pPr>
        <w:pStyle w:val="HTMLPreformatted"/>
        <w:jc w:val="right"/>
        <w:rPr>
          <w:rFonts w:ascii="Times New Roman" w:hAnsi="Times New Roman" w:cs="Times New Roman"/>
          <w:b/>
          <w:bCs/>
          <w:sz w:val="24"/>
          <w:szCs w:val="24"/>
        </w:rPr>
      </w:pPr>
      <w:r w:rsidRPr="009F1E79">
        <w:rPr>
          <w:rFonts w:ascii="Times New Roman" w:hAnsi="Times New Roman" w:cs="Times New Roman"/>
          <w:b/>
          <w:bCs/>
          <w:sz w:val="24"/>
          <w:szCs w:val="24"/>
        </w:rPr>
        <w:t>PAGE</w:t>
      </w:r>
    </w:p>
    <w:p w:rsidR="00174266" w:rsidRPr="009F1E79" w:rsidP="00B54C67" w14:paraId="6CEE16F1" w14:textId="77777777">
      <w:pPr>
        <w:pStyle w:val="HTMLPreformatted"/>
        <w:jc w:val="right"/>
        <w:rPr>
          <w:rFonts w:ascii="Times New Roman" w:hAnsi="Times New Roman" w:cs="Times New Roman"/>
          <w:b/>
          <w:bCs/>
          <w:sz w:val="24"/>
          <w:szCs w:val="24"/>
        </w:rPr>
      </w:pPr>
    </w:p>
    <w:p w:rsidR="001D05FB" w14:paraId="65421891" w14:textId="7E875B50">
      <w:pPr>
        <w:pStyle w:val="TOC1"/>
        <w:rPr>
          <w:rFonts w:asciiTheme="minorHAnsi" w:eastAsiaTheme="minorEastAsia" w:hAnsiTheme="minorHAnsi" w:cstheme="minorBidi"/>
          <w:noProof/>
          <w:sz w:val="22"/>
          <w:szCs w:val="22"/>
        </w:rPr>
      </w:pPr>
      <w:r w:rsidRPr="009F1E79">
        <w:rPr>
          <w:b/>
          <w:bCs/>
          <w:szCs w:val="24"/>
        </w:rPr>
        <w:fldChar w:fldCharType="begin"/>
      </w:r>
      <w:r w:rsidRPr="009F1E79">
        <w:rPr>
          <w:b/>
          <w:bCs/>
          <w:szCs w:val="24"/>
        </w:rPr>
        <w:instrText xml:space="preserve"> TOC \o "1-3" \h \z \u </w:instrText>
      </w:r>
      <w:r w:rsidRPr="009F1E79">
        <w:rPr>
          <w:b/>
          <w:bCs/>
          <w:szCs w:val="24"/>
        </w:rPr>
        <w:fldChar w:fldCharType="separate"/>
      </w:r>
      <w:hyperlink w:anchor="_Toc96609162" w:history="1">
        <w:r w:rsidRPr="00C268E7">
          <w:rPr>
            <w:rStyle w:val="Hyperlink"/>
            <w:noProof/>
          </w:rPr>
          <w:t>I.</w:t>
        </w:r>
        <w:r>
          <w:rPr>
            <w:rFonts w:asciiTheme="minorHAnsi" w:eastAsiaTheme="minorEastAsia" w:hAnsiTheme="minorHAnsi" w:cstheme="minorBidi"/>
            <w:noProof/>
            <w:sz w:val="22"/>
            <w:szCs w:val="22"/>
          </w:rPr>
          <w:tab/>
        </w:r>
        <w:r w:rsidRPr="00C268E7">
          <w:rPr>
            <w:rStyle w:val="Hyperlink"/>
            <w:noProof/>
          </w:rPr>
          <w:t>INTRODUCTION</w:t>
        </w:r>
        <w:r>
          <w:rPr>
            <w:noProof/>
            <w:webHidden/>
          </w:rPr>
          <w:tab/>
        </w:r>
        <w:r>
          <w:rPr>
            <w:noProof/>
            <w:webHidden/>
          </w:rPr>
          <w:fldChar w:fldCharType="begin"/>
        </w:r>
        <w:r>
          <w:rPr>
            <w:noProof/>
            <w:webHidden/>
          </w:rPr>
          <w:instrText xml:space="preserve"> PAGEREF _Toc96609162 \h </w:instrText>
        </w:r>
        <w:r>
          <w:rPr>
            <w:noProof/>
            <w:webHidden/>
          </w:rPr>
          <w:fldChar w:fldCharType="separate"/>
        </w:r>
        <w:r>
          <w:rPr>
            <w:noProof/>
            <w:webHidden/>
          </w:rPr>
          <w:t>1</w:t>
        </w:r>
        <w:r>
          <w:rPr>
            <w:noProof/>
            <w:webHidden/>
          </w:rPr>
          <w:fldChar w:fldCharType="end"/>
        </w:r>
      </w:hyperlink>
    </w:p>
    <w:p w:rsidR="001D05FB" w14:paraId="33B54E9D" w14:textId="5F760C42">
      <w:pPr>
        <w:pStyle w:val="TOC1"/>
        <w:rPr>
          <w:rFonts w:asciiTheme="minorHAnsi" w:eastAsiaTheme="minorEastAsia" w:hAnsiTheme="minorHAnsi" w:cstheme="minorBidi"/>
          <w:noProof/>
          <w:sz w:val="22"/>
          <w:szCs w:val="22"/>
        </w:rPr>
      </w:pPr>
      <w:hyperlink w:anchor="_Toc96609163" w:history="1">
        <w:r w:rsidRPr="00C268E7">
          <w:rPr>
            <w:rStyle w:val="Hyperlink"/>
            <w:noProof/>
          </w:rPr>
          <w:t>II.</w:t>
        </w:r>
        <w:r>
          <w:rPr>
            <w:rFonts w:asciiTheme="minorHAnsi" w:eastAsiaTheme="minorEastAsia" w:hAnsiTheme="minorHAnsi" w:cstheme="minorBidi"/>
            <w:noProof/>
            <w:sz w:val="22"/>
            <w:szCs w:val="22"/>
          </w:rPr>
          <w:tab/>
        </w:r>
        <w:r w:rsidRPr="00C268E7">
          <w:rPr>
            <w:rStyle w:val="Hyperlink"/>
            <w:noProof/>
          </w:rPr>
          <w:t xml:space="preserve">THE PUCO SHOULD REJECT THE PROPOSED SETTLEMENT </w:t>
        </w:r>
        <w:r>
          <w:rPr>
            <w:rStyle w:val="Hyperlink"/>
            <w:noProof/>
          </w:rPr>
          <w:br/>
        </w:r>
        <w:r w:rsidRPr="00C268E7">
          <w:rPr>
            <w:rStyle w:val="Hyperlink"/>
            <w:noProof/>
          </w:rPr>
          <w:t xml:space="preserve">BECAUSE IT DOES NOT MEET THE THREE-PRONG TEST AND </w:t>
        </w:r>
        <w:r>
          <w:rPr>
            <w:rStyle w:val="Hyperlink"/>
            <w:noProof/>
          </w:rPr>
          <w:br/>
        </w:r>
        <w:r w:rsidRPr="00C268E7">
          <w:rPr>
            <w:rStyle w:val="Hyperlink"/>
            <w:noProof/>
          </w:rPr>
          <w:t xml:space="preserve">IS CONTRARY TO THE PUCO’S OWN GUIDELINES FOR </w:t>
        </w:r>
        <w:r>
          <w:rPr>
            <w:rStyle w:val="Hyperlink"/>
            <w:noProof/>
          </w:rPr>
          <w:br/>
        </w:r>
        <w:r w:rsidRPr="00C268E7">
          <w:rPr>
            <w:rStyle w:val="Hyperlink"/>
            <w:noProof/>
          </w:rPr>
          <w:t>APPROVAL OF THE PILOT PROGRAM</w:t>
        </w:r>
        <w:r>
          <w:rPr>
            <w:noProof/>
            <w:webHidden/>
          </w:rPr>
          <w:tab/>
        </w:r>
        <w:r>
          <w:rPr>
            <w:noProof/>
            <w:webHidden/>
          </w:rPr>
          <w:fldChar w:fldCharType="begin"/>
        </w:r>
        <w:r>
          <w:rPr>
            <w:noProof/>
            <w:webHidden/>
          </w:rPr>
          <w:instrText xml:space="preserve"> PAGEREF _Toc96609163 \h </w:instrText>
        </w:r>
        <w:r>
          <w:rPr>
            <w:noProof/>
            <w:webHidden/>
          </w:rPr>
          <w:fldChar w:fldCharType="separate"/>
        </w:r>
        <w:r>
          <w:rPr>
            <w:noProof/>
            <w:webHidden/>
          </w:rPr>
          <w:t>4</w:t>
        </w:r>
        <w:r>
          <w:rPr>
            <w:noProof/>
            <w:webHidden/>
          </w:rPr>
          <w:fldChar w:fldCharType="end"/>
        </w:r>
      </w:hyperlink>
    </w:p>
    <w:p w:rsidR="001D05FB" w14:paraId="4D95B201" w14:textId="4EC133F7">
      <w:pPr>
        <w:pStyle w:val="TOC2"/>
        <w:tabs>
          <w:tab w:val="left" w:pos="1440"/>
        </w:tabs>
        <w:rPr>
          <w:rFonts w:asciiTheme="minorHAnsi" w:eastAsiaTheme="minorEastAsia" w:hAnsiTheme="minorHAnsi" w:cstheme="minorBidi"/>
          <w:noProof/>
          <w:sz w:val="22"/>
          <w:szCs w:val="22"/>
        </w:rPr>
      </w:pPr>
      <w:hyperlink w:anchor="_Toc96609164" w:history="1">
        <w:r w:rsidRPr="00C268E7">
          <w:rPr>
            <w:rStyle w:val="Hyperlink"/>
            <w:noProof/>
          </w:rPr>
          <w:t>A.</w:t>
        </w:r>
        <w:r>
          <w:rPr>
            <w:rFonts w:asciiTheme="minorHAnsi" w:eastAsiaTheme="minorEastAsia" w:hAnsiTheme="minorHAnsi" w:cstheme="minorBidi"/>
            <w:noProof/>
            <w:sz w:val="22"/>
            <w:szCs w:val="22"/>
          </w:rPr>
          <w:tab/>
        </w:r>
        <w:r w:rsidRPr="00C268E7">
          <w:rPr>
            <w:rStyle w:val="Hyperlink"/>
            <w:noProof/>
          </w:rPr>
          <w:t xml:space="preserve">The Applicant/PUCO Settlement does not benefit consumers </w:t>
        </w:r>
        <w:r>
          <w:rPr>
            <w:rStyle w:val="Hyperlink"/>
            <w:noProof/>
          </w:rPr>
          <w:br/>
        </w:r>
        <w:r w:rsidRPr="00C268E7">
          <w:rPr>
            <w:rStyle w:val="Hyperlink"/>
            <w:noProof/>
          </w:rPr>
          <w:t>or the public interest and should be rejected.</w:t>
        </w:r>
        <w:r>
          <w:rPr>
            <w:noProof/>
            <w:webHidden/>
          </w:rPr>
          <w:tab/>
        </w:r>
        <w:r>
          <w:rPr>
            <w:noProof/>
            <w:webHidden/>
          </w:rPr>
          <w:fldChar w:fldCharType="begin"/>
        </w:r>
        <w:r>
          <w:rPr>
            <w:noProof/>
            <w:webHidden/>
          </w:rPr>
          <w:instrText xml:space="preserve"> PAGEREF _Toc96609164 \h </w:instrText>
        </w:r>
        <w:r>
          <w:rPr>
            <w:noProof/>
            <w:webHidden/>
          </w:rPr>
          <w:fldChar w:fldCharType="separate"/>
        </w:r>
        <w:r>
          <w:rPr>
            <w:noProof/>
            <w:webHidden/>
          </w:rPr>
          <w:t>4</w:t>
        </w:r>
        <w:r>
          <w:rPr>
            <w:noProof/>
            <w:webHidden/>
          </w:rPr>
          <w:fldChar w:fldCharType="end"/>
        </w:r>
      </w:hyperlink>
    </w:p>
    <w:p w:rsidR="001D05FB" w14:paraId="02DAA975" w14:textId="64F36B76">
      <w:pPr>
        <w:pStyle w:val="TOC2"/>
        <w:tabs>
          <w:tab w:val="left" w:pos="1440"/>
        </w:tabs>
        <w:rPr>
          <w:rFonts w:asciiTheme="minorHAnsi" w:eastAsiaTheme="minorEastAsia" w:hAnsiTheme="minorHAnsi" w:cstheme="minorBidi"/>
          <w:noProof/>
          <w:sz w:val="22"/>
          <w:szCs w:val="22"/>
        </w:rPr>
      </w:pPr>
      <w:hyperlink w:anchor="_Toc96609165" w:history="1">
        <w:r w:rsidRPr="00C268E7">
          <w:rPr>
            <w:rStyle w:val="Hyperlink"/>
            <w:noProof/>
          </w:rPr>
          <w:t xml:space="preserve">B. </w:t>
        </w:r>
        <w:r>
          <w:rPr>
            <w:rFonts w:asciiTheme="minorHAnsi" w:eastAsiaTheme="minorEastAsia" w:hAnsiTheme="minorHAnsi" w:cstheme="minorBidi"/>
            <w:noProof/>
            <w:sz w:val="22"/>
            <w:szCs w:val="22"/>
          </w:rPr>
          <w:tab/>
        </w:r>
        <w:r w:rsidRPr="00C268E7">
          <w:rPr>
            <w:rStyle w:val="Hyperlink"/>
            <w:noProof/>
          </w:rPr>
          <w:t xml:space="preserve">The Applicant/PUCO Settlement violates regulatory principles </w:t>
        </w:r>
        <w:r>
          <w:rPr>
            <w:rStyle w:val="Hyperlink"/>
            <w:noProof/>
          </w:rPr>
          <w:br/>
        </w:r>
        <w:r w:rsidRPr="00C268E7">
          <w:rPr>
            <w:rStyle w:val="Hyperlink"/>
            <w:noProof/>
          </w:rPr>
          <w:t>and practices and should be rejected.</w:t>
        </w:r>
        <w:r>
          <w:rPr>
            <w:noProof/>
            <w:webHidden/>
          </w:rPr>
          <w:tab/>
        </w:r>
        <w:r>
          <w:rPr>
            <w:noProof/>
            <w:webHidden/>
          </w:rPr>
          <w:fldChar w:fldCharType="begin"/>
        </w:r>
        <w:r>
          <w:rPr>
            <w:noProof/>
            <w:webHidden/>
          </w:rPr>
          <w:instrText xml:space="preserve"> PAGEREF _Toc96609165 \h </w:instrText>
        </w:r>
        <w:r>
          <w:rPr>
            <w:noProof/>
            <w:webHidden/>
          </w:rPr>
          <w:fldChar w:fldCharType="separate"/>
        </w:r>
        <w:r>
          <w:rPr>
            <w:noProof/>
            <w:webHidden/>
          </w:rPr>
          <w:t>8</w:t>
        </w:r>
        <w:r>
          <w:rPr>
            <w:noProof/>
            <w:webHidden/>
          </w:rPr>
          <w:fldChar w:fldCharType="end"/>
        </w:r>
      </w:hyperlink>
    </w:p>
    <w:p w:rsidR="001D05FB" w14:paraId="19A39FDC" w14:textId="4E6A5B72">
      <w:pPr>
        <w:pStyle w:val="TOC2"/>
        <w:tabs>
          <w:tab w:val="left" w:pos="1440"/>
        </w:tabs>
        <w:rPr>
          <w:rFonts w:asciiTheme="minorHAnsi" w:eastAsiaTheme="minorEastAsia" w:hAnsiTheme="minorHAnsi" w:cstheme="minorBidi"/>
          <w:noProof/>
          <w:sz w:val="22"/>
          <w:szCs w:val="22"/>
        </w:rPr>
      </w:pPr>
      <w:hyperlink w:anchor="_Toc96609166" w:history="1">
        <w:r w:rsidRPr="00C268E7">
          <w:rPr>
            <w:rStyle w:val="Hyperlink"/>
            <w:noProof/>
          </w:rPr>
          <w:t>C.</w:t>
        </w:r>
        <w:r>
          <w:rPr>
            <w:rFonts w:asciiTheme="minorHAnsi" w:eastAsiaTheme="minorEastAsia" w:hAnsiTheme="minorHAnsi" w:cstheme="minorBidi"/>
            <w:noProof/>
            <w:sz w:val="22"/>
            <w:szCs w:val="22"/>
          </w:rPr>
          <w:tab/>
        </w:r>
        <w:r w:rsidRPr="00C268E7">
          <w:rPr>
            <w:rStyle w:val="Hyperlink"/>
            <w:noProof/>
          </w:rPr>
          <w:t xml:space="preserve">The PUCO should reject the Settlement because it lacks both </w:t>
        </w:r>
        <w:r>
          <w:rPr>
            <w:rStyle w:val="Hyperlink"/>
            <w:noProof/>
          </w:rPr>
          <w:br/>
        </w:r>
        <w:r w:rsidRPr="00C268E7">
          <w:rPr>
            <w:rStyle w:val="Hyperlink"/>
            <w:noProof/>
          </w:rPr>
          <w:t xml:space="preserve">diversity of those who signed it and serious bargaining among </w:t>
        </w:r>
        <w:r>
          <w:rPr>
            <w:rStyle w:val="Hyperlink"/>
            <w:noProof/>
          </w:rPr>
          <w:br/>
        </w:r>
        <w:r w:rsidRPr="00C268E7">
          <w:rPr>
            <w:rStyle w:val="Hyperlink"/>
            <w:noProof/>
          </w:rPr>
          <w:t>parties and is a misuse of the settlement standards.</w:t>
        </w:r>
        <w:r>
          <w:rPr>
            <w:noProof/>
            <w:webHidden/>
          </w:rPr>
          <w:tab/>
        </w:r>
        <w:r>
          <w:rPr>
            <w:noProof/>
            <w:webHidden/>
          </w:rPr>
          <w:fldChar w:fldCharType="begin"/>
        </w:r>
        <w:r>
          <w:rPr>
            <w:noProof/>
            <w:webHidden/>
          </w:rPr>
          <w:instrText xml:space="preserve"> PAGEREF _Toc96609166 \h </w:instrText>
        </w:r>
        <w:r>
          <w:rPr>
            <w:noProof/>
            <w:webHidden/>
          </w:rPr>
          <w:fldChar w:fldCharType="separate"/>
        </w:r>
        <w:r>
          <w:rPr>
            <w:noProof/>
            <w:webHidden/>
          </w:rPr>
          <w:t>10</w:t>
        </w:r>
        <w:r>
          <w:rPr>
            <w:noProof/>
            <w:webHidden/>
          </w:rPr>
          <w:fldChar w:fldCharType="end"/>
        </w:r>
      </w:hyperlink>
    </w:p>
    <w:p w:rsidR="001D05FB" w14:paraId="353870CC" w14:textId="073999F4">
      <w:pPr>
        <w:pStyle w:val="TOC1"/>
        <w:rPr>
          <w:rFonts w:asciiTheme="minorHAnsi" w:eastAsiaTheme="minorEastAsia" w:hAnsiTheme="minorHAnsi" w:cstheme="minorBidi"/>
          <w:noProof/>
          <w:sz w:val="22"/>
          <w:szCs w:val="22"/>
        </w:rPr>
      </w:pPr>
      <w:hyperlink w:anchor="_Toc96609167" w:history="1">
        <w:r w:rsidRPr="00C268E7">
          <w:rPr>
            <w:rStyle w:val="Hyperlink"/>
            <w:noProof/>
          </w:rPr>
          <w:t xml:space="preserve">III. </w:t>
        </w:r>
        <w:r>
          <w:rPr>
            <w:rFonts w:asciiTheme="minorHAnsi" w:eastAsiaTheme="minorEastAsia" w:hAnsiTheme="minorHAnsi" w:cstheme="minorBidi"/>
            <w:noProof/>
            <w:sz w:val="22"/>
            <w:szCs w:val="22"/>
          </w:rPr>
          <w:tab/>
        </w:r>
        <w:r w:rsidRPr="00C268E7">
          <w:rPr>
            <w:rStyle w:val="Hyperlink"/>
            <w:noProof/>
          </w:rPr>
          <w:t>CONCLUSION</w:t>
        </w:r>
        <w:r>
          <w:rPr>
            <w:noProof/>
            <w:webHidden/>
          </w:rPr>
          <w:tab/>
        </w:r>
        <w:r>
          <w:rPr>
            <w:noProof/>
            <w:webHidden/>
          </w:rPr>
          <w:fldChar w:fldCharType="begin"/>
        </w:r>
        <w:r>
          <w:rPr>
            <w:noProof/>
            <w:webHidden/>
          </w:rPr>
          <w:instrText xml:space="preserve"> PAGEREF _Toc96609167 \h </w:instrText>
        </w:r>
        <w:r>
          <w:rPr>
            <w:noProof/>
            <w:webHidden/>
          </w:rPr>
          <w:fldChar w:fldCharType="separate"/>
        </w:r>
        <w:r>
          <w:rPr>
            <w:noProof/>
            <w:webHidden/>
          </w:rPr>
          <w:t>11</w:t>
        </w:r>
        <w:r>
          <w:rPr>
            <w:noProof/>
            <w:webHidden/>
          </w:rPr>
          <w:fldChar w:fldCharType="end"/>
        </w:r>
      </w:hyperlink>
    </w:p>
    <w:p w:rsidR="00B54C67" w:rsidRPr="009F1E79" w:rsidP="00B54C67" w14:paraId="1E585542" w14:textId="514C2397">
      <w:pPr>
        <w:pStyle w:val="HTMLPreformatted"/>
        <w:jc w:val="right"/>
        <w:rPr>
          <w:rFonts w:ascii="Times New Roman" w:hAnsi="Times New Roman" w:cs="Times New Roman"/>
          <w:b/>
          <w:bCs/>
          <w:sz w:val="24"/>
          <w:szCs w:val="24"/>
        </w:rPr>
      </w:pPr>
      <w:r w:rsidRPr="009F1E79">
        <w:rPr>
          <w:rFonts w:ascii="Times New Roman" w:hAnsi="Times New Roman" w:cs="Times New Roman"/>
          <w:b/>
          <w:bCs/>
          <w:sz w:val="24"/>
          <w:szCs w:val="24"/>
        </w:rPr>
        <w:fldChar w:fldCharType="end"/>
      </w:r>
    </w:p>
    <w:p w:rsidR="00B54C67" w:rsidP="00B54C67" w14:paraId="658D8DD7" w14:textId="77777777">
      <w:pPr>
        <w:pStyle w:val="HTMLPreformatted"/>
        <w:jc w:val="right"/>
        <w:rPr>
          <w:rFonts w:ascii="Times New Roman" w:hAnsi="Times New Roman" w:cs="Times New Roman"/>
          <w:b/>
          <w:bCs/>
          <w:sz w:val="24"/>
          <w:szCs w:val="24"/>
        </w:rPr>
      </w:pPr>
    </w:p>
    <w:p w:rsidR="001D05FB" w:rsidRPr="001D05FB" w:rsidP="001D05FB" w14:paraId="2E1CE0A6" w14:textId="77777777"/>
    <w:p w:rsidR="001D05FB" w:rsidP="001D05FB" w14:paraId="368319B8" w14:textId="6A1D59BF">
      <w:pPr>
        <w:tabs>
          <w:tab w:val="left" w:pos="7730"/>
        </w:tabs>
        <w:rPr>
          <w:rFonts w:eastAsia="Courier New"/>
          <w:b/>
          <w:bCs/>
          <w:szCs w:val="24"/>
        </w:rPr>
      </w:pPr>
      <w:r>
        <w:rPr>
          <w:rFonts w:eastAsia="Courier New"/>
          <w:b/>
          <w:bCs/>
          <w:szCs w:val="24"/>
        </w:rPr>
        <w:tab/>
      </w:r>
    </w:p>
    <w:p w:rsidR="001D05FB" w:rsidRPr="001D05FB" w:rsidP="001D05FB" w14:paraId="3DCB8EC8" w14:textId="6FD21931">
      <w:pPr>
        <w:tabs>
          <w:tab w:val="left" w:pos="7730"/>
        </w:tabs>
        <w:sectPr w:rsidSect="00B54C67">
          <w:footerReference w:type="first" r:id="rId9"/>
          <w:pgSz w:w="12240" w:h="15840"/>
          <w:pgMar w:top="1440" w:right="1800" w:bottom="1440" w:left="1800" w:header="720" w:footer="720" w:gutter="0"/>
          <w:pgNumType w:fmt="lowerRoman" w:start="1"/>
          <w:cols w:space="720"/>
          <w:titlePg/>
          <w:docGrid w:linePitch="326"/>
        </w:sectPr>
      </w:pPr>
      <w:r>
        <w:tab/>
      </w:r>
    </w:p>
    <w:p w:rsidR="00A044B5" w:rsidRPr="009F1E79" w14:paraId="45316546" w14:textId="77777777">
      <w:pPr>
        <w:pStyle w:val="HTMLPreformatted"/>
        <w:jc w:val="center"/>
        <w:rPr>
          <w:rFonts w:ascii="Times New Roman" w:hAnsi="Times New Roman" w:cs="Times New Roman"/>
          <w:b/>
          <w:bCs/>
          <w:sz w:val="24"/>
          <w:szCs w:val="24"/>
        </w:rPr>
      </w:pPr>
      <w:r w:rsidRPr="009F1E79">
        <w:rPr>
          <w:rFonts w:ascii="Times New Roman" w:hAnsi="Times New Roman" w:cs="Times New Roman"/>
          <w:b/>
          <w:bCs/>
          <w:sz w:val="24"/>
          <w:szCs w:val="24"/>
        </w:rPr>
        <w:t>BEFORE</w:t>
      </w:r>
    </w:p>
    <w:p w:rsidR="00A044B5" w:rsidRPr="009F1E79" w14:paraId="1307075F" w14:textId="77777777">
      <w:pPr>
        <w:pStyle w:val="HTMLPreformatted"/>
        <w:jc w:val="center"/>
        <w:rPr>
          <w:rFonts w:ascii="Times New Roman" w:hAnsi="Times New Roman" w:cs="Times New Roman"/>
          <w:sz w:val="24"/>
          <w:szCs w:val="24"/>
        </w:rPr>
      </w:pPr>
      <w:r w:rsidRPr="009F1E79">
        <w:rPr>
          <w:rFonts w:ascii="Times New Roman" w:hAnsi="Times New Roman" w:cs="Times New Roman"/>
          <w:b/>
          <w:bCs/>
          <w:sz w:val="24"/>
          <w:szCs w:val="24"/>
        </w:rPr>
        <w:t>THE PUBLIC UTILITIES COMMISSION OF OHIO</w:t>
      </w:r>
    </w:p>
    <w:p w:rsidR="00A044B5" w:rsidRPr="009F1E79" w14:paraId="0FB2924B"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3834C442" w14:textId="77777777" w:rsidTr="00B01DBE">
        <w:tblPrEx>
          <w:tblW w:w="8838" w:type="dxa"/>
          <w:tblLook w:val="01E0"/>
        </w:tblPrEx>
        <w:trPr>
          <w:trHeight w:val="807"/>
        </w:trPr>
        <w:tc>
          <w:tcPr>
            <w:tcW w:w="4230" w:type="dxa"/>
            <w:shd w:val="clear" w:color="auto" w:fill="auto"/>
          </w:tcPr>
          <w:p w:rsidR="00A044B5" w:rsidRPr="009F1E79" w:rsidP="006A2F84" w14:paraId="50A3055C"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In the Matter of</w:t>
            </w:r>
            <w:r w:rsidRPr="009F1E79" w:rsidR="006A2F84">
              <w:rPr>
                <w:rFonts w:ascii="Times New Roman" w:hAnsi="Times New Roman" w:cs="Times New Roman"/>
                <w:sz w:val="24"/>
                <w:szCs w:val="24"/>
              </w:rPr>
              <w:t xml:space="preserve"> the Application of Campbell Soup Supply Company L.L.C. for the Approval of a Reasonable Arrangement for its Napoleon, Ohio Plant</w:t>
            </w:r>
            <w:r w:rsidRPr="009F1E79" w:rsidR="00317043">
              <w:rPr>
                <w:rFonts w:ascii="Times New Roman" w:hAnsi="Times New Roman" w:cs="Times New Roman"/>
                <w:sz w:val="24"/>
                <w:szCs w:val="24"/>
              </w:rPr>
              <w:t>.</w:t>
            </w:r>
          </w:p>
        </w:tc>
        <w:tc>
          <w:tcPr>
            <w:tcW w:w="630" w:type="dxa"/>
            <w:shd w:val="clear" w:color="auto" w:fill="auto"/>
          </w:tcPr>
          <w:p w:rsidR="00A044B5" w:rsidRPr="009F1E79" w14:paraId="19118A84"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A044B5" w:rsidRPr="009F1E79" w14:paraId="50FBB99A"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A044B5" w:rsidRPr="009F1E79" w14:paraId="640C2601"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A044B5" w:rsidRPr="009F1E79" w14:paraId="27FC64D2"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p w:rsidR="009D2168" w:rsidRPr="009F1E79" w14:paraId="411AE521" w14:textId="18B4A0E3">
            <w:pPr>
              <w:pStyle w:val="HTMLPreformatted"/>
              <w:rPr>
                <w:rFonts w:ascii="Times New Roman" w:hAnsi="Times New Roman" w:cs="Times New Roman"/>
                <w:sz w:val="24"/>
                <w:szCs w:val="24"/>
              </w:rPr>
            </w:pPr>
            <w:r w:rsidRPr="009F1E79">
              <w:rPr>
                <w:rFonts w:ascii="Times New Roman" w:hAnsi="Times New Roman" w:cs="Times New Roman"/>
                <w:sz w:val="24"/>
                <w:szCs w:val="24"/>
              </w:rPr>
              <w:t>)</w:t>
            </w:r>
          </w:p>
        </w:tc>
        <w:tc>
          <w:tcPr>
            <w:tcW w:w="3978" w:type="dxa"/>
            <w:shd w:val="clear" w:color="auto" w:fill="auto"/>
          </w:tcPr>
          <w:p w:rsidR="00A044B5" w:rsidRPr="009F1E79" w14:paraId="3FD50AFD" w14:textId="77777777">
            <w:pPr>
              <w:pStyle w:val="HTMLPreformatted"/>
              <w:rPr>
                <w:rFonts w:ascii="Times New Roman" w:hAnsi="Times New Roman" w:cs="Times New Roman"/>
                <w:sz w:val="24"/>
                <w:szCs w:val="24"/>
              </w:rPr>
            </w:pPr>
          </w:p>
          <w:p w:rsidR="00A044B5" w:rsidRPr="009F1E79" w14:paraId="6B136A3E" w14:textId="77777777">
            <w:pPr>
              <w:pStyle w:val="HTMLPreformatted"/>
              <w:rPr>
                <w:rFonts w:ascii="Times New Roman" w:hAnsi="Times New Roman" w:cs="Times New Roman"/>
                <w:sz w:val="24"/>
                <w:szCs w:val="24"/>
              </w:rPr>
            </w:pPr>
            <w:r w:rsidRPr="009F1E79">
              <w:rPr>
                <w:rFonts w:ascii="Times New Roman" w:hAnsi="Times New Roman" w:cs="Times New Roman"/>
                <w:sz w:val="24"/>
                <w:szCs w:val="24"/>
              </w:rPr>
              <w:t xml:space="preserve">Case No. </w:t>
            </w:r>
            <w:r w:rsidRPr="009F1E79" w:rsidR="006A2F84">
              <w:rPr>
                <w:rFonts w:ascii="Times New Roman" w:hAnsi="Times New Roman" w:cs="Times New Roman"/>
                <w:sz w:val="24"/>
                <w:szCs w:val="24"/>
              </w:rPr>
              <w:t>21-1047-EL-AEC</w:t>
            </w:r>
          </w:p>
          <w:p w:rsidR="00A044B5" w:rsidRPr="009F1E79" w14:paraId="62DFC0A9" w14:textId="77777777">
            <w:pPr>
              <w:pStyle w:val="HTMLPreformatted"/>
              <w:rPr>
                <w:rFonts w:ascii="Times New Roman" w:hAnsi="Times New Roman" w:cs="Times New Roman"/>
                <w:sz w:val="24"/>
                <w:szCs w:val="24"/>
              </w:rPr>
            </w:pPr>
          </w:p>
          <w:p w:rsidR="00A044B5" w:rsidRPr="009F1E79" w14:paraId="3CEF0237" w14:textId="77777777">
            <w:pPr>
              <w:pStyle w:val="HTMLPreformatted"/>
              <w:rPr>
                <w:rFonts w:ascii="Times New Roman" w:hAnsi="Times New Roman" w:cs="Times New Roman"/>
                <w:sz w:val="24"/>
                <w:szCs w:val="24"/>
              </w:rPr>
            </w:pPr>
          </w:p>
        </w:tc>
      </w:tr>
    </w:tbl>
    <w:p w:rsidR="00A044B5" w:rsidRPr="009F1E79" w14:paraId="5B59EE5E" w14:textId="77777777">
      <w:pPr>
        <w:pStyle w:val="HTMLPreformatted"/>
        <w:rPr>
          <w:rFonts w:ascii="Times New Roman" w:hAnsi="Times New Roman" w:cs="Times New Roman"/>
          <w:sz w:val="24"/>
          <w:szCs w:val="24"/>
        </w:rPr>
      </w:pPr>
    </w:p>
    <w:p w:rsidR="00A044B5" w:rsidRPr="009F1E79" w14:paraId="241A768C" w14:textId="77777777">
      <w:pPr>
        <w:pStyle w:val="HTMLPreformatted"/>
        <w:pBdr>
          <w:top w:val="single" w:sz="12" w:space="1" w:color="auto"/>
        </w:pBdr>
        <w:rPr>
          <w:rFonts w:ascii="Times New Roman" w:hAnsi="Times New Roman" w:cs="Times New Roman"/>
          <w:sz w:val="24"/>
          <w:szCs w:val="24"/>
        </w:rPr>
      </w:pPr>
    </w:p>
    <w:p w:rsidR="003D6EAB" w:rsidRPr="009F1E79" w14:paraId="2642B001" w14:textId="77777777">
      <w:pPr>
        <w:jc w:val="center"/>
        <w:rPr>
          <w:b/>
          <w:bCs/>
          <w:szCs w:val="24"/>
        </w:rPr>
      </w:pPr>
      <w:r w:rsidRPr="009F1E79">
        <w:rPr>
          <w:b/>
          <w:bCs/>
          <w:szCs w:val="24"/>
        </w:rPr>
        <w:t>REPLY</w:t>
      </w:r>
      <w:r w:rsidRPr="009F1E79" w:rsidR="00BC106E">
        <w:rPr>
          <w:b/>
          <w:bCs/>
          <w:szCs w:val="24"/>
        </w:rPr>
        <w:t xml:space="preserve"> BRIEF</w:t>
      </w:r>
      <w:r w:rsidRPr="009F1E79">
        <w:rPr>
          <w:b/>
          <w:bCs/>
          <w:szCs w:val="24"/>
        </w:rPr>
        <w:t xml:space="preserve"> FOR CONSUMER PROTECTION</w:t>
      </w:r>
      <w:r w:rsidRPr="009F1E79" w:rsidR="00BC106E">
        <w:rPr>
          <w:b/>
          <w:bCs/>
          <w:szCs w:val="24"/>
        </w:rPr>
        <w:t xml:space="preserve"> </w:t>
      </w:r>
    </w:p>
    <w:p w:rsidR="00A044B5" w:rsidRPr="009F1E79" w14:paraId="6766D35A" w14:textId="77777777">
      <w:pPr>
        <w:jc w:val="center"/>
        <w:rPr>
          <w:b/>
          <w:bCs/>
          <w:szCs w:val="24"/>
        </w:rPr>
      </w:pPr>
      <w:r w:rsidRPr="009F1E79">
        <w:rPr>
          <w:b/>
          <w:bCs/>
          <w:szCs w:val="24"/>
        </w:rPr>
        <w:t>BY</w:t>
      </w:r>
    </w:p>
    <w:p w:rsidR="00A044B5" w:rsidRPr="009F1E79" w14:paraId="6EC71E5A" w14:textId="77777777">
      <w:pPr>
        <w:jc w:val="center"/>
        <w:rPr>
          <w:b/>
          <w:bCs/>
          <w:szCs w:val="24"/>
        </w:rPr>
      </w:pPr>
      <w:r w:rsidRPr="009F1E79">
        <w:rPr>
          <w:b/>
          <w:bCs/>
          <w:szCs w:val="24"/>
        </w:rPr>
        <w:t>OFFICE OF THE OHIO CONSUMERS’ COUNSEL</w:t>
      </w:r>
    </w:p>
    <w:p w:rsidR="00A044B5" w:rsidRPr="009F1E79" w14:paraId="67E449CB" w14:textId="77777777">
      <w:pPr>
        <w:pBdr>
          <w:bottom w:val="single" w:sz="12" w:space="1" w:color="auto"/>
        </w:pBdr>
        <w:tabs>
          <w:tab w:val="left" w:pos="4320"/>
        </w:tabs>
        <w:rPr>
          <w:szCs w:val="24"/>
        </w:rPr>
      </w:pPr>
    </w:p>
    <w:p w:rsidR="00A044B5" w:rsidRPr="009F1E79" w14:paraId="3BEFEE8D" w14:textId="77777777">
      <w:pPr>
        <w:tabs>
          <w:tab w:val="left" w:pos="4320"/>
        </w:tabs>
        <w:rPr>
          <w:szCs w:val="24"/>
        </w:rPr>
      </w:pPr>
    </w:p>
    <w:p w:rsidR="00723316" w:rsidRPr="009F1E79" w:rsidP="00B54C67" w14:paraId="7E9F7016" w14:textId="77777777">
      <w:pPr>
        <w:pStyle w:val="Heading1"/>
        <w:rPr>
          <w:rFonts w:ascii="Times New Roman" w:hAnsi="Times New Roman"/>
        </w:rPr>
      </w:pPr>
      <w:bookmarkStart w:id="1" w:name="_Toc94891995"/>
      <w:bookmarkStart w:id="2" w:name="_Toc94892037"/>
      <w:bookmarkStart w:id="3" w:name="_Toc96609162"/>
      <w:r w:rsidRPr="009F1E79">
        <w:rPr>
          <w:rFonts w:ascii="Times New Roman" w:hAnsi="Times New Roman"/>
        </w:rPr>
        <w:t>I.</w:t>
      </w:r>
      <w:r w:rsidRPr="009F1E79">
        <w:rPr>
          <w:rFonts w:ascii="Times New Roman" w:hAnsi="Times New Roman"/>
        </w:rPr>
        <w:tab/>
        <w:t>INT</w:t>
      </w:r>
      <w:r w:rsidRPr="009F1E79" w:rsidR="007D0A11">
        <w:rPr>
          <w:rFonts w:ascii="Times New Roman" w:hAnsi="Times New Roman"/>
        </w:rPr>
        <w:t>RODUCTION</w:t>
      </w:r>
      <w:bookmarkEnd w:id="1"/>
      <w:bookmarkEnd w:id="2"/>
      <w:bookmarkEnd w:id="3"/>
    </w:p>
    <w:p w:rsidR="003B784B" w:rsidRPr="009F1E79" w:rsidP="001F135E" w14:paraId="22131A61" w14:textId="0268195D">
      <w:pPr>
        <w:pStyle w:val="BodyTextIndent3"/>
        <w:widowControl w:val="0"/>
        <w:spacing w:line="480" w:lineRule="auto"/>
        <w:rPr>
          <w:szCs w:val="24"/>
        </w:rPr>
      </w:pPr>
      <w:r w:rsidRPr="009F1E79">
        <w:rPr>
          <w:szCs w:val="24"/>
        </w:rPr>
        <w:t>The PUCO should reject the Settlement</w:t>
      </w:r>
      <w:r>
        <w:rPr>
          <w:rStyle w:val="FootnoteReference"/>
          <w:szCs w:val="24"/>
        </w:rPr>
        <w:footnoteReference w:id="2"/>
      </w:r>
      <w:r w:rsidRPr="009F1E79">
        <w:rPr>
          <w:szCs w:val="24"/>
        </w:rPr>
        <w:t xml:space="preserve"> </w:t>
      </w:r>
      <w:r w:rsidRPr="009F1E79" w:rsidR="00F473ED">
        <w:rPr>
          <w:szCs w:val="24"/>
        </w:rPr>
        <w:t xml:space="preserve">proposed </w:t>
      </w:r>
      <w:r w:rsidRPr="009F1E79">
        <w:rPr>
          <w:szCs w:val="24"/>
        </w:rPr>
        <w:t xml:space="preserve">by </w:t>
      </w:r>
      <w:r w:rsidRPr="009F1E79" w:rsidR="00856651">
        <w:rPr>
          <w:szCs w:val="24"/>
        </w:rPr>
        <w:t xml:space="preserve">Campbell Supply </w:t>
      </w:r>
      <w:r w:rsidRPr="009F1E79" w:rsidR="00853EB2">
        <w:rPr>
          <w:szCs w:val="24"/>
        </w:rPr>
        <w:t xml:space="preserve">(“Applicant”) </w:t>
      </w:r>
      <w:r w:rsidRPr="009F1E79" w:rsidR="00856651">
        <w:rPr>
          <w:szCs w:val="24"/>
        </w:rPr>
        <w:t>and the Staff of the Public Utilities Commission of Ohio (“PUCO”)</w:t>
      </w:r>
      <w:r w:rsidRPr="009F1E79" w:rsidR="00B5164D">
        <w:rPr>
          <w:szCs w:val="24"/>
        </w:rPr>
        <w:t xml:space="preserve">. </w:t>
      </w:r>
      <w:r w:rsidRPr="009F1E79">
        <w:rPr>
          <w:szCs w:val="24"/>
        </w:rPr>
        <w:t xml:space="preserve">The Applicant and the PUCO Staff are misusing the PUCO’s settlement process to obtain the litigation advantage afforded by </w:t>
      </w:r>
      <w:r w:rsidRPr="009F1E79" w:rsidR="001F135E">
        <w:rPr>
          <w:szCs w:val="24"/>
        </w:rPr>
        <w:t xml:space="preserve">the PUCO’s </w:t>
      </w:r>
      <w:r w:rsidRPr="009F1E79">
        <w:rPr>
          <w:szCs w:val="24"/>
        </w:rPr>
        <w:t xml:space="preserve">settlement standards. The </w:t>
      </w:r>
      <w:r w:rsidRPr="009F1E79" w:rsidR="00D30CDF">
        <w:rPr>
          <w:szCs w:val="24"/>
        </w:rPr>
        <w:t xml:space="preserve">PUCO Staff’s </w:t>
      </w:r>
      <w:r w:rsidRPr="009F1E79">
        <w:rPr>
          <w:szCs w:val="24"/>
        </w:rPr>
        <w:t xml:space="preserve">Settlement is not a compromise. It merely adopts the Applicant’s litigation position. The </w:t>
      </w:r>
      <w:r w:rsidRPr="009F1E79" w:rsidR="00D30CDF">
        <w:rPr>
          <w:szCs w:val="24"/>
        </w:rPr>
        <w:t xml:space="preserve">PUCO Staff’s </w:t>
      </w:r>
      <w:r w:rsidRPr="009F1E79">
        <w:rPr>
          <w:szCs w:val="24"/>
        </w:rPr>
        <w:t xml:space="preserve">Settlement serves no purpose but to </w:t>
      </w:r>
      <w:r w:rsidRPr="009F1E79" w:rsidR="00D30CDF">
        <w:rPr>
          <w:szCs w:val="24"/>
        </w:rPr>
        <w:t xml:space="preserve">lower the bar for </w:t>
      </w:r>
      <w:r w:rsidRPr="009F1E79">
        <w:rPr>
          <w:szCs w:val="24"/>
        </w:rPr>
        <w:t>the</w:t>
      </w:r>
      <w:r w:rsidRPr="009F1E79" w:rsidR="00D30CDF">
        <w:rPr>
          <w:szCs w:val="24"/>
        </w:rPr>
        <w:t xml:space="preserve"> Applicant to obtain</w:t>
      </w:r>
      <w:r w:rsidRPr="009F1E79">
        <w:rPr>
          <w:szCs w:val="24"/>
        </w:rPr>
        <w:t xml:space="preserve"> </w:t>
      </w:r>
      <w:r w:rsidRPr="009F1E79" w:rsidR="00D30CDF">
        <w:rPr>
          <w:szCs w:val="24"/>
        </w:rPr>
        <w:t xml:space="preserve">the </w:t>
      </w:r>
      <w:r w:rsidRPr="009F1E79">
        <w:rPr>
          <w:szCs w:val="24"/>
        </w:rPr>
        <w:t>PUCO</w:t>
      </w:r>
      <w:r w:rsidRPr="009F1E79" w:rsidR="00D30CDF">
        <w:rPr>
          <w:szCs w:val="24"/>
        </w:rPr>
        <w:t>’s approval</w:t>
      </w:r>
      <w:r w:rsidRPr="009F1E79">
        <w:rPr>
          <w:szCs w:val="24"/>
        </w:rPr>
        <w:t xml:space="preserve"> </w:t>
      </w:r>
      <w:r w:rsidRPr="009F1E79" w:rsidR="00D30CDF">
        <w:rPr>
          <w:szCs w:val="24"/>
        </w:rPr>
        <w:t xml:space="preserve">of reduced charges – at the expense of other FirstEnergy consumers. </w:t>
      </w:r>
    </w:p>
    <w:p w:rsidR="00A80B90" w:rsidRPr="009F1E79" w:rsidP="00CB2D5C" w14:paraId="632D92BC" w14:textId="760E1CC7">
      <w:pPr>
        <w:pStyle w:val="BodyTextIndent3"/>
        <w:widowControl w:val="0"/>
        <w:spacing w:line="480" w:lineRule="auto"/>
        <w:rPr>
          <w:szCs w:val="24"/>
        </w:rPr>
      </w:pPr>
      <w:r w:rsidRPr="009F1E79">
        <w:rPr>
          <w:szCs w:val="24"/>
        </w:rPr>
        <w:t xml:space="preserve">It is </w:t>
      </w:r>
      <w:r w:rsidRPr="009F1E79" w:rsidR="00F0034F">
        <w:rPr>
          <w:szCs w:val="24"/>
        </w:rPr>
        <w:t xml:space="preserve">not in the public interest to </w:t>
      </w:r>
      <w:r w:rsidRPr="009F1E79">
        <w:rPr>
          <w:szCs w:val="24"/>
        </w:rPr>
        <w:t xml:space="preserve">exempt </w:t>
      </w:r>
      <w:r w:rsidRPr="009F1E79" w:rsidR="00B82695">
        <w:rPr>
          <w:szCs w:val="24"/>
        </w:rPr>
        <w:t>the</w:t>
      </w:r>
      <w:r w:rsidRPr="009F1E79" w:rsidR="00853EB2">
        <w:rPr>
          <w:szCs w:val="24"/>
        </w:rPr>
        <w:t xml:space="preserve"> Applicant </w:t>
      </w:r>
      <w:r w:rsidRPr="009F1E79" w:rsidR="00B82695">
        <w:rPr>
          <w:szCs w:val="24"/>
        </w:rPr>
        <w:t>from paying</w:t>
      </w:r>
      <w:r w:rsidRPr="009F1E79" w:rsidR="00853EB2">
        <w:rPr>
          <w:szCs w:val="24"/>
        </w:rPr>
        <w:t xml:space="preserve"> transmission charges to </w:t>
      </w:r>
      <w:r w:rsidRPr="009F1E79" w:rsidR="00480607">
        <w:rPr>
          <w:szCs w:val="24"/>
        </w:rPr>
        <w:t>Toledo Edison</w:t>
      </w:r>
      <w:r w:rsidRPr="009F1E79" w:rsidR="008F6DE7">
        <w:rPr>
          <w:szCs w:val="24"/>
        </w:rPr>
        <w:t xml:space="preserve"> </w:t>
      </w:r>
      <w:r w:rsidRPr="009F1E79" w:rsidR="00522B91">
        <w:rPr>
          <w:szCs w:val="24"/>
        </w:rPr>
        <w:t>(“FirstEnergy”)</w:t>
      </w:r>
      <w:r w:rsidRPr="009F1E79" w:rsidR="008F6DE7">
        <w:rPr>
          <w:szCs w:val="24"/>
        </w:rPr>
        <w:t xml:space="preserve">. The </w:t>
      </w:r>
      <w:r w:rsidRPr="009F1E79" w:rsidR="00F0034F">
        <w:rPr>
          <w:szCs w:val="24"/>
        </w:rPr>
        <w:t>Settlement allows the Applicant to participate in a</w:t>
      </w:r>
      <w:r w:rsidRPr="009F1E79" w:rsidR="00E36535">
        <w:rPr>
          <w:szCs w:val="24"/>
        </w:rPr>
        <w:t xml:space="preserve"> so-called</w:t>
      </w:r>
      <w:r w:rsidRPr="009F1E79">
        <w:rPr>
          <w:szCs w:val="24"/>
        </w:rPr>
        <w:t xml:space="preserve"> “</w:t>
      </w:r>
      <w:r w:rsidRPr="009F1E79" w:rsidR="008F6DE7">
        <w:rPr>
          <w:szCs w:val="24"/>
        </w:rPr>
        <w:t>pilot</w:t>
      </w:r>
      <w:r w:rsidRPr="009F1E79">
        <w:rPr>
          <w:szCs w:val="24"/>
        </w:rPr>
        <w:t>”</w:t>
      </w:r>
      <w:r w:rsidRPr="009F1E79" w:rsidR="008F6DE7">
        <w:rPr>
          <w:szCs w:val="24"/>
        </w:rPr>
        <w:t xml:space="preserve"> program designed to waive large</w:t>
      </w:r>
      <w:r w:rsidRPr="009F1E79">
        <w:rPr>
          <w:szCs w:val="24"/>
        </w:rPr>
        <w:t xml:space="preserve"> corporate-customer</w:t>
      </w:r>
      <w:r w:rsidRPr="009F1E79" w:rsidR="008F6DE7">
        <w:rPr>
          <w:szCs w:val="24"/>
        </w:rPr>
        <w:t xml:space="preserve"> payment</w:t>
      </w:r>
      <w:r w:rsidRPr="009F1E79">
        <w:rPr>
          <w:szCs w:val="24"/>
        </w:rPr>
        <w:t>s</w:t>
      </w:r>
      <w:r w:rsidRPr="009F1E79" w:rsidR="008F6DE7">
        <w:rPr>
          <w:szCs w:val="24"/>
        </w:rPr>
        <w:t xml:space="preserve"> of </w:t>
      </w:r>
      <w:r w:rsidRPr="009F1E79" w:rsidR="00B5164D">
        <w:rPr>
          <w:szCs w:val="24"/>
        </w:rPr>
        <w:t>FirstEnergy’s</w:t>
      </w:r>
      <w:r w:rsidRPr="009F1E79" w:rsidR="0074794B">
        <w:rPr>
          <w:szCs w:val="24"/>
        </w:rPr>
        <w:t xml:space="preserve"> </w:t>
      </w:r>
      <w:r w:rsidRPr="009F1E79" w:rsidR="00480607">
        <w:rPr>
          <w:szCs w:val="24"/>
        </w:rPr>
        <w:t xml:space="preserve">Non-Market-Based </w:t>
      </w:r>
      <w:r w:rsidRPr="009F1E79" w:rsidR="00EC664D">
        <w:rPr>
          <w:szCs w:val="24"/>
        </w:rPr>
        <w:t xml:space="preserve">(NMB) </w:t>
      </w:r>
      <w:r w:rsidRPr="009F1E79" w:rsidR="00480607">
        <w:rPr>
          <w:szCs w:val="24"/>
        </w:rPr>
        <w:t>Services</w:t>
      </w:r>
      <w:r w:rsidRPr="009F1E79" w:rsidR="00723316">
        <w:rPr>
          <w:szCs w:val="24"/>
        </w:rPr>
        <w:t xml:space="preserve"> Rider</w:t>
      </w:r>
      <w:r w:rsidRPr="009F1E79" w:rsidR="008F6DE7">
        <w:rPr>
          <w:szCs w:val="24"/>
        </w:rPr>
        <w:t>.</w:t>
      </w:r>
      <w:r w:rsidRPr="009F1E79" w:rsidR="00E36535">
        <w:rPr>
          <w:szCs w:val="24"/>
        </w:rPr>
        <w:t xml:space="preserve"> (While the program was characterized as a pilot, the expected </w:t>
      </w:r>
      <w:r w:rsidRPr="009F1E79" w:rsidR="00460B2B">
        <w:rPr>
          <w:szCs w:val="24"/>
        </w:rPr>
        <w:t xml:space="preserve">PUCO </w:t>
      </w:r>
      <w:r w:rsidRPr="009F1E79" w:rsidR="00E36535">
        <w:rPr>
          <w:szCs w:val="24"/>
        </w:rPr>
        <w:t xml:space="preserve">analysis of the program has yet to occur now </w:t>
      </w:r>
      <w:r w:rsidRPr="009F1E79" w:rsidR="00501FF5">
        <w:rPr>
          <w:szCs w:val="24"/>
        </w:rPr>
        <w:t>over</w:t>
      </w:r>
      <w:r w:rsidRPr="009F1E79" w:rsidR="00450015">
        <w:rPr>
          <w:szCs w:val="24"/>
        </w:rPr>
        <w:t xml:space="preserve"> </w:t>
      </w:r>
      <w:r w:rsidRPr="009F1E79" w:rsidR="00501FF5">
        <w:rPr>
          <w:szCs w:val="24"/>
        </w:rPr>
        <w:t>five</w:t>
      </w:r>
      <w:r w:rsidRPr="009F1E79" w:rsidR="00E36535">
        <w:rPr>
          <w:szCs w:val="24"/>
        </w:rPr>
        <w:t xml:space="preserve"> years later. And it’s beginning to look a lot like a permanent program for reducing transmission charges to large corporate customers at the expense </w:t>
      </w:r>
      <w:r w:rsidRPr="009F1E79" w:rsidR="00460B2B">
        <w:rPr>
          <w:szCs w:val="24"/>
        </w:rPr>
        <w:t>of other consumers such as residential and smaller business</w:t>
      </w:r>
      <w:r w:rsidRPr="009F1E79" w:rsidR="002D165C">
        <w:rPr>
          <w:szCs w:val="24"/>
        </w:rPr>
        <w:t>es</w:t>
      </w:r>
      <w:r w:rsidRPr="009F1E79" w:rsidR="00460B2B">
        <w:rPr>
          <w:szCs w:val="24"/>
        </w:rPr>
        <w:t>.)</w:t>
      </w:r>
      <w:r w:rsidR="009F1E79">
        <w:rPr>
          <w:szCs w:val="24"/>
        </w:rPr>
        <w:t xml:space="preserve"> </w:t>
      </w:r>
      <w:r w:rsidRPr="009F1E79" w:rsidR="008F6DE7">
        <w:rPr>
          <w:szCs w:val="24"/>
        </w:rPr>
        <w:t>Under th</w:t>
      </w:r>
      <w:r w:rsidRPr="009F1E79" w:rsidR="00024C6C">
        <w:rPr>
          <w:szCs w:val="24"/>
        </w:rPr>
        <w:t>is FirstEnergy</w:t>
      </w:r>
      <w:r w:rsidRPr="009F1E79" w:rsidR="008F6DE7">
        <w:rPr>
          <w:szCs w:val="24"/>
        </w:rPr>
        <w:t xml:space="preserve"> pilot </w:t>
      </w:r>
      <w:r w:rsidRPr="009F1E79" w:rsidR="008B3CC1">
        <w:rPr>
          <w:szCs w:val="24"/>
        </w:rPr>
        <w:t>program</w:t>
      </w:r>
      <w:r w:rsidRPr="009F1E79" w:rsidR="008F6DE7">
        <w:rPr>
          <w:szCs w:val="24"/>
        </w:rPr>
        <w:t xml:space="preserve"> the Applicant </w:t>
      </w:r>
      <w:r w:rsidRPr="009F1E79" w:rsidR="00FB27B8">
        <w:rPr>
          <w:szCs w:val="24"/>
        </w:rPr>
        <w:t xml:space="preserve">will </w:t>
      </w:r>
      <w:r w:rsidRPr="009F1E79" w:rsidR="009A63C0">
        <w:rPr>
          <w:szCs w:val="24"/>
        </w:rPr>
        <w:t xml:space="preserve">pay for its </w:t>
      </w:r>
      <w:r w:rsidRPr="009F1E79" w:rsidR="000F397F">
        <w:rPr>
          <w:szCs w:val="24"/>
        </w:rPr>
        <w:t xml:space="preserve">transmission </w:t>
      </w:r>
      <w:r w:rsidRPr="009F1E79" w:rsidR="00853EB2">
        <w:rPr>
          <w:szCs w:val="24"/>
        </w:rPr>
        <w:t xml:space="preserve">service </w:t>
      </w:r>
      <w:r w:rsidRPr="009F1E79" w:rsidR="009A63C0">
        <w:rPr>
          <w:szCs w:val="24"/>
        </w:rPr>
        <w:t>through</w:t>
      </w:r>
      <w:r w:rsidRPr="009F1E79" w:rsidR="00024C6C">
        <w:rPr>
          <w:szCs w:val="24"/>
        </w:rPr>
        <w:t xml:space="preserve"> none other than</w:t>
      </w:r>
      <w:r w:rsidRPr="009F1E79" w:rsidR="009A63C0">
        <w:rPr>
          <w:szCs w:val="24"/>
        </w:rPr>
        <w:t xml:space="preserve"> </w:t>
      </w:r>
      <w:r w:rsidRPr="009F1E79" w:rsidR="008F6DE7">
        <w:rPr>
          <w:szCs w:val="24"/>
        </w:rPr>
        <w:t>Energy Harbor,</w:t>
      </w:r>
      <w:r w:rsidRPr="009F1E79" w:rsidR="00853EB2">
        <w:rPr>
          <w:szCs w:val="24"/>
        </w:rPr>
        <w:t xml:space="preserve"> the Applicant’s </w:t>
      </w:r>
      <w:r w:rsidRPr="009F1E79" w:rsidR="000F397F">
        <w:rPr>
          <w:szCs w:val="24"/>
        </w:rPr>
        <w:t xml:space="preserve">generation </w:t>
      </w:r>
      <w:r w:rsidRPr="009F1E79" w:rsidR="00853EB2">
        <w:rPr>
          <w:szCs w:val="24"/>
        </w:rPr>
        <w:t>supplier</w:t>
      </w:r>
      <w:r w:rsidRPr="009F1E79" w:rsidR="008F6DE7">
        <w:rPr>
          <w:szCs w:val="24"/>
        </w:rPr>
        <w:t xml:space="preserve"> </w:t>
      </w:r>
      <w:r w:rsidRPr="009F1E79" w:rsidR="00B73AC8">
        <w:rPr>
          <w:szCs w:val="24"/>
        </w:rPr>
        <w:t>(</w:t>
      </w:r>
      <w:r w:rsidRPr="009F1E79" w:rsidR="008F6DE7">
        <w:rPr>
          <w:szCs w:val="24"/>
        </w:rPr>
        <w:t>and a former FirstEnergy affiliate</w:t>
      </w:r>
      <w:r w:rsidRPr="009F1E79" w:rsidR="00B73AC8">
        <w:rPr>
          <w:szCs w:val="24"/>
        </w:rPr>
        <w:t>)</w:t>
      </w:r>
      <w:r w:rsidRPr="009F1E79" w:rsidR="008F6DE7">
        <w:rPr>
          <w:szCs w:val="24"/>
        </w:rPr>
        <w:t>.</w:t>
      </w:r>
      <w:r w:rsidRPr="009F1E79" w:rsidR="00853EB2">
        <w:rPr>
          <w:szCs w:val="24"/>
        </w:rPr>
        <w:t xml:space="preserve"> </w:t>
      </w:r>
    </w:p>
    <w:p w:rsidR="004F519A" w:rsidRPr="009F1E79" w:rsidP="00CB2D5C" w14:paraId="08D9C1F0" w14:textId="79C6AF2D">
      <w:pPr>
        <w:pStyle w:val="BodyTextIndent3"/>
        <w:widowControl w:val="0"/>
        <w:spacing w:line="480" w:lineRule="auto"/>
        <w:rPr>
          <w:szCs w:val="24"/>
        </w:rPr>
      </w:pPr>
      <w:r w:rsidRPr="009F1E79">
        <w:rPr>
          <w:szCs w:val="24"/>
        </w:rPr>
        <w:t>As stated, t</w:t>
      </w:r>
      <w:r w:rsidRPr="009F1E79" w:rsidR="00A80B90">
        <w:rPr>
          <w:szCs w:val="24"/>
        </w:rPr>
        <w:t xml:space="preserve">he pilot program has been in effect for </w:t>
      </w:r>
      <w:r w:rsidRPr="009F1E79" w:rsidR="00501FF5">
        <w:rPr>
          <w:szCs w:val="24"/>
        </w:rPr>
        <w:t xml:space="preserve">over </w:t>
      </w:r>
      <w:r w:rsidRPr="009F1E79" w:rsidR="00A80B90">
        <w:rPr>
          <w:szCs w:val="24"/>
        </w:rPr>
        <w:t>five years without the comprehensive review that the PUCO promised.</w:t>
      </w:r>
      <w:r>
        <w:rPr>
          <w:rStyle w:val="FootnoteReference"/>
          <w:szCs w:val="24"/>
        </w:rPr>
        <w:footnoteReference w:id="3"/>
      </w:r>
      <w:r w:rsidRPr="009F1E79" w:rsidR="00A80B90">
        <w:rPr>
          <w:szCs w:val="24"/>
        </w:rPr>
        <w:t xml:space="preserve"> That includes the lack of the PUCO’s intended review of what other customers are having to pay to make FirstEnergy whole for the revenues it loses from pilot program participants. There should be no more </w:t>
      </w:r>
      <w:r w:rsidRPr="009F1E79" w:rsidR="00442B00">
        <w:rPr>
          <w:szCs w:val="24"/>
        </w:rPr>
        <w:t>corporate customers accepted for the pilot program until the PUCO’s review is completed, discussed by parties and resolved by PUCO ruling.</w:t>
      </w:r>
    </w:p>
    <w:p w:rsidR="00A7749E" w:rsidRPr="009F1E79" w:rsidP="00CB2D5C" w14:paraId="00E4725B" w14:textId="34E66F94">
      <w:pPr>
        <w:pStyle w:val="BodyTextIndent3"/>
        <w:widowControl w:val="0"/>
        <w:spacing w:line="480" w:lineRule="auto"/>
        <w:rPr>
          <w:szCs w:val="24"/>
        </w:rPr>
      </w:pPr>
      <w:r w:rsidRPr="009F1E79">
        <w:rPr>
          <w:szCs w:val="24"/>
        </w:rPr>
        <w:t>Even so, the Settlement fails the PUCO’s three-prong test for evaluating settlements as discussed in OCC’s Post-Hearing Brief.</w:t>
      </w:r>
      <w:r>
        <w:rPr>
          <w:rStyle w:val="FootnoteReference"/>
          <w:szCs w:val="24"/>
        </w:rPr>
        <w:footnoteReference w:id="4"/>
      </w:r>
      <w:r w:rsidRPr="009F1E79">
        <w:rPr>
          <w:szCs w:val="24"/>
        </w:rPr>
        <w:t xml:space="preserve"> Despite the claims of the Applicant</w:t>
      </w:r>
      <w:r>
        <w:rPr>
          <w:rStyle w:val="FootnoteReference"/>
          <w:szCs w:val="24"/>
        </w:rPr>
        <w:footnoteReference w:id="5"/>
      </w:r>
      <w:r w:rsidRPr="009F1E79">
        <w:rPr>
          <w:szCs w:val="24"/>
        </w:rPr>
        <w:t xml:space="preserve"> and the PUCO Staff,</w:t>
      </w:r>
      <w:r>
        <w:rPr>
          <w:rStyle w:val="FootnoteReference"/>
          <w:szCs w:val="24"/>
        </w:rPr>
        <w:footnoteReference w:id="6"/>
      </w:r>
      <w:r w:rsidRPr="009F1E79">
        <w:rPr>
          <w:szCs w:val="24"/>
        </w:rPr>
        <w:t xml:space="preserve"> the Settlement is not in the public interest. As stated, their Settlement simply adopts the Applicant’s proposal contained in its application, exactly as filed.</w:t>
      </w:r>
      <w:r>
        <w:rPr>
          <w:rStyle w:val="FootnoteReference"/>
          <w:szCs w:val="24"/>
        </w:rPr>
        <w:footnoteReference w:id="7"/>
      </w:r>
    </w:p>
    <w:p w:rsidR="008B2B08" w14:paraId="6E58D41B" w14:textId="77777777">
      <w:pPr>
        <w:rPr>
          <w:szCs w:val="24"/>
        </w:rPr>
      </w:pPr>
      <w:r>
        <w:rPr>
          <w:szCs w:val="24"/>
        </w:rPr>
        <w:br w:type="page"/>
      </w:r>
    </w:p>
    <w:p w:rsidR="002E5717" w:rsidRPr="009F1E79" w:rsidP="00AC2D70" w14:paraId="24F1BE26" w14:textId="1522AD23">
      <w:pPr>
        <w:pStyle w:val="BodyTextIndent3"/>
        <w:widowControl w:val="0"/>
        <w:spacing w:line="480" w:lineRule="auto"/>
        <w:ind w:right="-24"/>
        <w:rPr>
          <w:szCs w:val="24"/>
        </w:rPr>
      </w:pPr>
      <w:r w:rsidRPr="009F1E79">
        <w:rPr>
          <w:szCs w:val="24"/>
        </w:rPr>
        <w:t>T</w:t>
      </w:r>
      <w:r w:rsidRPr="009F1E79" w:rsidR="00F0034F">
        <w:rPr>
          <w:szCs w:val="24"/>
        </w:rPr>
        <w:t>he arrangement allows the</w:t>
      </w:r>
      <w:r w:rsidRPr="009F1E79">
        <w:rPr>
          <w:szCs w:val="24"/>
        </w:rPr>
        <w:t xml:space="preserve"> Applicant to pay less for electric transmission</w:t>
      </w:r>
      <w:r w:rsidRPr="009F1E79">
        <w:rPr>
          <w:szCs w:val="24"/>
        </w:rPr>
        <w:t>.</w:t>
      </w:r>
      <w:r>
        <w:rPr>
          <w:rStyle w:val="FootnoteReference"/>
          <w:szCs w:val="24"/>
        </w:rPr>
        <w:footnoteReference w:id="8"/>
      </w:r>
      <w:r w:rsidRPr="009F1E79" w:rsidR="00464FEE">
        <w:rPr>
          <w:szCs w:val="24"/>
        </w:rPr>
        <w:t xml:space="preserve"> </w:t>
      </w:r>
      <w:r w:rsidRPr="009F1E79">
        <w:rPr>
          <w:szCs w:val="24"/>
        </w:rPr>
        <w:t xml:space="preserve">But </w:t>
      </w:r>
      <w:r w:rsidRPr="009F1E79" w:rsidR="00464FEE">
        <w:rPr>
          <w:szCs w:val="24"/>
        </w:rPr>
        <w:t xml:space="preserve">FirstEnergy will expect </w:t>
      </w:r>
      <w:r w:rsidRPr="009F1E79" w:rsidR="00A16985">
        <w:rPr>
          <w:szCs w:val="24"/>
        </w:rPr>
        <w:t>others</w:t>
      </w:r>
      <w:r w:rsidRPr="009F1E79" w:rsidR="00464FEE">
        <w:rPr>
          <w:szCs w:val="24"/>
        </w:rPr>
        <w:t xml:space="preserve"> to make it whole for the loss of revenue from the Applicant</w:t>
      </w:r>
      <w:r w:rsidRPr="009F1E79" w:rsidR="009A63C0">
        <w:rPr>
          <w:szCs w:val="24"/>
        </w:rPr>
        <w:t xml:space="preserve"> </w:t>
      </w:r>
      <w:r w:rsidRPr="009F1E79">
        <w:rPr>
          <w:szCs w:val="24"/>
        </w:rPr>
        <w:t xml:space="preserve">that is </w:t>
      </w:r>
      <w:r w:rsidRPr="009F1E79" w:rsidR="00EE3FF1">
        <w:rPr>
          <w:szCs w:val="24"/>
        </w:rPr>
        <w:t>no longer paying transmission charges</w:t>
      </w:r>
      <w:r w:rsidRPr="009F1E79">
        <w:rPr>
          <w:szCs w:val="24"/>
        </w:rPr>
        <w:t xml:space="preserve"> </w:t>
      </w:r>
      <w:r w:rsidRPr="009F1E79" w:rsidR="007A311A">
        <w:rPr>
          <w:szCs w:val="24"/>
        </w:rPr>
        <w:t>through Rider NMB</w:t>
      </w:r>
      <w:r w:rsidRPr="009F1E79" w:rsidR="00464FEE">
        <w:rPr>
          <w:szCs w:val="24"/>
        </w:rPr>
        <w:t>.</w:t>
      </w:r>
      <w:r>
        <w:rPr>
          <w:rStyle w:val="FootnoteReference"/>
          <w:szCs w:val="24"/>
        </w:rPr>
        <w:footnoteReference w:id="9"/>
      </w:r>
      <w:r w:rsidRPr="009F1E79" w:rsidR="00464FEE">
        <w:rPr>
          <w:szCs w:val="24"/>
        </w:rPr>
        <w:t xml:space="preserve"> FirstEnergy will expect </w:t>
      </w:r>
      <w:r w:rsidRPr="009F1E79" w:rsidR="00A87B6F">
        <w:rPr>
          <w:szCs w:val="24"/>
        </w:rPr>
        <w:t xml:space="preserve">other customers, including </w:t>
      </w:r>
      <w:r w:rsidRPr="009F1E79" w:rsidR="00F93097">
        <w:rPr>
          <w:szCs w:val="24"/>
        </w:rPr>
        <w:t xml:space="preserve">residential </w:t>
      </w:r>
      <w:r w:rsidRPr="009F1E79" w:rsidR="00464FEE">
        <w:rPr>
          <w:szCs w:val="24"/>
        </w:rPr>
        <w:t>consumers</w:t>
      </w:r>
      <w:r w:rsidRPr="009F1E79" w:rsidR="00A87B6F">
        <w:rPr>
          <w:szCs w:val="24"/>
        </w:rPr>
        <w:t>,</w:t>
      </w:r>
      <w:r w:rsidRPr="009F1E79" w:rsidR="00464FEE">
        <w:rPr>
          <w:szCs w:val="24"/>
        </w:rPr>
        <w:t xml:space="preserve"> to make it whole by paying more for </w:t>
      </w:r>
      <w:r w:rsidRPr="009F1E79" w:rsidR="009A63C0">
        <w:rPr>
          <w:szCs w:val="24"/>
        </w:rPr>
        <w:t xml:space="preserve">transmission, through Rider NMB, </w:t>
      </w:r>
      <w:r w:rsidRPr="009F1E79" w:rsidR="00B5164D">
        <w:rPr>
          <w:szCs w:val="24"/>
        </w:rPr>
        <w:t>if the Applicant participates in the pilot program.</w:t>
      </w:r>
      <w:r>
        <w:rPr>
          <w:rStyle w:val="FootnoteReference"/>
          <w:szCs w:val="24"/>
        </w:rPr>
        <w:footnoteReference w:id="10"/>
      </w:r>
      <w:r w:rsidRPr="009F1E79" w:rsidR="008630C4">
        <w:rPr>
          <w:szCs w:val="24"/>
        </w:rPr>
        <w:t xml:space="preserve"> </w:t>
      </w:r>
    </w:p>
    <w:p w:rsidR="005700E3" w:rsidRPr="009F1E79" w:rsidP="00AC2D70" w14:paraId="691886DA" w14:textId="2EE90B38">
      <w:pPr>
        <w:pStyle w:val="BodyTextIndent3"/>
        <w:widowControl w:val="0"/>
        <w:spacing w:line="480" w:lineRule="auto"/>
        <w:ind w:right="-24"/>
        <w:rPr>
          <w:szCs w:val="24"/>
        </w:rPr>
      </w:pPr>
      <w:r w:rsidRPr="009F1E79">
        <w:rPr>
          <w:szCs w:val="24"/>
        </w:rPr>
        <w:t>Despite the Applicant’s claims,</w:t>
      </w:r>
      <w:r>
        <w:rPr>
          <w:rStyle w:val="FootnoteReference"/>
          <w:szCs w:val="24"/>
        </w:rPr>
        <w:footnoteReference w:id="11"/>
      </w:r>
      <w:r w:rsidRPr="009F1E79">
        <w:rPr>
          <w:szCs w:val="24"/>
        </w:rPr>
        <w:t xml:space="preserve"> costs </w:t>
      </w:r>
      <w:r w:rsidRPr="009F1E79" w:rsidR="007315E9">
        <w:rPr>
          <w:szCs w:val="24"/>
        </w:rPr>
        <w:t xml:space="preserve">that </w:t>
      </w:r>
      <w:r w:rsidRPr="009F1E79">
        <w:rPr>
          <w:szCs w:val="24"/>
        </w:rPr>
        <w:t xml:space="preserve">the Applicant will be avoiding </w:t>
      </w:r>
      <w:r w:rsidRPr="009F1E79" w:rsidR="00E6289D">
        <w:rPr>
          <w:szCs w:val="24"/>
        </w:rPr>
        <w:t xml:space="preserve">will be </w:t>
      </w:r>
      <w:r w:rsidRPr="009F1E79">
        <w:rPr>
          <w:szCs w:val="24"/>
        </w:rPr>
        <w:t>shifted to other non-participating customers (including res</w:t>
      </w:r>
      <w:r w:rsidRPr="009F1E79" w:rsidR="00B5164D">
        <w:rPr>
          <w:szCs w:val="24"/>
        </w:rPr>
        <w:t>idential consumers) who pay the Non-Market Based Rider charge</w:t>
      </w:r>
      <w:r w:rsidRPr="009F1E79" w:rsidR="00706233">
        <w:rPr>
          <w:szCs w:val="24"/>
        </w:rPr>
        <w:t>.</w:t>
      </w:r>
      <w:r>
        <w:rPr>
          <w:rStyle w:val="FootnoteReference"/>
          <w:szCs w:val="24"/>
        </w:rPr>
        <w:footnoteReference w:id="12"/>
      </w:r>
      <w:r w:rsidRPr="009F1E79" w:rsidR="00001BDD">
        <w:rPr>
          <w:szCs w:val="24"/>
        </w:rPr>
        <w:t xml:space="preserve"> Moreover, despite the Applicant</w:t>
      </w:r>
      <w:r w:rsidRPr="009F1E79" w:rsidR="00040E97">
        <w:rPr>
          <w:szCs w:val="24"/>
        </w:rPr>
        <w:t>’</w:t>
      </w:r>
      <w:r w:rsidRPr="009F1E79" w:rsidR="00001BDD">
        <w:rPr>
          <w:szCs w:val="24"/>
        </w:rPr>
        <w:t>s claims to the contrary,</w:t>
      </w:r>
      <w:r>
        <w:rPr>
          <w:rStyle w:val="FootnoteReference"/>
          <w:szCs w:val="24"/>
        </w:rPr>
        <w:footnoteReference w:id="13"/>
      </w:r>
      <w:r w:rsidRPr="009F1E79" w:rsidR="00001BDD">
        <w:rPr>
          <w:szCs w:val="24"/>
        </w:rPr>
        <w:t xml:space="preserve"> there is no evidence of any commitment </w:t>
      </w:r>
      <w:r w:rsidRPr="009F1E79" w:rsidR="00040E97">
        <w:rPr>
          <w:szCs w:val="24"/>
        </w:rPr>
        <w:t xml:space="preserve">by </w:t>
      </w:r>
      <w:r w:rsidRPr="009F1E79" w:rsidR="00001BDD">
        <w:rPr>
          <w:szCs w:val="24"/>
        </w:rPr>
        <w:t>the Applicant to promote economic development o</w:t>
      </w:r>
      <w:r w:rsidRPr="009F1E79" w:rsidR="00BC1B18">
        <w:rPr>
          <w:szCs w:val="24"/>
        </w:rPr>
        <w:t>r</w:t>
      </w:r>
      <w:r w:rsidRPr="009F1E79" w:rsidR="00001BDD">
        <w:rPr>
          <w:szCs w:val="24"/>
        </w:rPr>
        <w:t xml:space="preserve"> increase employment as a result of participating in the pilot program</w:t>
      </w:r>
      <w:r w:rsidRPr="009F1E79" w:rsidR="00BC1B18">
        <w:rPr>
          <w:szCs w:val="24"/>
        </w:rPr>
        <w:t>.</w:t>
      </w:r>
      <w:r>
        <w:rPr>
          <w:rStyle w:val="FootnoteReference"/>
          <w:szCs w:val="24"/>
        </w:rPr>
        <w:footnoteReference w:id="14"/>
      </w:r>
    </w:p>
    <w:p w:rsidR="00024C6C" w:rsidRPr="009F1E79" w:rsidP="00AC2D70" w14:paraId="36EA5DDC" w14:textId="77777777">
      <w:pPr>
        <w:spacing w:line="480" w:lineRule="auto"/>
        <w:ind w:firstLine="720"/>
        <w:rPr>
          <w:szCs w:val="24"/>
        </w:rPr>
      </w:pPr>
      <w:r w:rsidRPr="009F1E79">
        <w:rPr>
          <w:szCs w:val="24"/>
        </w:rPr>
        <w:t xml:space="preserve">The </w:t>
      </w:r>
      <w:r w:rsidRPr="009F1E79" w:rsidR="005700E3">
        <w:rPr>
          <w:szCs w:val="24"/>
        </w:rPr>
        <w:t xml:space="preserve">Settlement proposed by </w:t>
      </w:r>
      <w:r w:rsidRPr="009F1E79">
        <w:rPr>
          <w:szCs w:val="24"/>
        </w:rPr>
        <w:t xml:space="preserve">the </w:t>
      </w:r>
      <w:r w:rsidRPr="009F1E79" w:rsidR="00040E97">
        <w:rPr>
          <w:szCs w:val="24"/>
        </w:rPr>
        <w:t xml:space="preserve">PUCO </w:t>
      </w:r>
      <w:r w:rsidRPr="009F1E79" w:rsidR="005700E3">
        <w:rPr>
          <w:szCs w:val="24"/>
        </w:rPr>
        <w:t>Staff and the Applicant should not be approved.</w:t>
      </w:r>
      <w:r w:rsidRPr="009F1E79" w:rsidR="00B32048">
        <w:rPr>
          <w:szCs w:val="24"/>
        </w:rPr>
        <w:t xml:space="preserve"> </w:t>
      </w:r>
      <w:r w:rsidRPr="009F1E79" w:rsidR="00040E97">
        <w:rPr>
          <w:szCs w:val="24"/>
        </w:rPr>
        <w:t>I</w:t>
      </w:r>
      <w:r w:rsidRPr="009F1E79" w:rsidR="007C2F1E">
        <w:rPr>
          <w:szCs w:val="24"/>
        </w:rPr>
        <w:t>t fail</w:t>
      </w:r>
      <w:r w:rsidRPr="009F1E79" w:rsidR="00040E97">
        <w:rPr>
          <w:szCs w:val="24"/>
        </w:rPr>
        <w:t>s</w:t>
      </w:r>
      <w:r w:rsidRPr="009F1E79" w:rsidR="005700E3">
        <w:rPr>
          <w:szCs w:val="24"/>
        </w:rPr>
        <w:t xml:space="preserve"> the </w:t>
      </w:r>
      <w:r w:rsidRPr="009F1E79">
        <w:rPr>
          <w:szCs w:val="24"/>
        </w:rPr>
        <w:t xml:space="preserve">PUCO’s </w:t>
      </w:r>
      <w:r w:rsidRPr="009F1E79" w:rsidR="001E6F31">
        <w:rPr>
          <w:szCs w:val="24"/>
        </w:rPr>
        <w:t>three-part test for settlements</w:t>
      </w:r>
      <w:r w:rsidRPr="009F1E79" w:rsidR="00040E97">
        <w:rPr>
          <w:szCs w:val="24"/>
        </w:rPr>
        <w:t>.</w:t>
      </w:r>
      <w:r w:rsidRPr="009F1E79" w:rsidR="007C2F1E">
        <w:rPr>
          <w:szCs w:val="24"/>
        </w:rPr>
        <w:t xml:space="preserve"> </w:t>
      </w:r>
      <w:r w:rsidRPr="009F1E79" w:rsidR="00040E97">
        <w:rPr>
          <w:szCs w:val="24"/>
        </w:rPr>
        <w:t>I</w:t>
      </w:r>
      <w:r w:rsidRPr="009F1E79" w:rsidR="00891CD2">
        <w:rPr>
          <w:szCs w:val="24"/>
        </w:rPr>
        <w:t>t</w:t>
      </w:r>
      <w:r w:rsidRPr="009F1E79" w:rsidR="00040E97">
        <w:rPr>
          <w:szCs w:val="24"/>
        </w:rPr>
        <w:t xml:space="preserve"> also</w:t>
      </w:r>
      <w:r w:rsidRPr="009F1E79" w:rsidR="00891CD2">
        <w:rPr>
          <w:szCs w:val="24"/>
        </w:rPr>
        <w:t xml:space="preserve"> is insufficient under</w:t>
      </w:r>
      <w:r w:rsidRPr="009F1E79" w:rsidR="007C2F1E">
        <w:rPr>
          <w:szCs w:val="24"/>
        </w:rPr>
        <w:t xml:space="preserve"> the standard</w:t>
      </w:r>
      <w:r w:rsidRPr="009F1E79" w:rsidR="00A16985">
        <w:rPr>
          <w:szCs w:val="24"/>
        </w:rPr>
        <w:t>s</w:t>
      </w:r>
      <w:r w:rsidRPr="009F1E79" w:rsidR="00040E97">
        <w:rPr>
          <w:szCs w:val="24"/>
        </w:rPr>
        <w:t xml:space="preserve"> the PUCO</w:t>
      </w:r>
      <w:r w:rsidRPr="009F1E79" w:rsidR="007C2F1E">
        <w:rPr>
          <w:szCs w:val="24"/>
        </w:rPr>
        <w:t xml:space="preserve"> articulated when it approved FirstEnergy’s </w:t>
      </w:r>
      <w:r w:rsidRPr="009F1E79" w:rsidR="006D3FB3">
        <w:rPr>
          <w:szCs w:val="24"/>
        </w:rPr>
        <w:t xml:space="preserve">pilot program for this </w:t>
      </w:r>
      <w:r w:rsidRPr="009F1E79" w:rsidR="007C2F1E">
        <w:rPr>
          <w:szCs w:val="24"/>
        </w:rPr>
        <w:t>Rider.</w:t>
      </w:r>
      <w:r>
        <w:rPr>
          <w:rStyle w:val="FootnoteReference"/>
          <w:szCs w:val="24"/>
        </w:rPr>
        <w:footnoteReference w:id="15"/>
      </w:r>
      <w:r w:rsidRPr="009F1E79" w:rsidR="007C2F1E">
        <w:rPr>
          <w:szCs w:val="24"/>
        </w:rPr>
        <w:t xml:space="preserve"> </w:t>
      </w:r>
    </w:p>
    <w:p w:rsidR="006D3FB3" w:rsidRPr="009F1E79" w:rsidP="001E6F31" w14:paraId="6CFA4B3C" w14:textId="52DC93DA">
      <w:pPr>
        <w:spacing w:line="480" w:lineRule="auto"/>
        <w:ind w:firstLine="720"/>
        <w:rPr>
          <w:szCs w:val="24"/>
        </w:rPr>
      </w:pPr>
      <w:r w:rsidRPr="009F1E79">
        <w:rPr>
          <w:szCs w:val="24"/>
        </w:rPr>
        <w:t xml:space="preserve">Further, </w:t>
      </w:r>
      <w:r w:rsidRPr="009F1E79" w:rsidR="00FE46D7">
        <w:rPr>
          <w:szCs w:val="24"/>
        </w:rPr>
        <w:t xml:space="preserve">on February 23, 2022, </w:t>
      </w:r>
      <w:r w:rsidRPr="009F1E79">
        <w:rPr>
          <w:szCs w:val="24"/>
        </w:rPr>
        <w:t>the PUCO</w:t>
      </w:r>
      <w:r w:rsidRPr="009F1E79" w:rsidR="00FE46D7">
        <w:rPr>
          <w:szCs w:val="24"/>
        </w:rPr>
        <w:t>’s Finding and Order in FirstEnergy’s most recent Non-Market Based Services Rider Review case</w:t>
      </w:r>
      <w:r>
        <w:rPr>
          <w:rStyle w:val="FootnoteReference"/>
          <w:szCs w:val="24"/>
        </w:rPr>
        <w:footnoteReference w:id="16"/>
      </w:r>
      <w:r w:rsidRPr="009F1E79" w:rsidR="0087448E">
        <w:rPr>
          <w:szCs w:val="24"/>
        </w:rPr>
        <w:t xml:space="preserve"> </w:t>
      </w:r>
      <w:r w:rsidRPr="009F1E79" w:rsidR="00FE46D7">
        <w:rPr>
          <w:szCs w:val="24"/>
        </w:rPr>
        <w:t xml:space="preserve">specifically ordered </w:t>
      </w:r>
      <w:r w:rsidRPr="009F1E79" w:rsidR="0087448E">
        <w:rPr>
          <w:szCs w:val="24"/>
        </w:rPr>
        <w:t>a review of the pilot program. The PUCO found that</w:t>
      </w:r>
      <w:r w:rsidRPr="009F1E79" w:rsidR="00FE46D7">
        <w:rPr>
          <w:szCs w:val="24"/>
        </w:rPr>
        <w:t xml:space="preserve"> “Staff acknowledged the prior Commission directive for Staff to review the actual results of the NMB Pilot Program and to report its findings to the Commission. Staff specifically notes in its review and recommendation that this Commission-ordered review will be initiated by the end of 2022.”</w:t>
      </w:r>
      <w:r>
        <w:rPr>
          <w:rStyle w:val="FootnoteReference"/>
          <w:szCs w:val="24"/>
        </w:rPr>
        <w:footnoteReference w:id="17"/>
      </w:r>
      <w:r w:rsidR="009F1E79">
        <w:rPr>
          <w:szCs w:val="24"/>
        </w:rPr>
        <w:t xml:space="preserve"> </w:t>
      </w:r>
      <w:r w:rsidRPr="009F1E79" w:rsidR="0087448E">
        <w:rPr>
          <w:szCs w:val="24"/>
        </w:rPr>
        <w:t>However, a</w:t>
      </w:r>
      <w:r w:rsidRPr="009F1E79" w:rsidR="00AA2CDA">
        <w:rPr>
          <w:szCs w:val="24"/>
        </w:rPr>
        <w:t xml:space="preserve"> completion date </w:t>
      </w:r>
      <w:r w:rsidRPr="009F1E79" w:rsidR="0087448E">
        <w:rPr>
          <w:szCs w:val="24"/>
        </w:rPr>
        <w:t xml:space="preserve">for the review </w:t>
      </w:r>
      <w:r w:rsidRPr="009F1E79" w:rsidR="00AA2CDA">
        <w:rPr>
          <w:szCs w:val="24"/>
        </w:rPr>
        <w:t>was not announced.</w:t>
      </w:r>
      <w:r w:rsidRPr="009F1E79" w:rsidR="00F854B7">
        <w:rPr>
          <w:szCs w:val="24"/>
        </w:rPr>
        <w:t xml:space="preserve"> </w:t>
      </w:r>
      <w:r w:rsidRPr="009F1E79" w:rsidR="009A63C0">
        <w:rPr>
          <w:szCs w:val="24"/>
        </w:rPr>
        <w:t>To protect consumers from unnecessary cost</w:t>
      </w:r>
      <w:r w:rsidRPr="009F1E79" w:rsidR="00AA2CDA">
        <w:rPr>
          <w:szCs w:val="24"/>
        </w:rPr>
        <w:t>-</w:t>
      </w:r>
      <w:r w:rsidRPr="009F1E79" w:rsidR="009A63C0">
        <w:rPr>
          <w:szCs w:val="24"/>
        </w:rPr>
        <w:t>shifting</w:t>
      </w:r>
      <w:r w:rsidRPr="009F1E79" w:rsidR="00AA2CDA">
        <w:rPr>
          <w:szCs w:val="24"/>
        </w:rPr>
        <w:t xml:space="preserve"> to make FirstEnergy whole,</w:t>
      </w:r>
      <w:r w:rsidRPr="009F1E79" w:rsidR="009A63C0">
        <w:rPr>
          <w:szCs w:val="24"/>
        </w:rPr>
        <w:t xml:space="preserve"> n</w:t>
      </w:r>
      <w:r w:rsidRPr="009F1E79" w:rsidR="00F854B7">
        <w:rPr>
          <w:szCs w:val="24"/>
        </w:rPr>
        <w:t>o new participants should be added to the pilot program until this review is undertaken</w:t>
      </w:r>
      <w:r w:rsidRPr="009F1E79" w:rsidR="0087448E">
        <w:rPr>
          <w:szCs w:val="24"/>
        </w:rPr>
        <w:t xml:space="preserve"> and completed.</w:t>
      </w:r>
      <w:r w:rsidRPr="009F1E79" w:rsidR="00F854B7">
        <w:rPr>
          <w:szCs w:val="24"/>
        </w:rPr>
        <w:t xml:space="preserve"> </w:t>
      </w:r>
      <w:r>
        <w:rPr>
          <w:rStyle w:val="FootnoteReference"/>
          <w:szCs w:val="24"/>
        </w:rPr>
        <w:footnoteReference w:id="18"/>
      </w:r>
    </w:p>
    <w:p w:rsidR="006D3FB3" w:rsidRPr="009F1E79" w:rsidP="006D3FB3" w14:paraId="5925282B" w14:textId="77777777">
      <w:pPr>
        <w:pStyle w:val="BodyTextIndent3"/>
        <w:widowControl w:val="0"/>
        <w:spacing w:line="240" w:lineRule="auto"/>
        <w:ind w:right="-24"/>
        <w:rPr>
          <w:szCs w:val="24"/>
        </w:rPr>
      </w:pPr>
    </w:p>
    <w:p w:rsidR="006D3FB3" w:rsidRPr="009F1E79" w:rsidP="006D3FB3" w14:paraId="0182DEB4" w14:textId="60CDF915">
      <w:pPr>
        <w:pStyle w:val="Heading1"/>
        <w:rPr>
          <w:rFonts w:ascii="Times New Roman" w:hAnsi="Times New Roman"/>
        </w:rPr>
      </w:pPr>
      <w:bookmarkStart w:id="4" w:name="_Toc96609163"/>
      <w:r w:rsidRPr="009F1E79">
        <w:rPr>
          <w:rFonts w:ascii="Times New Roman" w:hAnsi="Times New Roman"/>
        </w:rPr>
        <w:t>II.</w:t>
      </w:r>
      <w:r w:rsidRPr="009F1E79">
        <w:rPr>
          <w:rFonts w:ascii="Times New Roman" w:hAnsi="Times New Roman"/>
        </w:rPr>
        <w:tab/>
        <w:t>THE PUCO SHOULD REJECT THE PROPOSED SETTLEMENT BECAUSE IT DOES NOT MEET THE THREE-PRONG TEST</w:t>
      </w:r>
      <w:r w:rsidRPr="009F1E79" w:rsidR="00F854B7">
        <w:rPr>
          <w:rFonts w:ascii="Times New Roman" w:hAnsi="Times New Roman"/>
        </w:rPr>
        <w:t xml:space="preserve"> AND IS CONTRARY TO THE PUCO’S OWN GUIDELINES </w:t>
      </w:r>
      <w:r w:rsidRPr="009F1E79" w:rsidR="004E7100">
        <w:rPr>
          <w:rFonts w:ascii="Times New Roman" w:hAnsi="Times New Roman"/>
        </w:rPr>
        <w:t>F</w:t>
      </w:r>
      <w:r w:rsidRPr="009F1E79" w:rsidR="008B3CC1">
        <w:rPr>
          <w:rFonts w:ascii="Times New Roman" w:hAnsi="Times New Roman"/>
        </w:rPr>
        <w:t xml:space="preserve">OR </w:t>
      </w:r>
      <w:r w:rsidRPr="009F1E79" w:rsidR="00F854B7">
        <w:rPr>
          <w:rFonts w:ascii="Times New Roman" w:hAnsi="Times New Roman"/>
        </w:rPr>
        <w:t>APPROV</w:t>
      </w:r>
      <w:r w:rsidRPr="009F1E79" w:rsidR="004E7100">
        <w:rPr>
          <w:rFonts w:ascii="Times New Roman" w:hAnsi="Times New Roman"/>
        </w:rPr>
        <w:t>AL OF</w:t>
      </w:r>
      <w:r w:rsidRPr="009F1E79" w:rsidR="00F854B7">
        <w:rPr>
          <w:rFonts w:ascii="Times New Roman" w:hAnsi="Times New Roman"/>
        </w:rPr>
        <w:t xml:space="preserve"> THE PILOT PROGRAM</w:t>
      </w:r>
      <w:bookmarkEnd w:id="4"/>
    </w:p>
    <w:p w:rsidR="0099657E" w:rsidRPr="009F1E79" w:rsidP="00164B14" w14:paraId="14A65425" w14:textId="7443F652">
      <w:pPr>
        <w:pStyle w:val="Heading2"/>
        <w:rPr>
          <w:rFonts w:ascii="Times New Roman" w:hAnsi="Times New Roman"/>
          <w:szCs w:val="24"/>
        </w:rPr>
      </w:pPr>
      <w:bookmarkStart w:id="5" w:name="_Toc96609164"/>
      <w:r w:rsidRPr="009F1E79">
        <w:rPr>
          <w:rFonts w:ascii="Times New Roman" w:hAnsi="Times New Roman"/>
          <w:szCs w:val="24"/>
        </w:rPr>
        <w:t>A.</w:t>
      </w:r>
      <w:r w:rsidRPr="009F1E79" w:rsidR="00164B14">
        <w:rPr>
          <w:rFonts w:ascii="Times New Roman" w:hAnsi="Times New Roman"/>
          <w:szCs w:val="24"/>
        </w:rPr>
        <w:tab/>
      </w:r>
      <w:r w:rsidRPr="009F1E79">
        <w:rPr>
          <w:rFonts w:ascii="Times New Roman" w:hAnsi="Times New Roman"/>
          <w:szCs w:val="24"/>
        </w:rPr>
        <w:t>The Applicant/PUCO Settlement does not benefit consumers or the public interest and should be rejected.</w:t>
      </w:r>
      <w:bookmarkEnd w:id="5"/>
    </w:p>
    <w:p w:rsidR="00427184" w:rsidRPr="009F1E79" w:rsidP="00427184" w14:paraId="4BF6BE1F" w14:textId="63C5DDAA">
      <w:pPr>
        <w:spacing w:line="480" w:lineRule="auto"/>
        <w:ind w:firstLine="720"/>
        <w:rPr>
          <w:szCs w:val="24"/>
        </w:rPr>
      </w:pPr>
      <w:r w:rsidRPr="009F1E79">
        <w:rPr>
          <w:szCs w:val="24"/>
        </w:rPr>
        <w:t>The Applicant claims that the Settlement will benefit the public interest by enabling or “incentivizing” the Applicant to manage its transmission costs.</w:t>
      </w:r>
      <w:r>
        <w:rPr>
          <w:rStyle w:val="FootnoteReference"/>
          <w:szCs w:val="24"/>
        </w:rPr>
        <w:footnoteReference w:id="19"/>
      </w:r>
      <w:r w:rsidRPr="009F1E79">
        <w:rPr>
          <w:szCs w:val="24"/>
        </w:rPr>
        <w:t xml:space="preserve"> </w:t>
      </w:r>
      <w:r w:rsidRPr="009F1E79">
        <w:rPr>
          <w:szCs w:val="24"/>
        </w:rPr>
        <w:t>Clearly, by joining the Rider NMB opt-out pilot program, the Applicant’s own transmission payments will be reduced.</w:t>
      </w:r>
      <w:r>
        <w:rPr>
          <w:rStyle w:val="FootnoteReference"/>
          <w:szCs w:val="24"/>
        </w:rPr>
        <w:footnoteReference w:id="20"/>
      </w:r>
      <w:r w:rsidRPr="009F1E79">
        <w:rPr>
          <w:szCs w:val="24"/>
        </w:rPr>
        <w:t xml:space="preserve"> But FirstEnergy’s non-market</w:t>
      </w:r>
      <w:r w:rsidRPr="009F1E79" w:rsidR="0087448E">
        <w:rPr>
          <w:szCs w:val="24"/>
        </w:rPr>
        <w:t>-</w:t>
      </w:r>
      <w:r w:rsidRPr="009F1E79">
        <w:rPr>
          <w:szCs w:val="24"/>
        </w:rPr>
        <w:t xml:space="preserve">based transmission costs will persist and other customers will </w:t>
      </w:r>
      <w:r w:rsidRPr="009F1E79" w:rsidR="00392F74">
        <w:rPr>
          <w:szCs w:val="24"/>
        </w:rPr>
        <w:t xml:space="preserve">have to </w:t>
      </w:r>
      <w:r w:rsidRPr="009F1E79">
        <w:rPr>
          <w:szCs w:val="24"/>
        </w:rPr>
        <w:t xml:space="preserve">pay </w:t>
      </w:r>
      <w:r w:rsidRPr="009F1E79" w:rsidR="00392F74">
        <w:rPr>
          <w:szCs w:val="24"/>
        </w:rPr>
        <w:t xml:space="preserve">more </w:t>
      </w:r>
      <w:r w:rsidRPr="009F1E79">
        <w:rPr>
          <w:szCs w:val="24"/>
        </w:rPr>
        <w:t>to make FirstEnergy whole.</w:t>
      </w:r>
      <w:r>
        <w:rPr>
          <w:rStyle w:val="FootnoteReference"/>
          <w:szCs w:val="24"/>
        </w:rPr>
        <w:footnoteReference w:id="21"/>
      </w:r>
      <w:r w:rsidRPr="009F1E79">
        <w:rPr>
          <w:szCs w:val="24"/>
        </w:rPr>
        <w:t xml:space="preserve"> </w:t>
      </w:r>
    </w:p>
    <w:p w:rsidR="00A51E6E" w:rsidRPr="009F1E79" w:rsidP="001E6F31" w14:paraId="53E896D2" w14:textId="039CE665">
      <w:pPr>
        <w:spacing w:line="480" w:lineRule="auto"/>
        <w:ind w:firstLine="720"/>
        <w:rPr>
          <w:szCs w:val="24"/>
        </w:rPr>
      </w:pPr>
      <w:r w:rsidRPr="009F1E79">
        <w:rPr>
          <w:szCs w:val="24"/>
        </w:rPr>
        <w:t xml:space="preserve">The Applicant claims that the </w:t>
      </w:r>
      <w:r w:rsidRPr="009F1E79">
        <w:rPr>
          <w:szCs w:val="24"/>
        </w:rPr>
        <w:t>“</w:t>
      </w:r>
      <w:r w:rsidRPr="009F1E79">
        <w:rPr>
          <w:szCs w:val="24"/>
        </w:rPr>
        <w:t>proposed reasonable arrangement will not have any significant impact on other Toledo Edison customers</w:t>
      </w:r>
      <w:r w:rsidRPr="009F1E79">
        <w:rPr>
          <w:szCs w:val="24"/>
        </w:rPr>
        <w:t>.”</w:t>
      </w:r>
      <w:r>
        <w:rPr>
          <w:rStyle w:val="FootnoteReference"/>
          <w:szCs w:val="24"/>
        </w:rPr>
        <w:footnoteReference w:id="22"/>
      </w:r>
      <w:r w:rsidRPr="009F1E79">
        <w:rPr>
          <w:szCs w:val="24"/>
        </w:rPr>
        <w:t xml:space="preserve"> The Applicant argues that the “proposed reasonable arrangement will not result in cost-shifting.”</w:t>
      </w:r>
      <w:r>
        <w:rPr>
          <w:rStyle w:val="FootnoteReference"/>
          <w:szCs w:val="24"/>
        </w:rPr>
        <w:footnoteReference w:id="23"/>
      </w:r>
      <w:r w:rsidRPr="009F1E79">
        <w:rPr>
          <w:szCs w:val="24"/>
        </w:rPr>
        <w:t xml:space="preserve"> The Applicant </w:t>
      </w:r>
      <w:r w:rsidRPr="009F1E79" w:rsidR="00891CD2">
        <w:rPr>
          <w:szCs w:val="24"/>
        </w:rPr>
        <w:t xml:space="preserve">then </w:t>
      </w:r>
      <w:r w:rsidRPr="009F1E79">
        <w:rPr>
          <w:szCs w:val="24"/>
        </w:rPr>
        <w:t>qualifies this assertion by claiming that even if “there is impact on other customers, that potential impact would be de minimus.”</w:t>
      </w:r>
      <w:r>
        <w:rPr>
          <w:rStyle w:val="FootnoteReference"/>
          <w:szCs w:val="24"/>
        </w:rPr>
        <w:footnoteReference w:id="24"/>
      </w:r>
      <w:r w:rsidRPr="009F1E79">
        <w:rPr>
          <w:szCs w:val="24"/>
        </w:rPr>
        <w:t xml:space="preserve"> </w:t>
      </w:r>
    </w:p>
    <w:p w:rsidR="006D3FB3" w:rsidRPr="009F1E79" w:rsidP="001E6F31" w14:paraId="1CEED97F" w14:textId="277651F2">
      <w:pPr>
        <w:spacing w:line="480" w:lineRule="auto"/>
        <w:ind w:firstLine="720"/>
        <w:rPr>
          <w:szCs w:val="24"/>
        </w:rPr>
      </w:pPr>
      <w:r w:rsidRPr="009F1E79">
        <w:rPr>
          <w:szCs w:val="24"/>
        </w:rPr>
        <w:t>But o</w:t>
      </w:r>
      <w:r w:rsidRPr="009F1E79" w:rsidR="00050D37">
        <w:rPr>
          <w:szCs w:val="24"/>
        </w:rPr>
        <w:t>n cross-examination</w:t>
      </w:r>
      <w:r w:rsidRPr="009F1E79" w:rsidR="0087448E">
        <w:rPr>
          <w:szCs w:val="24"/>
        </w:rPr>
        <w:t>,</w:t>
      </w:r>
      <w:r w:rsidRPr="009F1E79" w:rsidR="00050D37">
        <w:rPr>
          <w:szCs w:val="24"/>
        </w:rPr>
        <w:t xml:space="preserve"> Applicant’s witness Seryak admitted that transmission rates charged to other customers would increase if Applicant’s unique arrangement were approved.</w:t>
      </w:r>
      <w:r>
        <w:rPr>
          <w:rStyle w:val="FootnoteReference"/>
          <w:szCs w:val="24"/>
        </w:rPr>
        <w:footnoteReference w:id="25"/>
      </w:r>
      <w:r w:rsidRPr="009F1E79" w:rsidR="00050D37">
        <w:rPr>
          <w:szCs w:val="24"/>
        </w:rPr>
        <w:t xml:space="preserve"> The </w:t>
      </w:r>
      <w:r w:rsidRPr="009F1E79">
        <w:rPr>
          <w:szCs w:val="24"/>
        </w:rPr>
        <w:t>Applicant argues that it has “overpaid its transmission costs” by about $280,000 per year.</w:t>
      </w:r>
      <w:r>
        <w:rPr>
          <w:rStyle w:val="FootnoteReference"/>
          <w:szCs w:val="24"/>
        </w:rPr>
        <w:footnoteReference w:id="26"/>
      </w:r>
      <w:r w:rsidRPr="009F1E79">
        <w:rPr>
          <w:szCs w:val="24"/>
        </w:rPr>
        <w:t xml:space="preserve"> </w:t>
      </w:r>
      <w:r w:rsidRPr="009F1E79" w:rsidR="00C56800">
        <w:rPr>
          <w:szCs w:val="24"/>
        </w:rPr>
        <w:t>Applicant’</w:t>
      </w:r>
      <w:r w:rsidRPr="009F1E79" w:rsidR="00891CD2">
        <w:rPr>
          <w:szCs w:val="24"/>
        </w:rPr>
        <w:t>s</w:t>
      </w:r>
      <w:r w:rsidRPr="009F1E79" w:rsidR="00C56800">
        <w:rPr>
          <w:szCs w:val="24"/>
        </w:rPr>
        <w:t xml:space="preserve"> witness testified that charges of approximately $280,000</w:t>
      </w:r>
      <w:r w:rsidRPr="009F1E79" w:rsidR="00891CD2">
        <w:rPr>
          <w:szCs w:val="24"/>
        </w:rPr>
        <w:t xml:space="preserve"> </w:t>
      </w:r>
      <w:r w:rsidRPr="009F1E79" w:rsidR="00C56800">
        <w:rPr>
          <w:szCs w:val="24"/>
        </w:rPr>
        <w:t xml:space="preserve">per year may </w:t>
      </w:r>
      <w:r w:rsidRPr="009F1E79" w:rsidR="00B12881">
        <w:rPr>
          <w:szCs w:val="24"/>
        </w:rPr>
        <w:t>be</w:t>
      </w:r>
      <w:r w:rsidRPr="009F1E79" w:rsidR="00C56800">
        <w:rPr>
          <w:szCs w:val="24"/>
        </w:rPr>
        <w:t xml:space="preserve"> shifted for other customers to pay.</w:t>
      </w:r>
      <w:r>
        <w:rPr>
          <w:rStyle w:val="FootnoteReference"/>
          <w:szCs w:val="24"/>
        </w:rPr>
        <w:footnoteReference w:id="27"/>
      </w:r>
      <w:r w:rsidRPr="009F1E79" w:rsidR="00C56800">
        <w:rPr>
          <w:szCs w:val="24"/>
        </w:rPr>
        <w:t xml:space="preserve"> </w:t>
      </w:r>
    </w:p>
    <w:p w:rsidR="00184213" w:rsidRPr="009F1E79" w:rsidP="001E6F31" w14:paraId="121AA37F" w14:textId="6B4CC945">
      <w:pPr>
        <w:spacing w:line="480" w:lineRule="auto"/>
        <w:ind w:firstLine="720"/>
        <w:rPr>
          <w:szCs w:val="24"/>
        </w:rPr>
      </w:pPr>
      <w:r w:rsidRPr="009F1E79">
        <w:rPr>
          <w:szCs w:val="24"/>
        </w:rPr>
        <w:t xml:space="preserve">The Applicant’s argument </w:t>
      </w:r>
      <w:r w:rsidRPr="009F1E79" w:rsidR="004E7100">
        <w:rPr>
          <w:szCs w:val="24"/>
        </w:rPr>
        <w:t xml:space="preserve">– </w:t>
      </w:r>
      <w:r w:rsidRPr="009F1E79">
        <w:rPr>
          <w:szCs w:val="24"/>
        </w:rPr>
        <w:t xml:space="preserve">that there is no impact on other customers, and even if there </w:t>
      </w:r>
      <w:r w:rsidRPr="009F1E79" w:rsidR="00891CD2">
        <w:rPr>
          <w:szCs w:val="24"/>
        </w:rPr>
        <w:t>is</w:t>
      </w:r>
      <w:r w:rsidRPr="009F1E79">
        <w:rPr>
          <w:szCs w:val="24"/>
        </w:rPr>
        <w:t xml:space="preserve"> an impact, it is de minimus</w:t>
      </w:r>
      <w:r w:rsidRPr="009F1E79" w:rsidR="004E7100">
        <w:rPr>
          <w:szCs w:val="24"/>
        </w:rPr>
        <w:t xml:space="preserve"> –</w:t>
      </w:r>
      <w:r w:rsidRPr="009F1E79">
        <w:rPr>
          <w:szCs w:val="24"/>
        </w:rPr>
        <w:t xml:space="preserve"> is disingenuous. First, on cross-examination, Applicant’s witness admitted that costs </w:t>
      </w:r>
      <w:r w:rsidRPr="009F1E79" w:rsidR="00392F74">
        <w:rPr>
          <w:szCs w:val="24"/>
        </w:rPr>
        <w:t xml:space="preserve">would </w:t>
      </w:r>
      <w:r w:rsidRPr="009F1E79">
        <w:rPr>
          <w:szCs w:val="24"/>
        </w:rPr>
        <w:t>shift to other customers as a result of the reasonable arrangement</w:t>
      </w:r>
      <w:r w:rsidRPr="009F1E79">
        <w:rPr>
          <w:szCs w:val="24"/>
        </w:rPr>
        <w:t xml:space="preserve"> allowed in the Settlement</w:t>
      </w:r>
      <w:r w:rsidRPr="009F1E79">
        <w:rPr>
          <w:szCs w:val="24"/>
        </w:rPr>
        <w:t>.</w:t>
      </w:r>
      <w:r>
        <w:rPr>
          <w:rStyle w:val="FootnoteReference"/>
          <w:szCs w:val="24"/>
        </w:rPr>
        <w:footnoteReference w:id="28"/>
      </w:r>
      <w:r w:rsidRPr="009F1E79">
        <w:rPr>
          <w:szCs w:val="24"/>
        </w:rPr>
        <w:t xml:space="preserve"> Applicant’s bills </w:t>
      </w:r>
      <w:r w:rsidRPr="009F1E79" w:rsidR="00392F74">
        <w:rPr>
          <w:szCs w:val="24"/>
        </w:rPr>
        <w:t xml:space="preserve">for transmission services </w:t>
      </w:r>
      <w:r w:rsidRPr="009F1E79">
        <w:rPr>
          <w:szCs w:val="24"/>
        </w:rPr>
        <w:t>will be $280,000 less as a result of the Settlement.</w:t>
      </w:r>
      <w:r>
        <w:rPr>
          <w:rStyle w:val="FootnoteReference"/>
          <w:szCs w:val="24"/>
        </w:rPr>
        <w:footnoteReference w:id="29"/>
      </w:r>
      <w:r w:rsidRPr="009F1E79">
        <w:rPr>
          <w:szCs w:val="24"/>
        </w:rPr>
        <w:t xml:space="preserve"> </w:t>
      </w:r>
      <w:r w:rsidRPr="009F1E79" w:rsidR="004E7100">
        <w:rPr>
          <w:szCs w:val="24"/>
        </w:rPr>
        <w:t>FirstEnergy will expect o</w:t>
      </w:r>
      <w:r w:rsidRPr="009F1E79">
        <w:rPr>
          <w:szCs w:val="24"/>
        </w:rPr>
        <w:t xml:space="preserve">ther customers, including residential consumers, </w:t>
      </w:r>
      <w:r w:rsidRPr="009F1E79" w:rsidR="004E7100">
        <w:rPr>
          <w:szCs w:val="24"/>
        </w:rPr>
        <w:t>to make it whole for</w:t>
      </w:r>
      <w:r w:rsidRPr="009F1E79">
        <w:rPr>
          <w:szCs w:val="24"/>
        </w:rPr>
        <w:t xml:space="preserve"> the shortfall to </w:t>
      </w:r>
      <w:r w:rsidRPr="009F1E79" w:rsidR="004E7100">
        <w:rPr>
          <w:szCs w:val="24"/>
        </w:rPr>
        <w:t>FirstEnergy/</w:t>
      </w:r>
      <w:r w:rsidRPr="009F1E79">
        <w:rPr>
          <w:szCs w:val="24"/>
        </w:rPr>
        <w:t>Toledo Edison.</w:t>
      </w:r>
      <w:r>
        <w:rPr>
          <w:rStyle w:val="FootnoteReference"/>
          <w:szCs w:val="24"/>
        </w:rPr>
        <w:footnoteReference w:id="30"/>
      </w:r>
      <w:r w:rsidRPr="009F1E79">
        <w:rPr>
          <w:szCs w:val="24"/>
        </w:rPr>
        <w:t xml:space="preserve"> </w:t>
      </w:r>
      <w:r w:rsidRPr="009F1E79" w:rsidR="00C40379">
        <w:rPr>
          <w:szCs w:val="24"/>
        </w:rPr>
        <w:t>Second, t</w:t>
      </w:r>
      <w:r w:rsidRPr="009F1E79">
        <w:rPr>
          <w:szCs w:val="24"/>
        </w:rPr>
        <w:t xml:space="preserve">he “de minimus” argument is </w:t>
      </w:r>
      <w:r w:rsidRPr="009F1E79" w:rsidR="00C40379">
        <w:rPr>
          <w:szCs w:val="24"/>
        </w:rPr>
        <w:t xml:space="preserve">perhaps </w:t>
      </w:r>
      <w:r w:rsidRPr="009F1E79">
        <w:rPr>
          <w:szCs w:val="24"/>
        </w:rPr>
        <w:t>understandable</w:t>
      </w:r>
      <w:r w:rsidRPr="009F1E79" w:rsidR="00C40379">
        <w:rPr>
          <w:szCs w:val="24"/>
        </w:rPr>
        <w:t xml:space="preserve"> </w:t>
      </w:r>
      <w:r w:rsidRPr="009F1E79">
        <w:rPr>
          <w:szCs w:val="24"/>
        </w:rPr>
        <w:t xml:space="preserve">if this </w:t>
      </w:r>
      <w:r w:rsidRPr="009F1E79" w:rsidR="00C40379">
        <w:rPr>
          <w:szCs w:val="24"/>
        </w:rPr>
        <w:t xml:space="preserve">arrangement </w:t>
      </w:r>
      <w:r w:rsidRPr="009F1E79">
        <w:rPr>
          <w:szCs w:val="24"/>
        </w:rPr>
        <w:t xml:space="preserve">is being looked at </w:t>
      </w:r>
      <w:r w:rsidRPr="009F1E79">
        <w:rPr>
          <w:i/>
          <w:iCs/>
          <w:szCs w:val="24"/>
        </w:rPr>
        <w:t>only</w:t>
      </w:r>
      <w:r w:rsidRPr="009F1E79">
        <w:rPr>
          <w:szCs w:val="24"/>
        </w:rPr>
        <w:t xml:space="preserve"> from Applicant’s perspective. But with the growing number of participants in the pilot program the amo</w:t>
      </w:r>
      <w:r w:rsidRPr="009F1E79" w:rsidR="00C40379">
        <w:rPr>
          <w:szCs w:val="24"/>
        </w:rPr>
        <w:t>unt</w:t>
      </w:r>
      <w:r w:rsidRPr="009F1E79">
        <w:rPr>
          <w:szCs w:val="24"/>
        </w:rPr>
        <w:t xml:space="preserve"> no longer becomes </w:t>
      </w:r>
      <w:r w:rsidRPr="009F1E79" w:rsidR="00C40379">
        <w:rPr>
          <w:szCs w:val="24"/>
        </w:rPr>
        <w:t xml:space="preserve">a </w:t>
      </w:r>
      <w:r w:rsidRPr="009F1E79">
        <w:rPr>
          <w:szCs w:val="24"/>
        </w:rPr>
        <w:t>“de minimus”</w:t>
      </w:r>
      <w:r w:rsidRPr="009F1E79" w:rsidR="007C2F1E">
        <w:rPr>
          <w:szCs w:val="24"/>
        </w:rPr>
        <w:t xml:space="preserve"> i</w:t>
      </w:r>
      <w:r w:rsidRPr="009F1E79" w:rsidR="00C40379">
        <w:rPr>
          <w:szCs w:val="24"/>
        </w:rPr>
        <w:t>mpact</w:t>
      </w:r>
      <w:r w:rsidRPr="009F1E79" w:rsidR="007C2F1E">
        <w:rPr>
          <w:szCs w:val="24"/>
        </w:rPr>
        <w:t xml:space="preserve">.” </w:t>
      </w:r>
    </w:p>
    <w:p w:rsidR="00020499" w:rsidRPr="009F1E79" w:rsidP="00020499" w14:paraId="22FF081E" w14:textId="7BD24723">
      <w:pPr>
        <w:spacing w:line="480" w:lineRule="auto"/>
        <w:ind w:firstLine="720"/>
        <w:rPr>
          <w:szCs w:val="24"/>
        </w:rPr>
      </w:pPr>
      <w:r w:rsidRPr="009F1E79">
        <w:rPr>
          <w:szCs w:val="24"/>
        </w:rPr>
        <w:t>Despite the Applicant’s</w:t>
      </w:r>
      <w:r>
        <w:rPr>
          <w:rStyle w:val="FootnoteReference"/>
          <w:szCs w:val="24"/>
        </w:rPr>
        <w:footnoteReference w:id="31"/>
      </w:r>
      <w:r w:rsidRPr="009F1E79">
        <w:rPr>
          <w:szCs w:val="24"/>
        </w:rPr>
        <w:t xml:space="preserve"> and PUCO Staff’s</w:t>
      </w:r>
      <w:r>
        <w:rPr>
          <w:rStyle w:val="FootnoteReference"/>
          <w:szCs w:val="24"/>
        </w:rPr>
        <w:footnoteReference w:id="32"/>
      </w:r>
      <w:r w:rsidRPr="009F1E79">
        <w:rPr>
          <w:szCs w:val="24"/>
        </w:rPr>
        <w:t xml:space="preserve"> claims to the contrary, the Settlement does not benefit consumers or the public interest</w:t>
      </w:r>
      <w:r w:rsidRPr="009F1E79" w:rsidR="004E7100">
        <w:rPr>
          <w:szCs w:val="24"/>
        </w:rPr>
        <w:t>. It</w:t>
      </w:r>
      <w:r w:rsidRPr="009F1E79">
        <w:rPr>
          <w:szCs w:val="24"/>
        </w:rPr>
        <w:t xml:space="preserve"> thus fails the second prong of the settlement standard because of the cost shifting that it will create. As OCC witness Haugh testified, “costs will be shifted once the Applicant enters the opt-out pilot program…there will be a shortfall of revenue for FirstEnergy and this shortfall will need to be collected from other customers.”</w:t>
      </w:r>
      <w:r>
        <w:rPr>
          <w:rStyle w:val="FootnoteReference"/>
          <w:szCs w:val="24"/>
        </w:rPr>
        <w:footnoteReference w:id="33"/>
      </w:r>
      <w:r w:rsidRPr="009F1E79" w:rsidR="007C2F1E">
        <w:rPr>
          <w:szCs w:val="24"/>
        </w:rPr>
        <w:t xml:space="preserve"> </w:t>
      </w:r>
    </w:p>
    <w:p w:rsidR="004E7100" w:rsidRPr="009F1E79" w:rsidP="00020499" w14:paraId="7A14B26A" w14:textId="213388C0">
      <w:pPr>
        <w:spacing w:line="480" w:lineRule="auto"/>
        <w:ind w:firstLine="720"/>
        <w:rPr>
          <w:szCs w:val="24"/>
        </w:rPr>
      </w:pPr>
      <w:r w:rsidRPr="009F1E79">
        <w:rPr>
          <w:szCs w:val="24"/>
        </w:rPr>
        <w:t>Moreover, t</w:t>
      </w:r>
      <w:r w:rsidRPr="009F1E79" w:rsidR="006D3FB3">
        <w:rPr>
          <w:szCs w:val="24"/>
        </w:rPr>
        <w:t xml:space="preserve">he Settlement offers very little benefit to consumers. </w:t>
      </w:r>
      <w:r w:rsidRPr="009F1E79" w:rsidR="002E5F32">
        <w:rPr>
          <w:szCs w:val="24"/>
        </w:rPr>
        <w:t>The Applicant argues that it has made investments in and paid taxes to the community.</w:t>
      </w:r>
      <w:r>
        <w:rPr>
          <w:rStyle w:val="FootnoteReference"/>
          <w:szCs w:val="24"/>
        </w:rPr>
        <w:footnoteReference w:id="34"/>
      </w:r>
      <w:r w:rsidRPr="009F1E79" w:rsidR="002E5F32">
        <w:rPr>
          <w:szCs w:val="24"/>
        </w:rPr>
        <w:t xml:space="preserve"> </w:t>
      </w:r>
      <w:r w:rsidRPr="009F1E79">
        <w:rPr>
          <w:szCs w:val="24"/>
        </w:rPr>
        <w:t>And says t</w:t>
      </w:r>
      <w:r w:rsidRPr="009F1E79" w:rsidR="002E5F32">
        <w:rPr>
          <w:szCs w:val="24"/>
        </w:rPr>
        <w:t>hat it is “working to add” additional employees.</w:t>
      </w:r>
      <w:r>
        <w:rPr>
          <w:rStyle w:val="FootnoteReference"/>
          <w:szCs w:val="24"/>
        </w:rPr>
        <w:footnoteReference w:id="35"/>
      </w:r>
      <w:r w:rsidRPr="009F1E79" w:rsidR="002E5F32">
        <w:rPr>
          <w:szCs w:val="24"/>
        </w:rPr>
        <w:t xml:space="preserve"> But there is no commitment to continue any of this if the Applicant </w:t>
      </w:r>
      <w:r w:rsidRPr="009F1E79" w:rsidR="00B12881">
        <w:rPr>
          <w:szCs w:val="24"/>
        </w:rPr>
        <w:t>participates</w:t>
      </w:r>
      <w:r w:rsidRPr="009F1E79" w:rsidR="002E5F32">
        <w:rPr>
          <w:szCs w:val="24"/>
        </w:rPr>
        <w:t xml:space="preserve"> in the pilot program</w:t>
      </w:r>
      <w:r w:rsidRPr="009F1E79">
        <w:rPr>
          <w:szCs w:val="24"/>
        </w:rPr>
        <w:t>.</w:t>
      </w:r>
      <w:r w:rsidRPr="009F1E79" w:rsidR="002E5F32">
        <w:rPr>
          <w:szCs w:val="24"/>
        </w:rPr>
        <w:t xml:space="preserve"> </w:t>
      </w:r>
      <w:r w:rsidRPr="009F1E79">
        <w:rPr>
          <w:szCs w:val="24"/>
        </w:rPr>
        <w:t>N</w:t>
      </w:r>
      <w:r w:rsidRPr="009F1E79" w:rsidR="002E5F32">
        <w:rPr>
          <w:szCs w:val="24"/>
        </w:rPr>
        <w:t xml:space="preserve">or </w:t>
      </w:r>
      <w:r w:rsidRPr="009F1E79" w:rsidR="00B12881">
        <w:rPr>
          <w:szCs w:val="24"/>
        </w:rPr>
        <w:t>are</w:t>
      </w:r>
      <w:r w:rsidRPr="009F1E79">
        <w:rPr>
          <w:szCs w:val="24"/>
        </w:rPr>
        <w:t xml:space="preserve"> </w:t>
      </w:r>
      <w:r w:rsidRPr="009F1E79" w:rsidR="002E5F32">
        <w:rPr>
          <w:szCs w:val="24"/>
        </w:rPr>
        <w:t xml:space="preserve">Applicant’s “investments” contingent on approval of the Settlement. </w:t>
      </w:r>
    </w:p>
    <w:p w:rsidR="00020499" w:rsidRPr="009F1E79" w:rsidP="00020499" w14:paraId="2CE73D98" w14:textId="76C837E1">
      <w:pPr>
        <w:spacing w:line="480" w:lineRule="auto"/>
        <w:ind w:firstLine="720"/>
        <w:rPr>
          <w:szCs w:val="24"/>
        </w:rPr>
      </w:pPr>
      <w:r w:rsidRPr="009F1E79">
        <w:rPr>
          <w:szCs w:val="24"/>
        </w:rPr>
        <w:t>The Applicant’s witness testified on cross-examination that it is not committing to a specific level of capital investment in Ohio.</w:t>
      </w:r>
      <w:r>
        <w:rPr>
          <w:rStyle w:val="FootnoteReference"/>
          <w:szCs w:val="24"/>
        </w:rPr>
        <w:footnoteReference w:id="36"/>
      </w:r>
      <w:r w:rsidRPr="009F1E79">
        <w:rPr>
          <w:szCs w:val="24"/>
        </w:rPr>
        <w:t xml:space="preserve"> And it is not guaranteeing a specific employee level</w:t>
      </w:r>
      <w:r>
        <w:rPr>
          <w:rStyle w:val="FootnoteReference"/>
          <w:szCs w:val="24"/>
        </w:rPr>
        <w:footnoteReference w:id="37"/>
      </w:r>
      <w:r w:rsidRPr="009F1E79">
        <w:rPr>
          <w:szCs w:val="24"/>
        </w:rPr>
        <w:t xml:space="preserve"> as a result of approval of the unique arrangement presented in the Settlement. The benefits that the Applicant touts as being provided from the unique </w:t>
      </w:r>
      <w:r w:rsidRPr="009F1E79">
        <w:rPr>
          <w:szCs w:val="24"/>
        </w:rPr>
        <w:t>arrangement will be available whether the PUCO approves the Settlement or not.</w:t>
      </w:r>
      <w:r>
        <w:rPr>
          <w:rStyle w:val="FootnoteReference"/>
          <w:szCs w:val="24"/>
        </w:rPr>
        <w:footnoteReference w:id="38"/>
      </w:r>
      <w:r w:rsidRPr="009F1E79">
        <w:rPr>
          <w:szCs w:val="24"/>
        </w:rPr>
        <w:t xml:space="preserve"> </w:t>
      </w:r>
    </w:p>
    <w:p w:rsidR="00C40379" w:rsidRPr="009F1E79" w:rsidP="00C40379" w14:paraId="3E32A9C4" w14:textId="21B6E212">
      <w:pPr>
        <w:spacing w:line="480" w:lineRule="auto"/>
        <w:ind w:firstLine="720"/>
        <w:rPr>
          <w:szCs w:val="24"/>
        </w:rPr>
      </w:pPr>
      <w:r w:rsidRPr="009F1E79">
        <w:rPr>
          <w:szCs w:val="24"/>
        </w:rPr>
        <w:t>In authorizing the pilot opt-out program, the PUCO ruled that customer participation in the Rider NMB pilot program must be “appropriate” and “in the public interest.”</w:t>
      </w:r>
      <w:r>
        <w:rPr>
          <w:rStyle w:val="FootnoteReference"/>
          <w:szCs w:val="24"/>
        </w:rPr>
        <w:footnoteReference w:id="39"/>
      </w:r>
      <w:r w:rsidRPr="009F1E79">
        <w:rPr>
          <w:szCs w:val="24"/>
        </w:rPr>
        <w:t xml:space="preserve"> </w:t>
      </w:r>
      <w:r w:rsidRPr="009F1E79">
        <w:rPr>
          <w:szCs w:val="24"/>
        </w:rPr>
        <w:t>The purpose of the pilot program was to study “whether such a program would result in benefits to both participating and non-participating customers.”</w:t>
      </w:r>
      <w:r>
        <w:rPr>
          <w:rStyle w:val="FootnoteReference"/>
          <w:szCs w:val="24"/>
        </w:rPr>
        <w:footnoteReference w:id="40"/>
      </w:r>
      <w:r w:rsidRPr="009F1E79">
        <w:rPr>
          <w:szCs w:val="24"/>
        </w:rPr>
        <w:t xml:space="preserve"> The PUCO similarly described the pilot as providing an “opportunity to determine if industrial customers can obtain substantial savings by obtaining certain transmission services outside of Rider NMB without imposing significant costs on other customers</w:t>
      </w:r>
      <w:r w:rsidRPr="009F1E79">
        <w:rPr>
          <w:i/>
          <w:iCs/>
          <w:szCs w:val="24"/>
        </w:rPr>
        <w:t>.</w:t>
      </w:r>
      <w:r w:rsidRPr="009F1E79">
        <w:rPr>
          <w:szCs w:val="24"/>
        </w:rPr>
        <w:t>”</w:t>
      </w:r>
      <w:r>
        <w:rPr>
          <w:rStyle w:val="FootnoteReference"/>
          <w:szCs w:val="24"/>
        </w:rPr>
        <w:footnoteReference w:id="41"/>
      </w:r>
    </w:p>
    <w:p w:rsidR="00F74672" w:rsidRPr="009F1E79" w:rsidP="00020499" w14:paraId="38A78ADC" w14:textId="2C3AC656">
      <w:pPr>
        <w:spacing w:line="480" w:lineRule="auto"/>
        <w:ind w:firstLine="720"/>
        <w:rPr>
          <w:szCs w:val="24"/>
        </w:rPr>
      </w:pPr>
      <w:r w:rsidRPr="009F1E79">
        <w:rPr>
          <w:szCs w:val="24"/>
        </w:rPr>
        <w:t>In this case the Settlement uniquely benefits only the Applicant</w:t>
      </w:r>
      <w:r w:rsidRPr="009F1E79" w:rsidR="004E7100">
        <w:rPr>
          <w:szCs w:val="24"/>
        </w:rPr>
        <w:t>.</w:t>
      </w:r>
      <w:r w:rsidRPr="009F1E79">
        <w:rPr>
          <w:szCs w:val="24"/>
        </w:rPr>
        <w:t xml:space="preserve"> The Settlement offers very little (if any) benefits to other consumers. To the contrary, the Settlement shifts </w:t>
      </w:r>
      <w:r w:rsidRPr="009F1E79" w:rsidR="009A63C0">
        <w:rPr>
          <w:szCs w:val="24"/>
        </w:rPr>
        <w:t xml:space="preserve">costs </w:t>
      </w:r>
      <w:r w:rsidRPr="009F1E79">
        <w:rPr>
          <w:szCs w:val="24"/>
        </w:rPr>
        <w:t>fr</w:t>
      </w:r>
      <w:r w:rsidRPr="009F1E79" w:rsidR="009A63C0">
        <w:rPr>
          <w:szCs w:val="24"/>
        </w:rPr>
        <w:t>om</w:t>
      </w:r>
      <w:r w:rsidRPr="009F1E79">
        <w:rPr>
          <w:szCs w:val="24"/>
        </w:rPr>
        <w:t xml:space="preserve"> Applicant</w:t>
      </w:r>
      <w:r w:rsidRPr="009F1E79" w:rsidR="009D2168">
        <w:rPr>
          <w:szCs w:val="24"/>
        </w:rPr>
        <w:t xml:space="preserve"> </w:t>
      </w:r>
      <w:r w:rsidRPr="009F1E79">
        <w:rPr>
          <w:szCs w:val="24"/>
        </w:rPr>
        <w:t xml:space="preserve">to other customers. </w:t>
      </w:r>
      <w:r w:rsidRPr="009F1E79" w:rsidR="00020499">
        <w:rPr>
          <w:szCs w:val="24"/>
        </w:rPr>
        <w:t>Because the Settlement does not benefit consumers or the public interest, the Settlement fails the second prong of the PUCO’s settlement standard</w:t>
      </w:r>
      <w:r w:rsidRPr="009F1E79" w:rsidR="004E7100">
        <w:rPr>
          <w:szCs w:val="24"/>
        </w:rPr>
        <w:t>.</w:t>
      </w:r>
      <w:r w:rsidRPr="009F1E79">
        <w:rPr>
          <w:szCs w:val="24"/>
        </w:rPr>
        <w:t xml:space="preserve"> </w:t>
      </w:r>
      <w:r w:rsidRPr="009F1E79" w:rsidR="004E7100">
        <w:rPr>
          <w:szCs w:val="24"/>
        </w:rPr>
        <w:t>T</w:t>
      </w:r>
      <w:r w:rsidRPr="009F1E79">
        <w:rPr>
          <w:szCs w:val="24"/>
        </w:rPr>
        <w:t xml:space="preserve">he PUCO should reject </w:t>
      </w:r>
      <w:r w:rsidRPr="009F1E79" w:rsidR="004E7100">
        <w:rPr>
          <w:szCs w:val="24"/>
        </w:rPr>
        <w:t>the Settlement</w:t>
      </w:r>
      <w:r w:rsidRPr="009F1E79" w:rsidR="00020499">
        <w:rPr>
          <w:szCs w:val="24"/>
        </w:rPr>
        <w:t>.</w:t>
      </w:r>
    </w:p>
    <w:p w:rsidR="00F74672" w:rsidRPr="009F1E79" w:rsidP="00F74672" w14:paraId="0E86FEC7" w14:textId="6A5E276B">
      <w:pPr>
        <w:pStyle w:val="Heading2"/>
        <w:rPr>
          <w:rFonts w:ascii="Times New Roman" w:hAnsi="Times New Roman"/>
          <w:szCs w:val="24"/>
        </w:rPr>
      </w:pPr>
      <w:bookmarkStart w:id="6" w:name="_Toc96609165"/>
      <w:r w:rsidRPr="009F1E79">
        <w:rPr>
          <w:rFonts w:ascii="Times New Roman" w:hAnsi="Times New Roman"/>
          <w:szCs w:val="24"/>
        </w:rPr>
        <w:t>B.</w:t>
      </w:r>
      <w:r w:rsidRPr="009F1E79" w:rsidR="008630C4">
        <w:rPr>
          <w:rFonts w:ascii="Times New Roman" w:hAnsi="Times New Roman"/>
          <w:szCs w:val="24"/>
        </w:rPr>
        <w:t xml:space="preserve"> </w:t>
      </w:r>
      <w:r w:rsidRPr="009F1E79" w:rsidR="00CF61A6">
        <w:rPr>
          <w:rFonts w:ascii="Times New Roman" w:hAnsi="Times New Roman"/>
          <w:szCs w:val="24"/>
        </w:rPr>
        <w:tab/>
      </w:r>
      <w:r w:rsidRPr="009F1E79">
        <w:rPr>
          <w:rFonts w:ascii="Times New Roman" w:hAnsi="Times New Roman"/>
          <w:szCs w:val="24"/>
        </w:rPr>
        <w:t>The Applicant/PUCO Settlement violates regulatory principles and practices and should be rejected.</w:t>
      </w:r>
      <w:bookmarkEnd w:id="6"/>
    </w:p>
    <w:p w:rsidR="000B0474" w:rsidRPr="009F1E79" w:rsidP="000B0474" w14:paraId="6BE8DE80" w14:textId="36D6E1D3">
      <w:pPr>
        <w:spacing w:line="480" w:lineRule="auto"/>
        <w:ind w:firstLine="720"/>
        <w:rPr>
          <w:i/>
          <w:iCs/>
          <w:szCs w:val="24"/>
        </w:rPr>
      </w:pPr>
      <w:r w:rsidRPr="009F1E79">
        <w:rPr>
          <w:szCs w:val="24"/>
        </w:rPr>
        <w:t>The PUCO directed FirstEnergy and the PUCO Staff “to continuously review the actual results of the Rider NMB pilot program and periodically report their findings to the Commission.”</w:t>
      </w:r>
      <w:r>
        <w:rPr>
          <w:rStyle w:val="FootnoteReference"/>
          <w:szCs w:val="24"/>
        </w:rPr>
        <w:footnoteReference w:id="42"/>
      </w:r>
      <w:r w:rsidRPr="009F1E79">
        <w:rPr>
          <w:szCs w:val="24"/>
        </w:rPr>
        <w:t xml:space="preserve"> </w:t>
      </w:r>
      <w:r w:rsidRPr="009F1E79" w:rsidR="0002500D">
        <w:rPr>
          <w:szCs w:val="24"/>
        </w:rPr>
        <w:t>T</w:t>
      </w:r>
      <w:r w:rsidRPr="009F1E79">
        <w:rPr>
          <w:szCs w:val="24"/>
        </w:rPr>
        <w:t xml:space="preserve">he </w:t>
      </w:r>
      <w:r w:rsidRPr="009F1E79" w:rsidR="0002500D">
        <w:rPr>
          <w:szCs w:val="24"/>
        </w:rPr>
        <w:t>A</w:t>
      </w:r>
      <w:r w:rsidRPr="009F1E79" w:rsidR="00C40379">
        <w:rPr>
          <w:szCs w:val="24"/>
        </w:rPr>
        <w:t xml:space="preserve">pplicant claims that </w:t>
      </w:r>
      <w:r w:rsidRPr="009F1E79" w:rsidR="0002500D">
        <w:rPr>
          <w:szCs w:val="24"/>
        </w:rPr>
        <w:t xml:space="preserve">PUCO </w:t>
      </w:r>
      <w:r w:rsidRPr="009F1E79" w:rsidR="00C40379">
        <w:rPr>
          <w:szCs w:val="24"/>
        </w:rPr>
        <w:t xml:space="preserve">Staff has “continuously reviewed” the pilot program as directed by the </w:t>
      </w:r>
      <w:r w:rsidRPr="009F1E79" w:rsidR="0002500D">
        <w:rPr>
          <w:szCs w:val="24"/>
        </w:rPr>
        <w:t>PUCO</w:t>
      </w:r>
      <w:r w:rsidRPr="009F1E79" w:rsidR="00C40379">
        <w:rPr>
          <w:szCs w:val="24"/>
        </w:rPr>
        <w:t>.”</w:t>
      </w:r>
      <w:r>
        <w:rPr>
          <w:rStyle w:val="FootnoteReference"/>
          <w:szCs w:val="24"/>
        </w:rPr>
        <w:footnoteReference w:id="43"/>
      </w:r>
      <w:r w:rsidRPr="009F1E79" w:rsidR="00C40379">
        <w:rPr>
          <w:szCs w:val="24"/>
        </w:rPr>
        <w:t xml:space="preserve"> </w:t>
      </w:r>
      <w:r w:rsidRPr="009F1E79" w:rsidR="00B12881">
        <w:rPr>
          <w:szCs w:val="24"/>
        </w:rPr>
        <w:t>But, a</w:t>
      </w:r>
      <w:r w:rsidRPr="009F1E79" w:rsidR="0002500D">
        <w:rPr>
          <w:szCs w:val="24"/>
        </w:rPr>
        <w:t xml:space="preserve">s </w:t>
      </w:r>
      <w:r w:rsidRPr="009F1E79" w:rsidR="002A39C8">
        <w:rPr>
          <w:szCs w:val="24"/>
        </w:rPr>
        <w:t>the PUCO recognized in its Order, th</w:t>
      </w:r>
      <w:r w:rsidRPr="009F1E79" w:rsidR="00B67C42">
        <w:rPr>
          <w:szCs w:val="24"/>
        </w:rPr>
        <w:t>is review has not occurred but “will be initiated by the end of 2022.”</w:t>
      </w:r>
      <w:r>
        <w:rPr>
          <w:rStyle w:val="FootnoteReference"/>
          <w:szCs w:val="24"/>
        </w:rPr>
        <w:footnoteReference w:id="44"/>
      </w:r>
      <w:r w:rsidRPr="009F1E79" w:rsidR="0002500D">
        <w:rPr>
          <w:szCs w:val="24"/>
        </w:rPr>
        <w:t xml:space="preserve"> </w:t>
      </w:r>
      <w:r w:rsidRPr="009F1E79" w:rsidR="00267267">
        <w:rPr>
          <w:i/>
          <w:iCs/>
          <w:szCs w:val="24"/>
        </w:rPr>
        <w:t>T</w:t>
      </w:r>
      <w:r w:rsidRPr="009F1E79">
        <w:rPr>
          <w:i/>
          <w:iCs/>
          <w:szCs w:val="24"/>
        </w:rPr>
        <w:t>he lack of reviewing and reporting violated</w:t>
      </w:r>
      <w:r w:rsidRPr="009F1E79" w:rsidR="00267267">
        <w:rPr>
          <w:i/>
          <w:iCs/>
          <w:szCs w:val="24"/>
        </w:rPr>
        <w:t xml:space="preserve"> a settlement standard, the settlement standard that</w:t>
      </w:r>
      <w:r w:rsidRPr="009F1E79">
        <w:rPr>
          <w:i/>
          <w:iCs/>
          <w:szCs w:val="24"/>
        </w:rPr>
        <w:t xml:space="preserve"> regulatory principles and practices</w:t>
      </w:r>
      <w:r w:rsidRPr="009F1E79" w:rsidR="00267267">
        <w:rPr>
          <w:i/>
          <w:iCs/>
          <w:szCs w:val="24"/>
        </w:rPr>
        <w:t xml:space="preserve"> were followed</w:t>
      </w:r>
      <w:r w:rsidRPr="009F1E79">
        <w:rPr>
          <w:i/>
          <w:iCs/>
          <w:szCs w:val="24"/>
        </w:rPr>
        <w:t xml:space="preserve">. </w:t>
      </w:r>
    </w:p>
    <w:p w:rsidR="000B0474" w:rsidRPr="009F1E79" w:rsidP="00A047C2" w14:paraId="5FACB5E8" w14:textId="51BF79C1">
      <w:pPr>
        <w:spacing w:line="480" w:lineRule="auto"/>
        <w:ind w:firstLine="720"/>
        <w:rPr>
          <w:szCs w:val="24"/>
        </w:rPr>
      </w:pPr>
      <w:r w:rsidRPr="009F1E79">
        <w:rPr>
          <w:szCs w:val="24"/>
        </w:rPr>
        <w:t>It is true that in various rider proceedings in the last five years, the PUCO Staff has filed reports mentioning the Rider NMB Pilot Program.</w:t>
      </w:r>
      <w:r>
        <w:rPr>
          <w:rStyle w:val="FootnoteReference"/>
          <w:szCs w:val="24"/>
        </w:rPr>
        <w:footnoteReference w:id="45"/>
      </w:r>
      <w:r w:rsidRPr="009F1E79">
        <w:rPr>
          <w:szCs w:val="24"/>
        </w:rPr>
        <w:t xml:space="preserve"> But none of the Staff Reports, including the one most recently filed,</w:t>
      </w:r>
      <w:r>
        <w:rPr>
          <w:rStyle w:val="FootnoteReference"/>
          <w:szCs w:val="24"/>
        </w:rPr>
        <w:footnoteReference w:id="46"/>
      </w:r>
      <w:r w:rsidRPr="009F1E79">
        <w:rPr>
          <w:szCs w:val="24"/>
        </w:rPr>
        <w:t xml:space="preserve"> has information about cost data and do not address what the PUCO directed in authorizing the pilot program.</w:t>
      </w:r>
      <w:r>
        <w:rPr>
          <w:rStyle w:val="FootnoteReference"/>
          <w:szCs w:val="24"/>
        </w:rPr>
        <w:footnoteReference w:id="47"/>
      </w:r>
      <w:r w:rsidRPr="009F1E79">
        <w:rPr>
          <w:szCs w:val="24"/>
        </w:rPr>
        <w:t xml:space="preserve"> </w:t>
      </w:r>
    </w:p>
    <w:p w:rsidR="00A31F8E" w:rsidRPr="009F1E79" w:rsidP="00A047C2" w14:paraId="38D07124" w14:textId="680869B0">
      <w:pPr>
        <w:spacing w:line="480" w:lineRule="auto"/>
        <w:ind w:firstLine="720"/>
        <w:rPr>
          <w:szCs w:val="24"/>
        </w:rPr>
      </w:pPr>
      <w:r w:rsidRPr="009F1E79">
        <w:rPr>
          <w:i/>
          <w:iCs/>
          <w:szCs w:val="24"/>
        </w:rPr>
        <w:t xml:space="preserve">Neither Applicant </w:t>
      </w:r>
      <w:r w:rsidRPr="009F1E79" w:rsidR="00FA0AF9">
        <w:rPr>
          <w:i/>
          <w:iCs/>
          <w:szCs w:val="24"/>
        </w:rPr>
        <w:t>nor</w:t>
      </w:r>
      <w:r w:rsidRPr="009F1E79">
        <w:rPr>
          <w:i/>
          <w:iCs/>
          <w:szCs w:val="24"/>
        </w:rPr>
        <w:t xml:space="preserve"> Staff address</w:t>
      </w:r>
      <w:r w:rsidRPr="009F1E79" w:rsidR="00B67C42">
        <w:rPr>
          <w:i/>
          <w:iCs/>
          <w:szCs w:val="24"/>
        </w:rPr>
        <w:t>es</w:t>
      </w:r>
      <w:r w:rsidRPr="009F1E79">
        <w:rPr>
          <w:i/>
          <w:iCs/>
          <w:szCs w:val="24"/>
        </w:rPr>
        <w:t xml:space="preserve"> the fact that n</w:t>
      </w:r>
      <w:r w:rsidRPr="009F1E79" w:rsidR="00A047C2">
        <w:rPr>
          <w:i/>
          <w:iCs/>
          <w:szCs w:val="24"/>
        </w:rPr>
        <w:t xml:space="preserve">one of these reports provide the PUCO’s expected </w:t>
      </w:r>
      <w:r w:rsidRPr="009F1E79" w:rsidR="00303B75">
        <w:rPr>
          <w:i/>
          <w:iCs/>
          <w:szCs w:val="24"/>
        </w:rPr>
        <w:t>review</w:t>
      </w:r>
      <w:r w:rsidRPr="009F1E79" w:rsidR="00267267">
        <w:rPr>
          <w:i/>
          <w:iCs/>
          <w:szCs w:val="24"/>
        </w:rPr>
        <w:t>. Again</w:t>
      </w:r>
      <w:r w:rsidRPr="009F1E79" w:rsidR="00303B75">
        <w:rPr>
          <w:i/>
          <w:iCs/>
          <w:szCs w:val="24"/>
        </w:rPr>
        <w:t>,</w:t>
      </w:r>
      <w:r w:rsidRPr="009F1E79" w:rsidR="00267267">
        <w:rPr>
          <w:i/>
          <w:iCs/>
          <w:szCs w:val="24"/>
        </w:rPr>
        <w:t xml:space="preserve"> those standards involve:</w:t>
      </w:r>
      <w:r w:rsidRPr="009F1E79" w:rsidR="00A047C2">
        <w:rPr>
          <w:szCs w:val="24"/>
        </w:rPr>
        <w:t xml:space="preserve"> (i) whether there is an aggregate savings in transmission costs for all customers, (ii) whether and how much transmission costs are being shifted to non-participating customers (which would include residential consumers, who cannot participate), (iii) whether the benefits of the pilot program outweigh any costs, and (iv) whether Rider NMB results in an overall cost savings to customers.</w:t>
      </w:r>
      <w:r>
        <w:rPr>
          <w:rStyle w:val="FootnoteReference"/>
          <w:szCs w:val="24"/>
        </w:rPr>
        <w:footnoteReference w:id="48"/>
      </w:r>
      <w:r w:rsidRPr="009F1E79" w:rsidR="00A047C2">
        <w:rPr>
          <w:szCs w:val="24"/>
        </w:rPr>
        <w:t xml:space="preserve"> </w:t>
      </w:r>
    </w:p>
    <w:p w:rsidR="00303B75" w:rsidRPr="009F1E79" w:rsidP="00A047C2" w14:paraId="27368B02" w14:textId="6C22CF77">
      <w:pPr>
        <w:spacing w:line="480" w:lineRule="auto"/>
        <w:ind w:firstLine="720"/>
        <w:rPr>
          <w:szCs w:val="24"/>
        </w:rPr>
      </w:pPr>
      <w:r w:rsidRPr="009F1E79">
        <w:rPr>
          <w:szCs w:val="24"/>
        </w:rPr>
        <w:t xml:space="preserve">The six Staff Reports filed on the NMB rider pilot program </w:t>
      </w:r>
      <w:r w:rsidRPr="009F1E79" w:rsidR="00A31F8E">
        <w:rPr>
          <w:szCs w:val="24"/>
        </w:rPr>
        <w:t>touch on general</w:t>
      </w:r>
      <w:r w:rsidRPr="009F1E79">
        <w:rPr>
          <w:szCs w:val="24"/>
        </w:rPr>
        <w:t xml:space="preserve"> data, but not the criteria. For example, the Staff Report, filed in Case No. 20-1768, identifies that “75 customers are expected to be participating in the Pilot as of March 1, 2021.”</w:t>
      </w:r>
      <w:r>
        <w:rPr>
          <w:rStyle w:val="FootnoteReference"/>
          <w:szCs w:val="24"/>
        </w:rPr>
        <w:footnoteReference w:id="49"/>
      </w:r>
      <w:r w:rsidRPr="009F1E79">
        <w:rPr>
          <w:szCs w:val="24"/>
        </w:rPr>
        <w:t xml:space="preserve"> That’s up from approximately 40 customers “expected to be participating in the Pilot as of March 1, 2017” according to the first Staff Report issued on Rider NMB.</w:t>
      </w:r>
      <w:r>
        <w:rPr>
          <w:rStyle w:val="FootnoteReference"/>
          <w:szCs w:val="24"/>
        </w:rPr>
        <w:footnoteReference w:id="50"/>
      </w:r>
      <w:r w:rsidRPr="009F1E79">
        <w:rPr>
          <w:szCs w:val="24"/>
        </w:rPr>
        <w:t xml:space="preserve"> Each of these two-page Reports briefly describe the number of customers and function of the rider. Additional analyses on the PUCO’s enumerated criteria are not provided. </w:t>
      </w:r>
    </w:p>
    <w:p w:rsidR="002145C3" w:rsidRPr="009F1E79" w:rsidP="00E82377" w14:paraId="27CF7581" w14:textId="54B7DCA7">
      <w:pPr>
        <w:spacing w:line="480" w:lineRule="auto"/>
        <w:ind w:firstLine="720"/>
        <w:rPr>
          <w:i/>
          <w:iCs/>
          <w:szCs w:val="24"/>
        </w:rPr>
      </w:pPr>
      <w:r w:rsidRPr="009F1E79">
        <w:rPr>
          <w:szCs w:val="24"/>
        </w:rPr>
        <w:t>In any event</w:t>
      </w:r>
      <w:r w:rsidRPr="009F1E79" w:rsidR="008C390F">
        <w:rPr>
          <w:szCs w:val="24"/>
        </w:rPr>
        <w:t xml:space="preserve">, </w:t>
      </w:r>
      <w:r w:rsidRPr="009F1E79" w:rsidR="006D18F4">
        <w:rPr>
          <w:szCs w:val="24"/>
        </w:rPr>
        <w:t xml:space="preserve">the cost-shifting impacts upon residential consumers </w:t>
      </w:r>
      <w:r w:rsidRPr="009F1E79">
        <w:rPr>
          <w:szCs w:val="24"/>
        </w:rPr>
        <w:t>have been increasing over the five years without the intended PUCO review. The Applicant claims that what others (such as residential consumers) pay for its rate reductions is</w:t>
      </w:r>
      <w:r w:rsidRPr="009F1E79" w:rsidR="006D18F4">
        <w:rPr>
          <w:szCs w:val="24"/>
        </w:rPr>
        <w:t xml:space="preserve"> “de minimus</w:t>
      </w:r>
      <w:r w:rsidRPr="009F1E79">
        <w:rPr>
          <w:szCs w:val="24"/>
        </w:rPr>
        <w:t>.</w:t>
      </w:r>
      <w:r w:rsidRPr="009F1E79" w:rsidR="006D18F4">
        <w:rPr>
          <w:szCs w:val="24"/>
        </w:rPr>
        <w:t>”</w:t>
      </w:r>
      <w:r>
        <w:rPr>
          <w:rStyle w:val="FootnoteReference"/>
          <w:szCs w:val="24"/>
        </w:rPr>
        <w:footnoteReference w:id="51"/>
      </w:r>
      <w:r w:rsidRPr="009F1E79" w:rsidR="006D18F4">
        <w:rPr>
          <w:szCs w:val="24"/>
        </w:rPr>
        <w:t xml:space="preserve"> </w:t>
      </w:r>
      <w:r w:rsidRPr="009F1E79">
        <w:rPr>
          <w:szCs w:val="24"/>
        </w:rPr>
        <w:t xml:space="preserve">That </w:t>
      </w:r>
      <w:r w:rsidRPr="009F1E79" w:rsidR="00EA7AA0">
        <w:rPr>
          <w:szCs w:val="24"/>
        </w:rPr>
        <w:t>is the wrong perspective.</w:t>
      </w:r>
      <w:r w:rsidR="009F1E79">
        <w:rPr>
          <w:szCs w:val="24"/>
        </w:rPr>
        <w:t xml:space="preserve"> </w:t>
      </w:r>
      <w:r w:rsidRPr="009F1E79" w:rsidR="00EA7AA0">
        <w:rPr>
          <w:szCs w:val="24"/>
        </w:rPr>
        <w:t>The PUCO’s standards for settlements – and the public interest and regulatory principles that are part of those standards – do not support making other customers subsidize these corporate rate reductions so that FirstEnergy is made whole for the Applicant’s (and others’)</w:t>
      </w:r>
      <w:r w:rsidRPr="009F1E79" w:rsidR="009D51A5">
        <w:rPr>
          <w:szCs w:val="24"/>
        </w:rPr>
        <w:t xml:space="preserve"> benefits</w:t>
      </w:r>
      <w:r w:rsidRPr="009F1E79" w:rsidR="00EA7AA0">
        <w:rPr>
          <w:szCs w:val="24"/>
        </w:rPr>
        <w:t xml:space="preserve">. </w:t>
      </w:r>
    </w:p>
    <w:p w:rsidR="006D18F4" w:rsidRPr="009F1E79" w:rsidP="001E6F31" w14:paraId="41DB1B63" w14:textId="7C2131F3">
      <w:pPr>
        <w:spacing w:line="480" w:lineRule="auto"/>
        <w:ind w:firstLine="720"/>
        <w:rPr>
          <w:szCs w:val="24"/>
        </w:rPr>
      </w:pPr>
      <w:r w:rsidRPr="009F1E79">
        <w:rPr>
          <w:szCs w:val="24"/>
        </w:rPr>
        <w:t>The PUCO in its February 23, 2022 Finding and Order</w:t>
      </w:r>
      <w:r>
        <w:rPr>
          <w:rStyle w:val="FootnoteReference"/>
          <w:szCs w:val="24"/>
        </w:rPr>
        <w:footnoteReference w:id="52"/>
      </w:r>
      <w:r w:rsidRPr="009F1E79">
        <w:rPr>
          <w:szCs w:val="24"/>
        </w:rPr>
        <w:t xml:space="preserve"> </w:t>
      </w:r>
      <w:r w:rsidRPr="009F1E79" w:rsidR="00E82377">
        <w:rPr>
          <w:szCs w:val="24"/>
        </w:rPr>
        <w:t>a</w:t>
      </w:r>
      <w:r w:rsidRPr="009F1E79" w:rsidR="000F7FE8">
        <w:rPr>
          <w:szCs w:val="24"/>
        </w:rPr>
        <w:t>cknowledged that the review of Rider NMB called for under FirstEnergy’s electric security plan had not been done.</w:t>
      </w:r>
      <w:r w:rsidR="009F1E79">
        <w:rPr>
          <w:szCs w:val="24"/>
        </w:rPr>
        <w:t xml:space="preserve"> </w:t>
      </w:r>
      <w:r w:rsidRPr="009F1E79" w:rsidR="000F7FE8">
        <w:rPr>
          <w:szCs w:val="24"/>
        </w:rPr>
        <w:t xml:space="preserve">It </w:t>
      </w:r>
      <w:r w:rsidRPr="009F1E79" w:rsidR="006A5187">
        <w:rPr>
          <w:szCs w:val="24"/>
        </w:rPr>
        <w:t>directed the Staff to conduct the</w:t>
      </w:r>
      <w:r w:rsidRPr="009F1E79" w:rsidR="00DB3A45">
        <w:rPr>
          <w:szCs w:val="24"/>
        </w:rPr>
        <w:t xml:space="preserve"> </w:t>
      </w:r>
      <w:r w:rsidRPr="009F1E79" w:rsidR="006A5187">
        <w:rPr>
          <w:szCs w:val="24"/>
        </w:rPr>
        <w:t>long-overdue review</w:t>
      </w:r>
      <w:r w:rsidRPr="009F1E79" w:rsidR="00450015">
        <w:rPr>
          <w:szCs w:val="24"/>
        </w:rPr>
        <w:t>.</w:t>
      </w:r>
      <w:r>
        <w:rPr>
          <w:rStyle w:val="FootnoteReference"/>
          <w:szCs w:val="24"/>
        </w:rPr>
        <w:footnoteReference w:id="53"/>
      </w:r>
      <w:r w:rsidRPr="009F1E79">
        <w:rPr>
          <w:szCs w:val="24"/>
        </w:rPr>
        <w:t xml:space="preserve"> </w:t>
      </w:r>
      <w:r w:rsidRPr="009F1E79" w:rsidR="00450015">
        <w:rPr>
          <w:szCs w:val="24"/>
        </w:rPr>
        <w:t>The S</w:t>
      </w:r>
      <w:r w:rsidRPr="009F1E79" w:rsidR="00123701">
        <w:rPr>
          <w:szCs w:val="24"/>
        </w:rPr>
        <w:t xml:space="preserve">ettlement should </w:t>
      </w:r>
      <w:r w:rsidRPr="009F1E79">
        <w:rPr>
          <w:szCs w:val="24"/>
        </w:rPr>
        <w:t xml:space="preserve">not be approved until the </w:t>
      </w:r>
      <w:r w:rsidRPr="009F1E79" w:rsidR="00362AA4">
        <w:rPr>
          <w:szCs w:val="24"/>
        </w:rPr>
        <w:t xml:space="preserve">PUCO-ordered </w:t>
      </w:r>
      <w:r w:rsidRPr="009F1E79">
        <w:rPr>
          <w:szCs w:val="24"/>
        </w:rPr>
        <w:t xml:space="preserve">Staff review of the pilot program </w:t>
      </w:r>
      <w:r w:rsidRPr="009F1E79" w:rsidR="008C390F">
        <w:rPr>
          <w:szCs w:val="24"/>
        </w:rPr>
        <w:t>is</w:t>
      </w:r>
      <w:r w:rsidRPr="009F1E79">
        <w:rPr>
          <w:szCs w:val="24"/>
        </w:rPr>
        <w:t xml:space="preserve"> </w:t>
      </w:r>
      <w:r w:rsidRPr="009F1E79" w:rsidR="00EA24A6">
        <w:rPr>
          <w:szCs w:val="24"/>
        </w:rPr>
        <w:t xml:space="preserve">completed, debated by parties, and resolved by the PUCO (including as to </w:t>
      </w:r>
      <w:r w:rsidRPr="009F1E79">
        <w:rPr>
          <w:szCs w:val="24"/>
        </w:rPr>
        <w:t>its impact on residential consumers</w:t>
      </w:r>
      <w:r w:rsidRPr="009F1E79" w:rsidR="00EA24A6">
        <w:rPr>
          <w:szCs w:val="24"/>
        </w:rPr>
        <w:t>)</w:t>
      </w:r>
      <w:r w:rsidRPr="009F1E79">
        <w:rPr>
          <w:szCs w:val="24"/>
        </w:rPr>
        <w:t>.</w:t>
      </w:r>
    </w:p>
    <w:p w:rsidR="006D18F4" w:rsidRPr="009F1E79" w:rsidP="006D18F4" w14:paraId="0DB66A6D" w14:textId="6E4BAB29">
      <w:pPr>
        <w:spacing w:line="480" w:lineRule="auto"/>
        <w:ind w:firstLine="720"/>
        <w:rPr>
          <w:szCs w:val="24"/>
        </w:rPr>
      </w:pPr>
      <w:r w:rsidRPr="009F1E79">
        <w:rPr>
          <w:szCs w:val="24"/>
        </w:rPr>
        <w:t>Given this situation and in any event</w:t>
      </w:r>
      <w:r w:rsidRPr="009F1E79" w:rsidR="00B137EE">
        <w:rPr>
          <w:szCs w:val="24"/>
        </w:rPr>
        <w:t xml:space="preserve">, </w:t>
      </w:r>
      <w:r w:rsidRPr="009F1E79">
        <w:rPr>
          <w:szCs w:val="24"/>
        </w:rPr>
        <w:t xml:space="preserve">the PUCO </w:t>
      </w:r>
      <w:r w:rsidRPr="009F1E79">
        <w:rPr>
          <w:szCs w:val="24"/>
        </w:rPr>
        <w:t>should require a consumer protection</w:t>
      </w:r>
      <w:r w:rsidRPr="009F1E79">
        <w:rPr>
          <w:szCs w:val="24"/>
        </w:rPr>
        <w:t xml:space="preserve"> if it approves the Settlement (which it should not approve)</w:t>
      </w:r>
      <w:r w:rsidRPr="009F1E79">
        <w:rPr>
          <w:szCs w:val="24"/>
        </w:rPr>
        <w:t xml:space="preserve">. </w:t>
      </w:r>
      <w:r w:rsidRPr="009F1E79">
        <w:rPr>
          <w:szCs w:val="24"/>
        </w:rPr>
        <w:t>T</w:t>
      </w:r>
      <w:r w:rsidRPr="009F1E79">
        <w:rPr>
          <w:szCs w:val="24"/>
        </w:rPr>
        <w:t>he PUCO should order that any delta revenue or other</w:t>
      </w:r>
      <w:r w:rsidRPr="009F1E79">
        <w:rPr>
          <w:szCs w:val="24"/>
        </w:rPr>
        <w:t xml:space="preserve"> such</w:t>
      </w:r>
      <w:r w:rsidRPr="009F1E79">
        <w:rPr>
          <w:szCs w:val="24"/>
        </w:rPr>
        <w:t xml:space="preserve"> charges</w:t>
      </w:r>
      <w:r w:rsidRPr="009F1E79">
        <w:rPr>
          <w:szCs w:val="24"/>
        </w:rPr>
        <w:t xml:space="preserve"> that</w:t>
      </w:r>
      <w:r w:rsidRPr="009F1E79">
        <w:rPr>
          <w:szCs w:val="24"/>
        </w:rPr>
        <w:t xml:space="preserve"> FirstEnergy</w:t>
      </w:r>
      <w:r w:rsidRPr="009F1E79">
        <w:rPr>
          <w:szCs w:val="24"/>
        </w:rPr>
        <w:t xml:space="preserve"> is allowed to collect </w:t>
      </w:r>
      <w:r w:rsidRPr="009F1E79">
        <w:rPr>
          <w:i/>
          <w:iCs/>
          <w:szCs w:val="24"/>
        </w:rPr>
        <w:t>will be paid</w:t>
      </w:r>
      <w:r w:rsidRPr="009F1E79">
        <w:rPr>
          <w:i/>
          <w:iCs/>
          <w:szCs w:val="24"/>
        </w:rPr>
        <w:t xml:space="preserve"> by customers in the Applicant’s own customer class</w:t>
      </w:r>
      <w:r w:rsidRPr="009F1E79">
        <w:rPr>
          <w:szCs w:val="24"/>
        </w:rPr>
        <w:t xml:space="preserve"> – and not paid by smaller business and residential customers.</w:t>
      </w:r>
      <w:r>
        <w:rPr>
          <w:rStyle w:val="FootnoteReference"/>
          <w:szCs w:val="24"/>
        </w:rPr>
        <w:footnoteReference w:id="54"/>
      </w:r>
      <w:r w:rsidRPr="009F1E79">
        <w:rPr>
          <w:szCs w:val="24"/>
        </w:rPr>
        <w:t xml:space="preserve"> That approach would avoid the unreasonable shifting of charges to the residential and other consumer classes. </w:t>
      </w:r>
    </w:p>
    <w:p w:rsidR="00B137EE" w:rsidRPr="009F1E79" w:rsidP="0015674A" w14:paraId="4C9DB05B" w14:textId="729F87EC">
      <w:pPr>
        <w:pStyle w:val="Heading2"/>
        <w:rPr>
          <w:rFonts w:ascii="Times New Roman" w:hAnsi="Times New Roman"/>
          <w:szCs w:val="24"/>
        </w:rPr>
      </w:pPr>
      <w:bookmarkStart w:id="7" w:name="_Toc96609166"/>
      <w:r w:rsidRPr="009F1E79">
        <w:rPr>
          <w:rFonts w:ascii="Times New Roman" w:hAnsi="Times New Roman"/>
          <w:szCs w:val="24"/>
        </w:rPr>
        <w:t>C.</w:t>
      </w:r>
      <w:r w:rsidRPr="009F1E79" w:rsidR="0015674A">
        <w:rPr>
          <w:rFonts w:ascii="Times New Roman" w:hAnsi="Times New Roman"/>
          <w:szCs w:val="24"/>
        </w:rPr>
        <w:tab/>
      </w:r>
      <w:r w:rsidRPr="009F1E79">
        <w:rPr>
          <w:rFonts w:ascii="Times New Roman" w:hAnsi="Times New Roman"/>
          <w:szCs w:val="24"/>
        </w:rPr>
        <w:t xml:space="preserve">The PUCO should reject the Settlement because it lacks both diversity of those who signed it and serious bargaining among </w:t>
      </w:r>
      <w:r w:rsidRPr="009F1E79" w:rsidR="009D2168">
        <w:rPr>
          <w:rFonts w:ascii="Times New Roman" w:hAnsi="Times New Roman"/>
          <w:szCs w:val="24"/>
        </w:rPr>
        <w:t>parties and</w:t>
      </w:r>
      <w:r w:rsidRPr="009F1E79">
        <w:rPr>
          <w:rFonts w:ascii="Times New Roman" w:hAnsi="Times New Roman"/>
          <w:szCs w:val="24"/>
        </w:rPr>
        <w:t xml:space="preserve"> is a misuse of the settlement standards.</w:t>
      </w:r>
      <w:bookmarkEnd w:id="7"/>
    </w:p>
    <w:p w:rsidR="00B137EE" w:rsidRPr="009F1E79" w:rsidP="00B137EE" w14:paraId="4531E283" w14:textId="0E2C4889">
      <w:pPr>
        <w:spacing w:line="480" w:lineRule="auto"/>
        <w:ind w:firstLine="720"/>
        <w:rPr>
          <w:szCs w:val="24"/>
        </w:rPr>
      </w:pPr>
      <w:r w:rsidRPr="009F1E79">
        <w:rPr>
          <w:szCs w:val="24"/>
        </w:rPr>
        <w:t>T</w:t>
      </w:r>
      <w:r w:rsidRPr="009F1E79" w:rsidR="001E6F31">
        <w:rPr>
          <w:szCs w:val="24"/>
        </w:rPr>
        <w:t xml:space="preserve">he Settlement lacks serious bargaining as it adopts the </w:t>
      </w:r>
      <w:r w:rsidRPr="009F1E79" w:rsidR="009C6986">
        <w:rPr>
          <w:szCs w:val="24"/>
        </w:rPr>
        <w:t>a</w:t>
      </w:r>
      <w:r w:rsidRPr="009F1E79" w:rsidR="001E6F31">
        <w:rPr>
          <w:szCs w:val="24"/>
        </w:rPr>
        <w:t>pplication exactly as it was filed.</w:t>
      </w:r>
      <w:r w:rsidRPr="009F1E79" w:rsidR="00F93097">
        <w:rPr>
          <w:szCs w:val="24"/>
        </w:rPr>
        <w:t xml:space="preserve"> Essentially, </w:t>
      </w:r>
      <w:r w:rsidRPr="009F1E79">
        <w:rPr>
          <w:szCs w:val="24"/>
        </w:rPr>
        <w:t xml:space="preserve">the Settlement was adopted not to compromise but to gain a litigation advantage from the </w:t>
      </w:r>
      <w:r w:rsidRPr="009F1E79" w:rsidR="00666368">
        <w:rPr>
          <w:szCs w:val="24"/>
        </w:rPr>
        <w:t xml:space="preserve">PUCO’s </w:t>
      </w:r>
      <w:r w:rsidRPr="009F1E79">
        <w:rPr>
          <w:szCs w:val="24"/>
        </w:rPr>
        <w:t xml:space="preserve">Settlement standards that favor stipulators. </w:t>
      </w:r>
      <w:r w:rsidRPr="009F1E79" w:rsidR="00FD6B03">
        <w:rPr>
          <w:szCs w:val="24"/>
        </w:rPr>
        <w:t>Under the PUCO’s settlement standard</w:t>
      </w:r>
      <w:r w:rsidRPr="009F1E79" w:rsidR="00666368">
        <w:rPr>
          <w:szCs w:val="24"/>
        </w:rPr>
        <w:t>s</w:t>
      </w:r>
      <w:r w:rsidRPr="009F1E79" w:rsidR="00FD6B03">
        <w:rPr>
          <w:szCs w:val="24"/>
        </w:rPr>
        <w:t xml:space="preserve"> </w:t>
      </w:r>
      <w:r w:rsidRPr="009F1E79" w:rsidR="00666368">
        <w:rPr>
          <w:szCs w:val="24"/>
        </w:rPr>
        <w:t xml:space="preserve">the PUCO reviews the stipulators’ proposal as a “package.” That means parties recommending rejection of the Settlement have to meet the more difficult standard of rejecting the package (all the terms) as compared to arguing against discrete proposals in litigation without a settlement. </w:t>
      </w:r>
      <w:r w:rsidRPr="009F1E79" w:rsidR="00FD6B03">
        <w:rPr>
          <w:szCs w:val="24"/>
        </w:rPr>
        <w:t xml:space="preserve">This is an unfair </w:t>
      </w:r>
      <w:r w:rsidRPr="009F1E79" w:rsidR="00C27BE2">
        <w:rPr>
          <w:szCs w:val="24"/>
        </w:rPr>
        <w:t>scheme</w:t>
      </w:r>
      <w:r w:rsidRPr="009F1E79" w:rsidR="00FD6B03">
        <w:rPr>
          <w:szCs w:val="24"/>
        </w:rPr>
        <w:t xml:space="preserve"> that harms consumers that oppose a settlement. But it is a great benefit to those that seek a lower burden to present their case.</w:t>
      </w:r>
      <w:r w:rsidRPr="009F1E79" w:rsidR="009D2168">
        <w:rPr>
          <w:szCs w:val="24"/>
        </w:rPr>
        <w:t xml:space="preserve"> </w:t>
      </w:r>
      <w:r w:rsidRPr="009F1E79" w:rsidR="00666368">
        <w:rPr>
          <w:szCs w:val="24"/>
        </w:rPr>
        <w:t>G</w:t>
      </w:r>
      <w:r w:rsidRPr="009F1E79">
        <w:rPr>
          <w:szCs w:val="24"/>
        </w:rPr>
        <w:t xml:space="preserve">iven the misuse of </w:t>
      </w:r>
      <w:r w:rsidRPr="009F1E79" w:rsidR="00666368">
        <w:rPr>
          <w:szCs w:val="24"/>
        </w:rPr>
        <w:t>the standards</w:t>
      </w:r>
      <w:r w:rsidRPr="009F1E79">
        <w:rPr>
          <w:szCs w:val="24"/>
        </w:rPr>
        <w:t xml:space="preserve">, the Settlement is not entitled to be considered as a package. </w:t>
      </w:r>
    </w:p>
    <w:p w:rsidR="001E5320" w:rsidRPr="009F1E79" w:rsidP="001E5320" w14:paraId="55EB9101" w14:textId="2C2E740B">
      <w:pPr>
        <w:spacing w:line="480" w:lineRule="auto"/>
        <w:ind w:firstLine="720"/>
        <w:rPr>
          <w:szCs w:val="24"/>
        </w:rPr>
      </w:pPr>
      <w:r w:rsidRPr="009F1E79">
        <w:rPr>
          <w:szCs w:val="24"/>
        </w:rPr>
        <w:t>The Applicant asserts that “no single party is afforded veto power under the first part of the three-part test.”</w:t>
      </w:r>
      <w:r>
        <w:rPr>
          <w:rStyle w:val="FootnoteReference"/>
          <w:szCs w:val="24"/>
        </w:rPr>
        <w:footnoteReference w:id="55"/>
      </w:r>
      <w:r w:rsidRPr="009F1E79">
        <w:rPr>
          <w:szCs w:val="24"/>
        </w:rPr>
        <w:t xml:space="preserve"> A</w:t>
      </w:r>
      <w:r w:rsidRPr="009F1E79" w:rsidR="00B137EE">
        <w:rPr>
          <w:szCs w:val="24"/>
        </w:rPr>
        <w:t xml:space="preserve"> settlement signed merely by the utility and employees</w:t>
      </w:r>
      <w:r w:rsidRPr="009F1E79" w:rsidR="00666368">
        <w:rPr>
          <w:szCs w:val="24"/>
        </w:rPr>
        <w:t xml:space="preserve"> (Staff)</w:t>
      </w:r>
      <w:r w:rsidRPr="009F1E79" w:rsidR="00B137EE">
        <w:rPr>
          <w:szCs w:val="24"/>
        </w:rPr>
        <w:t xml:space="preserve"> of the PUCO itself, in a case with opposition to it by </w:t>
      </w:r>
      <w:r w:rsidRPr="009F1E79">
        <w:rPr>
          <w:szCs w:val="24"/>
        </w:rPr>
        <w:t xml:space="preserve">the party </w:t>
      </w:r>
      <w:r w:rsidRPr="009F1E79" w:rsidR="00B137EE">
        <w:rPr>
          <w:szCs w:val="24"/>
        </w:rPr>
        <w:t>(OCC</w:t>
      </w:r>
      <w:r w:rsidRPr="009F1E79">
        <w:rPr>
          <w:szCs w:val="24"/>
        </w:rPr>
        <w:t>)</w:t>
      </w:r>
      <w:r w:rsidRPr="009F1E79" w:rsidR="00B137EE">
        <w:rPr>
          <w:szCs w:val="24"/>
        </w:rPr>
        <w:t xml:space="preserve"> providing broad representation of </w:t>
      </w:r>
      <w:r w:rsidRPr="009F1E79">
        <w:rPr>
          <w:szCs w:val="24"/>
        </w:rPr>
        <w:t xml:space="preserve">FirstEnergy’s 1.9 million residential </w:t>
      </w:r>
      <w:r w:rsidRPr="009F1E79" w:rsidR="00B137EE">
        <w:rPr>
          <w:szCs w:val="24"/>
        </w:rPr>
        <w:t xml:space="preserve">consumers, should be a non-starter and unfeasible for adoption by the PUCO Commissioners. Giving the </w:t>
      </w:r>
      <w:r w:rsidRPr="009F1E79" w:rsidR="00FD6B03">
        <w:rPr>
          <w:szCs w:val="24"/>
        </w:rPr>
        <w:t xml:space="preserve">Applicant </w:t>
      </w:r>
      <w:r w:rsidRPr="009F1E79" w:rsidR="00B137EE">
        <w:rPr>
          <w:szCs w:val="24"/>
        </w:rPr>
        <w:t>the benefit of the PUCO’s favorable settlement standards to the detriment of consumers, for a settlement that is so lacking in diversity of interests, should not be allowed.</w:t>
      </w:r>
    </w:p>
    <w:p w:rsidR="001E5320" w:rsidRPr="009F1E79" w:rsidP="001E5320" w14:paraId="3FD99069" w14:textId="77777777">
      <w:pPr>
        <w:ind w:firstLine="720"/>
        <w:rPr>
          <w:szCs w:val="24"/>
        </w:rPr>
      </w:pPr>
    </w:p>
    <w:p w:rsidR="00C704BB" w:rsidRPr="009F1E79" w:rsidP="001E5320" w14:paraId="6F626B38" w14:textId="39EC84D2">
      <w:pPr>
        <w:pStyle w:val="Heading1"/>
        <w:rPr>
          <w:rFonts w:ascii="Times New Roman" w:hAnsi="Times New Roman"/>
        </w:rPr>
      </w:pPr>
      <w:bookmarkStart w:id="8" w:name="_Toc96609167"/>
      <w:r w:rsidRPr="009F1E79">
        <w:rPr>
          <w:rFonts w:ascii="Times New Roman" w:hAnsi="Times New Roman"/>
        </w:rPr>
        <w:t xml:space="preserve">III. </w:t>
      </w:r>
      <w:r w:rsidRPr="009F1E79" w:rsidR="001E5320">
        <w:rPr>
          <w:rFonts w:ascii="Times New Roman" w:hAnsi="Times New Roman"/>
        </w:rPr>
        <w:tab/>
      </w:r>
      <w:r w:rsidRPr="009F1E79">
        <w:rPr>
          <w:rFonts w:ascii="Times New Roman" w:hAnsi="Times New Roman"/>
        </w:rPr>
        <w:t>CONCLUSION</w:t>
      </w:r>
      <w:bookmarkEnd w:id="8"/>
    </w:p>
    <w:p w:rsidR="00D32702" w:rsidRPr="009F1E79" w:rsidP="00824465" w14:paraId="2DB82AF9" w14:textId="0DBE7371">
      <w:pPr>
        <w:spacing w:line="480" w:lineRule="auto"/>
        <w:ind w:firstLine="720"/>
        <w:rPr>
          <w:szCs w:val="24"/>
        </w:rPr>
      </w:pPr>
      <w:r w:rsidRPr="009F1E79">
        <w:rPr>
          <w:szCs w:val="24"/>
        </w:rPr>
        <w:t>The Settlement does not pass the PUCO’s three-part test for evaluating settlements. The Settlement lacks diversity of interest</w:t>
      </w:r>
      <w:r w:rsidRPr="009F1E79" w:rsidR="009C6986">
        <w:rPr>
          <w:szCs w:val="24"/>
        </w:rPr>
        <w:t>s</w:t>
      </w:r>
      <w:r w:rsidRPr="009F1E79">
        <w:rPr>
          <w:szCs w:val="24"/>
        </w:rPr>
        <w:t xml:space="preserve"> (by virtue of no consumer advocate signing it) and was not the product of serious bargaining (as it simply adopted the application). </w:t>
      </w:r>
      <w:r w:rsidRPr="009F1E79">
        <w:rPr>
          <w:szCs w:val="24"/>
        </w:rPr>
        <w:t xml:space="preserve">The Settlement is a misuse of the PUCO’s settlement standards for the Stipulators to obtain the litigation advantage afforded by those standards, without any real compromise. </w:t>
      </w:r>
      <w:r w:rsidRPr="009F1E79">
        <w:rPr>
          <w:szCs w:val="24"/>
        </w:rPr>
        <w:t xml:space="preserve">The Settlement does not benefit customers and it disserves the public interest (because of the cost shifting that occurs due to the Applicant’s participation in the pilot program). </w:t>
      </w:r>
    </w:p>
    <w:p w:rsidR="003F6E64" w:rsidRPr="009F1E79" w:rsidP="001E5320" w14:paraId="0645AFA7" w14:textId="5536DC05">
      <w:pPr>
        <w:spacing w:line="480" w:lineRule="auto"/>
        <w:ind w:firstLine="720"/>
        <w:rPr>
          <w:i/>
          <w:iCs/>
          <w:szCs w:val="24"/>
        </w:rPr>
      </w:pPr>
      <w:r w:rsidRPr="009F1E79">
        <w:rPr>
          <w:szCs w:val="24"/>
        </w:rPr>
        <w:t>And the Settlement violates regulatory principles</w:t>
      </w:r>
      <w:r w:rsidRPr="009F1E79" w:rsidR="00666368">
        <w:rPr>
          <w:szCs w:val="24"/>
        </w:rPr>
        <w:t>.</w:t>
      </w:r>
      <w:r w:rsidRPr="009F1E79">
        <w:rPr>
          <w:szCs w:val="24"/>
        </w:rPr>
        <w:t xml:space="preserve"> </w:t>
      </w:r>
      <w:r w:rsidRPr="009F1E79" w:rsidR="00666368">
        <w:rPr>
          <w:szCs w:val="24"/>
        </w:rPr>
        <w:t>T</w:t>
      </w:r>
      <w:r w:rsidRPr="009F1E79">
        <w:rPr>
          <w:szCs w:val="24"/>
        </w:rPr>
        <w:t>he</w:t>
      </w:r>
      <w:r w:rsidRPr="009F1E79" w:rsidR="00666368">
        <w:rPr>
          <w:szCs w:val="24"/>
        </w:rPr>
        <w:t xml:space="preserve"> PUCO’s promised</w:t>
      </w:r>
      <w:r w:rsidRPr="009F1E79">
        <w:rPr>
          <w:szCs w:val="24"/>
        </w:rPr>
        <w:t xml:space="preserve"> </w:t>
      </w:r>
      <w:r w:rsidRPr="009F1E79" w:rsidR="00666368">
        <w:rPr>
          <w:szCs w:val="24"/>
        </w:rPr>
        <w:t xml:space="preserve">review of the pilot program, including cost-shifting to other customers, has </w:t>
      </w:r>
      <w:r w:rsidRPr="009F1E79" w:rsidR="006A5187">
        <w:rPr>
          <w:szCs w:val="24"/>
        </w:rPr>
        <w:t xml:space="preserve">recently </w:t>
      </w:r>
      <w:r w:rsidRPr="009F1E79" w:rsidR="00362AA4">
        <w:rPr>
          <w:szCs w:val="24"/>
        </w:rPr>
        <w:t xml:space="preserve">been ordered to be done (by the end of 2022) but has </w:t>
      </w:r>
      <w:r w:rsidRPr="009F1E79" w:rsidR="00666368">
        <w:rPr>
          <w:szCs w:val="24"/>
        </w:rPr>
        <w:t xml:space="preserve">yet to be </w:t>
      </w:r>
      <w:r w:rsidRPr="009F1E79" w:rsidR="00362AA4">
        <w:rPr>
          <w:szCs w:val="24"/>
        </w:rPr>
        <w:t xml:space="preserve">completed. </w:t>
      </w:r>
      <w:r w:rsidRPr="009F1E79" w:rsidR="00666368">
        <w:rPr>
          <w:szCs w:val="24"/>
        </w:rPr>
        <w:t xml:space="preserve">Before determining if more large corporate customers of FirstEnergy should be allowed into </w:t>
      </w:r>
      <w:r w:rsidRPr="009F1E79" w:rsidR="004E2424">
        <w:rPr>
          <w:szCs w:val="24"/>
        </w:rPr>
        <w:t>FirstEnergy’s corporate</w:t>
      </w:r>
      <w:r w:rsidRPr="009F1E79" w:rsidR="00666368">
        <w:rPr>
          <w:szCs w:val="24"/>
        </w:rPr>
        <w:t xml:space="preserve"> rate reduction program</w:t>
      </w:r>
      <w:r w:rsidRPr="009F1E79" w:rsidR="004E2424">
        <w:rPr>
          <w:szCs w:val="24"/>
        </w:rPr>
        <w:t xml:space="preserve"> (which others pay)</w:t>
      </w:r>
      <w:r w:rsidRPr="009F1E79" w:rsidR="00666368">
        <w:rPr>
          <w:szCs w:val="24"/>
        </w:rPr>
        <w:t xml:space="preserve">, the </w:t>
      </w:r>
      <w:r w:rsidRPr="009F1E79" w:rsidR="004E2424">
        <w:rPr>
          <w:szCs w:val="24"/>
        </w:rPr>
        <w:t xml:space="preserve">PUCO Staff’s review </w:t>
      </w:r>
      <w:r w:rsidRPr="009F1E79">
        <w:rPr>
          <w:i/>
          <w:iCs/>
          <w:szCs w:val="24"/>
        </w:rPr>
        <w:t>should be completed, made public</w:t>
      </w:r>
      <w:r w:rsidRPr="009F1E79" w:rsidR="004E2424">
        <w:rPr>
          <w:i/>
          <w:iCs/>
          <w:szCs w:val="24"/>
        </w:rPr>
        <w:t>, put out for public comment, and resolved by the PUCO.</w:t>
      </w:r>
      <w:r w:rsidR="009F1E79">
        <w:rPr>
          <w:i/>
          <w:iCs/>
          <w:szCs w:val="24"/>
        </w:rPr>
        <w:t xml:space="preserve"> </w:t>
      </w:r>
    </w:p>
    <w:p w:rsidR="00F41378" w:rsidRPr="008B2B08" w:rsidP="008B2B08" w14:paraId="7E97FFD7" w14:textId="414A68DC">
      <w:pPr>
        <w:spacing w:line="480" w:lineRule="auto"/>
        <w:ind w:firstLine="720"/>
        <w:rPr>
          <w:i/>
          <w:iCs/>
          <w:szCs w:val="24"/>
        </w:rPr>
      </w:pPr>
      <w:r w:rsidRPr="009F1E79">
        <w:rPr>
          <w:szCs w:val="24"/>
        </w:rPr>
        <w:t xml:space="preserve">In any event, the PUCO should limit the payment to FirstEnergy for </w:t>
      </w:r>
      <w:r w:rsidRPr="009F1E79" w:rsidR="00C14420">
        <w:rPr>
          <w:szCs w:val="24"/>
        </w:rPr>
        <w:t xml:space="preserve">the </w:t>
      </w:r>
      <w:r w:rsidRPr="009F1E79">
        <w:rPr>
          <w:szCs w:val="24"/>
        </w:rPr>
        <w:t xml:space="preserve">cost-shifting </w:t>
      </w:r>
      <w:r w:rsidRPr="009F1E79" w:rsidR="00C14420">
        <w:rPr>
          <w:szCs w:val="24"/>
        </w:rPr>
        <w:t>of</w:t>
      </w:r>
      <w:r w:rsidRPr="009F1E79">
        <w:rPr>
          <w:szCs w:val="24"/>
        </w:rPr>
        <w:t xml:space="preserve"> large corporate customers. Any payments instituted to make FirstEnergy whole should be paid by the customers of the Applicant’s own rate class, and not by residential and other customers. </w:t>
      </w:r>
    </w:p>
    <w:p w:rsidR="006932DF" w:rsidRPr="009F1E79" w:rsidP="00760E5D" w14:paraId="206F94B8" w14:textId="452D86C5">
      <w:pPr>
        <w:pStyle w:val="BodyTextIndent3"/>
        <w:spacing w:line="240" w:lineRule="auto"/>
        <w:ind w:left="3600" w:right="-672" w:firstLine="0"/>
        <w:rPr>
          <w:szCs w:val="24"/>
        </w:rPr>
      </w:pPr>
      <w:r w:rsidRPr="009F1E79">
        <w:rPr>
          <w:szCs w:val="24"/>
        </w:rPr>
        <w:t>Respectfully submitted,</w:t>
      </w:r>
    </w:p>
    <w:p w:rsidR="006932DF" w:rsidRPr="009F1E79" w:rsidP="006932DF" w14:paraId="73A9272A" w14:textId="77777777">
      <w:pPr>
        <w:pStyle w:val="Footer"/>
        <w:tabs>
          <w:tab w:val="clear" w:pos="4320"/>
          <w:tab w:val="clear" w:pos="8640"/>
        </w:tabs>
        <w:spacing w:before="240"/>
        <w:ind w:firstLine="3600"/>
        <w:rPr>
          <w:sz w:val="24"/>
          <w:szCs w:val="24"/>
        </w:rPr>
      </w:pPr>
      <w:r w:rsidRPr="009F1E79">
        <w:rPr>
          <w:sz w:val="24"/>
          <w:szCs w:val="24"/>
        </w:rPr>
        <w:t>Bruce Weston (0016973)</w:t>
      </w:r>
    </w:p>
    <w:p w:rsidR="006932DF" w:rsidRPr="009F1E79" w:rsidP="006932DF" w14:paraId="3B506BAC" w14:textId="77777777">
      <w:pPr>
        <w:tabs>
          <w:tab w:val="left" w:pos="4320"/>
        </w:tabs>
        <w:ind w:firstLine="3600"/>
        <w:rPr>
          <w:szCs w:val="24"/>
        </w:rPr>
      </w:pPr>
      <w:r w:rsidRPr="009F1E79">
        <w:rPr>
          <w:szCs w:val="24"/>
        </w:rPr>
        <w:t>Ohio Consumers’ Counsel</w:t>
      </w:r>
    </w:p>
    <w:p w:rsidR="006932DF" w:rsidRPr="009F1E79" w:rsidP="006932DF" w14:paraId="173F713D" w14:textId="77777777">
      <w:pPr>
        <w:tabs>
          <w:tab w:val="left" w:pos="4320"/>
        </w:tabs>
        <w:ind w:firstLine="3600"/>
        <w:rPr>
          <w:szCs w:val="24"/>
        </w:rPr>
      </w:pPr>
    </w:p>
    <w:p w:rsidR="006932DF" w:rsidRPr="009F1E79" w:rsidP="006932DF" w14:paraId="77E7FD22" w14:textId="77777777">
      <w:pPr>
        <w:tabs>
          <w:tab w:val="left" w:pos="4320"/>
        </w:tabs>
        <w:ind w:firstLine="3600"/>
        <w:rPr>
          <w:szCs w:val="24"/>
          <w:u w:val="single"/>
        </w:rPr>
      </w:pPr>
      <w:r w:rsidRPr="009F1E79">
        <w:rPr>
          <w:szCs w:val="24"/>
          <w:u w:val="single"/>
        </w:rPr>
        <w:t xml:space="preserve">/s/ </w:t>
      </w:r>
      <w:r w:rsidRPr="009F1E79" w:rsidR="00B54C67">
        <w:rPr>
          <w:i/>
          <w:iCs/>
          <w:szCs w:val="24"/>
          <w:u w:val="single"/>
        </w:rPr>
        <w:t>Maureen R. Willis</w:t>
      </w:r>
      <w:r w:rsidRPr="009F1E79">
        <w:rPr>
          <w:szCs w:val="24"/>
          <w:u w:val="single"/>
        </w:rPr>
        <w:tab/>
      </w:r>
      <w:r w:rsidRPr="009F1E79">
        <w:rPr>
          <w:szCs w:val="24"/>
          <w:u w:val="single"/>
        </w:rPr>
        <w:tab/>
      </w:r>
    </w:p>
    <w:p w:rsidR="006932DF" w:rsidRPr="009F1E79" w:rsidP="006932DF" w14:paraId="19E7089A" w14:textId="77777777">
      <w:pPr>
        <w:tabs>
          <w:tab w:val="left" w:pos="4320"/>
        </w:tabs>
        <w:ind w:firstLine="3600"/>
        <w:rPr>
          <w:szCs w:val="24"/>
        </w:rPr>
      </w:pPr>
      <w:r w:rsidRPr="009F1E79">
        <w:rPr>
          <w:szCs w:val="24"/>
        </w:rPr>
        <w:t>Maureen R. Willis</w:t>
      </w:r>
      <w:r w:rsidRPr="009F1E79">
        <w:rPr>
          <w:szCs w:val="24"/>
        </w:rPr>
        <w:t xml:space="preserve"> (</w:t>
      </w:r>
      <w:r w:rsidRPr="009F1E79">
        <w:rPr>
          <w:szCs w:val="24"/>
        </w:rPr>
        <w:t>0020847</w:t>
      </w:r>
      <w:r w:rsidRPr="009F1E79">
        <w:rPr>
          <w:szCs w:val="24"/>
        </w:rPr>
        <w:t>)</w:t>
      </w:r>
    </w:p>
    <w:p w:rsidR="006932DF" w:rsidRPr="009F1E79" w:rsidP="006932DF" w14:paraId="4F41AA2D" w14:textId="77777777">
      <w:pPr>
        <w:tabs>
          <w:tab w:val="left" w:pos="4320"/>
        </w:tabs>
        <w:ind w:firstLine="3600"/>
        <w:rPr>
          <w:szCs w:val="24"/>
        </w:rPr>
      </w:pPr>
      <w:r w:rsidRPr="009F1E79">
        <w:rPr>
          <w:szCs w:val="24"/>
        </w:rPr>
        <w:t>Counsel of Record</w:t>
      </w:r>
    </w:p>
    <w:p w:rsidR="006932DF" w:rsidRPr="009F1E79" w:rsidP="006932DF" w14:paraId="252A5CF6" w14:textId="77777777">
      <w:pPr>
        <w:tabs>
          <w:tab w:val="left" w:pos="4320"/>
        </w:tabs>
        <w:ind w:firstLine="3600"/>
        <w:rPr>
          <w:szCs w:val="24"/>
        </w:rPr>
      </w:pPr>
      <w:r w:rsidRPr="009F1E79">
        <w:rPr>
          <w:szCs w:val="24"/>
        </w:rPr>
        <w:t>Amy Botschner O’Brien (0074423)</w:t>
      </w:r>
    </w:p>
    <w:p w:rsidR="006932DF" w:rsidRPr="009F1E79" w:rsidP="006932DF" w14:paraId="653D1053" w14:textId="77777777">
      <w:pPr>
        <w:tabs>
          <w:tab w:val="left" w:pos="4320"/>
        </w:tabs>
        <w:ind w:firstLine="3600"/>
        <w:rPr>
          <w:szCs w:val="24"/>
        </w:rPr>
      </w:pPr>
      <w:r w:rsidRPr="009F1E79">
        <w:rPr>
          <w:szCs w:val="24"/>
        </w:rPr>
        <w:t>Assistant Consumers’ Counsel</w:t>
      </w:r>
    </w:p>
    <w:p w:rsidR="006932DF" w:rsidRPr="009F1E79" w:rsidP="00760E5D" w14:paraId="72A81A83" w14:textId="77777777">
      <w:pPr>
        <w:pStyle w:val="Heading1"/>
        <w:keepNext w:val="0"/>
        <w:spacing w:after="0"/>
        <w:ind w:right="-648" w:firstLine="3600"/>
        <w:rPr>
          <w:rFonts w:ascii="Times New Roman" w:hAnsi="Times New Roman"/>
        </w:rPr>
      </w:pPr>
    </w:p>
    <w:p w:rsidR="006932DF" w:rsidRPr="009F1E79" w:rsidP="00760E5D" w14:paraId="360E160A" w14:textId="77777777">
      <w:pPr>
        <w:ind w:left="3600"/>
        <w:rPr>
          <w:b/>
          <w:bCs/>
          <w:szCs w:val="24"/>
        </w:rPr>
      </w:pPr>
      <w:bookmarkStart w:id="9" w:name="_Toc94892002"/>
      <w:bookmarkStart w:id="10" w:name="_Toc94892044"/>
      <w:r w:rsidRPr="009F1E79">
        <w:rPr>
          <w:b/>
          <w:bCs/>
          <w:szCs w:val="24"/>
        </w:rPr>
        <w:t>Office of the Ohio Consumers’ Counsel</w:t>
      </w:r>
      <w:bookmarkEnd w:id="9"/>
      <w:bookmarkEnd w:id="10"/>
    </w:p>
    <w:p w:rsidR="006932DF" w:rsidRPr="009F1E79" w:rsidP="00760E5D" w14:paraId="5570609D" w14:textId="77777777">
      <w:pPr>
        <w:ind w:left="3600"/>
        <w:rPr>
          <w:bCs/>
          <w:szCs w:val="24"/>
        </w:rPr>
      </w:pPr>
      <w:bookmarkStart w:id="11" w:name="_Toc94892003"/>
      <w:bookmarkStart w:id="12" w:name="_Toc94892045"/>
      <w:r w:rsidRPr="009F1E79">
        <w:rPr>
          <w:bCs/>
          <w:szCs w:val="24"/>
        </w:rPr>
        <w:t>65 East State Street, Suite 700</w:t>
      </w:r>
      <w:bookmarkEnd w:id="11"/>
      <w:bookmarkEnd w:id="12"/>
    </w:p>
    <w:p w:rsidR="006932DF" w:rsidRPr="009F1E79" w:rsidP="00760E5D" w14:paraId="53373EDA" w14:textId="77777777">
      <w:pPr>
        <w:ind w:left="3600"/>
        <w:rPr>
          <w:bCs/>
          <w:szCs w:val="24"/>
        </w:rPr>
      </w:pPr>
      <w:bookmarkStart w:id="13" w:name="_Toc94892004"/>
      <w:bookmarkStart w:id="14" w:name="_Toc94892046"/>
      <w:r w:rsidRPr="009F1E79">
        <w:rPr>
          <w:bCs/>
          <w:szCs w:val="24"/>
        </w:rPr>
        <w:t>Columbus, Ohio 43215</w:t>
      </w:r>
      <w:bookmarkEnd w:id="13"/>
      <w:bookmarkEnd w:id="14"/>
    </w:p>
    <w:p w:rsidR="006932DF" w:rsidRPr="009F1E79" w:rsidP="006932DF" w14:paraId="0973068B" w14:textId="77777777">
      <w:pPr>
        <w:autoSpaceDE w:val="0"/>
        <w:autoSpaceDN w:val="0"/>
        <w:adjustRightInd w:val="0"/>
        <w:ind w:left="3600"/>
        <w:rPr>
          <w:szCs w:val="24"/>
        </w:rPr>
      </w:pPr>
      <w:r w:rsidRPr="009F1E79">
        <w:rPr>
          <w:szCs w:val="24"/>
        </w:rPr>
        <w:t>Telephone [Willis]: (614) 466-9567</w:t>
      </w:r>
    </w:p>
    <w:p w:rsidR="006932DF" w:rsidRPr="009F1E79" w:rsidP="006932DF" w14:paraId="1CCEB1B4" w14:textId="77777777">
      <w:pPr>
        <w:autoSpaceDE w:val="0"/>
        <w:autoSpaceDN w:val="0"/>
        <w:adjustRightInd w:val="0"/>
        <w:ind w:left="3600"/>
        <w:rPr>
          <w:szCs w:val="24"/>
        </w:rPr>
      </w:pPr>
      <w:r w:rsidRPr="009F1E79">
        <w:rPr>
          <w:szCs w:val="24"/>
        </w:rPr>
        <w:t>Telephone [Botschner O’Brien]: (614) 466-9575</w:t>
      </w:r>
    </w:p>
    <w:p w:rsidR="006932DF" w:rsidRPr="009F1E79" w:rsidP="006932DF" w14:paraId="40840A80" w14:textId="74613376">
      <w:pPr>
        <w:ind w:firstLine="3600"/>
        <w:rPr>
          <w:szCs w:val="24"/>
        </w:rPr>
      </w:pPr>
      <w:hyperlink r:id="rId6" w:history="1">
        <w:r w:rsidRPr="009F1E79">
          <w:rPr>
            <w:rStyle w:val="Hyperlink"/>
            <w:szCs w:val="24"/>
          </w:rPr>
          <w:t>maureen.willis@occ.ohio.gov</w:t>
        </w:r>
      </w:hyperlink>
    </w:p>
    <w:p w:rsidR="006932DF" w:rsidRPr="009F1E79" w:rsidP="006932DF" w14:paraId="2493AE9D" w14:textId="0E074F20">
      <w:pPr>
        <w:ind w:firstLine="3600"/>
        <w:rPr>
          <w:szCs w:val="24"/>
        </w:rPr>
      </w:pPr>
      <w:hyperlink r:id="rId7" w:history="1">
        <w:r w:rsidRPr="009F1E79">
          <w:rPr>
            <w:rStyle w:val="Hyperlink"/>
            <w:szCs w:val="24"/>
          </w:rPr>
          <w:t>amy.botschner.obrien@occ.ohio.gov</w:t>
        </w:r>
      </w:hyperlink>
      <w:r w:rsidRPr="009F1E79">
        <w:rPr>
          <w:szCs w:val="24"/>
        </w:rPr>
        <w:t xml:space="preserve"> </w:t>
      </w:r>
    </w:p>
    <w:p w:rsidR="00CC3C7F" w:rsidRPr="009F1E79" w:rsidP="00C40C59" w14:paraId="1FD662DC" w14:textId="01F7C4D9">
      <w:pPr>
        <w:ind w:firstLine="3600"/>
        <w:rPr>
          <w:szCs w:val="24"/>
        </w:rPr>
      </w:pPr>
      <w:r w:rsidRPr="009F1E79">
        <w:rPr>
          <w:szCs w:val="24"/>
        </w:rPr>
        <w:t>(willing to accept service by email)</w:t>
      </w:r>
    </w:p>
    <w:p w:rsidR="00CC3C7F" w:rsidRPr="009F1E79" w:rsidP="00CC3C7F" w14:paraId="7E9B54C1" w14:textId="77777777">
      <w:pPr>
        <w:autoSpaceDE w:val="0"/>
        <w:autoSpaceDN w:val="0"/>
        <w:adjustRightInd w:val="0"/>
        <w:ind w:left="3600"/>
        <w:rPr>
          <w:szCs w:val="24"/>
        </w:rPr>
      </w:pPr>
    </w:p>
    <w:p w:rsidR="00A044B5" w:rsidRPr="009F1E79" w14:paraId="280F7137" w14:textId="77777777">
      <w:pPr>
        <w:jc w:val="center"/>
        <w:rPr>
          <w:b/>
          <w:bCs/>
          <w:szCs w:val="24"/>
          <w:u w:val="single"/>
        </w:rPr>
      </w:pPr>
      <w:r w:rsidRPr="009F1E79">
        <w:rPr>
          <w:b/>
          <w:bCs/>
          <w:szCs w:val="24"/>
          <w:u w:val="single"/>
        </w:rPr>
        <w:br w:type="page"/>
      </w:r>
      <w:r w:rsidRPr="009F1E79">
        <w:rPr>
          <w:b/>
          <w:bCs/>
          <w:szCs w:val="24"/>
          <w:u w:val="single"/>
        </w:rPr>
        <w:t>CERTIFICATE OF SERVICE</w:t>
      </w:r>
    </w:p>
    <w:p w:rsidR="00760E5D" w:rsidRPr="009F1E79" w14:paraId="7377239E" w14:textId="77777777">
      <w:pPr>
        <w:jc w:val="center"/>
        <w:rPr>
          <w:b/>
          <w:bCs/>
          <w:szCs w:val="24"/>
          <w:u w:val="single"/>
        </w:rPr>
      </w:pPr>
    </w:p>
    <w:p w:rsidR="00A044B5" w:rsidRPr="009F1E79" w:rsidP="00BC10FB" w14:paraId="3C9E6008" w14:textId="705E43C0">
      <w:pPr>
        <w:spacing w:line="480" w:lineRule="auto"/>
        <w:rPr>
          <w:szCs w:val="24"/>
        </w:rPr>
      </w:pPr>
      <w:r w:rsidRPr="009F1E79">
        <w:rPr>
          <w:szCs w:val="24"/>
        </w:rPr>
        <w:tab/>
        <w:t xml:space="preserve">I hereby certify that a copy of this </w:t>
      </w:r>
      <w:r w:rsidR="005C32A7">
        <w:t>Reply Brief for Consumer Protection</w:t>
      </w:r>
      <w:r w:rsidRPr="009F1E79" w:rsidR="008437E7">
        <w:rPr>
          <w:szCs w:val="24"/>
        </w:rPr>
        <w:t xml:space="preserve"> </w:t>
      </w:r>
      <w:r w:rsidRPr="009F1E79">
        <w:rPr>
          <w:szCs w:val="24"/>
        </w:rPr>
        <w:t xml:space="preserve">was served on the persons stated below </w:t>
      </w:r>
      <w:r w:rsidRPr="009F1E79">
        <w:rPr>
          <w:iCs/>
          <w:szCs w:val="24"/>
        </w:rPr>
        <w:t>via</w:t>
      </w:r>
      <w:r w:rsidRPr="009F1E79" w:rsidR="002A4912">
        <w:rPr>
          <w:szCs w:val="24"/>
        </w:rPr>
        <w:t xml:space="preserve"> electronic transmission</w:t>
      </w:r>
      <w:r w:rsidRPr="009F1E79">
        <w:rPr>
          <w:szCs w:val="24"/>
        </w:rPr>
        <w:t xml:space="preserve">, this </w:t>
      </w:r>
      <w:r w:rsidRPr="009F1E79" w:rsidR="00D32702">
        <w:rPr>
          <w:szCs w:val="24"/>
        </w:rPr>
        <w:t>24</w:t>
      </w:r>
      <w:r w:rsidRPr="009F1E79" w:rsidR="00113AA4">
        <w:rPr>
          <w:szCs w:val="24"/>
          <w:vertAlign w:val="superscript"/>
        </w:rPr>
        <w:t>th</w:t>
      </w:r>
      <w:r w:rsidRPr="009F1E79" w:rsidR="00113AA4">
        <w:rPr>
          <w:szCs w:val="24"/>
        </w:rPr>
        <w:t xml:space="preserve"> day of February 2022</w:t>
      </w:r>
      <w:r w:rsidRPr="009F1E79">
        <w:rPr>
          <w:szCs w:val="24"/>
        </w:rPr>
        <w:t>.</w:t>
      </w:r>
    </w:p>
    <w:p w:rsidR="00A044B5" w:rsidRPr="009F1E79" w14:paraId="22D6E1A8" w14:textId="77777777">
      <w:pPr>
        <w:tabs>
          <w:tab w:val="left" w:pos="4320"/>
        </w:tabs>
        <w:rPr>
          <w:i/>
          <w:iCs/>
          <w:szCs w:val="24"/>
          <w:u w:val="single"/>
        </w:rPr>
      </w:pPr>
      <w:r w:rsidRPr="009F1E79">
        <w:rPr>
          <w:szCs w:val="24"/>
        </w:rPr>
        <w:tab/>
      </w:r>
      <w:r w:rsidRPr="009F1E79" w:rsidR="006932DF">
        <w:rPr>
          <w:i/>
          <w:iCs/>
          <w:szCs w:val="24"/>
          <w:u w:val="single"/>
        </w:rPr>
        <w:t>/s/ Maureen R. Willis</w:t>
      </w:r>
      <w:r w:rsidRPr="009F1E79" w:rsidR="006932DF">
        <w:rPr>
          <w:i/>
          <w:iCs/>
          <w:szCs w:val="24"/>
          <w:u w:val="single"/>
        </w:rPr>
        <w:tab/>
      </w:r>
    </w:p>
    <w:p w:rsidR="00A044B5" w:rsidRPr="009F1E79" w14:paraId="289BC033" w14:textId="77777777">
      <w:pPr>
        <w:tabs>
          <w:tab w:val="left" w:pos="4320"/>
        </w:tabs>
        <w:rPr>
          <w:szCs w:val="24"/>
        </w:rPr>
      </w:pPr>
      <w:r w:rsidRPr="009F1E79">
        <w:rPr>
          <w:szCs w:val="24"/>
        </w:rPr>
        <w:tab/>
      </w:r>
      <w:r w:rsidRPr="009F1E79" w:rsidR="00113AA4">
        <w:rPr>
          <w:szCs w:val="24"/>
        </w:rPr>
        <w:t>Maureen Willis</w:t>
      </w:r>
    </w:p>
    <w:p w:rsidR="00A044B5" w:rsidRPr="009F1E79" w14:paraId="7A293A04" w14:textId="77777777">
      <w:pPr>
        <w:tabs>
          <w:tab w:val="left" w:pos="4320"/>
        </w:tabs>
        <w:rPr>
          <w:szCs w:val="24"/>
        </w:rPr>
      </w:pPr>
      <w:r w:rsidRPr="009F1E79">
        <w:rPr>
          <w:szCs w:val="24"/>
        </w:rPr>
        <w:tab/>
        <w:t>Assistant Consumers’ Counsel</w:t>
      </w:r>
    </w:p>
    <w:p w:rsidR="00A044B5" w:rsidRPr="009F1E79" w14:paraId="1AA3B553" w14:textId="77777777">
      <w:pPr>
        <w:pStyle w:val="CommentSubject"/>
        <w:rPr>
          <w:szCs w:val="24"/>
        </w:rPr>
      </w:pPr>
    </w:p>
    <w:p w:rsidR="009F067A" w:rsidRPr="009F1E79" w:rsidP="009F067A" w14:paraId="156FED06" w14:textId="77777777">
      <w:pPr>
        <w:pStyle w:val="CommentText"/>
      </w:pPr>
      <w:r w:rsidRPr="009F1E79">
        <w:t>The PUCO’s e-filing system will electronically serve notice of the filing of this document on the following parties:</w:t>
      </w:r>
    </w:p>
    <w:p w:rsidR="009F067A" w:rsidRPr="009F1E79" w:rsidP="00480607" w14:paraId="01E4B7AE" w14:textId="77777777">
      <w:pPr>
        <w:pStyle w:val="CommentText"/>
      </w:pPr>
    </w:p>
    <w:p w:rsidR="00A044B5" w:rsidRPr="009F1E79" w14:paraId="3E67400A" w14:textId="77777777">
      <w:pPr>
        <w:pStyle w:val="CommentText"/>
      </w:pPr>
    </w:p>
    <w:p w:rsidR="00A044B5" w:rsidRPr="009F1E79" w14:paraId="1A109176" w14:textId="77777777">
      <w:pPr>
        <w:pStyle w:val="CommentText"/>
        <w:jc w:val="center"/>
        <w:rPr>
          <w:b/>
          <w:u w:val="single"/>
        </w:rPr>
      </w:pPr>
      <w:r w:rsidRPr="009F1E79">
        <w:rPr>
          <w:b/>
          <w:u w:val="single"/>
        </w:rPr>
        <w:t>SERVICE LIST</w:t>
      </w:r>
    </w:p>
    <w:p w:rsidR="00317043" w:rsidRPr="009F1E79" w14:paraId="08A90D79" w14:textId="77777777">
      <w:pPr>
        <w:pStyle w:val="CommentText"/>
        <w:jc w:val="center"/>
        <w:rPr>
          <w:b/>
          <w:u w:val="single"/>
        </w:rPr>
      </w:pPr>
    </w:p>
    <w:tbl>
      <w:tblPr>
        <w:tblW w:w="0" w:type="auto"/>
        <w:tblLook w:val="04A0"/>
      </w:tblPr>
      <w:tblGrid>
        <w:gridCol w:w="4105"/>
        <w:gridCol w:w="4535"/>
      </w:tblGrid>
      <w:tr w14:paraId="48732C3A" w14:textId="77777777" w:rsidTr="00E2251E">
        <w:tblPrEx>
          <w:tblW w:w="0" w:type="auto"/>
          <w:tblLook w:val="04A0"/>
        </w:tblPrEx>
        <w:tc>
          <w:tcPr>
            <w:tcW w:w="4428" w:type="dxa"/>
            <w:shd w:val="clear" w:color="auto" w:fill="auto"/>
          </w:tcPr>
          <w:p w:rsidR="006932DF" w:rsidRPr="009F1E79" w:rsidP="00E2251E" w14:paraId="587697DF" w14:textId="4CBA74A4">
            <w:pPr>
              <w:pStyle w:val="CommentText"/>
              <w:rPr>
                <w:bCs/>
              </w:rPr>
            </w:pPr>
            <w:hyperlink r:id="rId10" w:history="1">
              <w:r w:rsidRPr="009F1E79">
                <w:rPr>
                  <w:rStyle w:val="Hyperlink"/>
                  <w:bCs/>
                </w:rPr>
                <w:t>thomas.lindgren@ohioAGO.gov</w:t>
              </w:r>
            </w:hyperlink>
          </w:p>
          <w:p w:rsidR="006932DF" w:rsidRPr="009F1E79" w:rsidP="00E2251E" w14:paraId="58AD39B3" w14:textId="77777777">
            <w:pPr>
              <w:pStyle w:val="CommentText"/>
              <w:rPr>
                <w:bCs/>
              </w:rPr>
            </w:pPr>
          </w:p>
          <w:p w:rsidR="00A6162C" w:rsidRPr="009F1E79" w:rsidP="00E2251E" w14:paraId="088B7341" w14:textId="77777777">
            <w:pPr>
              <w:pStyle w:val="CommentText"/>
              <w:rPr>
                <w:bCs/>
              </w:rPr>
            </w:pPr>
          </w:p>
          <w:p w:rsidR="006932DF" w:rsidRPr="009F1E79" w:rsidP="00E2251E" w14:paraId="68D13551" w14:textId="77777777">
            <w:pPr>
              <w:pStyle w:val="CommentText"/>
              <w:rPr>
                <w:bCs/>
              </w:rPr>
            </w:pPr>
            <w:r w:rsidRPr="009F1E79">
              <w:rPr>
                <w:bCs/>
              </w:rPr>
              <w:t>Attorney Examiners:</w:t>
            </w:r>
          </w:p>
          <w:p w:rsidR="00B15D68" w:rsidRPr="009F1E79" w:rsidP="00B15D68" w14:paraId="3CF740D0" w14:textId="2786B541">
            <w:pPr>
              <w:adjustRightInd w:val="0"/>
              <w:rPr>
                <w:color w:val="0000FF"/>
                <w:szCs w:val="24"/>
                <w:u w:val="single"/>
              </w:rPr>
            </w:pPr>
            <w:hyperlink r:id="rId11" w:history="1">
              <w:r w:rsidRPr="009F1E79">
                <w:rPr>
                  <w:color w:val="0000FF"/>
                  <w:szCs w:val="24"/>
                  <w:u w:val="single"/>
                </w:rPr>
                <w:t>gregory.price@puco.ohio.gov</w:t>
              </w:r>
            </w:hyperlink>
          </w:p>
          <w:p w:rsidR="006932DF" w:rsidRPr="009F1E79" w:rsidP="00E2251E" w14:paraId="747E43FA" w14:textId="49717CFB">
            <w:pPr>
              <w:pStyle w:val="CommentText"/>
              <w:rPr>
                <w:bCs/>
              </w:rPr>
            </w:pPr>
            <w:hyperlink r:id="rId12" w:history="1">
              <w:r w:rsidRPr="009F1E79">
                <w:rPr>
                  <w:rStyle w:val="Hyperlink"/>
                  <w:bCs/>
                </w:rPr>
                <w:t>jacqueline.st.john@puco.ohio.gov</w:t>
              </w:r>
            </w:hyperlink>
          </w:p>
          <w:p w:rsidR="006932DF" w:rsidRPr="009F1E79" w:rsidP="00B15D68" w14:paraId="2B02B48C" w14:textId="77777777">
            <w:pPr>
              <w:adjustRightInd w:val="0"/>
              <w:rPr>
                <w:bCs/>
                <w:szCs w:val="24"/>
              </w:rPr>
            </w:pPr>
          </w:p>
        </w:tc>
        <w:tc>
          <w:tcPr>
            <w:tcW w:w="4428" w:type="dxa"/>
            <w:shd w:val="clear" w:color="auto" w:fill="auto"/>
          </w:tcPr>
          <w:p w:rsidR="006932DF" w:rsidRPr="009F1E79" w:rsidP="00E2251E" w14:paraId="21D539E6" w14:textId="240EB85C">
            <w:pPr>
              <w:autoSpaceDE w:val="0"/>
              <w:autoSpaceDN w:val="0"/>
              <w:adjustRightInd w:val="0"/>
              <w:ind w:left="1332"/>
              <w:rPr>
                <w:color w:val="0000FF"/>
                <w:szCs w:val="24"/>
              </w:rPr>
            </w:pPr>
            <w:hyperlink r:id="rId13" w:history="1">
              <w:r w:rsidRPr="009F1E79">
                <w:rPr>
                  <w:rStyle w:val="Hyperlink"/>
                  <w:szCs w:val="24"/>
                </w:rPr>
                <w:t>bojko@carpenterlipps.com</w:t>
              </w:r>
            </w:hyperlink>
          </w:p>
          <w:p w:rsidR="006932DF" w:rsidRPr="009F1E79" w:rsidP="00E2251E" w14:paraId="0C1AFAA2" w14:textId="2AC06C13">
            <w:pPr>
              <w:pStyle w:val="CommentText"/>
              <w:ind w:left="1332"/>
              <w:rPr>
                <w:color w:val="0000FF"/>
              </w:rPr>
            </w:pPr>
            <w:hyperlink r:id="rId14" w:history="1">
              <w:r w:rsidRPr="009F1E79">
                <w:rPr>
                  <w:rStyle w:val="Hyperlink"/>
                </w:rPr>
                <w:t>wygonski@carpenterlipps.com</w:t>
              </w:r>
            </w:hyperlink>
          </w:p>
          <w:p w:rsidR="006932DF" w:rsidRPr="009F1E79" w:rsidP="00E2251E" w14:paraId="020DD6AC" w14:textId="7A77FB4C">
            <w:pPr>
              <w:pStyle w:val="CommentText"/>
              <w:ind w:left="1332"/>
              <w:rPr>
                <w:color w:val="0563C2"/>
              </w:rPr>
            </w:pPr>
            <w:hyperlink r:id="rId15" w:history="1">
              <w:r w:rsidRPr="009F1E79">
                <w:rPr>
                  <w:rStyle w:val="Hyperlink"/>
                </w:rPr>
                <w:t>bknipe@firstenergycorp.com</w:t>
              </w:r>
            </w:hyperlink>
          </w:p>
          <w:p w:rsidR="006932DF" w:rsidRPr="009F1E79" w:rsidP="00E2251E" w14:paraId="67F13257" w14:textId="77777777">
            <w:pPr>
              <w:pStyle w:val="CommentText"/>
              <w:rPr>
                <w:color w:val="0000FF"/>
              </w:rPr>
            </w:pPr>
          </w:p>
          <w:p w:rsidR="006932DF" w:rsidRPr="009F1E79" w:rsidP="00E2251E" w14:paraId="2B2513BE" w14:textId="77777777">
            <w:pPr>
              <w:pStyle w:val="CommentText"/>
              <w:rPr>
                <w:b/>
                <w:u w:val="single"/>
              </w:rPr>
            </w:pPr>
          </w:p>
        </w:tc>
      </w:tr>
    </w:tbl>
    <w:p w:rsidR="00317043" w:rsidRPr="009F1E79" w14:paraId="05747C80" w14:textId="77777777">
      <w:pPr>
        <w:pStyle w:val="CommentText"/>
        <w:jc w:val="center"/>
        <w:rPr>
          <w:b/>
          <w:u w:val="single"/>
        </w:rPr>
      </w:pPr>
    </w:p>
    <w:p w:rsidR="00A044B5" w:rsidRPr="009F1E79" w14:paraId="60D8DC4A" w14:textId="77777777">
      <w:pPr>
        <w:pStyle w:val="BodyText"/>
        <w:rPr>
          <w:b/>
          <w:bCs/>
          <w:szCs w:val="24"/>
        </w:rPr>
      </w:pPr>
    </w:p>
    <w:p w:rsidR="00A044B5" w:rsidRPr="009F1E79" w14:paraId="7A880003" w14:textId="77777777">
      <w:pPr>
        <w:pStyle w:val="BodyText"/>
        <w:rPr>
          <w:b/>
          <w:bCs/>
          <w:szCs w:val="24"/>
        </w:rPr>
      </w:pPr>
    </w:p>
    <w:sectPr w:rsidSect="008B2B08">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9249152"/>
      <w:docPartObj>
        <w:docPartGallery w:val="Page Numbers (Bottom of Page)"/>
        <w:docPartUnique/>
      </w:docPartObj>
    </w:sdtPr>
    <w:sdtEndPr>
      <w:rPr>
        <w:noProof/>
        <w:sz w:val="24"/>
        <w:szCs w:val="24"/>
      </w:rPr>
    </w:sdtEndPr>
    <w:sdtContent>
      <w:p w:rsidR="00EA24A6" w:rsidRPr="00174266" w14:paraId="11D23416" w14:textId="4E1F9742">
        <w:pPr>
          <w:pStyle w:val="Footer"/>
          <w:jc w:val="center"/>
          <w:rPr>
            <w:sz w:val="24"/>
            <w:szCs w:val="24"/>
          </w:rPr>
        </w:pPr>
        <w:r w:rsidRPr="00174266">
          <w:rPr>
            <w:sz w:val="24"/>
            <w:szCs w:val="24"/>
          </w:rPr>
          <w:fldChar w:fldCharType="begin"/>
        </w:r>
        <w:r w:rsidRPr="00174266">
          <w:rPr>
            <w:sz w:val="24"/>
            <w:szCs w:val="24"/>
          </w:rPr>
          <w:instrText xml:space="preserve"> PAGE   \* MERGEFORMAT </w:instrText>
        </w:r>
        <w:r w:rsidRPr="00174266">
          <w:rPr>
            <w:sz w:val="24"/>
            <w:szCs w:val="24"/>
          </w:rPr>
          <w:fldChar w:fldCharType="separate"/>
        </w:r>
        <w:r w:rsidRPr="00174266">
          <w:rPr>
            <w:noProof/>
            <w:sz w:val="24"/>
            <w:szCs w:val="24"/>
          </w:rPr>
          <w:t>2</w:t>
        </w:r>
        <w:r w:rsidRPr="00174266">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623659"/>
      <w:docPartObj>
        <w:docPartGallery w:val="Page Numbers (Bottom of Page)"/>
        <w:docPartUnique/>
      </w:docPartObj>
    </w:sdtPr>
    <w:sdtEndPr>
      <w:rPr>
        <w:noProof/>
        <w:sz w:val="24"/>
        <w:szCs w:val="24"/>
      </w:rPr>
    </w:sdtEndPr>
    <w:sdtContent>
      <w:p w:rsidR="00EA24A6" w:rsidRPr="009D2168" w14:paraId="38186AFC" w14:textId="27B864F3">
        <w:pPr>
          <w:pStyle w:val="Footer"/>
          <w:jc w:val="center"/>
          <w:rPr>
            <w:sz w:val="24"/>
            <w:szCs w:val="24"/>
          </w:rPr>
        </w:pPr>
        <w:r w:rsidRPr="009D2168">
          <w:rPr>
            <w:sz w:val="24"/>
            <w:szCs w:val="24"/>
          </w:rPr>
          <w:fldChar w:fldCharType="begin"/>
        </w:r>
        <w:r w:rsidRPr="009D2168">
          <w:rPr>
            <w:sz w:val="24"/>
            <w:szCs w:val="24"/>
          </w:rPr>
          <w:instrText xml:space="preserve"> PAGE   \* MERGEFORMAT </w:instrText>
        </w:r>
        <w:r w:rsidRPr="009D2168">
          <w:rPr>
            <w:sz w:val="24"/>
            <w:szCs w:val="24"/>
          </w:rPr>
          <w:fldChar w:fldCharType="separate"/>
        </w:r>
        <w:r w:rsidRPr="009D2168">
          <w:rPr>
            <w:noProof/>
            <w:sz w:val="24"/>
            <w:szCs w:val="24"/>
          </w:rPr>
          <w:t>2</w:t>
        </w:r>
        <w:r w:rsidRPr="009D21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D66" w14:paraId="4D4AA9E6" w14:textId="77777777">
      <w:r>
        <w:separator/>
      </w:r>
    </w:p>
  </w:footnote>
  <w:footnote w:type="continuationSeparator" w:id="1">
    <w:p w:rsidR="00862D66" w14:paraId="6509C5A2" w14:textId="77777777">
      <w:r>
        <w:continuationSeparator/>
      </w:r>
    </w:p>
  </w:footnote>
  <w:footnote w:id="2">
    <w:p w:rsidR="00EA24A6" w:rsidRPr="00D84E62" w:rsidP="00D84E62" w14:paraId="222F6248" w14:textId="77777777">
      <w:pPr>
        <w:pStyle w:val="FootnoteText"/>
        <w:spacing w:after="120"/>
      </w:pPr>
      <w:r w:rsidRPr="00D84E62">
        <w:rPr>
          <w:rStyle w:val="FootnoteReference"/>
        </w:rPr>
        <w:footnoteRef/>
      </w:r>
      <w:r w:rsidRPr="00D84E62">
        <w:t xml:space="preserve"> Joint Ex. 1 (Joint Stipulation and Recommendation, Dec. 9, 2021).</w:t>
      </w:r>
    </w:p>
  </w:footnote>
  <w:footnote w:id="3">
    <w:p w:rsidR="00EE3FF1" w:rsidRPr="00D84E62" w:rsidP="00D84E62" w14:paraId="0779E71B" w14:textId="1C1B5836">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Case No. 14-1297-EL-SSO, Fifth Entry on Rehearing ¶ ¶ 309, 310 (Oct. 12, 2016).</w:t>
      </w:r>
    </w:p>
  </w:footnote>
  <w:footnote w:id="4">
    <w:p w:rsidR="00EA24A6" w:rsidRPr="00D84E62" w:rsidP="00D84E62" w14:paraId="07534721" w14:textId="3D8DB9C9">
      <w:pPr>
        <w:spacing w:after="120"/>
        <w:rPr>
          <w:sz w:val="20"/>
        </w:rPr>
      </w:pPr>
      <w:r w:rsidRPr="00D84E62">
        <w:rPr>
          <w:rStyle w:val="FootnoteReference"/>
          <w:sz w:val="20"/>
        </w:rPr>
        <w:footnoteRef/>
      </w:r>
      <w:r w:rsidRPr="00D84E62">
        <w:rPr>
          <w:sz w:val="20"/>
        </w:rPr>
        <w:t xml:space="preserve"> Post-Hearing Brief by Office of the Ohio Consumers’ Counsel (“OCC Brief”) (Feb. 10, 2022).</w:t>
      </w:r>
    </w:p>
  </w:footnote>
  <w:footnote w:id="5">
    <w:p w:rsidR="00EA24A6" w:rsidRPr="00D84E62" w:rsidP="00D84E62" w14:paraId="20DC5F9B" w14:textId="011D34AE">
      <w:pPr>
        <w:spacing w:after="120"/>
        <w:rPr>
          <w:sz w:val="20"/>
        </w:rPr>
      </w:pPr>
      <w:r w:rsidRPr="00D84E62">
        <w:rPr>
          <w:rStyle w:val="FootnoteReference"/>
          <w:sz w:val="20"/>
        </w:rPr>
        <w:footnoteRef/>
      </w:r>
      <w:r w:rsidRPr="00D84E62">
        <w:rPr>
          <w:sz w:val="20"/>
        </w:rPr>
        <w:t xml:space="preserve"> Post-Hearing Brief, Campbell Soup Supple Company, LLC (“Applicant Brief”) (Feb. 10, 2022).</w:t>
      </w:r>
    </w:p>
  </w:footnote>
  <w:footnote w:id="6">
    <w:p w:rsidR="00EA24A6" w:rsidRPr="00D84E62" w:rsidP="00D84E62" w14:paraId="414C9400" w14:textId="77777777">
      <w:pPr>
        <w:spacing w:after="120"/>
        <w:rPr>
          <w:sz w:val="20"/>
        </w:rPr>
      </w:pPr>
      <w:r w:rsidRPr="00D84E62">
        <w:rPr>
          <w:rStyle w:val="FootnoteReference"/>
          <w:sz w:val="20"/>
        </w:rPr>
        <w:footnoteRef/>
      </w:r>
      <w:r w:rsidRPr="00D84E62">
        <w:rPr>
          <w:sz w:val="20"/>
        </w:rPr>
        <w:t xml:space="preserve"> Initial Post-Hearing Brief Submitted on Behalf of the Staff of the Public Utilities Commission of Ohio (“Staff Brief”) (Feb. 10, 2022).</w:t>
      </w:r>
    </w:p>
  </w:footnote>
  <w:footnote w:id="7">
    <w:p w:rsidR="00EA24A6" w:rsidRPr="00D84E62" w:rsidP="00D84E62" w14:paraId="31D6A3E9" w14:textId="77777777">
      <w:pPr>
        <w:spacing w:after="120"/>
        <w:rPr>
          <w:sz w:val="20"/>
        </w:rPr>
      </w:pPr>
      <w:r w:rsidRPr="00D84E62">
        <w:rPr>
          <w:rStyle w:val="FootnoteReference"/>
          <w:sz w:val="20"/>
        </w:rPr>
        <w:footnoteRef/>
      </w:r>
      <w:r w:rsidRPr="00D84E62">
        <w:rPr>
          <w:sz w:val="20"/>
        </w:rPr>
        <w:t xml:space="preserve"> OCC Brief at 1-2, 4-6; </w:t>
      </w:r>
      <w:r w:rsidRPr="00D84E62">
        <w:rPr>
          <w:i/>
          <w:iCs/>
          <w:sz w:val="20"/>
        </w:rPr>
        <w:t>See</w:t>
      </w:r>
      <w:r w:rsidRPr="00D84E62">
        <w:rPr>
          <w:sz w:val="20"/>
        </w:rPr>
        <w:t xml:space="preserve"> OCC Ex. 2 (Supplemental Testimony of Michael P. Haugh, Dec. 22, 2021) at 5; Tr. at 156, 215. </w:t>
      </w:r>
    </w:p>
  </w:footnote>
  <w:footnote w:id="8">
    <w:p w:rsidR="00EA24A6" w:rsidRPr="00D84E62" w:rsidP="00D84E62" w14:paraId="460042BD" w14:textId="77777777">
      <w:pPr>
        <w:pStyle w:val="FootnoteText"/>
        <w:spacing w:after="120"/>
      </w:pPr>
      <w:r w:rsidRPr="00D84E62">
        <w:rPr>
          <w:rStyle w:val="FootnoteReference"/>
        </w:rPr>
        <w:footnoteRef/>
      </w:r>
      <w:r w:rsidRPr="00D84E62">
        <w:t xml:space="preserve"> Campbell Supply Ex. 2 (Monnin) at 6.</w:t>
      </w:r>
    </w:p>
  </w:footnote>
  <w:footnote w:id="9">
    <w:p w:rsidR="00EA24A6" w:rsidRPr="00D84E62" w:rsidP="00D84E62" w14:paraId="130D2A66" w14:textId="77777777">
      <w:pPr>
        <w:pStyle w:val="FootnoteText"/>
        <w:spacing w:after="120"/>
      </w:pPr>
      <w:r w:rsidRPr="00D84E62">
        <w:rPr>
          <w:rStyle w:val="FootnoteReference"/>
        </w:rPr>
        <w:footnoteRef/>
      </w:r>
      <w:r w:rsidRPr="00D84E62">
        <w:t xml:space="preserve"> OCC Brief at 9; Tr. at 141-143; 147 (cross examination of Mr. Seryak).</w:t>
      </w:r>
    </w:p>
  </w:footnote>
  <w:footnote w:id="10">
    <w:p w:rsidR="00EA24A6" w:rsidRPr="00D84E62" w:rsidP="00D84E62" w14:paraId="7B204772" w14:textId="77777777">
      <w:pPr>
        <w:pStyle w:val="FootnoteText"/>
        <w:spacing w:after="120"/>
      </w:pPr>
      <w:r w:rsidRPr="00D84E62">
        <w:rPr>
          <w:rStyle w:val="FootnoteReference"/>
        </w:rPr>
        <w:footnoteRef/>
      </w:r>
      <w:r w:rsidRPr="00D84E62">
        <w:t xml:space="preserve"> OCC Brief at 9; OCC Ex. 2 (Haugh Supplemental Testimony) at 7-8. </w:t>
      </w:r>
    </w:p>
  </w:footnote>
  <w:footnote w:id="11">
    <w:p w:rsidR="00EA24A6" w:rsidRPr="00D84E62" w:rsidP="00D84E62" w14:paraId="2061C9B1" w14:textId="3393949D">
      <w:pPr>
        <w:pStyle w:val="FootnoteText"/>
        <w:spacing w:after="120"/>
      </w:pPr>
      <w:r w:rsidRPr="00D84E62">
        <w:rPr>
          <w:rStyle w:val="FootnoteReference"/>
        </w:rPr>
        <w:footnoteRef/>
      </w:r>
      <w:r w:rsidRPr="00D84E62">
        <w:t xml:space="preserve"> Applicant Brief at 15.</w:t>
      </w:r>
    </w:p>
  </w:footnote>
  <w:footnote w:id="12">
    <w:p w:rsidR="00EA24A6" w:rsidRPr="00D84E62" w:rsidP="00D84E62" w14:paraId="628346B8" w14:textId="77777777">
      <w:pPr>
        <w:pStyle w:val="FootnoteText"/>
        <w:spacing w:after="120"/>
      </w:pPr>
      <w:r w:rsidRPr="00D84E62">
        <w:rPr>
          <w:rStyle w:val="FootnoteReference"/>
        </w:rPr>
        <w:footnoteRef/>
      </w:r>
      <w:r w:rsidRPr="00D84E62">
        <w:t xml:space="preserve"> OCC Brief at 8-9; OCC Ex. 2 (Haugh) at 7 (“costs will be shifted once the Applicant enters the opt-out pilot program…there will be a shortfall of revenue for FirstEnergy and this shortfall will need to be collected from other customers.”). </w:t>
      </w:r>
    </w:p>
  </w:footnote>
  <w:footnote w:id="13">
    <w:p w:rsidR="00EA24A6" w:rsidRPr="00D84E62" w:rsidP="00D84E62" w14:paraId="613CDC41" w14:textId="70EA774B">
      <w:pPr>
        <w:pStyle w:val="FootnoteText"/>
        <w:spacing w:after="120"/>
      </w:pPr>
      <w:r w:rsidRPr="00D84E62">
        <w:rPr>
          <w:rStyle w:val="FootnoteReference"/>
        </w:rPr>
        <w:footnoteRef/>
      </w:r>
      <w:r w:rsidRPr="00D84E62">
        <w:t xml:space="preserve"> Applicant Brief at 13. </w:t>
      </w:r>
    </w:p>
  </w:footnote>
  <w:footnote w:id="14">
    <w:p w:rsidR="00EA24A6" w:rsidRPr="00D84E62" w:rsidP="00D84E62" w14:paraId="76DA9A87" w14:textId="77777777">
      <w:pPr>
        <w:pStyle w:val="FootnoteText"/>
        <w:spacing w:after="120"/>
      </w:pPr>
      <w:r w:rsidRPr="00D84E62">
        <w:rPr>
          <w:rStyle w:val="FootnoteReference"/>
        </w:rPr>
        <w:footnoteRef/>
      </w:r>
      <w:r w:rsidRPr="00D84E62">
        <w:t xml:space="preserve"> OCC Brief at 9-10; Tr. at 60; 56-57 (cross examination of Mr. Monnin).</w:t>
      </w:r>
    </w:p>
  </w:footnote>
  <w:footnote w:id="15">
    <w:p w:rsidR="00EA24A6" w:rsidRPr="00D84E62" w:rsidP="00D84E62" w14:paraId="7EB5CD6C" w14:textId="314A9AB7">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xml:space="preserve">, Case No. 14-1297-EL-SSO, Fifth Entry on Rehearing ¶ ¶ 309, 310 (Oct. 12, 2016). </w:t>
      </w:r>
    </w:p>
  </w:footnote>
  <w:footnote w:id="16">
    <w:p w:rsidR="0087448E" w:rsidRPr="00D84E62" w:rsidP="00D84E62" w14:paraId="234507CA" w14:textId="78A5CCFD">
      <w:pPr>
        <w:pStyle w:val="FootnoteText"/>
        <w:spacing w:after="120"/>
      </w:pPr>
      <w:r w:rsidRPr="00D84E62">
        <w:rPr>
          <w:rStyle w:val="FootnoteReference"/>
        </w:rPr>
        <w:footnoteRef/>
      </w:r>
      <w:r w:rsidRPr="00D84E62">
        <w:t xml:space="preserve"> </w:t>
      </w:r>
      <w:r w:rsidRPr="00D84E62">
        <w:rPr>
          <w:i/>
          <w:iCs/>
        </w:rPr>
        <w:t>In the Matter of the Review of the Non-Market Based Services Rider contained in the Tariffs of Ohio Edison, The Cleveland Electric Illuminating Company and The Toledo Edison Company</w:t>
      </w:r>
      <w:r w:rsidRPr="00D84E62">
        <w:t>, Case No. 21-1225-EL-RDR, Finding and Order (Feb. 23, 2022).</w:t>
      </w:r>
    </w:p>
  </w:footnote>
  <w:footnote w:id="17">
    <w:p w:rsidR="00FE46D7" w:rsidRPr="00D84E62" w:rsidP="00D84E62" w14:paraId="15274C54" w14:textId="6EA522AF">
      <w:pPr>
        <w:pStyle w:val="FootnoteText"/>
        <w:spacing w:after="120"/>
      </w:pPr>
      <w:r w:rsidRPr="00D84E62">
        <w:rPr>
          <w:rStyle w:val="FootnoteReference"/>
        </w:rPr>
        <w:footnoteRef/>
      </w:r>
      <w:r w:rsidRPr="00D84E62">
        <w:t xml:space="preserve"> </w:t>
      </w:r>
      <w:r w:rsidRPr="00BB3BB3">
        <w:rPr>
          <w:i/>
          <w:iCs/>
        </w:rPr>
        <w:t>Id.</w:t>
      </w:r>
      <w:r w:rsidRPr="00D84E62">
        <w:t xml:space="preserve"> at 8.</w:t>
      </w:r>
    </w:p>
  </w:footnote>
  <w:footnote w:id="18">
    <w:p w:rsidR="00EA24A6" w:rsidRPr="00D84E62" w:rsidP="00D84E62" w14:paraId="4CAFB6BA" w14:textId="77777777">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Case No. 14-1297-EL-SSO, Fifth Entry on Rehearing ¶ ¶ 309, 310 (Oct. 12, 2016).</w:t>
      </w:r>
    </w:p>
  </w:footnote>
  <w:footnote w:id="19">
    <w:p w:rsidR="00EA24A6" w:rsidRPr="00D84E62" w:rsidP="00D84E62" w14:paraId="0C01D0D2" w14:textId="77777777">
      <w:pPr>
        <w:pStyle w:val="FootnoteText"/>
        <w:spacing w:after="120"/>
      </w:pPr>
      <w:r w:rsidRPr="00D84E62">
        <w:rPr>
          <w:rStyle w:val="FootnoteReference"/>
        </w:rPr>
        <w:footnoteRef/>
      </w:r>
      <w:r w:rsidRPr="00D84E62">
        <w:t xml:space="preserve"> Applicant Brief at 26-27.</w:t>
      </w:r>
    </w:p>
  </w:footnote>
  <w:footnote w:id="20">
    <w:p w:rsidR="00EA24A6" w:rsidRPr="00D84E62" w:rsidP="00D84E62" w14:paraId="3CB4B433" w14:textId="77777777">
      <w:pPr>
        <w:pStyle w:val="FootnoteText"/>
        <w:spacing w:after="120"/>
      </w:pPr>
      <w:r w:rsidRPr="00D84E62">
        <w:rPr>
          <w:rStyle w:val="FootnoteReference"/>
        </w:rPr>
        <w:footnoteRef/>
      </w:r>
      <w:r w:rsidRPr="00D84E62">
        <w:t xml:space="preserve"> Campbell Supply Ex. 2 (Monnin) at 6.</w:t>
      </w:r>
    </w:p>
  </w:footnote>
  <w:footnote w:id="21">
    <w:p w:rsidR="00EA24A6" w:rsidRPr="00D84E62" w:rsidP="00D84E62" w14:paraId="7B71CCEF" w14:textId="77777777">
      <w:pPr>
        <w:pStyle w:val="FootnoteText"/>
        <w:spacing w:after="120"/>
      </w:pPr>
      <w:r w:rsidRPr="00D84E62">
        <w:rPr>
          <w:rStyle w:val="FootnoteReference"/>
        </w:rPr>
        <w:footnoteRef/>
      </w:r>
      <w:r w:rsidRPr="00D84E62">
        <w:t xml:space="preserve"> OCC Brief at 3, 8-10; OCC Ex. 2 (Haugh) at 8; Tr. at 261 (cross examination of Mr. Haugh).</w:t>
      </w:r>
    </w:p>
  </w:footnote>
  <w:footnote w:id="22">
    <w:p w:rsidR="00EA24A6" w:rsidRPr="00D84E62" w:rsidP="00D84E62" w14:paraId="57CFE6CE" w14:textId="77777777">
      <w:pPr>
        <w:pStyle w:val="FootnoteText"/>
        <w:spacing w:after="120"/>
      </w:pPr>
      <w:r w:rsidRPr="00D84E62">
        <w:rPr>
          <w:rStyle w:val="FootnoteReference"/>
        </w:rPr>
        <w:footnoteRef/>
      </w:r>
      <w:r w:rsidRPr="00D84E62">
        <w:t xml:space="preserve"> Applicant Brief at 15-16. </w:t>
      </w:r>
    </w:p>
  </w:footnote>
  <w:footnote w:id="23">
    <w:p w:rsidR="00EA24A6" w:rsidRPr="00D84E62" w:rsidP="00D84E62" w14:paraId="5DD661F3" w14:textId="77777777">
      <w:pPr>
        <w:pStyle w:val="FootnoteText"/>
        <w:spacing w:after="120"/>
      </w:pPr>
      <w:r w:rsidRPr="00D84E62">
        <w:rPr>
          <w:rStyle w:val="FootnoteReference"/>
        </w:rPr>
        <w:footnoteRef/>
      </w:r>
      <w:r w:rsidRPr="00D84E62">
        <w:t xml:space="preserve"> </w:t>
      </w:r>
      <w:r w:rsidRPr="00D84E62">
        <w:rPr>
          <w:i/>
          <w:iCs/>
        </w:rPr>
        <w:t>Id</w:t>
      </w:r>
      <w:r w:rsidRPr="00D84E62">
        <w:t>.</w:t>
      </w:r>
    </w:p>
  </w:footnote>
  <w:footnote w:id="24">
    <w:p w:rsidR="00EA24A6" w:rsidRPr="00D84E62" w:rsidP="00D84E62" w14:paraId="04787D73" w14:textId="77777777">
      <w:pPr>
        <w:pStyle w:val="FootnoteText"/>
        <w:spacing w:after="120"/>
      </w:pPr>
      <w:r w:rsidRPr="00D84E62">
        <w:rPr>
          <w:rStyle w:val="FootnoteReference"/>
        </w:rPr>
        <w:footnoteRef/>
      </w:r>
      <w:r w:rsidRPr="00D84E62">
        <w:t xml:space="preserve"> </w:t>
      </w:r>
      <w:r w:rsidRPr="00D84E62">
        <w:rPr>
          <w:i/>
          <w:iCs/>
        </w:rPr>
        <w:t>Id</w:t>
      </w:r>
      <w:r w:rsidRPr="00D84E62">
        <w:t>.</w:t>
      </w:r>
    </w:p>
  </w:footnote>
  <w:footnote w:id="25">
    <w:p w:rsidR="00EA24A6" w:rsidRPr="00D84E62" w:rsidP="00D84E62" w14:paraId="1D7153E9" w14:textId="77777777">
      <w:pPr>
        <w:pStyle w:val="FootnoteText"/>
        <w:spacing w:after="120"/>
      </w:pPr>
      <w:r w:rsidRPr="00D84E62">
        <w:rPr>
          <w:rStyle w:val="FootnoteReference"/>
        </w:rPr>
        <w:footnoteRef/>
      </w:r>
      <w:r w:rsidRPr="00D84E62">
        <w:t xml:space="preserve"> OCC Brief at 9; Tr. at 141-143; 147 (cross examination of Mr. Seryak).</w:t>
      </w:r>
    </w:p>
  </w:footnote>
  <w:footnote w:id="26">
    <w:p w:rsidR="00EA24A6" w:rsidRPr="00D84E62" w:rsidP="00D84E62" w14:paraId="1FACCECA" w14:textId="77777777">
      <w:pPr>
        <w:pStyle w:val="FootnoteText"/>
        <w:spacing w:after="120"/>
      </w:pPr>
      <w:r w:rsidRPr="00D84E62">
        <w:rPr>
          <w:rStyle w:val="FootnoteReference"/>
        </w:rPr>
        <w:footnoteRef/>
      </w:r>
      <w:r w:rsidRPr="00D84E62">
        <w:t xml:space="preserve"> Applicant Brief at 15-16.</w:t>
      </w:r>
    </w:p>
  </w:footnote>
  <w:footnote w:id="27">
    <w:p w:rsidR="00EA24A6" w:rsidRPr="00D84E62" w:rsidP="00D84E62" w14:paraId="4385D740" w14:textId="77777777">
      <w:pPr>
        <w:pStyle w:val="FootnoteText"/>
        <w:spacing w:after="120"/>
      </w:pPr>
      <w:r w:rsidRPr="00D84E62">
        <w:rPr>
          <w:rStyle w:val="FootnoteReference"/>
        </w:rPr>
        <w:footnoteRef/>
      </w:r>
      <w:r w:rsidRPr="00D84E62">
        <w:t xml:space="preserve"> OCC Brief at 9; Tr. at 156-157 (cross examination of Mr. Seryak); 260-262 (cross examination of Mr. Haugh).</w:t>
      </w:r>
    </w:p>
  </w:footnote>
  <w:footnote w:id="28">
    <w:p w:rsidR="00EA24A6" w:rsidRPr="00D84E62" w:rsidP="00D84E62" w14:paraId="009F911D" w14:textId="16217A32">
      <w:pPr>
        <w:pStyle w:val="FootnoteText"/>
        <w:spacing w:after="120"/>
      </w:pPr>
      <w:r w:rsidRPr="00D84E62">
        <w:rPr>
          <w:rStyle w:val="FootnoteReference"/>
        </w:rPr>
        <w:footnoteRef/>
      </w:r>
      <w:r w:rsidRPr="00D84E62">
        <w:t xml:space="preserve"> </w:t>
      </w:r>
      <w:r w:rsidRPr="00D84E62" w:rsidR="00796892">
        <w:t>Tr. at 141-143; 147 (cross examination of Mr. Seryak).</w:t>
      </w:r>
    </w:p>
  </w:footnote>
  <w:footnote w:id="29">
    <w:p w:rsidR="00B50925" w:rsidRPr="00D84E62" w:rsidP="00D84E62" w14:paraId="14DAAEFA" w14:textId="4A09864A">
      <w:pPr>
        <w:pStyle w:val="FootnoteText"/>
        <w:spacing w:after="120"/>
      </w:pPr>
      <w:r w:rsidRPr="00D84E62">
        <w:rPr>
          <w:rStyle w:val="FootnoteReference"/>
        </w:rPr>
        <w:footnoteRef/>
      </w:r>
      <w:r w:rsidRPr="00D84E62">
        <w:t xml:space="preserve"> </w:t>
      </w:r>
      <w:r w:rsidRPr="00D84E62">
        <w:rPr>
          <w:i/>
          <w:iCs/>
        </w:rPr>
        <w:t>Id</w:t>
      </w:r>
      <w:r w:rsidRPr="00D84E62">
        <w:t>.</w:t>
      </w:r>
      <w:r w:rsidRPr="00D84E62" w:rsidR="00796892">
        <w:t xml:space="preserve">; </w:t>
      </w:r>
      <w:r w:rsidRPr="00D84E62" w:rsidR="00796892">
        <w:rPr>
          <w:i/>
          <w:iCs/>
        </w:rPr>
        <w:t>see also</w:t>
      </w:r>
      <w:r w:rsidRPr="00D84E62" w:rsidR="00796892">
        <w:t>, Tr. at 156-157 (cross examination of Mr. Seryak); 260-262 (cross examination of Mr. Haugh).</w:t>
      </w:r>
    </w:p>
  </w:footnote>
  <w:footnote w:id="30">
    <w:p w:rsidR="00EA24A6" w:rsidRPr="00D84E62" w:rsidP="00D84E62" w14:paraId="048EB75E" w14:textId="77777777">
      <w:pPr>
        <w:pStyle w:val="FootnoteText"/>
        <w:spacing w:after="120"/>
      </w:pPr>
      <w:r w:rsidRPr="00D84E62">
        <w:rPr>
          <w:rStyle w:val="FootnoteReference"/>
        </w:rPr>
        <w:footnoteRef/>
      </w:r>
      <w:r w:rsidRPr="00D84E62">
        <w:t xml:space="preserve"> OCC Brief at 8-9; OCC Ex. 2 (Haugh Supplemental Testimony) at 7.</w:t>
      </w:r>
    </w:p>
  </w:footnote>
  <w:footnote w:id="31">
    <w:p w:rsidR="00EA24A6" w:rsidRPr="00D84E62" w:rsidP="00D84E62" w14:paraId="721D3C9B" w14:textId="77777777">
      <w:pPr>
        <w:pStyle w:val="FootnoteText"/>
        <w:spacing w:after="120"/>
      </w:pPr>
      <w:r w:rsidRPr="00D84E62">
        <w:rPr>
          <w:rStyle w:val="FootnoteReference"/>
        </w:rPr>
        <w:footnoteRef/>
      </w:r>
      <w:r w:rsidRPr="00D84E62">
        <w:t xml:space="preserve"> Applicant Brief at 13; 26-27.</w:t>
      </w:r>
    </w:p>
  </w:footnote>
  <w:footnote w:id="32">
    <w:p w:rsidR="00EA24A6" w:rsidRPr="00D84E62" w:rsidP="00D84E62" w14:paraId="66AAF921" w14:textId="77777777">
      <w:pPr>
        <w:pStyle w:val="FootnoteText"/>
        <w:spacing w:after="120"/>
      </w:pPr>
      <w:r w:rsidRPr="00D84E62">
        <w:rPr>
          <w:rStyle w:val="FootnoteReference"/>
        </w:rPr>
        <w:footnoteRef/>
      </w:r>
      <w:r w:rsidRPr="00D84E62">
        <w:t xml:space="preserve"> Staff Brief at 4-5.</w:t>
      </w:r>
    </w:p>
  </w:footnote>
  <w:footnote w:id="33">
    <w:p w:rsidR="00EA24A6" w:rsidRPr="00D84E62" w:rsidP="00D84E62" w14:paraId="48245A74" w14:textId="77777777">
      <w:pPr>
        <w:pStyle w:val="FootnoteText"/>
        <w:spacing w:after="120"/>
      </w:pPr>
      <w:r w:rsidRPr="00D84E62">
        <w:rPr>
          <w:rStyle w:val="FootnoteReference"/>
        </w:rPr>
        <w:footnoteRef/>
      </w:r>
      <w:r w:rsidRPr="00D84E62">
        <w:t xml:space="preserve"> OCC Brief at 8-9; OCC Ex. 2 (Haugh Supplemental Testimony) at 7.</w:t>
      </w:r>
    </w:p>
  </w:footnote>
  <w:footnote w:id="34">
    <w:p w:rsidR="00EA24A6" w:rsidRPr="00D84E62" w:rsidP="00D84E62" w14:paraId="35AEEA75" w14:textId="77777777">
      <w:pPr>
        <w:pStyle w:val="FootnoteText"/>
        <w:spacing w:after="120"/>
      </w:pPr>
      <w:r w:rsidRPr="00D84E62">
        <w:rPr>
          <w:rStyle w:val="FootnoteReference"/>
        </w:rPr>
        <w:footnoteRef/>
      </w:r>
      <w:r w:rsidRPr="00D84E62">
        <w:t xml:space="preserve"> Applicant Brief at 13-14. </w:t>
      </w:r>
    </w:p>
  </w:footnote>
  <w:footnote w:id="35">
    <w:p w:rsidR="00EA24A6" w:rsidRPr="00D84E62" w:rsidP="00D84E62" w14:paraId="12656DF0" w14:textId="77777777">
      <w:pPr>
        <w:pStyle w:val="FootnoteText"/>
        <w:spacing w:after="120"/>
      </w:pPr>
      <w:r w:rsidRPr="00D84E62">
        <w:rPr>
          <w:rStyle w:val="FootnoteReference"/>
        </w:rPr>
        <w:footnoteRef/>
      </w:r>
      <w:r w:rsidRPr="00D84E62">
        <w:t xml:space="preserve"> </w:t>
      </w:r>
      <w:r w:rsidRPr="00D84E62">
        <w:rPr>
          <w:i/>
          <w:iCs/>
        </w:rPr>
        <w:t>Id</w:t>
      </w:r>
      <w:r w:rsidRPr="00D84E62">
        <w:t>.</w:t>
      </w:r>
    </w:p>
  </w:footnote>
  <w:footnote w:id="36">
    <w:p w:rsidR="00EA24A6" w:rsidRPr="00D84E62" w:rsidP="00D84E62" w14:paraId="58374516" w14:textId="3E9D5A54">
      <w:pPr>
        <w:pStyle w:val="FootnoteText"/>
        <w:spacing w:after="120"/>
      </w:pPr>
      <w:r w:rsidRPr="00D84E62">
        <w:rPr>
          <w:rStyle w:val="FootnoteReference"/>
        </w:rPr>
        <w:footnoteRef/>
      </w:r>
      <w:r w:rsidRPr="00D84E62">
        <w:t xml:space="preserve"> OCC Brief at 9-10; Tr. at 60 (cross examination of Mr. Monnin) (“we are not committing to a specific level of capital investments”).</w:t>
      </w:r>
    </w:p>
  </w:footnote>
  <w:footnote w:id="37">
    <w:p w:rsidR="00EA24A6" w:rsidRPr="00D84E62" w:rsidP="00D84E62" w14:paraId="5B623FF9" w14:textId="01DE0CCA">
      <w:pPr>
        <w:pStyle w:val="FootnoteText"/>
        <w:spacing w:after="120"/>
      </w:pPr>
      <w:r w:rsidRPr="00D84E62">
        <w:rPr>
          <w:rStyle w:val="FootnoteReference"/>
        </w:rPr>
        <w:footnoteRef/>
      </w:r>
      <w:r w:rsidRPr="00D84E62">
        <w:t xml:space="preserve"> OCC Brief at 9-10; Tr. at 56-57</w:t>
      </w:r>
      <w:r w:rsidR="00BB3BB3">
        <w:t xml:space="preserve"> </w:t>
      </w:r>
      <w:r w:rsidRPr="00D84E62">
        <w:t>(cross examination of Mr. Monnin) (“We’re not guaranteeing a specific employee level”).</w:t>
      </w:r>
    </w:p>
  </w:footnote>
  <w:footnote w:id="38">
    <w:p w:rsidR="00EA24A6" w:rsidRPr="00D84E62" w:rsidP="00D84E62" w14:paraId="633D0B45" w14:textId="77777777">
      <w:pPr>
        <w:pStyle w:val="FootnoteText"/>
        <w:spacing w:after="120"/>
      </w:pPr>
      <w:r w:rsidRPr="00D84E62">
        <w:rPr>
          <w:rStyle w:val="FootnoteReference"/>
        </w:rPr>
        <w:footnoteRef/>
      </w:r>
      <w:r w:rsidRPr="00D84E62">
        <w:t xml:space="preserve"> OCC Brief at 9-10; Tr. at 55-59; 132 (cross examination of Mr. Monnin).</w:t>
      </w:r>
    </w:p>
  </w:footnote>
  <w:footnote w:id="39">
    <w:p w:rsidR="00EA24A6" w:rsidRPr="00D84E62" w:rsidP="00D84E62" w14:paraId="37E651C6" w14:textId="77777777">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xml:space="preserve">, Case No. 14-1297-EL-SSO, Fifth Entry on Rehearing ¶ ¶ 309, 310 (Oct. 12, 2016); OCC Brief at 11-12. </w:t>
      </w:r>
    </w:p>
  </w:footnote>
  <w:footnote w:id="40">
    <w:p w:rsidR="00EA24A6" w:rsidRPr="00D84E62" w:rsidP="00D84E62" w14:paraId="19DBEE80" w14:textId="77777777">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Case No. 14-1297-EL-SSO, Opinion &amp; Order at 73 (Mar. 31, 2016); OCC Brief at 11-12.</w:t>
      </w:r>
    </w:p>
  </w:footnote>
  <w:footnote w:id="41">
    <w:p w:rsidR="00EA24A6" w:rsidRPr="00D84E62" w:rsidP="00D84E62" w14:paraId="2559689D" w14:textId="77777777">
      <w:pPr>
        <w:pStyle w:val="FootnoteText"/>
        <w:spacing w:after="120"/>
      </w:pPr>
      <w:r w:rsidRPr="00D84E62">
        <w:rPr>
          <w:rStyle w:val="FootnoteReference"/>
        </w:rPr>
        <w:footnoteRef/>
      </w:r>
      <w:r w:rsidRPr="00D84E62">
        <w:t xml:space="preserve"> Case No. 14-1297-EL-SSO at 94; OCC Brief at 10-12.</w:t>
      </w:r>
    </w:p>
  </w:footnote>
  <w:footnote w:id="42">
    <w:p w:rsidR="00EA24A6" w:rsidRPr="00D84E62" w:rsidP="00D84E62" w14:paraId="0113708B" w14:textId="77777777">
      <w:pPr>
        <w:pStyle w:val="FootnoteText"/>
        <w:spacing w:after="120"/>
      </w:pPr>
      <w:r w:rsidRPr="00D84E62">
        <w:rPr>
          <w:rStyle w:val="FootnoteReference"/>
        </w:rPr>
        <w:footnoteRef/>
      </w:r>
      <w:r w:rsidRPr="00D84E62">
        <w:t xml:space="preserve"> </w:t>
      </w:r>
      <w:r w:rsidRPr="00D84E62">
        <w:rPr>
          <w:i/>
          <w:iCs/>
        </w:rPr>
        <w:t>In re Application of [FirstEnergy] for Authority to Provide for a Standard Service Offer Pursuant to R.C. 4928.143 in the Form of an Elec. Sec. Plan</w:t>
      </w:r>
      <w:r w:rsidRPr="00D84E62">
        <w:t>, Case No. 14-1297-EL-SSO, Fifth Entry on Rehearing ¶ 310 (Oct. 12, 2016).</w:t>
      </w:r>
    </w:p>
  </w:footnote>
  <w:footnote w:id="43">
    <w:p w:rsidR="00EA24A6" w:rsidRPr="00D84E62" w:rsidP="00D84E62" w14:paraId="720F06C7" w14:textId="77777777">
      <w:pPr>
        <w:pStyle w:val="FootnoteText"/>
        <w:spacing w:after="120"/>
      </w:pPr>
      <w:r w:rsidRPr="00D84E62">
        <w:rPr>
          <w:rStyle w:val="FootnoteReference"/>
        </w:rPr>
        <w:footnoteRef/>
      </w:r>
      <w:r w:rsidRPr="00D84E62">
        <w:t xml:space="preserve"> Applicant Brief at 30.</w:t>
      </w:r>
    </w:p>
  </w:footnote>
  <w:footnote w:id="44">
    <w:p w:rsidR="00B67C42" w:rsidRPr="00D84E62" w:rsidP="00D84E62" w14:paraId="75F0D8E4" w14:textId="0BB60571">
      <w:pPr>
        <w:pStyle w:val="FootnoteText"/>
        <w:spacing w:after="120"/>
      </w:pPr>
      <w:r w:rsidRPr="00D84E62">
        <w:rPr>
          <w:rStyle w:val="FootnoteReference"/>
        </w:rPr>
        <w:footnoteRef/>
      </w:r>
      <w:r w:rsidRPr="00D84E62">
        <w:t xml:space="preserve"> </w:t>
      </w:r>
      <w:r w:rsidRPr="00D84E62">
        <w:rPr>
          <w:i/>
          <w:iCs/>
        </w:rPr>
        <w:t>In the Matter of the Review of the Non-Market Based Services Rider contained in the Tariffs of Ohio Edison, The Cleveland Electric Illuminating Company and The Toledo Edison Company</w:t>
      </w:r>
      <w:r w:rsidRPr="00D84E62">
        <w:t>, Case No. 21-1225-EL-RDR, Finding and Order at 8 (Feb. 23, 2022).</w:t>
      </w:r>
    </w:p>
  </w:footnote>
  <w:footnote w:id="45">
    <w:p w:rsidR="00EA24A6" w:rsidRPr="00D84E62" w:rsidP="00D84E62" w14:paraId="74E2D092" w14:textId="51120305">
      <w:pPr>
        <w:pStyle w:val="FootnoteText"/>
        <w:spacing w:after="120"/>
      </w:pPr>
      <w:r w:rsidRPr="00D84E62">
        <w:rPr>
          <w:rStyle w:val="FootnoteReference"/>
        </w:rPr>
        <w:footnoteRef/>
      </w:r>
      <w:r w:rsidRPr="00D84E62">
        <w:t xml:space="preserve"> OCC Brief at 13; </w:t>
      </w:r>
      <w:r w:rsidRPr="00D84E62">
        <w:rPr>
          <w:i/>
          <w:iCs/>
        </w:rPr>
        <w:t>See</w:t>
      </w:r>
      <w:r w:rsidRPr="00D84E62">
        <w:t xml:space="preserve"> Case No. 16-2043-EL-RDR, Staff Report (Feb. 7, 2017); Case No. 17-2378-EL-RDR, Staff Report (Feb. 9, 2018); Case No. 18-1818-EL-RDR, Staff Report (Feb. 21, 2019); Case No. 19-2120-EL-RDR, Staff Report (Feb. 20, 2020); Case No. 20-1768-EL-RDR, Staff Report (Feb. 16, 2021); Case No. 21-695-</w:t>
      </w:r>
      <w:r w:rsidRPr="00D84E62" w:rsidR="00796892">
        <w:t>E</w:t>
      </w:r>
      <w:r w:rsidRPr="00D84E62">
        <w:t xml:space="preserve">L-RDR, Staff Report (Aug. 11, 2021); Case No. 21-1225-EL-ORD (Feb. 14, 2022). </w:t>
      </w:r>
      <w:r w:rsidRPr="00D84E62">
        <w:rPr>
          <w:i/>
          <w:iCs/>
        </w:rPr>
        <w:t>See</w:t>
      </w:r>
      <w:r w:rsidRPr="00D84E62">
        <w:t>, Tr. at 257-258.</w:t>
      </w:r>
    </w:p>
  </w:footnote>
  <w:footnote w:id="46">
    <w:p w:rsidR="00EA24A6" w:rsidRPr="00D84E62" w:rsidP="00D84E62" w14:paraId="0A8E6EB9" w14:textId="2DFD69EF">
      <w:pPr>
        <w:pStyle w:val="FootnoteText"/>
        <w:spacing w:after="120"/>
      </w:pPr>
      <w:r w:rsidRPr="00D84E62">
        <w:rPr>
          <w:rStyle w:val="FootnoteReference"/>
        </w:rPr>
        <w:footnoteRef/>
      </w:r>
      <w:r w:rsidRPr="00D84E62">
        <w:rPr>
          <w:i/>
          <w:iCs/>
        </w:rPr>
        <w:t xml:space="preserve"> In the Matter of the Review of the Non-Market Based Services Rider contained in the Tariffs of Ohio Edison, The Cleveland Electric Illuminating Company and The Toledo Edison Company</w:t>
      </w:r>
      <w:r w:rsidRPr="00D84E62">
        <w:t>, Case No. 21-1225-EL-RDR, Staff Review and Recommendation (Feb. 14, 2022)</w:t>
      </w:r>
      <w:r w:rsidRPr="00D84E62" w:rsidR="00480665">
        <w:t>; OCC Brief at 12-14.</w:t>
      </w:r>
    </w:p>
  </w:footnote>
  <w:footnote w:id="47">
    <w:p w:rsidR="00EA24A6" w:rsidRPr="00D84E62" w:rsidP="00D84E62" w14:paraId="153A71E5" w14:textId="5D10E4B5">
      <w:pPr>
        <w:pStyle w:val="FootnoteText"/>
        <w:spacing w:after="120"/>
      </w:pPr>
      <w:r w:rsidRPr="00D84E62">
        <w:rPr>
          <w:rStyle w:val="FootnoteReference"/>
        </w:rPr>
        <w:footnoteRef/>
      </w:r>
      <w:r w:rsidRPr="00D84E62">
        <w:t xml:space="preserve"> </w:t>
      </w:r>
      <w:r w:rsidRPr="00AA33F2" w:rsidR="00480665">
        <w:rPr>
          <w:i/>
          <w:iCs/>
        </w:rPr>
        <w:t>See</w:t>
      </w:r>
      <w:r w:rsidRPr="00D84E62" w:rsidR="00480665">
        <w:t xml:space="preserve">, </w:t>
      </w:r>
      <w:r w:rsidRPr="00D84E62">
        <w:t>OCC Brief at 10-14.</w:t>
      </w:r>
    </w:p>
  </w:footnote>
  <w:footnote w:id="48">
    <w:p w:rsidR="00501FF5" w:rsidRPr="00D84E62" w:rsidP="00D84E62" w14:paraId="11EC8A77" w14:textId="550880FB">
      <w:pPr>
        <w:pStyle w:val="FootnoteText"/>
        <w:spacing w:after="120"/>
      </w:pPr>
      <w:r w:rsidRPr="00D84E62">
        <w:rPr>
          <w:rStyle w:val="FootnoteReference"/>
        </w:rPr>
        <w:footnoteRef/>
      </w:r>
      <w:r w:rsidR="00387164">
        <w:rPr>
          <w:i/>
          <w:iCs/>
        </w:rPr>
        <w:t xml:space="preserve"> </w:t>
      </w:r>
      <w:r w:rsidRPr="00D84E62">
        <w:rPr>
          <w:i/>
          <w:iCs/>
        </w:rPr>
        <w:t>In re Application of [FirstEnergy] for Authority to Provide for a Standard Service Offer Pursuant to R.C. 4928.143 in the Form of an Elec. Sec. Plan</w:t>
      </w:r>
      <w:r w:rsidRPr="00D84E62">
        <w:t>, Case No. 14-1297-EL-SSO, Fifth Entry on Rehearing ¶ 310 (Oct. 12, 2016).</w:t>
      </w:r>
    </w:p>
  </w:footnote>
  <w:footnote w:id="49">
    <w:p w:rsidR="00EA24A6" w:rsidRPr="00D84E62" w:rsidP="00D84E62" w14:paraId="499E107A" w14:textId="77777777">
      <w:pPr>
        <w:pStyle w:val="FootnoteText"/>
        <w:spacing w:after="120"/>
      </w:pPr>
      <w:r w:rsidRPr="00D84E62">
        <w:rPr>
          <w:rStyle w:val="FootnoteReference"/>
        </w:rPr>
        <w:footnoteRef/>
      </w:r>
      <w:r w:rsidRPr="00D84E62">
        <w:rPr>
          <w:i/>
          <w:iCs/>
        </w:rPr>
        <w:t xml:space="preserve"> </w:t>
      </w:r>
      <w:r w:rsidRPr="00D84E62">
        <w:t xml:space="preserve">OCC Brief at 13. </w:t>
      </w:r>
      <w:r w:rsidRPr="00D84E62">
        <w:rPr>
          <w:i/>
          <w:iCs/>
        </w:rPr>
        <w:t>In the Matter of the Review of the Non-Market Based Services Rider contained in the Tariffs of Ohio Edison, The Cleveland Electric Illuminating Company and The Toledo Edison Company</w:t>
      </w:r>
      <w:r w:rsidRPr="00D84E62">
        <w:t xml:space="preserve">, Case No. 20-1768-EL-RDR, Staff Review and Recommendations (Feb. 16, 2021). </w:t>
      </w:r>
    </w:p>
  </w:footnote>
  <w:footnote w:id="50">
    <w:p w:rsidR="00EA24A6" w:rsidRPr="00D84E62" w:rsidP="00D84E62" w14:paraId="4FEAE306" w14:textId="77777777">
      <w:pPr>
        <w:pStyle w:val="FootnoteText"/>
        <w:spacing w:after="120"/>
      </w:pPr>
      <w:r w:rsidRPr="00D84E62">
        <w:rPr>
          <w:rStyle w:val="FootnoteReference"/>
        </w:rPr>
        <w:footnoteRef/>
      </w:r>
      <w:r w:rsidRPr="00D84E62">
        <w:t xml:space="preserve"> OCC Brief at 13; </w:t>
      </w:r>
      <w:r w:rsidRPr="00D84E62">
        <w:rPr>
          <w:i/>
          <w:iCs/>
        </w:rPr>
        <w:t>In the Matter of the Review of the Non-Market Based Services Rider contained in the Tariffs of Ohio Edison, The Cleveland Electric Illuminating Company and The Toledo Edison Company</w:t>
      </w:r>
      <w:r w:rsidRPr="00D84E62">
        <w:t xml:space="preserve">, Case No. 16-2043-EL-RDR, Staff Review and Recommendations (Feb. 7, 2017). </w:t>
      </w:r>
    </w:p>
  </w:footnote>
  <w:footnote w:id="51">
    <w:p w:rsidR="00EA24A6" w:rsidRPr="00D84E62" w:rsidP="00D84E62" w14:paraId="01143AB2" w14:textId="77777777">
      <w:pPr>
        <w:pStyle w:val="FootnoteText"/>
        <w:spacing w:after="120"/>
      </w:pPr>
      <w:r w:rsidRPr="00D84E62">
        <w:rPr>
          <w:rStyle w:val="FootnoteReference"/>
        </w:rPr>
        <w:footnoteRef/>
      </w:r>
      <w:r w:rsidRPr="00D84E62">
        <w:t xml:space="preserve"> Applicant Brief at 16.</w:t>
      </w:r>
    </w:p>
  </w:footnote>
  <w:footnote w:id="52">
    <w:p w:rsidR="00D94100" w:rsidRPr="00D84E62" w:rsidP="00D84E62" w14:paraId="337AD92A" w14:textId="6432641B">
      <w:pPr>
        <w:pStyle w:val="FootnoteText"/>
        <w:spacing w:after="120"/>
      </w:pPr>
      <w:r w:rsidRPr="00D84E62">
        <w:rPr>
          <w:rStyle w:val="FootnoteReference"/>
        </w:rPr>
        <w:footnoteRef/>
      </w:r>
      <w:r w:rsidRPr="00D84E62">
        <w:t xml:space="preserve"> Case No. 21-1225-EL-RDR, Finding and Order at ¶ </w:t>
      </w:r>
      <w:r w:rsidRPr="00D84E62" w:rsidR="00362AA4">
        <w:t>1</w:t>
      </w:r>
      <w:r w:rsidRPr="00D84E62">
        <w:t>3, at 5.</w:t>
      </w:r>
    </w:p>
  </w:footnote>
  <w:footnote w:id="53">
    <w:p w:rsidR="00E82377" w:rsidRPr="00D84E62" w:rsidP="00D84E62" w14:paraId="0B3410B7" w14:textId="13BF8B4F">
      <w:pPr>
        <w:pStyle w:val="FootnoteText"/>
        <w:spacing w:after="120"/>
      </w:pPr>
      <w:r w:rsidRPr="00D84E62">
        <w:rPr>
          <w:rStyle w:val="FootnoteReference"/>
        </w:rPr>
        <w:footnoteRef/>
      </w:r>
      <w:r w:rsidRPr="00D84E62">
        <w:t xml:space="preserve"> </w:t>
      </w:r>
      <w:r w:rsidRPr="00D84E62">
        <w:rPr>
          <w:i/>
          <w:iCs/>
        </w:rPr>
        <w:t>Id</w:t>
      </w:r>
      <w:r w:rsidRPr="00D84E62">
        <w:t>. at ¶ 17, at 8.</w:t>
      </w:r>
    </w:p>
  </w:footnote>
  <w:footnote w:id="54">
    <w:p w:rsidR="00EA24A6" w:rsidRPr="00D84E62" w:rsidP="00D84E62" w14:paraId="5C87B571" w14:textId="533A648F">
      <w:pPr>
        <w:pStyle w:val="FootnoteText"/>
        <w:spacing w:after="120"/>
      </w:pPr>
      <w:r w:rsidRPr="00D84E62">
        <w:rPr>
          <w:rStyle w:val="FootnoteReference"/>
        </w:rPr>
        <w:footnoteRef/>
      </w:r>
      <w:r w:rsidRPr="00D84E62">
        <w:t xml:space="preserve"> </w:t>
      </w:r>
      <w:r w:rsidRPr="00D84E62" w:rsidR="00E82377">
        <w:t xml:space="preserve">OCC Ex. 2 (Haugh Supplemental Testimony) at 10; </w:t>
      </w:r>
      <w:r w:rsidRPr="00D84E62">
        <w:t>OCC Brief at 14.</w:t>
      </w:r>
    </w:p>
  </w:footnote>
  <w:footnote w:id="55">
    <w:p w:rsidR="00EA24A6" w:rsidRPr="00D84E62" w:rsidP="00D84E62" w14:paraId="5D489C22" w14:textId="77777777">
      <w:pPr>
        <w:pStyle w:val="FootnoteText"/>
        <w:spacing w:after="120"/>
      </w:pPr>
      <w:r w:rsidRPr="00D84E62">
        <w:rPr>
          <w:rStyle w:val="FootnoteReference"/>
        </w:rPr>
        <w:footnoteRef/>
      </w:r>
      <w:r w:rsidRPr="00D84E62">
        <w:t xml:space="preserve"> Applicant Brief at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11C66"/>
    <w:multiLevelType w:val="hybridMultilevel"/>
    <w:tmpl w:val="DFBCE8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4786204"/>
    <w:multiLevelType w:val="hybridMultilevel"/>
    <w:tmpl w:val="5192DE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68F3011D"/>
    <w:multiLevelType w:val="hybridMultilevel"/>
    <w:tmpl w:val="962CC588"/>
    <w:lvl w:ilvl="0">
      <w:start w:val="1"/>
      <w:numFmt w:val="upperLetter"/>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64A507E"/>
    <w:multiLevelType w:val="hybridMultilevel"/>
    <w:tmpl w:val="B2D667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1"/>
  </w:num>
  <w:num w:numId="6">
    <w:abstractNumId w:val="9"/>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14A2"/>
    <w:rsid w:val="00001BDD"/>
    <w:rsid w:val="00002312"/>
    <w:rsid w:val="00002FE7"/>
    <w:rsid w:val="0000674A"/>
    <w:rsid w:val="00010C7B"/>
    <w:rsid w:val="00020499"/>
    <w:rsid w:val="00024C6C"/>
    <w:rsid w:val="0002500D"/>
    <w:rsid w:val="00025170"/>
    <w:rsid w:val="00025640"/>
    <w:rsid w:val="00025908"/>
    <w:rsid w:val="00030359"/>
    <w:rsid w:val="0003584C"/>
    <w:rsid w:val="00040E97"/>
    <w:rsid w:val="000417DC"/>
    <w:rsid w:val="00050D37"/>
    <w:rsid w:val="0005579E"/>
    <w:rsid w:val="00082870"/>
    <w:rsid w:val="000833D0"/>
    <w:rsid w:val="0008564F"/>
    <w:rsid w:val="00086FF0"/>
    <w:rsid w:val="000B0474"/>
    <w:rsid w:val="000C203C"/>
    <w:rsid w:val="000C409E"/>
    <w:rsid w:val="000C6DFA"/>
    <w:rsid w:val="000D198E"/>
    <w:rsid w:val="000F397F"/>
    <w:rsid w:val="000F4474"/>
    <w:rsid w:val="000F7FE8"/>
    <w:rsid w:val="001027E3"/>
    <w:rsid w:val="00103C7B"/>
    <w:rsid w:val="00106EAE"/>
    <w:rsid w:val="001072CD"/>
    <w:rsid w:val="00107C40"/>
    <w:rsid w:val="00113AA4"/>
    <w:rsid w:val="0011576F"/>
    <w:rsid w:val="00123701"/>
    <w:rsid w:val="00123C53"/>
    <w:rsid w:val="00125E65"/>
    <w:rsid w:val="00126470"/>
    <w:rsid w:val="00126533"/>
    <w:rsid w:val="001302F7"/>
    <w:rsid w:val="001401EE"/>
    <w:rsid w:val="001457B8"/>
    <w:rsid w:val="00150FC8"/>
    <w:rsid w:val="001534E4"/>
    <w:rsid w:val="00156383"/>
    <w:rsid w:val="0015674A"/>
    <w:rsid w:val="001603EB"/>
    <w:rsid w:val="00164B14"/>
    <w:rsid w:val="001665F3"/>
    <w:rsid w:val="00171004"/>
    <w:rsid w:val="00171BDD"/>
    <w:rsid w:val="00174266"/>
    <w:rsid w:val="00181DC5"/>
    <w:rsid w:val="00184213"/>
    <w:rsid w:val="001908A2"/>
    <w:rsid w:val="001B525A"/>
    <w:rsid w:val="001C3274"/>
    <w:rsid w:val="001D05FB"/>
    <w:rsid w:val="001D0897"/>
    <w:rsid w:val="001D6EF7"/>
    <w:rsid w:val="001E12FC"/>
    <w:rsid w:val="001E1358"/>
    <w:rsid w:val="001E2C30"/>
    <w:rsid w:val="001E48C0"/>
    <w:rsid w:val="001E5320"/>
    <w:rsid w:val="001E5FFC"/>
    <w:rsid w:val="001E6F31"/>
    <w:rsid w:val="001F0888"/>
    <w:rsid w:val="001F135E"/>
    <w:rsid w:val="00201D11"/>
    <w:rsid w:val="002145C3"/>
    <w:rsid w:val="0022490F"/>
    <w:rsid w:val="002478FE"/>
    <w:rsid w:val="00267267"/>
    <w:rsid w:val="00270856"/>
    <w:rsid w:val="00274C17"/>
    <w:rsid w:val="002757EC"/>
    <w:rsid w:val="00290E02"/>
    <w:rsid w:val="002A39C8"/>
    <w:rsid w:val="002A4912"/>
    <w:rsid w:val="002C02AF"/>
    <w:rsid w:val="002C080C"/>
    <w:rsid w:val="002C62D2"/>
    <w:rsid w:val="002D165C"/>
    <w:rsid w:val="002D6B6B"/>
    <w:rsid w:val="002E24EC"/>
    <w:rsid w:val="002E4999"/>
    <w:rsid w:val="002E5717"/>
    <w:rsid w:val="002E5F32"/>
    <w:rsid w:val="002F3FC3"/>
    <w:rsid w:val="002F66D4"/>
    <w:rsid w:val="00303059"/>
    <w:rsid w:val="00303B75"/>
    <w:rsid w:val="0031242C"/>
    <w:rsid w:val="00317043"/>
    <w:rsid w:val="0032527A"/>
    <w:rsid w:val="003513E0"/>
    <w:rsid w:val="00354F02"/>
    <w:rsid w:val="003576D8"/>
    <w:rsid w:val="00362AA4"/>
    <w:rsid w:val="0036533F"/>
    <w:rsid w:val="00372550"/>
    <w:rsid w:val="0038352E"/>
    <w:rsid w:val="003841C0"/>
    <w:rsid w:val="00387164"/>
    <w:rsid w:val="00392F74"/>
    <w:rsid w:val="00396E66"/>
    <w:rsid w:val="003A4AF3"/>
    <w:rsid w:val="003B068A"/>
    <w:rsid w:val="003B4B30"/>
    <w:rsid w:val="003B784B"/>
    <w:rsid w:val="003B7CA8"/>
    <w:rsid w:val="003C14CD"/>
    <w:rsid w:val="003D449C"/>
    <w:rsid w:val="003D6EAB"/>
    <w:rsid w:val="003E6F4C"/>
    <w:rsid w:val="003F0FBF"/>
    <w:rsid w:val="003F2206"/>
    <w:rsid w:val="003F653D"/>
    <w:rsid w:val="003F6E64"/>
    <w:rsid w:val="003F7903"/>
    <w:rsid w:val="00427184"/>
    <w:rsid w:val="00434271"/>
    <w:rsid w:val="00437DFC"/>
    <w:rsid w:val="00442B00"/>
    <w:rsid w:val="00444213"/>
    <w:rsid w:val="00450015"/>
    <w:rsid w:val="00460B2B"/>
    <w:rsid w:val="00464FEE"/>
    <w:rsid w:val="0046731B"/>
    <w:rsid w:val="00472EB3"/>
    <w:rsid w:val="00476981"/>
    <w:rsid w:val="00480607"/>
    <w:rsid w:val="00480665"/>
    <w:rsid w:val="004811E4"/>
    <w:rsid w:val="004900DD"/>
    <w:rsid w:val="00494133"/>
    <w:rsid w:val="004A62DA"/>
    <w:rsid w:val="004B1864"/>
    <w:rsid w:val="004B73F5"/>
    <w:rsid w:val="004C5714"/>
    <w:rsid w:val="004D22F1"/>
    <w:rsid w:val="004D2AE2"/>
    <w:rsid w:val="004D4CA0"/>
    <w:rsid w:val="004D6BBA"/>
    <w:rsid w:val="004E1838"/>
    <w:rsid w:val="004E2424"/>
    <w:rsid w:val="004E31AD"/>
    <w:rsid w:val="004E7100"/>
    <w:rsid w:val="004F519A"/>
    <w:rsid w:val="004F6BB0"/>
    <w:rsid w:val="00501FF5"/>
    <w:rsid w:val="005071DC"/>
    <w:rsid w:val="00507F83"/>
    <w:rsid w:val="00512B71"/>
    <w:rsid w:val="00513CC5"/>
    <w:rsid w:val="0051520D"/>
    <w:rsid w:val="005202AF"/>
    <w:rsid w:val="00522B91"/>
    <w:rsid w:val="00522FD9"/>
    <w:rsid w:val="005270F0"/>
    <w:rsid w:val="0053207F"/>
    <w:rsid w:val="00532DB3"/>
    <w:rsid w:val="00540945"/>
    <w:rsid w:val="00547105"/>
    <w:rsid w:val="0055107B"/>
    <w:rsid w:val="0055120E"/>
    <w:rsid w:val="005538CC"/>
    <w:rsid w:val="0055483D"/>
    <w:rsid w:val="0055512A"/>
    <w:rsid w:val="00556D86"/>
    <w:rsid w:val="00565A0F"/>
    <w:rsid w:val="005700E3"/>
    <w:rsid w:val="00571D22"/>
    <w:rsid w:val="00572EFC"/>
    <w:rsid w:val="00573E00"/>
    <w:rsid w:val="005742C9"/>
    <w:rsid w:val="005812FB"/>
    <w:rsid w:val="0059380C"/>
    <w:rsid w:val="005A08C8"/>
    <w:rsid w:val="005A2907"/>
    <w:rsid w:val="005A4630"/>
    <w:rsid w:val="005A6744"/>
    <w:rsid w:val="005B2AE1"/>
    <w:rsid w:val="005C1520"/>
    <w:rsid w:val="005C32A7"/>
    <w:rsid w:val="005C705E"/>
    <w:rsid w:val="005D4F26"/>
    <w:rsid w:val="005D56B6"/>
    <w:rsid w:val="005E212C"/>
    <w:rsid w:val="005E6800"/>
    <w:rsid w:val="005F01FA"/>
    <w:rsid w:val="005F0BF0"/>
    <w:rsid w:val="005F273B"/>
    <w:rsid w:val="00606672"/>
    <w:rsid w:val="00614D2A"/>
    <w:rsid w:val="00617905"/>
    <w:rsid w:val="0062108F"/>
    <w:rsid w:val="006223AC"/>
    <w:rsid w:val="00623DD9"/>
    <w:rsid w:val="00624C7C"/>
    <w:rsid w:val="0062677C"/>
    <w:rsid w:val="00633900"/>
    <w:rsid w:val="00634126"/>
    <w:rsid w:val="006341FD"/>
    <w:rsid w:val="00635459"/>
    <w:rsid w:val="00635D19"/>
    <w:rsid w:val="00640135"/>
    <w:rsid w:val="00641070"/>
    <w:rsid w:val="00642969"/>
    <w:rsid w:val="00642F3F"/>
    <w:rsid w:val="00656E39"/>
    <w:rsid w:val="00657A0C"/>
    <w:rsid w:val="00663188"/>
    <w:rsid w:val="00666368"/>
    <w:rsid w:val="006777B6"/>
    <w:rsid w:val="00686B0E"/>
    <w:rsid w:val="00687F4D"/>
    <w:rsid w:val="006908AC"/>
    <w:rsid w:val="006919E6"/>
    <w:rsid w:val="00691B76"/>
    <w:rsid w:val="00691E23"/>
    <w:rsid w:val="006932DF"/>
    <w:rsid w:val="006A2F84"/>
    <w:rsid w:val="006A5187"/>
    <w:rsid w:val="006A6DFF"/>
    <w:rsid w:val="006B2ACD"/>
    <w:rsid w:val="006C0CC8"/>
    <w:rsid w:val="006C51F0"/>
    <w:rsid w:val="006C5841"/>
    <w:rsid w:val="006D18F4"/>
    <w:rsid w:val="006D204D"/>
    <w:rsid w:val="006D3FB3"/>
    <w:rsid w:val="006D4292"/>
    <w:rsid w:val="006E53E4"/>
    <w:rsid w:val="006F6C88"/>
    <w:rsid w:val="007017BE"/>
    <w:rsid w:val="00706233"/>
    <w:rsid w:val="00713665"/>
    <w:rsid w:val="0071728C"/>
    <w:rsid w:val="00721484"/>
    <w:rsid w:val="0072302E"/>
    <w:rsid w:val="00723316"/>
    <w:rsid w:val="00725ED1"/>
    <w:rsid w:val="00730C0C"/>
    <w:rsid w:val="007315E9"/>
    <w:rsid w:val="007344ED"/>
    <w:rsid w:val="00741584"/>
    <w:rsid w:val="00744616"/>
    <w:rsid w:val="0074794B"/>
    <w:rsid w:val="00760DE9"/>
    <w:rsid w:val="00760E5D"/>
    <w:rsid w:val="00764553"/>
    <w:rsid w:val="00771F92"/>
    <w:rsid w:val="00772E83"/>
    <w:rsid w:val="0077480D"/>
    <w:rsid w:val="00784CFC"/>
    <w:rsid w:val="0079132A"/>
    <w:rsid w:val="00793050"/>
    <w:rsid w:val="007931E9"/>
    <w:rsid w:val="00796526"/>
    <w:rsid w:val="00796892"/>
    <w:rsid w:val="007A311A"/>
    <w:rsid w:val="007A4204"/>
    <w:rsid w:val="007B2CA1"/>
    <w:rsid w:val="007B3FAE"/>
    <w:rsid w:val="007C2F1E"/>
    <w:rsid w:val="007D0A11"/>
    <w:rsid w:val="007D64A6"/>
    <w:rsid w:val="007D6BD0"/>
    <w:rsid w:val="007D7C68"/>
    <w:rsid w:val="007E0CA7"/>
    <w:rsid w:val="007E261F"/>
    <w:rsid w:val="007E2F6C"/>
    <w:rsid w:val="007E35C2"/>
    <w:rsid w:val="007E381B"/>
    <w:rsid w:val="007F3D40"/>
    <w:rsid w:val="008115C9"/>
    <w:rsid w:val="008165EF"/>
    <w:rsid w:val="008174C4"/>
    <w:rsid w:val="0082395B"/>
    <w:rsid w:val="00824465"/>
    <w:rsid w:val="00825610"/>
    <w:rsid w:val="00831734"/>
    <w:rsid w:val="00831B28"/>
    <w:rsid w:val="0083684F"/>
    <w:rsid w:val="008437E7"/>
    <w:rsid w:val="00853EB2"/>
    <w:rsid w:val="00856651"/>
    <w:rsid w:val="00857FD7"/>
    <w:rsid w:val="00862D66"/>
    <w:rsid w:val="008630C4"/>
    <w:rsid w:val="0087448E"/>
    <w:rsid w:val="00891CD2"/>
    <w:rsid w:val="00896120"/>
    <w:rsid w:val="008A103C"/>
    <w:rsid w:val="008A1759"/>
    <w:rsid w:val="008B2B08"/>
    <w:rsid w:val="008B3CC1"/>
    <w:rsid w:val="008B5B41"/>
    <w:rsid w:val="008C390F"/>
    <w:rsid w:val="008C76E1"/>
    <w:rsid w:val="008C7D0E"/>
    <w:rsid w:val="008D131B"/>
    <w:rsid w:val="008D3A4F"/>
    <w:rsid w:val="008F4272"/>
    <w:rsid w:val="008F64B9"/>
    <w:rsid w:val="008F6DE7"/>
    <w:rsid w:val="009063CE"/>
    <w:rsid w:val="00911ED3"/>
    <w:rsid w:val="009130E9"/>
    <w:rsid w:val="00913BB1"/>
    <w:rsid w:val="009153AF"/>
    <w:rsid w:val="00922214"/>
    <w:rsid w:val="00923798"/>
    <w:rsid w:val="009350BD"/>
    <w:rsid w:val="009379E6"/>
    <w:rsid w:val="00942B5B"/>
    <w:rsid w:val="009512E6"/>
    <w:rsid w:val="00957F98"/>
    <w:rsid w:val="0096154D"/>
    <w:rsid w:val="00965DA9"/>
    <w:rsid w:val="00966992"/>
    <w:rsid w:val="009915C2"/>
    <w:rsid w:val="00992E47"/>
    <w:rsid w:val="0099657E"/>
    <w:rsid w:val="009A63C0"/>
    <w:rsid w:val="009B00F2"/>
    <w:rsid w:val="009B515F"/>
    <w:rsid w:val="009B6D8B"/>
    <w:rsid w:val="009B79D5"/>
    <w:rsid w:val="009C0047"/>
    <w:rsid w:val="009C6986"/>
    <w:rsid w:val="009D2168"/>
    <w:rsid w:val="009D3B95"/>
    <w:rsid w:val="009D51A5"/>
    <w:rsid w:val="009E4176"/>
    <w:rsid w:val="009F067A"/>
    <w:rsid w:val="009F1E79"/>
    <w:rsid w:val="009F3765"/>
    <w:rsid w:val="00A02EAA"/>
    <w:rsid w:val="00A044B5"/>
    <w:rsid w:val="00A0463C"/>
    <w:rsid w:val="00A047C2"/>
    <w:rsid w:val="00A054BD"/>
    <w:rsid w:val="00A16985"/>
    <w:rsid w:val="00A31F8E"/>
    <w:rsid w:val="00A36A02"/>
    <w:rsid w:val="00A475D0"/>
    <w:rsid w:val="00A50857"/>
    <w:rsid w:val="00A51E6E"/>
    <w:rsid w:val="00A540F9"/>
    <w:rsid w:val="00A54E18"/>
    <w:rsid w:val="00A5514C"/>
    <w:rsid w:val="00A552D8"/>
    <w:rsid w:val="00A6162C"/>
    <w:rsid w:val="00A63F54"/>
    <w:rsid w:val="00A7469F"/>
    <w:rsid w:val="00A7749E"/>
    <w:rsid w:val="00A77784"/>
    <w:rsid w:val="00A80B90"/>
    <w:rsid w:val="00A8209E"/>
    <w:rsid w:val="00A87B6F"/>
    <w:rsid w:val="00AA16A6"/>
    <w:rsid w:val="00AA2CDA"/>
    <w:rsid w:val="00AA33F2"/>
    <w:rsid w:val="00AA442C"/>
    <w:rsid w:val="00AA6372"/>
    <w:rsid w:val="00AB627B"/>
    <w:rsid w:val="00AB728A"/>
    <w:rsid w:val="00AB7C8C"/>
    <w:rsid w:val="00AC102B"/>
    <w:rsid w:val="00AC2D70"/>
    <w:rsid w:val="00AD135E"/>
    <w:rsid w:val="00AD48B8"/>
    <w:rsid w:val="00AE437E"/>
    <w:rsid w:val="00AE49AA"/>
    <w:rsid w:val="00AE7781"/>
    <w:rsid w:val="00AF049F"/>
    <w:rsid w:val="00AF452D"/>
    <w:rsid w:val="00B01877"/>
    <w:rsid w:val="00B01DBE"/>
    <w:rsid w:val="00B12881"/>
    <w:rsid w:val="00B137EE"/>
    <w:rsid w:val="00B15D68"/>
    <w:rsid w:val="00B24B5D"/>
    <w:rsid w:val="00B260EE"/>
    <w:rsid w:val="00B26F81"/>
    <w:rsid w:val="00B32048"/>
    <w:rsid w:val="00B37C3F"/>
    <w:rsid w:val="00B44BC3"/>
    <w:rsid w:val="00B44D07"/>
    <w:rsid w:val="00B50925"/>
    <w:rsid w:val="00B5164D"/>
    <w:rsid w:val="00B52C7E"/>
    <w:rsid w:val="00B54C67"/>
    <w:rsid w:val="00B60408"/>
    <w:rsid w:val="00B606A6"/>
    <w:rsid w:val="00B65E4B"/>
    <w:rsid w:val="00B67C42"/>
    <w:rsid w:val="00B73AC8"/>
    <w:rsid w:val="00B8243C"/>
    <w:rsid w:val="00B82695"/>
    <w:rsid w:val="00B83C56"/>
    <w:rsid w:val="00B83F43"/>
    <w:rsid w:val="00B84496"/>
    <w:rsid w:val="00B90053"/>
    <w:rsid w:val="00B90582"/>
    <w:rsid w:val="00B91AF6"/>
    <w:rsid w:val="00B9693A"/>
    <w:rsid w:val="00B979D6"/>
    <w:rsid w:val="00BA335C"/>
    <w:rsid w:val="00BB3100"/>
    <w:rsid w:val="00BB3BB3"/>
    <w:rsid w:val="00BB4604"/>
    <w:rsid w:val="00BC0D6A"/>
    <w:rsid w:val="00BC106E"/>
    <w:rsid w:val="00BC10FB"/>
    <w:rsid w:val="00BC1B18"/>
    <w:rsid w:val="00BC2071"/>
    <w:rsid w:val="00BC5346"/>
    <w:rsid w:val="00BC5B5A"/>
    <w:rsid w:val="00BC7AB9"/>
    <w:rsid w:val="00BD0F56"/>
    <w:rsid w:val="00BE6E38"/>
    <w:rsid w:val="00BF371A"/>
    <w:rsid w:val="00C04B40"/>
    <w:rsid w:val="00C14420"/>
    <w:rsid w:val="00C163F9"/>
    <w:rsid w:val="00C241C8"/>
    <w:rsid w:val="00C268E7"/>
    <w:rsid w:val="00C27BE2"/>
    <w:rsid w:val="00C37118"/>
    <w:rsid w:val="00C40379"/>
    <w:rsid w:val="00C40C59"/>
    <w:rsid w:val="00C41294"/>
    <w:rsid w:val="00C41D31"/>
    <w:rsid w:val="00C45C01"/>
    <w:rsid w:val="00C52A43"/>
    <w:rsid w:val="00C52BFA"/>
    <w:rsid w:val="00C5378E"/>
    <w:rsid w:val="00C56800"/>
    <w:rsid w:val="00C6286A"/>
    <w:rsid w:val="00C64623"/>
    <w:rsid w:val="00C675F5"/>
    <w:rsid w:val="00C704BB"/>
    <w:rsid w:val="00C72434"/>
    <w:rsid w:val="00C727A4"/>
    <w:rsid w:val="00C7280F"/>
    <w:rsid w:val="00C729D9"/>
    <w:rsid w:val="00C805B4"/>
    <w:rsid w:val="00C80994"/>
    <w:rsid w:val="00C86B6A"/>
    <w:rsid w:val="00C86CB5"/>
    <w:rsid w:val="00C910AC"/>
    <w:rsid w:val="00C91CE6"/>
    <w:rsid w:val="00C95BBC"/>
    <w:rsid w:val="00C9680E"/>
    <w:rsid w:val="00CA3F81"/>
    <w:rsid w:val="00CB2D5C"/>
    <w:rsid w:val="00CB38D5"/>
    <w:rsid w:val="00CC1383"/>
    <w:rsid w:val="00CC265D"/>
    <w:rsid w:val="00CC3C7F"/>
    <w:rsid w:val="00CD13F9"/>
    <w:rsid w:val="00CE4674"/>
    <w:rsid w:val="00CF61A6"/>
    <w:rsid w:val="00D079FC"/>
    <w:rsid w:val="00D13131"/>
    <w:rsid w:val="00D134DA"/>
    <w:rsid w:val="00D16B79"/>
    <w:rsid w:val="00D24430"/>
    <w:rsid w:val="00D26315"/>
    <w:rsid w:val="00D30CDF"/>
    <w:rsid w:val="00D32702"/>
    <w:rsid w:val="00D342F2"/>
    <w:rsid w:val="00D36CA5"/>
    <w:rsid w:val="00D54CDA"/>
    <w:rsid w:val="00D55177"/>
    <w:rsid w:val="00D55F50"/>
    <w:rsid w:val="00D57504"/>
    <w:rsid w:val="00D63492"/>
    <w:rsid w:val="00D73847"/>
    <w:rsid w:val="00D74BAB"/>
    <w:rsid w:val="00D754AF"/>
    <w:rsid w:val="00D84E62"/>
    <w:rsid w:val="00D924AD"/>
    <w:rsid w:val="00D93590"/>
    <w:rsid w:val="00D94100"/>
    <w:rsid w:val="00DA0669"/>
    <w:rsid w:val="00DA722E"/>
    <w:rsid w:val="00DB3A45"/>
    <w:rsid w:val="00DC2564"/>
    <w:rsid w:val="00DD70D2"/>
    <w:rsid w:val="00DE2768"/>
    <w:rsid w:val="00DE3BDA"/>
    <w:rsid w:val="00DF1D7F"/>
    <w:rsid w:val="00DF2EC7"/>
    <w:rsid w:val="00DF3F6B"/>
    <w:rsid w:val="00DF630A"/>
    <w:rsid w:val="00E028AD"/>
    <w:rsid w:val="00E0401F"/>
    <w:rsid w:val="00E111A4"/>
    <w:rsid w:val="00E1757A"/>
    <w:rsid w:val="00E2251E"/>
    <w:rsid w:val="00E246D3"/>
    <w:rsid w:val="00E269A2"/>
    <w:rsid w:val="00E26FF3"/>
    <w:rsid w:val="00E351C0"/>
    <w:rsid w:val="00E36535"/>
    <w:rsid w:val="00E444D2"/>
    <w:rsid w:val="00E520B0"/>
    <w:rsid w:val="00E53E3C"/>
    <w:rsid w:val="00E6289D"/>
    <w:rsid w:val="00E6328A"/>
    <w:rsid w:val="00E65069"/>
    <w:rsid w:val="00E677BC"/>
    <w:rsid w:val="00E726F0"/>
    <w:rsid w:val="00E75D2C"/>
    <w:rsid w:val="00E7627E"/>
    <w:rsid w:val="00E7778B"/>
    <w:rsid w:val="00E80E16"/>
    <w:rsid w:val="00E80F70"/>
    <w:rsid w:val="00E82377"/>
    <w:rsid w:val="00E875C1"/>
    <w:rsid w:val="00E923C1"/>
    <w:rsid w:val="00E96AA6"/>
    <w:rsid w:val="00EA24A6"/>
    <w:rsid w:val="00EA69BD"/>
    <w:rsid w:val="00EA7AA0"/>
    <w:rsid w:val="00EB0B92"/>
    <w:rsid w:val="00EC664D"/>
    <w:rsid w:val="00EC7279"/>
    <w:rsid w:val="00ED0B67"/>
    <w:rsid w:val="00EE3FF1"/>
    <w:rsid w:val="00EF35AD"/>
    <w:rsid w:val="00EF3AD6"/>
    <w:rsid w:val="00EF3C87"/>
    <w:rsid w:val="00F0034F"/>
    <w:rsid w:val="00F06D06"/>
    <w:rsid w:val="00F10117"/>
    <w:rsid w:val="00F1341B"/>
    <w:rsid w:val="00F2132B"/>
    <w:rsid w:val="00F22A89"/>
    <w:rsid w:val="00F35442"/>
    <w:rsid w:val="00F41378"/>
    <w:rsid w:val="00F473ED"/>
    <w:rsid w:val="00F661B9"/>
    <w:rsid w:val="00F70290"/>
    <w:rsid w:val="00F719F8"/>
    <w:rsid w:val="00F74672"/>
    <w:rsid w:val="00F83B55"/>
    <w:rsid w:val="00F854B7"/>
    <w:rsid w:val="00F92135"/>
    <w:rsid w:val="00F93097"/>
    <w:rsid w:val="00F94DF1"/>
    <w:rsid w:val="00F95349"/>
    <w:rsid w:val="00FA0AF9"/>
    <w:rsid w:val="00FA2846"/>
    <w:rsid w:val="00FB27B8"/>
    <w:rsid w:val="00FB7F7D"/>
    <w:rsid w:val="00FD12B3"/>
    <w:rsid w:val="00FD6B03"/>
    <w:rsid w:val="00FE05A8"/>
    <w:rsid w:val="00FE46D7"/>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1B"/>
    <w:rPr>
      <w:sz w:val="24"/>
    </w:rPr>
  </w:style>
  <w:style w:type="paragraph" w:styleId="Heading1">
    <w:name w:val="heading 1"/>
    <w:basedOn w:val="Normal"/>
    <w:next w:val="Normal"/>
    <w:link w:val="Heading1Char"/>
    <w:qFormat/>
    <w:rsid w:val="00B54C67"/>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164B1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semiHidden/>
    <w:rsid w:val="009F067A"/>
    <w:rPr>
      <w:sz w:val="24"/>
      <w:szCs w:val="24"/>
    </w:rPr>
  </w:style>
  <w:style w:type="character" w:customStyle="1" w:styleId="UnresolvedMention">
    <w:name w:val="Unresolved Mention"/>
    <w:uiPriority w:val="99"/>
    <w:semiHidden/>
    <w:unhideWhenUsed/>
    <w:rsid w:val="0055512A"/>
    <w:rPr>
      <w:color w:val="605E5C"/>
      <w:shd w:val="clear" w:color="auto" w:fill="E1DFDD"/>
    </w:rPr>
  </w:style>
  <w:style w:type="character" w:customStyle="1" w:styleId="FootnoteTextChar">
    <w:name w:val="Footnote Text Char"/>
    <w:basedOn w:val="DefaultParagraphFont"/>
    <w:link w:val="FootnoteText"/>
    <w:semiHidden/>
    <w:rsid w:val="001534E4"/>
  </w:style>
  <w:style w:type="paragraph" w:styleId="Revision">
    <w:name w:val="Revision"/>
    <w:hidden/>
    <w:uiPriority w:val="99"/>
    <w:semiHidden/>
    <w:rsid w:val="00706233"/>
    <w:rPr>
      <w:sz w:val="24"/>
    </w:rPr>
  </w:style>
  <w:style w:type="character" w:customStyle="1" w:styleId="Heading1Char">
    <w:name w:val="Heading 1 Char"/>
    <w:link w:val="Heading1"/>
    <w:rsid w:val="00B54C67"/>
    <w:rPr>
      <w:rFonts w:ascii="Times New Roman Bold" w:hAnsi="Times New Roman Bold"/>
      <w:b/>
      <w:sz w:val="24"/>
      <w:szCs w:val="24"/>
    </w:rPr>
  </w:style>
  <w:style w:type="character" w:customStyle="1" w:styleId="FooterChar">
    <w:name w:val="Footer Char"/>
    <w:basedOn w:val="DefaultParagraphFont"/>
    <w:link w:val="Footer"/>
    <w:uiPriority w:val="99"/>
    <w:rsid w:val="006932DF"/>
  </w:style>
  <w:style w:type="character" w:customStyle="1" w:styleId="BodyTextIndent3Char">
    <w:name w:val="Body Text Indent 3 Char"/>
    <w:link w:val="BodyTextIndent3"/>
    <w:rsid w:val="006932DF"/>
    <w:rPr>
      <w:sz w:val="24"/>
    </w:rPr>
  </w:style>
  <w:style w:type="character" w:customStyle="1" w:styleId="HTMLPreformattedChar">
    <w:name w:val="HTML Preformatted Char"/>
    <w:link w:val="HTMLPreformatted"/>
    <w:rsid w:val="00B54C67"/>
    <w:rPr>
      <w:rFonts w:ascii="Courier New" w:eastAsia="Courier New" w:hAnsi="Courier New" w:cs="Courier New"/>
    </w:rPr>
  </w:style>
  <w:style w:type="paragraph" w:styleId="TOC1">
    <w:name w:val="toc 1"/>
    <w:basedOn w:val="Normal"/>
    <w:next w:val="Normal"/>
    <w:autoRedefine/>
    <w:uiPriority w:val="39"/>
    <w:rsid w:val="00760E5D"/>
    <w:pPr>
      <w:tabs>
        <w:tab w:val="decimal" w:leader="dot" w:pos="8640"/>
      </w:tabs>
      <w:spacing w:after="240"/>
      <w:ind w:left="720" w:hanging="720"/>
    </w:pPr>
  </w:style>
  <w:style w:type="paragraph" w:styleId="TOC2">
    <w:name w:val="toc 2"/>
    <w:basedOn w:val="Normal"/>
    <w:next w:val="Normal"/>
    <w:autoRedefine/>
    <w:uiPriority w:val="39"/>
    <w:rsid w:val="00760E5D"/>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gregory.price@puco.ohio.gov" TargetMode="External" /><Relationship Id="rId12" Type="http://schemas.openxmlformats.org/officeDocument/2006/relationships/hyperlink" Target="mailto:jacqueline.st.john@puco.ohio.gov" TargetMode="External" /><Relationship Id="rId13" Type="http://schemas.openxmlformats.org/officeDocument/2006/relationships/hyperlink" Target="mailto:bojko@carpenterlipps.com" TargetMode="External" /><Relationship Id="rId14" Type="http://schemas.openxmlformats.org/officeDocument/2006/relationships/hyperlink" Target="mailto:wygonski@carpenterlipps.com" TargetMode="External" /><Relationship Id="rId15" Type="http://schemas.openxmlformats.org/officeDocument/2006/relationships/hyperlink" Target="mailto:bknipe@firstenergycorp.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ABF7-FADF-4105-B9E1-FA5A342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TE/Campbell 21-1047 Reply Brief--all edits accepted  (00534788.DOCX;1)</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2022-02-24T20:37:06Z</dcterms:created>
  <dcterms:modified xsi:type="dcterms:W3CDTF">2022-02-24T20:37:06Z</dcterms:modified>
</cp:coreProperties>
</file>