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152A74" w:rsidRPr="006A0331" w:rsidP="00152A74" w14:paraId="10AF7151" w14:textId="67D67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A0331">
        <w:rPr>
          <w:rFonts w:ascii="Times New Roman" w:eastAsia="Calibri" w:hAnsi="Times New Roman" w:cs="Times New Roman"/>
          <w:b/>
          <w:bCs/>
          <w:sz w:val="24"/>
          <w:szCs w:val="24"/>
        </w:rPr>
        <w:t>BEFORE</w:t>
      </w:r>
    </w:p>
    <w:p w:rsidR="00AD677D" w:rsidRPr="006A0331" w:rsidP="00152A74" w14:paraId="67B71915" w14:textId="48E25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A0331">
        <w:rPr>
          <w:rFonts w:ascii="Times New Roman" w:eastAsia="Calibri" w:hAnsi="Times New Roman" w:cs="Times New Roman"/>
          <w:b/>
          <w:bCs/>
          <w:sz w:val="24"/>
          <w:szCs w:val="24"/>
        </w:rPr>
        <w:t>THE PUBLIC UTILITIES COMMISSION OF OHIO</w:t>
      </w:r>
    </w:p>
    <w:p w:rsidR="00D20C8D" w:rsidRPr="006A0331" w:rsidP="00D20C8D" w14:paraId="00D37463" w14:textId="77777777">
      <w:pPr>
        <w:pStyle w:val="HTMLPreformatted"/>
        <w:jc w:val="center"/>
        <w:rPr>
          <w:rFonts w:ascii="Times New Roman" w:hAnsi="Times New Roman" w:cs="Times New Roman"/>
          <w:b/>
          <w:bCs/>
          <w:sz w:val="24"/>
          <w:szCs w:val="24"/>
        </w:rPr>
      </w:pPr>
    </w:p>
    <w:tbl>
      <w:tblPr>
        <w:tblW w:w="8838" w:type="dxa"/>
        <w:tblInd w:w="-108" w:type="dxa"/>
        <w:tblLook w:val="01E0"/>
      </w:tblPr>
      <w:tblGrid>
        <w:gridCol w:w="4237"/>
        <w:gridCol w:w="296"/>
        <w:gridCol w:w="4305"/>
      </w:tblGrid>
      <w:tr w14:paraId="51B37946" w14:textId="77777777" w:rsidTr="000E48AE">
        <w:tblPrEx>
          <w:tblW w:w="8838" w:type="dxa"/>
          <w:tblInd w:w="-108" w:type="dxa"/>
          <w:tblLook w:val="01E0"/>
        </w:tblPrEx>
        <w:trPr>
          <w:trHeight w:val="1602"/>
        </w:trPr>
        <w:tc>
          <w:tcPr>
            <w:tcW w:w="4237" w:type="dxa"/>
            <w:shd w:val="clear" w:color="auto" w:fill="auto"/>
          </w:tcPr>
          <w:p w:rsidR="00D20C8D" w:rsidRPr="006A0331" w:rsidP="005A7045" w14:paraId="4B24A353" w14:textId="4F09E89D">
            <w:pPr>
              <w:autoSpaceDE w:val="0"/>
              <w:autoSpaceDN w:val="0"/>
              <w:adjustRightInd w:val="0"/>
              <w:spacing w:line="240" w:lineRule="auto"/>
              <w:rPr>
                <w:rFonts w:ascii="Times New Roman" w:hAnsi="Times New Roman" w:cs="Times New Roman"/>
                <w:sz w:val="24"/>
                <w:szCs w:val="24"/>
              </w:rPr>
            </w:pPr>
            <w:r w:rsidRPr="006A0331">
              <w:rPr>
                <w:rFonts w:ascii="Times New Roman" w:hAnsi="Times New Roman" w:cs="Times New Roman"/>
                <w:sz w:val="24"/>
                <w:szCs w:val="24"/>
              </w:rPr>
              <w:t>In the Matter of the Application of the East Ohio Gas Company d/b/a Dominion Energy Ohio for Authority to Adjust Its Capital Expenditure Program Rider Charges.</w:t>
            </w:r>
          </w:p>
        </w:tc>
        <w:tc>
          <w:tcPr>
            <w:tcW w:w="296" w:type="dxa"/>
            <w:shd w:val="clear" w:color="auto" w:fill="auto"/>
          </w:tcPr>
          <w:p w:rsidR="00D20C8D" w:rsidRPr="006A0331" w:rsidP="00C5323E" w14:paraId="579A8B2F"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p w:rsidR="00D20C8D" w:rsidRPr="006A0331" w:rsidP="00C5323E" w14:paraId="5EDA5BD2"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p w:rsidR="00D20C8D" w:rsidRPr="006A0331" w:rsidP="00C5323E" w14:paraId="7A0167A5"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p w:rsidR="00D20C8D" w:rsidRPr="006A0331" w:rsidP="00C5323E" w14:paraId="22F21569"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p w:rsidR="00D20C8D" w:rsidRPr="006A0331" w:rsidP="000E48AE" w14:paraId="053B0AC3" w14:textId="0F105F1B">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tc>
        <w:tc>
          <w:tcPr>
            <w:tcW w:w="4305" w:type="dxa"/>
            <w:shd w:val="clear" w:color="auto" w:fill="auto"/>
          </w:tcPr>
          <w:p w:rsidR="00D20C8D" w:rsidRPr="006A0331" w:rsidP="00C5323E" w14:paraId="45187CA2" w14:textId="77777777">
            <w:pPr>
              <w:pStyle w:val="HTMLPreformatted"/>
              <w:rPr>
                <w:rFonts w:ascii="Times New Roman" w:hAnsi="Times New Roman" w:cs="Times New Roman"/>
                <w:sz w:val="24"/>
                <w:szCs w:val="24"/>
              </w:rPr>
            </w:pPr>
          </w:p>
          <w:p w:rsidR="00D20C8D" w:rsidRPr="006A0331" w:rsidP="00C5323E" w14:paraId="67F35504" w14:textId="77777777">
            <w:pPr>
              <w:pStyle w:val="HTMLPreformatted"/>
              <w:rPr>
                <w:rFonts w:ascii="Times New Roman" w:hAnsi="Times New Roman" w:cs="Times New Roman"/>
                <w:sz w:val="24"/>
                <w:szCs w:val="24"/>
              </w:rPr>
            </w:pPr>
          </w:p>
          <w:p w:rsidR="00D20C8D" w:rsidRPr="006A0331" w:rsidP="00C5323E" w14:paraId="5772299E" w14:textId="33F35AF8">
            <w:pPr>
              <w:pStyle w:val="HTMLPreformatted"/>
              <w:rPr>
                <w:rFonts w:ascii="Times New Roman" w:hAnsi="Times New Roman" w:cs="Times New Roman"/>
                <w:sz w:val="24"/>
                <w:szCs w:val="24"/>
              </w:rPr>
            </w:pPr>
            <w:r w:rsidRPr="006A0331">
              <w:rPr>
                <w:rFonts w:ascii="Times New Roman" w:hAnsi="Times New Roman" w:cs="Times New Roman"/>
                <w:sz w:val="24"/>
                <w:szCs w:val="24"/>
              </w:rPr>
              <w:t>Case No. 2</w:t>
            </w:r>
            <w:r w:rsidR="00B83470">
              <w:rPr>
                <w:rFonts w:ascii="Times New Roman" w:hAnsi="Times New Roman" w:cs="Times New Roman"/>
                <w:sz w:val="24"/>
                <w:szCs w:val="24"/>
              </w:rPr>
              <w:t>1</w:t>
            </w:r>
            <w:r w:rsidRPr="006A0331">
              <w:rPr>
                <w:rFonts w:ascii="Times New Roman" w:hAnsi="Times New Roman" w:cs="Times New Roman"/>
                <w:sz w:val="24"/>
                <w:szCs w:val="24"/>
              </w:rPr>
              <w:t>-619-GA-RDR</w:t>
            </w:r>
          </w:p>
        </w:tc>
      </w:tr>
    </w:tbl>
    <w:p w:rsidR="00152A74" w:rsidRPr="006A0331" w:rsidP="000E48AE" w14:paraId="6724AE52"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152A74" w:rsidRPr="006A0331" w:rsidP="00152A74" w14:paraId="05405E47" w14:textId="77777777">
      <w:pPr>
        <w:autoSpaceDE w:val="0"/>
        <w:autoSpaceDN w:val="0"/>
        <w:adjustRightInd w:val="0"/>
        <w:spacing w:after="0" w:line="240" w:lineRule="auto"/>
        <w:rPr>
          <w:rFonts w:ascii="Times New Roman" w:eastAsia="Calibri" w:hAnsi="Times New Roman" w:cs="Times New Roman"/>
          <w:sz w:val="24"/>
          <w:szCs w:val="24"/>
        </w:rPr>
      </w:pPr>
    </w:p>
    <w:p w:rsidR="00C42A1E" w:rsidRPr="006A0331" w:rsidP="00C42A1E" w14:paraId="4EE39B9A" w14:textId="19F5A587">
      <w:pPr>
        <w:widowControl w:val="0"/>
        <w:spacing w:after="0" w:line="240" w:lineRule="auto"/>
        <w:jc w:val="center"/>
        <w:rPr>
          <w:rFonts w:ascii="Times New Roman" w:hAnsi="Times New Roman" w:cs="Times New Roman"/>
          <w:b/>
          <w:sz w:val="24"/>
          <w:szCs w:val="24"/>
        </w:rPr>
      </w:pPr>
      <w:r w:rsidRPr="006A0331">
        <w:rPr>
          <w:rFonts w:ascii="Times New Roman" w:hAnsi="Times New Roman" w:cs="Times New Roman"/>
          <w:b/>
          <w:sz w:val="24"/>
          <w:szCs w:val="24"/>
        </w:rPr>
        <w:t xml:space="preserve">APPLICATION FOR REHEARING </w:t>
      </w:r>
    </w:p>
    <w:p w:rsidR="00C42A1E" w:rsidRPr="006A0331" w:rsidP="00C42A1E" w14:paraId="0CD53166" w14:textId="77777777">
      <w:pPr>
        <w:widowControl w:val="0"/>
        <w:spacing w:after="0" w:line="240" w:lineRule="auto"/>
        <w:jc w:val="center"/>
        <w:rPr>
          <w:rFonts w:ascii="Times New Roman" w:hAnsi="Times New Roman" w:cs="Times New Roman"/>
          <w:b/>
          <w:sz w:val="24"/>
          <w:szCs w:val="24"/>
        </w:rPr>
      </w:pPr>
      <w:r w:rsidRPr="006A0331">
        <w:rPr>
          <w:rFonts w:ascii="Times New Roman" w:hAnsi="Times New Roman" w:cs="Times New Roman"/>
          <w:b/>
          <w:sz w:val="24"/>
          <w:szCs w:val="24"/>
        </w:rPr>
        <w:t>BY</w:t>
      </w:r>
    </w:p>
    <w:p w:rsidR="00C42A1E" w:rsidRPr="006A0331" w:rsidP="00C42A1E" w14:paraId="69D4D059" w14:textId="77777777">
      <w:pPr>
        <w:spacing w:after="0" w:line="240" w:lineRule="auto"/>
        <w:jc w:val="center"/>
        <w:rPr>
          <w:rFonts w:ascii="Times New Roman" w:hAnsi="Times New Roman" w:cs="Times New Roman"/>
          <w:b/>
          <w:sz w:val="24"/>
          <w:szCs w:val="24"/>
        </w:rPr>
      </w:pPr>
      <w:r w:rsidRPr="006A0331">
        <w:rPr>
          <w:rFonts w:ascii="Times New Roman" w:hAnsi="Times New Roman" w:cs="Times New Roman"/>
          <w:b/>
          <w:sz w:val="24"/>
          <w:szCs w:val="24"/>
        </w:rPr>
        <w:t>OFFICE OF THE OHIO CONSUMERS’ COUNSEL</w:t>
      </w:r>
    </w:p>
    <w:p w:rsidR="00152A74" w:rsidRPr="006A0331" w:rsidP="007633FA" w14:paraId="6EA3305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0E48AE" w:rsidRPr="006A0331" w:rsidP="000E48AE" w14:paraId="6CC4ED9C" w14:textId="77777777">
      <w:pPr>
        <w:kinsoku w:val="0"/>
        <w:overflowPunct w:val="0"/>
        <w:autoSpaceDE w:val="0"/>
        <w:autoSpaceDN w:val="0"/>
        <w:adjustRightInd w:val="0"/>
        <w:spacing w:after="0" w:line="240" w:lineRule="auto"/>
        <w:ind w:firstLine="720"/>
        <w:rPr>
          <w:rFonts w:ascii="Times New Roman" w:hAnsi="Times New Roman" w:cs="Times New Roman"/>
          <w:sz w:val="24"/>
          <w:szCs w:val="24"/>
        </w:rPr>
      </w:pPr>
    </w:p>
    <w:p w:rsidR="005535FB" w:rsidP="00897E6F" w14:paraId="01209327" w14:textId="77777777">
      <w:pPr>
        <w:kinsoku w:val="0"/>
        <w:overflowPunct w:val="0"/>
        <w:autoSpaceDE w:val="0"/>
        <w:autoSpaceDN w:val="0"/>
        <w:adjustRightInd w:val="0"/>
        <w:spacing w:after="0" w:line="480" w:lineRule="auto"/>
        <w:ind w:firstLine="720"/>
        <w:rPr>
          <w:rFonts w:ascii="Times New Roman" w:hAnsi="Times New Roman" w:cs="Times New Roman"/>
          <w:sz w:val="24"/>
          <w:szCs w:val="24"/>
        </w:rPr>
        <w:sectPr w:rsidSect="00375DEA">
          <w:footerReference w:type="default" r:id="rId6"/>
          <w:pgSz w:w="12240" w:h="15840"/>
          <w:pgMar w:top="1440" w:right="1800" w:bottom="1440" w:left="1800" w:header="720" w:footer="720" w:gutter="0"/>
          <w:pgNumType w:start="1"/>
          <w:cols w:space="720"/>
          <w:docGrid w:linePitch="360"/>
        </w:sectPr>
      </w:pPr>
      <w:r w:rsidRPr="006A0331">
        <w:rPr>
          <w:rFonts w:ascii="Times New Roman" w:hAnsi="Times New Roman" w:cs="Times New Roman"/>
          <w:sz w:val="24"/>
          <w:szCs w:val="24"/>
        </w:rPr>
        <w:t>The PUCO</w:t>
      </w:r>
      <w:r w:rsidR="00CD3D6D">
        <w:rPr>
          <w:rFonts w:ascii="Times New Roman" w:hAnsi="Times New Roman" w:cs="Times New Roman"/>
          <w:sz w:val="24"/>
          <w:szCs w:val="24"/>
        </w:rPr>
        <w:t>’s Second Entry on Rehearing fails consumers and is unlawful</w:t>
      </w:r>
      <w:r w:rsidRPr="006A0331" w:rsidR="00AF071D">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6A0331" w:rsidR="00AF071D">
        <w:rPr>
          <w:rFonts w:ascii="Times New Roman" w:hAnsi="Times New Roman" w:cs="Times New Roman"/>
          <w:sz w:val="24"/>
          <w:szCs w:val="24"/>
        </w:rPr>
        <w:t xml:space="preserve"> </w:t>
      </w:r>
      <w:r w:rsidR="00CD3D6D">
        <w:rPr>
          <w:rFonts w:ascii="Times New Roman" w:hAnsi="Times New Roman" w:cs="Times New Roman"/>
          <w:sz w:val="24"/>
          <w:szCs w:val="24"/>
        </w:rPr>
        <w:t xml:space="preserve">OCC has demonstrated that it is unreasonable and unlawful to use </w:t>
      </w:r>
      <w:r w:rsidRPr="006A0331" w:rsidR="00AF071D">
        <w:rPr>
          <w:rFonts w:ascii="Times New Roman" w:hAnsi="Times New Roman" w:cs="Times New Roman"/>
          <w:sz w:val="24"/>
          <w:szCs w:val="24"/>
        </w:rPr>
        <w:t xml:space="preserve">Dominion’s </w:t>
      </w:r>
      <w:r w:rsidRPr="006A0331" w:rsidR="003E7971">
        <w:rPr>
          <w:rFonts w:ascii="Times New Roman" w:hAnsi="Times New Roman" w:cs="Times New Roman"/>
          <w:sz w:val="24"/>
          <w:szCs w:val="24"/>
        </w:rPr>
        <w:t xml:space="preserve">more than </w:t>
      </w:r>
      <w:r w:rsidRPr="006A0331" w:rsidR="007A651E">
        <w:rPr>
          <w:rFonts w:ascii="Times New Roman" w:hAnsi="Times New Roman" w:cs="Times New Roman"/>
          <w:sz w:val="24"/>
          <w:szCs w:val="24"/>
        </w:rPr>
        <w:t>13 year</w:t>
      </w:r>
      <w:r w:rsidR="005A0BDB">
        <w:rPr>
          <w:rFonts w:ascii="Times New Roman" w:hAnsi="Times New Roman" w:cs="Times New Roman"/>
          <w:sz w:val="24"/>
          <w:szCs w:val="24"/>
        </w:rPr>
        <w:t>-</w:t>
      </w:r>
      <w:r w:rsidRPr="006A0331" w:rsidR="007A651E">
        <w:rPr>
          <w:rFonts w:ascii="Times New Roman" w:hAnsi="Times New Roman" w:cs="Times New Roman"/>
          <w:sz w:val="24"/>
          <w:szCs w:val="24"/>
        </w:rPr>
        <w:t xml:space="preserve">old </w:t>
      </w:r>
      <w:r w:rsidRPr="00797BC9" w:rsidR="00CD3D6D">
        <w:rPr>
          <w:rFonts w:ascii="Times New Roman" w:hAnsi="Times New Roman" w:cs="Times New Roman"/>
          <w:sz w:val="24"/>
          <w:szCs w:val="24"/>
        </w:rPr>
        <w:t xml:space="preserve">capital structure and cost of capital from Dominion’s last base rate proceeding in </w:t>
      </w:r>
      <w:r w:rsidRPr="00797BC9" w:rsidR="00797BC9">
        <w:rPr>
          <w:rFonts w:ascii="Times New Roman" w:hAnsi="Times New Roman" w:cs="Times New Roman"/>
          <w:sz w:val="24"/>
          <w:szCs w:val="24"/>
        </w:rPr>
        <w:t xml:space="preserve">calculating the </w:t>
      </w:r>
      <w:r w:rsidR="00797BC9">
        <w:rPr>
          <w:rFonts w:ascii="Times New Roman" w:hAnsi="Times New Roman" w:cs="Times New Roman"/>
          <w:sz w:val="24"/>
          <w:szCs w:val="24"/>
        </w:rPr>
        <w:t>capital expenditure charge</w:t>
      </w:r>
      <w:r w:rsidRPr="006A0331" w:rsidR="007A651E">
        <w:rPr>
          <w:rFonts w:ascii="Times New Roman" w:hAnsi="Times New Roman" w:cs="Times New Roman"/>
          <w:sz w:val="24"/>
          <w:szCs w:val="24"/>
        </w:rPr>
        <w:t xml:space="preserve">. </w:t>
      </w:r>
      <w:r w:rsidR="00797BC9">
        <w:rPr>
          <w:rFonts w:ascii="Times New Roman" w:hAnsi="Times New Roman" w:cs="Times New Roman"/>
          <w:sz w:val="24"/>
          <w:szCs w:val="24"/>
        </w:rPr>
        <w:t>In response, the PUCO says merely that that has “long been [its] practice.”</w:t>
      </w:r>
      <w:r>
        <w:rPr>
          <w:rStyle w:val="FootnoteReference"/>
          <w:rFonts w:ascii="Times New Roman" w:hAnsi="Times New Roman" w:cs="Times New Roman"/>
          <w:sz w:val="24"/>
          <w:szCs w:val="24"/>
        </w:rPr>
        <w:footnoteReference w:id="4"/>
      </w:r>
      <w:r w:rsidR="00797BC9">
        <w:rPr>
          <w:rFonts w:ascii="Times New Roman" w:hAnsi="Times New Roman" w:cs="Times New Roman"/>
          <w:sz w:val="24"/>
          <w:szCs w:val="24"/>
        </w:rPr>
        <w:t xml:space="preserve"> But it hasn’t been. In fact, it had been the PUCO’s practice and precedent </w:t>
      </w:r>
      <w:r w:rsidRPr="004C165E" w:rsidR="004C165E">
        <w:rPr>
          <w:rFonts w:ascii="Times New Roman" w:hAnsi="Times New Roman" w:cs="Times New Roman"/>
          <w:sz w:val="24"/>
          <w:szCs w:val="24"/>
        </w:rPr>
        <w:t>that where rates were set more than three years ago, a new calculation should be made.</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4C165E">
        <w:rPr>
          <w:rFonts w:ascii="Times New Roman" w:hAnsi="Times New Roman" w:cs="Times New Roman"/>
          <w:sz w:val="24"/>
          <w:szCs w:val="24"/>
        </w:rPr>
        <w:t>Because the PUCO departed from this precedent without explanation, the Second Entry on Rehearing is wrong and unlawful.</w:t>
      </w:r>
    </w:p>
    <w:p w:rsidR="001802E9" w:rsidRPr="006A0331" w:rsidP="00BC326E" w14:paraId="7434DE5B" w14:textId="43D7C0E8">
      <w:pPr>
        <w:kinsoku w:val="0"/>
        <w:overflowPunct w:val="0"/>
        <w:autoSpaceDE w:val="0"/>
        <w:autoSpaceDN w:val="0"/>
        <w:adjustRightInd w:val="0"/>
        <w:spacing w:after="0" w:line="480" w:lineRule="auto"/>
        <w:ind w:firstLine="720"/>
        <w:rPr>
          <w:rFonts w:ascii="Times New Roman" w:hAnsi="Times New Roman" w:cs="Times New Roman"/>
          <w:sz w:val="24"/>
          <w:szCs w:val="24"/>
        </w:rPr>
      </w:pPr>
      <w:r w:rsidRPr="006A0331">
        <w:rPr>
          <w:rFonts w:ascii="Times New Roman" w:hAnsi="Times New Roman" w:cs="Times New Roman"/>
          <w:sz w:val="24"/>
          <w:szCs w:val="24"/>
        </w:rPr>
        <w:t xml:space="preserve">The </w:t>
      </w:r>
      <w:r w:rsidR="004C165E">
        <w:rPr>
          <w:rFonts w:ascii="Times New Roman" w:hAnsi="Times New Roman" w:cs="Times New Roman"/>
          <w:sz w:val="24"/>
          <w:szCs w:val="24"/>
        </w:rPr>
        <w:t>Second Entry on Rehearing</w:t>
      </w:r>
      <w:r w:rsidRPr="006A0331" w:rsidR="002D4B35">
        <w:rPr>
          <w:rFonts w:ascii="Times New Roman" w:hAnsi="Times New Roman" w:cs="Times New Roman"/>
          <w:sz w:val="24"/>
          <w:szCs w:val="24"/>
        </w:rPr>
        <w:t xml:space="preserve"> is </w:t>
      </w:r>
      <w:r w:rsidR="00441F01">
        <w:rPr>
          <w:rFonts w:ascii="Times New Roman" w:hAnsi="Times New Roman" w:cs="Times New Roman"/>
          <w:sz w:val="24"/>
          <w:szCs w:val="24"/>
        </w:rPr>
        <w:t xml:space="preserve">unlawful </w:t>
      </w:r>
      <w:r w:rsidRPr="006A0331" w:rsidR="002D4B35">
        <w:rPr>
          <w:rFonts w:ascii="Times New Roman" w:hAnsi="Times New Roman" w:cs="Times New Roman"/>
          <w:sz w:val="24"/>
          <w:szCs w:val="24"/>
        </w:rPr>
        <w:t>and contrary to consumer protection.</w:t>
      </w:r>
      <w:r w:rsidRPr="006A0331" w:rsidR="00B36AD7">
        <w:rPr>
          <w:rFonts w:ascii="Times New Roman" w:hAnsi="Times New Roman" w:cs="Times New Roman"/>
          <w:sz w:val="24"/>
          <w:szCs w:val="24"/>
        </w:rPr>
        <w:t xml:space="preserve"> </w:t>
      </w:r>
      <w:r w:rsidRPr="006A0331" w:rsidR="002D4B35">
        <w:rPr>
          <w:rFonts w:ascii="Times New Roman" w:hAnsi="Times New Roman" w:cs="Times New Roman"/>
          <w:sz w:val="24"/>
          <w:szCs w:val="24"/>
        </w:rPr>
        <w:t>Accordingly, u</w:t>
      </w:r>
      <w:r w:rsidRPr="006A0331" w:rsidR="00D713BE">
        <w:rPr>
          <w:rFonts w:ascii="Times New Roman" w:hAnsi="Times New Roman" w:cs="Times New Roman"/>
          <w:sz w:val="24"/>
          <w:szCs w:val="24"/>
        </w:rPr>
        <w:t xml:space="preserve">nder R.C. 4903.10, </w:t>
      </w:r>
      <w:r w:rsidRPr="006A0331" w:rsidR="00094330">
        <w:rPr>
          <w:rFonts w:ascii="Times New Roman" w:hAnsi="Times New Roman" w:cs="Times New Roman"/>
          <w:sz w:val="24"/>
          <w:szCs w:val="24"/>
        </w:rPr>
        <w:t>OCC applies</w:t>
      </w:r>
      <w:r w:rsidRPr="006A0331" w:rsidR="00D713BE">
        <w:rPr>
          <w:rFonts w:ascii="Times New Roman" w:hAnsi="Times New Roman" w:cs="Times New Roman"/>
          <w:sz w:val="24"/>
          <w:szCs w:val="24"/>
        </w:rPr>
        <w:t xml:space="preserve"> for rehearing of the </w:t>
      </w:r>
      <w:r w:rsidR="007C70D0">
        <w:rPr>
          <w:rFonts w:ascii="Times New Roman" w:hAnsi="Times New Roman" w:cs="Times New Roman"/>
          <w:sz w:val="24"/>
          <w:szCs w:val="24"/>
        </w:rPr>
        <w:t>Second Entry</w:t>
      </w:r>
      <w:r w:rsidRPr="006A0331" w:rsidR="00D713BE">
        <w:rPr>
          <w:rFonts w:ascii="Times New Roman" w:hAnsi="Times New Roman" w:cs="Times New Roman"/>
          <w:sz w:val="24"/>
          <w:szCs w:val="24"/>
        </w:rPr>
        <w:t>.</w:t>
      </w:r>
      <w:r w:rsidRPr="006A0331" w:rsidR="00B36AD7">
        <w:rPr>
          <w:rFonts w:ascii="Times New Roman" w:hAnsi="Times New Roman" w:cs="Times New Roman"/>
          <w:sz w:val="24"/>
          <w:szCs w:val="24"/>
        </w:rPr>
        <w:t xml:space="preserve"> </w:t>
      </w:r>
      <w:r w:rsidRPr="006A0331" w:rsidR="00D713BE">
        <w:rPr>
          <w:rFonts w:ascii="Times New Roman" w:hAnsi="Times New Roman" w:cs="Times New Roman"/>
          <w:sz w:val="24"/>
          <w:szCs w:val="24"/>
        </w:rPr>
        <w:t xml:space="preserve">As explained more fully in the following memorandum in support, the PUCO’s </w:t>
      </w:r>
      <w:r w:rsidR="004C165E">
        <w:rPr>
          <w:rFonts w:ascii="Times New Roman" w:hAnsi="Times New Roman" w:cs="Times New Roman"/>
          <w:sz w:val="24"/>
          <w:szCs w:val="24"/>
        </w:rPr>
        <w:t>Second Entry on Rehearing</w:t>
      </w:r>
      <w:r w:rsidRPr="006A0331" w:rsidR="00D713BE">
        <w:rPr>
          <w:rFonts w:ascii="Times New Roman" w:hAnsi="Times New Roman" w:cs="Times New Roman"/>
          <w:sz w:val="24"/>
          <w:szCs w:val="24"/>
        </w:rPr>
        <w:t xml:space="preserve"> was </w:t>
      </w:r>
      <w:r w:rsidRPr="006A0331" w:rsidR="009B5A16">
        <w:rPr>
          <w:rFonts w:ascii="Times New Roman" w:hAnsi="Times New Roman" w:cs="Times New Roman"/>
          <w:sz w:val="24"/>
          <w:szCs w:val="24"/>
        </w:rPr>
        <w:t xml:space="preserve">unlawful </w:t>
      </w:r>
      <w:r w:rsidRPr="006A0331" w:rsidR="00D713BE">
        <w:rPr>
          <w:rFonts w:ascii="Times New Roman" w:hAnsi="Times New Roman" w:cs="Times New Roman"/>
          <w:sz w:val="24"/>
          <w:szCs w:val="24"/>
        </w:rPr>
        <w:t xml:space="preserve">in the following respects: </w:t>
      </w:r>
    </w:p>
    <w:p w:rsidR="00D713BE" w:rsidRPr="00F717B3" w:rsidP="006916CE" w14:paraId="77491C45" w14:textId="308D0E8D">
      <w:pPr>
        <w:widowControl w:val="0"/>
        <w:spacing w:after="0" w:line="240" w:lineRule="auto"/>
        <w:ind w:left="720"/>
        <w:rPr>
          <w:rFonts w:ascii="Times New Roman" w:hAnsi="Times New Roman" w:cs="Times New Roman"/>
          <w:sz w:val="24"/>
          <w:szCs w:val="24"/>
        </w:rPr>
      </w:pPr>
      <w:bookmarkStart w:id="0" w:name="_Hlk98511697"/>
      <w:r w:rsidRPr="00F717B3">
        <w:rPr>
          <w:rFonts w:ascii="Times New Roman" w:hAnsi="Times New Roman" w:cs="Times New Roman"/>
          <w:sz w:val="24"/>
          <w:szCs w:val="24"/>
        </w:rPr>
        <w:t xml:space="preserve">ASSIGNMENT OF ERROR NO. 1: </w:t>
      </w:r>
      <w:r w:rsidRPr="00F717B3" w:rsidR="00FF72D9">
        <w:rPr>
          <w:rFonts w:ascii="Times New Roman" w:hAnsi="Times New Roman" w:cs="Times New Roman"/>
          <w:sz w:val="24"/>
          <w:szCs w:val="24"/>
        </w:rPr>
        <w:t>The PUCO</w:t>
      </w:r>
      <w:r w:rsidR="00623446">
        <w:rPr>
          <w:rFonts w:ascii="Times New Roman" w:hAnsi="Times New Roman" w:cs="Times New Roman"/>
          <w:sz w:val="24"/>
          <w:szCs w:val="24"/>
        </w:rPr>
        <w:t xml:space="preserve"> erred in its</w:t>
      </w:r>
      <w:r w:rsidRPr="00F717B3" w:rsidR="00FF72D9">
        <w:rPr>
          <w:rFonts w:ascii="Times New Roman" w:hAnsi="Times New Roman" w:cs="Times New Roman"/>
          <w:sz w:val="24"/>
          <w:szCs w:val="24"/>
        </w:rPr>
        <w:t xml:space="preserve"> </w:t>
      </w:r>
      <w:r w:rsidR="004C165E">
        <w:rPr>
          <w:rFonts w:ascii="Times New Roman" w:hAnsi="Times New Roman" w:cs="Times New Roman"/>
        </w:rPr>
        <w:t>Second Entry on Rehearing</w:t>
      </w:r>
      <w:r w:rsidRPr="00F717B3" w:rsidR="00FF72D9">
        <w:rPr>
          <w:rFonts w:ascii="Times New Roman" w:hAnsi="Times New Roman" w:cs="Times New Roman"/>
          <w:sz w:val="24"/>
          <w:szCs w:val="24"/>
        </w:rPr>
        <w:t xml:space="preserve"> </w:t>
      </w:r>
      <w:r w:rsidR="00623446">
        <w:rPr>
          <w:rFonts w:ascii="Times New Roman" w:hAnsi="Times New Roman" w:cs="Times New Roman"/>
          <w:sz w:val="24"/>
          <w:szCs w:val="24"/>
        </w:rPr>
        <w:t xml:space="preserve">by unlawfully </w:t>
      </w:r>
      <w:r w:rsidR="007A2EB4">
        <w:rPr>
          <w:rFonts w:ascii="Times New Roman" w:hAnsi="Times New Roman" w:cs="Times New Roman"/>
          <w:sz w:val="24"/>
          <w:szCs w:val="24"/>
        </w:rPr>
        <w:t>depart</w:t>
      </w:r>
      <w:r w:rsidR="00623446">
        <w:rPr>
          <w:rFonts w:ascii="Times New Roman" w:hAnsi="Times New Roman" w:cs="Times New Roman"/>
          <w:sz w:val="24"/>
          <w:szCs w:val="24"/>
        </w:rPr>
        <w:t>ing</w:t>
      </w:r>
      <w:r w:rsidR="007A2EB4">
        <w:rPr>
          <w:rFonts w:ascii="Times New Roman" w:hAnsi="Times New Roman" w:cs="Times New Roman"/>
          <w:sz w:val="24"/>
          <w:szCs w:val="24"/>
        </w:rPr>
        <w:t xml:space="preserve"> from precedent without explanation in using </w:t>
      </w:r>
      <w:r w:rsidRPr="00F717B3" w:rsidR="00FF72D9">
        <w:rPr>
          <w:rFonts w:ascii="Times New Roman" w:hAnsi="Times New Roman" w:cs="Times New Roman"/>
          <w:sz w:val="24"/>
          <w:szCs w:val="24"/>
        </w:rPr>
        <w:t>Dominion’s 13 year</w:t>
      </w:r>
      <w:r w:rsidRPr="00F717B3" w:rsidR="00FF72D9">
        <w:rPr>
          <w:rFonts w:ascii="Times New Roman" w:hAnsi="Times New Roman" w:cs="Times New Roman"/>
        </w:rPr>
        <w:t>-</w:t>
      </w:r>
      <w:r w:rsidRPr="00F717B3" w:rsidR="00FF72D9">
        <w:rPr>
          <w:rFonts w:ascii="Times New Roman" w:hAnsi="Times New Roman" w:cs="Times New Roman"/>
          <w:sz w:val="24"/>
          <w:szCs w:val="24"/>
        </w:rPr>
        <w:t>old rate of return and return on equity rates</w:t>
      </w:r>
      <w:r w:rsidR="00623446">
        <w:rPr>
          <w:rFonts w:ascii="Times New Roman" w:hAnsi="Times New Roman" w:cs="Times New Roman"/>
          <w:sz w:val="24"/>
          <w:szCs w:val="24"/>
        </w:rPr>
        <w:t xml:space="preserve"> for developing charges to consumers.</w:t>
      </w:r>
      <w:r w:rsidR="00051420">
        <w:rPr>
          <w:rFonts w:ascii="Times New Roman" w:hAnsi="Times New Roman" w:cs="Times New Roman"/>
          <w:sz w:val="24"/>
          <w:szCs w:val="24"/>
        </w:rPr>
        <w:t xml:space="preserve"> </w:t>
      </w:r>
    </w:p>
    <w:p w:rsidR="00BC326E" w:rsidRPr="006A0331" w:rsidP="00E029BB" w14:paraId="2BF654FB" w14:textId="77777777">
      <w:pPr>
        <w:widowControl w:val="0"/>
        <w:spacing w:after="0"/>
        <w:ind w:left="720"/>
        <w:rPr>
          <w:rFonts w:ascii="Times New Roman" w:hAnsi="Times New Roman" w:cs="Times New Roman"/>
          <w:sz w:val="24"/>
          <w:szCs w:val="24"/>
        </w:rPr>
      </w:pPr>
    </w:p>
    <w:bookmarkEnd w:id="0"/>
    <w:p w:rsidR="008B291E" w:rsidRPr="006A0331" w:rsidP="008B291E" w14:paraId="0A046900" w14:textId="77777777">
      <w:pPr>
        <w:widowControl w:val="0"/>
        <w:spacing w:after="0"/>
        <w:ind w:left="720"/>
        <w:rPr>
          <w:rFonts w:ascii="Times New Roman" w:hAnsi="Times New Roman" w:cs="Times New Roman"/>
          <w:sz w:val="24"/>
          <w:szCs w:val="24"/>
        </w:rPr>
      </w:pPr>
    </w:p>
    <w:p w:rsidR="00A55BA7" w:rsidRPr="006A0331" w:rsidP="00A55BA7" w14:paraId="3EC154FD" w14:textId="1EA2C453">
      <w:pPr>
        <w:widowControl w:val="0"/>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Respectfully submitted,</w:t>
      </w:r>
    </w:p>
    <w:p w:rsidR="00FD5310" w:rsidRPr="006A0331" w:rsidP="00A55BA7" w14:paraId="7B3F610B" w14:textId="77777777">
      <w:pPr>
        <w:widowControl w:val="0"/>
        <w:spacing w:after="0" w:line="240" w:lineRule="auto"/>
        <w:ind w:left="3600"/>
        <w:rPr>
          <w:rFonts w:ascii="Times New Roman" w:hAnsi="Times New Roman" w:cs="Times New Roman"/>
          <w:sz w:val="24"/>
          <w:szCs w:val="24"/>
        </w:rPr>
      </w:pPr>
    </w:p>
    <w:p w:rsidR="00A55BA7" w:rsidRPr="006A0331" w:rsidP="00A55BA7" w14:paraId="19E6377E" w14:textId="77777777">
      <w:pPr>
        <w:pStyle w:val="Footer"/>
        <w:ind w:left="3600"/>
        <w:rPr>
          <w:rFonts w:ascii="Times New Roman" w:hAnsi="Times New Roman" w:cs="Times New Roman"/>
          <w:sz w:val="24"/>
          <w:szCs w:val="24"/>
        </w:rPr>
      </w:pPr>
      <w:r w:rsidRPr="006A0331">
        <w:rPr>
          <w:rFonts w:ascii="Times New Roman" w:hAnsi="Times New Roman" w:cs="Times New Roman"/>
          <w:sz w:val="24"/>
          <w:szCs w:val="24"/>
        </w:rPr>
        <w:t>Bruce Weston (0016973)</w:t>
      </w:r>
    </w:p>
    <w:p w:rsidR="00A55BA7" w:rsidRPr="006A0331" w:rsidP="00A55BA7" w14:paraId="2FEB9E7D"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Ohio Consumers’ Counsel</w:t>
      </w:r>
    </w:p>
    <w:p w:rsidR="00A55BA7" w:rsidRPr="006A0331" w:rsidP="00A55BA7" w14:paraId="7D2BE059" w14:textId="77777777">
      <w:pPr>
        <w:tabs>
          <w:tab w:val="left" w:pos="4320"/>
        </w:tabs>
        <w:spacing w:after="0" w:line="240" w:lineRule="auto"/>
        <w:ind w:left="3600"/>
        <w:rPr>
          <w:rFonts w:ascii="Times New Roman" w:hAnsi="Times New Roman" w:cs="Times New Roman"/>
          <w:i/>
          <w:sz w:val="24"/>
          <w:szCs w:val="24"/>
          <w:u w:val="single"/>
        </w:rPr>
      </w:pPr>
    </w:p>
    <w:p w:rsidR="00A55BA7" w:rsidRPr="006A0331" w:rsidP="00A55BA7" w14:paraId="174AA65A" w14:textId="77777777">
      <w:pPr>
        <w:spacing w:after="0" w:line="240" w:lineRule="auto"/>
        <w:ind w:left="3600"/>
        <w:rPr>
          <w:rFonts w:ascii="Times New Roman" w:hAnsi="Times New Roman" w:cs="Times New Roman"/>
          <w:bCs/>
          <w:i/>
          <w:iCs/>
          <w:sz w:val="24"/>
          <w:szCs w:val="24"/>
          <w:u w:val="single"/>
        </w:rPr>
      </w:pPr>
      <w:r w:rsidRPr="006A0331">
        <w:rPr>
          <w:rFonts w:ascii="Times New Roman" w:hAnsi="Times New Roman" w:cs="Times New Roman"/>
          <w:bCs/>
          <w:i/>
          <w:iCs/>
          <w:sz w:val="24"/>
          <w:szCs w:val="24"/>
          <w:u w:val="single"/>
        </w:rPr>
        <w:t>/s/ William J. Michael</w:t>
      </w:r>
    </w:p>
    <w:p w:rsidR="00A55BA7" w:rsidRPr="006A0331" w:rsidP="00A55BA7" w14:paraId="25DC9374"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William J. Michael (0070921)</w:t>
      </w:r>
    </w:p>
    <w:p w:rsidR="00A55BA7" w:rsidRPr="006A0331" w:rsidP="00A55BA7" w14:paraId="1A118AEE"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 xml:space="preserve">Counsel of Record </w:t>
      </w:r>
    </w:p>
    <w:p w:rsidR="00A55BA7" w:rsidRPr="006A0331" w:rsidP="00A55BA7" w14:paraId="2E0B925F"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Ambrosia E. Wilson (0096598)</w:t>
      </w:r>
    </w:p>
    <w:p w:rsidR="00A55BA7" w:rsidRPr="006A0331" w:rsidP="00A55BA7" w14:paraId="0CFB0C0C"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Assistant Consumers’ Counsel</w:t>
      </w:r>
    </w:p>
    <w:p w:rsidR="00A55BA7" w:rsidRPr="006A0331" w:rsidP="00A55BA7" w14:paraId="1609F16B"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ab/>
      </w:r>
    </w:p>
    <w:p w:rsidR="00A55BA7" w:rsidRPr="006A0331" w:rsidP="00A55BA7" w14:paraId="167F4D2C" w14:textId="77777777">
      <w:pPr>
        <w:spacing w:after="0" w:line="240" w:lineRule="auto"/>
        <w:ind w:left="3600"/>
        <w:rPr>
          <w:rFonts w:ascii="Times New Roman" w:hAnsi="Times New Roman" w:cs="Times New Roman"/>
          <w:b/>
          <w:bCs/>
          <w:sz w:val="24"/>
          <w:szCs w:val="24"/>
        </w:rPr>
      </w:pPr>
      <w:r w:rsidRPr="006A0331">
        <w:rPr>
          <w:rFonts w:ascii="Times New Roman" w:hAnsi="Times New Roman" w:cs="Times New Roman"/>
          <w:b/>
          <w:bCs/>
          <w:sz w:val="24"/>
          <w:szCs w:val="24"/>
        </w:rPr>
        <w:t>Office of the Ohio Consumers’ Counsel</w:t>
      </w:r>
    </w:p>
    <w:p w:rsidR="00A55BA7" w:rsidRPr="006A0331" w:rsidP="00A55BA7" w14:paraId="2CC04669" w14:textId="6667AA45">
      <w:pPr>
        <w:spacing w:after="0" w:line="240" w:lineRule="auto"/>
        <w:ind w:left="3600"/>
        <w:rPr>
          <w:rFonts w:ascii="Times New Roman" w:hAnsi="Times New Roman" w:cs="Times New Roman"/>
          <w:b/>
          <w:sz w:val="24"/>
          <w:szCs w:val="24"/>
        </w:rPr>
      </w:pPr>
      <w:r w:rsidRPr="006A0331">
        <w:rPr>
          <w:rFonts w:ascii="Times New Roman" w:hAnsi="Times New Roman" w:cs="Times New Roman"/>
          <w:sz w:val="24"/>
          <w:szCs w:val="24"/>
        </w:rPr>
        <w:t>65 East State Street, Suite 700</w:t>
      </w:r>
    </w:p>
    <w:p w:rsidR="00A55BA7" w:rsidRPr="006A0331" w:rsidP="00A55BA7" w14:paraId="6759F12D" w14:textId="77777777">
      <w:pPr>
        <w:spacing w:after="0" w:line="240" w:lineRule="auto"/>
        <w:ind w:left="3600"/>
        <w:rPr>
          <w:rFonts w:ascii="Times New Roman" w:hAnsi="Times New Roman" w:cs="Times New Roman"/>
          <w:b/>
          <w:sz w:val="24"/>
          <w:szCs w:val="24"/>
        </w:rPr>
      </w:pPr>
      <w:r w:rsidRPr="006A0331">
        <w:rPr>
          <w:rFonts w:ascii="Times New Roman" w:hAnsi="Times New Roman" w:cs="Times New Roman"/>
          <w:sz w:val="24"/>
          <w:szCs w:val="24"/>
        </w:rPr>
        <w:t>Columbus, Ohio 43215-4213</w:t>
      </w:r>
    </w:p>
    <w:p w:rsidR="00A55BA7" w:rsidRPr="006A0331" w:rsidP="00A55BA7" w14:paraId="00862CAF" w14:textId="77777777">
      <w:pPr>
        <w:autoSpaceDE w:val="0"/>
        <w:autoSpaceDN w:val="0"/>
        <w:adjustRightInd w:val="0"/>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Telephone [Michael]: (614) 466-1291</w:t>
      </w:r>
    </w:p>
    <w:p w:rsidR="00A55BA7" w:rsidRPr="006A0331" w:rsidP="00A55BA7" w14:paraId="366CE72D" w14:textId="77777777">
      <w:pPr>
        <w:autoSpaceDE w:val="0"/>
        <w:autoSpaceDN w:val="0"/>
        <w:adjustRightInd w:val="0"/>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Telephone [Wilson]: (614) 466-1292</w:t>
      </w:r>
    </w:p>
    <w:p w:rsidR="00A55BA7" w:rsidRPr="00A46520" w:rsidP="00A55BA7" w14:paraId="0AED8CA2" w14:textId="77777777">
      <w:pPr>
        <w:autoSpaceDE w:val="0"/>
        <w:autoSpaceDN w:val="0"/>
        <w:adjustRightInd w:val="0"/>
        <w:spacing w:after="0" w:line="240" w:lineRule="auto"/>
        <w:ind w:left="3600"/>
        <w:rPr>
          <w:rFonts w:ascii="Times New Roman" w:hAnsi="Times New Roman" w:cs="Times New Roman"/>
          <w:color w:val="0000FF"/>
          <w:sz w:val="24"/>
          <w:szCs w:val="24"/>
        </w:rPr>
      </w:pPr>
      <w:hyperlink r:id="rId7" w:history="1">
        <w:r w:rsidRPr="00A46520">
          <w:rPr>
            <w:rStyle w:val="Hyperlink"/>
            <w:rFonts w:ascii="Times New Roman" w:hAnsi="Times New Roman" w:cs="Times New Roman"/>
            <w:color w:val="0000FF"/>
            <w:sz w:val="24"/>
            <w:szCs w:val="24"/>
          </w:rPr>
          <w:t>William.Michael@occ.ohio.gov</w:t>
        </w:r>
      </w:hyperlink>
    </w:p>
    <w:p w:rsidR="00A55BA7" w:rsidRPr="00A46520" w:rsidP="00A55BA7" w14:paraId="5638D547" w14:textId="77777777">
      <w:pPr>
        <w:autoSpaceDE w:val="0"/>
        <w:autoSpaceDN w:val="0"/>
        <w:adjustRightInd w:val="0"/>
        <w:spacing w:after="0" w:line="240" w:lineRule="auto"/>
        <w:ind w:left="3600"/>
        <w:rPr>
          <w:rFonts w:ascii="Times New Roman" w:hAnsi="Times New Roman" w:cs="Times New Roman"/>
          <w:color w:val="0000FF"/>
          <w:sz w:val="24"/>
          <w:szCs w:val="24"/>
        </w:rPr>
      </w:pPr>
      <w:hyperlink r:id="rId8" w:history="1">
        <w:r w:rsidRPr="00A46520">
          <w:rPr>
            <w:rStyle w:val="Hyperlink"/>
            <w:rFonts w:ascii="Times New Roman" w:hAnsi="Times New Roman" w:cs="Times New Roman"/>
            <w:color w:val="0000FF"/>
            <w:sz w:val="24"/>
            <w:szCs w:val="24"/>
          </w:rPr>
          <w:t>Ambrosia.Wilson@occ.ohio.gov</w:t>
        </w:r>
      </w:hyperlink>
    </w:p>
    <w:p w:rsidR="002A046C" w:rsidRPr="006A0331" w:rsidP="005E3CAE" w14:paraId="182704B5" w14:textId="157F9585">
      <w:pPr>
        <w:spacing w:after="0" w:line="240" w:lineRule="auto"/>
        <w:ind w:left="3600"/>
        <w:rPr>
          <w:rFonts w:ascii="Times New Roman" w:hAnsi="Times New Roman" w:cs="Times New Roman"/>
          <w:sz w:val="24"/>
          <w:szCs w:val="24"/>
        </w:rPr>
        <w:sectPr w:rsidSect="005535FB">
          <w:footerReference w:type="default" r:id="rId9"/>
          <w:pgSz w:w="12240" w:h="15840"/>
          <w:pgMar w:top="1440" w:right="1800" w:bottom="1440" w:left="1800" w:header="720" w:footer="720" w:gutter="0"/>
          <w:pgNumType w:start="2"/>
          <w:cols w:space="720"/>
          <w:docGrid w:linePitch="360"/>
        </w:sectPr>
      </w:pPr>
      <w:r w:rsidRPr="006A0331">
        <w:rPr>
          <w:rFonts w:ascii="Times New Roman" w:hAnsi="Times New Roman" w:cs="Times New Roman"/>
          <w:sz w:val="24"/>
          <w:szCs w:val="24"/>
        </w:rPr>
        <w:t>(willing to accept service by e-mail)</w:t>
      </w:r>
    </w:p>
    <w:p w:rsidR="00BB35FD" w:rsidRPr="006A0331" w:rsidP="00BB35FD" w14:paraId="3BFBA1C7" w14:textId="2E9B2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A0331">
        <w:rPr>
          <w:rFonts w:ascii="Times New Roman" w:eastAsia="Calibri" w:hAnsi="Times New Roman" w:cs="Times New Roman"/>
          <w:b/>
          <w:bCs/>
          <w:sz w:val="24"/>
          <w:szCs w:val="24"/>
        </w:rPr>
        <w:t>BEFORE</w:t>
      </w:r>
    </w:p>
    <w:p w:rsidR="00BB35FD" w:rsidRPr="006A0331" w:rsidP="00BB35FD" w14:paraId="3F7A24C9" w14:textId="0BBC1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A0331">
        <w:rPr>
          <w:rFonts w:ascii="Times New Roman" w:eastAsia="Calibri" w:hAnsi="Times New Roman" w:cs="Times New Roman"/>
          <w:b/>
          <w:bCs/>
          <w:sz w:val="24"/>
          <w:szCs w:val="24"/>
        </w:rPr>
        <w:t>THE PUBLIC UTILITIES COMMISSION OF OHIO</w:t>
      </w:r>
    </w:p>
    <w:p w:rsidR="00A55BA7" w:rsidRPr="006A0331" w:rsidP="00BB35FD" w14:paraId="4994734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tbl>
      <w:tblPr>
        <w:tblW w:w="8838" w:type="dxa"/>
        <w:tblInd w:w="-108" w:type="dxa"/>
        <w:tblLook w:val="01E0"/>
      </w:tblPr>
      <w:tblGrid>
        <w:gridCol w:w="9054"/>
        <w:gridCol w:w="222"/>
        <w:gridCol w:w="222"/>
      </w:tblGrid>
      <w:tr w14:paraId="6F6EE109" w14:textId="77777777" w:rsidTr="00C5323E">
        <w:tblPrEx>
          <w:tblW w:w="8838" w:type="dxa"/>
          <w:tblInd w:w="-108" w:type="dxa"/>
          <w:tblLook w:val="01E0"/>
        </w:tblPrEx>
        <w:trPr>
          <w:trHeight w:val="1602"/>
        </w:trPr>
        <w:tc>
          <w:tcPr>
            <w:tcW w:w="4237" w:type="dxa"/>
            <w:shd w:val="clear" w:color="auto" w:fill="auto"/>
          </w:tcPr>
          <w:tbl>
            <w:tblPr>
              <w:tblW w:w="8838" w:type="dxa"/>
              <w:tblLook w:val="01E0"/>
            </w:tblPr>
            <w:tblGrid>
              <w:gridCol w:w="4237"/>
              <w:gridCol w:w="296"/>
              <w:gridCol w:w="4305"/>
            </w:tblGrid>
            <w:tr w14:paraId="7BB8EDDF" w14:textId="77777777" w:rsidTr="00633EB1">
              <w:tblPrEx>
                <w:tblW w:w="8838" w:type="dxa"/>
                <w:tblLook w:val="01E0"/>
              </w:tblPrEx>
              <w:trPr>
                <w:trHeight w:val="1602"/>
              </w:trPr>
              <w:tc>
                <w:tcPr>
                  <w:tcW w:w="4237" w:type="dxa"/>
                  <w:shd w:val="clear" w:color="auto" w:fill="auto"/>
                </w:tcPr>
                <w:p w:rsidR="00535BCF" w:rsidRPr="006A0331" w:rsidP="00535BCF" w14:paraId="56FB2BE9" w14:textId="77777777">
                  <w:pPr>
                    <w:autoSpaceDE w:val="0"/>
                    <w:autoSpaceDN w:val="0"/>
                    <w:adjustRightInd w:val="0"/>
                    <w:spacing w:line="240" w:lineRule="auto"/>
                    <w:rPr>
                      <w:rFonts w:ascii="Times New Roman" w:hAnsi="Times New Roman" w:cs="Times New Roman"/>
                      <w:sz w:val="24"/>
                      <w:szCs w:val="24"/>
                    </w:rPr>
                  </w:pPr>
                  <w:r w:rsidRPr="006A0331">
                    <w:rPr>
                      <w:rFonts w:ascii="Times New Roman" w:hAnsi="Times New Roman" w:cs="Times New Roman"/>
                      <w:sz w:val="24"/>
                      <w:szCs w:val="24"/>
                    </w:rPr>
                    <w:t>In the Matter of the Application of the East Ohio Gas Company d/b/a Dominion Energy Ohio for Authority to Adjust Its Capital Expenditure Program Rider Charges.</w:t>
                  </w:r>
                </w:p>
              </w:tc>
              <w:tc>
                <w:tcPr>
                  <w:tcW w:w="296" w:type="dxa"/>
                  <w:shd w:val="clear" w:color="auto" w:fill="auto"/>
                </w:tcPr>
                <w:p w:rsidR="00535BCF" w:rsidRPr="006A0331" w:rsidP="00535BCF" w14:paraId="7CD05FA9"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p w:rsidR="00535BCF" w:rsidRPr="006A0331" w:rsidP="00535BCF" w14:paraId="60F2C450"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p w:rsidR="00535BCF" w:rsidRPr="006A0331" w:rsidP="00535BCF" w14:paraId="5C621CE2"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p w:rsidR="00535BCF" w:rsidRPr="006A0331" w:rsidP="00535BCF" w14:paraId="3AFAF28D"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p w:rsidR="00535BCF" w:rsidRPr="006A0331" w:rsidP="00535BCF" w14:paraId="4837ED01" w14:textId="77777777">
                  <w:pPr>
                    <w:pStyle w:val="HTMLPreformatted"/>
                    <w:jc w:val="center"/>
                    <w:rPr>
                      <w:rFonts w:ascii="Times New Roman" w:hAnsi="Times New Roman" w:cs="Times New Roman"/>
                      <w:sz w:val="24"/>
                      <w:szCs w:val="24"/>
                    </w:rPr>
                  </w:pPr>
                  <w:r w:rsidRPr="006A0331">
                    <w:rPr>
                      <w:rFonts w:ascii="Times New Roman" w:hAnsi="Times New Roman" w:cs="Times New Roman"/>
                      <w:sz w:val="24"/>
                      <w:szCs w:val="24"/>
                    </w:rPr>
                    <w:t>)</w:t>
                  </w:r>
                </w:p>
              </w:tc>
              <w:tc>
                <w:tcPr>
                  <w:tcW w:w="4305" w:type="dxa"/>
                  <w:shd w:val="clear" w:color="auto" w:fill="auto"/>
                </w:tcPr>
                <w:p w:rsidR="00535BCF" w:rsidRPr="006A0331" w:rsidP="00535BCF" w14:paraId="248C1AC7" w14:textId="77777777">
                  <w:pPr>
                    <w:pStyle w:val="HTMLPreformatted"/>
                    <w:rPr>
                      <w:rFonts w:ascii="Times New Roman" w:hAnsi="Times New Roman" w:cs="Times New Roman"/>
                      <w:sz w:val="24"/>
                      <w:szCs w:val="24"/>
                    </w:rPr>
                  </w:pPr>
                </w:p>
                <w:p w:rsidR="00535BCF" w:rsidRPr="006A0331" w:rsidP="00535BCF" w14:paraId="2DEC0ED9" w14:textId="77777777">
                  <w:pPr>
                    <w:pStyle w:val="HTMLPreformatted"/>
                    <w:rPr>
                      <w:rFonts w:ascii="Times New Roman" w:hAnsi="Times New Roman" w:cs="Times New Roman"/>
                      <w:sz w:val="24"/>
                      <w:szCs w:val="24"/>
                    </w:rPr>
                  </w:pPr>
                </w:p>
                <w:p w:rsidR="00535BCF" w:rsidRPr="006A0331" w:rsidP="00535BCF" w14:paraId="54026A68" w14:textId="692B5B87">
                  <w:pPr>
                    <w:pStyle w:val="HTMLPreformatted"/>
                    <w:rPr>
                      <w:rFonts w:ascii="Times New Roman" w:hAnsi="Times New Roman" w:cs="Times New Roman"/>
                      <w:sz w:val="24"/>
                      <w:szCs w:val="24"/>
                    </w:rPr>
                  </w:pPr>
                  <w:r w:rsidRPr="006A0331">
                    <w:rPr>
                      <w:rFonts w:ascii="Times New Roman" w:hAnsi="Times New Roman" w:cs="Times New Roman"/>
                      <w:sz w:val="24"/>
                      <w:szCs w:val="24"/>
                    </w:rPr>
                    <w:t>Case No. 2</w:t>
                  </w:r>
                  <w:r w:rsidR="00310581">
                    <w:rPr>
                      <w:rFonts w:ascii="Times New Roman" w:hAnsi="Times New Roman" w:cs="Times New Roman"/>
                      <w:sz w:val="24"/>
                      <w:szCs w:val="24"/>
                    </w:rPr>
                    <w:t>1</w:t>
                  </w:r>
                  <w:r w:rsidRPr="006A0331">
                    <w:rPr>
                      <w:rFonts w:ascii="Times New Roman" w:hAnsi="Times New Roman" w:cs="Times New Roman"/>
                      <w:sz w:val="24"/>
                      <w:szCs w:val="24"/>
                    </w:rPr>
                    <w:t>-619-GA-RDR</w:t>
                  </w:r>
                </w:p>
              </w:tc>
            </w:tr>
          </w:tbl>
          <w:p w:rsidR="00A55BA7" w:rsidRPr="006A0331" w:rsidP="00C5323E" w14:paraId="019FC71F" w14:textId="0740AB60">
            <w:pPr>
              <w:autoSpaceDE w:val="0"/>
              <w:autoSpaceDN w:val="0"/>
              <w:adjustRightInd w:val="0"/>
              <w:rPr>
                <w:rFonts w:ascii="Times New Roman" w:hAnsi="Times New Roman" w:cs="Times New Roman"/>
                <w:sz w:val="24"/>
                <w:szCs w:val="24"/>
              </w:rPr>
            </w:pPr>
          </w:p>
        </w:tc>
        <w:tc>
          <w:tcPr>
            <w:tcW w:w="296" w:type="dxa"/>
            <w:shd w:val="clear" w:color="auto" w:fill="auto"/>
          </w:tcPr>
          <w:p w:rsidR="00A55BA7" w:rsidRPr="006A0331" w:rsidP="00C5323E" w14:paraId="520A6B1E" w14:textId="77777777">
            <w:pPr>
              <w:pStyle w:val="HTMLPreformatted"/>
              <w:jc w:val="center"/>
              <w:rPr>
                <w:rFonts w:ascii="Times New Roman" w:hAnsi="Times New Roman" w:cs="Times New Roman"/>
                <w:sz w:val="24"/>
                <w:szCs w:val="24"/>
              </w:rPr>
            </w:pPr>
          </w:p>
        </w:tc>
        <w:tc>
          <w:tcPr>
            <w:tcW w:w="4305" w:type="dxa"/>
            <w:shd w:val="clear" w:color="auto" w:fill="auto"/>
          </w:tcPr>
          <w:p w:rsidR="00A55BA7" w:rsidRPr="006A0331" w:rsidP="00C5323E" w14:paraId="6E95446C" w14:textId="78D24D9E">
            <w:pPr>
              <w:pStyle w:val="HTMLPreformatted"/>
              <w:rPr>
                <w:rFonts w:ascii="Times New Roman" w:hAnsi="Times New Roman" w:cs="Times New Roman"/>
                <w:sz w:val="24"/>
                <w:szCs w:val="24"/>
              </w:rPr>
            </w:pPr>
          </w:p>
        </w:tc>
      </w:tr>
    </w:tbl>
    <w:p w:rsidR="00BB35FD" w:rsidRPr="006A0331" w:rsidP="00BB35FD" w14:paraId="01EB7D14" w14:textId="7777777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BB35FD" w:rsidRPr="006A0331" w:rsidP="00BB35FD" w14:paraId="422A251C" w14:textId="77777777">
      <w:pPr>
        <w:autoSpaceDE w:val="0"/>
        <w:autoSpaceDN w:val="0"/>
        <w:adjustRightInd w:val="0"/>
        <w:spacing w:after="0" w:line="240" w:lineRule="auto"/>
        <w:rPr>
          <w:rFonts w:ascii="Times New Roman" w:eastAsia="Calibri" w:hAnsi="Times New Roman" w:cs="Times New Roman"/>
          <w:sz w:val="24"/>
          <w:szCs w:val="24"/>
        </w:rPr>
      </w:pPr>
    </w:p>
    <w:p w:rsidR="00383BC2" w:rsidRPr="006A0331" w:rsidP="00383BC2" w14:paraId="0CAF0F72" w14:textId="3F63454D">
      <w:pPr>
        <w:widowControl w:val="0"/>
        <w:spacing w:after="0" w:line="240" w:lineRule="auto"/>
        <w:jc w:val="center"/>
        <w:rPr>
          <w:rFonts w:ascii="Times New Roman" w:hAnsi="Times New Roman" w:cs="Times New Roman"/>
          <w:b/>
          <w:sz w:val="24"/>
          <w:szCs w:val="24"/>
        </w:rPr>
      </w:pPr>
      <w:r w:rsidRPr="006A0331">
        <w:rPr>
          <w:rFonts w:ascii="Times New Roman" w:hAnsi="Times New Roman" w:cs="Times New Roman"/>
          <w:b/>
          <w:sz w:val="24"/>
          <w:szCs w:val="24"/>
        </w:rPr>
        <w:t xml:space="preserve">MEMORANDUM IN SUPPORT OF </w:t>
      </w:r>
      <w:r w:rsidRPr="006A0331">
        <w:rPr>
          <w:rFonts w:ascii="Times New Roman" w:hAnsi="Times New Roman" w:cs="Times New Roman"/>
          <w:b/>
          <w:sz w:val="24"/>
          <w:szCs w:val="24"/>
        </w:rPr>
        <w:t xml:space="preserve">APPLICATION FOR REHEARING </w:t>
      </w:r>
    </w:p>
    <w:p w:rsidR="00383BC2" w:rsidRPr="006A0331" w:rsidP="00383BC2" w14:paraId="32F02D5B" w14:textId="77777777">
      <w:pPr>
        <w:widowControl w:val="0"/>
        <w:spacing w:after="0" w:line="240" w:lineRule="auto"/>
        <w:jc w:val="center"/>
        <w:rPr>
          <w:rFonts w:ascii="Times New Roman" w:hAnsi="Times New Roman" w:cs="Times New Roman"/>
          <w:b/>
          <w:sz w:val="24"/>
          <w:szCs w:val="24"/>
        </w:rPr>
      </w:pPr>
      <w:r w:rsidRPr="006A0331">
        <w:rPr>
          <w:rFonts w:ascii="Times New Roman" w:hAnsi="Times New Roman" w:cs="Times New Roman"/>
          <w:b/>
          <w:sz w:val="24"/>
          <w:szCs w:val="24"/>
        </w:rPr>
        <w:t>BY</w:t>
      </w:r>
    </w:p>
    <w:p w:rsidR="00383BC2" w:rsidRPr="006A0331" w:rsidP="00383BC2" w14:paraId="4308C497" w14:textId="77777777">
      <w:pPr>
        <w:spacing w:after="0" w:line="240" w:lineRule="auto"/>
        <w:jc w:val="center"/>
        <w:rPr>
          <w:rFonts w:ascii="Times New Roman" w:hAnsi="Times New Roman" w:cs="Times New Roman"/>
          <w:b/>
          <w:sz w:val="24"/>
          <w:szCs w:val="24"/>
        </w:rPr>
      </w:pPr>
      <w:r w:rsidRPr="006A0331">
        <w:rPr>
          <w:rFonts w:ascii="Times New Roman" w:hAnsi="Times New Roman" w:cs="Times New Roman"/>
          <w:b/>
          <w:sz w:val="24"/>
          <w:szCs w:val="24"/>
        </w:rPr>
        <w:t>OFFICE OF THE OHIO CONSUMERS’ COUNSEL</w:t>
      </w:r>
    </w:p>
    <w:p w:rsidR="00BB35FD" w:rsidRPr="006A0331" w:rsidP="00BB35FD" w14:paraId="37988C60" w14:textId="7777777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4"/>
          <w:szCs w:val="24"/>
        </w:rPr>
      </w:pPr>
    </w:p>
    <w:p w:rsidR="00AF4FFB" w:rsidRPr="006A0331" w:rsidP="006A1BDB" w14:paraId="395737C1" w14:textId="3A6241BA">
      <w:pPr>
        <w:pStyle w:val="Heading1"/>
      </w:pPr>
      <w:bookmarkStart w:id="1" w:name="_Toc98520146"/>
      <w:r w:rsidRPr="006A0331">
        <w:t>INTRODUCTION</w:t>
      </w:r>
      <w:bookmarkEnd w:id="1"/>
    </w:p>
    <w:p w:rsidR="005C1525" w:rsidP="00310581" w14:paraId="00561F71" w14:textId="68C12517">
      <w:pPr>
        <w:pStyle w:val="BodyTextIndent3"/>
        <w:widowControl w:val="0"/>
        <w:spacing w:line="480" w:lineRule="auto"/>
        <w:ind w:right="-312"/>
        <w:rPr>
          <w:rFonts w:eastAsiaTheme="minorHAnsi"/>
          <w:szCs w:val="24"/>
        </w:rPr>
      </w:pPr>
      <w:r>
        <w:rPr>
          <w:rFonts w:eastAsiaTheme="minorHAnsi"/>
          <w:szCs w:val="24"/>
        </w:rPr>
        <w:t>OCC demonstrated in its first application for rehearing that the</w:t>
      </w:r>
      <w:r w:rsidR="00AE4BB8">
        <w:rPr>
          <w:rFonts w:eastAsiaTheme="minorHAnsi"/>
          <w:szCs w:val="24"/>
        </w:rPr>
        <w:t xml:space="preserve"> PUCO’s order in this case fails consumers. </w:t>
      </w:r>
      <w:r w:rsidR="00E34D15">
        <w:rPr>
          <w:rFonts w:eastAsiaTheme="minorHAnsi"/>
          <w:szCs w:val="24"/>
        </w:rPr>
        <w:t xml:space="preserve">First, </w:t>
      </w:r>
      <w:r w:rsidRPr="00BF051A" w:rsidR="00BF051A">
        <w:rPr>
          <w:rFonts w:eastAsiaTheme="minorHAnsi"/>
          <w:szCs w:val="24"/>
        </w:rPr>
        <w:t>R.C. 4903.09 requires that PUCO decisions must be based on findings of fact and written opinions setting forth the reasons prompting the decisions arrived at, based upon said findings of fact.</w:t>
      </w:r>
      <w:r>
        <w:rPr>
          <w:rStyle w:val="FootnoteReference"/>
          <w:rFonts w:eastAsiaTheme="minorHAnsi"/>
          <w:szCs w:val="24"/>
        </w:rPr>
        <w:footnoteReference w:id="6"/>
      </w:r>
      <w:r w:rsidRPr="00BF051A" w:rsidR="00BF051A">
        <w:rPr>
          <w:rFonts w:eastAsiaTheme="minorHAnsi"/>
          <w:szCs w:val="24"/>
        </w:rPr>
        <w:t xml:space="preserve"> The PUCO</w:t>
      </w:r>
      <w:r w:rsidR="00F00592">
        <w:rPr>
          <w:rFonts w:eastAsiaTheme="minorHAnsi"/>
          <w:szCs w:val="24"/>
        </w:rPr>
        <w:t xml:space="preserve">’s decision in this case to use </w:t>
      </w:r>
      <w:r w:rsidR="00825D8A">
        <w:rPr>
          <w:rFonts w:eastAsiaTheme="minorHAnsi"/>
          <w:szCs w:val="24"/>
        </w:rPr>
        <w:t>Dominion’s</w:t>
      </w:r>
      <w:r w:rsidR="00F00592">
        <w:rPr>
          <w:rFonts w:eastAsiaTheme="minorHAnsi"/>
          <w:szCs w:val="24"/>
        </w:rPr>
        <w:t xml:space="preserve"> 13 year</w:t>
      </w:r>
      <w:r w:rsidR="00BD2E2B">
        <w:rPr>
          <w:rFonts w:eastAsiaTheme="minorHAnsi"/>
          <w:szCs w:val="24"/>
        </w:rPr>
        <w:t>-</w:t>
      </w:r>
      <w:r w:rsidR="00F00592">
        <w:rPr>
          <w:rFonts w:eastAsiaTheme="minorHAnsi"/>
          <w:szCs w:val="24"/>
        </w:rPr>
        <w:t xml:space="preserve">old </w:t>
      </w:r>
      <w:r w:rsidR="00825D8A">
        <w:rPr>
          <w:rFonts w:eastAsiaTheme="minorHAnsi"/>
          <w:szCs w:val="24"/>
        </w:rPr>
        <w:t>rate</w:t>
      </w:r>
      <w:r w:rsidR="00F00592">
        <w:rPr>
          <w:rFonts w:eastAsiaTheme="minorHAnsi"/>
          <w:szCs w:val="24"/>
        </w:rPr>
        <w:t xml:space="preserve"> of return and return on equity </w:t>
      </w:r>
      <w:r w:rsidR="00CD357D">
        <w:rPr>
          <w:rFonts w:eastAsiaTheme="minorHAnsi"/>
          <w:szCs w:val="24"/>
        </w:rPr>
        <w:t xml:space="preserve">is not based on record evidence, and it cannot be because there is no record evidence to support </w:t>
      </w:r>
      <w:r>
        <w:rPr>
          <w:rFonts w:eastAsiaTheme="minorHAnsi"/>
          <w:szCs w:val="24"/>
        </w:rPr>
        <w:t>it</w:t>
      </w:r>
      <w:r w:rsidR="00CD357D">
        <w:rPr>
          <w:rFonts w:eastAsiaTheme="minorHAnsi"/>
          <w:szCs w:val="24"/>
        </w:rPr>
        <w:t xml:space="preserve">. </w:t>
      </w:r>
      <w:r w:rsidR="00E34D15">
        <w:rPr>
          <w:rFonts w:eastAsiaTheme="minorHAnsi"/>
          <w:szCs w:val="24"/>
        </w:rPr>
        <w:t>Second, t</w:t>
      </w:r>
      <w:r w:rsidR="009E6EF2">
        <w:rPr>
          <w:rFonts w:eastAsiaTheme="minorHAnsi"/>
          <w:szCs w:val="24"/>
        </w:rPr>
        <w:t xml:space="preserve">he PUCO </w:t>
      </w:r>
      <w:r w:rsidR="006540D9">
        <w:rPr>
          <w:rFonts w:eastAsiaTheme="minorHAnsi"/>
          <w:szCs w:val="24"/>
        </w:rPr>
        <w:t xml:space="preserve">failed to </w:t>
      </w:r>
      <w:r w:rsidR="00530A4E">
        <w:rPr>
          <w:rFonts w:eastAsiaTheme="minorHAnsi"/>
          <w:szCs w:val="24"/>
        </w:rPr>
        <w:t xml:space="preserve">find that </w:t>
      </w:r>
      <w:r w:rsidRPr="00530A4E" w:rsidR="00530A4E">
        <w:rPr>
          <w:rFonts w:eastAsiaTheme="minorHAnsi"/>
          <w:szCs w:val="24"/>
        </w:rPr>
        <w:t>Dominion’s 13 year</w:t>
      </w:r>
      <w:r w:rsidR="00591476">
        <w:rPr>
          <w:rFonts w:eastAsiaTheme="minorHAnsi"/>
          <w:szCs w:val="24"/>
        </w:rPr>
        <w:t>-</w:t>
      </w:r>
      <w:r w:rsidRPr="00530A4E" w:rsidR="00530A4E">
        <w:rPr>
          <w:rFonts w:eastAsiaTheme="minorHAnsi"/>
          <w:szCs w:val="24"/>
        </w:rPr>
        <w:t xml:space="preserve">old rate of return and return on equity </w:t>
      </w:r>
      <w:r w:rsidR="007C70D0">
        <w:rPr>
          <w:rFonts w:eastAsiaTheme="minorHAnsi"/>
          <w:szCs w:val="24"/>
        </w:rPr>
        <w:t>for</w:t>
      </w:r>
      <w:r w:rsidRPr="00530A4E" w:rsidR="00530A4E">
        <w:rPr>
          <w:rFonts w:eastAsiaTheme="minorHAnsi"/>
          <w:szCs w:val="24"/>
        </w:rPr>
        <w:t xml:space="preserve"> capital expenditure programs and alternative rate plans are “just and reasonable”</w:t>
      </w:r>
      <w:r w:rsidR="00530A4E">
        <w:rPr>
          <w:rFonts w:eastAsiaTheme="minorHAnsi"/>
          <w:szCs w:val="24"/>
        </w:rPr>
        <w:t xml:space="preserve"> as required under </w:t>
      </w:r>
      <w:r w:rsidRPr="00530A4E" w:rsidR="00530A4E">
        <w:rPr>
          <w:rFonts w:eastAsiaTheme="minorHAnsi"/>
          <w:szCs w:val="24"/>
        </w:rPr>
        <w:t>R.C. 4929.05(A)(3) and R.C. 4929.111(C</w:t>
      </w:r>
      <w:r w:rsidR="00BD2E2B">
        <w:rPr>
          <w:rFonts w:eastAsiaTheme="minorHAnsi"/>
          <w:szCs w:val="24"/>
        </w:rPr>
        <w:t>).</w:t>
      </w:r>
    </w:p>
    <w:p w:rsidR="00522D56" w:rsidP="00310581" w14:paraId="69D13C6E" w14:textId="59BFEFE4">
      <w:pPr>
        <w:pStyle w:val="BodyTextIndent3"/>
        <w:widowControl w:val="0"/>
        <w:spacing w:line="480" w:lineRule="auto"/>
        <w:ind w:right="-312"/>
        <w:rPr>
          <w:rFonts w:eastAsiaTheme="minorHAnsi"/>
          <w:szCs w:val="24"/>
        </w:rPr>
      </w:pPr>
      <w:r>
        <w:rPr>
          <w:rFonts w:eastAsiaTheme="minorHAnsi"/>
          <w:szCs w:val="24"/>
        </w:rPr>
        <w:t>There is no real dispute on either point. Instead, the PUCO did not adopt them simply because it purportedly followed its precedent, saying “</w:t>
      </w:r>
      <w:r>
        <w:t>it has long been the [PUCO’s] practice to utilize the capital structure and cost of capital from the company’s last base rate proceeding in the calculation of riders and alternative rate plans.”</w:t>
      </w:r>
      <w:r>
        <w:rPr>
          <w:rStyle w:val="FootnoteReference"/>
        </w:rPr>
        <w:footnoteReference w:id="7"/>
      </w:r>
      <w:r w:rsidR="00BD2E2B">
        <w:rPr>
          <w:rFonts w:eastAsiaTheme="minorHAnsi"/>
          <w:szCs w:val="24"/>
        </w:rPr>
        <w:t xml:space="preserve"> </w:t>
      </w:r>
      <w:r>
        <w:rPr>
          <w:rFonts w:eastAsiaTheme="minorHAnsi"/>
          <w:szCs w:val="24"/>
        </w:rPr>
        <w:t>But the PUCO has gotten its precedent wrong. And in doing so, it has violated Ohio law.</w:t>
      </w:r>
      <w:r w:rsidRPr="00BF051A" w:rsidR="00BF051A">
        <w:rPr>
          <w:rFonts w:eastAsiaTheme="minorHAnsi"/>
          <w:szCs w:val="24"/>
        </w:rPr>
        <w:t xml:space="preserve"> </w:t>
      </w:r>
    </w:p>
    <w:p w:rsidR="00AF4FFB" w:rsidRPr="00BF051A" w:rsidP="00BF051A" w14:paraId="4919B535" w14:textId="7E9611AB">
      <w:pPr>
        <w:pStyle w:val="BodyTextIndent3"/>
        <w:widowControl w:val="0"/>
        <w:spacing w:line="480" w:lineRule="auto"/>
        <w:ind w:right="-312"/>
        <w:rPr>
          <w:szCs w:val="24"/>
        </w:rPr>
      </w:pPr>
      <w:r w:rsidRPr="00BF051A">
        <w:rPr>
          <w:rFonts w:eastAsiaTheme="minorHAnsi"/>
          <w:szCs w:val="24"/>
        </w:rPr>
        <w:t>The PUCO should grant OCC’s Application for Rehearing</w:t>
      </w:r>
      <w:r w:rsidR="00035F75">
        <w:rPr>
          <w:rFonts w:eastAsiaTheme="minorHAnsi"/>
          <w:szCs w:val="24"/>
        </w:rPr>
        <w:t xml:space="preserve"> </w:t>
      </w:r>
      <w:r w:rsidR="003C22CB">
        <w:rPr>
          <w:rFonts w:eastAsiaTheme="minorHAnsi"/>
          <w:szCs w:val="24"/>
        </w:rPr>
        <w:t xml:space="preserve">as further explained below to protect consumers from overpaying for </w:t>
      </w:r>
      <w:r w:rsidR="00591476">
        <w:rPr>
          <w:rFonts w:eastAsiaTheme="minorHAnsi"/>
          <w:szCs w:val="24"/>
        </w:rPr>
        <w:t>gas utility service</w:t>
      </w:r>
      <w:r w:rsidR="003C22CB">
        <w:rPr>
          <w:rFonts w:eastAsiaTheme="minorHAnsi"/>
          <w:szCs w:val="24"/>
        </w:rPr>
        <w:t>.</w:t>
      </w:r>
    </w:p>
    <w:p w:rsidR="00E95F3D" w:rsidRPr="006A0331" w:rsidP="006A1BDB" w14:paraId="67FDAEC9" w14:textId="087CD73A">
      <w:pPr>
        <w:pStyle w:val="Heading1"/>
      </w:pPr>
      <w:bookmarkStart w:id="2" w:name="_Toc53576255"/>
      <w:bookmarkStart w:id="3" w:name="_Toc53576320"/>
      <w:bookmarkStart w:id="4" w:name="_Toc92365887"/>
      <w:bookmarkStart w:id="5" w:name="_Toc98520147"/>
      <w:r w:rsidRPr="006A0331">
        <w:t>MATTER FOR CONSIDERATION</w:t>
      </w:r>
      <w:bookmarkEnd w:id="2"/>
      <w:bookmarkEnd w:id="3"/>
      <w:bookmarkEnd w:id="4"/>
      <w:bookmarkEnd w:id="5"/>
    </w:p>
    <w:p w:rsidR="005C1525" w:rsidRPr="005C1525" w:rsidP="005C1525" w14:paraId="279601A3" w14:textId="72AC452E">
      <w:pPr>
        <w:widowControl w:val="0"/>
        <w:spacing w:after="0" w:line="240" w:lineRule="auto"/>
        <w:ind w:left="720"/>
        <w:rPr>
          <w:rFonts w:ascii="Times New Roman" w:hAnsi="Times New Roman" w:cs="Times New Roman"/>
          <w:b/>
          <w:bCs/>
          <w:sz w:val="24"/>
          <w:szCs w:val="24"/>
        </w:rPr>
      </w:pPr>
      <w:r w:rsidRPr="005C1525">
        <w:rPr>
          <w:rFonts w:ascii="Times New Roman" w:hAnsi="Times New Roman" w:cs="Times New Roman"/>
          <w:b/>
          <w:bCs/>
          <w:sz w:val="24"/>
          <w:szCs w:val="24"/>
        </w:rPr>
        <w:t xml:space="preserve">ASSIGNMENT OF ERROR NO. 1: </w:t>
      </w:r>
      <w:r w:rsidRPr="00EE3514" w:rsidR="00623446">
        <w:rPr>
          <w:rFonts w:ascii="Times New Roman" w:hAnsi="Times New Roman" w:cs="Times New Roman"/>
          <w:b/>
          <w:bCs/>
          <w:sz w:val="24"/>
          <w:szCs w:val="24"/>
        </w:rPr>
        <w:t xml:space="preserve">The PUCO erred in its </w:t>
      </w:r>
      <w:r w:rsidRPr="00EE3514" w:rsidR="00623446">
        <w:rPr>
          <w:rFonts w:ascii="Times New Roman" w:hAnsi="Times New Roman" w:cs="Times New Roman"/>
          <w:b/>
          <w:bCs/>
        </w:rPr>
        <w:t>Second Entry on Rehearing</w:t>
      </w:r>
      <w:r w:rsidRPr="00EE3514" w:rsidR="00623446">
        <w:rPr>
          <w:rFonts w:ascii="Times New Roman" w:hAnsi="Times New Roman" w:cs="Times New Roman"/>
          <w:b/>
          <w:bCs/>
          <w:sz w:val="24"/>
          <w:szCs w:val="24"/>
        </w:rPr>
        <w:t xml:space="preserve"> by unlawfully departing from precedent without explanation in using Dominion’s 13 year</w:t>
      </w:r>
      <w:r w:rsidRPr="00EE3514" w:rsidR="00623446">
        <w:rPr>
          <w:rFonts w:ascii="Times New Roman" w:hAnsi="Times New Roman" w:cs="Times New Roman"/>
          <w:b/>
          <w:bCs/>
        </w:rPr>
        <w:t>-</w:t>
      </w:r>
      <w:r w:rsidRPr="00EE3514" w:rsidR="00623446">
        <w:rPr>
          <w:rFonts w:ascii="Times New Roman" w:hAnsi="Times New Roman" w:cs="Times New Roman"/>
          <w:b/>
          <w:bCs/>
          <w:sz w:val="24"/>
          <w:szCs w:val="24"/>
        </w:rPr>
        <w:t>old rate of return and return on equity rates for developing charges to consumers</w:t>
      </w:r>
      <w:r w:rsidR="00623446">
        <w:rPr>
          <w:rFonts w:ascii="Times New Roman" w:hAnsi="Times New Roman" w:cs="Times New Roman"/>
          <w:sz w:val="24"/>
          <w:szCs w:val="24"/>
        </w:rPr>
        <w:t>.</w:t>
      </w:r>
      <w:r w:rsidR="00051420">
        <w:rPr>
          <w:rFonts w:ascii="Times New Roman" w:hAnsi="Times New Roman" w:cs="Times New Roman"/>
          <w:sz w:val="24"/>
          <w:szCs w:val="24"/>
        </w:rPr>
        <w:t xml:space="preserve"> </w:t>
      </w:r>
    </w:p>
    <w:p w:rsidR="005C1525" w:rsidRPr="00F717B3" w:rsidP="005C1525" w14:paraId="0D2CBDDF" w14:textId="77777777">
      <w:pPr>
        <w:widowControl w:val="0"/>
        <w:spacing w:after="0" w:line="240" w:lineRule="auto"/>
        <w:ind w:left="720"/>
        <w:rPr>
          <w:rFonts w:ascii="Times New Roman" w:hAnsi="Times New Roman" w:cs="Times New Roman"/>
          <w:sz w:val="24"/>
          <w:szCs w:val="24"/>
        </w:rPr>
      </w:pPr>
    </w:p>
    <w:p w:rsidR="006F05B8" w:rsidP="0042093B" w14:paraId="7BA63BD4" w14:textId="14787198">
      <w:pPr>
        <w:spacing w:after="0" w:line="480" w:lineRule="auto"/>
      </w:pPr>
      <w:r w:rsidRPr="006A0331">
        <w:rPr>
          <w:rFonts w:ascii="Times New Roman" w:hAnsi="Times New Roman" w:cs="Times New Roman"/>
          <w:sz w:val="24"/>
          <w:szCs w:val="24"/>
        </w:rPr>
        <w:tab/>
      </w:r>
      <w:r w:rsidR="00267587">
        <w:rPr>
          <w:rFonts w:ascii="Times New Roman" w:hAnsi="Times New Roman" w:cs="Times New Roman"/>
          <w:sz w:val="24"/>
          <w:szCs w:val="24"/>
        </w:rPr>
        <w:t>The PUCO</w:t>
      </w:r>
      <w:r w:rsidR="002B0278">
        <w:rPr>
          <w:rFonts w:ascii="Times New Roman" w:hAnsi="Times New Roman" w:cs="Times New Roman"/>
          <w:sz w:val="24"/>
          <w:szCs w:val="24"/>
        </w:rPr>
        <w:t xml:space="preserve">’s decision </w:t>
      </w:r>
      <w:r w:rsidR="00623446">
        <w:rPr>
          <w:rFonts w:ascii="Times New Roman" w:hAnsi="Times New Roman" w:cs="Times New Roman"/>
          <w:sz w:val="24"/>
          <w:szCs w:val="24"/>
        </w:rPr>
        <w:t xml:space="preserve">is unlawfully </w:t>
      </w:r>
      <w:r w:rsidR="00CA04D1">
        <w:rPr>
          <w:rFonts w:ascii="Times New Roman" w:hAnsi="Times New Roman" w:cs="Times New Roman"/>
          <w:sz w:val="24"/>
          <w:szCs w:val="24"/>
        </w:rPr>
        <w:t xml:space="preserve">based on nothing more than its (mistaken) view of its “precedent” </w:t>
      </w:r>
      <w:r w:rsidR="002B0278">
        <w:rPr>
          <w:rFonts w:ascii="Times New Roman" w:hAnsi="Times New Roman" w:cs="Times New Roman"/>
          <w:sz w:val="24"/>
          <w:szCs w:val="24"/>
        </w:rPr>
        <w:t>to use Dominion’s 13 year-old rate of return and return on equity</w:t>
      </w:r>
      <w:r w:rsidR="00104401">
        <w:rPr>
          <w:rFonts w:ascii="Times New Roman" w:hAnsi="Times New Roman" w:cs="Times New Roman"/>
          <w:sz w:val="24"/>
          <w:szCs w:val="24"/>
        </w:rPr>
        <w:t>.</w:t>
      </w:r>
      <w:r w:rsidR="00051420">
        <w:rPr>
          <w:rFonts w:ascii="Times New Roman" w:hAnsi="Times New Roman" w:cs="Times New Roman"/>
          <w:sz w:val="24"/>
          <w:szCs w:val="24"/>
        </w:rPr>
        <w:t xml:space="preserve"> </w:t>
      </w:r>
      <w:r w:rsidR="00104401">
        <w:rPr>
          <w:rFonts w:ascii="Times New Roman" w:hAnsi="Times New Roman" w:cs="Times New Roman"/>
          <w:sz w:val="24"/>
          <w:szCs w:val="24"/>
        </w:rPr>
        <w:t>By using Dominion’s 13 year-old rate of return and return on equity, the PUCO</w:t>
      </w:r>
      <w:r w:rsidR="00267587">
        <w:rPr>
          <w:rFonts w:ascii="Times New Roman" w:hAnsi="Times New Roman" w:cs="Times New Roman"/>
          <w:sz w:val="24"/>
          <w:szCs w:val="24"/>
        </w:rPr>
        <w:t xml:space="preserve"> </w:t>
      </w:r>
      <w:r w:rsidR="00053781">
        <w:rPr>
          <w:rFonts w:ascii="Times New Roman" w:hAnsi="Times New Roman" w:cs="Times New Roman"/>
          <w:sz w:val="24"/>
          <w:szCs w:val="24"/>
        </w:rPr>
        <w:t xml:space="preserve">unlawfully </w:t>
      </w:r>
      <w:r w:rsidR="00C8163B">
        <w:rPr>
          <w:rFonts w:ascii="Times New Roman" w:hAnsi="Times New Roman" w:cs="Times New Roman"/>
          <w:sz w:val="24"/>
          <w:szCs w:val="24"/>
        </w:rPr>
        <w:t>violated binding Ohio S</w:t>
      </w:r>
      <w:r w:rsidR="00347834">
        <w:rPr>
          <w:rFonts w:ascii="Times New Roman" w:hAnsi="Times New Roman" w:cs="Times New Roman"/>
          <w:sz w:val="24"/>
          <w:szCs w:val="24"/>
        </w:rPr>
        <w:t>upreme Court</w:t>
      </w:r>
      <w:r w:rsidR="00C8163B">
        <w:rPr>
          <w:rFonts w:ascii="Times New Roman" w:hAnsi="Times New Roman" w:cs="Times New Roman"/>
          <w:sz w:val="24"/>
          <w:szCs w:val="24"/>
        </w:rPr>
        <w:t xml:space="preserve"> precedent in</w:t>
      </w:r>
      <w:r w:rsidR="005C1525">
        <w:rPr>
          <w:rFonts w:ascii="Times New Roman" w:hAnsi="Times New Roman" w:cs="Times New Roman"/>
          <w:sz w:val="24"/>
          <w:szCs w:val="24"/>
        </w:rPr>
        <w:t xml:space="preserve"> </w:t>
      </w:r>
      <w:r w:rsidRPr="005C1525" w:rsidR="005C1525">
        <w:rPr>
          <w:rFonts w:ascii="Times New Roman" w:hAnsi="Times New Roman" w:cs="Times New Roman"/>
          <w:i/>
          <w:iCs/>
          <w:sz w:val="24"/>
          <w:szCs w:val="24"/>
        </w:rPr>
        <w:t>Cleveland Elec. Illum. Co. v. Pub. Util. Comm.</w:t>
      </w:r>
      <w:r w:rsidRPr="005C1525" w:rsidR="005C1525">
        <w:rPr>
          <w:rFonts w:ascii="Times New Roman" w:hAnsi="Times New Roman" w:cs="Times New Roman"/>
          <w:sz w:val="24"/>
          <w:szCs w:val="24"/>
        </w:rPr>
        <w:t>, 42 Ohio St.2d 403, 431 (1975)</w:t>
      </w:r>
      <w:r w:rsidRPr="005C1525" w:rsidR="005C1525">
        <w:t xml:space="preserve"> </w:t>
      </w:r>
      <w:r w:rsidRPr="005C1525" w:rsidR="005C1525">
        <w:rPr>
          <w:rFonts w:ascii="Times New Roman" w:hAnsi="Times New Roman" w:cs="Times New Roman"/>
          <w:sz w:val="24"/>
          <w:szCs w:val="24"/>
        </w:rPr>
        <w:t>and its progeny</w:t>
      </w:r>
      <w:r w:rsidR="00CA04D1">
        <w:rPr>
          <w:rFonts w:ascii="Times New Roman" w:hAnsi="Times New Roman" w:cs="Times New Roman"/>
          <w:sz w:val="24"/>
          <w:szCs w:val="24"/>
        </w:rPr>
        <w:t>.</w:t>
      </w:r>
      <w:r>
        <w:rPr>
          <w:rFonts w:ascii="Times New Roman" w:hAnsi="Times New Roman" w:cs="Times New Roman"/>
          <w:sz w:val="24"/>
          <w:szCs w:val="24"/>
        </w:rPr>
        <w:t xml:space="preserve"> The Second Entry on Rehearing is unlawful.</w:t>
      </w:r>
      <w:r w:rsidRPr="00CA04D1" w:rsidR="00CA04D1">
        <w:t xml:space="preserve"> </w:t>
      </w:r>
    </w:p>
    <w:p w:rsidR="0087136D" w:rsidP="006F05B8" w14:paraId="446F8A9C" w14:textId="25102A91">
      <w:pPr>
        <w:spacing w:after="0" w:line="480" w:lineRule="auto"/>
        <w:ind w:firstLine="720"/>
        <w:rPr>
          <w:rFonts w:ascii="Times New Roman" w:hAnsi="Times New Roman" w:cs="Times New Roman"/>
          <w:sz w:val="24"/>
          <w:szCs w:val="24"/>
        </w:rPr>
      </w:pPr>
      <w:r w:rsidRPr="00CA04D1">
        <w:rPr>
          <w:rFonts w:ascii="Times New Roman" w:hAnsi="Times New Roman" w:cs="Times New Roman"/>
          <w:sz w:val="24"/>
          <w:szCs w:val="24"/>
        </w:rPr>
        <w:t>As the PUCO itself recognized,</w:t>
      </w:r>
      <w:r>
        <w:rPr>
          <w:rStyle w:val="FootnoteReference"/>
          <w:rFonts w:ascii="Times New Roman" w:hAnsi="Times New Roman" w:cs="Times New Roman"/>
          <w:sz w:val="24"/>
          <w:szCs w:val="24"/>
        </w:rPr>
        <w:footnoteReference w:id="8"/>
      </w:r>
      <w:r w:rsidRPr="00CA04D1">
        <w:rPr>
          <w:rFonts w:ascii="Times New Roman" w:hAnsi="Times New Roman" w:cs="Times New Roman"/>
          <w:sz w:val="24"/>
          <w:szCs w:val="24"/>
        </w:rPr>
        <w:t xml:space="preserve"> the Ohio Supreme Court has instructed the PUCO “to respect its own precedents in its decisions to assure the predictability, which is essential in all areas of law, including administrati</w:t>
      </w:r>
      <w:r>
        <w:rPr>
          <w:rFonts w:ascii="Times New Roman" w:hAnsi="Times New Roman" w:cs="Times New Roman"/>
          <w:sz w:val="24"/>
          <w:szCs w:val="24"/>
        </w:rPr>
        <w:t>ve law.”</w:t>
      </w:r>
      <w:r>
        <w:rPr>
          <w:rStyle w:val="FootnoteReference"/>
          <w:rFonts w:ascii="Times New Roman" w:hAnsi="Times New Roman" w:cs="Times New Roman"/>
          <w:sz w:val="24"/>
          <w:szCs w:val="24"/>
        </w:rPr>
        <w:footnoteReference w:id="9"/>
      </w:r>
      <w:r w:rsidRPr="006F05B8" w:rsidR="006F05B8">
        <w:t xml:space="preserve"> </w:t>
      </w:r>
      <w:r w:rsidR="006F05B8">
        <w:rPr>
          <w:rFonts w:ascii="Times New Roman" w:hAnsi="Times New Roman" w:cs="Times New Roman"/>
          <w:sz w:val="24"/>
          <w:szCs w:val="24"/>
        </w:rPr>
        <w:t>W</w:t>
      </w:r>
      <w:r w:rsidRPr="006F05B8" w:rsidR="006F05B8">
        <w:rPr>
          <w:rFonts w:ascii="Times New Roman" w:hAnsi="Times New Roman" w:cs="Times New Roman"/>
          <w:sz w:val="24"/>
          <w:szCs w:val="24"/>
        </w:rPr>
        <w:t>hile the PUCO can revisit a particular decision, the PUCO is “bound by certain institutional constraints to justify that change before such order may be changed or modified.”</w:t>
      </w:r>
      <w:r>
        <w:rPr>
          <w:rStyle w:val="FootnoteReference"/>
          <w:rFonts w:ascii="Times New Roman" w:hAnsi="Times New Roman" w:cs="Times New Roman"/>
          <w:sz w:val="24"/>
          <w:szCs w:val="24"/>
        </w:rPr>
        <w:footnoteReference w:id="10"/>
      </w:r>
      <w:r w:rsidRPr="006F05B8" w:rsidR="006F05B8">
        <w:rPr>
          <w:rFonts w:ascii="Times New Roman" w:hAnsi="Times New Roman" w:cs="Times New Roman"/>
          <w:sz w:val="24"/>
          <w:szCs w:val="24"/>
        </w:rPr>
        <w:t xml:space="preserve"> If the PUCO sees fit to depart from a prior order, it “must explain why” and “the new course also must be substantively reasonable and lawful.”</w:t>
      </w:r>
      <w:r>
        <w:rPr>
          <w:rStyle w:val="FootnoteReference"/>
          <w:rFonts w:ascii="Times New Roman" w:hAnsi="Times New Roman" w:cs="Times New Roman"/>
          <w:sz w:val="24"/>
          <w:szCs w:val="24"/>
        </w:rPr>
        <w:footnoteReference w:id="11"/>
      </w:r>
      <w:r w:rsidRPr="006F05B8" w:rsidR="006F05B8">
        <w:rPr>
          <w:rFonts w:ascii="Times New Roman" w:hAnsi="Times New Roman" w:cs="Times New Roman"/>
          <w:sz w:val="24"/>
          <w:szCs w:val="24"/>
        </w:rPr>
        <w:t xml:space="preserve"> </w:t>
      </w:r>
    </w:p>
    <w:p w:rsidR="006F05B8" w:rsidRPr="00357E2A" w:rsidP="006F05B8" w14:paraId="783DC0B5" w14:textId="70C709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Before the gas utility capital expenditure program cases, it had been the PUCO’s practice and precedent </w:t>
      </w:r>
      <w:r w:rsidRPr="004C165E">
        <w:rPr>
          <w:rFonts w:ascii="Times New Roman" w:hAnsi="Times New Roman" w:cs="Times New Roman"/>
          <w:sz w:val="24"/>
          <w:szCs w:val="24"/>
        </w:rPr>
        <w:t>that where rates were set more than three years ago, a new calculation should be made.</w:t>
      </w:r>
      <w:r w:rsidR="003D4E6A">
        <w:rPr>
          <w:rFonts w:ascii="Times New Roman" w:hAnsi="Times New Roman" w:cs="Times New Roman"/>
          <w:sz w:val="24"/>
          <w:szCs w:val="24"/>
        </w:rPr>
        <w:t xml:space="preserve"> In </w:t>
      </w:r>
      <w:r w:rsidRPr="003D4E6A" w:rsidR="003D4E6A">
        <w:rPr>
          <w:rFonts w:ascii="Times New Roman" w:hAnsi="Times New Roman" w:cs="Times New Roman"/>
          <w:i/>
          <w:iCs/>
          <w:sz w:val="24"/>
          <w:szCs w:val="24"/>
        </w:rPr>
        <w:t xml:space="preserve">In the Matter of the Application of The Columbus Southern Power Company and Ohio Power Company to Adjust the Transmission Component of the Companies' Standard Service Tariffs to Reflect the Applicable FERC-Approved Charges or Rates Related to Open Access Transmission, Net Congestion and </w:t>
      </w:r>
      <w:r w:rsidR="003D4E6A">
        <w:rPr>
          <w:rFonts w:ascii="Times New Roman" w:hAnsi="Times New Roman" w:cs="Times New Roman"/>
          <w:i/>
          <w:iCs/>
          <w:sz w:val="24"/>
          <w:szCs w:val="24"/>
        </w:rPr>
        <w:t>Ancillary</w:t>
      </w:r>
      <w:r w:rsidRPr="003D4E6A" w:rsidR="003D4E6A">
        <w:rPr>
          <w:rFonts w:ascii="Times New Roman" w:hAnsi="Times New Roman" w:cs="Times New Roman"/>
          <w:i/>
          <w:iCs/>
          <w:sz w:val="24"/>
          <w:szCs w:val="24"/>
        </w:rPr>
        <w:t xml:space="preserve"> Services</w:t>
      </w:r>
      <w:r w:rsidR="003D4E6A">
        <w:t>,</w:t>
      </w:r>
      <w:r>
        <w:rPr>
          <w:rStyle w:val="FootnoteReference"/>
        </w:rPr>
        <w:footnoteReference w:id="12"/>
      </w:r>
      <w:r w:rsidR="003D4E6A">
        <w:t xml:space="preserve"> </w:t>
      </w:r>
      <w:r w:rsidRPr="00357E2A" w:rsidR="003D4E6A">
        <w:rPr>
          <w:rFonts w:ascii="Times New Roman" w:hAnsi="Times New Roman" w:cs="Times New Roman"/>
          <w:sz w:val="24"/>
          <w:szCs w:val="24"/>
        </w:rPr>
        <w:t>the PUCO explained this succinctly:</w:t>
      </w:r>
    </w:p>
    <w:p w:rsidR="003D4E6A" w:rsidP="003D4E6A" w14:paraId="1EC00451" w14:textId="48FDF3C2">
      <w:pPr>
        <w:spacing w:after="0" w:line="240" w:lineRule="auto"/>
        <w:ind w:left="720"/>
        <w:rPr>
          <w:rFonts w:ascii="Times New Roman" w:hAnsi="Times New Roman" w:cs="Times New Roman"/>
          <w:sz w:val="24"/>
          <w:szCs w:val="24"/>
        </w:rPr>
      </w:pPr>
      <w:r w:rsidRPr="003D4E6A">
        <w:rPr>
          <w:rFonts w:ascii="Times New Roman" w:hAnsi="Times New Roman" w:cs="Times New Roman"/>
          <w:sz w:val="24"/>
          <w:szCs w:val="24"/>
        </w:rPr>
        <w:t>The Companies propose to include carrying charges on the net under recovery or net over recovery of TCRR revenues using each company’s weighted average cost of capital. The Companies propose that the rate of equity to be included in the calculation be the rate established in each company’s last rate case. The Commission disagrees. The Commission issued its decision in Columbus Southern’s last base rate case proceeding in May 1992, more than thirteen years ago. The Commission fin</w:t>
      </w:r>
      <w:r w:rsidR="00357E2A">
        <w:rPr>
          <w:rFonts w:ascii="Times New Roman" w:hAnsi="Times New Roman" w:cs="Times New Roman"/>
          <w:sz w:val="24"/>
          <w:szCs w:val="24"/>
        </w:rPr>
        <w:t>d</w:t>
      </w:r>
      <w:r w:rsidRPr="003D4E6A">
        <w:rPr>
          <w:rFonts w:ascii="Times New Roman" w:hAnsi="Times New Roman" w:cs="Times New Roman"/>
          <w:sz w:val="24"/>
          <w:szCs w:val="24"/>
        </w:rPr>
        <w:t>s that the financial landscape has changed greatly since the early 1990s. We find it appropriate to use a more recent review of the cost of capital.</w:t>
      </w:r>
      <w:r>
        <w:rPr>
          <w:rStyle w:val="FootnoteReference"/>
          <w:rFonts w:ascii="Times New Roman" w:hAnsi="Times New Roman" w:cs="Times New Roman"/>
          <w:sz w:val="24"/>
          <w:szCs w:val="24"/>
        </w:rPr>
        <w:footnoteReference w:id="13"/>
      </w:r>
    </w:p>
    <w:p w:rsidR="00357E2A" w:rsidP="00357E2A" w14:paraId="2F356710" w14:textId="2EBFA40F">
      <w:pPr>
        <w:spacing w:after="0" w:line="240" w:lineRule="auto"/>
        <w:rPr>
          <w:rFonts w:ascii="Times New Roman" w:hAnsi="Times New Roman" w:cs="Times New Roman"/>
          <w:sz w:val="24"/>
          <w:szCs w:val="24"/>
        </w:rPr>
      </w:pPr>
    </w:p>
    <w:p w:rsidR="005535FB" w:rsidP="00511C31" w14:paraId="2AD53599" w14:textId="7777777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When the same issue arose later, the PUCO once again acknowledged that where rates are more than two or three years old, </w:t>
      </w:r>
      <w:r w:rsidR="00511C31">
        <w:rPr>
          <w:rFonts w:ascii="Times New Roman" w:hAnsi="Times New Roman" w:cs="Times New Roman"/>
          <w:sz w:val="24"/>
          <w:szCs w:val="24"/>
        </w:rPr>
        <w:t>“</w:t>
      </w:r>
      <w:r w:rsidRPr="00357E2A">
        <w:rPr>
          <w:rFonts w:ascii="Times New Roman" w:hAnsi="Times New Roman" w:cs="Times New Roman"/>
          <w:sz w:val="24"/>
          <w:szCs w:val="24"/>
        </w:rPr>
        <w:t xml:space="preserve">it may be appropriate to reevaluate the </w:t>
      </w:r>
    </w:p>
    <w:p w:rsidR="005535FB" w14:paraId="5B676651" w14:textId="77777777">
      <w:pPr>
        <w:rPr>
          <w:rFonts w:ascii="Times New Roman" w:hAnsi="Times New Roman" w:cs="Times New Roman"/>
          <w:sz w:val="24"/>
          <w:szCs w:val="24"/>
        </w:rPr>
      </w:pPr>
      <w:r>
        <w:rPr>
          <w:rFonts w:ascii="Times New Roman" w:hAnsi="Times New Roman" w:cs="Times New Roman"/>
          <w:sz w:val="24"/>
          <w:szCs w:val="24"/>
        </w:rPr>
        <w:br w:type="page"/>
      </w:r>
    </w:p>
    <w:p w:rsidR="00357E2A" w:rsidP="00511C31" w14:paraId="0905A5B9" w14:textId="507609EB">
      <w:pPr>
        <w:spacing w:after="0" w:line="480" w:lineRule="auto"/>
        <w:rPr>
          <w:rFonts w:ascii="Times New Roman" w:hAnsi="Times New Roman" w:cs="Times New Roman"/>
          <w:sz w:val="24"/>
          <w:szCs w:val="24"/>
        </w:rPr>
      </w:pPr>
      <w:r w:rsidRPr="00357E2A">
        <w:rPr>
          <w:rFonts w:ascii="Times New Roman" w:hAnsi="Times New Roman" w:cs="Times New Roman"/>
          <w:sz w:val="24"/>
          <w:szCs w:val="24"/>
        </w:rPr>
        <w:t xml:space="preserve">reasonableness of using the company's most </w:t>
      </w:r>
      <w:r w:rsidR="00511C31">
        <w:rPr>
          <w:rFonts w:ascii="Times New Roman" w:hAnsi="Times New Roman" w:cs="Times New Roman"/>
          <w:sz w:val="24"/>
          <w:szCs w:val="24"/>
        </w:rPr>
        <w:t>recently</w:t>
      </w:r>
      <w:r w:rsidRPr="00357E2A">
        <w:rPr>
          <w:rFonts w:ascii="Times New Roman" w:hAnsi="Times New Roman" w:cs="Times New Roman"/>
          <w:sz w:val="24"/>
          <w:szCs w:val="24"/>
        </w:rPr>
        <w:t xml:space="preserve"> approved” rate (in this case, for carrying charges).</w:t>
      </w:r>
      <w:r>
        <w:rPr>
          <w:rStyle w:val="FootnoteReference"/>
          <w:rFonts w:ascii="Times New Roman" w:hAnsi="Times New Roman" w:cs="Times New Roman"/>
          <w:sz w:val="24"/>
          <w:szCs w:val="24"/>
        </w:rPr>
        <w:footnoteReference w:id="14"/>
      </w:r>
    </w:p>
    <w:p w:rsidR="00511C31" w:rsidP="00511C31" w14:paraId="5DA1142A" w14:textId="70C5B03A">
      <w:pPr>
        <w:spacing w:after="0" w:line="480" w:lineRule="auto"/>
        <w:rPr>
          <w:rFonts w:ascii="Times New Roman" w:hAnsi="Times New Roman" w:cs="Times New Roman"/>
          <w:sz w:val="24"/>
          <w:szCs w:val="24"/>
        </w:rPr>
      </w:pPr>
      <w:r>
        <w:rPr>
          <w:rFonts w:ascii="Times New Roman" w:hAnsi="Times New Roman" w:cs="Times New Roman"/>
          <w:sz w:val="24"/>
          <w:szCs w:val="24"/>
        </w:rPr>
        <w:tab/>
        <w:t>The acknowledgement that consumer protection requires revisiting rates that are more than two or three years old is not limited to a given industry or PUCO decisions. It is also reflected in the PUCO’s rules governing water companies.</w:t>
      </w:r>
      <w:r w:rsidRPr="00511C31">
        <w:t xml:space="preserve"> </w:t>
      </w:r>
      <w:r w:rsidRPr="00511C31">
        <w:rPr>
          <w:rFonts w:ascii="Times New Roman" w:hAnsi="Times New Roman" w:cs="Times New Roman"/>
          <w:sz w:val="24"/>
          <w:szCs w:val="24"/>
        </w:rPr>
        <w:t xml:space="preserve">O.A.C. 4901:1-15-35, </w:t>
      </w:r>
      <w:r w:rsidR="00DB137C">
        <w:rPr>
          <w:rFonts w:ascii="Times New Roman" w:hAnsi="Times New Roman" w:cs="Times New Roman"/>
          <w:sz w:val="24"/>
          <w:szCs w:val="24"/>
        </w:rPr>
        <w:t>which deals with infrastructure improvement surcharges, provides:</w:t>
      </w:r>
    </w:p>
    <w:p w:rsidR="00DB137C" w:rsidP="00DB137C" w14:paraId="6B069788" w14:textId="55CA6F27">
      <w:pPr>
        <w:spacing w:after="0" w:line="240" w:lineRule="auto"/>
        <w:ind w:left="720"/>
      </w:pPr>
      <w:r w:rsidRPr="00DB137C">
        <w:rPr>
          <w:rFonts w:ascii="Times New Roman" w:hAnsi="Times New Roman" w:cs="Times New Roman"/>
          <w:sz w:val="24"/>
          <w:szCs w:val="24"/>
        </w:rPr>
        <w:t>(7) Schedules 7a and 7b – Rate of Return If the date certain proposed in this proceeding is not later than three years from the date that the company's existing rates and tariffs went into effect, prepare Schedule 7 on the basis of the company's last rate case. If the time exceeds three years, prepare a proposed rate of return summary schedule as of the date certain or the most recent available historic calendar quarter showing the calculation of the weighted average cost of capital as illustrated in Schedule 7, lines 1-4</w:t>
      </w:r>
      <w:r>
        <w:t>.</w:t>
      </w:r>
      <w:r>
        <w:rPr>
          <w:rStyle w:val="FootnoteReference"/>
        </w:rPr>
        <w:footnoteReference w:id="15"/>
      </w:r>
    </w:p>
    <w:p w:rsidR="00CE6C48" w:rsidP="00CE6C48" w14:paraId="59F07267" w14:textId="6B71E6B9">
      <w:pPr>
        <w:spacing w:after="0" w:line="240" w:lineRule="auto"/>
      </w:pPr>
    </w:p>
    <w:p w:rsidR="00CE6C48" w:rsidRPr="00CC3EE7" w:rsidP="00CC3EE7" w14:paraId="0BAD3D26" w14:textId="60DEE3B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PUCO’s </w:t>
      </w:r>
      <w:r w:rsidR="00572515">
        <w:rPr>
          <w:rFonts w:ascii="Times New Roman" w:hAnsi="Times New Roman" w:cs="Times New Roman"/>
          <w:sz w:val="24"/>
          <w:szCs w:val="24"/>
        </w:rPr>
        <w:t>practice and precedent</w:t>
      </w:r>
      <w:r>
        <w:rPr>
          <w:rFonts w:ascii="Times New Roman" w:hAnsi="Times New Roman" w:cs="Times New Roman"/>
          <w:sz w:val="24"/>
          <w:szCs w:val="24"/>
        </w:rPr>
        <w:t xml:space="preserve"> for using up-to-date, recent data when setting rates is confirmed in base rate cases themselves.</w:t>
      </w:r>
      <w:r w:rsidR="005535FB">
        <w:rPr>
          <w:rFonts w:ascii="Times New Roman" w:hAnsi="Times New Roman" w:cs="Times New Roman"/>
          <w:sz w:val="24"/>
          <w:szCs w:val="24"/>
        </w:rPr>
        <w:t xml:space="preserve"> </w:t>
      </w:r>
      <w:r w:rsidR="00572515">
        <w:rPr>
          <w:rFonts w:ascii="Times New Roman" w:hAnsi="Times New Roman" w:cs="Times New Roman"/>
          <w:sz w:val="24"/>
          <w:szCs w:val="24"/>
        </w:rPr>
        <w:t>In 1982, the PUCO rejected testimony regarding return on equity based on data that was three years old and adopted testimony based on more recent data. It explained: “</w:t>
      </w:r>
      <w:r w:rsidRPr="00CC3EE7" w:rsidR="00572515">
        <w:rPr>
          <w:rFonts w:ascii="Times New Roman" w:hAnsi="Times New Roman" w:cs="Times New Roman"/>
          <w:color w:val="212121"/>
          <w:sz w:val="24"/>
          <w:szCs w:val="24"/>
          <w:shd w:val="clear" w:color="auto" w:fill="FFFFFF"/>
        </w:rPr>
        <w:t>It has always been the Commission's policy in determining the yield component of the return on common equity to use the most recent data available. We do not believe that the use of three year old yields, although weighted against more recent data, complies with our goal of determining a current cost of equity.”</w:t>
      </w:r>
      <w:r>
        <w:rPr>
          <w:rStyle w:val="FootnoteReference"/>
          <w:rFonts w:ascii="Times New Roman" w:hAnsi="Times New Roman" w:cs="Times New Roman"/>
          <w:color w:val="212121"/>
          <w:sz w:val="24"/>
          <w:szCs w:val="24"/>
          <w:shd w:val="clear" w:color="auto" w:fill="FFFFFF"/>
        </w:rPr>
        <w:footnoteReference w:id="16"/>
      </w:r>
    </w:p>
    <w:p w:rsidR="00A2307A" w:rsidP="00F75811" w14:paraId="5BC1FA18" w14:textId="14ABF4E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the PUCO began approving gas utility capital expenditure charges, it neither followed this precedent, found that it was in error, nor explained why it departed from it as required by</w:t>
      </w:r>
      <w:r w:rsidRPr="00F75811">
        <w:rPr>
          <w:rFonts w:ascii="Times New Roman" w:hAnsi="Times New Roman" w:cs="Times New Roman"/>
          <w:i/>
          <w:iCs/>
          <w:sz w:val="24"/>
          <w:szCs w:val="24"/>
        </w:rPr>
        <w:t xml:space="preserve"> </w:t>
      </w:r>
      <w:r w:rsidRPr="005C1525">
        <w:rPr>
          <w:rFonts w:ascii="Times New Roman" w:hAnsi="Times New Roman" w:cs="Times New Roman"/>
          <w:i/>
          <w:iCs/>
          <w:sz w:val="24"/>
          <w:szCs w:val="24"/>
        </w:rPr>
        <w:t xml:space="preserve">Cleveland Elec. Illum. Co. </w:t>
      </w:r>
      <w:r>
        <w:rPr>
          <w:rFonts w:ascii="Times New Roman" w:hAnsi="Times New Roman" w:cs="Times New Roman"/>
          <w:sz w:val="24"/>
          <w:szCs w:val="24"/>
        </w:rPr>
        <w:t>and its progeny.</w:t>
      </w:r>
      <w:r>
        <w:rPr>
          <w:rStyle w:val="FootnoteReference"/>
          <w:rFonts w:ascii="Times New Roman" w:hAnsi="Times New Roman" w:cs="Times New Roman"/>
          <w:sz w:val="24"/>
          <w:szCs w:val="24"/>
        </w:rPr>
        <w:footnoteReference w:id="17"/>
      </w:r>
      <w:r w:rsidR="005535FB">
        <w:rPr>
          <w:rFonts w:ascii="Times New Roman" w:hAnsi="Times New Roman" w:cs="Times New Roman"/>
          <w:sz w:val="24"/>
          <w:szCs w:val="24"/>
        </w:rPr>
        <w:t xml:space="preserve"> </w:t>
      </w:r>
      <w:r>
        <w:rPr>
          <w:rFonts w:ascii="Times New Roman" w:hAnsi="Times New Roman" w:cs="Times New Roman"/>
          <w:sz w:val="24"/>
          <w:szCs w:val="24"/>
        </w:rPr>
        <w:t>Accordingly, the “precedent” that the PUCO supposedly followed in this case (and the other gas utility capital expenditure program cases) was wrong and unlawful.</w:t>
      </w:r>
      <w:r w:rsidR="005535FB">
        <w:rPr>
          <w:rFonts w:ascii="Times New Roman" w:hAnsi="Times New Roman" w:cs="Times New Roman"/>
          <w:sz w:val="24"/>
          <w:szCs w:val="24"/>
        </w:rPr>
        <w:t xml:space="preserve"> </w:t>
      </w:r>
      <w:r>
        <w:rPr>
          <w:rFonts w:ascii="Times New Roman" w:hAnsi="Times New Roman" w:cs="Times New Roman"/>
          <w:sz w:val="24"/>
          <w:szCs w:val="24"/>
        </w:rPr>
        <w:t>Each case was the fruit of a poisonous tree</w:t>
      </w:r>
      <w:r w:rsidR="006B181E">
        <w:rPr>
          <w:rFonts w:ascii="Times New Roman" w:hAnsi="Times New Roman" w:cs="Times New Roman"/>
          <w:sz w:val="24"/>
          <w:szCs w:val="24"/>
        </w:rPr>
        <w:t xml:space="preserve"> that began with</w:t>
      </w:r>
      <w:r w:rsidR="00B84CA5">
        <w:rPr>
          <w:rFonts w:ascii="Times New Roman" w:hAnsi="Times New Roman" w:cs="Times New Roman"/>
          <w:sz w:val="24"/>
          <w:szCs w:val="24"/>
        </w:rPr>
        <w:t xml:space="preserve"> </w:t>
      </w:r>
      <w:r w:rsidR="00B84CA5">
        <w:rPr>
          <w:rFonts w:ascii="Times New Roman" w:hAnsi="Times New Roman" w:cs="Times New Roman"/>
          <w:i/>
          <w:iCs/>
          <w:sz w:val="24"/>
          <w:szCs w:val="24"/>
        </w:rPr>
        <w:t>In the Matter of the Application of the East Ohio Gas Company DBA Dominion Energy Ohio for Approval of An Alternative Form of Regulation to Establish a Capital Expenditure Program Rider Mechanism</w:t>
      </w:r>
      <w:r w:rsidR="00293E41">
        <w:rPr>
          <w:rFonts w:ascii="Times New Roman" w:hAnsi="Times New Roman" w:cs="Times New Roman"/>
          <w:i/>
          <w:iCs/>
          <w:sz w:val="24"/>
          <w:szCs w:val="24"/>
        </w:rPr>
        <w:t>.</w:t>
      </w:r>
      <w:r>
        <w:rPr>
          <w:rStyle w:val="FootnoteReference"/>
          <w:rFonts w:ascii="Times New Roman" w:hAnsi="Times New Roman" w:cs="Times New Roman"/>
          <w:sz w:val="24"/>
          <w:szCs w:val="24"/>
        </w:rPr>
        <w:footnoteReference w:id="18"/>
      </w:r>
    </w:p>
    <w:p w:rsidR="006F05B8" w:rsidP="006F05B8" w14:paraId="24C83CE5" w14:textId="2CF105C1">
      <w:pPr>
        <w:spacing w:after="0" w:line="480" w:lineRule="auto"/>
        <w:ind w:firstLine="720"/>
        <w:rPr>
          <w:rFonts w:ascii="Times New Roman" w:hAnsi="Times New Roman" w:cs="Times New Roman"/>
          <w:i/>
          <w:iCs/>
          <w:sz w:val="24"/>
          <w:szCs w:val="24"/>
        </w:rPr>
      </w:pPr>
      <w:r>
        <w:rPr>
          <w:rFonts w:ascii="Times New Roman" w:hAnsi="Times New Roman" w:cs="Times New Roman"/>
          <w:sz w:val="24"/>
          <w:szCs w:val="24"/>
        </w:rPr>
        <w:t>The PUCO’s Second Entry on Rehearing is unlawful. Rehearing should be granted.</w:t>
      </w:r>
    </w:p>
    <w:p w:rsidR="00801376" w:rsidP="00A2307A" w14:paraId="13823C1C" w14:textId="72043DEA">
      <w:pPr>
        <w:pStyle w:val="Heading1"/>
      </w:pPr>
      <w:r>
        <w:t>Conclusion</w:t>
      </w:r>
      <w:r w:rsidRPr="006A0331" w:rsidR="007327BD">
        <w:t xml:space="preserve"> </w:t>
      </w:r>
    </w:p>
    <w:p w:rsidR="008B291E" w:rsidRPr="00801376" w:rsidP="00801376" w14:paraId="76F221F7" w14:textId="082F244E">
      <w:pPr>
        <w:spacing w:line="480" w:lineRule="auto"/>
        <w:ind w:firstLine="720"/>
        <w:rPr>
          <w:rFonts w:ascii="Times New Roman" w:hAnsi="Times New Roman" w:cs="Times New Roman"/>
          <w:sz w:val="24"/>
          <w:szCs w:val="24"/>
        </w:rPr>
      </w:pPr>
      <w:r w:rsidRPr="00801376">
        <w:rPr>
          <w:rFonts w:ascii="Times New Roman" w:hAnsi="Times New Roman" w:cs="Times New Roman"/>
          <w:sz w:val="24"/>
          <w:szCs w:val="24"/>
        </w:rPr>
        <w:t>“[T]he purpose of the PUCO * * * is to protect the customers of public utilities.”</w:t>
      </w:r>
      <w:r>
        <w:rPr>
          <w:rStyle w:val="FootnoteReference"/>
          <w:rFonts w:ascii="Times New Roman" w:hAnsi="Times New Roman" w:cs="Times New Roman"/>
          <w:sz w:val="24"/>
          <w:szCs w:val="24"/>
        </w:rPr>
        <w:footnoteReference w:id="19"/>
      </w:r>
      <w:r w:rsidRPr="00801376">
        <w:rPr>
          <w:rFonts w:ascii="Times New Roman" w:hAnsi="Times New Roman" w:cs="Times New Roman"/>
          <w:sz w:val="24"/>
          <w:szCs w:val="24"/>
        </w:rPr>
        <w:t xml:space="preserve"> The PUCO </w:t>
      </w:r>
      <w:r w:rsidR="00B829AC">
        <w:rPr>
          <w:rFonts w:ascii="Times New Roman" w:hAnsi="Times New Roman" w:cs="Times New Roman"/>
          <w:sz w:val="24"/>
          <w:szCs w:val="24"/>
        </w:rPr>
        <w:t xml:space="preserve">can protect consumers </w:t>
      </w:r>
      <w:r w:rsidR="00A2307A">
        <w:rPr>
          <w:rFonts w:ascii="Times New Roman" w:hAnsi="Times New Roman" w:cs="Times New Roman"/>
          <w:sz w:val="24"/>
          <w:szCs w:val="24"/>
        </w:rPr>
        <w:t xml:space="preserve">by </w:t>
      </w:r>
      <w:r w:rsidR="00B829AC">
        <w:rPr>
          <w:rFonts w:ascii="Times New Roman" w:hAnsi="Times New Roman" w:cs="Times New Roman"/>
          <w:sz w:val="24"/>
          <w:szCs w:val="24"/>
        </w:rPr>
        <w:t xml:space="preserve">granting rehearing and </w:t>
      </w:r>
      <w:r w:rsidRPr="00801376">
        <w:rPr>
          <w:rFonts w:ascii="Times New Roman" w:hAnsi="Times New Roman" w:cs="Times New Roman"/>
          <w:sz w:val="24"/>
          <w:szCs w:val="24"/>
        </w:rPr>
        <w:t xml:space="preserve">rejecting or modifying the </w:t>
      </w:r>
      <w:r w:rsidR="00A2307A">
        <w:rPr>
          <w:rFonts w:ascii="Times New Roman" w:hAnsi="Times New Roman" w:cs="Times New Roman"/>
          <w:sz w:val="24"/>
          <w:szCs w:val="24"/>
        </w:rPr>
        <w:t>settlement in this case</w:t>
      </w:r>
      <w:r w:rsidRPr="00801376">
        <w:rPr>
          <w:rFonts w:ascii="Times New Roman" w:hAnsi="Times New Roman" w:cs="Times New Roman"/>
          <w:sz w:val="24"/>
          <w:szCs w:val="24"/>
        </w:rPr>
        <w:t xml:space="preserve"> and adopting OCC’s consumer-protection recommendations. </w:t>
      </w:r>
    </w:p>
    <w:p w:rsidR="00FD5310" w:rsidRPr="006A0331" w:rsidP="00F666E3" w14:paraId="0D4DE67C" w14:textId="37CE0DBF">
      <w:pPr>
        <w:ind w:left="3600"/>
        <w:rPr>
          <w:rFonts w:ascii="Times New Roman" w:hAnsi="Times New Roman" w:cs="Times New Roman"/>
          <w:sz w:val="24"/>
          <w:szCs w:val="24"/>
        </w:rPr>
      </w:pPr>
      <w:r w:rsidRPr="006A0331">
        <w:rPr>
          <w:rFonts w:ascii="Times New Roman" w:hAnsi="Times New Roman" w:cs="Times New Roman"/>
          <w:sz w:val="24"/>
          <w:szCs w:val="24"/>
        </w:rPr>
        <w:t>R</w:t>
      </w:r>
      <w:r w:rsidRPr="006A0331">
        <w:rPr>
          <w:rFonts w:ascii="Times New Roman" w:hAnsi="Times New Roman" w:cs="Times New Roman"/>
          <w:sz w:val="24"/>
          <w:szCs w:val="24"/>
        </w:rPr>
        <w:t>espectfully submitted,</w:t>
      </w:r>
    </w:p>
    <w:p w:rsidR="00FD5310" w:rsidRPr="006A0331" w:rsidP="00FD5310" w14:paraId="008FD64D" w14:textId="77777777">
      <w:pPr>
        <w:widowControl w:val="0"/>
        <w:spacing w:after="0" w:line="240" w:lineRule="auto"/>
        <w:ind w:left="3600"/>
        <w:rPr>
          <w:rFonts w:ascii="Times New Roman" w:hAnsi="Times New Roman" w:cs="Times New Roman"/>
          <w:sz w:val="24"/>
          <w:szCs w:val="24"/>
        </w:rPr>
      </w:pPr>
    </w:p>
    <w:p w:rsidR="00FD5310" w:rsidRPr="006A0331" w:rsidP="00FD5310" w14:paraId="291D04BE" w14:textId="77777777">
      <w:pPr>
        <w:pStyle w:val="Footer"/>
        <w:ind w:left="3600"/>
        <w:rPr>
          <w:rFonts w:ascii="Times New Roman" w:hAnsi="Times New Roman" w:cs="Times New Roman"/>
          <w:sz w:val="24"/>
          <w:szCs w:val="24"/>
        </w:rPr>
      </w:pPr>
      <w:r w:rsidRPr="006A0331">
        <w:rPr>
          <w:rFonts w:ascii="Times New Roman" w:hAnsi="Times New Roman" w:cs="Times New Roman"/>
          <w:sz w:val="24"/>
          <w:szCs w:val="24"/>
        </w:rPr>
        <w:t>Bruce Weston (0016973)</w:t>
      </w:r>
    </w:p>
    <w:p w:rsidR="00FD5310" w:rsidRPr="006A0331" w:rsidP="00FD5310" w14:paraId="594BAC6A"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Ohio Consumers’ Counsel</w:t>
      </w:r>
    </w:p>
    <w:p w:rsidR="00FD5310" w:rsidRPr="006A0331" w:rsidP="00FD5310" w14:paraId="4722371C" w14:textId="77777777">
      <w:pPr>
        <w:tabs>
          <w:tab w:val="left" w:pos="4320"/>
        </w:tabs>
        <w:spacing w:after="0" w:line="240" w:lineRule="auto"/>
        <w:ind w:left="3600"/>
        <w:rPr>
          <w:rFonts w:ascii="Times New Roman" w:hAnsi="Times New Roman" w:cs="Times New Roman"/>
          <w:i/>
          <w:sz w:val="24"/>
          <w:szCs w:val="24"/>
          <w:u w:val="single"/>
        </w:rPr>
      </w:pPr>
    </w:p>
    <w:p w:rsidR="00FD5310" w:rsidRPr="006A0331" w:rsidP="00FD5310" w14:paraId="06A9122E" w14:textId="77777777">
      <w:pPr>
        <w:spacing w:after="0" w:line="240" w:lineRule="auto"/>
        <w:ind w:left="3600"/>
        <w:rPr>
          <w:rFonts w:ascii="Times New Roman" w:hAnsi="Times New Roman" w:cs="Times New Roman"/>
          <w:bCs/>
          <w:i/>
          <w:iCs/>
          <w:sz w:val="24"/>
          <w:szCs w:val="24"/>
          <w:u w:val="single"/>
        </w:rPr>
      </w:pPr>
      <w:r w:rsidRPr="006A0331">
        <w:rPr>
          <w:rFonts w:ascii="Times New Roman" w:hAnsi="Times New Roman" w:cs="Times New Roman"/>
          <w:bCs/>
          <w:i/>
          <w:iCs/>
          <w:sz w:val="24"/>
          <w:szCs w:val="24"/>
          <w:u w:val="single"/>
        </w:rPr>
        <w:t>/s/ William J. Michael</w:t>
      </w:r>
    </w:p>
    <w:p w:rsidR="00FD5310" w:rsidRPr="006A0331" w:rsidP="00FD5310" w14:paraId="1F2B1C7F"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William J. Michael (0070921)</w:t>
      </w:r>
    </w:p>
    <w:p w:rsidR="00FD5310" w:rsidRPr="006A0331" w:rsidP="00FD5310" w14:paraId="53F0E6F0"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 xml:space="preserve">Counsel of Record </w:t>
      </w:r>
    </w:p>
    <w:p w:rsidR="00FD5310" w:rsidRPr="006A0331" w:rsidP="00FD5310" w14:paraId="5BD864DF"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Ambrosia E. Wilson (0096598)</w:t>
      </w:r>
    </w:p>
    <w:p w:rsidR="00FD5310" w:rsidRPr="006A0331" w:rsidP="00FD5310" w14:paraId="17A29721"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Assistant Consumers’ Counsel</w:t>
      </w:r>
    </w:p>
    <w:p w:rsidR="00FD5310" w:rsidRPr="006A0331" w:rsidP="00FD5310" w14:paraId="538C97D7"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ab/>
      </w:r>
    </w:p>
    <w:p w:rsidR="00FD5310" w:rsidRPr="006A0331" w:rsidP="00FD5310" w14:paraId="53A9FE8D" w14:textId="77777777">
      <w:pPr>
        <w:spacing w:after="0" w:line="240" w:lineRule="auto"/>
        <w:ind w:left="3600"/>
        <w:rPr>
          <w:rFonts w:ascii="Times New Roman" w:hAnsi="Times New Roman" w:cs="Times New Roman"/>
          <w:b/>
          <w:bCs/>
          <w:sz w:val="24"/>
          <w:szCs w:val="24"/>
        </w:rPr>
      </w:pPr>
      <w:r w:rsidRPr="006A0331">
        <w:rPr>
          <w:rFonts w:ascii="Times New Roman" w:hAnsi="Times New Roman" w:cs="Times New Roman"/>
          <w:b/>
          <w:bCs/>
          <w:sz w:val="24"/>
          <w:szCs w:val="24"/>
        </w:rPr>
        <w:t>Office of the Ohio Consumers’ Counsel</w:t>
      </w:r>
    </w:p>
    <w:p w:rsidR="00FD5310" w:rsidRPr="006A0331" w:rsidP="00FD5310" w14:paraId="3B975332" w14:textId="77777777">
      <w:pPr>
        <w:spacing w:after="0" w:line="240" w:lineRule="auto"/>
        <w:ind w:left="3600"/>
        <w:rPr>
          <w:rFonts w:ascii="Times New Roman" w:hAnsi="Times New Roman" w:cs="Times New Roman"/>
          <w:b/>
          <w:sz w:val="24"/>
          <w:szCs w:val="24"/>
        </w:rPr>
      </w:pPr>
      <w:r w:rsidRPr="006A0331">
        <w:rPr>
          <w:rFonts w:ascii="Times New Roman" w:hAnsi="Times New Roman" w:cs="Times New Roman"/>
          <w:sz w:val="24"/>
          <w:szCs w:val="24"/>
        </w:rPr>
        <w:t>65 East State Street, Suite 700</w:t>
      </w:r>
    </w:p>
    <w:p w:rsidR="00FD5310" w:rsidRPr="006A0331" w:rsidP="00FD5310" w14:paraId="375F7530" w14:textId="77777777">
      <w:pPr>
        <w:spacing w:after="0" w:line="240" w:lineRule="auto"/>
        <w:ind w:left="3600"/>
        <w:rPr>
          <w:rFonts w:ascii="Times New Roman" w:hAnsi="Times New Roman" w:cs="Times New Roman"/>
          <w:b/>
          <w:sz w:val="24"/>
          <w:szCs w:val="24"/>
        </w:rPr>
      </w:pPr>
      <w:r w:rsidRPr="006A0331">
        <w:rPr>
          <w:rFonts w:ascii="Times New Roman" w:hAnsi="Times New Roman" w:cs="Times New Roman"/>
          <w:sz w:val="24"/>
          <w:szCs w:val="24"/>
        </w:rPr>
        <w:t>Columbus, Ohio 43215-4213</w:t>
      </w:r>
    </w:p>
    <w:p w:rsidR="00FD5310" w:rsidRPr="006A0331" w:rsidP="00FD5310" w14:paraId="641F8BFA" w14:textId="77777777">
      <w:pPr>
        <w:autoSpaceDE w:val="0"/>
        <w:autoSpaceDN w:val="0"/>
        <w:adjustRightInd w:val="0"/>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Telephone [Michael]: (614) 466-1291</w:t>
      </w:r>
    </w:p>
    <w:p w:rsidR="00FD5310" w:rsidRPr="006A0331" w:rsidP="00FD5310" w14:paraId="2949D1FC" w14:textId="77777777">
      <w:pPr>
        <w:autoSpaceDE w:val="0"/>
        <w:autoSpaceDN w:val="0"/>
        <w:adjustRightInd w:val="0"/>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Telephone [Wilson]: (614) 466-1292</w:t>
      </w:r>
    </w:p>
    <w:p w:rsidR="00FD5310" w:rsidRPr="00A46520" w:rsidP="00FD5310" w14:paraId="1009740F" w14:textId="77777777">
      <w:pPr>
        <w:autoSpaceDE w:val="0"/>
        <w:autoSpaceDN w:val="0"/>
        <w:adjustRightInd w:val="0"/>
        <w:spacing w:after="0" w:line="240" w:lineRule="auto"/>
        <w:ind w:left="3600"/>
        <w:rPr>
          <w:rFonts w:ascii="Times New Roman" w:hAnsi="Times New Roman" w:cs="Times New Roman"/>
          <w:color w:val="0000FF"/>
          <w:sz w:val="24"/>
          <w:szCs w:val="24"/>
        </w:rPr>
      </w:pPr>
      <w:hyperlink r:id="rId7" w:history="1">
        <w:r w:rsidRPr="00A46520">
          <w:rPr>
            <w:rStyle w:val="Hyperlink"/>
            <w:rFonts w:ascii="Times New Roman" w:hAnsi="Times New Roman" w:cs="Times New Roman"/>
            <w:color w:val="0000FF"/>
            <w:sz w:val="24"/>
            <w:szCs w:val="24"/>
          </w:rPr>
          <w:t>William.Michael@occ.ohio.gov</w:t>
        </w:r>
      </w:hyperlink>
    </w:p>
    <w:p w:rsidR="00FD5310" w:rsidRPr="00A46520" w:rsidP="00FD5310" w14:paraId="55B6302D" w14:textId="77777777">
      <w:pPr>
        <w:autoSpaceDE w:val="0"/>
        <w:autoSpaceDN w:val="0"/>
        <w:adjustRightInd w:val="0"/>
        <w:spacing w:after="0" w:line="240" w:lineRule="auto"/>
        <w:ind w:left="3600"/>
        <w:rPr>
          <w:rFonts w:ascii="Times New Roman" w:hAnsi="Times New Roman" w:cs="Times New Roman"/>
          <w:color w:val="0000FF"/>
          <w:sz w:val="24"/>
          <w:szCs w:val="24"/>
        </w:rPr>
      </w:pPr>
      <w:hyperlink r:id="rId8" w:history="1">
        <w:r w:rsidRPr="00A46520">
          <w:rPr>
            <w:rStyle w:val="Hyperlink"/>
            <w:rFonts w:ascii="Times New Roman" w:hAnsi="Times New Roman" w:cs="Times New Roman"/>
            <w:color w:val="0000FF"/>
            <w:sz w:val="24"/>
            <w:szCs w:val="24"/>
          </w:rPr>
          <w:t>Ambrosia.Wilson@occ.ohio.gov</w:t>
        </w:r>
      </w:hyperlink>
    </w:p>
    <w:p w:rsidR="00FD5310" w:rsidRPr="006A0331" w:rsidP="00FD5310" w14:paraId="49630830" w14:textId="77777777">
      <w:pPr>
        <w:spacing w:after="0" w:line="240" w:lineRule="auto"/>
        <w:ind w:left="3600"/>
        <w:rPr>
          <w:rFonts w:ascii="Times New Roman" w:hAnsi="Times New Roman" w:cs="Times New Roman"/>
          <w:sz w:val="24"/>
          <w:szCs w:val="24"/>
        </w:rPr>
      </w:pPr>
      <w:r w:rsidRPr="006A0331">
        <w:rPr>
          <w:rFonts w:ascii="Times New Roman" w:hAnsi="Times New Roman" w:cs="Times New Roman"/>
          <w:sz w:val="24"/>
          <w:szCs w:val="24"/>
        </w:rPr>
        <w:t>(willing to accept service by e-mail)</w:t>
      </w:r>
    </w:p>
    <w:p w:rsidR="002552CD" w:rsidRPr="006A0331" w:rsidP="00A77C16" w14:paraId="28888C06" w14:textId="77777777">
      <w:pPr>
        <w:spacing w:after="0" w:line="240" w:lineRule="auto"/>
        <w:ind w:left="4320"/>
        <w:rPr>
          <w:rFonts w:ascii="Times New Roman" w:hAnsi="Times New Roman" w:cs="Times New Roman"/>
          <w:sz w:val="24"/>
          <w:szCs w:val="24"/>
        </w:rPr>
      </w:pPr>
    </w:p>
    <w:p w:rsidR="004353CA" w:rsidRPr="006A0331" w14:paraId="237339FF" w14:textId="6340C8AA">
      <w:pPr>
        <w:rPr>
          <w:rFonts w:ascii="Times New Roman" w:hAnsi="Times New Roman" w:cs="Times New Roman"/>
          <w:sz w:val="24"/>
          <w:szCs w:val="24"/>
        </w:rPr>
      </w:pPr>
    </w:p>
    <w:p w:rsidR="00560BCF" w:rsidRPr="006A0331" w:rsidP="00560BCF" w14:paraId="3B79908A" w14:textId="0DE7F362">
      <w:pPr>
        <w:spacing w:after="0" w:line="240" w:lineRule="auto"/>
        <w:ind w:left="2880" w:firstLine="720"/>
        <w:rPr>
          <w:rFonts w:ascii="Times New Roman" w:hAnsi="Times New Roman" w:cs="Times New Roman"/>
          <w:sz w:val="24"/>
          <w:szCs w:val="24"/>
        </w:rPr>
        <w:sectPr w:rsidSect="009B580E">
          <w:headerReference w:type="default" r:id="rId10"/>
          <w:pgSz w:w="12240" w:h="15840"/>
          <w:pgMar w:top="1440" w:right="1800" w:bottom="1440" w:left="1800" w:header="720" w:footer="720" w:gutter="0"/>
          <w:pgNumType w:start="1"/>
          <w:cols w:space="720"/>
          <w:docGrid w:linePitch="360"/>
        </w:sectPr>
      </w:pPr>
    </w:p>
    <w:p w:rsidR="00954447" w:rsidRPr="006A0331" w:rsidP="00954447" w14:paraId="6A3DDC86" w14:textId="77777777">
      <w:pPr>
        <w:jc w:val="center"/>
        <w:rPr>
          <w:rFonts w:ascii="Times New Roman" w:hAnsi="Times New Roman" w:cs="Times New Roman"/>
          <w:b/>
          <w:bCs/>
          <w:sz w:val="24"/>
          <w:szCs w:val="24"/>
          <w:u w:val="single"/>
        </w:rPr>
      </w:pPr>
      <w:r w:rsidRPr="006A0331">
        <w:rPr>
          <w:rFonts w:ascii="Times New Roman" w:hAnsi="Times New Roman" w:cs="Times New Roman"/>
          <w:b/>
          <w:bCs/>
          <w:sz w:val="24"/>
          <w:szCs w:val="24"/>
          <w:u w:val="single"/>
        </w:rPr>
        <w:t>CERTIFICATE OF SERVICE</w:t>
      </w:r>
    </w:p>
    <w:p w:rsidR="00954447" w:rsidRPr="006A0331" w:rsidP="00954447" w14:paraId="168DCDC8" w14:textId="03078EA8">
      <w:pPr>
        <w:spacing w:line="480" w:lineRule="atLeast"/>
        <w:rPr>
          <w:rFonts w:ascii="Times New Roman" w:hAnsi="Times New Roman" w:cs="Times New Roman"/>
          <w:sz w:val="24"/>
          <w:szCs w:val="24"/>
        </w:rPr>
      </w:pPr>
      <w:r w:rsidRPr="006A0331">
        <w:rPr>
          <w:rFonts w:ascii="Times New Roman" w:hAnsi="Times New Roman" w:cs="Times New Roman"/>
          <w:sz w:val="24"/>
          <w:szCs w:val="24"/>
        </w:rPr>
        <w:tab/>
        <w:t xml:space="preserve">I hereby certify that a copy of this </w:t>
      </w:r>
      <w:r w:rsidRPr="006A0331">
        <w:rPr>
          <w:rFonts w:ascii="Times New Roman" w:hAnsi="Times New Roman" w:cs="Times New Roman"/>
          <w:iCs/>
          <w:sz w:val="24"/>
          <w:szCs w:val="24"/>
        </w:rPr>
        <w:t>Application for Rehearing</w:t>
      </w:r>
      <w:r w:rsidRPr="006A0331">
        <w:rPr>
          <w:rFonts w:ascii="Times New Roman" w:hAnsi="Times New Roman" w:cs="Times New Roman"/>
          <w:sz w:val="24"/>
          <w:szCs w:val="24"/>
        </w:rPr>
        <w:t xml:space="preserve"> was served on the persons stated below</w:t>
      </w:r>
      <w:r w:rsidRPr="006A0331">
        <w:rPr>
          <w:rFonts w:ascii="Times New Roman" w:hAnsi="Times New Roman" w:cs="Times New Roman"/>
          <w:iCs/>
          <w:sz w:val="24"/>
          <w:szCs w:val="24"/>
        </w:rPr>
        <w:t xml:space="preserve"> via </w:t>
      </w:r>
      <w:r w:rsidRPr="006A0331">
        <w:rPr>
          <w:rFonts w:ascii="Times New Roman" w:hAnsi="Times New Roman" w:cs="Times New Roman"/>
          <w:sz w:val="24"/>
          <w:szCs w:val="24"/>
        </w:rPr>
        <w:t xml:space="preserve">electronic transmission, this </w:t>
      </w:r>
      <w:r w:rsidR="00CA0ACD">
        <w:rPr>
          <w:rFonts w:ascii="Times New Roman" w:hAnsi="Times New Roman" w:cs="Times New Roman"/>
          <w:sz w:val="24"/>
          <w:szCs w:val="24"/>
        </w:rPr>
        <w:t>2</w:t>
      </w:r>
      <w:r w:rsidR="00167711">
        <w:rPr>
          <w:rFonts w:ascii="Times New Roman" w:hAnsi="Times New Roman" w:cs="Times New Roman"/>
          <w:sz w:val="24"/>
          <w:szCs w:val="24"/>
        </w:rPr>
        <w:t>6</w:t>
      </w:r>
      <w:r w:rsidRPr="006A0331" w:rsidR="00FD5310">
        <w:rPr>
          <w:rFonts w:ascii="Times New Roman" w:hAnsi="Times New Roman" w:cs="Times New Roman"/>
          <w:sz w:val="24"/>
          <w:szCs w:val="24"/>
        </w:rPr>
        <w:t>th</w:t>
      </w:r>
      <w:r w:rsidRPr="006A0331">
        <w:rPr>
          <w:rFonts w:ascii="Times New Roman" w:hAnsi="Times New Roman" w:cs="Times New Roman"/>
          <w:sz w:val="24"/>
          <w:szCs w:val="24"/>
        </w:rPr>
        <w:t xml:space="preserve"> day of </w:t>
      </w:r>
      <w:r w:rsidR="005535FB">
        <w:rPr>
          <w:rFonts w:ascii="Times New Roman" w:hAnsi="Times New Roman" w:cs="Times New Roman"/>
          <w:sz w:val="24"/>
          <w:szCs w:val="24"/>
        </w:rPr>
        <w:t>August</w:t>
      </w:r>
      <w:r w:rsidRPr="006A0331" w:rsidR="00FD5310">
        <w:rPr>
          <w:rFonts w:ascii="Times New Roman" w:hAnsi="Times New Roman" w:cs="Times New Roman"/>
          <w:sz w:val="24"/>
          <w:szCs w:val="24"/>
        </w:rPr>
        <w:t xml:space="preserve"> </w:t>
      </w:r>
      <w:r w:rsidRPr="006A0331">
        <w:rPr>
          <w:rFonts w:ascii="Times New Roman" w:hAnsi="Times New Roman" w:cs="Times New Roman"/>
          <w:sz w:val="24"/>
          <w:szCs w:val="24"/>
        </w:rPr>
        <w:t>202</w:t>
      </w:r>
      <w:r w:rsidRPr="006A0331" w:rsidR="00FD5310">
        <w:rPr>
          <w:rFonts w:ascii="Times New Roman" w:hAnsi="Times New Roman" w:cs="Times New Roman"/>
          <w:sz w:val="24"/>
          <w:szCs w:val="24"/>
        </w:rPr>
        <w:t>2</w:t>
      </w:r>
      <w:r w:rsidRPr="006A0331">
        <w:rPr>
          <w:rFonts w:ascii="Times New Roman" w:hAnsi="Times New Roman" w:cs="Times New Roman"/>
          <w:sz w:val="24"/>
          <w:szCs w:val="24"/>
        </w:rPr>
        <w:t>.</w:t>
      </w:r>
    </w:p>
    <w:p w:rsidR="00A87C0A" w:rsidRPr="006A0331" w:rsidP="00A87C0A" w14:paraId="15612E67" w14:textId="77777777">
      <w:pPr>
        <w:spacing w:line="240" w:lineRule="auto"/>
        <w:rPr>
          <w:rFonts w:ascii="Times New Roman" w:hAnsi="Times New Roman" w:cs="Times New Roman"/>
          <w:sz w:val="24"/>
          <w:szCs w:val="24"/>
        </w:rPr>
      </w:pPr>
    </w:p>
    <w:p w:rsidR="00954447" w:rsidRPr="006A0331" w:rsidP="004E4647" w14:paraId="591C21AF" w14:textId="77777777">
      <w:pPr>
        <w:tabs>
          <w:tab w:val="left" w:pos="4320"/>
        </w:tabs>
        <w:spacing w:after="0" w:line="240" w:lineRule="auto"/>
        <w:rPr>
          <w:rFonts w:ascii="Times New Roman" w:hAnsi="Times New Roman" w:cs="Times New Roman"/>
          <w:i/>
          <w:iCs/>
          <w:sz w:val="24"/>
          <w:szCs w:val="24"/>
          <w:u w:val="single"/>
        </w:rPr>
      </w:pPr>
      <w:r w:rsidRPr="006A0331">
        <w:rPr>
          <w:rFonts w:ascii="Times New Roman" w:hAnsi="Times New Roman" w:cs="Times New Roman"/>
          <w:sz w:val="24"/>
          <w:szCs w:val="24"/>
        </w:rPr>
        <w:tab/>
      </w:r>
      <w:r w:rsidRPr="006A0331">
        <w:rPr>
          <w:rFonts w:ascii="Times New Roman" w:hAnsi="Times New Roman" w:cs="Times New Roman"/>
          <w:i/>
          <w:iCs/>
          <w:sz w:val="24"/>
          <w:szCs w:val="24"/>
          <w:u w:val="single"/>
        </w:rPr>
        <w:t>/s/ William J. Michael</w:t>
      </w:r>
      <w:r w:rsidRPr="006A0331">
        <w:rPr>
          <w:rFonts w:ascii="Times New Roman" w:hAnsi="Times New Roman" w:cs="Times New Roman"/>
          <w:i/>
          <w:iCs/>
          <w:sz w:val="24"/>
          <w:szCs w:val="24"/>
          <w:u w:val="single"/>
        </w:rPr>
        <w:tab/>
      </w:r>
      <w:r w:rsidRPr="006A0331">
        <w:rPr>
          <w:rFonts w:ascii="Times New Roman" w:hAnsi="Times New Roman" w:cs="Times New Roman"/>
          <w:i/>
          <w:iCs/>
          <w:sz w:val="24"/>
          <w:szCs w:val="24"/>
          <w:u w:val="single"/>
        </w:rPr>
        <w:tab/>
      </w:r>
    </w:p>
    <w:p w:rsidR="00954447" w:rsidRPr="006A0331" w:rsidP="004E4647" w14:paraId="274520F9" w14:textId="77777777">
      <w:pPr>
        <w:tabs>
          <w:tab w:val="left" w:pos="4320"/>
        </w:tabs>
        <w:spacing w:after="0" w:line="240" w:lineRule="auto"/>
        <w:rPr>
          <w:rFonts w:ascii="Times New Roman" w:hAnsi="Times New Roman" w:cs="Times New Roman"/>
          <w:sz w:val="24"/>
          <w:szCs w:val="24"/>
        </w:rPr>
      </w:pPr>
      <w:r w:rsidRPr="006A0331">
        <w:rPr>
          <w:rFonts w:ascii="Times New Roman" w:hAnsi="Times New Roman" w:cs="Times New Roman"/>
          <w:sz w:val="24"/>
          <w:szCs w:val="24"/>
        </w:rPr>
        <w:tab/>
        <w:t>William J. Michael</w:t>
      </w:r>
    </w:p>
    <w:p w:rsidR="00954447" w:rsidRPr="006A0331" w:rsidP="004E4647" w14:paraId="220EC79A" w14:textId="77777777">
      <w:pPr>
        <w:tabs>
          <w:tab w:val="left" w:pos="4320"/>
        </w:tabs>
        <w:spacing w:after="0" w:line="240" w:lineRule="auto"/>
        <w:rPr>
          <w:rFonts w:ascii="Times New Roman" w:hAnsi="Times New Roman" w:cs="Times New Roman"/>
          <w:sz w:val="24"/>
          <w:szCs w:val="24"/>
        </w:rPr>
      </w:pPr>
      <w:r w:rsidRPr="006A0331">
        <w:rPr>
          <w:rFonts w:ascii="Times New Roman" w:hAnsi="Times New Roman" w:cs="Times New Roman"/>
          <w:sz w:val="24"/>
          <w:szCs w:val="24"/>
        </w:rPr>
        <w:tab/>
        <w:t>Assistant Consumers’ Counsel</w:t>
      </w:r>
    </w:p>
    <w:p w:rsidR="00954447" w:rsidRPr="006A0331" w:rsidP="00954447" w14:paraId="2C0C1BF0" w14:textId="77777777">
      <w:pPr>
        <w:pStyle w:val="CommentSubject"/>
        <w:rPr>
          <w:rFonts w:ascii="Times New Roman" w:hAnsi="Times New Roman" w:cs="Times New Roman"/>
          <w:sz w:val="24"/>
          <w:szCs w:val="24"/>
        </w:rPr>
      </w:pPr>
    </w:p>
    <w:p w:rsidR="00954447" w:rsidRPr="006A0331" w:rsidP="00954447" w14:paraId="67989A7B" w14:textId="77777777">
      <w:pPr>
        <w:rPr>
          <w:rFonts w:ascii="Times New Roman" w:hAnsi="Times New Roman" w:cs="Times New Roman"/>
          <w:sz w:val="24"/>
          <w:szCs w:val="24"/>
        </w:rPr>
      </w:pPr>
      <w:r w:rsidRPr="006A0331">
        <w:rPr>
          <w:rFonts w:ascii="Times New Roman" w:hAnsi="Times New Roman" w:cs="Times New Roman"/>
          <w:sz w:val="24"/>
          <w:szCs w:val="24"/>
        </w:rPr>
        <w:t>The PUCO’s e-filing system will electronically serve notice of the filing of this document on the following parties:</w:t>
      </w:r>
    </w:p>
    <w:p w:rsidR="00954447" w:rsidRPr="006A0331" w:rsidP="00954447" w14:paraId="646B47C8" w14:textId="77777777">
      <w:pPr>
        <w:pStyle w:val="CommentText"/>
        <w:rPr>
          <w:rFonts w:ascii="Times New Roman" w:hAnsi="Times New Roman" w:cs="Times New Roman"/>
          <w:sz w:val="24"/>
          <w:szCs w:val="24"/>
        </w:rPr>
      </w:pPr>
    </w:p>
    <w:p w:rsidR="00FD5310" w:rsidRPr="006A0331" w:rsidP="00FD5310" w14:paraId="4459B1A1" w14:textId="77777777">
      <w:pPr>
        <w:pStyle w:val="CommentText"/>
        <w:spacing w:after="0"/>
        <w:jc w:val="center"/>
        <w:rPr>
          <w:rFonts w:ascii="Times New Roman" w:hAnsi="Times New Roman" w:cs="Times New Roman"/>
          <w:b/>
          <w:sz w:val="24"/>
          <w:szCs w:val="24"/>
          <w:u w:val="single"/>
        </w:rPr>
      </w:pPr>
      <w:bookmarkStart w:id="6" w:name="_Hlk89680211"/>
      <w:r w:rsidRPr="006A0331">
        <w:rPr>
          <w:rFonts w:ascii="Times New Roman" w:hAnsi="Times New Roman" w:cs="Times New Roman"/>
          <w:b/>
          <w:sz w:val="24"/>
          <w:szCs w:val="24"/>
          <w:u w:val="single"/>
        </w:rPr>
        <w:t>SERVICE LIST</w:t>
      </w:r>
    </w:p>
    <w:p w:rsidR="00FD5310" w:rsidRPr="006A0331" w:rsidP="00FD5310" w14:paraId="40004B4C" w14:textId="77777777">
      <w:pPr>
        <w:pStyle w:val="CommentText"/>
        <w:spacing w:after="0"/>
        <w:jc w:val="center"/>
        <w:rPr>
          <w:rFonts w:ascii="Times New Roman" w:hAnsi="Times New Roman" w:cs="Times New Roman"/>
          <w:b/>
          <w:sz w:val="24"/>
          <w:szCs w:val="24"/>
          <w:u w:val="single"/>
        </w:rPr>
      </w:pPr>
    </w:p>
    <w:tbl>
      <w:tblPr>
        <w:tblStyle w:val="TableGrid"/>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050"/>
        <w:gridCol w:w="4770"/>
      </w:tblGrid>
      <w:tr w14:paraId="066E2F45" w14:textId="77777777" w:rsidTr="00262AC3">
        <w:tblPrEx>
          <w:tblW w:w="8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4050" w:type="dxa"/>
          </w:tcPr>
          <w:bookmarkStart w:id="7" w:name="_Hlk72755215"/>
          <w:bookmarkEnd w:id="6"/>
          <w:p w:rsidR="00167711" w:rsidRPr="00955679" w:rsidP="00262AC3" w14:paraId="2903C706" w14:textId="77777777">
            <w:pPr>
              <w:pStyle w:val="BodyText"/>
              <w:spacing w:after="0"/>
              <w:rPr>
                <w:color w:val="0000FF"/>
                <w:sz w:val="24"/>
                <w:szCs w:val="24"/>
              </w:rPr>
            </w:pPr>
            <w:hyperlink r:id="rId11" w:history="1">
              <w:r w:rsidRPr="00955679">
                <w:rPr>
                  <w:rStyle w:val="Hyperlink"/>
                  <w:color w:val="0000FF"/>
                  <w:sz w:val="24"/>
                  <w:szCs w:val="24"/>
                </w:rPr>
                <w:t>werner.margard@OhioAGO.gov</w:t>
              </w:r>
            </w:hyperlink>
          </w:p>
          <w:bookmarkStart w:id="8" w:name="_Hlk72755232"/>
          <w:bookmarkEnd w:id="7"/>
          <w:p w:rsidR="00167711" w:rsidRPr="00955679" w:rsidP="00262AC3" w14:paraId="10F6FCDC" w14:textId="77777777">
            <w:pPr>
              <w:pStyle w:val="BodyText"/>
              <w:spacing w:after="0"/>
              <w:rPr>
                <w:color w:val="0000FF"/>
                <w:sz w:val="24"/>
                <w:szCs w:val="24"/>
              </w:rPr>
            </w:pPr>
            <w:hyperlink r:id="rId12" w:history="1">
              <w:r w:rsidRPr="00955679">
                <w:rPr>
                  <w:rStyle w:val="Hyperlink"/>
                  <w:color w:val="0000FF"/>
                  <w:sz w:val="24"/>
                  <w:szCs w:val="24"/>
                </w:rPr>
                <w:t>kyle.kern@OhioAGO.gov</w:t>
              </w:r>
            </w:hyperlink>
            <w:bookmarkEnd w:id="8"/>
          </w:p>
          <w:p w:rsidR="00167711" w:rsidRPr="00EC64F9" w:rsidP="00262AC3" w14:paraId="6E4F48EE" w14:textId="77777777">
            <w:pPr>
              <w:pStyle w:val="BodyText"/>
              <w:rPr>
                <w:sz w:val="24"/>
                <w:szCs w:val="24"/>
              </w:rPr>
            </w:pPr>
          </w:p>
          <w:p w:rsidR="00167711" w:rsidRPr="00EC64F9" w:rsidP="00262AC3" w14:paraId="72ADB776" w14:textId="77777777">
            <w:pPr>
              <w:pStyle w:val="BodyText"/>
              <w:rPr>
                <w:sz w:val="24"/>
                <w:szCs w:val="24"/>
              </w:rPr>
            </w:pPr>
            <w:r w:rsidRPr="00EC64F9">
              <w:rPr>
                <w:sz w:val="24"/>
                <w:szCs w:val="24"/>
              </w:rPr>
              <w:t>Attorney Examiner:</w:t>
            </w:r>
          </w:p>
          <w:p w:rsidR="00167711" w:rsidRPr="00EC64F9" w:rsidP="00262AC3" w14:paraId="0D642461" w14:textId="77777777">
            <w:pPr>
              <w:pStyle w:val="BodyText"/>
              <w:spacing w:after="0"/>
              <w:rPr>
                <w:color w:val="0000FF"/>
                <w:sz w:val="24"/>
                <w:szCs w:val="24"/>
              </w:rPr>
            </w:pPr>
            <w:hyperlink r:id="rId13" w:history="1">
              <w:r w:rsidRPr="00EC64F9">
                <w:rPr>
                  <w:rStyle w:val="Hyperlink"/>
                  <w:color w:val="0000FF"/>
                  <w:sz w:val="24"/>
                  <w:szCs w:val="24"/>
                </w:rPr>
                <w:t>sarah.parrot@puco.ohio.gov</w:t>
              </w:r>
            </w:hyperlink>
          </w:p>
          <w:p w:rsidR="00167711" w:rsidRPr="00EC64F9" w:rsidP="00262AC3" w14:paraId="55D4501D" w14:textId="77777777">
            <w:pPr>
              <w:rPr>
                <w:color w:val="0000FF"/>
                <w:sz w:val="24"/>
                <w:szCs w:val="24"/>
              </w:rPr>
            </w:pPr>
            <w:hyperlink r:id="rId14" w:history="1">
              <w:r w:rsidRPr="00EC64F9">
                <w:rPr>
                  <w:color w:val="0000FF"/>
                  <w:sz w:val="24"/>
                  <w:szCs w:val="24"/>
                  <w:u w:val="single"/>
                </w:rPr>
                <w:t>Jacqueline.St.John@puco.ohio.gov</w:t>
              </w:r>
            </w:hyperlink>
          </w:p>
          <w:p w:rsidR="00167711" w:rsidRPr="00EC64F9" w:rsidP="00262AC3" w14:paraId="4D124F30" w14:textId="77777777">
            <w:pPr>
              <w:pStyle w:val="BodyText"/>
              <w:rPr>
                <w:sz w:val="24"/>
                <w:szCs w:val="24"/>
              </w:rPr>
            </w:pPr>
            <w:r w:rsidRPr="00EC64F9">
              <w:rPr>
                <w:sz w:val="24"/>
                <w:szCs w:val="24"/>
              </w:rPr>
              <w:t xml:space="preserve"> </w:t>
            </w:r>
          </w:p>
        </w:tc>
        <w:tc>
          <w:tcPr>
            <w:tcW w:w="4770" w:type="dxa"/>
          </w:tcPr>
          <w:p w:rsidR="00167711" w:rsidRPr="00EC64F9" w:rsidP="00262AC3" w14:paraId="5274B86E" w14:textId="77777777">
            <w:pPr>
              <w:autoSpaceDE w:val="0"/>
              <w:autoSpaceDN w:val="0"/>
              <w:adjustRightInd w:val="0"/>
              <w:ind w:left="431" w:firstLine="34"/>
              <w:rPr>
                <w:color w:val="0000FF"/>
                <w:sz w:val="24"/>
                <w:szCs w:val="24"/>
                <w:lang w:bidi="he-IL"/>
              </w:rPr>
            </w:pPr>
            <w:hyperlink r:id="rId15" w:history="1">
              <w:r w:rsidRPr="00EC64F9">
                <w:rPr>
                  <w:rStyle w:val="Hyperlink"/>
                  <w:color w:val="0000FF"/>
                  <w:sz w:val="24"/>
                  <w:szCs w:val="24"/>
                  <w:lang w:bidi="he-IL"/>
                </w:rPr>
                <w:t>kennedy@whitt-sturtevant.com</w:t>
              </w:r>
            </w:hyperlink>
          </w:p>
          <w:p w:rsidR="00167711" w:rsidRPr="00EC64F9" w:rsidP="00262AC3" w14:paraId="047D1A27" w14:textId="77777777">
            <w:pPr>
              <w:pStyle w:val="BodyText"/>
              <w:spacing w:after="0"/>
              <w:ind w:left="431" w:firstLine="34"/>
              <w:rPr>
                <w:color w:val="0000FF"/>
                <w:sz w:val="24"/>
                <w:szCs w:val="24"/>
                <w:lang w:bidi="he-IL"/>
              </w:rPr>
            </w:pPr>
            <w:r w:rsidRPr="00EC64F9">
              <w:rPr>
                <w:rStyle w:val="Hyperlink"/>
                <w:color w:val="0000FF"/>
                <w:sz w:val="24"/>
                <w:szCs w:val="24"/>
              </w:rPr>
              <w:t>whitt@whitt-sturtevant.com</w:t>
            </w:r>
          </w:p>
          <w:p w:rsidR="00167711" w:rsidRPr="00EC64F9" w:rsidP="00262AC3" w14:paraId="4E60FB2C" w14:textId="77777777">
            <w:pPr>
              <w:pStyle w:val="BodyText"/>
              <w:spacing w:after="0"/>
              <w:ind w:left="431" w:firstLine="34"/>
              <w:rPr>
                <w:rStyle w:val="Hyperlink"/>
                <w:color w:val="0000FF"/>
                <w:sz w:val="24"/>
                <w:szCs w:val="24"/>
              </w:rPr>
            </w:pPr>
            <w:hyperlink r:id="rId16" w:history="1">
              <w:r w:rsidRPr="00EC64F9">
                <w:rPr>
                  <w:rStyle w:val="Hyperlink"/>
                  <w:color w:val="0000FF"/>
                  <w:sz w:val="24"/>
                  <w:szCs w:val="24"/>
                </w:rPr>
                <w:t>andrew.j.campbell@dominionenergy.com</w:t>
              </w:r>
            </w:hyperlink>
          </w:p>
          <w:p w:rsidR="00167711" w:rsidRPr="00EC64F9" w:rsidP="00262AC3" w14:paraId="799098E1" w14:textId="77777777">
            <w:pPr>
              <w:pStyle w:val="BodyText"/>
              <w:spacing w:after="0"/>
              <w:ind w:left="431" w:firstLine="34"/>
              <w:rPr>
                <w:color w:val="0000FF"/>
                <w:sz w:val="24"/>
                <w:szCs w:val="24"/>
              </w:rPr>
            </w:pPr>
            <w:hyperlink r:id="rId17" w:history="1">
              <w:r w:rsidRPr="00EC64F9">
                <w:rPr>
                  <w:rStyle w:val="Hyperlink"/>
                  <w:color w:val="0000FF"/>
                  <w:sz w:val="24"/>
                  <w:szCs w:val="24"/>
                </w:rPr>
                <w:t>michael.nugent@igs.com</w:t>
              </w:r>
            </w:hyperlink>
          </w:p>
          <w:p w:rsidR="00167711" w:rsidRPr="00EC64F9" w:rsidP="00262AC3" w14:paraId="3B45DE09" w14:textId="77777777">
            <w:pPr>
              <w:pStyle w:val="BodyText"/>
              <w:spacing w:after="0"/>
              <w:ind w:left="465"/>
              <w:rPr>
                <w:color w:val="0000FF"/>
                <w:sz w:val="24"/>
                <w:szCs w:val="24"/>
              </w:rPr>
            </w:pPr>
            <w:hyperlink r:id="rId18" w:history="1">
              <w:r w:rsidRPr="00EC64F9">
                <w:rPr>
                  <w:rStyle w:val="Hyperlink"/>
                  <w:color w:val="0000FF"/>
                  <w:sz w:val="24"/>
                  <w:szCs w:val="24"/>
                </w:rPr>
                <w:t>bethany.allen@igs.com</w:t>
              </w:r>
            </w:hyperlink>
          </w:p>
          <w:p w:rsidR="00167711" w:rsidRPr="00EC64F9" w:rsidP="00262AC3" w14:paraId="0263C123" w14:textId="77777777">
            <w:pPr>
              <w:pStyle w:val="BodyText"/>
              <w:spacing w:after="0"/>
              <w:ind w:left="465"/>
              <w:rPr>
                <w:color w:val="0000FF"/>
                <w:sz w:val="24"/>
                <w:szCs w:val="24"/>
              </w:rPr>
            </w:pPr>
            <w:hyperlink r:id="rId19" w:history="1">
              <w:r w:rsidRPr="00EC64F9">
                <w:rPr>
                  <w:rStyle w:val="Hyperlink"/>
                  <w:color w:val="0000FF"/>
                  <w:sz w:val="24"/>
                  <w:szCs w:val="24"/>
                </w:rPr>
                <w:t>evan.betterton@igs.com</w:t>
              </w:r>
            </w:hyperlink>
          </w:p>
          <w:p w:rsidR="00167711" w:rsidRPr="005B6560" w:rsidP="00262AC3" w14:paraId="47F5023A" w14:textId="77777777">
            <w:pPr>
              <w:pStyle w:val="BodyText"/>
              <w:spacing w:after="0"/>
              <w:ind w:left="465"/>
              <w:rPr>
                <w:color w:val="0000FF"/>
                <w:sz w:val="24"/>
                <w:szCs w:val="24"/>
              </w:rPr>
            </w:pPr>
            <w:hyperlink r:id="rId20" w:history="1">
              <w:r w:rsidRPr="00EC64F9">
                <w:rPr>
                  <w:rStyle w:val="Hyperlink"/>
                  <w:color w:val="0000FF"/>
                  <w:sz w:val="24"/>
                  <w:szCs w:val="24"/>
                </w:rPr>
                <w:t>joe.oliker@igs.com</w:t>
              </w:r>
            </w:hyperlink>
          </w:p>
          <w:p w:rsidR="00167711" w:rsidRPr="00EC64F9" w:rsidP="00262AC3" w14:paraId="1D6352DA" w14:textId="77777777">
            <w:pPr>
              <w:pStyle w:val="BodyText"/>
              <w:ind w:left="707"/>
              <w:rPr>
                <w:sz w:val="24"/>
                <w:szCs w:val="24"/>
              </w:rPr>
            </w:pPr>
          </w:p>
        </w:tc>
      </w:tr>
    </w:tbl>
    <w:p w:rsidR="00FD5310" w:rsidRPr="006A0331" w:rsidP="00FD5310" w14:paraId="66558C55" w14:textId="77777777">
      <w:pPr>
        <w:pStyle w:val="CommentText"/>
        <w:spacing w:after="0"/>
        <w:jc w:val="center"/>
        <w:rPr>
          <w:rFonts w:ascii="Times New Roman" w:hAnsi="Times New Roman" w:cs="Times New Roman"/>
          <w:b/>
          <w:sz w:val="24"/>
          <w:szCs w:val="24"/>
          <w:u w:val="single"/>
        </w:rPr>
      </w:pPr>
    </w:p>
    <w:sectPr w:rsidSect="002A0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5DEA" w14:paraId="401079C6" w14:textId="6C4B1F32">
    <w:pPr>
      <w:pStyle w:val="Footer"/>
      <w:jc w:val="center"/>
    </w:pPr>
  </w:p>
  <w:p w:rsidR="00375DEA" w14:paraId="3BE2A05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855974"/>
      <w:docPartObj>
        <w:docPartGallery w:val="Page Numbers (Bottom of Page)"/>
        <w:docPartUnique/>
      </w:docPartObj>
    </w:sdtPr>
    <w:sdtEndPr>
      <w:rPr>
        <w:rFonts w:ascii="Times New Roman" w:hAnsi="Times New Roman" w:cs="Times New Roman"/>
        <w:noProof/>
        <w:sz w:val="24"/>
        <w:szCs w:val="24"/>
      </w:rPr>
    </w:sdtEndPr>
    <w:sdtContent>
      <w:p w:rsidR="005535FB" w:rsidRPr="005535FB" w14:paraId="03CDFF74" w14:textId="40E716E4">
        <w:pPr>
          <w:pStyle w:val="Footer"/>
          <w:jc w:val="center"/>
          <w:rPr>
            <w:rFonts w:ascii="Times New Roman" w:hAnsi="Times New Roman" w:cs="Times New Roman"/>
            <w:sz w:val="24"/>
            <w:szCs w:val="24"/>
          </w:rPr>
        </w:pPr>
        <w:r w:rsidRPr="005535FB">
          <w:rPr>
            <w:rFonts w:ascii="Times New Roman" w:hAnsi="Times New Roman" w:cs="Times New Roman"/>
            <w:sz w:val="24"/>
            <w:szCs w:val="24"/>
          </w:rPr>
          <w:fldChar w:fldCharType="begin"/>
        </w:r>
        <w:r w:rsidRPr="005535FB">
          <w:rPr>
            <w:rFonts w:ascii="Times New Roman" w:hAnsi="Times New Roman" w:cs="Times New Roman"/>
            <w:sz w:val="24"/>
            <w:szCs w:val="24"/>
          </w:rPr>
          <w:instrText xml:space="preserve"> PAGE   \* MERGEFORMAT </w:instrText>
        </w:r>
        <w:r w:rsidRPr="005535FB">
          <w:rPr>
            <w:rFonts w:ascii="Times New Roman" w:hAnsi="Times New Roman" w:cs="Times New Roman"/>
            <w:sz w:val="24"/>
            <w:szCs w:val="24"/>
          </w:rPr>
          <w:fldChar w:fldCharType="separate"/>
        </w:r>
        <w:r w:rsidRPr="005535FB">
          <w:rPr>
            <w:rFonts w:ascii="Times New Roman" w:hAnsi="Times New Roman" w:cs="Times New Roman"/>
            <w:noProof/>
            <w:sz w:val="24"/>
            <w:szCs w:val="24"/>
          </w:rPr>
          <w:t>2</w:t>
        </w:r>
        <w:r w:rsidRPr="005535FB">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66FAD" w:rsidRPr="00B32B7E" w:rsidP="00B32B7E" w14:paraId="001EEF98" w14:textId="77777777">
      <w:pPr>
        <w:pStyle w:val="Footer"/>
      </w:pPr>
      <w:r>
        <w:separator/>
      </w:r>
    </w:p>
  </w:footnote>
  <w:footnote w:type="continuationSeparator" w:id="1">
    <w:p w:rsidR="00766FAD" w:rsidRPr="00B32B7E" w:rsidP="00B32B7E" w14:paraId="7C47E74C" w14:textId="77777777">
      <w:pPr>
        <w:pStyle w:val="Footer"/>
      </w:pPr>
      <w:r>
        <w:continuationSeparator/>
      </w:r>
    </w:p>
  </w:footnote>
  <w:footnote w:type="continuationNotice" w:id="2">
    <w:p w:rsidR="00766FAD" w14:paraId="14F89078" w14:textId="77777777">
      <w:pPr>
        <w:spacing w:after="0" w:line="240" w:lineRule="auto"/>
      </w:pPr>
    </w:p>
  </w:footnote>
  <w:footnote w:id="3">
    <w:p w:rsidR="009B5A16" w:rsidP="00167711" w14:paraId="4A3F49F3" w14:textId="464EBFFA">
      <w:pPr>
        <w:pStyle w:val="FootnoteText"/>
        <w:widowControl w:val="0"/>
        <w:spacing w:after="120"/>
      </w:pPr>
      <w:r>
        <w:rPr>
          <w:rStyle w:val="FootnoteReference"/>
        </w:rPr>
        <w:footnoteRef/>
      </w:r>
      <w:r>
        <w:t xml:space="preserve"> </w:t>
      </w:r>
      <w:r w:rsidR="00CD3D6D">
        <w:t>Second Entry on Rehearing (July 27, 2022)</w:t>
      </w:r>
      <w:r w:rsidR="007307DB">
        <w:t>.</w:t>
      </w:r>
    </w:p>
  </w:footnote>
  <w:footnote w:id="4">
    <w:p w:rsidR="00797BC9" w:rsidRPr="00797BC9" w:rsidP="00167711" w14:paraId="2D59FD56" w14:textId="72604F81">
      <w:pPr>
        <w:pStyle w:val="FootnoteText"/>
        <w:spacing w:after="120"/>
      </w:pPr>
      <w:r>
        <w:rPr>
          <w:rStyle w:val="FootnoteReference"/>
        </w:rPr>
        <w:footnoteRef/>
      </w:r>
      <w:r>
        <w:t xml:space="preserve"> </w:t>
      </w:r>
      <w:r>
        <w:rPr>
          <w:i/>
          <w:iCs/>
        </w:rPr>
        <w:t xml:space="preserve">Id. </w:t>
      </w:r>
      <w:r>
        <w:t>at para. 28 (citations omitted).</w:t>
      </w:r>
    </w:p>
  </w:footnote>
  <w:footnote w:id="5">
    <w:p w:rsidR="004C165E" w:rsidP="00167711" w14:paraId="719733FC" w14:textId="58587045">
      <w:pPr>
        <w:pStyle w:val="FootnoteText"/>
        <w:spacing w:after="120"/>
      </w:pPr>
      <w:r>
        <w:rPr>
          <w:rStyle w:val="FootnoteReference"/>
        </w:rPr>
        <w:footnoteRef/>
      </w:r>
      <w:r>
        <w:t xml:space="preserve"> </w:t>
      </w:r>
      <w:r w:rsidRPr="004C165E">
        <w:rPr>
          <w:i/>
          <w:iCs/>
        </w:rPr>
        <w:t>See, e.g</w:t>
      </w:r>
      <w:r>
        <w:t xml:space="preserve">., Case No. 05-1194-EL-UNC, Finding and Order (December 14, 2005) at a paras. 7, 8 (“The Companies propose to include carrying charges on the net under recovery or net over recovery of TCRR revenues using each company’s weighted average cost of capital. The Companies propose that the rate of equity to be included in the calculation be the rate established in each company’s last rate case. The Commission disagrees. The Commission issued its decision in Columbus </w:t>
      </w:r>
      <w:r w:rsidR="000D1576">
        <w:t>Southern’s</w:t>
      </w:r>
      <w:r>
        <w:t xml:space="preserve"> last base rate case proceeding in May 1992, more than thirteen years ago. The Commission fins that the financial landscape has changed greatly since the early 1990s. We find it appropriate to use a more recent review of the cost of capital.”) (italics added); Case No. 10-155-EL-RDR, Entry on Rehearing (October 22, 2010) at para. 9; </w:t>
      </w:r>
      <w:r w:rsidRPr="00A46520">
        <w:rPr>
          <w:i/>
          <w:iCs/>
        </w:rPr>
        <w:t>see</w:t>
      </w:r>
      <w:r>
        <w:t xml:space="preserve"> </w:t>
      </w:r>
      <w:r w:rsidRPr="00A46520">
        <w:rPr>
          <w:i/>
          <w:iCs/>
        </w:rPr>
        <w:t>also</w:t>
      </w:r>
      <w:r>
        <w:t xml:space="preserve"> O.A.C. 4901:1-15-35, Appx. at (B)(7)</w:t>
      </w:r>
      <w:r w:rsidR="009F1C12">
        <w:t xml:space="preserve">; </w:t>
      </w:r>
      <w:r w:rsidR="009F1C12">
        <w:rPr>
          <w:i/>
          <w:iCs/>
        </w:rPr>
        <w:t xml:space="preserve">see also </w:t>
      </w:r>
      <w:r w:rsidR="009F1C12">
        <w:t>Case No. 81-146-ET-AIR, Opinion and Order (March 17, 1982) at para. 104 (“</w:t>
      </w:r>
      <w:r w:rsidRPr="0014095B" w:rsidR="009F1C12">
        <w:rPr>
          <w:rFonts w:cs="Times New Roman"/>
          <w:color w:val="212121"/>
          <w:shd w:val="clear" w:color="auto" w:fill="FFFFFF"/>
        </w:rPr>
        <w:t>It has always been the Commission's policy in determining the yield component of the return on common equity to use the most recent data available. We do not believe that the use of three year old yields, although weighted against more recent data, complies with our goal of determining a current cost of equity.</w:t>
      </w:r>
      <w:r w:rsidR="009F1C12">
        <w:rPr>
          <w:rFonts w:cs="Times New Roman"/>
          <w:color w:val="212121"/>
          <w:shd w:val="clear" w:color="auto" w:fill="FFFFFF"/>
        </w:rPr>
        <w:t>”</w:t>
      </w:r>
      <w:r w:rsidRPr="0014095B" w:rsidR="009F1C12">
        <w:rPr>
          <w:rFonts w:cs="Times New Roman"/>
          <w:color w:val="212121"/>
          <w:shd w:val="clear" w:color="auto" w:fill="FFFFFF"/>
        </w:rPr>
        <w:t>)</w:t>
      </w:r>
      <w:r w:rsidR="000D1576">
        <w:t>.</w:t>
      </w:r>
    </w:p>
  </w:footnote>
  <w:footnote w:id="6">
    <w:p w:rsidR="004667E0" w:rsidP="00167711" w14:paraId="0307B7AA" w14:textId="27F96DE4">
      <w:pPr>
        <w:pStyle w:val="FootnoteText"/>
        <w:spacing w:after="120"/>
      </w:pPr>
      <w:r>
        <w:rPr>
          <w:rStyle w:val="FootnoteReference"/>
        </w:rPr>
        <w:footnoteRef/>
      </w:r>
      <w:r>
        <w:t xml:space="preserve"> </w:t>
      </w:r>
      <w:r w:rsidRPr="004667E0">
        <w:t>R.C. 4903.09.</w:t>
      </w:r>
    </w:p>
  </w:footnote>
  <w:footnote w:id="7">
    <w:p w:rsidR="005C1525" w:rsidP="00167711" w14:paraId="26CEE387" w14:textId="7FED89ED">
      <w:pPr>
        <w:pStyle w:val="FootnoteText"/>
        <w:spacing w:after="120"/>
      </w:pPr>
      <w:r>
        <w:rPr>
          <w:rStyle w:val="FootnoteReference"/>
        </w:rPr>
        <w:footnoteRef/>
      </w:r>
      <w:r>
        <w:t xml:space="preserve"> Second Entry on Rehearing at para. 28.</w:t>
      </w:r>
    </w:p>
  </w:footnote>
  <w:footnote w:id="8">
    <w:p w:rsidR="00CA04D1" w:rsidRPr="00CA04D1" w:rsidP="00167711" w14:paraId="359D9BDB" w14:textId="0B2952FA">
      <w:pPr>
        <w:pStyle w:val="FootnoteText"/>
        <w:spacing w:after="120"/>
        <w:rPr>
          <w:i/>
          <w:iCs/>
        </w:rPr>
      </w:pPr>
      <w:r>
        <w:rPr>
          <w:rStyle w:val="FootnoteReference"/>
        </w:rPr>
        <w:footnoteRef/>
      </w:r>
      <w:r>
        <w:t xml:space="preserve"> </w:t>
      </w:r>
      <w:r>
        <w:rPr>
          <w:i/>
          <w:iCs/>
        </w:rPr>
        <w:t>Id.</w:t>
      </w:r>
    </w:p>
  </w:footnote>
  <w:footnote w:id="9">
    <w:p w:rsidR="00CA04D1" w:rsidP="00167711" w14:paraId="3977405C" w14:textId="6A7E312B">
      <w:pPr>
        <w:pStyle w:val="FootnoteText"/>
        <w:spacing w:after="120"/>
      </w:pPr>
      <w:r>
        <w:rPr>
          <w:rStyle w:val="FootnoteReference"/>
        </w:rPr>
        <w:footnoteRef/>
      </w:r>
      <w:r>
        <w:t xml:space="preserve"> </w:t>
      </w:r>
      <w:r w:rsidRPr="00CA04D1">
        <w:rPr>
          <w:i/>
          <w:iCs/>
        </w:rPr>
        <w:t>Cleveland Electric Illuminating Co. v. Pub Util. Comm.</w:t>
      </w:r>
      <w:r>
        <w:t xml:space="preserve">, 42 Ohio St.2d 403, 431 (1975), superseded on other grounds (by statute), as recognized in </w:t>
      </w:r>
      <w:r w:rsidRPr="00CA04D1">
        <w:rPr>
          <w:i/>
          <w:iCs/>
        </w:rPr>
        <w:t>Babbit v. Pub. Util. Comm</w:t>
      </w:r>
      <w:r>
        <w:t>., 59 Ohio St.2d 81, 89 (1979).</w:t>
      </w:r>
    </w:p>
  </w:footnote>
  <w:footnote w:id="10">
    <w:p w:rsidR="006F05B8" w:rsidP="00167711" w14:paraId="0AFAA73E" w14:textId="1FD2B126">
      <w:pPr>
        <w:pStyle w:val="FootnoteText"/>
        <w:spacing w:after="120"/>
      </w:pPr>
      <w:r w:rsidRPr="007C70D0">
        <w:rPr>
          <w:rStyle w:val="FootnoteReference"/>
        </w:rPr>
        <w:footnoteRef/>
      </w:r>
      <w:r w:rsidRPr="006F05B8">
        <w:rPr>
          <w:i/>
          <w:iCs/>
        </w:rPr>
        <w:t xml:space="preserve"> Ohio Consumers’ Counsel v. Pub. Util. Comm</w:t>
      </w:r>
      <w:r>
        <w:t>., 10 Ohio St.3d 49, 50-51 (1984).</w:t>
      </w:r>
    </w:p>
  </w:footnote>
  <w:footnote w:id="11">
    <w:p w:rsidR="006F05B8" w:rsidP="00167711" w14:paraId="6CB5CE7D" w14:textId="3CF34E0E">
      <w:pPr>
        <w:pStyle w:val="FootnoteText"/>
        <w:spacing w:after="120"/>
      </w:pPr>
      <w:r>
        <w:rPr>
          <w:rStyle w:val="FootnoteReference"/>
        </w:rPr>
        <w:footnoteRef/>
      </w:r>
      <w:r>
        <w:t xml:space="preserve"> </w:t>
      </w:r>
      <w:r w:rsidRPr="006F05B8">
        <w:rPr>
          <w:i/>
          <w:iCs/>
        </w:rPr>
        <w:t>In re Application of Columbus S. Power Co</w:t>
      </w:r>
      <w:r>
        <w:t>., 128 Ohio St.3d 512, 2011-Ohio-1788, 947 N.E.2d 655, ¶52.</w:t>
      </w:r>
    </w:p>
  </w:footnote>
  <w:footnote w:id="12">
    <w:p w:rsidR="003D4E6A" w:rsidP="00167711" w14:paraId="780EB906" w14:textId="0B095CD7">
      <w:pPr>
        <w:pStyle w:val="FootnoteText"/>
        <w:spacing w:after="120"/>
      </w:pPr>
      <w:r>
        <w:rPr>
          <w:rStyle w:val="FootnoteReference"/>
        </w:rPr>
        <w:footnoteRef/>
      </w:r>
      <w:r>
        <w:t xml:space="preserve"> Case No. 05-1194-EL-UNC.</w:t>
      </w:r>
    </w:p>
  </w:footnote>
  <w:footnote w:id="13">
    <w:p w:rsidR="003D4E6A" w:rsidRPr="003D4E6A" w:rsidP="00167711" w14:paraId="11133627" w14:textId="30F5F45B">
      <w:pPr>
        <w:pStyle w:val="FootnoteText"/>
        <w:spacing w:after="120"/>
      </w:pPr>
      <w:r>
        <w:rPr>
          <w:rStyle w:val="FootnoteReference"/>
        </w:rPr>
        <w:footnoteRef/>
      </w:r>
      <w:r>
        <w:t xml:space="preserve"> </w:t>
      </w:r>
      <w:r>
        <w:rPr>
          <w:i/>
          <w:iCs/>
        </w:rPr>
        <w:t xml:space="preserve">Id. </w:t>
      </w:r>
      <w:r>
        <w:t>at Finding and Order (December 14, 2005) at a paras. 7, 8.</w:t>
      </w:r>
    </w:p>
  </w:footnote>
  <w:footnote w:id="14">
    <w:p w:rsidR="00511C31" w:rsidP="00167711" w14:paraId="00D3D30A" w14:textId="53D7F369">
      <w:pPr>
        <w:pStyle w:val="FootnoteText"/>
        <w:spacing w:after="120"/>
      </w:pPr>
      <w:r>
        <w:rPr>
          <w:rStyle w:val="FootnoteReference"/>
        </w:rPr>
        <w:footnoteRef/>
      </w:r>
      <w:r>
        <w:t xml:space="preserve"> </w:t>
      </w:r>
      <w:r w:rsidRPr="00511C31">
        <w:rPr>
          <w:i/>
          <w:iCs/>
        </w:rPr>
        <w:t>In the Matter of the Application of Columbus Southern Power Company and Ohio Power Company to Establish Environmental Investment Carrying Cost Riders</w:t>
      </w:r>
      <w:r>
        <w:rPr>
          <w:i/>
          <w:iCs/>
        </w:rPr>
        <w:t xml:space="preserve">, </w:t>
      </w:r>
      <w:r>
        <w:t>Case No. 10-155-EL-RDR, Entry on Rehearing (October 22, 2010) at para. 9</w:t>
      </w:r>
      <w:r w:rsidR="005A4A93">
        <w:t xml:space="preserve">; </w:t>
      </w:r>
      <w:r w:rsidR="005A4A93">
        <w:rPr>
          <w:i/>
          <w:iCs/>
        </w:rPr>
        <w:t xml:space="preserve">see also In the Matter of the Application of Duke Energy Ohio, Inc. for Approval of an Alternative Rate Plan Pursuant to R.C. </w:t>
      </w:r>
      <w:r w:rsidR="00CC3EE7">
        <w:rPr>
          <w:i/>
          <w:iCs/>
        </w:rPr>
        <w:t xml:space="preserve">4929.05 for an Accelerated Service Line Replacement Program, </w:t>
      </w:r>
      <w:r w:rsidR="00CC3EE7">
        <w:t>Case No. 14-1622-GA-ALT, Opinion and Order (October 26, 2016) at para. 58 (“while this Commission has determined that R.C. 4929.05 does not require a full rate case determination of just and reasonable charges, the time period between the application for an alternative rate plan and the applicant's most recent base rate case may also be considered by the Commission to determine whether the plan is just and reasonable.”).</w:t>
      </w:r>
    </w:p>
  </w:footnote>
  <w:footnote w:id="15">
    <w:p w:rsidR="00DB137C" w:rsidP="00167711" w14:paraId="1085C219" w14:textId="3CA18173">
      <w:pPr>
        <w:pStyle w:val="FootnoteText"/>
        <w:spacing w:after="120"/>
      </w:pPr>
      <w:r>
        <w:rPr>
          <w:rStyle w:val="FootnoteReference"/>
        </w:rPr>
        <w:footnoteRef/>
      </w:r>
      <w:r>
        <w:t xml:space="preserve"> </w:t>
      </w:r>
      <w:r w:rsidRPr="00DB137C">
        <w:rPr>
          <w:rFonts w:cs="Times New Roman"/>
        </w:rPr>
        <w:t>O.A.C. 4901:1-15-35, Appx. at (B)(7).</w:t>
      </w:r>
    </w:p>
  </w:footnote>
  <w:footnote w:id="16">
    <w:p w:rsidR="00572515" w:rsidP="00167711" w14:paraId="5C8E223C" w14:textId="3E10A154">
      <w:pPr>
        <w:pStyle w:val="FootnoteText"/>
        <w:spacing w:after="120"/>
      </w:pPr>
      <w:r>
        <w:rPr>
          <w:rStyle w:val="FootnoteReference"/>
        </w:rPr>
        <w:footnoteRef/>
      </w:r>
      <w:r>
        <w:t xml:space="preserve"> </w:t>
      </w:r>
      <w:r>
        <w:rPr>
          <w:i/>
          <w:iCs/>
        </w:rPr>
        <w:t xml:space="preserve">In the Matter of the Application of The Cleveland Electric Illuminating Company for Authority to Increase </w:t>
      </w:r>
      <w:r w:rsidR="005A4A93">
        <w:rPr>
          <w:i/>
          <w:iCs/>
        </w:rPr>
        <w:t xml:space="preserve">its Filed Schedules Fixing Rates and Charges for Electric Service, </w:t>
      </w:r>
      <w:r>
        <w:t>Case No. 81-146-ET-AIR, Opinion and Order (March 17, 1982) at para. 104</w:t>
      </w:r>
      <w:r w:rsidR="00A46520">
        <w:t>.</w:t>
      </w:r>
    </w:p>
  </w:footnote>
  <w:footnote w:id="17">
    <w:p w:rsidR="00142A17" w:rsidP="00167711" w14:paraId="578C199B" w14:textId="5425A92B">
      <w:pPr>
        <w:pStyle w:val="FootnoteText"/>
        <w:spacing w:after="120"/>
      </w:pPr>
      <w:r>
        <w:rPr>
          <w:rStyle w:val="FootnoteReference"/>
        </w:rPr>
        <w:footnoteRef/>
      </w:r>
      <w:r w:rsidR="005535FB">
        <w:t xml:space="preserve"> </w:t>
      </w:r>
      <w:r w:rsidR="00CA0BF3">
        <w:rPr>
          <w:i/>
          <w:iCs/>
        </w:rPr>
        <w:t xml:space="preserve">See </w:t>
      </w:r>
      <w:r w:rsidRPr="005A1581" w:rsidR="0053379B">
        <w:rPr>
          <w:rFonts w:cs="Times New Roman"/>
          <w:i/>
          <w:iCs/>
        </w:rPr>
        <w:t>In re the Application of The East Ohio Gas Company DBA Dominion Energy Ohio</w:t>
      </w:r>
      <w:r w:rsidR="0053379B">
        <w:rPr>
          <w:rFonts w:cs="Times New Roman"/>
          <w:i/>
          <w:iCs/>
        </w:rPr>
        <w:t>,</w:t>
      </w:r>
      <w:r w:rsidRPr="00485F7F" w:rsidR="0053379B">
        <w:rPr>
          <w:rFonts w:cs="Times New Roman"/>
        </w:rPr>
        <w:t xml:space="preserve"> </w:t>
      </w:r>
      <w:r w:rsidRPr="00485F7F" w:rsidR="00485F7F">
        <w:rPr>
          <w:rFonts w:cs="Times New Roman"/>
        </w:rPr>
        <w:t>Case No. 19-468-GA-ALT, Opinion and Order (December 30, 2020)</w:t>
      </w:r>
      <w:r w:rsidR="00CA0BF3">
        <w:rPr>
          <w:rFonts w:cs="Times New Roman"/>
        </w:rPr>
        <w:t xml:space="preserve"> (neither followed precedent for revisiting rates three years old, finding that doing so was in error, or explaining departure from precedent)</w:t>
      </w:r>
      <w:r w:rsidRPr="00485F7F" w:rsidR="00485F7F">
        <w:rPr>
          <w:rFonts w:cs="Times New Roman"/>
        </w:rPr>
        <w:t xml:space="preserve">; </w:t>
      </w:r>
      <w:r w:rsidRPr="00485F7F" w:rsidR="00485F7F">
        <w:rPr>
          <w:rFonts w:cs="Times New Roman"/>
          <w:i/>
          <w:iCs/>
        </w:rPr>
        <w:t xml:space="preserve">In re the Application of Duke Energy Ohio, </w:t>
      </w:r>
      <w:r w:rsidRPr="005A1581" w:rsidR="00485F7F">
        <w:rPr>
          <w:rFonts w:cs="Times New Roman"/>
          <w:i/>
          <w:iCs/>
        </w:rPr>
        <w:t xml:space="preserve">Inc. for Approval of an Alternative Form of </w:t>
      </w:r>
      <w:r w:rsidRPr="005A1581" w:rsidR="00485F7F">
        <w:rPr>
          <w:rFonts w:cs="Times New Roman"/>
        </w:rPr>
        <w:t>Regulation</w:t>
      </w:r>
      <w:r w:rsidRPr="00485F7F" w:rsidR="00485F7F">
        <w:rPr>
          <w:rFonts w:cs="Times New Roman"/>
        </w:rPr>
        <w:t>, Case No. 19-791-GA-ALT, Opinion and Order (April 21, 2021)</w:t>
      </w:r>
      <w:r w:rsidR="00CA0BF3">
        <w:rPr>
          <w:rFonts w:cs="Times New Roman"/>
        </w:rPr>
        <w:t xml:space="preserve"> (same)</w:t>
      </w:r>
      <w:r w:rsidRPr="00485F7F" w:rsidR="00485F7F">
        <w:rPr>
          <w:rFonts w:cs="Times New Roman"/>
        </w:rPr>
        <w:t xml:space="preserve">; </w:t>
      </w:r>
      <w:r w:rsidRPr="005A1581" w:rsidR="00485F7F">
        <w:rPr>
          <w:rFonts w:cs="Times New Roman"/>
          <w:i/>
          <w:iCs/>
        </w:rPr>
        <w:t>In re the Application of The East Ohio Gas Company DBA Dominion Energy Ohio,</w:t>
      </w:r>
      <w:r w:rsidRPr="005A1581" w:rsidR="00485F7F">
        <w:rPr>
          <w:rFonts w:cs="Times New Roman"/>
        </w:rPr>
        <w:t xml:space="preserve"> Case No. 20-1634-GA-ALT, Opinion and Order (April 20, 2022</w:t>
      </w:r>
      <w:r w:rsidR="00CA0BF3">
        <w:rPr>
          <w:rFonts w:cs="Times New Roman"/>
        </w:rPr>
        <w:t xml:space="preserve"> (same)</w:t>
      </w:r>
      <w:r w:rsidRPr="005A1581" w:rsidR="00485F7F">
        <w:rPr>
          <w:rFonts w:cs="Times New Roman"/>
        </w:rPr>
        <w:t xml:space="preserve">); </w:t>
      </w:r>
      <w:r w:rsidRPr="005A1581" w:rsidR="00485F7F">
        <w:rPr>
          <w:rFonts w:cs="Times New Roman"/>
          <w:i/>
          <w:iCs/>
        </w:rPr>
        <w:t xml:space="preserve">In re </w:t>
      </w:r>
      <w:r w:rsidRPr="005A1581" w:rsidR="00485F7F">
        <w:rPr>
          <w:rFonts w:cs="Times New Roman"/>
          <w:i/>
          <w:iCs/>
          <w:color w:val="232323"/>
        </w:rPr>
        <w:t>Duke Energy Ohio Inc.’s Application to Adjust its Capital Expenditure Program Rider</w:t>
      </w:r>
      <w:r w:rsidRPr="005A1581" w:rsidR="00485F7F">
        <w:rPr>
          <w:rFonts w:cs="Times New Roman"/>
          <w:color w:val="232323"/>
        </w:rPr>
        <w:t>, Case No. 21-618-GA-RDR, Opinion and Order (July 27, 2022)</w:t>
      </w:r>
      <w:r w:rsidR="00CA0BF3">
        <w:rPr>
          <w:rFonts w:cs="Times New Roman"/>
          <w:color w:val="232323"/>
        </w:rPr>
        <w:t xml:space="preserve"> (same)</w:t>
      </w:r>
      <w:r w:rsidRPr="005A1581" w:rsidR="00485F7F">
        <w:rPr>
          <w:rFonts w:cs="Times New Roman"/>
          <w:color w:val="232323"/>
        </w:rPr>
        <w:t>; and</w:t>
      </w:r>
      <w:r w:rsidRPr="00485F7F" w:rsidR="00485F7F">
        <w:rPr>
          <w:rFonts w:cs="Times New Roman"/>
        </w:rPr>
        <w:t xml:space="preserve"> </w:t>
      </w:r>
      <w:r w:rsidRPr="00485F7F" w:rsidR="00485F7F">
        <w:rPr>
          <w:rFonts w:cs="Times New Roman"/>
          <w:i/>
          <w:iCs/>
        </w:rPr>
        <w:t xml:space="preserve">In re the Application of The East Ohio Gas Company </w:t>
      </w:r>
      <w:r w:rsidRPr="005A1581" w:rsidR="00485F7F">
        <w:rPr>
          <w:rFonts w:cs="Times New Roman"/>
          <w:i/>
          <w:iCs/>
        </w:rPr>
        <w:t>DBA Dominion Energy Ohio,</w:t>
      </w:r>
      <w:r w:rsidRPr="005A1581" w:rsidR="00485F7F">
        <w:rPr>
          <w:rFonts w:cs="Times New Roman"/>
        </w:rPr>
        <w:t xml:space="preserve"> Case No. 21-619-GA-RDR, Opinion and Order (February 23, 2022)</w:t>
      </w:r>
      <w:r w:rsidR="00CA0BF3">
        <w:rPr>
          <w:rFonts w:cs="Times New Roman"/>
        </w:rPr>
        <w:t xml:space="preserve"> (same)</w:t>
      </w:r>
      <w:r w:rsidRPr="005A1581" w:rsidR="00485F7F">
        <w:rPr>
          <w:rFonts w:cs="Times New Roman"/>
        </w:rPr>
        <w:t>.</w:t>
      </w:r>
    </w:p>
  </w:footnote>
  <w:footnote w:id="18">
    <w:p w:rsidR="00B84CA5" w:rsidRPr="00CC3EE7" w:rsidP="00167711" w14:paraId="1832034F" w14:textId="1F90EC35">
      <w:pPr>
        <w:pStyle w:val="FootnoteText"/>
        <w:spacing w:after="120"/>
        <w:rPr>
          <w:i/>
          <w:iCs/>
        </w:rPr>
      </w:pPr>
      <w:r>
        <w:rPr>
          <w:rStyle w:val="FootnoteReference"/>
        </w:rPr>
        <w:footnoteRef/>
      </w:r>
      <w:r>
        <w:t xml:space="preserve"> </w:t>
      </w:r>
      <w:r w:rsidRPr="00485F7F" w:rsidR="0053379B">
        <w:rPr>
          <w:rFonts w:cs="Times New Roman"/>
        </w:rPr>
        <w:t>Case No. 19-468-GA-ALT</w:t>
      </w:r>
      <w:r w:rsidR="0053379B">
        <w:rPr>
          <w:rFonts w:cs="Times New Roman"/>
        </w:rPr>
        <w:t>.</w:t>
      </w:r>
    </w:p>
  </w:footnote>
  <w:footnote w:id="19">
    <w:p w:rsidR="00801376" w:rsidP="00167711" w14:paraId="57C5FA56" w14:textId="53B049AE">
      <w:pPr>
        <w:pStyle w:val="FootnoteText"/>
        <w:spacing w:after="120"/>
      </w:pPr>
      <w:r>
        <w:rPr>
          <w:rStyle w:val="FootnoteReference"/>
        </w:rPr>
        <w:footnoteRef/>
      </w:r>
      <w:r>
        <w:t xml:space="preserve"> </w:t>
      </w:r>
      <w:r w:rsidRPr="00B829AC" w:rsidR="00B829AC">
        <w:rPr>
          <w:i/>
          <w:iCs/>
        </w:rPr>
        <w:t>Ohio Consumers’ Counsel v. Pub. Util. Comm</w:t>
      </w:r>
      <w:r w:rsidRPr="00B829AC" w:rsidR="00B829AC">
        <w:t>., 121 Ohio St.3d 362, 372 (2009) (Pfeifer, J. dissenting).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A046C" w14:paraId="1B783A1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CF14E00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0B24077F"/>
    <w:multiLevelType w:val="hybridMultilevel"/>
    <w:tmpl w:val="F3C8F40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62D6FCC"/>
    <w:multiLevelType w:val="hybridMultilevel"/>
    <w:tmpl w:val="44167AE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A26557C"/>
    <w:multiLevelType w:val="hybridMultilevel"/>
    <w:tmpl w:val="2A20973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B891088"/>
    <w:multiLevelType w:val="hybridMultilevel"/>
    <w:tmpl w:val="F946B56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0133298"/>
    <w:multiLevelType w:val="hybridMultilevel"/>
    <w:tmpl w:val="59E627D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1F90E3F"/>
    <w:multiLevelType w:val="hybridMultilevel"/>
    <w:tmpl w:val="C1486028"/>
    <w:lvl w:ilvl="0">
      <w:start w:val="1"/>
      <w:numFmt w:val="bullet"/>
      <w:lvlText w:val="-"/>
      <w:lvlJc w:val="left"/>
      <w:pPr>
        <w:ind w:left="1800" w:hanging="360"/>
      </w:pPr>
      <w:rPr>
        <w:rFonts w:ascii="Times New Roman" w:hAnsi="Times New Roman" w:eastAsiaTheme="minorHAns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7">
    <w:nsid w:val="228F0AAC"/>
    <w:multiLevelType w:val="hybridMultilevel"/>
    <w:tmpl w:val="CCE64A92"/>
    <w:lvl w:ilvl="0">
      <w:start w:val="1"/>
      <w:numFmt w:val="upperLetter"/>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5BF16D5"/>
    <w:multiLevelType w:val="hybridMultilevel"/>
    <w:tmpl w:val="608C3890"/>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cs="Wingdings" w:hint="default"/>
      </w:rPr>
    </w:lvl>
    <w:lvl w:ilvl="3" w:tentative="1">
      <w:start w:val="1"/>
      <w:numFmt w:val="bullet"/>
      <w:lvlText w:val=""/>
      <w:lvlJc w:val="left"/>
      <w:pPr>
        <w:ind w:left="3240" w:hanging="360"/>
      </w:pPr>
      <w:rPr>
        <w:rFonts w:ascii="Symbol" w:hAnsi="Symbol" w:cs="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cs="Wingdings" w:hint="default"/>
      </w:rPr>
    </w:lvl>
    <w:lvl w:ilvl="6" w:tentative="1">
      <w:start w:val="1"/>
      <w:numFmt w:val="bullet"/>
      <w:lvlText w:val=""/>
      <w:lvlJc w:val="left"/>
      <w:pPr>
        <w:ind w:left="5400" w:hanging="360"/>
      </w:pPr>
      <w:rPr>
        <w:rFonts w:ascii="Symbol" w:hAnsi="Symbol" w:cs="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cs="Wingdings" w:hint="default"/>
      </w:rPr>
    </w:lvl>
  </w:abstractNum>
  <w:abstractNum w:abstractNumId="9">
    <w:nsid w:val="37A9197F"/>
    <w:multiLevelType w:val="hybridMultilevel"/>
    <w:tmpl w:val="30AEDC1C"/>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0442AAC"/>
    <w:multiLevelType w:val="hybridMultilevel"/>
    <w:tmpl w:val="5CD02B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318237C"/>
    <w:multiLevelType w:val="hybridMultilevel"/>
    <w:tmpl w:val="02EC964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2">
    <w:nsid w:val="58D948EC"/>
    <w:multiLevelType w:val="hybridMultilevel"/>
    <w:tmpl w:val="8834DCC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3">
    <w:nsid w:val="5CAB515C"/>
    <w:multiLevelType w:val="hybridMultilevel"/>
    <w:tmpl w:val="A88EE32E"/>
    <w:lvl w:ilvl="0">
      <w:start w:val="1"/>
      <w:numFmt w:val="upperRoman"/>
      <w:lvlText w:val="%1."/>
      <w:lvlJc w:val="left"/>
      <w:pPr>
        <w:ind w:left="351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E7030CF"/>
    <w:multiLevelType w:val="hybridMultilevel"/>
    <w:tmpl w:val="CA9421E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6604528"/>
    <w:multiLevelType w:val="hybridMultilevel"/>
    <w:tmpl w:val="3B0CA9C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67F6470"/>
    <w:multiLevelType w:val="hybridMultilevel"/>
    <w:tmpl w:val="9F46A916"/>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9505F3C"/>
    <w:multiLevelType w:val="hybridMultilevel"/>
    <w:tmpl w:val="0814619C"/>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B1F4A93"/>
    <w:multiLevelType w:val="hybridMultilevel"/>
    <w:tmpl w:val="5FD61D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70B05F91"/>
    <w:multiLevelType w:val="hybridMultilevel"/>
    <w:tmpl w:val="39B2CED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76F3CAA"/>
    <w:multiLevelType w:val="hybridMultilevel"/>
    <w:tmpl w:val="406246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A2F2D71"/>
    <w:multiLevelType w:val="hybridMultilevel"/>
    <w:tmpl w:val="47061B8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3"/>
  </w:num>
  <w:num w:numId="2">
    <w:abstractNumId w:val="12"/>
  </w:num>
  <w:num w:numId="3">
    <w:abstractNumId w:val="0"/>
  </w:num>
  <w:num w:numId="4">
    <w:abstractNumId w:val="0"/>
    <w:lvlOverride w:ilvl="0">
      <w:startOverride w:val="1"/>
    </w:lvlOverride>
  </w:num>
  <w:num w:numId="5">
    <w:abstractNumId w:val="0"/>
    <w:lvlOverride w:ilvl="0">
      <w:startOverride w:val="1"/>
    </w:lvlOverride>
  </w:num>
  <w:num w:numId="6">
    <w:abstractNumId w:val="21"/>
  </w:num>
  <w:num w:numId="7">
    <w:abstractNumId w:val="2"/>
  </w:num>
  <w:num w:numId="8">
    <w:abstractNumId w:val="5"/>
  </w:num>
  <w:num w:numId="9">
    <w:abstractNumId w:val="10"/>
  </w:num>
  <w:num w:numId="10">
    <w:abstractNumId w:val="18"/>
  </w:num>
  <w:num w:numId="11">
    <w:abstractNumId w:val="4"/>
  </w:num>
  <w:num w:numId="12">
    <w:abstractNumId w:val="13"/>
  </w:num>
  <w:num w:numId="13">
    <w:abstractNumId w:val="13"/>
  </w:num>
  <w:num w:numId="14">
    <w:abstractNumId w:val="14"/>
  </w:num>
  <w:num w:numId="15">
    <w:abstractNumId w:val="13"/>
  </w:num>
  <w:num w:numId="16">
    <w:abstractNumId w:val="13"/>
  </w:num>
  <w:num w:numId="17">
    <w:abstractNumId w:val="6"/>
  </w:num>
  <w:num w:numId="18">
    <w:abstractNumId w:val="17"/>
  </w:num>
  <w:num w:numId="19">
    <w:abstractNumId w:val="12"/>
  </w:num>
  <w:num w:numId="20">
    <w:abstractNumId w:val="12"/>
  </w:num>
  <w:num w:numId="21">
    <w:abstractNumId w:val="12"/>
  </w:num>
  <w:num w:numId="22">
    <w:abstractNumId w:val="12"/>
  </w:num>
  <w:num w:numId="23">
    <w:abstractNumId w:val="9"/>
  </w:num>
  <w:num w:numId="24">
    <w:abstractNumId w:val="13"/>
  </w:num>
  <w:num w:numId="25">
    <w:abstractNumId w:val="12"/>
  </w:num>
  <w:num w:numId="26">
    <w:abstractNumId w:val="11"/>
  </w:num>
  <w:num w:numId="27">
    <w:abstractNumId w:val="13"/>
  </w:num>
  <w:num w:numId="28">
    <w:abstractNumId w:val="13"/>
  </w:num>
  <w:num w:numId="29">
    <w:abstractNumId w:val="13"/>
  </w:num>
  <w:num w:numId="30">
    <w:abstractNumId w:val="15"/>
  </w:num>
  <w:num w:numId="31">
    <w:abstractNumId w:val="19"/>
  </w:num>
  <w:num w:numId="32">
    <w:abstractNumId w:val="13"/>
  </w:num>
  <w:num w:numId="33">
    <w:abstractNumId w:val="1"/>
  </w:num>
  <w:num w:numId="34">
    <w:abstractNumId w:val="8"/>
  </w:num>
  <w:num w:numId="35">
    <w:abstractNumId w:val="0"/>
    <w:lvlOverride w:ilvl="0">
      <w:startOverride w:val="1"/>
    </w:lvlOverride>
  </w:num>
  <w:num w:numId="36">
    <w:abstractNumId w:val="0"/>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8F"/>
    <w:rsid w:val="0000224D"/>
    <w:rsid w:val="00003382"/>
    <w:rsid w:val="00003A6E"/>
    <w:rsid w:val="0001597C"/>
    <w:rsid w:val="000202A0"/>
    <w:rsid w:val="00024B4B"/>
    <w:rsid w:val="00030205"/>
    <w:rsid w:val="00030E37"/>
    <w:rsid w:val="00033D2A"/>
    <w:rsid w:val="00035F75"/>
    <w:rsid w:val="000373BB"/>
    <w:rsid w:val="00037D3C"/>
    <w:rsid w:val="00037D47"/>
    <w:rsid w:val="000404DE"/>
    <w:rsid w:val="00045734"/>
    <w:rsid w:val="00050B87"/>
    <w:rsid w:val="00051420"/>
    <w:rsid w:val="0005286A"/>
    <w:rsid w:val="00053781"/>
    <w:rsid w:val="000605B2"/>
    <w:rsid w:val="00060C07"/>
    <w:rsid w:val="00060D4E"/>
    <w:rsid w:val="00061F69"/>
    <w:rsid w:val="00062C1C"/>
    <w:rsid w:val="00064A76"/>
    <w:rsid w:val="00073318"/>
    <w:rsid w:val="000739CD"/>
    <w:rsid w:val="00075EBA"/>
    <w:rsid w:val="00080E58"/>
    <w:rsid w:val="00081FBA"/>
    <w:rsid w:val="00087E80"/>
    <w:rsid w:val="00092CC5"/>
    <w:rsid w:val="00094330"/>
    <w:rsid w:val="000A4DA2"/>
    <w:rsid w:val="000A6B46"/>
    <w:rsid w:val="000A6CAB"/>
    <w:rsid w:val="000A6F51"/>
    <w:rsid w:val="000A76B6"/>
    <w:rsid w:val="000B0F09"/>
    <w:rsid w:val="000C43F6"/>
    <w:rsid w:val="000C5917"/>
    <w:rsid w:val="000C5C25"/>
    <w:rsid w:val="000D1576"/>
    <w:rsid w:val="000D2871"/>
    <w:rsid w:val="000D2DB4"/>
    <w:rsid w:val="000D531E"/>
    <w:rsid w:val="000D63DF"/>
    <w:rsid w:val="000E48AE"/>
    <w:rsid w:val="000E7D3E"/>
    <w:rsid w:val="000F2856"/>
    <w:rsid w:val="000F73BA"/>
    <w:rsid w:val="00104401"/>
    <w:rsid w:val="00120147"/>
    <w:rsid w:val="00120FB5"/>
    <w:rsid w:val="001258E8"/>
    <w:rsid w:val="00126ABB"/>
    <w:rsid w:val="00133EF9"/>
    <w:rsid w:val="0014095B"/>
    <w:rsid w:val="00141BD6"/>
    <w:rsid w:val="00142A17"/>
    <w:rsid w:val="00144814"/>
    <w:rsid w:val="001458FF"/>
    <w:rsid w:val="00147A90"/>
    <w:rsid w:val="00151937"/>
    <w:rsid w:val="00152A74"/>
    <w:rsid w:val="0015444F"/>
    <w:rsid w:val="00154D35"/>
    <w:rsid w:val="00161424"/>
    <w:rsid w:val="00167711"/>
    <w:rsid w:val="00174FD5"/>
    <w:rsid w:val="0017656C"/>
    <w:rsid w:val="00177C12"/>
    <w:rsid w:val="001802E9"/>
    <w:rsid w:val="00182457"/>
    <w:rsid w:val="00186CB5"/>
    <w:rsid w:val="001921EE"/>
    <w:rsid w:val="00193A65"/>
    <w:rsid w:val="00195C32"/>
    <w:rsid w:val="00197E6E"/>
    <w:rsid w:val="001A5A4A"/>
    <w:rsid w:val="001B71B7"/>
    <w:rsid w:val="001C0CE2"/>
    <w:rsid w:val="001C25DD"/>
    <w:rsid w:val="001C7E06"/>
    <w:rsid w:val="001D2205"/>
    <w:rsid w:val="001D57D5"/>
    <w:rsid w:val="001E1932"/>
    <w:rsid w:val="001E2D93"/>
    <w:rsid w:val="001E4C9A"/>
    <w:rsid w:val="001F17C8"/>
    <w:rsid w:val="001F2033"/>
    <w:rsid w:val="001F4B10"/>
    <w:rsid w:val="001F6B49"/>
    <w:rsid w:val="0020599E"/>
    <w:rsid w:val="00205C1D"/>
    <w:rsid w:val="00206857"/>
    <w:rsid w:val="002070B4"/>
    <w:rsid w:val="0021078E"/>
    <w:rsid w:val="00214E0C"/>
    <w:rsid w:val="00225214"/>
    <w:rsid w:val="00233023"/>
    <w:rsid w:val="0023728D"/>
    <w:rsid w:val="00244209"/>
    <w:rsid w:val="00244C5E"/>
    <w:rsid w:val="00246318"/>
    <w:rsid w:val="00247431"/>
    <w:rsid w:val="002552CD"/>
    <w:rsid w:val="002571AE"/>
    <w:rsid w:val="00262AC3"/>
    <w:rsid w:val="00262F26"/>
    <w:rsid w:val="00262F47"/>
    <w:rsid w:val="00266DCF"/>
    <w:rsid w:val="00267587"/>
    <w:rsid w:val="002677A9"/>
    <w:rsid w:val="00270D5D"/>
    <w:rsid w:val="00274D3B"/>
    <w:rsid w:val="0027560B"/>
    <w:rsid w:val="00290D6C"/>
    <w:rsid w:val="00293E41"/>
    <w:rsid w:val="002A01FC"/>
    <w:rsid w:val="002A046C"/>
    <w:rsid w:val="002A6933"/>
    <w:rsid w:val="002B0278"/>
    <w:rsid w:val="002B11DE"/>
    <w:rsid w:val="002B21E6"/>
    <w:rsid w:val="002B6E51"/>
    <w:rsid w:val="002C0344"/>
    <w:rsid w:val="002C1871"/>
    <w:rsid w:val="002C4209"/>
    <w:rsid w:val="002C45BB"/>
    <w:rsid w:val="002C4B2E"/>
    <w:rsid w:val="002D4B35"/>
    <w:rsid w:val="002D4C63"/>
    <w:rsid w:val="002E2564"/>
    <w:rsid w:val="002E277F"/>
    <w:rsid w:val="002E3822"/>
    <w:rsid w:val="002E5502"/>
    <w:rsid w:val="002E7088"/>
    <w:rsid w:val="002F210E"/>
    <w:rsid w:val="002F5B5B"/>
    <w:rsid w:val="002F5C81"/>
    <w:rsid w:val="002F77D2"/>
    <w:rsid w:val="00302DF2"/>
    <w:rsid w:val="003040BD"/>
    <w:rsid w:val="00310581"/>
    <w:rsid w:val="00312ABA"/>
    <w:rsid w:val="00315C87"/>
    <w:rsid w:val="00321E47"/>
    <w:rsid w:val="003235AC"/>
    <w:rsid w:val="00327FF2"/>
    <w:rsid w:val="00331BE8"/>
    <w:rsid w:val="00334C84"/>
    <w:rsid w:val="00346E6C"/>
    <w:rsid w:val="00347834"/>
    <w:rsid w:val="00347A74"/>
    <w:rsid w:val="003503CC"/>
    <w:rsid w:val="003524E1"/>
    <w:rsid w:val="00354CB1"/>
    <w:rsid w:val="003554C4"/>
    <w:rsid w:val="00357E2A"/>
    <w:rsid w:val="00364CF1"/>
    <w:rsid w:val="00375DEA"/>
    <w:rsid w:val="00381B68"/>
    <w:rsid w:val="00383BC2"/>
    <w:rsid w:val="00383FE2"/>
    <w:rsid w:val="0038632E"/>
    <w:rsid w:val="00387143"/>
    <w:rsid w:val="003902EC"/>
    <w:rsid w:val="00391F0E"/>
    <w:rsid w:val="003A5E01"/>
    <w:rsid w:val="003A7CEB"/>
    <w:rsid w:val="003B178A"/>
    <w:rsid w:val="003B38D8"/>
    <w:rsid w:val="003C0BC9"/>
    <w:rsid w:val="003C1E55"/>
    <w:rsid w:val="003C22CB"/>
    <w:rsid w:val="003C312E"/>
    <w:rsid w:val="003C44FC"/>
    <w:rsid w:val="003C4F75"/>
    <w:rsid w:val="003D103B"/>
    <w:rsid w:val="003D3D8D"/>
    <w:rsid w:val="003D4E6A"/>
    <w:rsid w:val="003D4FBD"/>
    <w:rsid w:val="003E2553"/>
    <w:rsid w:val="003E28B1"/>
    <w:rsid w:val="003E4C1A"/>
    <w:rsid w:val="003E6576"/>
    <w:rsid w:val="003E760B"/>
    <w:rsid w:val="003E7971"/>
    <w:rsid w:val="003F14C3"/>
    <w:rsid w:val="003F440A"/>
    <w:rsid w:val="003F474A"/>
    <w:rsid w:val="003F5C5D"/>
    <w:rsid w:val="00401E4F"/>
    <w:rsid w:val="0040480E"/>
    <w:rsid w:val="0040593E"/>
    <w:rsid w:val="00407811"/>
    <w:rsid w:val="00407943"/>
    <w:rsid w:val="00412B54"/>
    <w:rsid w:val="004133EE"/>
    <w:rsid w:val="0042093B"/>
    <w:rsid w:val="004242CB"/>
    <w:rsid w:val="00432523"/>
    <w:rsid w:val="004353CA"/>
    <w:rsid w:val="00441F01"/>
    <w:rsid w:val="004448B2"/>
    <w:rsid w:val="00453A2C"/>
    <w:rsid w:val="00454254"/>
    <w:rsid w:val="00454401"/>
    <w:rsid w:val="00461179"/>
    <w:rsid w:val="00461696"/>
    <w:rsid w:val="0046199B"/>
    <w:rsid w:val="00461AFC"/>
    <w:rsid w:val="0046415A"/>
    <w:rsid w:val="00464B9F"/>
    <w:rsid w:val="004667E0"/>
    <w:rsid w:val="0047275D"/>
    <w:rsid w:val="00477E9D"/>
    <w:rsid w:val="00480E3D"/>
    <w:rsid w:val="00482B78"/>
    <w:rsid w:val="0048302F"/>
    <w:rsid w:val="00485F7F"/>
    <w:rsid w:val="00485FB2"/>
    <w:rsid w:val="004911A5"/>
    <w:rsid w:val="00495680"/>
    <w:rsid w:val="004A3147"/>
    <w:rsid w:val="004A4C41"/>
    <w:rsid w:val="004B17DA"/>
    <w:rsid w:val="004B524B"/>
    <w:rsid w:val="004B7BE8"/>
    <w:rsid w:val="004B7DC4"/>
    <w:rsid w:val="004C0E4E"/>
    <w:rsid w:val="004C165E"/>
    <w:rsid w:val="004C2959"/>
    <w:rsid w:val="004C3FC7"/>
    <w:rsid w:val="004C40ED"/>
    <w:rsid w:val="004C5B01"/>
    <w:rsid w:val="004D1D07"/>
    <w:rsid w:val="004D22DD"/>
    <w:rsid w:val="004D23A0"/>
    <w:rsid w:val="004D49A4"/>
    <w:rsid w:val="004D576B"/>
    <w:rsid w:val="004E09DF"/>
    <w:rsid w:val="004E1FEB"/>
    <w:rsid w:val="004E4647"/>
    <w:rsid w:val="004F558E"/>
    <w:rsid w:val="00511C31"/>
    <w:rsid w:val="00512DCB"/>
    <w:rsid w:val="00516417"/>
    <w:rsid w:val="00521A79"/>
    <w:rsid w:val="00521C37"/>
    <w:rsid w:val="00522047"/>
    <w:rsid w:val="00522D56"/>
    <w:rsid w:val="005245BC"/>
    <w:rsid w:val="00524879"/>
    <w:rsid w:val="00530A4E"/>
    <w:rsid w:val="00532A68"/>
    <w:rsid w:val="0053379B"/>
    <w:rsid w:val="00533E30"/>
    <w:rsid w:val="00534B66"/>
    <w:rsid w:val="0053578E"/>
    <w:rsid w:val="00535BCF"/>
    <w:rsid w:val="005365F6"/>
    <w:rsid w:val="00550275"/>
    <w:rsid w:val="00552277"/>
    <w:rsid w:val="005535FB"/>
    <w:rsid w:val="005538EA"/>
    <w:rsid w:val="00553E4D"/>
    <w:rsid w:val="00560BCF"/>
    <w:rsid w:val="005639A5"/>
    <w:rsid w:val="00567EA9"/>
    <w:rsid w:val="00572515"/>
    <w:rsid w:val="005826D4"/>
    <w:rsid w:val="005859A7"/>
    <w:rsid w:val="005868F1"/>
    <w:rsid w:val="00590698"/>
    <w:rsid w:val="00590F7B"/>
    <w:rsid w:val="00591476"/>
    <w:rsid w:val="0059395A"/>
    <w:rsid w:val="00596B6D"/>
    <w:rsid w:val="00597D62"/>
    <w:rsid w:val="005A0312"/>
    <w:rsid w:val="005A0BDB"/>
    <w:rsid w:val="005A1581"/>
    <w:rsid w:val="005A2279"/>
    <w:rsid w:val="005A29AE"/>
    <w:rsid w:val="005A4A93"/>
    <w:rsid w:val="005A7045"/>
    <w:rsid w:val="005B5DBE"/>
    <w:rsid w:val="005B6560"/>
    <w:rsid w:val="005C1525"/>
    <w:rsid w:val="005C351C"/>
    <w:rsid w:val="005C50ED"/>
    <w:rsid w:val="005C5447"/>
    <w:rsid w:val="005C6900"/>
    <w:rsid w:val="005C7F50"/>
    <w:rsid w:val="005D3D3C"/>
    <w:rsid w:val="005D5FBA"/>
    <w:rsid w:val="005E0638"/>
    <w:rsid w:val="005E1F02"/>
    <w:rsid w:val="005E3CAE"/>
    <w:rsid w:val="005E3D2C"/>
    <w:rsid w:val="005F0886"/>
    <w:rsid w:val="005F13DD"/>
    <w:rsid w:val="005F3639"/>
    <w:rsid w:val="005F6507"/>
    <w:rsid w:val="006018FA"/>
    <w:rsid w:val="00604931"/>
    <w:rsid w:val="0061332B"/>
    <w:rsid w:val="00613F2D"/>
    <w:rsid w:val="006154B4"/>
    <w:rsid w:val="00623446"/>
    <w:rsid w:val="00624C8F"/>
    <w:rsid w:val="00627945"/>
    <w:rsid w:val="00631FBC"/>
    <w:rsid w:val="00632968"/>
    <w:rsid w:val="00647287"/>
    <w:rsid w:val="00652897"/>
    <w:rsid w:val="006540D9"/>
    <w:rsid w:val="006550F3"/>
    <w:rsid w:val="00655E90"/>
    <w:rsid w:val="00663AC9"/>
    <w:rsid w:val="00663CE9"/>
    <w:rsid w:val="006745A7"/>
    <w:rsid w:val="006774BE"/>
    <w:rsid w:val="00683B78"/>
    <w:rsid w:val="006840A8"/>
    <w:rsid w:val="0068469D"/>
    <w:rsid w:val="006868EB"/>
    <w:rsid w:val="00690446"/>
    <w:rsid w:val="006916CE"/>
    <w:rsid w:val="00692D8F"/>
    <w:rsid w:val="00693D82"/>
    <w:rsid w:val="006A0331"/>
    <w:rsid w:val="006A1BDB"/>
    <w:rsid w:val="006A305C"/>
    <w:rsid w:val="006A47F4"/>
    <w:rsid w:val="006A64C8"/>
    <w:rsid w:val="006B0865"/>
    <w:rsid w:val="006B0EF8"/>
    <w:rsid w:val="006B181E"/>
    <w:rsid w:val="006B2369"/>
    <w:rsid w:val="006B3079"/>
    <w:rsid w:val="006B3086"/>
    <w:rsid w:val="006B49FB"/>
    <w:rsid w:val="006B5ACA"/>
    <w:rsid w:val="006B6256"/>
    <w:rsid w:val="006B7858"/>
    <w:rsid w:val="006C1552"/>
    <w:rsid w:val="006C3419"/>
    <w:rsid w:val="006C4A7C"/>
    <w:rsid w:val="006C5C84"/>
    <w:rsid w:val="006C7401"/>
    <w:rsid w:val="006D1940"/>
    <w:rsid w:val="006D19FD"/>
    <w:rsid w:val="006D215E"/>
    <w:rsid w:val="006D38A6"/>
    <w:rsid w:val="006D56D1"/>
    <w:rsid w:val="006D60F3"/>
    <w:rsid w:val="006D6D8C"/>
    <w:rsid w:val="006D7423"/>
    <w:rsid w:val="006D7B0A"/>
    <w:rsid w:val="006E5926"/>
    <w:rsid w:val="006E70D2"/>
    <w:rsid w:val="006E7478"/>
    <w:rsid w:val="006F032E"/>
    <w:rsid w:val="006F05B8"/>
    <w:rsid w:val="006F34B6"/>
    <w:rsid w:val="006F4D75"/>
    <w:rsid w:val="006F6F08"/>
    <w:rsid w:val="0070006F"/>
    <w:rsid w:val="00701E93"/>
    <w:rsid w:val="007025EA"/>
    <w:rsid w:val="00707050"/>
    <w:rsid w:val="00712A0B"/>
    <w:rsid w:val="00713075"/>
    <w:rsid w:val="0072296F"/>
    <w:rsid w:val="007241A8"/>
    <w:rsid w:val="007307DB"/>
    <w:rsid w:val="00732470"/>
    <w:rsid w:val="007327BD"/>
    <w:rsid w:val="00740B4F"/>
    <w:rsid w:val="00740EAB"/>
    <w:rsid w:val="00747035"/>
    <w:rsid w:val="00751792"/>
    <w:rsid w:val="007523DF"/>
    <w:rsid w:val="007531A4"/>
    <w:rsid w:val="0075402C"/>
    <w:rsid w:val="00757CDD"/>
    <w:rsid w:val="007633FA"/>
    <w:rsid w:val="00766364"/>
    <w:rsid w:val="00766FAD"/>
    <w:rsid w:val="00767538"/>
    <w:rsid w:val="00770FBC"/>
    <w:rsid w:val="00774221"/>
    <w:rsid w:val="00774830"/>
    <w:rsid w:val="00774C64"/>
    <w:rsid w:val="007775D1"/>
    <w:rsid w:val="00786A76"/>
    <w:rsid w:val="0079077A"/>
    <w:rsid w:val="00796761"/>
    <w:rsid w:val="00797BC9"/>
    <w:rsid w:val="007A2EB4"/>
    <w:rsid w:val="007A4382"/>
    <w:rsid w:val="007A651E"/>
    <w:rsid w:val="007B39ED"/>
    <w:rsid w:val="007B6463"/>
    <w:rsid w:val="007B7097"/>
    <w:rsid w:val="007C38B2"/>
    <w:rsid w:val="007C70D0"/>
    <w:rsid w:val="007D54D1"/>
    <w:rsid w:val="007E0816"/>
    <w:rsid w:val="007E2F68"/>
    <w:rsid w:val="007E32B9"/>
    <w:rsid w:val="007E3FF9"/>
    <w:rsid w:val="007F0242"/>
    <w:rsid w:val="007F0FC2"/>
    <w:rsid w:val="007F5D9A"/>
    <w:rsid w:val="00801376"/>
    <w:rsid w:val="00801953"/>
    <w:rsid w:val="008047B0"/>
    <w:rsid w:val="00821B8C"/>
    <w:rsid w:val="008230B5"/>
    <w:rsid w:val="00823CC7"/>
    <w:rsid w:val="008259C3"/>
    <w:rsid w:val="00825D8A"/>
    <w:rsid w:val="0082747F"/>
    <w:rsid w:val="00827AF5"/>
    <w:rsid w:val="00831217"/>
    <w:rsid w:val="00835B53"/>
    <w:rsid w:val="0084066D"/>
    <w:rsid w:val="00846B16"/>
    <w:rsid w:val="008475D8"/>
    <w:rsid w:val="00857F42"/>
    <w:rsid w:val="0086090C"/>
    <w:rsid w:val="00861D0B"/>
    <w:rsid w:val="0087004A"/>
    <w:rsid w:val="0087136D"/>
    <w:rsid w:val="0087231D"/>
    <w:rsid w:val="008759AB"/>
    <w:rsid w:val="0088308C"/>
    <w:rsid w:val="00885295"/>
    <w:rsid w:val="0089116E"/>
    <w:rsid w:val="00892728"/>
    <w:rsid w:val="00897E6F"/>
    <w:rsid w:val="00897FD6"/>
    <w:rsid w:val="008A1195"/>
    <w:rsid w:val="008A296C"/>
    <w:rsid w:val="008B1BB4"/>
    <w:rsid w:val="008B1E83"/>
    <w:rsid w:val="008B2645"/>
    <w:rsid w:val="008B291E"/>
    <w:rsid w:val="008B4F01"/>
    <w:rsid w:val="008B509B"/>
    <w:rsid w:val="008B50F4"/>
    <w:rsid w:val="008C05FC"/>
    <w:rsid w:val="008C076D"/>
    <w:rsid w:val="008C1323"/>
    <w:rsid w:val="008C724F"/>
    <w:rsid w:val="008D4E32"/>
    <w:rsid w:val="008D5478"/>
    <w:rsid w:val="008E086E"/>
    <w:rsid w:val="008E1C65"/>
    <w:rsid w:val="008E3C9C"/>
    <w:rsid w:val="008E6FE7"/>
    <w:rsid w:val="008F498C"/>
    <w:rsid w:val="00903329"/>
    <w:rsid w:val="009038A1"/>
    <w:rsid w:val="00905443"/>
    <w:rsid w:val="00910F74"/>
    <w:rsid w:val="009112E5"/>
    <w:rsid w:val="0091751C"/>
    <w:rsid w:val="00921A7A"/>
    <w:rsid w:val="009221C4"/>
    <w:rsid w:val="00930EAB"/>
    <w:rsid w:val="0093408D"/>
    <w:rsid w:val="009344B5"/>
    <w:rsid w:val="00934A7B"/>
    <w:rsid w:val="00945974"/>
    <w:rsid w:val="00954447"/>
    <w:rsid w:val="00955679"/>
    <w:rsid w:val="009712D3"/>
    <w:rsid w:val="00971714"/>
    <w:rsid w:val="00973D9A"/>
    <w:rsid w:val="009758B2"/>
    <w:rsid w:val="00980123"/>
    <w:rsid w:val="00981935"/>
    <w:rsid w:val="00985D4A"/>
    <w:rsid w:val="00990051"/>
    <w:rsid w:val="0099037D"/>
    <w:rsid w:val="0099116F"/>
    <w:rsid w:val="0099412E"/>
    <w:rsid w:val="009A3B8F"/>
    <w:rsid w:val="009A7647"/>
    <w:rsid w:val="009B2491"/>
    <w:rsid w:val="009B40D3"/>
    <w:rsid w:val="009B580E"/>
    <w:rsid w:val="009B5A16"/>
    <w:rsid w:val="009B6232"/>
    <w:rsid w:val="009D029C"/>
    <w:rsid w:val="009D0F75"/>
    <w:rsid w:val="009D2BFD"/>
    <w:rsid w:val="009D54F0"/>
    <w:rsid w:val="009D6CD8"/>
    <w:rsid w:val="009E5565"/>
    <w:rsid w:val="009E6EF2"/>
    <w:rsid w:val="009F0417"/>
    <w:rsid w:val="009F1C12"/>
    <w:rsid w:val="009F50CE"/>
    <w:rsid w:val="00A01551"/>
    <w:rsid w:val="00A019D6"/>
    <w:rsid w:val="00A04BD0"/>
    <w:rsid w:val="00A06A04"/>
    <w:rsid w:val="00A07DE5"/>
    <w:rsid w:val="00A13E3E"/>
    <w:rsid w:val="00A1444C"/>
    <w:rsid w:val="00A15099"/>
    <w:rsid w:val="00A2307A"/>
    <w:rsid w:val="00A25CDD"/>
    <w:rsid w:val="00A27F8B"/>
    <w:rsid w:val="00A30F55"/>
    <w:rsid w:val="00A32A92"/>
    <w:rsid w:val="00A3424B"/>
    <w:rsid w:val="00A40081"/>
    <w:rsid w:val="00A43E83"/>
    <w:rsid w:val="00A45337"/>
    <w:rsid w:val="00A45FC3"/>
    <w:rsid w:val="00A46520"/>
    <w:rsid w:val="00A50B0E"/>
    <w:rsid w:val="00A53576"/>
    <w:rsid w:val="00A543AC"/>
    <w:rsid w:val="00A55BA7"/>
    <w:rsid w:val="00A55DFD"/>
    <w:rsid w:val="00A5782D"/>
    <w:rsid w:val="00A6165D"/>
    <w:rsid w:val="00A6307B"/>
    <w:rsid w:val="00A72D65"/>
    <w:rsid w:val="00A743CF"/>
    <w:rsid w:val="00A77C16"/>
    <w:rsid w:val="00A858BC"/>
    <w:rsid w:val="00A85CC9"/>
    <w:rsid w:val="00A87C0A"/>
    <w:rsid w:val="00A92215"/>
    <w:rsid w:val="00A9306F"/>
    <w:rsid w:val="00A9537B"/>
    <w:rsid w:val="00AA0A82"/>
    <w:rsid w:val="00AA28C0"/>
    <w:rsid w:val="00AA2E90"/>
    <w:rsid w:val="00AB0362"/>
    <w:rsid w:val="00AB3A22"/>
    <w:rsid w:val="00AB531B"/>
    <w:rsid w:val="00AB583D"/>
    <w:rsid w:val="00AC26B8"/>
    <w:rsid w:val="00AC34B3"/>
    <w:rsid w:val="00AC5ABB"/>
    <w:rsid w:val="00AC68C4"/>
    <w:rsid w:val="00AD1173"/>
    <w:rsid w:val="00AD18D2"/>
    <w:rsid w:val="00AD1F5C"/>
    <w:rsid w:val="00AD4052"/>
    <w:rsid w:val="00AD677D"/>
    <w:rsid w:val="00AE4BB8"/>
    <w:rsid w:val="00AF071D"/>
    <w:rsid w:val="00AF4FFB"/>
    <w:rsid w:val="00B026B5"/>
    <w:rsid w:val="00B02E5B"/>
    <w:rsid w:val="00B05388"/>
    <w:rsid w:val="00B068D9"/>
    <w:rsid w:val="00B06C79"/>
    <w:rsid w:val="00B1359D"/>
    <w:rsid w:val="00B1448E"/>
    <w:rsid w:val="00B23417"/>
    <w:rsid w:val="00B24DB1"/>
    <w:rsid w:val="00B25CB8"/>
    <w:rsid w:val="00B3293D"/>
    <w:rsid w:val="00B32B7E"/>
    <w:rsid w:val="00B34F81"/>
    <w:rsid w:val="00B35828"/>
    <w:rsid w:val="00B35D5A"/>
    <w:rsid w:val="00B36981"/>
    <w:rsid w:val="00B36AD7"/>
    <w:rsid w:val="00B400D0"/>
    <w:rsid w:val="00B4131D"/>
    <w:rsid w:val="00B415B7"/>
    <w:rsid w:val="00B41D45"/>
    <w:rsid w:val="00B42677"/>
    <w:rsid w:val="00B47216"/>
    <w:rsid w:val="00B52A65"/>
    <w:rsid w:val="00B54BC2"/>
    <w:rsid w:val="00B829AC"/>
    <w:rsid w:val="00B83470"/>
    <w:rsid w:val="00B84CA5"/>
    <w:rsid w:val="00B85AEF"/>
    <w:rsid w:val="00B90B9A"/>
    <w:rsid w:val="00B93AB4"/>
    <w:rsid w:val="00B9551E"/>
    <w:rsid w:val="00B95F9D"/>
    <w:rsid w:val="00B96317"/>
    <w:rsid w:val="00B96C83"/>
    <w:rsid w:val="00BA2019"/>
    <w:rsid w:val="00BA6A05"/>
    <w:rsid w:val="00BA7EF9"/>
    <w:rsid w:val="00BB04C2"/>
    <w:rsid w:val="00BB12AA"/>
    <w:rsid w:val="00BB2048"/>
    <w:rsid w:val="00BB35FD"/>
    <w:rsid w:val="00BC10A9"/>
    <w:rsid w:val="00BC1FE4"/>
    <w:rsid w:val="00BC326E"/>
    <w:rsid w:val="00BC523A"/>
    <w:rsid w:val="00BC5AC8"/>
    <w:rsid w:val="00BC6C6D"/>
    <w:rsid w:val="00BC6E68"/>
    <w:rsid w:val="00BC76C2"/>
    <w:rsid w:val="00BD0312"/>
    <w:rsid w:val="00BD1A13"/>
    <w:rsid w:val="00BD2E2B"/>
    <w:rsid w:val="00BD5570"/>
    <w:rsid w:val="00BD5D3A"/>
    <w:rsid w:val="00BE1310"/>
    <w:rsid w:val="00BE38CB"/>
    <w:rsid w:val="00BF051A"/>
    <w:rsid w:val="00BF05D9"/>
    <w:rsid w:val="00BF7DD2"/>
    <w:rsid w:val="00C032CB"/>
    <w:rsid w:val="00C04F4C"/>
    <w:rsid w:val="00C07C51"/>
    <w:rsid w:val="00C10A73"/>
    <w:rsid w:val="00C226B2"/>
    <w:rsid w:val="00C30E9F"/>
    <w:rsid w:val="00C3556D"/>
    <w:rsid w:val="00C36EAC"/>
    <w:rsid w:val="00C42A1E"/>
    <w:rsid w:val="00C47AEB"/>
    <w:rsid w:val="00C5323E"/>
    <w:rsid w:val="00C57879"/>
    <w:rsid w:val="00C62044"/>
    <w:rsid w:val="00C63163"/>
    <w:rsid w:val="00C6396E"/>
    <w:rsid w:val="00C66F64"/>
    <w:rsid w:val="00C716B6"/>
    <w:rsid w:val="00C723F5"/>
    <w:rsid w:val="00C76AB9"/>
    <w:rsid w:val="00C8163B"/>
    <w:rsid w:val="00C824E9"/>
    <w:rsid w:val="00C83D0A"/>
    <w:rsid w:val="00C8797A"/>
    <w:rsid w:val="00C90AD2"/>
    <w:rsid w:val="00C92A1A"/>
    <w:rsid w:val="00C94927"/>
    <w:rsid w:val="00C96ACC"/>
    <w:rsid w:val="00CA04D1"/>
    <w:rsid w:val="00CA0ACD"/>
    <w:rsid w:val="00CA0BF3"/>
    <w:rsid w:val="00CA3256"/>
    <w:rsid w:val="00CA5929"/>
    <w:rsid w:val="00CB1F0F"/>
    <w:rsid w:val="00CB2918"/>
    <w:rsid w:val="00CB3239"/>
    <w:rsid w:val="00CC144D"/>
    <w:rsid w:val="00CC39ED"/>
    <w:rsid w:val="00CC3EE7"/>
    <w:rsid w:val="00CC5E5D"/>
    <w:rsid w:val="00CC67B2"/>
    <w:rsid w:val="00CD357D"/>
    <w:rsid w:val="00CD3D6D"/>
    <w:rsid w:val="00CD772A"/>
    <w:rsid w:val="00CE3168"/>
    <w:rsid w:val="00CE6C48"/>
    <w:rsid w:val="00CF0879"/>
    <w:rsid w:val="00CF0AF6"/>
    <w:rsid w:val="00CF351A"/>
    <w:rsid w:val="00CF6242"/>
    <w:rsid w:val="00CF6FFE"/>
    <w:rsid w:val="00D00562"/>
    <w:rsid w:val="00D00963"/>
    <w:rsid w:val="00D01E94"/>
    <w:rsid w:val="00D03395"/>
    <w:rsid w:val="00D05459"/>
    <w:rsid w:val="00D05D67"/>
    <w:rsid w:val="00D12D7D"/>
    <w:rsid w:val="00D13065"/>
    <w:rsid w:val="00D15061"/>
    <w:rsid w:val="00D15C08"/>
    <w:rsid w:val="00D20C8D"/>
    <w:rsid w:val="00D2308A"/>
    <w:rsid w:val="00D2552C"/>
    <w:rsid w:val="00D25DA2"/>
    <w:rsid w:val="00D25F55"/>
    <w:rsid w:val="00D3104F"/>
    <w:rsid w:val="00D37DF5"/>
    <w:rsid w:val="00D45099"/>
    <w:rsid w:val="00D5085C"/>
    <w:rsid w:val="00D50DD1"/>
    <w:rsid w:val="00D52EAF"/>
    <w:rsid w:val="00D54435"/>
    <w:rsid w:val="00D66904"/>
    <w:rsid w:val="00D67D3C"/>
    <w:rsid w:val="00D713BE"/>
    <w:rsid w:val="00D72F3F"/>
    <w:rsid w:val="00D83BA4"/>
    <w:rsid w:val="00D85F68"/>
    <w:rsid w:val="00D90BE5"/>
    <w:rsid w:val="00D95018"/>
    <w:rsid w:val="00DA1DE2"/>
    <w:rsid w:val="00DA3D7B"/>
    <w:rsid w:val="00DA45C7"/>
    <w:rsid w:val="00DA6754"/>
    <w:rsid w:val="00DA6A1B"/>
    <w:rsid w:val="00DB137C"/>
    <w:rsid w:val="00DC1B36"/>
    <w:rsid w:val="00DC6393"/>
    <w:rsid w:val="00DD14C9"/>
    <w:rsid w:val="00DD1F9F"/>
    <w:rsid w:val="00DD5027"/>
    <w:rsid w:val="00DD7D17"/>
    <w:rsid w:val="00DD7D1D"/>
    <w:rsid w:val="00DE083A"/>
    <w:rsid w:val="00DE3D19"/>
    <w:rsid w:val="00DE4513"/>
    <w:rsid w:val="00DF0263"/>
    <w:rsid w:val="00DF0DB7"/>
    <w:rsid w:val="00DF594B"/>
    <w:rsid w:val="00DF7EA9"/>
    <w:rsid w:val="00E00339"/>
    <w:rsid w:val="00E029BB"/>
    <w:rsid w:val="00E1191E"/>
    <w:rsid w:val="00E11D43"/>
    <w:rsid w:val="00E12A9C"/>
    <w:rsid w:val="00E12AC9"/>
    <w:rsid w:val="00E17120"/>
    <w:rsid w:val="00E23631"/>
    <w:rsid w:val="00E25FAB"/>
    <w:rsid w:val="00E27339"/>
    <w:rsid w:val="00E31BE2"/>
    <w:rsid w:val="00E33BF5"/>
    <w:rsid w:val="00E34D15"/>
    <w:rsid w:val="00E36504"/>
    <w:rsid w:val="00E37E16"/>
    <w:rsid w:val="00E4279E"/>
    <w:rsid w:val="00E42A6B"/>
    <w:rsid w:val="00E50CCD"/>
    <w:rsid w:val="00E613C2"/>
    <w:rsid w:val="00E62CFE"/>
    <w:rsid w:val="00E6300C"/>
    <w:rsid w:val="00E66D8A"/>
    <w:rsid w:val="00E71775"/>
    <w:rsid w:val="00E7212D"/>
    <w:rsid w:val="00E73014"/>
    <w:rsid w:val="00E75E84"/>
    <w:rsid w:val="00E75F83"/>
    <w:rsid w:val="00E77623"/>
    <w:rsid w:val="00E8202E"/>
    <w:rsid w:val="00E83C2C"/>
    <w:rsid w:val="00E84797"/>
    <w:rsid w:val="00E874B9"/>
    <w:rsid w:val="00E91454"/>
    <w:rsid w:val="00E93D08"/>
    <w:rsid w:val="00E95F3D"/>
    <w:rsid w:val="00EA08F1"/>
    <w:rsid w:val="00EA502F"/>
    <w:rsid w:val="00EA58F3"/>
    <w:rsid w:val="00EA6EEF"/>
    <w:rsid w:val="00EA7408"/>
    <w:rsid w:val="00EB4F93"/>
    <w:rsid w:val="00EC11DC"/>
    <w:rsid w:val="00EC2356"/>
    <w:rsid w:val="00EC3D4A"/>
    <w:rsid w:val="00EC64F9"/>
    <w:rsid w:val="00EC7B3F"/>
    <w:rsid w:val="00ED06F4"/>
    <w:rsid w:val="00ED1785"/>
    <w:rsid w:val="00ED1830"/>
    <w:rsid w:val="00ED5F68"/>
    <w:rsid w:val="00EE266E"/>
    <w:rsid w:val="00EE3514"/>
    <w:rsid w:val="00EE68FA"/>
    <w:rsid w:val="00EF0048"/>
    <w:rsid w:val="00EF039F"/>
    <w:rsid w:val="00EF0E39"/>
    <w:rsid w:val="00EF1535"/>
    <w:rsid w:val="00EF223C"/>
    <w:rsid w:val="00EF22B9"/>
    <w:rsid w:val="00EF6CF8"/>
    <w:rsid w:val="00EF7273"/>
    <w:rsid w:val="00F00592"/>
    <w:rsid w:val="00F0395E"/>
    <w:rsid w:val="00F05CF3"/>
    <w:rsid w:val="00F1027C"/>
    <w:rsid w:val="00F115FB"/>
    <w:rsid w:val="00F14C8F"/>
    <w:rsid w:val="00F176BC"/>
    <w:rsid w:val="00F269B1"/>
    <w:rsid w:val="00F314DF"/>
    <w:rsid w:val="00F43DCA"/>
    <w:rsid w:val="00F5035E"/>
    <w:rsid w:val="00F5295D"/>
    <w:rsid w:val="00F666E3"/>
    <w:rsid w:val="00F717B3"/>
    <w:rsid w:val="00F72698"/>
    <w:rsid w:val="00F7426E"/>
    <w:rsid w:val="00F75811"/>
    <w:rsid w:val="00F81654"/>
    <w:rsid w:val="00F946BD"/>
    <w:rsid w:val="00F967F5"/>
    <w:rsid w:val="00F9715C"/>
    <w:rsid w:val="00FA471A"/>
    <w:rsid w:val="00FA640A"/>
    <w:rsid w:val="00FA738C"/>
    <w:rsid w:val="00FB1E86"/>
    <w:rsid w:val="00FB5962"/>
    <w:rsid w:val="00FC5AC9"/>
    <w:rsid w:val="00FC5FD1"/>
    <w:rsid w:val="00FC7687"/>
    <w:rsid w:val="00FC773D"/>
    <w:rsid w:val="00FD2287"/>
    <w:rsid w:val="00FD5310"/>
    <w:rsid w:val="00FE1D6E"/>
    <w:rsid w:val="00FE2815"/>
    <w:rsid w:val="00FE7E62"/>
    <w:rsid w:val="00FF012B"/>
    <w:rsid w:val="00FF211F"/>
    <w:rsid w:val="00FF614F"/>
    <w:rsid w:val="00FF72D9"/>
    <w:rsid w:val="00FF73F1"/>
    <w:rsid w:val="00FF7A8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329"/>
  </w:style>
  <w:style w:type="paragraph" w:styleId="Heading1">
    <w:name w:val="heading 1"/>
    <w:basedOn w:val="Normal"/>
    <w:next w:val="Normal"/>
    <w:link w:val="Heading1Char"/>
    <w:autoRedefine/>
    <w:uiPriority w:val="9"/>
    <w:qFormat/>
    <w:rsid w:val="006A1BDB"/>
    <w:pPr>
      <w:keepNext/>
      <w:keepLines/>
      <w:numPr>
        <w:numId w:val="40"/>
      </w:numPr>
      <w:spacing w:before="240" w:after="240" w:line="240" w:lineRule="auto"/>
      <w:ind w:left="720"/>
      <w:outlineLvl w:val="0"/>
    </w:pPr>
    <w:rPr>
      <w:rFonts w:ascii="Times New Roman" w:hAnsi="Times New Roman" w:eastAsiaTheme="majorEastAsia" w:cs="Times New Roman"/>
      <w:b/>
      <w:caps/>
      <w:sz w:val="24"/>
      <w:szCs w:val="24"/>
    </w:rPr>
  </w:style>
  <w:style w:type="paragraph" w:styleId="Heading2">
    <w:name w:val="heading 2"/>
    <w:basedOn w:val="Normal"/>
    <w:next w:val="Normal"/>
    <w:link w:val="Heading2Char"/>
    <w:autoRedefine/>
    <w:unhideWhenUsed/>
    <w:qFormat/>
    <w:rsid w:val="00331BE8"/>
    <w:pPr>
      <w:keepNext/>
      <w:keepLines/>
      <w:spacing w:after="240" w:line="240" w:lineRule="auto"/>
      <w:ind w:left="1440" w:hanging="72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autoRedefine/>
    <w:uiPriority w:val="9"/>
    <w:unhideWhenUsed/>
    <w:qFormat/>
    <w:rsid w:val="00F666E3"/>
    <w:pPr>
      <w:keepNext/>
      <w:keepLines/>
      <w:spacing w:after="240" w:line="240" w:lineRule="auto"/>
      <w:ind w:left="2160" w:hanging="720"/>
      <w:outlineLvl w:val="2"/>
    </w:pPr>
    <w:rPr>
      <w:rFonts w:ascii="Times New Roman" w:hAnsi="Times New Roman"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nhideWhenUsed/>
    <w:qFormat/>
    <w:rsid w:val="007C6BDC"/>
    <w:pPr>
      <w:spacing w:after="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7C6BD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331BE8"/>
    <w:rPr>
      <w:rFonts w:ascii="Times New Roman" w:eastAsia="Times New Roman" w:hAnsi="Times New Roman"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nhideWhenUsed/>
    <w:rsid w:val="00775C0C"/>
    <w:pPr>
      <w:spacing w:line="240" w:lineRule="auto"/>
    </w:pPr>
    <w:rPr>
      <w:sz w:val="20"/>
      <w:szCs w:val="20"/>
    </w:rPr>
  </w:style>
  <w:style w:type="character" w:customStyle="1" w:styleId="CommentTextChar">
    <w:name w:val="Comment Text Char"/>
    <w:basedOn w:val="DefaultParagraphFont"/>
    <w:link w:val="CommentText"/>
    <w:rsid w:val="00775C0C"/>
    <w:rPr>
      <w:sz w:val="20"/>
      <w:szCs w:val="20"/>
    </w:rPr>
  </w:style>
  <w:style w:type="paragraph" w:styleId="CommentSubject">
    <w:name w:val="annotation subject"/>
    <w:basedOn w:val="CommentText"/>
    <w:next w:val="CommentText"/>
    <w:link w:val="CommentSubjectChar"/>
    <w:semiHidden/>
    <w:unhideWhenUsed/>
    <w:rsid w:val="00B81C2C"/>
    <w:rPr>
      <w:b/>
      <w:bCs/>
    </w:rPr>
  </w:style>
  <w:style w:type="character" w:customStyle="1" w:styleId="CommentSubjectChar">
    <w:name w:val="Comment Subject Char"/>
    <w:basedOn w:val="CommentTextChar"/>
    <w:link w:val="CommentSubject"/>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1BDB"/>
    <w:rPr>
      <w:rFonts w:ascii="Times New Roman" w:hAnsi="Times New Roman" w:eastAsiaTheme="majorEastAsia" w:cs="Times New Roman"/>
      <w:b/>
      <w:caps/>
      <w:sz w:val="24"/>
      <w:szCs w:val="24"/>
    </w:rPr>
  </w:style>
  <w:style w:type="character" w:customStyle="1" w:styleId="Heading3Char">
    <w:name w:val="Heading 3 Char"/>
    <w:basedOn w:val="DefaultParagraphFont"/>
    <w:link w:val="Heading3"/>
    <w:uiPriority w:val="9"/>
    <w:rsid w:val="00F666E3"/>
    <w:rPr>
      <w:rFonts w:ascii="Times New Roman" w:hAnsi="Times New Roman"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qFormat/>
    <w:rsid w:val="00D00963"/>
    <w:pPr>
      <w:tabs>
        <w:tab w:val="decimal" w:leader="dot" w:pos="9360"/>
      </w:tabs>
      <w:spacing w:after="240" w:line="240" w:lineRule="auto"/>
      <w:ind w:left="720" w:hanging="720"/>
      <w:outlineLvl w:val="0"/>
    </w:pPr>
    <w:rPr>
      <w:rFonts w:ascii="Times New Roman" w:hAnsi="Times New Roman"/>
      <w:sz w:val="24"/>
    </w:rPr>
  </w:style>
  <w:style w:type="paragraph" w:styleId="TOC2">
    <w:name w:val="toc 2"/>
    <w:basedOn w:val="Normal"/>
    <w:next w:val="Normal"/>
    <w:autoRedefine/>
    <w:uiPriority w:val="39"/>
    <w:unhideWhenUsed/>
    <w:qFormat/>
    <w:rsid w:val="00D00963"/>
    <w:pPr>
      <w:tabs>
        <w:tab w:val="left" w:pos="2160"/>
        <w:tab w:val="decimal" w:leader="dot" w:pos="9360"/>
      </w:tabs>
      <w:spacing w:after="240" w:line="240" w:lineRule="auto"/>
      <w:ind w:left="1440" w:hanging="720"/>
      <w:outlineLvl w:val="1"/>
    </w:pPr>
    <w:rPr>
      <w:rFonts w:ascii="Times New Roman" w:hAnsi="Times New Roman"/>
      <w:sz w:val="24"/>
    </w:rPr>
  </w:style>
  <w:style w:type="paragraph" w:styleId="TOC3">
    <w:name w:val="toc 3"/>
    <w:basedOn w:val="Normal"/>
    <w:next w:val="Normal"/>
    <w:autoRedefine/>
    <w:uiPriority w:val="39"/>
    <w:unhideWhenUsed/>
    <w:rsid w:val="00D00963"/>
    <w:pPr>
      <w:tabs>
        <w:tab w:val="decimal" w:leader="dot" w:pos="936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character" w:customStyle="1" w:styleId="FootnoteTextChar3">
    <w:name w:val="Footnote Text Char3"/>
    <w:aliases w:val="ALTS FOOTNOTE Char1,Footnote Text Char Char Char Char Char1,Footnote Text Char Char Char2,Footnote Text Char Char1 Char1,Footnote Text Char1,Footnote Text Char1 Char Char1 Char Char Char Char1,Footnote Text Char1 Char Char1 Char1"/>
    <w:uiPriority w:val="99"/>
    <w:locked/>
    <w:rsid w:val="00C10DB0"/>
  </w:style>
  <w:style w:type="paragraph" w:styleId="HTMLPreformatted">
    <w:name w:val="HTML Preformatted"/>
    <w:basedOn w:val="Normal"/>
    <w:link w:val="HTMLPreformattedChar"/>
    <w:rsid w:val="00945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945974"/>
    <w:rPr>
      <w:rFonts w:ascii="Courier New" w:eastAsia="Courier New" w:hAnsi="Courier New" w:cs="Courier New"/>
      <w:sz w:val="20"/>
      <w:szCs w:val="20"/>
    </w:rPr>
  </w:style>
  <w:style w:type="character" w:customStyle="1" w:styleId="UnresolvedMention1">
    <w:name w:val="Unresolved Mention1"/>
    <w:basedOn w:val="DefaultParagraphFont"/>
    <w:uiPriority w:val="99"/>
    <w:semiHidden/>
    <w:unhideWhenUsed/>
    <w:rsid w:val="00945974"/>
    <w:rPr>
      <w:color w:val="605E5C"/>
      <w:shd w:val="clear" w:color="auto" w:fill="E1DFDD"/>
    </w:rPr>
  </w:style>
  <w:style w:type="paragraph" w:styleId="BodyTextIndent3">
    <w:name w:val="Body Text Indent 3"/>
    <w:basedOn w:val="Normal"/>
    <w:link w:val="BodyTextIndent3Char"/>
    <w:rsid w:val="00945974"/>
    <w:pPr>
      <w:spacing w:after="0" w:line="480" w:lineRule="atLeast"/>
      <w:ind w:firstLine="720"/>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945974"/>
    <w:rPr>
      <w:rFonts w:ascii="Times New Roman" w:eastAsia="Times New Roman" w:hAnsi="Times New Roman" w:cs="Times New Roman"/>
      <w:sz w:val="24"/>
      <w:szCs w:val="20"/>
    </w:rPr>
  </w:style>
  <w:style w:type="paragraph" w:styleId="EndnoteText">
    <w:name w:val="endnote text"/>
    <w:basedOn w:val="Normal"/>
    <w:link w:val="EndnoteTextChar"/>
    <w:uiPriority w:val="99"/>
    <w:unhideWhenUsed/>
    <w:rsid w:val="00C96ACC"/>
    <w:pPr>
      <w:spacing w:after="0" w:line="240" w:lineRule="auto"/>
    </w:pPr>
    <w:rPr>
      <w:sz w:val="20"/>
      <w:szCs w:val="20"/>
    </w:rPr>
  </w:style>
  <w:style w:type="character" w:customStyle="1" w:styleId="EndnoteTextChar">
    <w:name w:val="Endnote Text Char"/>
    <w:basedOn w:val="DefaultParagraphFont"/>
    <w:link w:val="EndnoteText"/>
    <w:uiPriority w:val="99"/>
    <w:rsid w:val="00C96ACC"/>
    <w:rPr>
      <w:sz w:val="20"/>
      <w:szCs w:val="20"/>
    </w:rPr>
  </w:style>
  <w:style w:type="character" w:styleId="EndnoteReference">
    <w:name w:val="endnote reference"/>
    <w:basedOn w:val="DefaultParagraphFont"/>
    <w:uiPriority w:val="99"/>
    <w:semiHidden/>
    <w:unhideWhenUsed/>
    <w:rsid w:val="00C96ACC"/>
    <w:rPr>
      <w:vertAlign w:val="superscript"/>
    </w:rPr>
  </w:style>
  <w:style w:type="character" w:customStyle="1" w:styleId="UnresolvedMention2">
    <w:name w:val="Unresolved Mention2"/>
    <w:basedOn w:val="DefaultParagraphFont"/>
    <w:uiPriority w:val="99"/>
    <w:rsid w:val="00AD4052"/>
    <w:rPr>
      <w:color w:val="605E5C"/>
      <w:shd w:val="clear" w:color="auto" w:fill="E1DFDD"/>
    </w:rPr>
  </w:style>
  <w:style w:type="character" w:customStyle="1" w:styleId="AnswerChar">
    <w:name w:val="Answer Char"/>
    <w:link w:val="Answer"/>
    <w:locked/>
    <w:rsid w:val="005C50ED"/>
    <w:rPr>
      <w:rFonts w:ascii="Arial Unicode MS" w:eastAsia="Arial Unicode MS" w:hAnsi="Arial Unicode MS" w:cs="Arial Unicode MS"/>
      <w:bCs/>
      <w:iCs/>
      <w:bdr w:val="none" w:sz="0" w:space="0" w:color="auto" w:frame="1"/>
    </w:rPr>
  </w:style>
  <w:style w:type="paragraph" w:customStyle="1" w:styleId="Answer">
    <w:name w:val="Answer"/>
    <w:basedOn w:val="List2"/>
    <w:link w:val="AnswerChar"/>
    <w:qFormat/>
    <w:rsid w:val="005C50ED"/>
    <w:pPr>
      <w:spacing w:after="0" w:line="480" w:lineRule="auto"/>
    </w:pPr>
    <w:rPr>
      <w:rFonts w:ascii="Arial Unicode MS" w:eastAsia="Arial Unicode MS" w:hAnsi="Arial Unicode MS" w:cs="Arial Unicode MS"/>
      <w:bCs/>
      <w:iCs/>
      <w:bdr w:val="none" w:sz="0" w:space="0" w:color="auto" w:frame="1"/>
    </w:rPr>
  </w:style>
  <w:style w:type="paragraph" w:styleId="List2">
    <w:name w:val="List 2"/>
    <w:basedOn w:val="Normal"/>
    <w:uiPriority w:val="99"/>
    <w:semiHidden/>
    <w:unhideWhenUsed/>
    <w:rsid w:val="005C50ED"/>
    <w:pPr>
      <w:ind w:left="720" w:hanging="360"/>
      <w:contextualSpacing/>
    </w:pPr>
  </w:style>
  <w:style w:type="character" w:customStyle="1" w:styleId="UnresolvedMention">
    <w:name w:val="Unresolved Mention"/>
    <w:basedOn w:val="DefaultParagraphFont"/>
    <w:uiPriority w:val="99"/>
    <w:rsid w:val="00E11D43"/>
    <w:rPr>
      <w:color w:val="605E5C"/>
      <w:shd w:val="clear" w:color="auto" w:fill="E1DFDD"/>
    </w:rPr>
  </w:style>
  <w:style w:type="character" w:styleId="FollowedHyperlink">
    <w:name w:val="FollowedHyperlink"/>
    <w:basedOn w:val="DefaultParagraphFont"/>
    <w:uiPriority w:val="99"/>
    <w:semiHidden/>
    <w:unhideWhenUsed/>
    <w:rsid w:val="00FF73F1"/>
    <w:rPr>
      <w:color w:val="800080" w:themeColor="followedHyperlink"/>
      <w:u w:val="single"/>
    </w:rPr>
  </w:style>
  <w:style w:type="paragraph" w:styleId="BodyText">
    <w:name w:val="Body Text"/>
    <w:basedOn w:val="Normal"/>
    <w:link w:val="BodyTextChar"/>
    <w:uiPriority w:val="99"/>
    <w:semiHidden/>
    <w:unhideWhenUsed/>
    <w:rsid w:val="00954447"/>
    <w:pPr>
      <w:spacing w:after="120"/>
    </w:pPr>
  </w:style>
  <w:style w:type="character" w:customStyle="1" w:styleId="BodyTextChar">
    <w:name w:val="Body Text Char"/>
    <w:basedOn w:val="DefaultParagraphFont"/>
    <w:link w:val="BodyText"/>
    <w:uiPriority w:val="99"/>
    <w:semiHidden/>
    <w:rsid w:val="00954447"/>
  </w:style>
  <w:style w:type="paragraph" w:styleId="Revision">
    <w:name w:val="Revision"/>
    <w:hidden/>
    <w:uiPriority w:val="99"/>
    <w:semiHidden/>
    <w:rsid w:val="00E36504"/>
    <w:pPr>
      <w:spacing w:after="0" w:line="240" w:lineRule="auto"/>
    </w:pPr>
  </w:style>
  <w:style w:type="paragraph" w:customStyle="1" w:styleId="xmsonormal">
    <w:name w:val="x_msonormal"/>
    <w:basedOn w:val="Normal"/>
    <w:rsid w:val="00346E6C"/>
    <w:pPr>
      <w:spacing w:after="0" w:line="240" w:lineRule="auto"/>
    </w:pPr>
    <w:rPr>
      <w:rFonts w:ascii="Verdana" w:hAnsi="Verdana" w:cs="Calibri"/>
      <w:color w:val="00277A"/>
      <w:sz w:val="24"/>
      <w:szCs w:val="24"/>
    </w:rPr>
  </w:style>
  <w:style w:type="character" w:customStyle="1" w:styleId="xmsofootnotereference">
    <w:name w:val="x_msofootnotereference"/>
    <w:basedOn w:val="DefaultParagraphFont"/>
    <w:rsid w:val="00346E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yperlink" Target="mailto:werner.margard@OhioAGO.gov" TargetMode="External" /><Relationship Id="rId12" Type="http://schemas.openxmlformats.org/officeDocument/2006/relationships/hyperlink" Target="mailto:kyle.kern@OhioAGO.gov" TargetMode="External" /><Relationship Id="rId13" Type="http://schemas.openxmlformats.org/officeDocument/2006/relationships/hyperlink" Target="mailto:sarah.parrot@puco.ohio.gov" TargetMode="External" /><Relationship Id="rId14" Type="http://schemas.openxmlformats.org/officeDocument/2006/relationships/hyperlink" Target="mailto:Jacqueline.St.John@puco.ohio.gov" TargetMode="External" /><Relationship Id="rId15" Type="http://schemas.openxmlformats.org/officeDocument/2006/relationships/hyperlink" Target="mailto:kennedy@whitt-sturtevant.com" TargetMode="External" /><Relationship Id="rId16" Type="http://schemas.openxmlformats.org/officeDocument/2006/relationships/hyperlink" Target="mailto:andrew.j.campbell@dominionenergy.com" TargetMode="External" /><Relationship Id="rId17" Type="http://schemas.openxmlformats.org/officeDocument/2006/relationships/hyperlink" Target="mailto:michael.nugent@igs.com" TargetMode="External" /><Relationship Id="rId18" Type="http://schemas.openxmlformats.org/officeDocument/2006/relationships/hyperlink" Target="mailto:bethany.allen@igs.com" TargetMode="External" /><Relationship Id="rId19" Type="http://schemas.openxmlformats.org/officeDocument/2006/relationships/hyperlink" Target="mailto:evan.betterton@igs.com" TargetMode="External" /><Relationship Id="rId2" Type="http://schemas.openxmlformats.org/officeDocument/2006/relationships/settings" Target="settings.xml" /><Relationship Id="rId20" Type="http://schemas.openxmlformats.org/officeDocument/2006/relationships/hyperlink" Target="mailto:joe.oliker@igs.com" TargetMode="Externa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hyperlink" Target="mailto:William.Michael@occ.ohio.gov" TargetMode="External" /><Relationship Id="rId8" Type="http://schemas.openxmlformats.org/officeDocument/2006/relationships/hyperlink" Target="mailto:Ambrosia.Wilson@occ.ohio.gov" TargetMode="Externa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FF8FE-6C55-4D09-89C8-7EF242A42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FE AFR.docx</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2022-08-25T17:58:33Z</dcterms:created>
  <dcterms:modified xsi:type="dcterms:W3CDTF">2022-08-25T17:58:33Z</dcterms:modified>
</cp:coreProperties>
</file>