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AE858" w14:textId="77777777" w:rsidR="009E5C0E" w:rsidRDefault="00D123F2">
      <w:pPr>
        <w:jc w:val="center"/>
        <w:rPr>
          <w:rFonts w:ascii="Arial" w:hAnsi="Arial" w:cs="Arial"/>
          <w:b/>
          <w:bCs/>
          <w:sz w:val="32"/>
          <w:szCs w:val="32"/>
        </w:rPr>
      </w:pPr>
      <w:r>
        <w:rPr>
          <w:rFonts w:ascii="Arial" w:hAnsi="Arial" w:cs="Arial"/>
          <w:b/>
          <w:bCs/>
          <w:sz w:val="32"/>
          <w:szCs w:val="32"/>
          <w:u w:val="thick"/>
        </w:rPr>
        <w:t>UNCOLLECTIBLE EXPENSE RIDER</w:t>
      </w:r>
    </w:p>
    <w:p w14:paraId="6EF03269" w14:textId="77777777" w:rsidR="009E5C0E" w:rsidRDefault="009E5C0E">
      <w:pPr>
        <w:rPr>
          <w:rFonts w:ascii="Arial" w:hAnsi="Arial" w:cs="Arial"/>
          <w:sz w:val="20"/>
          <w:szCs w:val="20"/>
        </w:rPr>
      </w:pPr>
    </w:p>
    <w:p w14:paraId="0FCADA10" w14:textId="77777777" w:rsidR="009E5C0E" w:rsidRDefault="00D123F2">
      <w:pPr>
        <w:rPr>
          <w:rFonts w:ascii="Arial" w:hAnsi="Arial" w:cs="Arial"/>
          <w:b/>
          <w:bCs/>
          <w:sz w:val="20"/>
          <w:szCs w:val="20"/>
        </w:rPr>
      </w:pPr>
      <w:r>
        <w:rPr>
          <w:rFonts w:ascii="Arial" w:hAnsi="Arial" w:cs="Arial"/>
          <w:b/>
          <w:bCs/>
          <w:sz w:val="20"/>
          <w:szCs w:val="20"/>
          <w:u w:val="thick"/>
        </w:rPr>
        <w:t>APPLICABILITY</w:t>
      </w:r>
    </w:p>
    <w:p w14:paraId="741C59AC" w14:textId="77777777" w:rsidR="009E5C0E" w:rsidRDefault="00D123F2">
      <w:pPr>
        <w:ind w:left="720"/>
        <w:jc w:val="both"/>
        <w:rPr>
          <w:rFonts w:ascii="Arial" w:hAnsi="Arial" w:cs="Arial"/>
          <w:sz w:val="20"/>
          <w:szCs w:val="20"/>
        </w:rPr>
      </w:pPr>
      <w:r>
        <w:rPr>
          <w:rFonts w:ascii="Arial" w:hAnsi="Arial" w:cs="Arial"/>
          <w:sz w:val="20"/>
          <w:szCs w:val="20"/>
        </w:rPr>
        <w:t>The Uncollectible Expense Rider Rate shall be applicable to all Customers responsible for payment of Company’s Percentage of Income Payment Plan Rider on Sheet No. 40.</w:t>
      </w:r>
    </w:p>
    <w:p w14:paraId="7EA90EB8" w14:textId="77777777" w:rsidR="009E5C0E" w:rsidRDefault="009E5C0E">
      <w:pPr>
        <w:jc w:val="both"/>
        <w:rPr>
          <w:rFonts w:ascii="Arial" w:hAnsi="Arial" w:cs="Arial"/>
          <w:sz w:val="20"/>
          <w:szCs w:val="20"/>
        </w:rPr>
      </w:pPr>
    </w:p>
    <w:p w14:paraId="36A6B722" w14:textId="77777777" w:rsidR="009E5C0E" w:rsidRDefault="00D123F2">
      <w:pPr>
        <w:rPr>
          <w:rFonts w:ascii="Arial" w:hAnsi="Arial" w:cs="Arial"/>
          <w:b/>
          <w:bCs/>
          <w:sz w:val="20"/>
          <w:szCs w:val="20"/>
        </w:rPr>
      </w:pPr>
      <w:r>
        <w:rPr>
          <w:rFonts w:ascii="Arial" w:hAnsi="Arial" w:cs="Arial"/>
          <w:b/>
          <w:bCs/>
          <w:sz w:val="20"/>
          <w:szCs w:val="20"/>
          <w:u w:val="thick"/>
        </w:rPr>
        <w:t>DESCRIPTION</w:t>
      </w:r>
    </w:p>
    <w:p w14:paraId="34CC6ACB" w14:textId="77777777" w:rsidR="009E5C0E" w:rsidRDefault="00D123F2">
      <w:pPr>
        <w:ind w:left="720"/>
        <w:jc w:val="both"/>
        <w:rPr>
          <w:rFonts w:ascii="Arial" w:hAnsi="Arial" w:cs="Arial"/>
          <w:sz w:val="20"/>
          <w:szCs w:val="20"/>
        </w:rPr>
      </w:pPr>
      <w:r>
        <w:rPr>
          <w:rFonts w:ascii="Arial" w:hAnsi="Arial" w:cs="Arial"/>
          <w:sz w:val="20"/>
          <w:szCs w:val="20"/>
        </w:rPr>
        <w:t xml:space="preserve">The </w:t>
      </w:r>
      <w:r>
        <w:rPr>
          <w:rFonts w:ascii="Arial" w:hAnsi="Arial" w:cs="Arial"/>
          <w:sz w:val="20"/>
          <w:szCs w:val="20"/>
        </w:rPr>
        <w:t>Uncollectible Expense Rider Rate shall be applied to all billed Ccf for Gas Service rendered to Customers served under the applicable Rate Schedules.</w:t>
      </w:r>
    </w:p>
    <w:p w14:paraId="2129C69D" w14:textId="77777777" w:rsidR="009E5C0E" w:rsidRDefault="009E5C0E">
      <w:pPr>
        <w:jc w:val="both"/>
        <w:rPr>
          <w:rFonts w:ascii="Arial" w:hAnsi="Arial" w:cs="Arial"/>
          <w:sz w:val="20"/>
          <w:szCs w:val="20"/>
        </w:rPr>
      </w:pPr>
    </w:p>
    <w:p w14:paraId="5AB538D8" w14:textId="77777777" w:rsidR="009E5C0E" w:rsidRDefault="00D123F2">
      <w:pPr>
        <w:ind w:left="720"/>
        <w:jc w:val="both"/>
        <w:rPr>
          <w:rFonts w:ascii="Arial" w:hAnsi="Arial" w:cs="Arial"/>
          <w:sz w:val="20"/>
          <w:szCs w:val="20"/>
        </w:rPr>
      </w:pPr>
      <w:r>
        <w:rPr>
          <w:rFonts w:ascii="Arial" w:hAnsi="Arial" w:cs="Arial"/>
          <w:sz w:val="20"/>
          <w:szCs w:val="20"/>
        </w:rPr>
        <w:t>The Rider shall recover costs associated with uncollectible accounts arising from those Customers in thos</w:t>
      </w:r>
      <w:r>
        <w:rPr>
          <w:rFonts w:ascii="Arial" w:hAnsi="Arial" w:cs="Arial"/>
          <w:sz w:val="20"/>
          <w:szCs w:val="20"/>
        </w:rPr>
        <w:t>e Rate Schedules responsible for paying the Uncollectible Expense Rider.</w:t>
      </w:r>
    </w:p>
    <w:p w14:paraId="75529F11" w14:textId="77777777" w:rsidR="009E5C0E" w:rsidRDefault="009E5C0E">
      <w:pPr>
        <w:jc w:val="both"/>
        <w:rPr>
          <w:rFonts w:ascii="Arial" w:hAnsi="Arial" w:cs="Arial"/>
          <w:sz w:val="20"/>
          <w:szCs w:val="20"/>
        </w:rPr>
      </w:pPr>
    </w:p>
    <w:p w14:paraId="7DAD3EE4" w14:textId="77777777" w:rsidR="009E5C0E" w:rsidRDefault="00D123F2">
      <w:pPr>
        <w:ind w:left="720"/>
        <w:jc w:val="both"/>
        <w:rPr>
          <w:sz w:val="20"/>
          <w:szCs w:val="20"/>
        </w:rPr>
      </w:pPr>
      <w:r>
        <w:rPr>
          <w:sz w:val="20"/>
          <w:szCs w:val="20"/>
        </w:rPr>
        <w:t xml:space="preserve">Company's actual uncollectible expense for the applicable Rate Schedules, including carrying charges, shall be reconciled annually, with any over or under collection being reflected </w:t>
      </w:r>
      <w:r>
        <w:rPr>
          <w:sz w:val="20"/>
          <w:szCs w:val="20"/>
        </w:rPr>
        <w:t xml:space="preserve">as a charge or credit in a subsequent update of the Rider Rate. </w:t>
      </w:r>
    </w:p>
    <w:p w14:paraId="7A52AA6F" w14:textId="77777777" w:rsidR="009E5C0E" w:rsidRDefault="009E5C0E">
      <w:pPr>
        <w:ind w:left="720"/>
        <w:jc w:val="both"/>
        <w:rPr>
          <w:sz w:val="20"/>
          <w:szCs w:val="20"/>
        </w:rPr>
      </w:pPr>
    </w:p>
    <w:p w14:paraId="50615D08" w14:textId="77777777" w:rsidR="009E5C0E" w:rsidRDefault="00D123F2">
      <w:pPr>
        <w:ind w:left="720"/>
        <w:jc w:val="both"/>
        <w:rPr>
          <w:rFonts w:ascii="Arial" w:hAnsi="Arial" w:cs="Arial"/>
          <w:sz w:val="20"/>
          <w:szCs w:val="20"/>
        </w:rPr>
      </w:pPr>
      <w:r>
        <w:rPr>
          <w:rFonts w:ascii="Arial" w:hAnsi="Arial" w:cs="Arial"/>
          <w:sz w:val="20"/>
          <w:szCs w:val="20"/>
        </w:rPr>
        <w:t>Company shall file an application with the Commission requesting approval to change the Uncollectible Expense Rider Rate if Company determines that an adjustment of more than plus or minus t</w:t>
      </w:r>
      <w:r>
        <w:rPr>
          <w:rFonts w:ascii="Arial" w:hAnsi="Arial" w:cs="Arial"/>
          <w:sz w:val="20"/>
          <w:szCs w:val="20"/>
        </w:rPr>
        <w:t>en percent (10%) is needed.</w:t>
      </w:r>
    </w:p>
    <w:p w14:paraId="423AEDB9" w14:textId="77777777" w:rsidR="009E5C0E" w:rsidRDefault="009E5C0E">
      <w:pPr>
        <w:jc w:val="both"/>
        <w:rPr>
          <w:rFonts w:ascii="Arial" w:hAnsi="Arial" w:cs="Arial"/>
          <w:sz w:val="20"/>
          <w:szCs w:val="20"/>
        </w:rPr>
      </w:pPr>
    </w:p>
    <w:p w14:paraId="69BEA8AC" w14:textId="77777777" w:rsidR="009E5C0E" w:rsidRDefault="00D123F2">
      <w:pPr>
        <w:rPr>
          <w:rFonts w:ascii="Arial" w:eastAsia="Arial" w:hAnsi="Arial" w:cs="Arial"/>
          <w:b/>
          <w:bCs/>
          <w:sz w:val="20"/>
          <w:szCs w:val="20"/>
        </w:rPr>
      </w:pPr>
      <w:r>
        <w:rPr>
          <w:rFonts w:ascii="Arial" w:eastAsia="Arial" w:hAnsi="Arial" w:cs="Arial"/>
          <w:b/>
          <w:bCs/>
          <w:sz w:val="20"/>
          <w:szCs w:val="20"/>
          <w:u w:val="thick"/>
        </w:rPr>
        <w:t>RECONCILIATION</w:t>
      </w:r>
    </w:p>
    <w:p w14:paraId="5259BFDA" w14:textId="77777777" w:rsidR="009E5C0E" w:rsidRDefault="00D123F2">
      <w:pPr>
        <w:ind w:left="720"/>
        <w:jc w:val="both"/>
        <w:rPr>
          <w:rFonts w:ascii="Arial" w:hAnsi="Arial" w:cs="Arial"/>
          <w:sz w:val="20"/>
          <w:szCs w:val="20"/>
        </w:rPr>
      </w:pPr>
      <w:r>
        <w:rPr>
          <w:rFonts w:ascii="Arial" w:hAnsi="Arial" w:cs="Arial"/>
          <w:sz w:val="20"/>
          <w:szCs w:val="20"/>
        </w:rPr>
        <w:t xml:space="preserve">The Uncollectible Expense Rider is subject to reconciliation or adjustment annually, including but not limited to, increases or refunds. Such reconciliation or adjustment shall be limited to the </w:t>
      </w:r>
      <w:r>
        <w:rPr>
          <w:rFonts w:ascii="Arial" w:hAnsi="Arial" w:cs="Arial"/>
          <w:sz w:val="20"/>
          <w:szCs w:val="20"/>
        </w:rPr>
        <w:t>twelve-month period of expenditures upon which the rates were calculated, if determined to be unlawful, unreasonable, or imprudent by the Commission in the docket those rates were approved or the Supreme Court of Ohio.</w:t>
      </w:r>
    </w:p>
    <w:p w14:paraId="5821E137" w14:textId="77777777" w:rsidR="009E5C0E" w:rsidRDefault="009E5C0E">
      <w:pPr>
        <w:rPr>
          <w:rFonts w:ascii="Arial" w:hAnsi="Arial" w:cs="Arial"/>
          <w:sz w:val="20"/>
          <w:szCs w:val="20"/>
        </w:rPr>
      </w:pPr>
    </w:p>
    <w:p w14:paraId="26C9DEB6" w14:textId="77777777" w:rsidR="009E5C0E" w:rsidRDefault="00D123F2">
      <w:pPr>
        <w:rPr>
          <w:rFonts w:ascii="Arial" w:hAnsi="Arial" w:cs="Arial"/>
          <w:b/>
          <w:bCs/>
          <w:sz w:val="20"/>
          <w:szCs w:val="20"/>
        </w:rPr>
      </w:pPr>
      <w:r>
        <w:rPr>
          <w:rFonts w:ascii="Arial" w:hAnsi="Arial" w:cs="Arial"/>
          <w:b/>
          <w:bCs/>
          <w:sz w:val="20"/>
          <w:szCs w:val="20"/>
          <w:u w:val="thick"/>
        </w:rPr>
        <w:t>UNCOLLECTIBLE EXPENSE RIDER RATE</w:t>
      </w:r>
    </w:p>
    <w:p w14:paraId="2971BCE4" w14:textId="77777777" w:rsidR="009E5C0E" w:rsidRDefault="00D123F2">
      <w:pPr>
        <w:ind w:left="720"/>
        <w:rPr>
          <w:rFonts w:ascii="Arial" w:hAnsi="Arial" w:cs="Arial"/>
          <w:sz w:val="20"/>
          <w:szCs w:val="20"/>
        </w:rPr>
      </w:pPr>
      <w:r>
        <w:rPr>
          <w:rFonts w:ascii="Arial" w:hAnsi="Arial" w:cs="Arial"/>
          <w:sz w:val="20"/>
          <w:szCs w:val="20"/>
        </w:rPr>
        <w:t>The</w:t>
      </w:r>
      <w:r>
        <w:rPr>
          <w:rFonts w:ascii="Arial" w:hAnsi="Arial" w:cs="Arial"/>
          <w:sz w:val="20"/>
          <w:szCs w:val="20"/>
        </w:rPr>
        <w:t xml:space="preserve"> Uncollectible Expense Rider Rate is $0.00276 per Billing Ccf.</w:t>
      </w:r>
    </w:p>
    <w:p w14:paraId="0B684954" w14:textId="77777777" w:rsidR="009E5C0E" w:rsidRDefault="009E5C0E">
      <w:pPr>
        <w:rPr>
          <w:rFonts w:ascii="Arial" w:hAnsi="Arial" w:cs="Arial"/>
          <w:sz w:val="20"/>
          <w:szCs w:val="20"/>
        </w:rPr>
      </w:pPr>
    </w:p>
    <w:p w14:paraId="3AD1CE78" w14:textId="77777777" w:rsidR="009E5C0E" w:rsidRDefault="009E5C0E">
      <w:pPr>
        <w:rPr>
          <w:rFonts w:ascii="Arial" w:hAnsi="Arial" w:cs="Arial"/>
          <w:sz w:val="20"/>
          <w:szCs w:val="20"/>
        </w:rPr>
      </w:pPr>
    </w:p>
    <w:p w14:paraId="1DEA98DA" w14:textId="77777777" w:rsidR="009E5C0E" w:rsidRDefault="009E5C0E">
      <w:pPr>
        <w:rPr>
          <w:rFonts w:ascii="Arial" w:hAnsi="Arial" w:cs="Arial"/>
          <w:sz w:val="20"/>
          <w:szCs w:val="20"/>
        </w:rPr>
      </w:pPr>
    </w:p>
    <w:p w14:paraId="4BF6B312" w14:textId="77777777" w:rsidR="009E5C0E" w:rsidRDefault="009E5C0E">
      <w:pPr>
        <w:rPr>
          <w:rFonts w:ascii="Arial" w:hAnsi="Arial" w:cs="Arial"/>
          <w:sz w:val="20"/>
          <w:szCs w:val="20"/>
        </w:rPr>
      </w:pPr>
    </w:p>
    <w:p w14:paraId="52408524" w14:textId="77777777" w:rsidR="009E5C0E" w:rsidRDefault="009E5C0E">
      <w:pPr>
        <w:rPr>
          <w:rFonts w:ascii="Arial" w:hAnsi="Arial" w:cs="Arial"/>
          <w:sz w:val="20"/>
          <w:szCs w:val="20"/>
        </w:rPr>
      </w:pPr>
    </w:p>
    <w:p w14:paraId="10409A7C" w14:textId="77777777" w:rsidR="009E5C0E" w:rsidRDefault="009E5C0E">
      <w:pPr>
        <w:rPr>
          <w:rFonts w:ascii="Arial" w:hAnsi="Arial" w:cs="Arial"/>
          <w:sz w:val="20"/>
          <w:szCs w:val="20"/>
        </w:rPr>
      </w:pPr>
    </w:p>
    <w:p w14:paraId="197349D0" w14:textId="77777777" w:rsidR="009E5C0E" w:rsidRDefault="009E5C0E">
      <w:pPr>
        <w:rPr>
          <w:rFonts w:ascii="Arial" w:hAnsi="Arial" w:cs="Arial"/>
          <w:sz w:val="20"/>
          <w:szCs w:val="20"/>
        </w:rPr>
      </w:pPr>
    </w:p>
    <w:p w14:paraId="76E35DF7" w14:textId="77777777" w:rsidR="009E5C0E" w:rsidRDefault="009E5C0E">
      <w:pPr>
        <w:rPr>
          <w:rFonts w:ascii="Arial" w:hAnsi="Arial" w:cs="Arial"/>
          <w:sz w:val="20"/>
          <w:szCs w:val="20"/>
        </w:rPr>
      </w:pPr>
    </w:p>
    <w:p w14:paraId="0B98CFC9" w14:textId="77777777" w:rsidR="009E5C0E" w:rsidRDefault="009E5C0E">
      <w:pPr>
        <w:rPr>
          <w:rFonts w:ascii="Arial" w:hAnsi="Arial" w:cs="Arial"/>
          <w:sz w:val="20"/>
          <w:szCs w:val="20"/>
        </w:rPr>
      </w:pPr>
    </w:p>
    <w:p w14:paraId="0067F9A9" w14:textId="77777777" w:rsidR="009E5C0E" w:rsidRDefault="009E5C0E">
      <w:pPr>
        <w:rPr>
          <w:rFonts w:ascii="Arial" w:hAnsi="Arial" w:cs="Arial"/>
          <w:sz w:val="20"/>
          <w:szCs w:val="20"/>
        </w:rPr>
      </w:pPr>
    </w:p>
    <w:p w14:paraId="2FE17F3E" w14:textId="77777777" w:rsidR="009E5C0E" w:rsidRDefault="009E5C0E">
      <w:pPr>
        <w:rPr>
          <w:rFonts w:ascii="Arial" w:hAnsi="Arial" w:cs="Arial"/>
          <w:sz w:val="20"/>
          <w:szCs w:val="20"/>
        </w:rPr>
      </w:pPr>
    </w:p>
    <w:p w14:paraId="78DB45DD" w14:textId="77777777" w:rsidR="009E5C0E" w:rsidRDefault="009E5C0E">
      <w:pPr>
        <w:rPr>
          <w:rFonts w:ascii="Arial" w:hAnsi="Arial" w:cs="Arial"/>
          <w:sz w:val="20"/>
          <w:szCs w:val="20"/>
        </w:rPr>
      </w:pPr>
    </w:p>
    <w:p w14:paraId="0F141D6F" w14:textId="77777777" w:rsidR="009E5C0E" w:rsidRDefault="009E5C0E">
      <w:pPr>
        <w:rPr>
          <w:rFonts w:ascii="Arial" w:hAnsi="Arial" w:cs="Arial"/>
          <w:sz w:val="20"/>
          <w:szCs w:val="20"/>
        </w:rPr>
      </w:pPr>
    </w:p>
    <w:sectPr w:rsidR="009E5C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E6A04" w14:textId="77777777" w:rsidR="009E5C0E" w:rsidRDefault="00D123F2">
      <w:r>
        <w:separator/>
      </w:r>
    </w:p>
  </w:endnote>
  <w:endnote w:type="continuationSeparator" w:id="0">
    <w:p w14:paraId="61275B80" w14:textId="77777777" w:rsidR="009E5C0E" w:rsidRDefault="00D1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9E2C" w14:textId="77777777" w:rsidR="00D123F2" w:rsidRDefault="00D1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E9459" w14:textId="77777777" w:rsidR="009E5C0E" w:rsidRDefault="009E5C0E">
    <w:pPr>
      <w:tabs>
        <w:tab w:val="center" w:pos="4680"/>
        <w:tab w:val="right" w:pos="9360"/>
      </w:tabs>
      <w:rPr>
        <w:rFonts w:ascii="Arial" w:eastAsia="Arial" w:hAnsi="Arial" w:cs="Times New Roman"/>
        <w:sz w:val="20"/>
        <w:szCs w:val="20"/>
      </w:rPr>
    </w:pPr>
  </w:p>
  <w:p w14:paraId="047DFA78" w14:textId="77777777" w:rsidR="009E5C0E" w:rsidRDefault="00D123F2">
    <w:pPr>
      <w:tabs>
        <w:tab w:val="center" w:pos="4680"/>
        <w:tab w:val="right" w:pos="9360"/>
      </w:tabs>
      <w:rPr>
        <w:rFonts w:ascii="Arial" w:eastAsia="Arial" w:hAnsi="Arial" w:cs="Times New Roman"/>
        <w:sz w:val="20"/>
        <w:szCs w:val="20"/>
      </w:rPr>
    </w:pPr>
    <w:r>
      <w:rPr>
        <w:rFonts w:ascii="Arial" w:eastAsia="Arial" w:hAnsi="Arial" w:cs="Times New Roman"/>
        <w:sz w:val="20"/>
        <w:szCs w:val="20"/>
      </w:rPr>
      <w:pict w14:anchorId="591B1652">
        <v:rect id="_x0000_i1025" style="width:468pt;height:1.5pt" o:hralign="center" o:hrstd="t" o:hrnoshade="t" o:hr="t" fillcolor="black" stroked="f"/>
      </w:pict>
    </w:r>
  </w:p>
  <w:p w14:paraId="6FFE82CA" w14:textId="22251995" w:rsidR="009E5C0E" w:rsidRDefault="00D123F2">
    <w:pPr>
      <w:widowControl w:val="0"/>
      <w:autoSpaceDE w:val="0"/>
      <w:autoSpaceDN w:val="0"/>
      <w:rPr>
        <w:rFonts w:ascii="Arial" w:eastAsia="Arial" w:hAnsi="Arial" w:cs="Arial"/>
        <w:sz w:val="20"/>
        <w:szCs w:val="20"/>
      </w:rPr>
    </w:pPr>
    <w:r>
      <w:rPr>
        <w:rFonts w:ascii="Arial" w:eastAsia="Arial" w:hAnsi="Arial" w:cs="Arial"/>
        <w:sz w:val="20"/>
        <w:szCs w:val="20"/>
      </w:rPr>
      <w:t xml:space="preserve">Filed </w:t>
    </w:r>
    <w:r>
      <w:rPr>
        <w:rFonts w:ascii="Arial" w:eastAsia="Arial" w:hAnsi="Arial" w:cs="Arial"/>
        <w:spacing w:val="-3"/>
        <w:sz w:val="20"/>
        <w:szCs w:val="20"/>
      </w:rPr>
      <w:t xml:space="preserve">pursuant </w:t>
    </w:r>
    <w:r>
      <w:rPr>
        <w:rFonts w:ascii="Arial" w:eastAsia="Arial" w:hAnsi="Arial" w:cs="Arial"/>
        <w:sz w:val="20"/>
        <w:szCs w:val="20"/>
      </w:rPr>
      <w:t xml:space="preserve">to the Finding and </w:t>
    </w:r>
    <w:r>
      <w:rPr>
        <w:rFonts w:ascii="Arial" w:eastAsia="Arial" w:hAnsi="Arial" w:cs="Arial"/>
        <w:spacing w:val="-3"/>
        <w:sz w:val="20"/>
        <w:szCs w:val="20"/>
      </w:rPr>
      <w:t>Order dated July 28, 2021</w:t>
    </w:r>
    <w:r>
      <w:rPr>
        <w:rFonts w:ascii="Arial" w:eastAsia="Arial" w:hAnsi="Arial" w:cs="Arial"/>
        <w:spacing w:val="-3"/>
        <w:sz w:val="20"/>
        <w:szCs w:val="20"/>
      </w:rPr>
      <w:t xml:space="preserve"> </w:t>
    </w:r>
    <w:r>
      <w:rPr>
        <w:rFonts w:ascii="Arial" w:eastAsia="Arial" w:hAnsi="Arial" w:cs="Arial"/>
        <w:sz w:val="20"/>
        <w:szCs w:val="20"/>
      </w:rPr>
      <w:t>in Case No. 21-0320-GA-UEX</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11EC7E3D" w14:textId="77777777" w:rsidR="009E5C0E" w:rsidRDefault="009E5C0E">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9E5C0E" w14:paraId="437AFDB8" w14:textId="77777777">
      <w:tc>
        <w:tcPr>
          <w:tcW w:w="2880" w:type="dxa"/>
        </w:tcPr>
        <w:p w14:paraId="38B3B191" w14:textId="17696B21" w:rsidR="009E5C0E" w:rsidRDefault="00D123F2">
          <w:pPr>
            <w:rPr>
              <w:rFonts w:ascii="Arial" w:eastAsia="Arial" w:hAnsi="Arial" w:cs="Arial"/>
              <w:sz w:val="18"/>
              <w:szCs w:val="18"/>
            </w:rPr>
          </w:pPr>
          <w:r>
            <w:rPr>
              <w:rFonts w:ascii="Arial" w:eastAsia="Arial" w:hAnsi="Arial" w:cs="Arial"/>
              <w:sz w:val="18"/>
              <w:szCs w:val="18"/>
            </w:rPr>
            <w:t>Issued July 28, 2021</w:t>
          </w:r>
        </w:p>
      </w:tc>
      <w:tc>
        <w:tcPr>
          <w:tcW w:w="4032" w:type="dxa"/>
        </w:tcPr>
        <w:p w14:paraId="60AFE57C" w14:textId="77777777" w:rsidR="009E5C0E" w:rsidRDefault="00D123F2">
          <w:pPr>
            <w:rPr>
              <w:rFonts w:ascii="Arial" w:eastAsia="Arial" w:hAnsi="Arial" w:cs="Arial"/>
              <w:sz w:val="18"/>
              <w:szCs w:val="18"/>
            </w:rPr>
          </w:pPr>
          <w:r>
            <w:rPr>
              <w:rFonts w:ascii="Arial" w:eastAsia="Arial" w:hAnsi="Arial" w:cs="Arial"/>
              <w:sz w:val="18"/>
              <w:szCs w:val="18"/>
            </w:rPr>
            <w:t>Issued by Katie J. Tieken, Director</w:t>
          </w:r>
        </w:p>
      </w:tc>
      <w:tc>
        <w:tcPr>
          <w:tcW w:w="2448" w:type="dxa"/>
        </w:tcPr>
        <w:p w14:paraId="5703AFC5" w14:textId="27909395" w:rsidR="00D123F2" w:rsidRDefault="00D123F2">
          <w:pPr>
            <w:rPr>
              <w:rFonts w:ascii="Arial" w:eastAsia="Arial" w:hAnsi="Arial" w:cs="Arial"/>
              <w:sz w:val="18"/>
              <w:szCs w:val="18"/>
            </w:rPr>
          </w:pPr>
          <w:r>
            <w:rPr>
              <w:rFonts w:ascii="Arial" w:eastAsia="Arial" w:hAnsi="Arial" w:cs="Arial"/>
              <w:spacing w:val="-3"/>
              <w:sz w:val="18"/>
              <w:szCs w:val="18"/>
            </w:rPr>
            <w:t xml:space="preserve">Effective </w:t>
          </w:r>
          <w:r>
            <w:rPr>
              <w:rFonts w:ascii="Arial" w:eastAsia="Arial" w:hAnsi="Arial" w:cs="Arial"/>
              <w:sz w:val="18"/>
              <w:szCs w:val="18"/>
            </w:rPr>
            <w:t xml:space="preserve">July 29, </w:t>
          </w:r>
          <w:r>
            <w:rPr>
              <w:rFonts w:ascii="Arial" w:eastAsia="Arial" w:hAnsi="Arial" w:cs="Arial"/>
              <w:sz w:val="18"/>
              <w:szCs w:val="18"/>
            </w:rPr>
            <w:t>2021</w:t>
          </w:r>
        </w:p>
      </w:tc>
    </w:tr>
  </w:tbl>
  <w:p w14:paraId="60645DEC" w14:textId="77777777" w:rsidR="009E5C0E" w:rsidRDefault="009E5C0E">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4EB8" w14:textId="77777777" w:rsidR="00D123F2" w:rsidRDefault="00D1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9DF67" w14:textId="77777777" w:rsidR="009E5C0E" w:rsidRDefault="00D123F2">
      <w:r>
        <w:separator/>
      </w:r>
    </w:p>
  </w:footnote>
  <w:footnote w:type="continuationSeparator" w:id="0">
    <w:p w14:paraId="286823F5" w14:textId="77777777" w:rsidR="009E5C0E" w:rsidRDefault="00D1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186A" w14:textId="77777777" w:rsidR="00D123F2" w:rsidRDefault="00D1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9E5C0E" w14:paraId="005E24D3" w14:textId="77777777">
      <w:trPr>
        <w:trHeight w:val="90"/>
      </w:trPr>
      <w:tc>
        <w:tcPr>
          <w:tcW w:w="5760" w:type="dxa"/>
        </w:tcPr>
        <w:p w14:paraId="731909BB" w14:textId="77777777" w:rsidR="009E5C0E" w:rsidRDefault="00D123F2">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22973A94" w14:textId="77777777" w:rsidR="009E5C0E" w:rsidRDefault="00D123F2">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EAF0C1F" w14:textId="77777777" w:rsidR="009E5C0E" w:rsidRDefault="00D123F2">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3C70B842" w14:textId="77777777" w:rsidR="009E5C0E" w:rsidRDefault="00D123F2">
          <w:pPr>
            <w:tabs>
              <w:tab w:val="left" w:pos="6480"/>
            </w:tabs>
            <w:rPr>
              <w:rFonts w:ascii="Arial" w:eastAsia="Arial" w:hAnsi="Arial" w:cs="Arial"/>
              <w:spacing w:val="-3"/>
              <w:sz w:val="20"/>
              <w:szCs w:val="20"/>
            </w:rPr>
          </w:pPr>
          <w:r>
            <w:rPr>
              <w:rFonts w:ascii="Arial" w:eastAsia="Arial" w:hAnsi="Arial" w:cs="Arial"/>
              <w:spacing w:val="-3"/>
              <w:sz w:val="20"/>
              <w:szCs w:val="20"/>
            </w:rPr>
            <w:t>Sheet No. 39</w:t>
          </w:r>
        </w:p>
        <w:p w14:paraId="4B59A241" w14:textId="77777777" w:rsidR="009E5C0E" w:rsidRDefault="00D123F2">
          <w:pPr>
            <w:tabs>
              <w:tab w:val="left" w:pos="6480"/>
            </w:tabs>
            <w:rPr>
              <w:rFonts w:ascii="Arial" w:eastAsia="Arial" w:hAnsi="Arial" w:cs="Arial"/>
              <w:spacing w:val="-3"/>
              <w:sz w:val="20"/>
              <w:szCs w:val="20"/>
            </w:rPr>
          </w:pPr>
          <w:r>
            <w:rPr>
              <w:rFonts w:ascii="Arial" w:eastAsia="Arial" w:hAnsi="Arial" w:cs="Arial"/>
              <w:spacing w:val="-3"/>
              <w:sz w:val="20"/>
              <w:szCs w:val="20"/>
            </w:rPr>
            <w:t>Second Revised Page 1 of 1</w:t>
          </w:r>
        </w:p>
        <w:p w14:paraId="48B26F21" w14:textId="77777777" w:rsidR="009E5C0E" w:rsidRDefault="00D123F2">
          <w:pPr>
            <w:tabs>
              <w:tab w:val="left" w:pos="6480"/>
            </w:tabs>
            <w:rPr>
              <w:rFonts w:ascii="Arial" w:eastAsia="Arial" w:hAnsi="Arial" w:cs="Arial"/>
              <w:spacing w:val="-3"/>
              <w:sz w:val="20"/>
              <w:szCs w:val="20"/>
            </w:rPr>
          </w:pPr>
          <w:r>
            <w:rPr>
              <w:rFonts w:ascii="Arial" w:eastAsia="Arial" w:hAnsi="Arial" w:cs="Arial"/>
              <w:spacing w:val="-3"/>
              <w:sz w:val="20"/>
              <w:szCs w:val="20"/>
            </w:rPr>
            <w:t>Cancels First Revised 1 of 1</w:t>
          </w:r>
        </w:p>
      </w:tc>
    </w:tr>
  </w:tbl>
  <w:p w14:paraId="36B77258" w14:textId="77777777" w:rsidR="009E5C0E" w:rsidRDefault="009E5C0E">
    <w:pPr>
      <w:tabs>
        <w:tab w:val="center" w:pos="4680"/>
        <w:tab w:val="right" w:pos="9360"/>
      </w:tabs>
      <w:rPr>
        <w:rFonts w:ascii="Arial" w:eastAsia="Arial" w:hAnsi="Arial"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C764" w14:textId="77777777" w:rsidR="00D123F2" w:rsidRDefault="00D1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5"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6"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7"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8"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D2442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1"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3"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4"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16"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19" w15:restartNumberingAfterBreak="0">
    <w:nsid w:val="16C94B03"/>
    <w:multiLevelType w:val="hybridMultilevel"/>
    <w:tmpl w:val="D82E1690"/>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33ECB5E">
      <w:start w:val="1"/>
      <w:numFmt w:val="decimal"/>
      <w:lvlText w:val="(%2)"/>
      <w:lvlJc w:val="left"/>
      <w:pPr>
        <w:ind w:left="1440" w:hanging="360"/>
      </w:pPr>
      <w:rPr>
        <w:rFonts w:ascii="Arial" w:eastAsia="Arial" w:hAnsi="Arial" w:cs="Arial" w:hint="default"/>
        <w:spacing w:val="-3"/>
        <w:w w:val="10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1"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3"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24"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25"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6"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27"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29"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3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3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3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3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3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37"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38"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41"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1026"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42"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43" w15:restartNumberingAfterBreak="0">
    <w:nsid w:val="3E0201A7"/>
    <w:multiLevelType w:val="hybridMultilevel"/>
    <w:tmpl w:val="4574E30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4"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45"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46"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48" w15:restartNumberingAfterBreak="0">
    <w:nsid w:val="43EF5CC2"/>
    <w:multiLevelType w:val="hybridMultilevel"/>
    <w:tmpl w:val="B7024466"/>
    <w:lvl w:ilvl="0" w:tplc="84DC93E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50"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51"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53"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54"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55"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56"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57"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58"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59"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6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6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5"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6"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69"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73"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58"/>
  </w:num>
  <w:num w:numId="4">
    <w:abstractNumId w:val="65"/>
  </w:num>
  <w:num w:numId="5">
    <w:abstractNumId w:val="50"/>
  </w:num>
  <w:num w:numId="6">
    <w:abstractNumId w:val="62"/>
  </w:num>
  <w:num w:numId="7">
    <w:abstractNumId w:val="12"/>
  </w:num>
  <w:num w:numId="8">
    <w:abstractNumId w:val="41"/>
  </w:num>
  <w:num w:numId="9">
    <w:abstractNumId w:val="56"/>
  </w:num>
  <w:num w:numId="10">
    <w:abstractNumId w:val="7"/>
  </w:num>
  <w:num w:numId="11">
    <w:abstractNumId w:val="2"/>
  </w:num>
  <w:num w:numId="12">
    <w:abstractNumId w:val="24"/>
  </w:num>
  <w:num w:numId="13">
    <w:abstractNumId w:val="18"/>
  </w:num>
  <w:num w:numId="14">
    <w:abstractNumId w:val="53"/>
  </w:num>
  <w:num w:numId="15">
    <w:abstractNumId w:val="54"/>
  </w:num>
  <w:num w:numId="16">
    <w:abstractNumId w:val="37"/>
  </w:num>
  <w:num w:numId="17">
    <w:abstractNumId w:val="33"/>
  </w:num>
  <w:num w:numId="18">
    <w:abstractNumId w:val="70"/>
  </w:num>
  <w:num w:numId="19">
    <w:abstractNumId w:val="52"/>
  </w:num>
  <w:num w:numId="20">
    <w:abstractNumId w:val="36"/>
  </w:num>
  <w:num w:numId="21">
    <w:abstractNumId w:val="68"/>
  </w:num>
  <w:num w:numId="22">
    <w:abstractNumId w:val="20"/>
  </w:num>
  <w:num w:numId="23">
    <w:abstractNumId w:val="63"/>
  </w:num>
  <w:num w:numId="24">
    <w:abstractNumId w:val="57"/>
  </w:num>
  <w:num w:numId="25">
    <w:abstractNumId w:val="31"/>
  </w:num>
  <w:num w:numId="26">
    <w:abstractNumId w:val="34"/>
  </w:num>
  <w:num w:numId="27">
    <w:abstractNumId w:val="4"/>
  </w:num>
  <w:num w:numId="28">
    <w:abstractNumId w:val="30"/>
  </w:num>
  <w:num w:numId="29">
    <w:abstractNumId w:val="45"/>
  </w:num>
  <w:num w:numId="30">
    <w:abstractNumId w:val="40"/>
  </w:num>
  <w:num w:numId="31">
    <w:abstractNumId w:val="10"/>
  </w:num>
  <w:num w:numId="32">
    <w:abstractNumId w:val="28"/>
  </w:num>
  <w:num w:numId="33">
    <w:abstractNumId w:val="5"/>
  </w:num>
  <w:num w:numId="34">
    <w:abstractNumId w:val="1"/>
  </w:num>
  <w:num w:numId="35">
    <w:abstractNumId w:val="25"/>
  </w:num>
  <w:num w:numId="36">
    <w:abstractNumId w:val="15"/>
  </w:num>
  <w:num w:numId="37">
    <w:abstractNumId w:val="3"/>
  </w:num>
  <w:num w:numId="38">
    <w:abstractNumId w:val="9"/>
  </w:num>
  <w:num w:numId="39">
    <w:abstractNumId w:val="44"/>
  </w:num>
  <w:num w:numId="40">
    <w:abstractNumId w:val="73"/>
  </w:num>
  <w:num w:numId="41">
    <w:abstractNumId w:val="11"/>
  </w:num>
  <w:num w:numId="42">
    <w:abstractNumId w:val="26"/>
  </w:num>
  <w:num w:numId="43">
    <w:abstractNumId w:val="72"/>
  </w:num>
  <w:num w:numId="44">
    <w:abstractNumId w:val="59"/>
  </w:num>
  <w:num w:numId="45">
    <w:abstractNumId w:val="46"/>
  </w:num>
  <w:num w:numId="46">
    <w:abstractNumId w:val="17"/>
  </w:num>
  <w:num w:numId="47">
    <w:abstractNumId w:val="29"/>
  </w:num>
  <w:num w:numId="48">
    <w:abstractNumId w:val="16"/>
  </w:num>
  <w:num w:numId="49">
    <w:abstractNumId w:val="14"/>
  </w:num>
  <w:num w:numId="50">
    <w:abstractNumId w:val="69"/>
  </w:num>
  <w:num w:numId="51">
    <w:abstractNumId w:val="61"/>
  </w:num>
  <w:num w:numId="52">
    <w:abstractNumId w:val="38"/>
  </w:num>
  <w:num w:numId="53">
    <w:abstractNumId w:val="27"/>
  </w:num>
  <w:num w:numId="54">
    <w:abstractNumId w:val="60"/>
  </w:num>
  <w:num w:numId="55">
    <w:abstractNumId w:val="42"/>
  </w:num>
  <w:num w:numId="56">
    <w:abstractNumId w:val="8"/>
  </w:num>
  <w:num w:numId="57">
    <w:abstractNumId w:val="64"/>
  </w:num>
  <w:num w:numId="58">
    <w:abstractNumId w:val="19"/>
  </w:num>
  <w:num w:numId="59">
    <w:abstractNumId w:val="23"/>
  </w:num>
  <w:num w:numId="60">
    <w:abstractNumId w:val="39"/>
  </w:num>
  <w:num w:numId="61">
    <w:abstractNumId w:val="22"/>
  </w:num>
  <w:num w:numId="62">
    <w:abstractNumId w:val="71"/>
  </w:num>
  <w:num w:numId="63">
    <w:abstractNumId w:val="66"/>
  </w:num>
  <w:num w:numId="64">
    <w:abstractNumId w:val="49"/>
  </w:num>
  <w:num w:numId="65">
    <w:abstractNumId w:val="35"/>
  </w:num>
  <w:num w:numId="66">
    <w:abstractNumId w:val="0"/>
  </w:num>
  <w:num w:numId="67">
    <w:abstractNumId w:val="47"/>
  </w:num>
  <w:num w:numId="68">
    <w:abstractNumId w:val="13"/>
  </w:num>
  <w:num w:numId="69">
    <w:abstractNumId w:val="67"/>
  </w:num>
  <w:num w:numId="70">
    <w:abstractNumId w:val="48"/>
  </w:num>
  <w:num w:numId="71">
    <w:abstractNumId w:val="55"/>
  </w:num>
  <w:num w:numId="72">
    <w:abstractNumId w:val="21"/>
  </w:num>
  <w:num w:numId="73">
    <w:abstractNumId w:val="51"/>
  </w:num>
  <w:num w:numId="74">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432"/>
  <w:characterSpacingControl w:val="doNotCompress"/>
  <w:hdrShapeDefaults>
    <o:shapedefaults v:ext="edit" spidmax="798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0E"/>
    <w:rsid w:val="009E5C0E"/>
    <w:rsid w:val="00D1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110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0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FEB9-FBBD-4276-83FF-860199D2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2021-07-28T16:14:00Z</dcterms:created>
  <dcterms:modified xsi:type="dcterms:W3CDTF">2021-07-28T16:14:00Z</dcterms:modified>
</cp:coreProperties>
</file>