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B759A" w:rsidRPr="00A50D31" w:rsidP="002B759A" w14:paraId="447CC2AB" w14:textId="77777777">
      <w:pPr>
        <w:pStyle w:val="BodyText"/>
        <w:adjustRightInd/>
        <w:rPr>
          <w:bCs w:val="0"/>
        </w:rPr>
      </w:pPr>
      <w:bookmarkStart w:id="0" w:name="_GoBack"/>
      <w:bookmarkEnd w:id="0"/>
      <w:r w:rsidRPr="00A50D31">
        <w:rPr>
          <w:bCs w:val="0"/>
        </w:rPr>
        <w:t>BEFORE</w:t>
      </w:r>
    </w:p>
    <w:p w:rsidR="002B759A" w:rsidRPr="00A50D31" w:rsidP="002B759A" w14:paraId="0144E9D9" w14:textId="77777777">
      <w:pPr>
        <w:pStyle w:val="BodyText"/>
        <w:adjustRightInd/>
        <w:rPr>
          <w:bCs w:val="0"/>
        </w:rPr>
      </w:pPr>
      <w:r w:rsidRPr="00A50D31">
        <w:rPr>
          <w:bCs w:val="0"/>
        </w:rPr>
        <w:t>THE PUBLIC UTILITIES COMMISSION OF OHIO</w:t>
      </w:r>
    </w:p>
    <w:p w:rsidR="002B759A" w:rsidRPr="00A50D31" w:rsidP="002B759A" w14:paraId="4BCBE77F" w14:textId="77777777">
      <w:pPr>
        <w:pStyle w:val="HTMLPreformatted"/>
        <w:adjustRightInd/>
        <w:rPr>
          <w:rFonts w:ascii="Times New Roman" w:hAnsi="Times New Roman" w:cs="Times New Roman"/>
          <w:sz w:val="24"/>
          <w:szCs w:val="24"/>
        </w:rPr>
      </w:pPr>
    </w:p>
    <w:tbl>
      <w:tblPr>
        <w:tblW w:w="8640" w:type="dxa"/>
        <w:tblLayout w:type="fixed"/>
        <w:tblLook w:val="01E0"/>
      </w:tblPr>
      <w:tblGrid>
        <w:gridCol w:w="4332"/>
        <w:gridCol w:w="360"/>
        <w:gridCol w:w="3948"/>
      </w:tblGrid>
      <w:tr w14:paraId="2750F6E8" w14:textId="77777777" w:rsidTr="0009446D">
        <w:tblPrEx>
          <w:tblW w:w="8640" w:type="dxa"/>
          <w:tblLayout w:type="fixed"/>
          <w:tblLook w:val="01E0"/>
        </w:tblPrEx>
        <w:trPr>
          <w:trHeight w:val="807"/>
        </w:trPr>
        <w:tc>
          <w:tcPr>
            <w:tcW w:w="4332" w:type="dxa"/>
            <w:tcMar>
              <w:left w:w="108" w:type="dxa"/>
              <w:right w:w="108" w:type="dxa"/>
            </w:tcMar>
          </w:tcPr>
          <w:p w:rsidR="002B759A" w:rsidRPr="00A50D31" w:rsidP="00AD59C9" w14:paraId="687CDFC8" w14:textId="77777777">
            <w:pPr>
              <w:pStyle w:val="HTMLPreformatted"/>
              <w:adjustRightInd/>
              <w:rPr>
                <w:rFonts w:ascii="Times New Roman" w:hAnsi="Times New Roman" w:cs="Times New Roman"/>
                <w:sz w:val="24"/>
                <w:szCs w:val="24"/>
              </w:rPr>
            </w:pPr>
            <w:r w:rsidRPr="00A50D31">
              <w:rPr>
                <w:rFonts w:ascii="Times New Roman" w:hAnsi="Times New Roman" w:cs="Times New Roman"/>
                <w:sz w:val="24"/>
                <w:szCs w:val="24"/>
              </w:rPr>
              <w:t>In the Matter of the Commission’s Review of the Minimum Gas Service Standards in Chapter 4901:1-13 of the Ohio Administrative Code.</w:t>
            </w:r>
          </w:p>
        </w:tc>
        <w:tc>
          <w:tcPr>
            <w:tcW w:w="360" w:type="dxa"/>
            <w:tcMar>
              <w:left w:w="108" w:type="dxa"/>
              <w:right w:w="108" w:type="dxa"/>
            </w:tcMar>
          </w:tcPr>
          <w:p w:rsidR="002B759A" w:rsidRPr="00A50D31" w:rsidP="00AD59C9" w14:paraId="19A1EF80" w14:textId="77777777">
            <w:pPr>
              <w:pStyle w:val="HTMLPreformatted"/>
              <w:adjustRightInd/>
              <w:rPr>
                <w:rFonts w:ascii="Times New Roman" w:hAnsi="Times New Roman" w:cs="Times New Roman"/>
                <w:sz w:val="24"/>
                <w:szCs w:val="24"/>
              </w:rPr>
            </w:pPr>
            <w:r w:rsidRPr="00A50D31">
              <w:rPr>
                <w:rFonts w:ascii="Times New Roman" w:hAnsi="Times New Roman" w:cs="Times New Roman"/>
                <w:sz w:val="24"/>
                <w:szCs w:val="24"/>
              </w:rPr>
              <w:t>)</w:t>
            </w:r>
          </w:p>
          <w:p w:rsidR="002B759A" w:rsidRPr="00A50D31" w:rsidP="00AD59C9" w14:paraId="746DADEE" w14:textId="77777777">
            <w:pPr>
              <w:pStyle w:val="HTMLPreformatted"/>
              <w:adjustRightInd/>
              <w:rPr>
                <w:rFonts w:ascii="Times New Roman" w:hAnsi="Times New Roman" w:cs="Times New Roman"/>
                <w:sz w:val="24"/>
                <w:szCs w:val="24"/>
              </w:rPr>
            </w:pPr>
            <w:r w:rsidRPr="00A50D31">
              <w:rPr>
                <w:rFonts w:ascii="Times New Roman" w:hAnsi="Times New Roman" w:cs="Times New Roman"/>
                <w:sz w:val="24"/>
                <w:szCs w:val="24"/>
              </w:rPr>
              <w:t>)</w:t>
            </w:r>
          </w:p>
          <w:p w:rsidR="002B759A" w:rsidRPr="00A50D31" w:rsidP="00AD59C9" w14:paraId="2EB678A6" w14:textId="77777777">
            <w:pPr>
              <w:pStyle w:val="HTMLPreformatted"/>
              <w:adjustRightInd/>
              <w:rPr>
                <w:rFonts w:ascii="Times New Roman" w:hAnsi="Times New Roman" w:cs="Times New Roman"/>
                <w:sz w:val="24"/>
                <w:szCs w:val="24"/>
              </w:rPr>
            </w:pPr>
            <w:r w:rsidRPr="00A50D31">
              <w:rPr>
                <w:rFonts w:ascii="Times New Roman" w:hAnsi="Times New Roman" w:cs="Times New Roman"/>
                <w:sz w:val="24"/>
                <w:szCs w:val="24"/>
              </w:rPr>
              <w:t>)</w:t>
            </w:r>
          </w:p>
          <w:p w:rsidR="002B759A" w:rsidRPr="00A50D31" w:rsidP="00AD59C9" w14:paraId="293F5571" w14:textId="77777777">
            <w:pPr>
              <w:pStyle w:val="HTMLPreformatted"/>
              <w:adjustRightInd/>
              <w:rPr>
                <w:rFonts w:ascii="Times New Roman" w:hAnsi="Times New Roman" w:cs="Times New Roman"/>
                <w:sz w:val="24"/>
                <w:szCs w:val="24"/>
              </w:rPr>
            </w:pPr>
            <w:r w:rsidRPr="00A50D31">
              <w:rPr>
                <w:rFonts w:ascii="Times New Roman" w:hAnsi="Times New Roman" w:cs="Times New Roman"/>
                <w:sz w:val="24"/>
                <w:szCs w:val="24"/>
              </w:rPr>
              <w:t>)</w:t>
            </w:r>
          </w:p>
        </w:tc>
        <w:tc>
          <w:tcPr>
            <w:tcW w:w="3948" w:type="dxa"/>
            <w:tcMar>
              <w:left w:w="108" w:type="dxa"/>
              <w:right w:w="108" w:type="dxa"/>
            </w:tcMar>
          </w:tcPr>
          <w:p w:rsidR="002B759A" w:rsidRPr="00A50D31" w:rsidP="00AD59C9" w14:paraId="7DBDA16B" w14:textId="77777777">
            <w:pPr>
              <w:pStyle w:val="HTMLPreformatted"/>
              <w:adjustRightInd/>
              <w:rPr>
                <w:rFonts w:ascii="Times New Roman" w:hAnsi="Times New Roman" w:cs="Times New Roman"/>
                <w:sz w:val="24"/>
                <w:szCs w:val="24"/>
              </w:rPr>
            </w:pPr>
          </w:p>
          <w:p w:rsidR="002B759A" w:rsidRPr="00A50D31" w:rsidP="00AD59C9" w14:paraId="1E338752" w14:textId="77777777">
            <w:pPr>
              <w:pStyle w:val="HTMLPreformatted"/>
              <w:adjustRightInd/>
              <w:rPr>
                <w:rFonts w:ascii="Times New Roman" w:hAnsi="Times New Roman" w:cs="Times New Roman"/>
                <w:sz w:val="24"/>
                <w:szCs w:val="24"/>
              </w:rPr>
            </w:pPr>
            <w:r w:rsidRPr="00A50D31">
              <w:rPr>
                <w:rFonts w:ascii="Times New Roman" w:hAnsi="Times New Roman" w:cs="Times New Roman"/>
                <w:sz w:val="24"/>
                <w:szCs w:val="24"/>
              </w:rPr>
              <w:t>Case No. 19-1429-GA-ORD</w:t>
            </w:r>
          </w:p>
          <w:p w:rsidR="002B759A" w:rsidRPr="00A50D31" w:rsidP="00AD59C9" w14:paraId="39DB2616" w14:textId="77777777">
            <w:pPr>
              <w:pStyle w:val="HTMLPreformatted"/>
              <w:adjustRightInd/>
              <w:rPr>
                <w:rFonts w:ascii="Times New Roman" w:hAnsi="Times New Roman" w:cs="Times New Roman"/>
                <w:sz w:val="24"/>
                <w:szCs w:val="24"/>
              </w:rPr>
            </w:pPr>
          </w:p>
        </w:tc>
      </w:tr>
    </w:tbl>
    <w:p w:rsidR="00875BFA" w:rsidRPr="00A50D31" w:rsidP="00F30ED6" w14:paraId="50F9919A" w14:textId="1A11956B">
      <w:pPr>
        <w:pBdr>
          <w:bottom w:val="single" w:sz="12" w:space="1" w:color="auto"/>
        </w:pBdr>
        <w:spacing w:after="0" w:line="240" w:lineRule="auto"/>
        <w:jc w:val="center"/>
        <w:rPr>
          <w:rFonts w:ascii="Times New Roman" w:hAnsi="Times New Roman" w:cs="Times New Roman"/>
          <w:b/>
          <w:sz w:val="24"/>
          <w:szCs w:val="24"/>
        </w:rPr>
      </w:pPr>
    </w:p>
    <w:p w:rsidR="00875BFA" w:rsidRPr="00A50D31" w:rsidP="00875BFA" w14:paraId="115395D8" w14:textId="1D9DEDDE">
      <w:pPr>
        <w:spacing w:after="0" w:line="240" w:lineRule="auto"/>
        <w:jc w:val="center"/>
        <w:rPr>
          <w:rFonts w:ascii="Times New Roman" w:hAnsi="Times New Roman" w:cs="Times New Roman"/>
          <w:b/>
          <w:sz w:val="24"/>
          <w:szCs w:val="24"/>
        </w:rPr>
      </w:pPr>
      <w:r w:rsidRPr="00A50D31">
        <w:rPr>
          <w:rFonts w:ascii="Times New Roman" w:hAnsi="Times New Roman" w:cs="Times New Roman"/>
          <w:b/>
          <w:sz w:val="24"/>
          <w:szCs w:val="24"/>
        </w:rPr>
        <w:br/>
      </w:r>
      <w:r w:rsidRPr="00A50D31" w:rsidR="00643617">
        <w:rPr>
          <w:rFonts w:ascii="Times New Roman" w:hAnsi="Times New Roman" w:cs="Times New Roman"/>
          <w:b/>
          <w:sz w:val="24"/>
          <w:szCs w:val="24"/>
        </w:rPr>
        <w:t xml:space="preserve">REPLY </w:t>
      </w:r>
      <w:r w:rsidRPr="00A50D31">
        <w:rPr>
          <w:rFonts w:ascii="Times New Roman" w:hAnsi="Times New Roman" w:cs="Times New Roman"/>
          <w:b/>
          <w:sz w:val="24"/>
          <w:szCs w:val="24"/>
        </w:rPr>
        <w:t>COMMENTS</w:t>
      </w:r>
      <w:r w:rsidRPr="00A50D31" w:rsidR="00B132E1">
        <w:rPr>
          <w:rFonts w:ascii="Times New Roman" w:hAnsi="Times New Roman" w:cs="Times New Roman"/>
          <w:b/>
          <w:sz w:val="24"/>
          <w:szCs w:val="24"/>
        </w:rPr>
        <w:t xml:space="preserve"> ON STANDARDS FOR </w:t>
      </w:r>
      <w:r w:rsidRPr="00A50D31" w:rsidR="00104A97">
        <w:rPr>
          <w:rFonts w:ascii="Times New Roman" w:hAnsi="Times New Roman" w:cs="Times New Roman"/>
          <w:b/>
          <w:sz w:val="24"/>
          <w:szCs w:val="24"/>
        </w:rPr>
        <w:t xml:space="preserve">CONSUMERS’ </w:t>
      </w:r>
      <w:r w:rsidRPr="00A50D31" w:rsidR="00B132E1">
        <w:rPr>
          <w:rFonts w:ascii="Times New Roman" w:hAnsi="Times New Roman" w:cs="Times New Roman"/>
          <w:b/>
          <w:sz w:val="24"/>
          <w:szCs w:val="24"/>
        </w:rPr>
        <w:t>NATURAL GAS SERVICE</w:t>
      </w:r>
    </w:p>
    <w:p w:rsidR="00875BFA" w:rsidRPr="00A50D31" w:rsidP="00875BFA" w14:paraId="4EA82B3A" w14:textId="77777777">
      <w:pPr>
        <w:spacing w:after="0" w:line="240" w:lineRule="auto"/>
        <w:jc w:val="center"/>
        <w:rPr>
          <w:rFonts w:ascii="Times New Roman" w:hAnsi="Times New Roman" w:cs="Times New Roman"/>
          <w:b/>
          <w:sz w:val="24"/>
          <w:szCs w:val="24"/>
        </w:rPr>
      </w:pPr>
      <w:r w:rsidRPr="00A50D31">
        <w:rPr>
          <w:rFonts w:ascii="Times New Roman" w:hAnsi="Times New Roman" w:cs="Times New Roman"/>
          <w:b/>
          <w:sz w:val="24"/>
          <w:szCs w:val="24"/>
        </w:rPr>
        <w:t>BY</w:t>
      </w:r>
    </w:p>
    <w:p w:rsidR="00875BFA" w:rsidRPr="00A50D31" w:rsidP="00875BFA" w14:paraId="248F2CE9" w14:textId="77777777">
      <w:pPr>
        <w:pBdr>
          <w:bottom w:val="single" w:sz="12" w:space="1" w:color="auto"/>
        </w:pBdr>
        <w:spacing w:after="0" w:line="240" w:lineRule="auto"/>
        <w:jc w:val="center"/>
        <w:rPr>
          <w:rFonts w:ascii="Times New Roman" w:hAnsi="Times New Roman" w:cs="Times New Roman"/>
          <w:b/>
          <w:sz w:val="24"/>
          <w:szCs w:val="24"/>
        </w:rPr>
      </w:pPr>
      <w:r w:rsidRPr="00A50D31">
        <w:rPr>
          <w:rFonts w:ascii="Times New Roman" w:hAnsi="Times New Roman" w:cs="Times New Roman"/>
          <w:b/>
          <w:sz w:val="24"/>
          <w:szCs w:val="24"/>
        </w:rPr>
        <w:t>THE OFFICE OF THE OHIO CONSUMERS’ COUNSEL</w:t>
      </w:r>
    </w:p>
    <w:p w:rsidR="00875BFA" w:rsidRPr="00A50D31" w:rsidP="00875BFA" w14:paraId="23BA9C25" w14:textId="77777777">
      <w:pPr>
        <w:pBdr>
          <w:bottom w:val="single" w:sz="12" w:space="1" w:color="auto"/>
        </w:pBdr>
        <w:spacing w:after="0" w:line="240" w:lineRule="auto"/>
        <w:jc w:val="center"/>
        <w:rPr>
          <w:rFonts w:ascii="Times New Roman" w:hAnsi="Times New Roman" w:cs="Times New Roman"/>
          <w:b/>
          <w:sz w:val="24"/>
          <w:szCs w:val="24"/>
        </w:rPr>
      </w:pPr>
    </w:p>
    <w:p w:rsidR="00875BFA" w:rsidRPr="00A50D31" w:rsidP="00875BFA" w14:paraId="49050571" w14:textId="77777777">
      <w:pPr>
        <w:rPr>
          <w:rFonts w:ascii="Times New Roman" w:hAnsi="Times New Roman" w:cs="Times New Roman"/>
          <w:sz w:val="24"/>
          <w:szCs w:val="24"/>
        </w:rPr>
      </w:pPr>
    </w:p>
    <w:p w:rsidR="002B759A" w:rsidRPr="00A50D31" w:rsidP="002B759A" w14:paraId="25D3EBAF" w14:textId="77777777">
      <w:pPr>
        <w:pStyle w:val="BodyText"/>
        <w:adjustRightInd/>
        <w:rPr>
          <w:bCs w:val="0"/>
        </w:rPr>
      </w:pPr>
    </w:p>
    <w:p w:rsidR="00875BFA" w:rsidRPr="00A50D31" w:rsidP="002B759A" w14:paraId="3D26762E" w14:textId="77777777">
      <w:pPr>
        <w:pStyle w:val="BodyText"/>
        <w:adjustRightInd/>
        <w:rPr>
          <w:bCs w:val="0"/>
        </w:rPr>
      </w:pPr>
    </w:p>
    <w:p w:rsidR="00875BFA" w:rsidRPr="00A50D31" w:rsidP="00875BFA" w14:paraId="2878ABB5" w14:textId="343AA595">
      <w:pPr>
        <w:pStyle w:val="Footer"/>
        <w:tabs>
          <w:tab w:val="clear" w:pos="4320"/>
          <w:tab w:val="clear" w:pos="8640"/>
        </w:tabs>
        <w:ind w:left="4320"/>
        <w:rPr>
          <w:sz w:val="24"/>
          <w:szCs w:val="24"/>
        </w:rPr>
      </w:pPr>
    </w:p>
    <w:p w:rsidR="00993CB0" w:rsidRPr="00A50D31" w:rsidP="00875BFA" w14:paraId="48EF0BC9" w14:textId="6D226289">
      <w:pPr>
        <w:pStyle w:val="Footer"/>
        <w:tabs>
          <w:tab w:val="clear" w:pos="4320"/>
          <w:tab w:val="clear" w:pos="8640"/>
        </w:tabs>
        <w:ind w:left="4320"/>
        <w:rPr>
          <w:sz w:val="24"/>
          <w:szCs w:val="24"/>
        </w:rPr>
      </w:pPr>
    </w:p>
    <w:p w:rsidR="00993CB0" w:rsidRPr="00A50D31" w:rsidP="00875BFA" w14:paraId="5B2B00B4" w14:textId="1BC6D8A1">
      <w:pPr>
        <w:pStyle w:val="Footer"/>
        <w:tabs>
          <w:tab w:val="clear" w:pos="4320"/>
          <w:tab w:val="clear" w:pos="8640"/>
        </w:tabs>
        <w:ind w:left="4320"/>
        <w:rPr>
          <w:sz w:val="24"/>
          <w:szCs w:val="24"/>
        </w:rPr>
      </w:pPr>
    </w:p>
    <w:p w:rsidR="00993CB0" w:rsidRPr="00A50D31" w:rsidP="00875BFA" w14:paraId="367146CB" w14:textId="77777777">
      <w:pPr>
        <w:pStyle w:val="Footer"/>
        <w:tabs>
          <w:tab w:val="clear" w:pos="4320"/>
          <w:tab w:val="clear" w:pos="8640"/>
        </w:tabs>
        <w:ind w:left="4320"/>
        <w:rPr>
          <w:sz w:val="24"/>
          <w:szCs w:val="24"/>
        </w:rPr>
      </w:pPr>
    </w:p>
    <w:p w:rsidR="00875BFA" w:rsidRPr="00A50D31" w:rsidP="00875BFA" w14:paraId="568014B6" w14:textId="77777777">
      <w:pPr>
        <w:pStyle w:val="Footer"/>
        <w:tabs>
          <w:tab w:val="clear" w:pos="4320"/>
          <w:tab w:val="clear" w:pos="8640"/>
        </w:tabs>
        <w:ind w:left="4320"/>
        <w:rPr>
          <w:sz w:val="24"/>
          <w:szCs w:val="24"/>
        </w:rPr>
      </w:pPr>
    </w:p>
    <w:p w:rsidR="00875BFA" w:rsidRPr="00A50D31" w:rsidP="00875BFA" w14:paraId="56F9AE67" w14:textId="77777777">
      <w:pPr>
        <w:pStyle w:val="Footer"/>
        <w:tabs>
          <w:tab w:val="clear" w:pos="4320"/>
          <w:tab w:val="clear" w:pos="8640"/>
        </w:tabs>
        <w:ind w:left="4320"/>
        <w:rPr>
          <w:sz w:val="24"/>
          <w:szCs w:val="24"/>
        </w:rPr>
      </w:pPr>
    </w:p>
    <w:p w:rsidR="00875BFA" w:rsidRPr="00A50D31" w:rsidP="00875BFA" w14:paraId="37562269" w14:textId="0AA78082">
      <w:pPr>
        <w:pStyle w:val="Footer"/>
        <w:tabs>
          <w:tab w:val="clear" w:pos="4320"/>
          <w:tab w:val="clear" w:pos="8640"/>
        </w:tabs>
        <w:ind w:left="4320"/>
        <w:rPr>
          <w:sz w:val="24"/>
          <w:szCs w:val="24"/>
        </w:rPr>
      </w:pPr>
      <w:r w:rsidRPr="00A50D31">
        <w:rPr>
          <w:sz w:val="24"/>
          <w:szCs w:val="24"/>
        </w:rPr>
        <w:t>Bruce Weston (0016973)</w:t>
      </w:r>
    </w:p>
    <w:p w:rsidR="00875BFA" w:rsidRPr="00A50D31" w:rsidP="00875BFA" w14:paraId="7E72F886" w14:textId="77777777">
      <w:pPr>
        <w:tabs>
          <w:tab w:val="left" w:pos="4320"/>
        </w:tabs>
        <w:spacing w:after="0" w:line="240" w:lineRule="auto"/>
        <w:ind w:left="4320"/>
        <w:rPr>
          <w:rFonts w:ascii="Times New Roman" w:hAnsi="Times New Roman" w:cs="Times New Roman"/>
          <w:sz w:val="24"/>
          <w:szCs w:val="24"/>
        </w:rPr>
      </w:pPr>
      <w:r w:rsidRPr="00A50D31">
        <w:rPr>
          <w:rFonts w:ascii="Times New Roman" w:hAnsi="Times New Roman" w:cs="Times New Roman"/>
          <w:sz w:val="24"/>
          <w:szCs w:val="24"/>
        </w:rPr>
        <w:t>Ohio Consumers’ Counsel</w:t>
      </w:r>
    </w:p>
    <w:p w:rsidR="00875BFA" w:rsidRPr="00A50D31" w:rsidP="00875BFA" w14:paraId="1BB5197A" w14:textId="77777777">
      <w:pPr>
        <w:tabs>
          <w:tab w:val="left" w:pos="4320"/>
        </w:tabs>
        <w:spacing w:after="0" w:line="240" w:lineRule="auto"/>
        <w:ind w:left="4320"/>
        <w:rPr>
          <w:rFonts w:ascii="Times New Roman" w:hAnsi="Times New Roman" w:cs="Times New Roman"/>
          <w:sz w:val="24"/>
          <w:szCs w:val="24"/>
        </w:rPr>
      </w:pPr>
    </w:p>
    <w:p w:rsidR="00875BFA" w:rsidRPr="00A50D31" w:rsidP="00875BFA" w14:paraId="2E9882A4" w14:textId="77777777">
      <w:pPr>
        <w:tabs>
          <w:tab w:val="left" w:pos="4320"/>
        </w:tabs>
        <w:spacing w:after="0" w:line="240" w:lineRule="auto"/>
        <w:ind w:left="4320"/>
        <w:rPr>
          <w:rFonts w:ascii="Times New Roman" w:hAnsi="Times New Roman" w:cs="Times New Roman"/>
          <w:sz w:val="24"/>
          <w:szCs w:val="24"/>
        </w:rPr>
      </w:pPr>
      <w:r w:rsidRPr="00A50D31">
        <w:rPr>
          <w:rFonts w:ascii="Times New Roman" w:hAnsi="Times New Roman" w:cs="Times New Roman"/>
          <w:sz w:val="24"/>
          <w:szCs w:val="24"/>
        </w:rPr>
        <w:t>Ambrosia E. Logsdon (0096598)</w:t>
      </w:r>
    </w:p>
    <w:p w:rsidR="00875BFA" w:rsidRPr="00A50D31" w:rsidP="00875BFA" w14:paraId="2BD88780" w14:textId="77777777">
      <w:pPr>
        <w:tabs>
          <w:tab w:val="left" w:pos="4320"/>
        </w:tabs>
        <w:spacing w:after="0" w:line="240" w:lineRule="auto"/>
        <w:ind w:left="4320"/>
        <w:rPr>
          <w:rFonts w:ascii="Times New Roman" w:hAnsi="Times New Roman" w:cs="Times New Roman"/>
          <w:sz w:val="24"/>
          <w:szCs w:val="24"/>
        </w:rPr>
      </w:pPr>
      <w:r w:rsidRPr="00A50D31">
        <w:rPr>
          <w:rFonts w:ascii="Times New Roman" w:hAnsi="Times New Roman" w:cs="Times New Roman"/>
          <w:sz w:val="24"/>
          <w:szCs w:val="24"/>
        </w:rPr>
        <w:t xml:space="preserve">Counsel of Record </w:t>
      </w:r>
    </w:p>
    <w:p w:rsidR="00875BFA" w:rsidRPr="00A50D31" w:rsidP="00875BFA" w14:paraId="2CD2FCA3" w14:textId="58ED96E0">
      <w:pPr>
        <w:tabs>
          <w:tab w:val="left" w:pos="4320"/>
        </w:tabs>
        <w:spacing w:after="0" w:line="240" w:lineRule="auto"/>
        <w:ind w:left="4320"/>
        <w:rPr>
          <w:rFonts w:ascii="Times New Roman" w:hAnsi="Times New Roman" w:cs="Times New Roman"/>
          <w:sz w:val="24"/>
          <w:szCs w:val="24"/>
        </w:rPr>
      </w:pPr>
      <w:r w:rsidRPr="00A50D31">
        <w:rPr>
          <w:rFonts w:ascii="Times New Roman" w:hAnsi="Times New Roman" w:cs="Times New Roman"/>
          <w:sz w:val="24"/>
          <w:szCs w:val="24"/>
        </w:rPr>
        <w:t>David Bergmann (0009991)</w:t>
      </w:r>
    </w:p>
    <w:p w:rsidR="00875BFA" w:rsidRPr="00A50D31" w:rsidP="00875BFA" w14:paraId="3532C977" w14:textId="77777777">
      <w:pPr>
        <w:tabs>
          <w:tab w:val="left" w:pos="4320"/>
        </w:tabs>
        <w:spacing w:after="0" w:line="240" w:lineRule="auto"/>
        <w:ind w:left="4320"/>
        <w:rPr>
          <w:rFonts w:ascii="Times New Roman" w:hAnsi="Times New Roman" w:cs="Times New Roman"/>
          <w:sz w:val="24"/>
          <w:szCs w:val="24"/>
        </w:rPr>
      </w:pPr>
      <w:r w:rsidRPr="00A50D31">
        <w:rPr>
          <w:rFonts w:ascii="Times New Roman" w:hAnsi="Times New Roman" w:cs="Times New Roman"/>
          <w:sz w:val="24"/>
          <w:szCs w:val="24"/>
        </w:rPr>
        <w:t>Assistant Consumers’ Counsel</w:t>
      </w:r>
    </w:p>
    <w:p w:rsidR="00875BFA" w:rsidRPr="00A50D31" w:rsidP="00875BFA" w14:paraId="7867A24F" w14:textId="77777777">
      <w:pPr>
        <w:spacing w:after="0" w:line="240" w:lineRule="auto"/>
        <w:ind w:left="4320"/>
        <w:rPr>
          <w:rFonts w:ascii="Times New Roman" w:hAnsi="Times New Roman" w:cs="Times New Roman"/>
          <w:b/>
          <w:sz w:val="24"/>
          <w:szCs w:val="24"/>
        </w:rPr>
      </w:pPr>
    </w:p>
    <w:p w:rsidR="00875BFA" w:rsidRPr="00A50D31" w:rsidP="00875BFA" w14:paraId="3ACAA6DD" w14:textId="77777777">
      <w:pPr>
        <w:spacing w:after="0" w:line="240" w:lineRule="auto"/>
        <w:ind w:left="4320"/>
        <w:rPr>
          <w:rFonts w:ascii="Times New Roman" w:hAnsi="Times New Roman" w:cs="Times New Roman"/>
          <w:b/>
          <w:sz w:val="24"/>
          <w:szCs w:val="24"/>
        </w:rPr>
      </w:pPr>
      <w:r w:rsidRPr="00A50D31">
        <w:rPr>
          <w:rFonts w:ascii="Times New Roman" w:hAnsi="Times New Roman" w:cs="Times New Roman"/>
          <w:b/>
          <w:sz w:val="24"/>
          <w:szCs w:val="24"/>
        </w:rPr>
        <w:t>Office of the Ohio Consumers’ Counsel</w:t>
      </w:r>
    </w:p>
    <w:p w:rsidR="00875BFA" w:rsidRPr="00A50D31" w:rsidP="00875BFA" w14:paraId="0B7030FF" w14:textId="77777777">
      <w:pPr>
        <w:spacing w:after="0" w:line="240" w:lineRule="auto"/>
        <w:ind w:left="4320"/>
        <w:rPr>
          <w:rFonts w:ascii="Times New Roman" w:hAnsi="Times New Roman" w:cs="Times New Roman"/>
          <w:sz w:val="24"/>
          <w:szCs w:val="24"/>
        </w:rPr>
      </w:pPr>
      <w:r w:rsidRPr="00A50D31">
        <w:rPr>
          <w:rFonts w:ascii="Times New Roman" w:hAnsi="Times New Roman" w:cs="Times New Roman"/>
          <w:sz w:val="24"/>
          <w:szCs w:val="24"/>
        </w:rPr>
        <w:t>65 E. State Street, 7th Floor</w:t>
      </w:r>
    </w:p>
    <w:p w:rsidR="00875BFA" w:rsidRPr="00A50D31" w:rsidP="00875BFA" w14:paraId="6A146FC4" w14:textId="77777777">
      <w:pPr>
        <w:spacing w:after="0" w:line="240" w:lineRule="auto"/>
        <w:ind w:left="4320"/>
        <w:rPr>
          <w:rFonts w:ascii="Times New Roman" w:hAnsi="Times New Roman" w:cs="Times New Roman"/>
          <w:sz w:val="24"/>
          <w:szCs w:val="24"/>
        </w:rPr>
      </w:pPr>
      <w:r w:rsidRPr="00A50D31">
        <w:rPr>
          <w:rFonts w:ascii="Times New Roman" w:hAnsi="Times New Roman" w:cs="Times New Roman"/>
          <w:sz w:val="24"/>
          <w:szCs w:val="24"/>
        </w:rPr>
        <w:t>Columbus, Ohio 43215-3485</w:t>
      </w:r>
    </w:p>
    <w:p w:rsidR="00875BFA" w:rsidRPr="00A50D31" w:rsidP="00875BFA" w14:paraId="2D1096D5" w14:textId="5C141F9F">
      <w:pPr>
        <w:spacing w:after="0" w:line="240" w:lineRule="auto"/>
        <w:ind w:left="4320"/>
        <w:rPr>
          <w:rFonts w:ascii="Times New Roman" w:hAnsi="Times New Roman" w:cs="Times New Roman"/>
          <w:sz w:val="24"/>
          <w:szCs w:val="24"/>
        </w:rPr>
      </w:pPr>
      <w:r w:rsidRPr="00A50D31">
        <w:rPr>
          <w:rFonts w:ascii="Times New Roman" w:hAnsi="Times New Roman" w:cs="Times New Roman"/>
          <w:sz w:val="24"/>
          <w:szCs w:val="24"/>
        </w:rPr>
        <w:t>Telephone [Logsdon]:</w:t>
      </w:r>
      <w:r w:rsidRPr="00A50D31" w:rsidR="00135A3A">
        <w:rPr>
          <w:rFonts w:ascii="Times New Roman" w:hAnsi="Times New Roman" w:cs="Times New Roman"/>
          <w:sz w:val="24"/>
          <w:szCs w:val="24"/>
        </w:rPr>
        <w:t xml:space="preserve"> </w:t>
      </w:r>
      <w:r w:rsidRPr="00A50D31">
        <w:rPr>
          <w:rFonts w:ascii="Times New Roman" w:hAnsi="Times New Roman" w:cs="Times New Roman"/>
          <w:sz w:val="24"/>
          <w:szCs w:val="24"/>
        </w:rPr>
        <w:t>614-466-1292</w:t>
      </w:r>
    </w:p>
    <w:p w:rsidR="00875BFA" w:rsidRPr="00A50D31" w:rsidP="00875BFA" w14:paraId="7077410B" w14:textId="4016F190">
      <w:pPr>
        <w:spacing w:after="0" w:line="240" w:lineRule="auto"/>
        <w:ind w:left="4320"/>
        <w:rPr>
          <w:rFonts w:ascii="Times New Roman" w:hAnsi="Times New Roman" w:cs="Times New Roman"/>
          <w:sz w:val="24"/>
          <w:szCs w:val="24"/>
        </w:rPr>
      </w:pPr>
      <w:r w:rsidRPr="00A50D31">
        <w:rPr>
          <w:rFonts w:ascii="Times New Roman" w:hAnsi="Times New Roman" w:cs="Times New Roman"/>
          <w:sz w:val="24"/>
          <w:szCs w:val="24"/>
        </w:rPr>
        <w:t>Telephone [Bergmann</w:t>
      </w:r>
      <w:r w:rsidR="00B91C4F">
        <w:rPr>
          <w:rFonts w:ascii="Times New Roman" w:hAnsi="Times New Roman" w:cs="Times New Roman"/>
          <w:sz w:val="24"/>
          <w:szCs w:val="24"/>
        </w:rPr>
        <w:t>]</w:t>
      </w:r>
      <w:r w:rsidRPr="00A50D31">
        <w:rPr>
          <w:rFonts w:ascii="Times New Roman" w:hAnsi="Times New Roman" w:cs="Times New Roman"/>
          <w:sz w:val="24"/>
          <w:szCs w:val="24"/>
        </w:rPr>
        <w:t>:</w:t>
      </w:r>
      <w:r w:rsidRPr="00A50D31" w:rsidR="00135A3A">
        <w:rPr>
          <w:rFonts w:ascii="Times New Roman" w:hAnsi="Times New Roman" w:cs="Times New Roman"/>
          <w:sz w:val="24"/>
          <w:szCs w:val="24"/>
        </w:rPr>
        <w:t xml:space="preserve"> </w:t>
      </w:r>
      <w:r w:rsidRPr="00A50D31">
        <w:rPr>
          <w:rFonts w:ascii="Times New Roman" w:hAnsi="Times New Roman" w:cs="Times New Roman"/>
          <w:sz w:val="24"/>
          <w:szCs w:val="24"/>
        </w:rPr>
        <w:t>614-466-9569</w:t>
      </w:r>
    </w:p>
    <w:p w:rsidR="00875BFA" w:rsidRPr="00A50D31" w:rsidP="00875BFA" w14:paraId="2A0730C5" w14:textId="2C0E1F93">
      <w:pPr>
        <w:spacing w:after="0" w:line="240" w:lineRule="auto"/>
        <w:ind w:left="4320"/>
        <w:rPr>
          <w:rFonts w:ascii="Times New Roman" w:hAnsi="Times New Roman" w:cs="Times New Roman"/>
          <w:sz w:val="24"/>
          <w:szCs w:val="24"/>
        </w:rPr>
      </w:pPr>
      <w:hyperlink r:id="rId6" w:history="1">
        <w:r w:rsidRPr="00A50D31">
          <w:rPr>
            <w:rStyle w:val="Hyperlink"/>
            <w:rFonts w:ascii="Times New Roman" w:hAnsi="Times New Roman" w:cs="Times New Roman"/>
            <w:sz w:val="24"/>
            <w:szCs w:val="24"/>
          </w:rPr>
          <w:t>Ambrosia.Logsdon@occ.ohio.gov</w:t>
        </w:r>
      </w:hyperlink>
    </w:p>
    <w:p w:rsidR="00875BFA" w:rsidRPr="00A50D31" w:rsidP="00875BFA" w14:paraId="70E6AD16" w14:textId="54173D32">
      <w:pPr>
        <w:spacing w:after="0" w:line="240" w:lineRule="auto"/>
        <w:ind w:left="4320"/>
        <w:rPr>
          <w:rFonts w:ascii="Times New Roman" w:hAnsi="Times New Roman" w:cs="Times New Roman"/>
          <w:sz w:val="24"/>
          <w:szCs w:val="24"/>
        </w:rPr>
      </w:pPr>
      <w:hyperlink r:id="rId7" w:history="1">
        <w:r w:rsidRPr="007109E0" w:rsidR="00053875">
          <w:rPr>
            <w:rStyle w:val="Hyperlink"/>
            <w:rFonts w:ascii="Times New Roman" w:hAnsi="Times New Roman" w:cs="Times New Roman"/>
            <w:sz w:val="24"/>
            <w:szCs w:val="24"/>
          </w:rPr>
          <w:t>David.Bergmann@occ.ohio.gov</w:t>
        </w:r>
      </w:hyperlink>
    </w:p>
    <w:p w:rsidR="00875BFA" w:rsidP="00875BFA" w14:paraId="5C8B15AF" w14:textId="6105A4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50D31">
        <w:rPr>
          <w:rFonts w:ascii="Times New Roman" w:hAnsi="Times New Roman" w:cs="Times New Roman"/>
          <w:sz w:val="24"/>
          <w:szCs w:val="24"/>
        </w:rPr>
        <w:tab/>
      </w:r>
      <w:r w:rsidRPr="00A50D31">
        <w:rPr>
          <w:rFonts w:ascii="Times New Roman" w:hAnsi="Times New Roman" w:cs="Times New Roman"/>
          <w:sz w:val="24"/>
          <w:szCs w:val="24"/>
        </w:rPr>
        <w:tab/>
      </w:r>
      <w:r w:rsidRPr="00A50D31">
        <w:rPr>
          <w:rFonts w:ascii="Times New Roman" w:hAnsi="Times New Roman" w:cs="Times New Roman"/>
          <w:sz w:val="24"/>
          <w:szCs w:val="24"/>
        </w:rPr>
        <w:tab/>
      </w:r>
      <w:r w:rsidRPr="00A50D31">
        <w:rPr>
          <w:rFonts w:ascii="Times New Roman" w:hAnsi="Times New Roman" w:cs="Times New Roman"/>
          <w:sz w:val="24"/>
          <w:szCs w:val="24"/>
        </w:rPr>
        <w:tab/>
        <w:t>(willing to accept service by e-mail)</w:t>
      </w:r>
    </w:p>
    <w:p w:rsidR="00D9578F" w:rsidRPr="00A50D31" w:rsidP="00875BFA" w14:paraId="116F8B70" w14:textId="6E75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January</w:t>
      </w:r>
      <w:r w:rsidRPr="00A50D31">
        <w:rPr>
          <w:rFonts w:ascii="Times New Roman" w:hAnsi="Times New Roman" w:cs="Times New Roman"/>
          <w:sz w:val="24"/>
          <w:szCs w:val="24"/>
        </w:rPr>
        <w:t xml:space="preserve"> 31, 2020</w:t>
      </w:r>
    </w:p>
    <w:p w:rsidR="00875BFA" w:rsidRPr="00A50D31" w:rsidP="00875BFA" w14:paraId="190BF4A4" w14:textId="7AB5044D">
      <w:pPr>
        <w:autoSpaceDE w:val="0"/>
        <w:autoSpaceDN w:val="0"/>
        <w:adjustRightInd w:val="0"/>
        <w:rPr>
          <w:rFonts w:ascii="Times New Roman" w:hAnsi="Times New Roman" w:cs="Times New Roman"/>
          <w:sz w:val="24"/>
          <w:szCs w:val="24"/>
        </w:rPr>
      </w:pPr>
    </w:p>
    <w:p w:rsidR="00875BFA" w:rsidRPr="00A50D31" w:rsidP="00875BFA" w14:paraId="4F5B3713" w14:textId="77777777">
      <w:pPr>
        <w:autoSpaceDE w:val="0"/>
        <w:autoSpaceDN w:val="0"/>
        <w:adjustRightInd w:val="0"/>
        <w:rPr>
          <w:rFonts w:ascii="Times New Roman" w:hAnsi="Times New Roman" w:cs="Times New Roman"/>
          <w:sz w:val="24"/>
          <w:szCs w:val="24"/>
        </w:rPr>
        <w:sectPr w:rsidSect="002154C8">
          <w:footerReference w:type="default" r:id="rId8"/>
          <w:pgSz w:w="12240" w:h="15840"/>
          <w:pgMar w:top="1440" w:right="1800" w:bottom="1440" w:left="1800" w:header="720" w:footer="720" w:gutter="0"/>
          <w:cols w:space="720"/>
          <w:docGrid w:linePitch="360"/>
        </w:sectPr>
      </w:pPr>
    </w:p>
    <w:p w:rsidR="00875BFA" w:rsidRPr="00A50D31" w:rsidP="00875BFA" w14:paraId="0D72FE2E" w14:textId="28635B50">
      <w:pPr>
        <w:autoSpaceDE w:val="0"/>
        <w:autoSpaceDN w:val="0"/>
        <w:adjustRightInd w:val="0"/>
        <w:jc w:val="center"/>
        <w:rPr>
          <w:rFonts w:ascii="Times New Roman" w:hAnsi="Times New Roman" w:cs="Times New Roman"/>
          <w:b/>
          <w:sz w:val="24"/>
          <w:szCs w:val="24"/>
          <w:u w:val="single"/>
        </w:rPr>
      </w:pPr>
      <w:r w:rsidRPr="00A50D31">
        <w:rPr>
          <w:rFonts w:ascii="Times New Roman" w:hAnsi="Times New Roman" w:cs="Times New Roman"/>
          <w:b/>
          <w:sz w:val="24"/>
          <w:szCs w:val="24"/>
          <w:u w:val="single"/>
        </w:rPr>
        <w:t>TABLE OF CON</w:t>
      </w:r>
      <w:r w:rsidRPr="00A50D31" w:rsidR="00F26448">
        <w:rPr>
          <w:rFonts w:ascii="Times New Roman" w:hAnsi="Times New Roman" w:cs="Times New Roman"/>
          <w:b/>
          <w:sz w:val="24"/>
          <w:szCs w:val="24"/>
          <w:u w:val="single"/>
        </w:rPr>
        <w:t>T</w:t>
      </w:r>
      <w:r w:rsidRPr="00A50D31">
        <w:rPr>
          <w:rFonts w:ascii="Times New Roman" w:hAnsi="Times New Roman" w:cs="Times New Roman"/>
          <w:b/>
          <w:sz w:val="24"/>
          <w:szCs w:val="24"/>
          <w:u w:val="single"/>
        </w:rPr>
        <w:t>ENTS</w:t>
      </w:r>
    </w:p>
    <w:p w:rsidR="00875BFA" w:rsidRPr="00A50D31" w:rsidP="00EA1743" w14:paraId="38A3397F" w14:textId="297FB528">
      <w:pPr>
        <w:autoSpaceDE w:val="0"/>
        <w:autoSpaceDN w:val="0"/>
        <w:adjustRightInd w:val="0"/>
        <w:spacing w:after="0"/>
        <w:jc w:val="center"/>
        <w:rPr>
          <w:rFonts w:ascii="Times New Roman" w:hAnsi="Times New Roman" w:cs="Times New Roman"/>
          <w:b/>
          <w:sz w:val="24"/>
          <w:szCs w:val="24"/>
        </w:rPr>
      </w:pPr>
      <w:r w:rsidRPr="00A50D31">
        <w:rPr>
          <w:rFonts w:ascii="Times New Roman" w:hAnsi="Times New Roman" w:cs="Times New Roman"/>
          <w:sz w:val="24"/>
          <w:szCs w:val="24"/>
        </w:rPr>
        <w:tab/>
      </w:r>
      <w:r w:rsidRPr="00A50D31">
        <w:rPr>
          <w:rFonts w:ascii="Times New Roman" w:hAnsi="Times New Roman" w:cs="Times New Roman"/>
          <w:sz w:val="24"/>
          <w:szCs w:val="24"/>
        </w:rPr>
        <w:tab/>
      </w:r>
      <w:r w:rsidRPr="00A50D31">
        <w:rPr>
          <w:rFonts w:ascii="Times New Roman" w:hAnsi="Times New Roman" w:cs="Times New Roman"/>
          <w:sz w:val="24"/>
          <w:szCs w:val="24"/>
        </w:rPr>
        <w:tab/>
      </w:r>
      <w:r w:rsidRPr="00A50D31">
        <w:rPr>
          <w:rFonts w:ascii="Times New Roman" w:hAnsi="Times New Roman" w:cs="Times New Roman"/>
          <w:sz w:val="24"/>
          <w:szCs w:val="24"/>
        </w:rPr>
        <w:tab/>
      </w:r>
      <w:r w:rsidRPr="00A50D31">
        <w:rPr>
          <w:rFonts w:ascii="Times New Roman" w:hAnsi="Times New Roman" w:cs="Times New Roman"/>
          <w:sz w:val="24"/>
          <w:szCs w:val="24"/>
        </w:rPr>
        <w:tab/>
      </w:r>
      <w:r w:rsidRPr="00A50D31">
        <w:rPr>
          <w:rFonts w:ascii="Times New Roman" w:hAnsi="Times New Roman" w:cs="Times New Roman"/>
          <w:sz w:val="24"/>
          <w:szCs w:val="24"/>
        </w:rPr>
        <w:tab/>
      </w:r>
      <w:r w:rsidRPr="00A50D31">
        <w:rPr>
          <w:rFonts w:ascii="Times New Roman" w:hAnsi="Times New Roman" w:cs="Times New Roman"/>
          <w:sz w:val="24"/>
          <w:szCs w:val="24"/>
        </w:rPr>
        <w:tab/>
      </w:r>
      <w:r w:rsidRPr="00A50D31">
        <w:rPr>
          <w:rFonts w:ascii="Times New Roman" w:hAnsi="Times New Roman" w:cs="Times New Roman"/>
          <w:sz w:val="24"/>
          <w:szCs w:val="24"/>
        </w:rPr>
        <w:tab/>
      </w:r>
      <w:r w:rsidRPr="00A50D31">
        <w:rPr>
          <w:rFonts w:ascii="Times New Roman" w:hAnsi="Times New Roman" w:cs="Times New Roman"/>
          <w:sz w:val="24"/>
          <w:szCs w:val="24"/>
        </w:rPr>
        <w:tab/>
      </w:r>
      <w:r w:rsidRPr="00A50D31">
        <w:rPr>
          <w:rFonts w:ascii="Times New Roman" w:hAnsi="Times New Roman" w:cs="Times New Roman"/>
          <w:sz w:val="24"/>
          <w:szCs w:val="24"/>
        </w:rPr>
        <w:tab/>
      </w:r>
      <w:r w:rsidRPr="00A50D31" w:rsidR="002154C8">
        <w:rPr>
          <w:rFonts w:ascii="Times New Roman" w:hAnsi="Times New Roman" w:cs="Times New Roman"/>
          <w:sz w:val="24"/>
          <w:szCs w:val="24"/>
        </w:rPr>
        <w:tab/>
      </w:r>
      <w:r w:rsidRPr="00A50D31">
        <w:rPr>
          <w:rFonts w:ascii="Times New Roman" w:hAnsi="Times New Roman" w:cs="Times New Roman"/>
          <w:b/>
          <w:sz w:val="24"/>
          <w:szCs w:val="24"/>
        </w:rPr>
        <w:t>PAGE</w:t>
      </w:r>
    </w:p>
    <w:p w:rsidR="00EA1743" w:rsidRPr="00A50D31" w:rsidP="00EA1743" w14:paraId="235575B5" w14:textId="77777777">
      <w:pPr>
        <w:autoSpaceDE w:val="0"/>
        <w:autoSpaceDN w:val="0"/>
        <w:adjustRightInd w:val="0"/>
        <w:spacing w:after="0"/>
        <w:jc w:val="center"/>
        <w:rPr>
          <w:rFonts w:ascii="Times New Roman" w:hAnsi="Times New Roman" w:cs="Times New Roman"/>
          <w:b/>
          <w:sz w:val="24"/>
          <w:szCs w:val="24"/>
        </w:rPr>
      </w:pPr>
    </w:p>
    <w:p w:rsidR="00440B2B" w14:paraId="7AD616D5" w14:textId="641BC3FF">
      <w:pPr>
        <w:pStyle w:val="TOC1"/>
        <w:rPr>
          <w:rFonts w:asciiTheme="minorHAnsi" w:eastAsiaTheme="minorEastAsia" w:hAnsiTheme="minorHAnsi"/>
          <w:caps w:val="0"/>
          <w:noProof/>
          <w:sz w:val="22"/>
        </w:rPr>
      </w:pPr>
      <w:r>
        <w:rPr>
          <w:rFonts w:cs="Times New Roman"/>
          <w:b/>
          <w:caps w:val="0"/>
          <w:szCs w:val="24"/>
        </w:rPr>
        <w:fldChar w:fldCharType="begin"/>
      </w:r>
      <w:r>
        <w:rPr>
          <w:rFonts w:cs="Times New Roman"/>
          <w:b/>
          <w:caps w:val="0"/>
          <w:szCs w:val="24"/>
        </w:rPr>
        <w:instrText xml:space="preserve"> TOC \o "1-3" \h \z \u </w:instrText>
      </w:r>
      <w:r>
        <w:rPr>
          <w:rFonts w:cs="Times New Roman"/>
          <w:b/>
          <w:caps w:val="0"/>
          <w:szCs w:val="24"/>
        </w:rPr>
        <w:fldChar w:fldCharType="separate"/>
      </w:r>
      <w:hyperlink w:anchor="_Toc31380621" w:history="1">
        <w:r w:rsidRPr="003542E0">
          <w:rPr>
            <w:rStyle w:val="Hyperlink"/>
            <w:rFonts w:cs="Times New Roman"/>
            <w:noProof/>
          </w:rPr>
          <w:t>I.</w:t>
        </w:r>
        <w:r>
          <w:rPr>
            <w:rFonts w:asciiTheme="minorHAnsi" w:eastAsiaTheme="minorEastAsia" w:hAnsiTheme="minorHAnsi"/>
            <w:caps w:val="0"/>
            <w:noProof/>
            <w:sz w:val="22"/>
          </w:rPr>
          <w:tab/>
        </w:r>
        <w:r w:rsidRPr="003542E0">
          <w:rPr>
            <w:rStyle w:val="Hyperlink"/>
            <w:rFonts w:cs="Times New Roman"/>
            <w:noProof/>
          </w:rPr>
          <w:t>INTRODUCTION</w:t>
        </w:r>
        <w:r>
          <w:rPr>
            <w:noProof/>
            <w:webHidden/>
          </w:rPr>
          <w:tab/>
        </w:r>
        <w:r>
          <w:rPr>
            <w:noProof/>
            <w:webHidden/>
          </w:rPr>
          <w:fldChar w:fldCharType="begin"/>
        </w:r>
        <w:r>
          <w:rPr>
            <w:noProof/>
            <w:webHidden/>
          </w:rPr>
          <w:instrText xml:space="preserve"> PAGEREF _Toc31380621 \h </w:instrText>
        </w:r>
        <w:r>
          <w:rPr>
            <w:noProof/>
            <w:webHidden/>
          </w:rPr>
          <w:fldChar w:fldCharType="separate"/>
        </w:r>
        <w:r>
          <w:rPr>
            <w:noProof/>
            <w:webHidden/>
          </w:rPr>
          <w:t>1</w:t>
        </w:r>
        <w:r>
          <w:rPr>
            <w:noProof/>
            <w:webHidden/>
          </w:rPr>
          <w:fldChar w:fldCharType="end"/>
        </w:r>
      </w:hyperlink>
    </w:p>
    <w:p w:rsidR="00440B2B" w14:paraId="0236E803" w14:textId="74C753D3">
      <w:pPr>
        <w:pStyle w:val="TOC1"/>
        <w:rPr>
          <w:rFonts w:asciiTheme="minorHAnsi" w:eastAsiaTheme="minorEastAsia" w:hAnsiTheme="minorHAnsi"/>
          <w:caps w:val="0"/>
          <w:noProof/>
          <w:sz w:val="22"/>
        </w:rPr>
      </w:pPr>
      <w:hyperlink w:anchor="_Toc31380622" w:history="1">
        <w:r w:rsidRPr="003542E0">
          <w:rPr>
            <w:rStyle w:val="Hyperlink"/>
            <w:rFonts w:cs="Times New Roman"/>
            <w:noProof/>
          </w:rPr>
          <w:t>II.</w:t>
        </w:r>
        <w:r>
          <w:rPr>
            <w:rFonts w:asciiTheme="minorHAnsi" w:eastAsiaTheme="minorEastAsia" w:hAnsiTheme="minorHAnsi"/>
            <w:caps w:val="0"/>
            <w:noProof/>
            <w:sz w:val="22"/>
          </w:rPr>
          <w:tab/>
        </w:r>
        <w:r w:rsidRPr="003542E0">
          <w:rPr>
            <w:rStyle w:val="Hyperlink"/>
            <w:rFonts w:cs="Times New Roman"/>
            <w:noProof/>
          </w:rPr>
          <w:t>RECOMMENDATIONS</w:t>
        </w:r>
        <w:r>
          <w:rPr>
            <w:noProof/>
            <w:webHidden/>
          </w:rPr>
          <w:tab/>
        </w:r>
        <w:r>
          <w:rPr>
            <w:noProof/>
            <w:webHidden/>
          </w:rPr>
          <w:fldChar w:fldCharType="begin"/>
        </w:r>
        <w:r>
          <w:rPr>
            <w:noProof/>
            <w:webHidden/>
          </w:rPr>
          <w:instrText xml:space="preserve"> PAGEREF _Toc31380622 \h </w:instrText>
        </w:r>
        <w:r>
          <w:rPr>
            <w:noProof/>
            <w:webHidden/>
          </w:rPr>
          <w:fldChar w:fldCharType="separate"/>
        </w:r>
        <w:r>
          <w:rPr>
            <w:noProof/>
            <w:webHidden/>
          </w:rPr>
          <w:t>2</w:t>
        </w:r>
        <w:r>
          <w:rPr>
            <w:noProof/>
            <w:webHidden/>
          </w:rPr>
          <w:fldChar w:fldCharType="end"/>
        </w:r>
      </w:hyperlink>
    </w:p>
    <w:p w:rsidR="00440B2B" w14:paraId="0F6F6DAB" w14:textId="46671D92">
      <w:pPr>
        <w:pStyle w:val="TOC2"/>
        <w:tabs>
          <w:tab w:val="left" w:pos="1440"/>
        </w:tabs>
        <w:rPr>
          <w:rFonts w:asciiTheme="minorHAnsi" w:eastAsiaTheme="minorEastAsia" w:hAnsiTheme="minorHAnsi"/>
          <w:noProof/>
          <w:sz w:val="22"/>
        </w:rPr>
      </w:pPr>
      <w:hyperlink w:anchor="_Toc31380623" w:history="1">
        <w:r w:rsidRPr="003542E0">
          <w:rPr>
            <w:rStyle w:val="Hyperlink"/>
            <w:noProof/>
          </w:rPr>
          <w:t>A.</w:t>
        </w:r>
        <w:r>
          <w:rPr>
            <w:rFonts w:asciiTheme="minorHAnsi" w:eastAsiaTheme="minorEastAsia" w:hAnsiTheme="minorHAnsi"/>
            <w:noProof/>
            <w:sz w:val="22"/>
          </w:rPr>
          <w:tab/>
        </w:r>
        <w:r w:rsidRPr="003542E0">
          <w:rPr>
            <w:rStyle w:val="Hyperlink"/>
            <w:noProof/>
          </w:rPr>
          <w:t xml:space="preserve">With kudos to the PUCO Staff for finally recommending the gas </w:t>
        </w:r>
        <w:r>
          <w:rPr>
            <w:rStyle w:val="Hyperlink"/>
            <w:noProof/>
          </w:rPr>
          <w:br/>
        </w:r>
        <w:r w:rsidRPr="003542E0">
          <w:rPr>
            <w:rStyle w:val="Hyperlink"/>
            <w:noProof/>
          </w:rPr>
          <w:t xml:space="preserve">price to compare that electric consumers have enjoyed for years, </w:t>
        </w:r>
        <w:r>
          <w:rPr>
            <w:rStyle w:val="Hyperlink"/>
            <w:noProof/>
          </w:rPr>
          <w:br/>
        </w:r>
        <w:r w:rsidRPr="003542E0">
          <w:rPr>
            <w:rStyle w:val="Hyperlink"/>
            <w:noProof/>
          </w:rPr>
          <w:t>the PUCO should make some additional changes for consumer</w:t>
        </w:r>
        <w:r>
          <w:rPr>
            <w:rStyle w:val="Hyperlink"/>
            <w:noProof/>
          </w:rPr>
          <w:br/>
        </w:r>
        <w:r w:rsidRPr="003542E0">
          <w:rPr>
            <w:rStyle w:val="Hyperlink"/>
            <w:noProof/>
          </w:rPr>
          <w:t>protection.</w:t>
        </w:r>
        <w:r>
          <w:rPr>
            <w:noProof/>
            <w:webHidden/>
          </w:rPr>
          <w:tab/>
        </w:r>
        <w:r>
          <w:rPr>
            <w:noProof/>
            <w:webHidden/>
          </w:rPr>
          <w:fldChar w:fldCharType="begin"/>
        </w:r>
        <w:r>
          <w:rPr>
            <w:noProof/>
            <w:webHidden/>
          </w:rPr>
          <w:instrText xml:space="preserve"> PAGEREF _Toc31380623 \h </w:instrText>
        </w:r>
        <w:r>
          <w:rPr>
            <w:noProof/>
            <w:webHidden/>
          </w:rPr>
          <w:fldChar w:fldCharType="separate"/>
        </w:r>
        <w:r>
          <w:rPr>
            <w:noProof/>
            <w:webHidden/>
          </w:rPr>
          <w:t>2</w:t>
        </w:r>
        <w:r>
          <w:rPr>
            <w:noProof/>
            <w:webHidden/>
          </w:rPr>
          <w:fldChar w:fldCharType="end"/>
        </w:r>
      </w:hyperlink>
    </w:p>
    <w:p w:rsidR="00440B2B" w14:paraId="40CF03E7" w14:textId="2AF48753">
      <w:pPr>
        <w:pStyle w:val="TOC3"/>
        <w:tabs>
          <w:tab w:val="left" w:pos="2160"/>
        </w:tabs>
        <w:rPr>
          <w:rFonts w:asciiTheme="minorHAnsi" w:eastAsiaTheme="minorEastAsia" w:hAnsiTheme="minorHAnsi"/>
          <w:noProof/>
          <w:sz w:val="22"/>
        </w:rPr>
      </w:pPr>
      <w:hyperlink w:anchor="_Toc31380624" w:history="1">
        <w:r w:rsidRPr="003542E0">
          <w:rPr>
            <w:rStyle w:val="Hyperlink"/>
            <w:noProof/>
          </w:rPr>
          <w:t>1.</w:t>
        </w:r>
        <w:r>
          <w:rPr>
            <w:rFonts w:asciiTheme="minorHAnsi" w:eastAsiaTheme="minorEastAsia" w:hAnsiTheme="minorHAnsi"/>
            <w:noProof/>
            <w:sz w:val="22"/>
          </w:rPr>
          <w:tab/>
        </w:r>
        <w:r w:rsidRPr="003542E0">
          <w:rPr>
            <w:rStyle w:val="Hyperlink"/>
            <w:noProof/>
          </w:rPr>
          <w:t xml:space="preserve">The Marketers and Gas Utilities want the PUCO to deny consumers the benefit of a price to compare on their gas </w:t>
        </w:r>
        <w:r>
          <w:rPr>
            <w:rStyle w:val="Hyperlink"/>
            <w:noProof/>
          </w:rPr>
          <w:br/>
        </w:r>
        <w:r w:rsidRPr="003542E0">
          <w:rPr>
            <w:rStyle w:val="Hyperlink"/>
            <w:noProof/>
          </w:rPr>
          <w:t xml:space="preserve">bills. </w:t>
        </w:r>
        <w:r w:rsidRPr="003542E0">
          <w:rPr>
            <w:rStyle w:val="Hyperlink"/>
            <w:i/>
            <w:noProof/>
          </w:rPr>
          <w:t>E</w:t>
        </w:r>
        <w:r w:rsidRPr="003542E0">
          <w:rPr>
            <w:rStyle w:val="Hyperlink"/>
            <w:i/>
            <w:iCs/>
            <w:noProof/>
          </w:rPr>
          <w:t>lectric</w:t>
        </w:r>
        <w:r w:rsidRPr="003542E0">
          <w:rPr>
            <w:rStyle w:val="Hyperlink"/>
            <w:noProof/>
          </w:rPr>
          <w:t xml:space="preserve"> utilities have shown consumers a price to </w:t>
        </w:r>
        <w:r>
          <w:rPr>
            <w:rStyle w:val="Hyperlink"/>
            <w:noProof/>
          </w:rPr>
          <w:br/>
        </w:r>
        <w:r w:rsidRPr="003542E0">
          <w:rPr>
            <w:rStyle w:val="Hyperlink"/>
            <w:noProof/>
          </w:rPr>
          <w:t>compare for years.</w:t>
        </w:r>
        <w:r>
          <w:rPr>
            <w:noProof/>
            <w:webHidden/>
          </w:rPr>
          <w:tab/>
        </w:r>
        <w:r>
          <w:rPr>
            <w:noProof/>
            <w:webHidden/>
          </w:rPr>
          <w:fldChar w:fldCharType="begin"/>
        </w:r>
        <w:r>
          <w:rPr>
            <w:noProof/>
            <w:webHidden/>
          </w:rPr>
          <w:instrText xml:space="preserve"> PAGEREF _Toc31380624 \h </w:instrText>
        </w:r>
        <w:r>
          <w:rPr>
            <w:noProof/>
            <w:webHidden/>
          </w:rPr>
          <w:fldChar w:fldCharType="separate"/>
        </w:r>
        <w:r>
          <w:rPr>
            <w:noProof/>
            <w:webHidden/>
          </w:rPr>
          <w:t>3</w:t>
        </w:r>
        <w:r>
          <w:rPr>
            <w:noProof/>
            <w:webHidden/>
          </w:rPr>
          <w:fldChar w:fldCharType="end"/>
        </w:r>
      </w:hyperlink>
    </w:p>
    <w:p w:rsidR="00440B2B" w14:paraId="60D58A09" w14:textId="01F83454">
      <w:pPr>
        <w:pStyle w:val="TOC3"/>
        <w:tabs>
          <w:tab w:val="left" w:pos="2160"/>
        </w:tabs>
        <w:rPr>
          <w:rFonts w:asciiTheme="minorHAnsi" w:eastAsiaTheme="minorEastAsia" w:hAnsiTheme="minorHAnsi"/>
          <w:noProof/>
          <w:sz w:val="22"/>
        </w:rPr>
      </w:pPr>
      <w:hyperlink w:anchor="_Toc31380625" w:history="1">
        <w:r w:rsidRPr="003542E0">
          <w:rPr>
            <w:rStyle w:val="Hyperlink"/>
            <w:noProof/>
          </w:rPr>
          <w:t>2.</w:t>
        </w:r>
        <w:r>
          <w:rPr>
            <w:rFonts w:asciiTheme="minorHAnsi" w:eastAsiaTheme="minorEastAsia" w:hAnsiTheme="minorHAnsi"/>
            <w:noProof/>
            <w:sz w:val="22"/>
          </w:rPr>
          <w:tab/>
        </w:r>
        <w:r w:rsidRPr="003542E0">
          <w:rPr>
            <w:rStyle w:val="Hyperlink"/>
            <w:noProof/>
          </w:rPr>
          <w:t xml:space="preserve">OCC’s recommended revision to Staff’s proposed rule does </w:t>
        </w:r>
        <w:r>
          <w:rPr>
            <w:rStyle w:val="Hyperlink"/>
            <w:noProof/>
          </w:rPr>
          <w:br/>
        </w:r>
        <w:r w:rsidRPr="003542E0">
          <w:rPr>
            <w:rStyle w:val="Hyperlink"/>
            <w:noProof/>
          </w:rPr>
          <w:t>not violate state policy and would protect consumers.</w:t>
        </w:r>
        <w:r>
          <w:rPr>
            <w:noProof/>
            <w:webHidden/>
          </w:rPr>
          <w:tab/>
        </w:r>
        <w:r>
          <w:rPr>
            <w:noProof/>
            <w:webHidden/>
          </w:rPr>
          <w:fldChar w:fldCharType="begin"/>
        </w:r>
        <w:r>
          <w:rPr>
            <w:noProof/>
            <w:webHidden/>
          </w:rPr>
          <w:instrText xml:space="preserve"> PAGEREF _Toc31380625 \h </w:instrText>
        </w:r>
        <w:r>
          <w:rPr>
            <w:noProof/>
            <w:webHidden/>
          </w:rPr>
          <w:fldChar w:fldCharType="separate"/>
        </w:r>
        <w:r>
          <w:rPr>
            <w:noProof/>
            <w:webHidden/>
          </w:rPr>
          <w:t>5</w:t>
        </w:r>
        <w:r>
          <w:rPr>
            <w:noProof/>
            <w:webHidden/>
          </w:rPr>
          <w:fldChar w:fldCharType="end"/>
        </w:r>
      </w:hyperlink>
    </w:p>
    <w:p w:rsidR="00440B2B" w14:paraId="7B1D624B" w14:textId="482475FA">
      <w:pPr>
        <w:pStyle w:val="TOC3"/>
        <w:tabs>
          <w:tab w:val="left" w:pos="2160"/>
        </w:tabs>
        <w:rPr>
          <w:rFonts w:asciiTheme="minorHAnsi" w:eastAsiaTheme="minorEastAsia" w:hAnsiTheme="minorHAnsi"/>
          <w:noProof/>
          <w:sz w:val="22"/>
        </w:rPr>
      </w:pPr>
      <w:hyperlink w:anchor="_Toc31380626" w:history="1">
        <w:r w:rsidRPr="003542E0">
          <w:rPr>
            <w:rStyle w:val="Hyperlink"/>
            <w:noProof/>
          </w:rPr>
          <w:t>3.</w:t>
        </w:r>
        <w:r>
          <w:rPr>
            <w:rFonts w:asciiTheme="minorHAnsi" w:eastAsiaTheme="minorEastAsia" w:hAnsiTheme="minorHAnsi"/>
            <w:noProof/>
            <w:sz w:val="22"/>
          </w:rPr>
          <w:tab/>
        </w:r>
        <w:r w:rsidRPr="003542E0">
          <w:rPr>
            <w:rStyle w:val="Hyperlink"/>
            <w:noProof/>
          </w:rPr>
          <w:t>The PUCO Staff’s proposed price to compare language is</w:t>
        </w:r>
        <w:r>
          <w:rPr>
            <w:rStyle w:val="Hyperlink"/>
            <w:noProof/>
          </w:rPr>
          <w:br/>
        </w:r>
        <w:r w:rsidRPr="003542E0">
          <w:rPr>
            <w:rStyle w:val="Hyperlink"/>
            <w:noProof/>
          </w:rPr>
          <w:t>accurate, correct, and will not mislead customers.</w:t>
        </w:r>
        <w:r>
          <w:rPr>
            <w:noProof/>
            <w:webHidden/>
          </w:rPr>
          <w:tab/>
        </w:r>
        <w:r>
          <w:rPr>
            <w:noProof/>
            <w:webHidden/>
          </w:rPr>
          <w:fldChar w:fldCharType="begin"/>
        </w:r>
        <w:r>
          <w:rPr>
            <w:noProof/>
            <w:webHidden/>
          </w:rPr>
          <w:instrText xml:space="preserve"> PAGEREF _Toc31380626 \h </w:instrText>
        </w:r>
        <w:r>
          <w:rPr>
            <w:noProof/>
            <w:webHidden/>
          </w:rPr>
          <w:fldChar w:fldCharType="separate"/>
        </w:r>
        <w:r>
          <w:rPr>
            <w:noProof/>
            <w:webHidden/>
          </w:rPr>
          <w:t>7</w:t>
        </w:r>
        <w:r>
          <w:rPr>
            <w:noProof/>
            <w:webHidden/>
          </w:rPr>
          <w:fldChar w:fldCharType="end"/>
        </w:r>
      </w:hyperlink>
    </w:p>
    <w:p w:rsidR="00440B2B" w14:paraId="3150CE15" w14:textId="39CED329">
      <w:pPr>
        <w:pStyle w:val="TOC2"/>
        <w:tabs>
          <w:tab w:val="left" w:pos="1440"/>
        </w:tabs>
        <w:rPr>
          <w:rFonts w:asciiTheme="minorHAnsi" w:eastAsiaTheme="minorEastAsia" w:hAnsiTheme="minorHAnsi"/>
          <w:noProof/>
          <w:sz w:val="22"/>
        </w:rPr>
      </w:pPr>
      <w:hyperlink w:anchor="_Toc31380627" w:history="1">
        <w:r w:rsidRPr="003542E0">
          <w:rPr>
            <w:rStyle w:val="Hyperlink"/>
            <w:noProof/>
          </w:rPr>
          <w:t>B.</w:t>
        </w:r>
        <w:r>
          <w:rPr>
            <w:rFonts w:asciiTheme="minorHAnsi" w:eastAsiaTheme="minorEastAsia" w:hAnsiTheme="minorHAnsi"/>
            <w:noProof/>
            <w:sz w:val="22"/>
          </w:rPr>
          <w:tab/>
        </w:r>
        <w:r w:rsidRPr="003542E0">
          <w:rPr>
            <w:rStyle w:val="Hyperlink"/>
            <w:noProof/>
          </w:rPr>
          <w:t xml:space="preserve">For consumer protection against slamming, customers should be </w:t>
        </w:r>
        <w:r>
          <w:rPr>
            <w:rStyle w:val="Hyperlink"/>
            <w:noProof/>
          </w:rPr>
          <w:br/>
        </w:r>
        <w:r w:rsidRPr="003542E0">
          <w:rPr>
            <w:rStyle w:val="Hyperlink"/>
            <w:noProof/>
          </w:rPr>
          <w:t>permitted to request a supplier block be placed on their account.</w:t>
        </w:r>
        <w:r>
          <w:rPr>
            <w:noProof/>
            <w:webHidden/>
          </w:rPr>
          <w:tab/>
        </w:r>
        <w:r>
          <w:rPr>
            <w:noProof/>
            <w:webHidden/>
          </w:rPr>
          <w:fldChar w:fldCharType="begin"/>
        </w:r>
        <w:r>
          <w:rPr>
            <w:noProof/>
            <w:webHidden/>
          </w:rPr>
          <w:instrText xml:space="preserve"> PAGEREF _Toc31380627 \h </w:instrText>
        </w:r>
        <w:r>
          <w:rPr>
            <w:noProof/>
            <w:webHidden/>
          </w:rPr>
          <w:fldChar w:fldCharType="separate"/>
        </w:r>
        <w:r>
          <w:rPr>
            <w:noProof/>
            <w:webHidden/>
          </w:rPr>
          <w:t>8</w:t>
        </w:r>
        <w:r>
          <w:rPr>
            <w:noProof/>
            <w:webHidden/>
          </w:rPr>
          <w:fldChar w:fldCharType="end"/>
        </w:r>
      </w:hyperlink>
    </w:p>
    <w:p w:rsidR="00440B2B" w14:paraId="03FED8C5" w14:textId="41983561">
      <w:pPr>
        <w:pStyle w:val="TOC2"/>
        <w:tabs>
          <w:tab w:val="left" w:pos="1440"/>
        </w:tabs>
        <w:rPr>
          <w:rFonts w:asciiTheme="minorHAnsi" w:eastAsiaTheme="minorEastAsia" w:hAnsiTheme="minorHAnsi"/>
          <w:noProof/>
          <w:sz w:val="22"/>
        </w:rPr>
      </w:pPr>
      <w:hyperlink w:anchor="_Toc31380628" w:history="1">
        <w:r w:rsidRPr="003542E0">
          <w:rPr>
            <w:rStyle w:val="Hyperlink"/>
            <w:noProof/>
          </w:rPr>
          <w:t>C.</w:t>
        </w:r>
        <w:r>
          <w:rPr>
            <w:rFonts w:asciiTheme="minorHAnsi" w:eastAsiaTheme="minorEastAsia" w:hAnsiTheme="minorHAnsi"/>
            <w:noProof/>
            <w:sz w:val="22"/>
          </w:rPr>
          <w:tab/>
        </w:r>
        <w:r w:rsidRPr="003542E0">
          <w:rPr>
            <w:rStyle w:val="Hyperlink"/>
            <w:noProof/>
          </w:rPr>
          <w:t>The PUCO should provide additional consumer protections</w:t>
        </w:r>
        <w:r>
          <w:rPr>
            <w:rStyle w:val="Hyperlink"/>
            <w:noProof/>
          </w:rPr>
          <w:br/>
        </w:r>
        <w:r w:rsidRPr="003542E0">
          <w:rPr>
            <w:rStyle w:val="Hyperlink"/>
            <w:noProof/>
          </w:rPr>
          <w:t>regarding marketer contract portability.</w:t>
        </w:r>
        <w:r>
          <w:rPr>
            <w:noProof/>
            <w:webHidden/>
          </w:rPr>
          <w:tab/>
        </w:r>
        <w:r>
          <w:rPr>
            <w:noProof/>
            <w:webHidden/>
          </w:rPr>
          <w:fldChar w:fldCharType="begin"/>
        </w:r>
        <w:r>
          <w:rPr>
            <w:noProof/>
            <w:webHidden/>
          </w:rPr>
          <w:instrText xml:space="preserve"> PAGEREF _Toc31380628 \h </w:instrText>
        </w:r>
        <w:r>
          <w:rPr>
            <w:noProof/>
            <w:webHidden/>
          </w:rPr>
          <w:fldChar w:fldCharType="separate"/>
        </w:r>
        <w:r>
          <w:rPr>
            <w:noProof/>
            <w:webHidden/>
          </w:rPr>
          <w:t>12</w:t>
        </w:r>
        <w:r>
          <w:rPr>
            <w:noProof/>
            <w:webHidden/>
          </w:rPr>
          <w:fldChar w:fldCharType="end"/>
        </w:r>
      </w:hyperlink>
    </w:p>
    <w:p w:rsidR="00440B2B" w14:paraId="62CEA893" w14:textId="2D59C979">
      <w:pPr>
        <w:pStyle w:val="TOC2"/>
        <w:tabs>
          <w:tab w:val="left" w:pos="1440"/>
        </w:tabs>
        <w:rPr>
          <w:rFonts w:asciiTheme="minorHAnsi" w:eastAsiaTheme="minorEastAsia" w:hAnsiTheme="minorHAnsi"/>
          <w:noProof/>
          <w:sz w:val="22"/>
        </w:rPr>
      </w:pPr>
      <w:hyperlink w:anchor="_Toc31380629" w:history="1">
        <w:r w:rsidRPr="003542E0">
          <w:rPr>
            <w:rStyle w:val="Hyperlink"/>
            <w:noProof/>
          </w:rPr>
          <w:t>D.</w:t>
        </w:r>
        <w:r>
          <w:rPr>
            <w:rFonts w:asciiTheme="minorHAnsi" w:eastAsiaTheme="minorEastAsia" w:hAnsiTheme="minorHAnsi"/>
            <w:noProof/>
            <w:sz w:val="22"/>
          </w:rPr>
          <w:tab/>
        </w:r>
        <w:r w:rsidRPr="003542E0">
          <w:rPr>
            <w:rStyle w:val="Hyperlink"/>
            <w:noProof/>
          </w:rPr>
          <w:t>The PUCO should adopt the proposed Staff rule limiting the types</w:t>
        </w:r>
        <w:r>
          <w:rPr>
            <w:rStyle w:val="Hyperlink"/>
            <w:noProof/>
          </w:rPr>
          <w:br/>
        </w:r>
        <w:r w:rsidRPr="003542E0">
          <w:rPr>
            <w:rStyle w:val="Hyperlink"/>
            <w:noProof/>
          </w:rPr>
          <w:t xml:space="preserve">of charges that can appear on natural gas customers’ bills to include </w:t>
        </w:r>
        <w:r>
          <w:rPr>
            <w:rStyle w:val="Hyperlink"/>
            <w:noProof/>
          </w:rPr>
          <w:br/>
        </w:r>
        <w:r w:rsidRPr="003542E0">
          <w:rPr>
            <w:rStyle w:val="Hyperlink"/>
            <w:noProof/>
          </w:rPr>
          <w:t>only commodity charges and tariff-approved distribution charges</w:t>
        </w:r>
        <w:r>
          <w:rPr>
            <w:rStyle w:val="Hyperlink"/>
            <w:noProof/>
          </w:rPr>
          <w:br/>
        </w:r>
        <w:r w:rsidRPr="003542E0">
          <w:rPr>
            <w:rStyle w:val="Hyperlink"/>
            <w:noProof/>
          </w:rPr>
          <w:t>or services.</w:t>
        </w:r>
        <w:r>
          <w:rPr>
            <w:noProof/>
            <w:webHidden/>
          </w:rPr>
          <w:tab/>
        </w:r>
        <w:r>
          <w:rPr>
            <w:noProof/>
            <w:webHidden/>
          </w:rPr>
          <w:fldChar w:fldCharType="begin"/>
        </w:r>
        <w:r>
          <w:rPr>
            <w:noProof/>
            <w:webHidden/>
          </w:rPr>
          <w:instrText xml:space="preserve"> PAGEREF _Toc31380629 \h </w:instrText>
        </w:r>
        <w:r>
          <w:rPr>
            <w:noProof/>
            <w:webHidden/>
          </w:rPr>
          <w:fldChar w:fldCharType="separate"/>
        </w:r>
        <w:r>
          <w:rPr>
            <w:noProof/>
            <w:webHidden/>
          </w:rPr>
          <w:t>15</w:t>
        </w:r>
        <w:r>
          <w:rPr>
            <w:noProof/>
            <w:webHidden/>
          </w:rPr>
          <w:fldChar w:fldCharType="end"/>
        </w:r>
      </w:hyperlink>
    </w:p>
    <w:p w:rsidR="00440B2B" w14:paraId="2D25F349" w14:textId="0070BAFF">
      <w:pPr>
        <w:pStyle w:val="TOC2"/>
        <w:tabs>
          <w:tab w:val="left" w:pos="1440"/>
        </w:tabs>
        <w:rPr>
          <w:rFonts w:asciiTheme="minorHAnsi" w:eastAsiaTheme="minorEastAsia" w:hAnsiTheme="minorHAnsi"/>
          <w:noProof/>
          <w:sz w:val="22"/>
        </w:rPr>
      </w:pPr>
      <w:hyperlink w:anchor="_Toc31380630" w:history="1">
        <w:r w:rsidRPr="003542E0">
          <w:rPr>
            <w:rStyle w:val="Hyperlink"/>
            <w:noProof/>
          </w:rPr>
          <w:t>E.</w:t>
        </w:r>
        <w:r>
          <w:rPr>
            <w:rFonts w:asciiTheme="minorHAnsi" w:eastAsiaTheme="minorEastAsia" w:hAnsiTheme="minorHAnsi"/>
            <w:noProof/>
            <w:sz w:val="22"/>
          </w:rPr>
          <w:tab/>
        </w:r>
        <w:r w:rsidRPr="003542E0">
          <w:rPr>
            <w:rStyle w:val="Hyperlink"/>
            <w:noProof/>
          </w:rPr>
          <w:t>The PUCO should adopt NOPEC’s recommendation for a uniform rescission letter.</w:t>
        </w:r>
        <w:r>
          <w:rPr>
            <w:noProof/>
            <w:webHidden/>
          </w:rPr>
          <w:tab/>
        </w:r>
        <w:r>
          <w:rPr>
            <w:noProof/>
            <w:webHidden/>
          </w:rPr>
          <w:fldChar w:fldCharType="begin"/>
        </w:r>
        <w:r>
          <w:rPr>
            <w:noProof/>
            <w:webHidden/>
          </w:rPr>
          <w:instrText xml:space="preserve"> PAGEREF _Toc31380630 \h </w:instrText>
        </w:r>
        <w:r>
          <w:rPr>
            <w:noProof/>
            <w:webHidden/>
          </w:rPr>
          <w:fldChar w:fldCharType="separate"/>
        </w:r>
        <w:r>
          <w:rPr>
            <w:noProof/>
            <w:webHidden/>
          </w:rPr>
          <w:t>18</w:t>
        </w:r>
        <w:r>
          <w:rPr>
            <w:noProof/>
            <w:webHidden/>
          </w:rPr>
          <w:fldChar w:fldCharType="end"/>
        </w:r>
      </w:hyperlink>
    </w:p>
    <w:p w:rsidR="00440B2B" w14:paraId="23F2EFDE" w14:textId="12878ED3">
      <w:pPr>
        <w:pStyle w:val="TOC1"/>
        <w:rPr>
          <w:rFonts w:asciiTheme="minorHAnsi" w:eastAsiaTheme="minorEastAsia" w:hAnsiTheme="minorHAnsi"/>
          <w:caps w:val="0"/>
          <w:noProof/>
          <w:sz w:val="22"/>
        </w:rPr>
      </w:pPr>
      <w:hyperlink w:anchor="_Toc31380631" w:history="1">
        <w:r w:rsidRPr="003542E0">
          <w:rPr>
            <w:rStyle w:val="Hyperlink"/>
            <w:rFonts w:cs="Times New Roman"/>
            <w:noProof/>
          </w:rPr>
          <w:t>III.</w:t>
        </w:r>
        <w:r>
          <w:rPr>
            <w:rFonts w:asciiTheme="minorHAnsi" w:eastAsiaTheme="minorEastAsia" w:hAnsiTheme="minorHAnsi"/>
            <w:caps w:val="0"/>
            <w:noProof/>
            <w:sz w:val="22"/>
          </w:rPr>
          <w:tab/>
        </w:r>
        <w:r w:rsidRPr="003542E0">
          <w:rPr>
            <w:rStyle w:val="Hyperlink"/>
            <w:rFonts w:cs="Times New Roman"/>
            <w:noProof/>
          </w:rPr>
          <w:t>CONCLUSION</w:t>
        </w:r>
        <w:r>
          <w:rPr>
            <w:noProof/>
            <w:webHidden/>
          </w:rPr>
          <w:tab/>
        </w:r>
        <w:r>
          <w:rPr>
            <w:noProof/>
            <w:webHidden/>
          </w:rPr>
          <w:fldChar w:fldCharType="begin"/>
        </w:r>
        <w:r>
          <w:rPr>
            <w:noProof/>
            <w:webHidden/>
          </w:rPr>
          <w:instrText xml:space="preserve"> PAGEREF _Toc31380631 \h </w:instrText>
        </w:r>
        <w:r>
          <w:rPr>
            <w:noProof/>
            <w:webHidden/>
          </w:rPr>
          <w:fldChar w:fldCharType="separate"/>
        </w:r>
        <w:r>
          <w:rPr>
            <w:noProof/>
            <w:webHidden/>
          </w:rPr>
          <w:t>19</w:t>
        </w:r>
        <w:r>
          <w:rPr>
            <w:noProof/>
            <w:webHidden/>
          </w:rPr>
          <w:fldChar w:fldCharType="end"/>
        </w:r>
      </w:hyperlink>
    </w:p>
    <w:p w:rsidR="00875BFA" w:rsidRPr="00A50D31" w:rsidP="00875BFA" w14:paraId="25285382" w14:textId="44C95531">
      <w:pPr>
        <w:autoSpaceDE w:val="0"/>
        <w:autoSpaceDN w:val="0"/>
        <w:adjustRightInd w:val="0"/>
        <w:jc w:val="center"/>
        <w:rPr>
          <w:rFonts w:ascii="Times New Roman" w:hAnsi="Times New Roman" w:cs="Times New Roman"/>
          <w:b/>
          <w:sz w:val="24"/>
          <w:szCs w:val="24"/>
        </w:rPr>
      </w:pPr>
      <w:r>
        <w:rPr>
          <w:rFonts w:ascii="Times New Roman" w:hAnsi="Times New Roman" w:cs="Times New Roman"/>
          <w:b/>
          <w:caps/>
          <w:sz w:val="24"/>
          <w:szCs w:val="24"/>
        </w:rPr>
        <w:fldChar w:fldCharType="end"/>
      </w:r>
    </w:p>
    <w:p w:rsidR="00875BFA" w:rsidRPr="00A50D31" w:rsidP="00875BFA" w14:paraId="278C1AB1" w14:textId="77777777">
      <w:pPr>
        <w:autoSpaceDE w:val="0"/>
        <w:autoSpaceDN w:val="0"/>
        <w:adjustRightInd w:val="0"/>
        <w:jc w:val="center"/>
        <w:rPr>
          <w:rFonts w:ascii="Times New Roman" w:hAnsi="Times New Roman" w:cs="Times New Roman"/>
          <w:sz w:val="24"/>
          <w:szCs w:val="24"/>
        </w:rPr>
      </w:pPr>
    </w:p>
    <w:p w:rsidR="00875BFA" w:rsidRPr="00A50D31" w:rsidP="002B759A" w14:paraId="4EF59FDF" w14:textId="77777777">
      <w:pPr>
        <w:pStyle w:val="BodyText"/>
        <w:adjustRightInd/>
        <w:rPr>
          <w:bCs w:val="0"/>
        </w:rPr>
      </w:pPr>
    </w:p>
    <w:p w:rsidR="00875BFA" w:rsidRPr="00A50D31" w:rsidP="002B759A" w14:paraId="51818EA6" w14:textId="77777777">
      <w:pPr>
        <w:pStyle w:val="BodyText"/>
        <w:adjustRightInd/>
        <w:rPr>
          <w:bCs w:val="0"/>
        </w:rPr>
      </w:pPr>
    </w:p>
    <w:p w:rsidR="00A77E49" w:rsidRPr="00A50D31" w:rsidP="002B759A" w14:paraId="553FD816" w14:textId="77777777">
      <w:pPr>
        <w:pStyle w:val="BodyText"/>
        <w:adjustRightInd/>
        <w:rPr>
          <w:bCs w:val="0"/>
        </w:rPr>
        <w:sectPr w:rsidSect="002154C8">
          <w:headerReference w:type="default" r:id="rId9"/>
          <w:footerReference w:type="default" r:id="rId10"/>
          <w:pgSz w:w="12240" w:h="15840"/>
          <w:pgMar w:top="1440" w:right="1800" w:bottom="1440" w:left="1800" w:header="720" w:footer="720" w:gutter="0"/>
          <w:pgNumType w:fmt="lowerRoman" w:start="1"/>
          <w:cols w:space="720"/>
          <w:docGrid w:linePitch="360"/>
        </w:sectPr>
      </w:pPr>
    </w:p>
    <w:p w:rsidR="002B759A" w:rsidRPr="00A50D31" w:rsidP="002B759A" w14:paraId="6E90F601" w14:textId="0A7D9E30">
      <w:pPr>
        <w:pStyle w:val="BodyText"/>
        <w:adjustRightInd/>
        <w:rPr>
          <w:bCs w:val="0"/>
        </w:rPr>
      </w:pPr>
      <w:r w:rsidRPr="00A50D31">
        <w:rPr>
          <w:bCs w:val="0"/>
        </w:rPr>
        <w:t>BEFORE</w:t>
      </w:r>
    </w:p>
    <w:p w:rsidR="002B759A" w:rsidRPr="00A50D31" w:rsidP="002B759A" w14:paraId="4A3A6685" w14:textId="77777777">
      <w:pPr>
        <w:pStyle w:val="BodyText"/>
        <w:adjustRightInd/>
        <w:rPr>
          <w:bCs w:val="0"/>
        </w:rPr>
      </w:pPr>
      <w:r w:rsidRPr="00A50D31">
        <w:rPr>
          <w:bCs w:val="0"/>
        </w:rPr>
        <w:t>THE PUBLIC UTILITIES COMMISSION OF OHIO</w:t>
      </w:r>
    </w:p>
    <w:p w:rsidR="002B759A" w:rsidRPr="00A50D31" w:rsidP="002B759A" w14:paraId="3D7BD45C" w14:textId="77777777">
      <w:pPr>
        <w:pStyle w:val="HTMLPreformatted"/>
        <w:adjustRightInd/>
        <w:rPr>
          <w:rFonts w:ascii="Times New Roman" w:hAnsi="Times New Roman" w:cs="Times New Roman"/>
          <w:sz w:val="24"/>
          <w:szCs w:val="24"/>
        </w:rPr>
      </w:pPr>
    </w:p>
    <w:tbl>
      <w:tblPr>
        <w:tblW w:w="9092" w:type="dxa"/>
        <w:tblLayout w:type="fixed"/>
        <w:tblLook w:val="01E0"/>
      </w:tblPr>
      <w:tblGrid>
        <w:gridCol w:w="4332"/>
        <w:gridCol w:w="360"/>
        <w:gridCol w:w="4400"/>
      </w:tblGrid>
      <w:tr w14:paraId="529DF1F0" w14:textId="77777777" w:rsidTr="00AD59C9">
        <w:tblPrEx>
          <w:tblW w:w="9092" w:type="dxa"/>
          <w:tblLayout w:type="fixed"/>
          <w:tblLook w:val="01E0"/>
        </w:tblPrEx>
        <w:trPr>
          <w:trHeight w:val="807"/>
        </w:trPr>
        <w:tc>
          <w:tcPr>
            <w:tcW w:w="4332" w:type="dxa"/>
            <w:tcMar>
              <w:left w:w="108" w:type="dxa"/>
              <w:right w:w="108" w:type="dxa"/>
            </w:tcMar>
          </w:tcPr>
          <w:p w:rsidR="002B759A" w:rsidRPr="00A50D31" w:rsidP="00AD59C9" w14:paraId="528E914E" w14:textId="4A4BB1C5">
            <w:pPr>
              <w:pStyle w:val="HTMLPreformatted"/>
              <w:adjustRightInd/>
              <w:rPr>
                <w:rFonts w:ascii="Times New Roman" w:hAnsi="Times New Roman" w:cs="Times New Roman"/>
                <w:sz w:val="24"/>
                <w:szCs w:val="24"/>
              </w:rPr>
            </w:pPr>
            <w:r w:rsidRPr="00A50D31">
              <w:rPr>
                <w:rFonts w:ascii="Times New Roman" w:hAnsi="Times New Roman" w:cs="Times New Roman"/>
                <w:sz w:val="24"/>
                <w:szCs w:val="24"/>
              </w:rPr>
              <w:t>In the Matter of the Commission’s Review of the Minimum Gas Service Standards in Chapter 4901:1-13 of the Ohio Administrative Code.</w:t>
            </w:r>
          </w:p>
        </w:tc>
        <w:tc>
          <w:tcPr>
            <w:tcW w:w="360" w:type="dxa"/>
            <w:tcMar>
              <w:left w:w="108" w:type="dxa"/>
              <w:right w:w="108" w:type="dxa"/>
            </w:tcMar>
          </w:tcPr>
          <w:p w:rsidR="002B759A" w:rsidRPr="00A50D31" w:rsidP="00AD59C9" w14:paraId="42694CE8" w14:textId="77777777">
            <w:pPr>
              <w:pStyle w:val="HTMLPreformatted"/>
              <w:adjustRightInd/>
              <w:rPr>
                <w:rFonts w:ascii="Times New Roman" w:hAnsi="Times New Roman" w:cs="Times New Roman"/>
                <w:sz w:val="24"/>
                <w:szCs w:val="24"/>
              </w:rPr>
            </w:pPr>
            <w:r w:rsidRPr="00A50D31">
              <w:rPr>
                <w:rFonts w:ascii="Times New Roman" w:hAnsi="Times New Roman" w:cs="Times New Roman"/>
                <w:sz w:val="24"/>
                <w:szCs w:val="24"/>
              </w:rPr>
              <w:t>)</w:t>
            </w:r>
          </w:p>
          <w:p w:rsidR="002B759A" w:rsidRPr="00A50D31" w:rsidP="00AD59C9" w14:paraId="5CB82583" w14:textId="77777777">
            <w:pPr>
              <w:pStyle w:val="HTMLPreformatted"/>
              <w:adjustRightInd/>
              <w:rPr>
                <w:rFonts w:ascii="Times New Roman" w:hAnsi="Times New Roman" w:cs="Times New Roman"/>
                <w:sz w:val="24"/>
                <w:szCs w:val="24"/>
              </w:rPr>
            </w:pPr>
            <w:r w:rsidRPr="00A50D31">
              <w:rPr>
                <w:rFonts w:ascii="Times New Roman" w:hAnsi="Times New Roman" w:cs="Times New Roman"/>
                <w:sz w:val="24"/>
                <w:szCs w:val="24"/>
              </w:rPr>
              <w:t>)</w:t>
            </w:r>
          </w:p>
          <w:p w:rsidR="002B759A" w:rsidRPr="00A50D31" w:rsidP="00AD59C9" w14:paraId="1F840C80" w14:textId="77777777">
            <w:pPr>
              <w:pStyle w:val="HTMLPreformatted"/>
              <w:adjustRightInd/>
              <w:rPr>
                <w:rFonts w:ascii="Times New Roman" w:hAnsi="Times New Roman" w:cs="Times New Roman"/>
                <w:sz w:val="24"/>
                <w:szCs w:val="24"/>
              </w:rPr>
            </w:pPr>
            <w:r w:rsidRPr="00A50D31">
              <w:rPr>
                <w:rFonts w:ascii="Times New Roman" w:hAnsi="Times New Roman" w:cs="Times New Roman"/>
                <w:sz w:val="24"/>
                <w:szCs w:val="24"/>
              </w:rPr>
              <w:t>)</w:t>
            </w:r>
          </w:p>
          <w:p w:rsidR="002B759A" w:rsidRPr="00A50D31" w:rsidP="002B759A" w14:paraId="0EB6E089" w14:textId="13C65FA1">
            <w:pPr>
              <w:pStyle w:val="HTMLPreformatted"/>
              <w:adjustRightInd/>
              <w:rPr>
                <w:rFonts w:ascii="Times New Roman" w:hAnsi="Times New Roman" w:cs="Times New Roman"/>
                <w:sz w:val="24"/>
                <w:szCs w:val="24"/>
              </w:rPr>
            </w:pPr>
            <w:r w:rsidRPr="00A50D31">
              <w:rPr>
                <w:rFonts w:ascii="Times New Roman" w:hAnsi="Times New Roman" w:cs="Times New Roman"/>
                <w:sz w:val="24"/>
                <w:szCs w:val="24"/>
              </w:rPr>
              <w:t>)</w:t>
            </w:r>
          </w:p>
        </w:tc>
        <w:tc>
          <w:tcPr>
            <w:tcW w:w="4400" w:type="dxa"/>
            <w:tcMar>
              <w:left w:w="108" w:type="dxa"/>
              <w:right w:w="108" w:type="dxa"/>
            </w:tcMar>
          </w:tcPr>
          <w:p w:rsidR="002B759A" w:rsidRPr="00A50D31" w:rsidP="00AD59C9" w14:paraId="18D0A86F" w14:textId="77777777">
            <w:pPr>
              <w:pStyle w:val="HTMLPreformatted"/>
              <w:adjustRightInd/>
              <w:rPr>
                <w:rFonts w:ascii="Times New Roman" w:hAnsi="Times New Roman" w:cs="Times New Roman"/>
                <w:sz w:val="24"/>
                <w:szCs w:val="24"/>
              </w:rPr>
            </w:pPr>
          </w:p>
          <w:p w:rsidR="002B759A" w:rsidRPr="00A50D31" w:rsidP="00AD59C9" w14:paraId="78ED9F84" w14:textId="3C4F5DA2">
            <w:pPr>
              <w:pStyle w:val="HTMLPreformatted"/>
              <w:adjustRightInd/>
              <w:rPr>
                <w:rFonts w:ascii="Times New Roman" w:hAnsi="Times New Roman" w:cs="Times New Roman"/>
                <w:sz w:val="24"/>
                <w:szCs w:val="24"/>
              </w:rPr>
            </w:pPr>
            <w:r w:rsidRPr="00A50D31">
              <w:rPr>
                <w:rFonts w:ascii="Times New Roman" w:hAnsi="Times New Roman" w:cs="Times New Roman"/>
                <w:sz w:val="24"/>
                <w:szCs w:val="24"/>
              </w:rPr>
              <w:t>Case No. 19-1429-GA-ORD</w:t>
            </w:r>
          </w:p>
          <w:p w:rsidR="002B759A" w:rsidRPr="00A50D31" w:rsidP="00AD59C9" w14:paraId="4F0D7713" w14:textId="77777777">
            <w:pPr>
              <w:pStyle w:val="HTMLPreformatted"/>
              <w:adjustRightInd/>
              <w:rPr>
                <w:rFonts w:ascii="Times New Roman" w:hAnsi="Times New Roman" w:cs="Times New Roman"/>
                <w:sz w:val="24"/>
                <w:szCs w:val="24"/>
              </w:rPr>
            </w:pPr>
          </w:p>
        </w:tc>
      </w:tr>
    </w:tbl>
    <w:p w:rsidR="002B759A" w:rsidRPr="00A50D31" w:rsidP="00F30ED6" w14:paraId="57339752" w14:textId="125D6279">
      <w:pPr>
        <w:rPr>
          <w:rFonts w:ascii="Times New Roman" w:hAnsi="Times New Roman" w:cs="Times New Roman"/>
          <w:b/>
          <w:bCs/>
          <w:sz w:val="24"/>
          <w:szCs w:val="24"/>
        </w:rPr>
      </w:pPr>
      <w:bookmarkStart w:id="1" w:name="_Toc30168514"/>
      <w:r w:rsidRPr="00A50D31">
        <w:rPr>
          <w:rFonts w:ascii="Times New Roman" w:hAnsi="Times New Roman" w:cs="Times New Roman"/>
          <w:b/>
          <w:bCs/>
          <w:sz w:val="24"/>
          <w:szCs w:val="24"/>
        </w:rPr>
        <w:t>_________________________________________________________________</w:t>
      </w:r>
      <w:r w:rsidRPr="00A50D31" w:rsidR="00F30ED6">
        <w:rPr>
          <w:rFonts w:ascii="Times New Roman" w:hAnsi="Times New Roman" w:cs="Times New Roman"/>
          <w:b/>
          <w:bCs/>
          <w:sz w:val="24"/>
          <w:szCs w:val="24"/>
        </w:rPr>
        <w:t>_______</w:t>
      </w:r>
      <w:bookmarkEnd w:id="1"/>
    </w:p>
    <w:p w:rsidR="002B759A" w:rsidRPr="00A50D31" w:rsidP="002B759A" w14:paraId="1EC8EBFA" w14:textId="3F4307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REPLY </w:t>
      </w:r>
      <w:r w:rsidRPr="00A50D31">
        <w:rPr>
          <w:rFonts w:ascii="Times New Roman" w:hAnsi="Times New Roman" w:cs="Times New Roman"/>
          <w:b/>
          <w:sz w:val="24"/>
          <w:szCs w:val="24"/>
        </w:rPr>
        <w:t>COMMENTS</w:t>
      </w:r>
      <w:r w:rsidRPr="00A50D31" w:rsidR="00B050C6">
        <w:rPr>
          <w:rFonts w:ascii="Times New Roman" w:hAnsi="Times New Roman" w:cs="Times New Roman"/>
          <w:b/>
          <w:sz w:val="24"/>
          <w:szCs w:val="24"/>
        </w:rPr>
        <w:t xml:space="preserve"> ON STANDARDS FOR CONSUMERS’ NATURAL GAS SERVICE</w:t>
      </w:r>
    </w:p>
    <w:p w:rsidR="002B759A" w:rsidRPr="00A50D31" w:rsidP="002B759A" w14:paraId="0FD20942" w14:textId="07EB1298">
      <w:pPr>
        <w:spacing w:after="0" w:line="240" w:lineRule="auto"/>
        <w:jc w:val="center"/>
        <w:rPr>
          <w:rFonts w:ascii="Times New Roman" w:hAnsi="Times New Roman" w:cs="Times New Roman"/>
          <w:b/>
          <w:sz w:val="24"/>
          <w:szCs w:val="24"/>
        </w:rPr>
      </w:pPr>
      <w:r w:rsidRPr="00A50D31">
        <w:rPr>
          <w:rFonts w:ascii="Times New Roman" w:hAnsi="Times New Roman" w:cs="Times New Roman"/>
          <w:b/>
          <w:sz w:val="24"/>
          <w:szCs w:val="24"/>
        </w:rPr>
        <w:t>BY</w:t>
      </w:r>
    </w:p>
    <w:p w:rsidR="002B759A" w:rsidRPr="00A50D31" w:rsidP="002B759A" w14:paraId="6035075B" w14:textId="5828FA3B">
      <w:pPr>
        <w:pBdr>
          <w:bottom w:val="single" w:sz="12" w:space="1" w:color="auto"/>
        </w:pBdr>
        <w:spacing w:after="0" w:line="240" w:lineRule="auto"/>
        <w:jc w:val="center"/>
        <w:rPr>
          <w:rFonts w:ascii="Times New Roman" w:hAnsi="Times New Roman" w:cs="Times New Roman"/>
          <w:b/>
          <w:sz w:val="24"/>
          <w:szCs w:val="24"/>
        </w:rPr>
      </w:pPr>
      <w:r w:rsidRPr="00A50D31">
        <w:rPr>
          <w:rFonts w:ascii="Times New Roman" w:hAnsi="Times New Roman" w:cs="Times New Roman"/>
          <w:b/>
          <w:sz w:val="24"/>
          <w:szCs w:val="24"/>
        </w:rPr>
        <w:t>THE OFFICE OF THE OHIO CONSUMERS’ COUNSEL</w:t>
      </w:r>
    </w:p>
    <w:p w:rsidR="002B759A" w:rsidRPr="00A50D31" w:rsidP="002B759A" w14:paraId="37149794" w14:textId="77777777">
      <w:pPr>
        <w:pBdr>
          <w:bottom w:val="single" w:sz="12" w:space="1" w:color="auto"/>
        </w:pBdr>
        <w:spacing w:after="0" w:line="240" w:lineRule="auto"/>
        <w:jc w:val="center"/>
        <w:rPr>
          <w:rFonts w:ascii="Times New Roman" w:hAnsi="Times New Roman" w:cs="Times New Roman"/>
          <w:b/>
          <w:sz w:val="24"/>
          <w:szCs w:val="24"/>
        </w:rPr>
      </w:pPr>
    </w:p>
    <w:p w:rsidR="00720934" w:rsidRPr="00A50D31" w:rsidP="00F30ED6" w14:paraId="2CC65E8A" w14:textId="5A8CEA44">
      <w:pPr>
        <w:pStyle w:val="Heading1"/>
        <w:rPr>
          <w:rFonts w:cs="Times New Roman"/>
          <w:szCs w:val="24"/>
        </w:rPr>
      </w:pPr>
      <w:bookmarkStart w:id="2" w:name="_Toc31017096"/>
      <w:r>
        <w:rPr>
          <w:rFonts w:cs="Times New Roman"/>
          <w:szCs w:val="24"/>
        </w:rPr>
        <w:br/>
      </w:r>
      <w:bookmarkStart w:id="3" w:name="_Toc31380621"/>
      <w:r w:rsidRPr="00A50D31" w:rsidR="00135A3A">
        <w:rPr>
          <w:rFonts w:cs="Times New Roman"/>
          <w:szCs w:val="24"/>
        </w:rPr>
        <w:t>I.</w:t>
      </w:r>
      <w:r w:rsidRPr="00A50D31" w:rsidR="00135A3A">
        <w:rPr>
          <w:rFonts w:cs="Times New Roman"/>
          <w:szCs w:val="24"/>
        </w:rPr>
        <w:tab/>
      </w:r>
      <w:r w:rsidRPr="00A50D31">
        <w:rPr>
          <w:rFonts w:cs="Times New Roman"/>
          <w:szCs w:val="24"/>
        </w:rPr>
        <w:t>INTRODUCTION</w:t>
      </w:r>
      <w:bookmarkEnd w:id="2"/>
      <w:bookmarkEnd w:id="3"/>
    </w:p>
    <w:p w:rsidR="002642BA" w:rsidP="00EA1743" w14:paraId="7B6DDCF0" w14:textId="38B8C60B">
      <w:pPr>
        <w:autoSpaceDE w:val="0"/>
        <w:autoSpaceDN w:val="0"/>
        <w:adjustRightInd w:val="0"/>
        <w:spacing w:after="0" w:line="480" w:lineRule="auto"/>
        <w:ind w:firstLine="720"/>
        <w:rPr>
          <w:rFonts w:ascii="Times New Roman" w:hAnsi="Times New Roman" w:cs="Times New Roman"/>
          <w:sz w:val="24"/>
          <w:szCs w:val="24"/>
        </w:rPr>
      </w:pPr>
      <w:r w:rsidRPr="00A50D31">
        <w:rPr>
          <w:rFonts w:ascii="Times New Roman" w:hAnsi="Times New Roman" w:cs="Times New Roman"/>
          <w:sz w:val="24"/>
          <w:szCs w:val="24"/>
        </w:rPr>
        <w:t>T</w:t>
      </w:r>
      <w:r w:rsidRPr="00A50D31" w:rsidR="00720934">
        <w:rPr>
          <w:rFonts w:ascii="Times New Roman" w:hAnsi="Times New Roman" w:cs="Times New Roman"/>
          <w:sz w:val="24"/>
          <w:szCs w:val="24"/>
        </w:rPr>
        <w:t>he Public Utilities Commission of Ohio (“PUCO”)</w:t>
      </w:r>
      <w:r w:rsidRPr="00A50D31" w:rsidR="002E680D">
        <w:rPr>
          <w:rFonts w:ascii="Times New Roman" w:hAnsi="Times New Roman" w:cs="Times New Roman"/>
          <w:sz w:val="24"/>
          <w:szCs w:val="24"/>
        </w:rPr>
        <w:t xml:space="preserve"> </w:t>
      </w:r>
      <w:r w:rsidRPr="00A50D31" w:rsidR="00720934">
        <w:rPr>
          <w:rFonts w:ascii="Times New Roman" w:hAnsi="Times New Roman" w:cs="Times New Roman"/>
          <w:sz w:val="24"/>
          <w:szCs w:val="24"/>
        </w:rPr>
        <w:t>invited</w:t>
      </w:r>
      <w:r w:rsidRPr="00A50D31" w:rsidR="006970D1">
        <w:rPr>
          <w:rFonts w:ascii="Times New Roman" w:hAnsi="Times New Roman" w:cs="Times New Roman"/>
          <w:sz w:val="24"/>
          <w:szCs w:val="24"/>
        </w:rPr>
        <w:t xml:space="preserve"> </w:t>
      </w:r>
      <w:r w:rsidRPr="00A50D31" w:rsidR="00720934">
        <w:rPr>
          <w:rFonts w:ascii="Times New Roman" w:hAnsi="Times New Roman" w:cs="Times New Roman"/>
          <w:sz w:val="24"/>
          <w:szCs w:val="24"/>
        </w:rPr>
        <w:t xml:space="preserve">comments and reply comments </w:t>
      </w:r>
      <w:r w:rsidRPr="00A50D31" w:rsidR="002E680D">
        <w:rPr>
          <w:rFonts w:ascii="Times New Roman" w:hAnsi="Times New Roman" w:cs="Times New Roman"/>
          <w:sz w:val="24"/>
          <w:szCs w:val="24"/>
        </w:rPr>
        <w:t xml:space="preserve">on </w:t>
      </w:r>
      <w:r w:rsidRPr="00A50D31" w:rsidR="00720934">
        <w:rPr>
          <w:rFonts w:ascii="Times New Roman" w:hAnsi="Times New Roman" w:cs="Times New Roman"/>
          <w:sz w:val="24"/>
          <w:szCs w:val="24"/>
        </w:rPr>
        <w:t xml:space="preserve">proposed changes </w:t>
      </w:r>
      <w:r w:rsidRPr="00A50D31" w:rsidR="0079226D">
        <w:rPr>
          <w:rFonts w:ascii="Times New Roman" w:hAnsi="Times New Roman" w:cs="Times New Roman"/>
          <w:sz w:val="24"/>
          <w:szCs w:val="24"/>
        </w:rPr>
        <w:t>to</w:t>
      </w:r>
      <w:r w:rsidRPr="00A50D31" w:rsidR="002E680D">
        <w:rPr>
          <w:rFonts w:ascii="Times New Roman" w:hAnsi="Times New Roman" w:cs="Times New Roman"/>
          <w:sz w:val="24"/>
          <w:szCs w:val="24"/>
        </w:rPr>
        <w:t xml:space="preserve"> </w:t>
      </w:r>
      <w:r w:rsidR="004E00E1">
        <w:rPr>
          <w:rFonts w:ascii="Times New Roman" w:hAnsi="Times New Roman" w:cs="Times New Roman"/>
          <w:sz w:val="24"/>
          <w:szCs w:val="24"/>
        </w:rPr>
        <w:t>t</w:t>
      </w:r>
      <w:r w:rsidRPr="00A50D31" w:rsidR="00CE6262">
        <w:rPr>
          <w:rFonts w:ascii="Times New Roman" w:hAnsi="Times New Roman" w:cs="Times New Roman"/>
          <w:sz w:val="24"/>
          <w:szCs w:val="24"/>
        </w:rPr>
        <w:t>he minimum gas service standards</w:t>
      </w:r>
      <w:r w:rsidR="004E00E1">
        <w:rPr>
          <w:rFonts w:ascii="Times New Roman" w:hAnsi="Times New Roman" w:cs="Times New Roman"/>
          <w:sz w:val="24"/>
          <w:szCs w:val="24"/>
        </w:rPr>
        <w:t>. The standards</w:t>
      </w:r>
      <w:r w:rsidRPr="00A50D31" w:rsidR="00CE6262">
        <w:rPr>
          <w:rFonts w:ascii="Times New Roman" w:hAnsi="Times New Roman" w:cs="Times New Roman"/>
          <w:sz w:val="24"/>
          <w:szCs w:val="24"/>
        </w:rPr>
        <w:t xml:space="preserve"> promot</w:t>
      </w:r>
      <w:r w:rsidR="004E00E1">
        <w:rPr>
          <w:rFonts w:ascii="Times New Roman" w:hAnsi="Times New Roman" w:cs="Times New Roman"/>
          <w:sz w:val="24"/>
          <w:szCs w:val="24"/>
        </w:rPr>
        <w:t xml:space="preserve">e </w:t>
      </w:r>
      <w:r w:rsidRPr="00A50D31" w:rsidR="00CE6262">
        <w:rPr>
          <w:rFonts w:ascii="Times New Roman" w:hAnsi="Times New Roman" w:cs="Times New Roman"/>
          <w:sz w:val="24"/>
          <w:szCs w:val="24"/>
        </w:rPr>
        <w:t xml:space="preserve">the availability of reliable and reasonably priced natural gas services and goods to </w:t>
      </w:r>
      <w:r w:rsidR="004E00E1">
        <w:rPr>
          <w:rFonts w:ascii="Times New Roman" w:hAnsi="Times New Roman" w:cs="Times New Roman"/>
          <w:sz w:val="24"/>
          <w:szCs w:val="24"/>
        </w:rPr>
        <w:t xml:space="preserve">millions of Ohio </w:t>
      </w:r>
      <w:r w:rsidRPr="00A50D31" w:rsidR="00CE6262">
        <w:rPr>
          <w:rFonts w:ascii="Times New Roman" w:hAnsi="Times New Roman" w:cs="Times New Roman"/>
          <w:sz w:val="24"/>
          <w:szCs w:val="24"/>
        </w:rPr>
        <w:t>consumers.</w:t>
      </w:r>
      <w:r>
        <w:rPr>
          <w:rStyle w:val="FootnoteReference"/>
          <w:rFonts w:ascii="Times New Roman" w:hAnsi="Times New Roman" w:cs="Times New Roman"/>
          <w:sz w:val="24"/>
          <w:szCs w:val="24"/>
        </w:rPr>
        <w:footnoteReference w:id="3"/>
      </w:r>
      <w:r w:rsidRPr="00A50D31" w:rsidR="00CE6262">
        <w:rPr>
          <w:rFonts w:ascii="Times New Roman" w:hAnsi="Times New Roman" w:cs="Times New Roman"/>
          <w:sz w:val="24"/>
          <w:szCs w:val="24"/>
        </w:rPr>
        <w:t xml:space="preserve"> </w:t>
      </w:r>
    </w:p>
    <w:p w:rsidR="0079226D" w:rsidRPr="00A50D31" w:rsidP="00EA1743" w14:paraId="47B02F66" w14:textId="1BE33038">
      <w:pPr>
        <w:autoSpaceDE w:val="0"/>
        <w:autoSpaceDN w:val="0"/>
        <w:adjustRightInd w:val="0"/>
        <w:spacing w:after="0" w:line="480" w:lineRule="auto"/>
        <w:ind w:firstLine="720"/>
        <w:rPr>
          <w:rFonts w:ascii="Times New Roman" w:hAnsi="Times New Roman" w:cs="Times New Roman"/>
          <w:sz w:val="24"/>
          <w:szCs w:val="24"/>
        </w:rPr>
      </w:pPr>
      <w:r w:rsidRPr="00A50D31">
        <w:rPr>
          <w:rFonts w:ascii="Times New Roman" w:hAnsi="Times New Roman" w:cs="Times New Roman"/>
          <w:sz w:val="24"/>
          <w:szCs w:val="24"/>
        </w:rPr>
        <w:t>The Office of the Ohio Consumers’ Counsel (“OCC”)</w:t>
      </w:r>
      <w:r w:rsidR="00DD3436">
        <w:rPr>
          <w:rFonts w:ascii="Times New Roman" w:hAnsi="Times New Roman" w:cs="Times New Roman"/>
          <w:sz w:val="24"/>
          <w:szCs w:val="24"/>
        </w:rPr>
        <w:t>, after</w:t>
      </w:r>
      <w:r w:rsidRPr="00A50D31">
        <w:rPr>
          <w:rFonts w:ascii="Times New Roman" w:hAnsi="Times New Roman" w:cs="Times New Roman"/>
          <w:sz w:val="24"/>
          <w:szCs w:val="24"/>
        </w:rPr>
        <w:t xml:space="preserve"> </w:t>
      </w:r>
      <w:r w:rsidR="00DD3436">
        <w:rPr>
          <w:rFonts w:ascii="Times New Roman" w:hAnsi="Times New Roman" w:cs="Times New Roman"/>
          <w:sz w:val="24"/>
          <w:szCs w:val="24"/>
        </w:rPr>
        <w:t>filing</w:t>
      </w:r>
      <w:r w:rsidRPr="00A50D31" w:rsidR="00DD3436">
        <w:rPr>
          <w:rFonts w:ascii="Times New Roman" w:hAnsi="Times New Roman" w:cs="Times New Roman"/>
          <w:sz w:val="24"/>
          <w:szCs w:val="24"/>
        </w:rPr>
        <w:t xml:space="preserve"> </w:t>
      </w:r>
      <w:r w:rsidRPr="00A50D31" w:rsidR="00DE6706">
        <w:rPr>
          <w:rFonts w:ascii="Times New Roman" w:hAnsi="Times New Roman" w:cs="Times New Roman"/>
          <w:sz w:val="24"/>
          <w:szCs w:val="24"/>
        </w:rPr>
        <w:t>initial comments on January 15, 2020</w:t>
      </w:r>
      <w:r w:rsidR="00DD3436">
        <w:rPr>
          <w:rFonts w:ascii="Times New Roman" w:hAnsi="Times New Roman" w:cs="Times New Roman"/>
          <w:sz w:val="24"/>
          <w:szCs w:val="24"/>
        </w:rPr>
        <w:t>,</w:t>
      </w:r>
      <w:r w:rsidRPr="00A50D31" w:rsidR="00DE6706">
        <w:rPr>
          <w:rFonts w:ascii="Times New Roman" w:hAnsi="Times New Roman" w:cs="Times New Roman"/>
          <w:sz w:val="24"/>
          <w:szCs w:val="24"/>
        </w:rPr>
        <w:t xml:space="preserve"> </w:t>
      </w:r>
      <w:r w:rsidRPr="00A50D31" w:rsidR="00F26448">
        <w:rPr>
          <w:rFonts w:ascii="Times New Roman" w:hAnsi="Times New Roman" w:cs="Times New Roman"/>
          <w:sz w:val="24"/>
          <w:szCs w:val="24"/>
        </w:rPr>
        <w:t xml:space="preserve">appreciates </w:t>
      </w:r>
      <w:r w:rsidRPr="00A50D31">
        <w:rPr>
          <w:rFonts w:ascii="Times New Roman" w:hAnsi="Times New Roman" w:cs="Times New Roman"/>
          <w:sz w:val="24"/>
          <w:szCs w:val="24"/>
        </w:rPr>
        <w:t xml:space="preserve">this opportunity to </w:t>
      </w:r>
      <w:r w:rsidR="00DD3436">
        <w:rPr>
          <w:rFonts w:ascii="Times New Roman" w:hAnsi="Times New Roman" w:cs="Times New Roman"/>
          <w:sz w:val="24"/>
          <w:szCs w:val="24"/>
        </w:rPr>
        <w:t>reply to the comments of others</w:t>
      </w:r>
      <w:r w:rsidRPr="00A50D31">
        <w:rPr>
          <w:rFonts w:ascii="Times New Roman" w:hAnsi="Times New Roman" w:cs="Times New Roman"/>
          <w:sz w:val="24"/>
          <w:szCs w:val="24"/>
        </w:rPr>
        <w:t xml:space="preserve">. </w:t>
      </w:r>
      <w:r w:rsidR="00EC7E11">
        <w:rPr>
          <w:rFonts w:ascii="Times New Roman" w:hAnsi="Times New Roman" w:cs="Times New Roman"/>
          <w:sz w:val="24"/>
          <w:szCs w:val="24"/>
        </w:rPr>
        <w:t>Among other things, t</w:t>
      </w:r>
      <w:r w:rsidR="00DD3436">
        <w:rPr>
          <w:rFonts w:ascii="Times New Roman" w:hAnsi="Times New Roman" w:cs="Times New Roman"/>
          <w:sz w:val="24"/>
          <w:szCs w:val="24"/>
        </w:rPr>
        <w:t xml:space="preserve">here are important protections that need to be implemented </w:t>
      </w:r>
      <w:r w:rsidR="00837BDD">
        <w:rPr>
          <w:rFonts w:ascii="Times New Roman" w:hAnsi="Times New Roman" w:cs="Times New Roman"/>
          <w:sz w:val="24"/>
          <w:szCs w:val="24"/>
        </w:rPr>
        <w:t>for millions of Ohio consumers to achieve more savings and less losses of their hard-earned money.</w:t>
      </w:r>
      <w:r w:rsidR="007E336F">
        <w:rPr>
          <w:rFonts w:ascii="Times New Roman" w:hAnsi="Times New Roman" w:cs="Times New Roman"/>
          <w:sz w:val="24"/>
          <w:szCs w:val="24"/>
        </w:rPr>
        <w:t xml:space="preserve"> </w:t>
      </w:r>
    </w:p>
    <w:p w:rsidR="002B759A" w:rsidRPr="00A50D31" w:rsidP="00F30ED6" w14:paraId="2CC38952" w14:textId="77777777">
      <w:pPr>
        <w:pStyle w:val="Heading1"/>
        <w:rPr>
          <w:rFonts w:cs="Times New Roman"/>
          <w:szCs w:val="24"/>
        </w:rPr>
        <w:sectPr w:rsidSect="002154C8">
          <w:headerReference w:type="default" r:id="rId11"/>
          <w:pgSz w:w="12240" w:h="15840"/>
          <w:pgMar w:top="1440" w:right="1800" w:bottom="1440" w:left="1800" w:header="720" w:footer="720" w:gutter="0"/>
          <w:pgNumType w:start="1"/>
          <w:cols w:space="720"/>
          <w:docGrid w:linePitch="360"/>
        </w:sectPr>
      </w:pPr>
    </w:p>
    <w:p w:rsidR="00571F29" w:rsidRPr="00A50D31" w:rsidP="00F30ED6" w14:paraId="6D360739" w14:textId="532D0EE5">
      <w:pPr>
        <w:pStyle w:val="Heading1"/>
        <w:rPr>
          <w:rFonts w:cs="Times New Roman"/>
          <w:szCs w:val="24"/>
        </w:rPr>
      </w:pPr>
      <w:bookmarkStart w:id="4" w:name="_Toc31017097"/>
      <w:bookmarkStart w:id="5" w:name="_Toc31380622"/>
      <w:r w:rsidRPr="00A50D31">
        <w:rPr>
          <w:rFonts w:cs="Times New Roman"/>
          <w:szCs w:val="24"/>
        </w:rPr>
        <w:t>II.</w:t>
      </w:r>
      <w:r w:rsidRPr="00A50D31">
        <w:rPr>
          <w:rFonts w:cs="Times New Roman"/>
          <w:szCs w:val="24"/>
        </w:rPr>
        <w:tab/>
      </w:r>
      <w:r w:rsidRPr="00A50D31">
        <w:rPr>
          <w:rFonts w:cs="Times New Roman"/>
          <w:szCs w:val="24"/>
        </w:rPr>
        <w:t>RECOMMENDATIONS</w:t>
      </w:r>
      <w:bookmarkEnd w:id="4"/>
      <w:bookmarkEnd w:id="5"/>
    </w:p>
    <w:p w:rsidR="00FD7B2A" w:rsidRPr="00A50D31" w:rsidP="00740C40" w14:paraId="4A5EBE46" w14:textId="3264EBC8">
      <w:pPr>
        <w:pStyle w:val="Heading2"/>
      </w:pPr>
      <w:bookmarkStart w:id="6" w:name="_Toc31380623"/>
      <w:bookmarkStart w:id="7" w:name="_Toc31017098"/>
      <w:r>
        <w:t xml:space="preserve">With </w:t>
      </w:r>
      <w:r w:rsidR="00C82BAB">
        <w:t>k</w:t>
      </w:r>
      <w:r>
        <w:t xml:space="preserve">udos to the PUCO </w:t>
      </w:r>
      <w:r w:rsidR="002B0E52">
        <w:t>S</w:t>
      </w:r>
      <w:r w:rsidRPr="00A50D31" w:rsidR="002B0E52">
        <w:t>taff</w:t>
      </w:r>
      <w:r>
        <w:t xml:space="preserve"> for finally</w:t>
      </w:r>
      <w:r w:rsidR="00291C4E">
        <w:t xml:space="preserve"> recommending the gas price to compare that electric consumers have enjoyed for years, the PUCO should make some additional changes for consumer protection.</w:t>
      </w:r>
      <w:bookmarkEnd w:id="6"/>
      <w:r w:rsidR="007E336F">
        <w:t xml:space="preserve"> </w:t>
      </w:r>
      <w:bookmarkEnd w:id="7"/>
    </w:p>
    <w:p w:rsidR="00906D48" w:rsidRPr="00A50D31" w:rsidP="0035299A" w14:paraId="7C1CE62D" w14:textId="747601C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A50D31" w:rsidR="0094457A">
        <w:rPr>
          <w:rFonts w:ascii="Times New Roman" w:eastAsia="Times New Roman" w:hAnsi="Times New Roman" w:cs="Times New Roman"/>
          <w:sz w:val="24"/>
          <w:szCs w:val="24"/>
        </w:rPr>
        <w:t xml:space="preserve"> </w:t>
      </w:r>
      <w:r w:rsidRPr="00A50D31" w:rsidR="00B81DBA">
        <w:rPr>
          <w:rFonts w:ascii="Times New Roman" w:eastAsia="Times New Roman" w:hAnsi="Times New Roman" w:cs="Times New Roman"/>
          <w:sz w:val="24"/>
          <w:szCs w:val="24"/>
        </w:rPr>
        <w:t>price to compare show</w:t>
      </w:r>
      <w:r w:rsidR="0094457A">
        <w:rPr>
          <w:rFonts w:ascii="Times New Roman" w:eastAsia="Times New Roman" w:hAnsi="Times New Roman" w:cs="Times New Roman"/>
          <w:sz w:val="24"/>
          <w:szCs w:val="24"/>
        </w:rPr>
        <w:t>s</w:t>
      </w:r>
      <w:r w:rsidRPr="00A50D31" w:rsidR="00B81DBA">
        <w:rPr>
          <w:rFonts w:ascii="Times New Roman" w:eastAsia="Times New Roman" w:hAnsi="Times New Roman" w:cs="Times New Roman"/>
          <w:sz w:val="24"/>
          <w:szCs w:val="24"/>
        </w:rPr>
        <w:t xml:space="preserve"> consumer</w:t>
      </w:r>
      <w:r w:rsidR="0094457A">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0094457A">
        <w:rPr>
          <w:rFonts w:ascii="Times New Roman" w:eastAsia="Times New Roman" w:hAnsi="Times New Roman" w:cs="Times New Roman"/>
          <w:sz w:val="24"/>
          <w:szCs w:val="24"/>
        </w:rPr>
        <w:t xml:space="preserve"> on their gas bills</w:t>
      </w:r>
      <w:r>
        <w:rPr>
          <w:rFonts w:ascii="Times New Roman" w:eastAsia="Times New Roman" w:hAnsi="Times New Roman" w:cs="Times New Roman"/>
          <w:sz w:val="24"/>
          <w:szCs w:val="24"/>
        </w:rPr>
        <w:t>,</w:t>
      </w:r>
      <w:r w:rsidR="0094457A">
        <w:rPr>
          <w:rFonts w:ascii="Times New Roman" w:eastAsia="Times New Roman" w:hAnsi="Times New Roman" w:cs="Times New Roman"/>
          <w:sz w:val="24"/>
          <w:szCs w:val="24"/>
        </w:rPr>
        <w:t xml:space="preserve"> that their</w:t>
      </w:r>
      <w:r w:rsidRPr="00A50D31" w:rsidR="00B81DBA">
        <w:rPr>
          <w:rFonts w:ascii="Times New Roman" w:eastAsia="Times New Roman" w:hAnsi="Times New Roman" w:cs="Times New Roman"/>
          <w:sz w:val="24"/>
          <w:szCs w:val="24"/>
        </w:rPr>
        <w:t xml:space="preserve"> utility</w:t>
      </w:r>
      <w:r w:rsidR="0094457A">
        <w:rPr>
          <w:rFonts w:ascii="Times New Roman" w:eastAsia="Times New Roman" w:hAnsi="Times New Roman" w:cs="Times New Roman"/>
          <w:sz w:val="24"/>
          <w:szCs w:val="24"/>
        </w:rPr>
        <w:t xml:space="preserve"> has its</w:t>
      </w:r>
      <w:r w:rsidRPr="00A50D31" w:rsidR="00B81DBA">
        <w:rPr>
          <w:rFonts w:ascii="Times New Roman" w:eastAsia="Times New Roman" w:hAnsi="Times New Roman" w:cs="Times New Roman"/>
          <w:sz w:val="24"/>
          <w:szCs w:val="24"/>
        </w:rPr>
        <w:t xml:space="preserve"> own </w:t>
      </w:r>
      <w:r w:rsidRPr="00A50D31" w:rsidR="00D435A7">
        <w:rPr>
          <w:rFonts w:ascii="Times New Roman" w:eastAsia="Times New Roman" w:hAnsi="Times New Roman" w:cs="Times New Roman"/>
          <w:sz w:val="24"/>
          <w:szCs w:val="24"/>
        </w:rPr>
        <w:t xml:space="preserve">competitive </w:t>
      </w:r>
      <w:r w:rsidRPr="00A50D31" w:rsidR="00B81DBA">
        <w:rPr>
          <w:rFonts w:ascii="Times New Roman" w:eastAsia="Times New Roman" w:hAnsi="Times New Roman" w:cs="Times New Roman"/>
          <w:sz w:val="24"/>
          <w:szCs w:val="24"/>
        </w:rPr>
        <w:t>price for gas.</w:t>
      </w:r>
      <w:r>
        <w:rPr>
          <w:rStyle w:val="FootnoteReference"/>
          <w:rFonts w:ascii="Times New Roman" w:eastAsia="Times New Roman" w:hAnsi="Times New Roman" w:cs="Times New Roman"/>
          <w:sz w:val="24"/>
          <w:szCs w:val="24"/>
        </w:rPr>
        <w:footnoteReference w:id="4"/>
      </w:r>
      <w:r w:rsidRPr="00A50D31" w:rsidR="00B81D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While the price to compare does not solve all the challenges for consumers with energy choice, it can certainly help Ohioans </w:t>
      </w:r>
      <w:r w:rsidR="002642BA">
        <w:rPr>
          <w:rFonts w:ascii="Times New Roman" w:eastAsia="Times New Roman" w:hAnsi="Times New Roman" w:cs="Times New Roman"/>
          <w:sz w:val="24"/>
          <w:szCs w:val="24"/>
        </w:rPr>
        <w:t>save money on their gas bill</w:t>
      </w:r>
      <w:r w:rsidRPr="00A50D31" w:rsidR="00B81DBA">
        <w:rPr>
          <w:rFonts w:ascii="Times New Roman" w:eastAsia="Times New Roman" w:hAnsi="Times New Roman" w:cs="Times New Roman"/>
          <w:sz w:val="24"/>
          <w:szCs w:val="24"/>
        </w:rPr>
        <w:t>s.</w:t>
      </w:r>
      <w:r>
        <w:rPr>
          <w:rStyle w:val="FootnoteReference"/>
          <w:rFonts w:ascii="Times New Roman" w:eastAsia="Times New Roman" w:hAnsi="Times New Roman" w:cs="Times New Roman"/>
          <w:sz w:val="24"/>
          <w:szCs w:val="24"/>
        </w:rPr>
        <w:footnoteReference w:id="5"/>
      </w:r>
      <w:r w:rsidRPr="00A50D31" w:rsidR="00B81DBA">
        <w:rPr>
          <w:rFonts w:ascii="Times New Roman" w:eastAsia="Times New Roman" w:hAnsi="Times New Roman" w:cs="Times New Roman"/>
          <w:sz w:val="24"/>
          <w:szCs w:val="24"/>
        </w:rPr>
        <w:t xml:space="preserve"> </w:t>
      </w:r>
      <w:r w:rsidRPr="00A50D31">
        <w:rPr>
          <w:rFonts w:ascii="Times New Roman" w:eastAsia="Times New Roman" w:hAnsi="Times New Roman" w:cs="Times New Roman"/>
          <w:sz w:val="24"/>
          <w:szCs w:val="24"/>
        </w:rPr>
        <w:t>Moreover, t</w:t>
      </w:r>
      <w:r w:rsidRPr="00A50D31" w:rsidR="00B81DBA">
        <w:rPr>
          <w:rFonts w:ascii="Times New Roman" w:eastAsia="Times New Roman" w:hAnsi="Times New Roman" w:cs="Times New Roman"/>
          <w:sz w:val="24"/>
          <w:szCs w:val="24"/>
        </w:rPr>
        <w:t xml:space="preserve">his important bill feature is already included on consumers’ </w:t>
      </w:r>
      <w:r w:rsidRPr="008B2192" w:rsidR="00B81DBA">
        <w:rPr>
          <w:rFonts w:ascii="Times New Roman" w:eastAsia="Times New Roman" w:hAnsi="Times New Roman" w:cs="Times New Roman"/>
          <w:i/>
          <w:iCs/>
          <w:sz w:val="24"/>
          <w:szCs w:val="24"/>
        </w:rPr>
        <w:t>electric</w:t>
      </w:r>
      <w:r w:rsidRPr="00A50D31" w:rsidR="00B81DBA">
        <w:rPr>
          <w:rFonts w:ascii="Times New Roman" w:eastAsia="Times New Roman" w:hAnsi="Times New Roman" w:cs="Times New Roman"/>
          <w:sz w:val="24"/>
          <w:szCs w:val="24"/>
        </w:rPr>
        <w:t xml:space="preserve"> bill</w:t>
      </w:r>
      <w:r w:rsidR="00046D2A">
        <w:rPr>
          <w:rFonts w:ascii="Times New Roman" w:eastAsia="Times New Roman" w:hAnsi="Times New Roman" w:cs="Times New Roman"/>
          <w:sz w:val="24"/>
          <w:szCs w:val="24"/>
        </w:rPr>
        <w:t>s</w:t>
      </w:r>
      <w:r w:rsidR="00942637">
        <w:rPr>
          <w:rFonts w:ascii="Times New Roman" w:eastAsia="Times New Roman" w:hAnsi="Times New Roman" w:cs="Times New Roman"/>
          <w:sz w:val="24"/>
          <w:szCs w:val="24"/>
        </w:rPr>
        <w:t>,</w:t>
      </w:r>
      <w:r w:rsidRPr="00A50D31" w:rsidR="00B81DBA">
        <w:rPr>
          <w:rFonts w:ascii="Times New Roman" w:eastAsia="Times New Roman" w:hAnsi="Times New Roman" w:cs="Times New Roman"/>
          <w:sz w:val="24"/>
          <w:szCs w:val="24"/>
        </w:rPr>
        <w:t xml:space="preserve"> as required by Ohio Adm. Code 4901:1-22(B).</w:t>
      </w:r>
      <w:r>
        <w:rPr>
          <w:rStyle w:val="FootnoteReference"/>
          <w:rFonts w:ascii="Times New Roman" w:eastAsia="Times New Roman" w:hAnsi="Times New Roman" w:cs="Times New Roman"/>
          <w:sz w:val="24"/>
          <w:szCs w:val="24"/>
        </w:rPr>
        <w:footnoteReference w:id="6"/>
      </w:r>
      <w:r w:rsidRPr="00A50D31" w:rsidR="0072714C">
        <w:rPr>
          <w:rFonts w:ascii="Times New Roman" w:eastAsia="Times New Roman" w:hAnsi="Times New Roman" w:cs="Times New Roman"/>
          <w:sz w:val="24"/>
          <w:szCs w:val="24"/>
        </w:rPr>
        <w:t xml:space="preserve"> </w:t>
      </w:r>
      <w:r w:rsidR="00942637">
        <w:rPr>
          <w:rFonts w:ascii="Times New Roman" w:eastAsia="Times New Roman" w:hAnsi="Times New Roman" w:cs="Times New Roman"/>
          <w:sz w:val="24"/>
          <w:szCs w:val="24"/>
        </w:rPr>
        <w:t>C</w:t>
      </w:r>
      <w:r w:rsidR="00F40F67">
        <w:rPr>
          <w:rFonts w:ascii="Times New Roman" w:eastAsia="Times New Roman" w:hAnsi="Times New Roman" w:cs="Times New Roman"/>
          <w:sz w:val="24"/>
          <w:szCs w:val="24"/>
        </w:rPr>
        <w:t>onsumers deserve such information</w:t>
      </w:r>
      <w:r w:rsidR="00942637">
        <w:rPr>
          <w:rFonts w:ascii="Times New Roman" w:eastAsia="Times New Roman" w:hAnsi="Times New Roman" w:cs="Times New Roman"/>
          <w:sz w:val="24"/>
          <w:szCs w:val="24"/>
        </w:rPr>
        <w:t>, among other needed protections against the challenges of buying natural gas</w:t>
      </w:r>
      <w:r w:rsidR="00F40F67">
        <w:rPr>
          <w:rFonts w:ascii="Times New Roman" w:eastAsia="Times New Roman" w:hAnsi="Times New Roman" w:cs="Times New Roman"/>
          <w:sz w:val="24"/>
          <w:szCs w:val="24"/>
        </w:rPr>
        <w:t>. Therefore, t</w:t>
      </w:r>
      <w:r w:rsidRPr="00A50D31">
        <w:rPr>
          <w:rFonts w:ascii="Times New Roman" w:eastAsia="Times New Roman" w:hAnsi="Times New Roman" w:cs="Times New Roman"/>
          <w:sz w:val="24"/>
          <w:szCs w:val="24"/>
        </w:rPr>
        <w:t>he PUCO should adopt PUCO Staff’s proposed rule, with OCC’s recommended revision.</w:t>
      </w:r>
      <w:r>
        <w:rPr>
          <w:rStyle w:val="FootnoteReference"/>
          <w:rFonts w:ascii="Times New Roman" w:eastAsia="Times New Roman" w:hAnsi="Times New Roman" w:cs="Times New Roman"/>
          <w:sz w:val="24"/>
          <w:szCs w:val="24"/>
        </w:rPr>
        <w:footnoteReference w:id="7"/>
      </w:r>
    </w:p>
    <w:p w:rsidR="009403E0" w:rsidP="009403E0" w14:paraId="0959E162" w14:textId="1F45F8CB">
      <w:pPr>
        <w:spacing w:after="0" w:line="480" w:lineRule="auto"/>
        <w:ind w:firstLine="720"/>
        <w:rPr>
          <w:rFonts w:ascii="Times New Roman" w:eastAsia="Times New Roman" w:hAnsi="Times New Roman" w:cs="Times New Roman"/>
          <w:sz w:val="24"/>
          <w:szCs w:val="24"/>
        </w:rPr>
      </w:pPr>
      <w:r w:rsidRPr="00A50D31">
        <w:rPr>
          <w:rFonts w:ascii="Times New Roman" w:eastAsia="Times New Roman" w:hAnsi="Times New Roman" w:cs="Times New Roman"/>
          <w:sz w:val="24"/>
          <w:szCs w:val="24"/>
        </w:rPr>
        <w:t>Unfortunately for consumers, t</w:t>
      </w:r>
      <w:r w:rsidRPr="00A50D31" w:rsidR="006A42EF">
        <w:rPr>
          <w:rFonts w:ascii="Times New Roman" w:eastAsia="Times New Roman" w:hAnsi="Times New Roman" w:cs="Times New Roman"/>
          <w:sz w:val="24"/>
          <w:szCs w:val="24"/>
        </w:rPr>
        <w:t>he Marketers</w:t>
      </w:r>
      <w:r>
        <w:rPr>
          <w:rStyle w:val="FootnoteReference"/>
          <w:rFonts w:ascii="Times New Roman" w:eastAsia="Times New Roman" w:hAnsi="Times New Roman" w:cs="Times New Roman"/>
          <w:sz w:val="24"/>
          <w:szCs w:val="24"/>
        </w:rPr>
        <w:footnoteReference w:id="8"/>
      </w:r>
      <w:r w:rsidRPr="00A50D31" w:rsidR="006A42EF">
        <w:rPr>
          <w:rFonts w:ascii="Times New Roman" w:eastAsia="Times New Roman" w:hAnsi="Times New Roman" w:cs="Times New Roman"/>
          <w:sz w:val="24"/>
          <w:szCs w:val="24"/>
        </w:rPr>
        <w:t xml:space="preserve"> </w:t>
      </w:r>
      <w:r w:rsidR="005E5261">
        <w:rPr>
          <w:rFonts w:ascii="Times New Roman" w:eastAsia="Times New Roman" w:hAnsi="Times New Roman" w:cs="Times New Roman"/>
          <w:sz w:val="24"/>
          <w:szCs w:val="24"/>
        </w:rPr>
        <w:t xml:space="preserve">and </w:t>
      </w:r>
      <w:r w:rsidR="00F32B3E">
        <w:rPr>
          <w:rFonts w:ascii="Times New Roman" w:eastAsia="Times New Roman" w:hAnsi="Times New Roman" w:cs="Times New Roman"/>
          <w:sz w:val="24"/>
          <w:szCs w:val="24"/>
        </w:rPr>
        <w:t>most of the</w:t>
      </w:r>
      <w:r w:rsidRPr="00A50D31" w:rsidR="00F32B3E">
        <w:rPr>
          <w:rFonts w:ascii="Times New Roman" w:eastAsia="Times New Roman" w:hAnsi="Times New Roman" w:cs="Times New Roman"/>
          <w:sz w:val="24"/>
          <w:szCs w:val="24"/>
        </w:rPr>
        <w:t xml:space="preserve"> </w:t>
      </w:r>
      <w:r w:rsidRPr="00A50D31" w:rsidR="0065591C">
        <w:rPr>
          <w:rFonts w:ascii="Times New Roman" w:eastAsia="Times New Roman" w:hAnsi="Times New Roman" w:cs="Times New Roman"/>
          <w:sz w:val="24"/>
          <w:szCs w:val="24"/>
        </w:rPr>
        <w:t xml:space="preserve">Gas </w:t>
      </w:r>
      <w:r w:rsidR="00C31901">
        <w:rPr>
          <w:rFonts w:ascii="Times New Roman" w:eastAsia="Times New Roman" w:hAnsi="Times New Roman" w:cs="Times New Roman"/>
          <w:sz w:val="24"/>
          <w:szCs w:val="24"/>
        </w:rPr>
        <w:t>Utilities</w:t>
      </w:r>
      <w:r>
        <w:rPr>
          <w:rStyle w:val="FootnoteReference"/>
          <w:rFonts w:ascii="Times New Roman" w:eastAsia="Times New Roman" w:hAnsi="Times New Roman" w:cs="Times New Roman"/>
          <w:sz w:val="24"/>
          <w:szCs w:val="24"/>
        </w:rPr>
        <w:footnoteReference w:id="9"/>
      </w:r>
      <w:r w:rsidRPr="00A50D31" w:rsidR="0065591C">
        <w:rPr>
          <w:rFonts w:ascii="Times New Roman" w:eastAsia="Times New Roman" w:hAnsi="Times New Roman" w:cs="Times New Roman"/>
          <w:sz w:val="24"/>
          <w:szCs w:val="24"/>
        </w:rPr>
        <w:t xml:space="preserve"> oppose </w:t>
      </w:r>
      <w:r w:rsidR="00046D2A">
        <w:rPr>
          <w:rFonts w:ascii="Times New Roman" w:eastAsia="Times New Roman" w:hAnsi="Times New Roman" w:cs="Times New Roman"/>
          <w:sz w:val="24"/>
          <w:szCs w:val="24"/>
        </w:rPr>
        <w:t xml:space="preserve">the </w:t>
      </w:r>
      <w:r w:rsidRPr="00A50D31" w:rsidR="0065591C">
        <w:rPr>
          <w:rFonts w:ascii="Times New Roman" w:eastAsia="Times New Roman" w:hAnsi="Times New Roman" w:cs="Times New Roman"/>
          <w:sz w:val="24"/>
          <w:szCs w:val="24"/>
        </w:rPr>
        <w:t>Staff’s proposed rule</w:t>
      </w:r>
      <w:r>
        <w:rPr>
          <w:rStyle w:val="FootnoteReference"/>
          <w:rFonts w:ascii="Times New Roman" w:eastAsia="Times New Roman" w:hAnsi="Times New Roman" w:cs="Times New Roman"/>
          <w:sz w:val="24"/>
          <w:szCs w:val="24"/>
        </w:rPr>
        <w:footnoteReference w:id="10"/>
      </w:r>
      <w:r w:rsidRPr="00A50D31" w:rsidR="00F537AD">
        <w:rPr>
          <w:rFonts w:ascii="Times New Roman" w:eastAsia="Times New Roman" w:hAnsi="Times New Roman" w:cs="Times New Roman"/>
          <w:sz w:val="24"/>
          <w:szCs w:val="24"/>
        </w:rPr>
        <w:t xml:space="preserve"> to include the price to compare on gas bills</w:t>
      </w:r>
      <w:r w:rsidRPr="00A50D31" w:rsidR="0065591C">
        <w:rPr>
          <w:rFonts w:ascii="Times New Roman" w:eastAsia="Times New Roman" w:hAnsi="Times New Roman" w:cs="Times New Roman"/>
          <w:sz w:val="24"/>
          <w:szCs w:val="24"/>
        </w:rPr>
        <w:t>.</w:t>
      </w:r>
      <w:r w:rsidR="009C6DB7">
        <w:rPr>
          <w:rFonts w:ascii="Times New Roman" w:eastAsia="Times New Roman" w:hAnsi="Times New Roman" w:cs="Times New Roman"/>
          <w:sz w:val="24"/>
          <w:szCs w:val="24"/>
        </w:rPr>
        <w:t xml:space="preserve"> That is </w:t>
      </w:r>
      <w:r w:rsidR="004E5851">
        <w:rPr>
          <w:rFonts w:ascii="Times New Roman" w:eastAsia="Times New Roman" w:hAnsi="Times New Roman" w:cs="Times New Roman"/>
          <w:sz w:val="24"/>
          <w:szCs w:val="24"/>
        </w:rPr>
        <w:t xml:space="preserve">a </w:t>
      </w:r>
      <w:r w:rsidR="009C6DB7">
        <w:rPr>
          <w:rFonts w:ascii="Times New Roman" w:eastAsia="Times New Roman" w:hAnsi="Times New Roman" w:cs="Times New Roman"/>
          <w:sz w:val="24"/>
          <w:szCs w:val="24"/>
        </w:rPr>
        <w:t>shameful</w:t>
      </w:r>
      <w:r w:rsidR="004E5851">
        <w:rPr>
          <w:rFonts w:ascii="Times New Roman" w:eastAsia="Times New Roman" w:hAnsi="Times New Roman" w:cs="Times New Roman"/>
          <w:sz w:val="24"/>
          <w:szCs w:val="24"/>
        </w:rPr>
        <w:t xml:space="preserve"> avoidance of consumer protection</w:t>
      </w:r>
      <w:r w:rsidR="009C6DB7">
        <w:rPr>
          <w:rFonts w:ascii="Times New Roman" w:eastAsia="Times New Roman" w:hAnsi="Times New Roman" w:cs="Times New Roman"/>
          <w:sz w:val="24"/>
          <w:szCs w:val="24"/>
        </w:rPr>
        <w:t>.</w:t>
      </w:r>
      <w:r w:rsidRPr="00A50D31" w:rsidR="0065591C">
        <w:rPr>
          <w:rFonts w:ascii="Times New Roman" w:eastAsia="Times New Roman" w:hAnsi="Times New Roman" w:cs="Times New Roman"/>
          <w:sz w:val="24"/>
          <w:szCs w:val="24"/>
        </w:rPr>
        <w:t xml:space="preserve"> </w:t>
      </w:r>
      <w:r w:rsidR="009C6DB7">
        <w:rPr>
          <w:rFonts w:ascii="Times New Roman" w:eastAsia="Times New Roman" w:hAnsi="Times New Roman" w:cs="Times New Roman"/>
          <w:sz w:val="24"/>
          <w:szCs w:val="24"/>
        </w:rPr>
        <w:t>An exception thus far is Columbia Gas, which has not (yet) opposed the price to compare</w:t>
      </w:r>
      <w:r w:rsidR="004E5851">
        <w:rPr>
          <w:rFonts w:ascii="Times New Roman" w:eastAsia="Times New Roman" w:hAnsi="Times New Roman" w:cs="Times New Roman"/>
          <w:sz w:val="24"/>
          <w:szCs w:val="24"/>
        </w:rPr>
        <w:t xml:space="preserve">. And Columbia should be credited for its </w:t>
      </w:r>
      <w:r w:rsidR="00C82BAB">
        <w:rPr>
          <w:rFonts w:ascii="Times New Roman" w:eastAsia="Times New Roman" w:hAnsi="Times New Roman" w:cs="Times New Roman"/>
          <w:sz w:val="24"/>
          <w:szCs w:val="24"/>
        </w:rPr>
        <w:t>s</w:t>
      </w:r>
      <w:r w:rsidR="004E5851">
        <w:rPr>
          <w:rFonts w:ascii="Times New Roman" w:eastAsia="Times New Roman" w:hAnsi="Times New Roman" w:cs="Times New Roman"/>
          <w:sz w:val="24"/>
          <w:szCs w:val="24"/>
        </w:rPr>
        <w:t xml:space="preserve">hadow </w:t>
      </w:r>
      <w:r w:rsidR="00C82BAB">
        <w:rPr>
          <w:rFonts w:ascii="Times New Roman" w:eastAsia="Times New Roman" w:hAnsi="Times New Roman" w:cs="Times New Roman"/>
          <w:sz w:val="24"/>
          <w:szCs w:val="24"/>
        </w:rPr>
        <w:t>b</w:t>
      </w:r>
      <w:r w:rsidR="004E5851">
        <w:rPr>
          <w:rFonts w:ascii="Times New Roman" w:eastAsia="Times New Roman" w:hAnsi="Times New Roman" w:cs="Times New Roman"/>
          <w:sz w:val="24"/>
          <w:szCs w:val="24"/>
        </w:rPr>
        <w:t>illing that shows the massive losses consumers are sustaining</w:t>
      </w:r>
      <w:r w:rsidR="009C6DB7">
        <w:rPr>
          <w:rFonts w:ascii="Times New Roman" w:eastAsia="Times New Roman" w:hAnsi="Times New Roman" w:cs="Times New Roman"/>
          <w:sz w:val="24"/>
          <w:szCs w:val="24"/>
        </w:rPr>
        <w:t xml:space="preserve"> </w:t>
      </w:r>
      <w:r w:rsidR="004E5851">
        <w:rPr>
          <w:rFonts w:ascii="Times New Roman" w:eastAsia="Times New Roman" w:hAnsi="Times New Roman" w:cs="Times New Roman"/>
          <w:sz w:val="24"/>
          <w:szCs w:val="24"/>
        </w:rPr>
        <w:t>by choosing marketer offers instead of Columbia’s standard offer.</w:t>
      </w:r>
    </w:p>
    <w:p w:rsidR="0072714C" w:rsidRPr="00A93C91" w:rsidP="00A93C91" w14:paraId="09DC65E5" w14:textId="5A6636D9">
      <w:pPr>
        <w:pStyle w:val="Heading3"/>
      </w:pPr>
      <w:bookmarkStart w:id="8" w:name="_Toc31380624"/>
      <w:r>
        <w:t xml:space="preserve">The Marketers and Gas Utilities want </w:t>
      </w:r>
      <w:r w:rsidR="00266BCB">
        <w:t>the PUCO to</w:t>
      </w:r>
      <w:r>
        <w:t xml:space="preserve"> deny consumers the benefit of </w:t>
      </w:r>
      <w:r w:rsidR="00266BCB">
        <w:t xml:space="preserve">a price to compare </w:t>
      </w:r>
      <w:r>
        <w:t xml:space="preserve">on their </w:t>
      </w:r>
      <w:r w:rsidR="006C435E">
        <w:t>gas</w:t>
      </w:r>
      <w:r>
        <w:t xml:space="preserve"> bills. </w:t>
      </w:r>
      <w:r w:rsidR="00266BCB">
        <w:rPr>
          <w:i/>
        </w:rPr>
        <w:t>E</w:t>
      </w:r>
      <w:r w:rsidRPr="008B2192" w:rsidR="00594B9A">
        <w:rPr>
          <w:i/>
          <w:iCs/>
        </w:rPr>
        <w:t>lectric</w:t>
      </w:r>
      <w:r w:rsidR="00594B9A">
        <w:t xml:space="preserve"> </w:t>
      </w:r>
      <w:r w:rsidR="00276E73">
        <w:t>utilities have shown c</w:t>
      </w:r>
      <w:r w:rsidR="00594B9A">
        <w:t>onsumers a price</w:t>
      </w:r>
      <w:r w:rsidR="008B2192">
        <w:t xml:space="preserve"> </w:t>
      </w:r>
      <w:r w:rsidR="00594B9A">
        <w:t>to</w:t>
      </w:r>
      <w:r w:rsidR="008B2192">
        <w:t xml:space="preserve"> </w:t>
      </w:r>
      <w:r w:rsidR="00594B9A">
        <w:t>compare for years.</w:t>
      </w:r>
      <w:bookmarkEnd w:id="8"/>
    </w:p>
    <w:p w:rsidR="00C82BAB" w:rsidP="004D7758" w14:paraId="36E70F57" w14:textId="77777777">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Columbia Gas, which is the only natural gas company that currently provides </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hadow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illing data, and a price to compare on its </w:t>
      </w:r>
      <w:r w:rsidR="0019220B">
        <w:rPr>
          <w:rFonts w:ascii="Times New Roman" w:eastAsia="Times New Roman" w:hAnsi="Times New Roman" w:cs="Times New Roman"/>
          <w:sz w:val="24"/>
          <w:szCs w:val="24"/>
        </w:rPr>
        <w:t xml:space="preserve">natural gas </w:t>
      </w:r>
      <w:r>
        <w:rPr>
          <w:rFonts w:ascii="Times New Roman" w:eastAsia="Times New Roman" w:hAnsi="Times New Roman" w:cs="Times New Roman"/>
          <w:sz w:val="24"/>
          <w:szCs w:val="24"/>
        </w:rPr>
        <w:t>bills, did not file comments</w:t>
      </w:r>
      <w:r w:rsidRPr="00A50D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opposition of this rule. The</w:t>
      </w:r>
      <w:r w:rsidRPr="00A50D31" w:rsidR="00EB3F36">
        <w:rPr>
          <w:rFonts w:ascii="Times New Roman" w:eastAsia="Times New Roman" w:hAnsi="Times New Roman" w:cs="Times New Roman"/>
          <w:sz w:val="24"/>
          <w:szCs w:val="24"/>
        </w:rPr>
        <w:t xml:space="preserve"> Marketers</w:t>
      </w:r>
      <w:r w:rsidRPr="00A50D31" w:rsidR="00976E9D">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most of </w:t>
      </w:r>
      <w:r w:rsidRPr="00A50D31" w:rsidR="00976E9D">
        <w:rPr>
          <w:rFonts w:ascii="Times New Roman" w:eastAsia="Times New Roman" w:hAnsi="Times New Roman" w:cs="Times New Roman"/>
          <w:sz w:val="24"/>
          <w:szCs w:val="24"/>
        </w:rPr>
        <w:t xml:space="preserve">the Gas </w:t>
      </w:r>
      <w:r w:rsidR="00C31901">
        <w:rPr>
          <w:rFonts w:ascii="Times New Roman" w:eastAsia="Times New Roman" w:hAnsi="Times New Roman" w:cs="Times New Roman"/>
          <w:sz w:val="24"/>
          <w:szCs w:val="24"/>
        </w:rPr>
        <w:t>Utilities</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1"/>
      </w:r>
      <w:r w:rsidRPr="00A50D31" w:rsidR="00EB3F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however</w:t>
      </w:r>
      <w:r w:rsidRPr="00A50D31" w:rsidR="00EB3F36">
        <w:rPr>
          <w:rFonts w:ascii="Times New Roman" w:eastAsia="Times New Roman" w:hAnsi="Times New Roman" w:cs="Times New Roman"/>
          <w:sz w:val="24"/>
          <w:szCs w:val="24"/>
        </w:rPr>
        <w:t xml:space="preserve"> </w:t>
      </w:r>
      <w:r w:rsidR="008B2192">
        <w:rPr>
          <w:rFonts w:ascii="Times New Roman" w:eastAsia="Times New Roman" w:hAnsi="Times New Roman" w:cs="Times New Roman"/>
          <w:sz w:val="24"/>
          <w:szCs w:val="24"/>
        </w:rPr>
        <w:t xml:space="preserve">assert </w:t>
      </w:r>
      <w:r w:rsidRPr="00A50D31" w:rsidR="00EB3F36">
        <w:rPr>
          <w:rFonts w:ascii="Times New Roman" w:eastAsia="Times New Roman" w:hAnsi="Times New Roman" w:cs="Times New Roman"/>
          <w:sz w:val="24"/>
          <w:szCs w:val="24"/>
        </w:rPr>
        <w:t xml:space="preserve">that using the standard choice offer or gas cost recovery rate </w:t>
      </w:r>
      <w:r w:rsidRPr="00A50D31" w:rsidR="00CE6262">
        <w:rPr>
          <w:rFonts w:ascii="Times New Roman" w:eastAsia="Times New Roman" w:hAnsi="Times New Roman" w:cs="Times New Roman"/>
          <w:sz w:val="24"/>
          <w:szCs w:val="24"/>
        </w:rPr>
        <w:t xml:space="preserve">as the benchmark to compare </w:t>
      </w:r>
      <w:r w:rsidR="00562424">
        <w:rPr>
          <w:rFonts w:ascii="Times New Roman" w:eastAsia="Times New Roman" w:hAnsi="Times New Roman" w:cs="Times New Roman"/>
          <w:sz w:val="24"/>
          <w:szCs w:val="24"/>
        </w:rPr>
        <w:t>m</w:t>
      </w:r>
      <w:r w:rsidRPr="00A50D31" w:rsidR="00CE6262">
        <w:rPr>
          <w:rFonts w:ascii="Times New Roman" w:eastAsia="Times New Roman" w:hAnsi="Times New Roman" w:cs="Times New Roman"/>
          <w:sz w:val="24"/>
          <w:szCs w:val="24"/>
        </w:rPr>
        <w:t xml:space="preserve">arketer service </w:t>
      </w:r>
      <w:r w:rsidRPr="00A50D31" w:rsidR="00EB3F36">
        <w:rPr>
          <w:rFonts w:ascii="Times New Roman" w:eastAsia="Times New Roman" w:hAnsi="Times New Roman" w:cs="Times New Roman"/>
          <w:sz w:val="24"/>
          <w:szCs w:val="24"/>
        </w:rPr>
        <w:t xml:space="preserve">would have customers making </w:t>
      </w:r>
      <w:r w:rsidRPr="00A50D31" w:rsidR="00BB498C">
        <w:rPr>
          <w:rFonts w:ascii="Times New Roman" w:eastAsia="Times New Roman" w:hAnsi="Times New Roman" w:cs="Times New Roman"/>
          <w:sz w:val="24"/>
          <w:szCs w:val="24"/>
        </w:rPr>
        <w:t>“</w:t>
      </w:r>
      <w:r w:rsidRPr="00A50D31" w:rsidR="00EB3F36">
        <w:rPr>
          <w:rFonts w:ascii="Times New Roman" w:eastAsia="Times New Roman" w:hAnsi="Times New Roman" w:cs="Times New Roman"/>
          <w:sz w:val="24"/>
          <w:szCs w:val="24"/>
        </w:rPr>
        <w:t>apples-to-oranges</w:t>
      </w:r>
      <w:r w:rsidRPr="00A50D31" w:rsidR="00BB498C">
        <w:rPr>
          <w:rFonts w:ascii="Times New Roman" w:eastAsia="Times New Roman" w:hAnsi="Times New Roman" w:cs="Times New Roman"/>
          <w:sz w:val="24"/>
          <w:szCs w:val="24"/>
        </w:rPr>
        <w:t>”</w:t>
      </w:r>
      <w:r w:rsidRPr="00A50D31" w:rsidR="00EB3F36">
        <w:rPr>
          <w:rFonts w:ascii="Times New Roman" w:eastAsia="Times New Roman" w:hAnsi="Times New Roman" w:cs="Times New Roman"/>
          <w:sz w:val="24"/>
          <w:szCs w:val="24"/>
        </w:rPr>
        <w:t xml:space="preserve"> comparisons.</w:t>
      </w:r>
      <w:r>
        <w:rPr>
          <w:rStyle w:val="FootnoteReference"/>
          <w:rFonts w:ascii="Times New Roman" w:eastAsia="Times New Roman" w:hAnsi="Times New Roman" w:cs="Times New Roman"/>
          <w:sz w:val="24"/>
          <w:szCs w:val="24"/>
        </w:rPr>
        <w:footnoteReference w:id="12"/>
      </w:r>
      <w:r>
        <w:rPr>
          <w:rFonts w:ascii="Times New Roman" w:eastAsia="Times New Roman" w:hAnsi="Times New Roman" w:cs="Times New Roman"/>
          <w:sz w:val="24"/>
          <w:szCs w:val="24"/>
        </w:rPr>
        <w:t xml:space="preserve"> </w:t>
      </w:r>
    </w:p>
    <w:p w:rsidR="00883B4E" w:rsidRPr="00A50D31" w:rsidP="004D7758" w14:paraId="65D43815" w14:textId="78EB575B">
      <w:pPr>
        <w:spacing w:line="480" w:lineRule="auto"/>
        <w:ind w:firstLine="720"/>
        <w:contextualSpacing/>
        <w:rPr>
          <w:rFonts w:ascii="Times New Roman" w:eastAsia="Times New Roman" w:hAnsi="Times New Roman" w:cs="Times New Roman"/>
          <w:sz w:val="24"/>
          <w:szCs w:val="24"/>
        </w:rPr>
      </w:pPr>
      <w:r w:rsidRPr="00A50D31">
        <w:rPr>
          <w:rFonts w:ascii="Times New Roman" w:eastAsia="Times New Roman" w:hAnsi="Times New Roman" w:cs="Times New Roman"/>
          <w:sz w:val="24"/>
          <w:szCs w:val="24"/>
        </w:rPr>
        <w:t xml:space="preserve">Specifically, </w:t>
      </w:r>
      <w:r w:rsidRPr="00A50D31" w:rsidR="00976E9D">
        <w:rPr>
          <w:rFonts w:ascii="Times New Roman" w:eastAsia="Times New Roman" w:hAnsi="Times New Roman" w:cs="Times New Roman"/>
          <w:sz w:val="24"/>
          <w:szCs w:val="24"/>
        </w:rPr>
        <w:t>the</w:t>
      </w:r>
      <w:r w:rsidR="00620A1E">
        <w:rPr>
          <w:rFonts w:ascii="Times New Roman" w:eastAsia="Times New Roman" w:hAnsi="Times New Roman" w:cs="Times New Roman"/>
          <w:sz w:val="24"/>
          <w:szCs w:val="24"/>
        </w:rPr>
        <w:t xml:space="preserve"> Marketers and </w:t>
      </w:r>
      <w:r w:rsidR="00890099">
        <w:rPr>
          <w:rFonts w:ascii="Times New Roman" w:eastAsia="Times New Roman" w:hAnsi="Times New Roman" w:cs="Times New Roman"/>
          <w:sz w:val="24"/>
          <w:szCs w:val="24"/>
        </w:rPr>
        <w:t>G</w:t>
      </w:r>
      <w:r w:rsidR="00620A1E">
        <w:rPr>
          <w:rFonts w:ascii="Times New Roman" w:eastAsia="Times New Roman" w:hAnsi="Times New Roman" w:cs="Times New Roman"/>
          <w:sz w:val="24"/>
          <w:szCs w:val="24"/>
        </w:rPr>
        <w:t xml:space="preserve">as </w:t>
      </w:r>
      <w:r w:rsidR="00C31901">
        <w:rPr>
          <w:rFonts w:ascii="Times New Roman" w:eastAsia="Times New Roman" w:hAnsi="Times New Roman" w:cs="Times New Roman"/>
          <w:sz w:val="24"/>
          <w:szCs w:val="24"/>
        </w:rPr>
        <w:t>Utilities</w:t>
      </w:r>
      <w:r w:rsidR="00620A1E">
        <w:rPr>
          <w:rFonts w:ascii="Times New Roman" w:eastAsia="Times New Roman" w:hAnsi="Times New Roman" w:cs="Times New Roman"/>
          <w:sz w:val="24"/>
          <w:szCs w:val="24"/>
        </w:rPr>
        <w:t xml:space="preserve"> </w:t>
      </w:r>
      <w:r w:rsidRPr="00A50D31" w:rsidR="00EB3F36">
        <w:rPr>
          <w:rFonts w:ascii="Times New Roman" w:eastAsia="Times New Roman" w:hAnsi="Times New Roman" w:cs="Times New Roman"/>
          <w:sz w:val="24"/>
          <w:szCs w:val="24"/>
        </w:rPr>
        <w:t>argue that the standard choice offer and the gas cost recovery rate are not proper</w:t>
      </w:r>
      <w:r w:rsidR="00850FF9">
        <w:rPr>
          <w:rFonts w:ascii="Times New Roman" w:eastAsia="Times New Roman" w:hAnsi="Times New Roman" w:cs="Times New Roman"/>
          <w:sz w:val="24"/>
          <w:szCs w:val="24"/>
        </w:rPr>
        <w:t xml:space="preserve"> benchmarks</w:t>
      </w:r>
      <w:r w:rsidRPr="00A50D31" w:rsidR="005E5590">
        <w:rPr>
          <w:rFonts w:ascii="Times New Roman" w:eastAsia="Times New Roman" w:hAnsi="Times New Roman" w:cs="Times New Roman"/>
          <w:sz w:val="24"/>
          <w:szCs w:val="24"/>
        </w:rPr>
        <w:t xml:space="preserve"> </w:t>
      </w:r>
      <w:r w:rsidR="00850FF9">
        <w:rPr>
          <w:rFonts w:ascii="Times New Roman" w:eastAsia="Times New Roman" w:hAnsi="Times New Roman" w:cs="Times New Roman"/>
          <w:sz w:val="24"/>
          <w:szCs w:val="24"/>
        </w:rPr>
        <w:t xml:space="preserve">for </w:t>
      </w:r>
      <w:r w:rsidR="00620A1E">
        <w:rPr>
          <w:rFonts w:ascii="Times New Roman" w:eastAsia="Times New Roman" w:hAnsi="Times New Roman" w:cs="Times New Roman"/>
          <w:sz w:val="24"/>
          <w:szCs w:val="24"/>
        </w:rPr>
        <w:t>compar</w:t>
      </w:r>
      <w:r w:rsidR="00850FF9">
        <w:rPr>
          <w:rFonts w:ascii="Times New Roman" w:eastAsia="Times New Roman" w:hAnsi="Times New Roman" w:cs="Times New Roman"/>
          <w:sz w:val="24"/>
          <w:szCs w:val="24"/>
        </w:rPr>
        <w:t>ing</w:t>
      </w:r>
      <w:r w:rsidR="00620A1E">
        <w:rPr>
          <w:rFonts w:ascii="Times New Roman" w:eastAsia="Times New Roman" w:hAnsi="Times New Roman" w:cs="Times New Roman"/>
          <w:sz w:val="24"/>
          <w:szCs w:val="24"/>
        </w:rPr>
        <w:t xml:space="preserve"> </w:t>
      </w:r>
      <w:r w:rsidRPr="00A50D31" w:rsidR="005E5590">
        <w:rPr>
          <w:rFonts w:ascii="Times New Roman" w:eastAsia="Times New Roman" w:hAnsi="Times New Roman" w:cs="Times New Roman"/>
          <w:sz w:val="24"/>
          <w:szCs w:val="24"/>
        </w:rPr>
        <w:t xml:space="preserve">marketer rates </w:t>
      </w:r>
      <w:r w:rsidRPr="00A50D31" w:rsidR="00EB3F36">
        <w:rPr>
          <w:rFonts w:ascii="Times New Roman" w:eastAsia="Times New Roman" w:hAnsi="Times New Roman" w:cs="Times New Roman"/>
          <w:sz w:val="24"/>
          <w:szCs w:val="24"/>
        </w:rPr>
        <w:t xml:space="preserve">because they are based on different pricing </w:t>
      </w:r>
      <w:r w:rsidR="00620A1E">
        <w:rPr>
          <w:rFonts w:ascii="Times New Roman" w:eastAsia="Times New Roman" w:hAnsi="Times New Roman" w:cs="Times New Roman"/>
          <w:sz w:val="24"/>
          <w:szCs w:val="24"/>
        </w:rPr>
        <w:t>options</w:t>
      </w:r>
      <w:r w:rsidRPr="00A50D31" w:rsidR="00EB3F36">
        <w:rPr>
          <w:rFonts w:ascii="Times New Roman" w:eastAsia="Times New Roman" w:hAnsi="Times New Roman" w:cs="Times New Roman"/>
          <w:sz w:val="24"/>
          <w:szCs w:val="24"/>
        </w:rPr>
        <w:t xml:space="preserve"> </w:t>
      </w:r>
      <w:r w:rsidRPr="00A50D31" w:rsidR="00DC746C">
        <w:rPr>
          <w:rFonts w:ascii="Times New Roman" w:eastAsia="Times New Roman" w:hAnsi="Times New Roman" w:cs="Times New Roman"/>
          <w:sz w:val="24"/>
          <w:szCs w:val="24"/>
        </w:rPr>
        <w:t>(fixed versus monthly variable</w:t>
      </w:r>
      <w:r w:rsidRPr="00A50D31" w:rsidR="005E5590">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3"/>
      </w:r>
      <w:r w:rsidRPr="00A50D31" w:rsidR="00EB3F36">
        <w:rPr>
          <w:rFonts w:ascii="Times New Roman" w:eastAsia="Times New Roman" w:hAnsi="Times New Roman" w:cs="Times New Roman"/>
          <w:sz w:val="24"/>
          <w:szCs w:val="24"/>
        </w:rPr>
        <w:t xml:space="preserve"> The</w:t>
      </w:r>
      <w:r w:rsidRPr="00A50D31" w:rsidR="00976E9D">
        <w:rPr>
          <w:rFonts w:ascii="Times New Roman" w:eastAsia="Times New Roman" w:hAnsi="Times New Roman" w:cs="Times New Roman"/>
          <w:sz w:val="24"/>
          <w:szCs w:val="24"/>
        </w:rPr>
        <w:t>y</w:t>
      </w:r>
      <w:r w:rsidRPr="00A50D31" w:rsidR="00EB3F36">
        <w:rPr>
          <w:rFonts w:ascii="Times New Roman" w:eastAsia="Times New Roman" w:hAnsi="Times New Roman" w:cs="Times New Roman"/>
          <w:sz w:val="24"/>
          <w:szCs w:val="24"/>
        </w:rPr>
        <w:t xml:space="preserve"> </w:t>
      </w:r>
      <w:r w:rsidR="00C82BAB">
        <w:rPr>
          <w:rFonts w:ascii="Times New Roman" w:eastAsia="Times New Roman" w:hAnsi="Times New Roman" w:cs="Times New Roman"/>
          <w:sz w:val="24"/>
          <w:szCs w:val="24"/>
        </w:rPr>
        <w:t>argue</w:t>
      </w:r>
      <w:r w:rsidRPr="00A50D31" w:rsidR="00EB3F36">
        <w:rPr>
          <w:rFonts w:ascii="Times New Roman" w:eastAsia="Times New Roman" w:hAnsi="Times New Roman" w:cs="Times New Roman"/>
          <w:sz w:val="24"/>
          <w:szCs w:val="24"/>
        </w:rPr>
        <w:t xml:space="preserve"> that Staff’s proposal omits key information that a customer would need to understand the standard choice offer and </w:t>
      </w:r>
      <w:r w:rsidR="00C82BAB">
        <w:rPr>
          <w:rFonts w:ascii="Times New Roman" w:eastAsia="Times New Roman" w:hAnsi="Times New Roman" w:cs="Times New Roman"/>
          <w:sz w:val="24"/>
          <w:szCs w:val="24"/>
        </w:rPr>
        <w:t>alternatives.</w:t>
      </w:r>
      <w:r w:rsidRPr="00A50D31" w:rsidR="00EB3F36">
        <w:rPr>
          <w:rFonts w:ascii="Times New Roman" w:eastAsia="Times New Roman" w:hAnsi="Times New Roman" w:cs="Times New Roman"/>
          <w:sz w:val="24"/>
          <w:szCs w:val="24"/>
        </w:rPr>
        <w:t xml:space="preserve"> </w:t>
      </w:r>
      <w:r w:rsidR="00016929">
        <w:rPr>
          <w:rFonts w:ascii="Times New Roman" w:eastAsia="Times New Roman" w:hAnsi="Times New Roman" w:cs="Times New Roman"/>
          <w:sz w:val="24"/>
          <w:szCs w:val="24"/>
        </w:rPr>
        <w:t>(</w:t>
      </w:r>
      <w:r w:rsidR="00850FF9">
        <w:rPr>
          <w:rFonts w:ascii="Times New Roman" w:eastAsia="Times New Roman" w:hAnsi="Times New Roman" w:cs="Times New Roman"/>
          <w:sz w:val="24"/>
          <w:szCs w:val="24"/>
        </w:rPr>
        <w:t>N</w:t>
      </w:r>
      <w:r w:rsidR="00016929">
        <w:rPr>
          <w:rFonts w:ascii="Times New Roman" w:eastAsia="Times New Roman" w:hAnsi="Times New Roman" w:cs="Times New Roman"/>
          <w:sz w:val="24"/>
          <w:szCs w:val="24"/>
        </w:rPr>
        <w:t>ot surprisingly, the Marketer</w:t>
      </w:r>
      <w:r w:rsidR="00C82BAB">
        <w:rPr>
          <w:rFonts w:ascii="Times New Roman" w:eastAsia="Times New Roman" w:hAnsi="Times New Roman" w:cs="Times New Roman"/>
          <w:sz w:val="24"/>
          <w:szCs w:val="24"/>
        </w:rPr>
        <w:t>s’</w:t>
      </w:r>
      <w:r w:rsidR="00016929">
        <w:rPr>
          <w:rFonts w:ascii="Times New Roman" w:eastAsia="Times New Roman" w:hAnsi="Times New Roman" w:cs="Times New Roman"/>
          <w:sz w:val="24"/>
          <w:szCs w:val="24"/>
        </w:rPr>
        <w:t xml:space="preserve"> list of </w:t>
      </w:r>
      <w:r w:rsidR="00850FF9">
        <w:rPr>
          <w:rFonts w:ascii="Times New Roman" w:eastAsia="Times New Roman" w:hAnsi="Times New Roman" w:cs="Times New Roman"/>
          <w:sz w:val="24"/>
          <w:szCs w:val="24"/>
        </w:rPr>
        <w:t xml:space="preserve">informational </w:t>
      </w:r>
      <w:r w:rsidR="00016929">
        <w:rPr>
          <w:rFonts w:ascii="Times New Roman" w:eastAsia="Times New Roman" w:hAnsi="Times New Roman" w:cs="Times New Roman"/>
          <w:sz w:val="24"/>
          <w:szCs w:val="24"/>
        </w:rPr>
        <w:t xml:space="preserve">examples does not include </w:t>
      </w:r>
      <w:r w:rsidR="00C82BAB">
        <w:rPr>
          <w:rFonts w:ascii="Times New Roman" w:eastAsia="Times New Roman" w:hAnsi="Times New Roman" w:cs="Times New Roman"/>
          <w:sz w:val="24"/>
          <w:szCs w:val="24"/>
        </w:rPr>
        <w:t>s</w:t>
      </w:r>
      <w:r w:rsidR="00016929">
        <w:rPr>
          <w:rFonts w:ascii="Times New Roman" w:eastAsia="Times New Roman" w:hAnsi="Times New Roman" w:cs="Times New Roman"/>
          <w:sz w:val="24"/>
          <w:szCs w:val="24"/>
        </w:rPr>
        <w:t xml:space="preserve">hadow </w:t>
      </w:r>
      <w:r w:rsidR="00C82BAB">
        <w:rPr>
          <w:rFonts w:ascii="Times New Roman" w:eastAsia="Times New Roman" w:hAnsi="Times New Roman" w:cs="Times New Roman"/>
          <w:sz w:val="24"/>
          <w:szCs w:val="24"/>
        </w:rPr>
        <w:t>b</w:t>
      </w:r>
      <w:r w:rsidR="00016929">
        <w:rPr>
          <w:rFonts w:ascii="Times New Roman" w:eastAsia="Times New Roman" w:hAnsi="Times New Roman" w:cs="Times New Roman"/>
          <w:sz w:val="24"/>
          <w:szCs w:val="24"/>
        </w:rPr>
        <w:t xml:space="preserve">illing information that OCC recommended </w:t>
      </w:r>
      <w:r w:rsidR="00F32B3E">
        <w:rPr>
          <w:rFonts w:ascii="Times New Roman" w:eastAsia="Times New Roman" w:hAnsi="Times New Roman" w:cs="Times New Roman"/>
          <w:sz w:val="24"/>
          <w:szCs w:val="24"/>
        </w:rPr>
        <w:t>and Columbia Gas declined to oppose in its comments</w:t>
      </w:r>
      <w:r w:rsidR="00850FF9">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4"/>
      </w:r>
      <w:r w:rsidR="00016929">
        <w:rPr>
          <w:rFonts w:ascii="Times New Roman" w:eastAsia="Times New Roman" w:hAnsi="Times New Roman" w:cs="Times New Roman"/>
          <w:sz w:val="24"/>
          <w:szCs w:val="24"/>
        </w:rPr>
        <w:t xml:space="preserve"> </w:t>
      </w:r>
      <w:r w:rsidR="00850FF9">
        <w:rPr>
          <w:rFonts w:ascii="Times New Roman" w:eastAsia="Times New Roman" w:hAnsi="Times New Roman" w:cs="Times New Roman"/>
          <w:sz w:val="24"/>
          <w:szCs w:val="24"/>
        </w:rPr>
        <w:t xml:space="preserve">However, </w:t>
      </w:r>
      <w:r w:rsidR="00C82BAB">
        <w:rPr>
          <w:rFonts w:ascii="Times New Roman" w:eastAsia="Times New Roman" w:hAnsi="Times New Roman" w:cs="Times New Roman"/>
          <w:sz w:val="24"/>
          <w:szCs w:val="24"/>
        </w:rPr>
        <w:t>s</w:t>
      </w:r>
      <w:r w:rsidR="00850FF9">
        <w:rPr>
          <w:rFonts w:ascii="Times New Roman" w:eastAsia="Times New Roman" w:hAnsi="Times New Roman" w:cs="Times New Roman"/>
          <w:sz w:val="24"/>
          <w:szCs w:val="24"/>
        </w:rPr>
        <w:t xml:space="preserve">hadow </w:t>
      </w:r>
      <w:r w:rsidR="00C82BAB">
        <w:rPr>
          <w:rFonts w:ascii="Times New Roman" w:eastAsia="Times New Roman" w:hAnsi="Times New Roman" w:cs="Times New Roman"/>
          <w:sz w:val="24"/>
          <w:szCs w:val="24"/>
        </w:rPr>
        <w:t>b</w:t>
      </w:r>
      <w:r w:rsidR="00850FF9">
        <w:rPr>
          <w:rFonts w:ascii="Times New Roman" w:eastAsia="Times New Roman" w:hAnsi="Times New Roman" w:cs="Times New Roman"/>
          <w:sz w:val="24"/>
          <w:szCs w:val="24"/>
        </w:rPr>
        <w:t>illing</w:t>
      </w:r>
      <w:r w:rsidR="00016929">
        <w:rPr>
          <w:rFonts w:ascii="Times New Roman" w:eastAsia="Times New Roman" w:hAnsi="Times New Roman" w:cs="Times New Roman"/>
          <w:sz w:val="24"/>
          <w:szCs w:val="24"/>
        </w:rPr>
        <w:t xml:space="preserve"> would go a long way in helping consumers make </w:t>
      </w:r>
      <w:r w:rsidR="00850FF9">
        <w:rPr>
          <w:rFonts w:ascii="Times New Roman" w:eastAsia="Times New Roman" w:hAnsi="Times New Roman" w:cs="Times New Roman"/>
          <w:sz w:val="24"/>
          <w:szCs w:val="24"/>
        </w:rPr>
        <w:t xml:space="preserve">informed decisions on </w:t>
      </w:r>
      <w:r w:rsidR="00C82BAB">
        <w:rPr>
          <w:rFonts w:ascii="Times New Roman" w:eastAsia="Times New Roman" w:hAnsi="Times New Roman" w:cs="Times New Roman"/>
          <w:sz w:val="24"/>
          <w:szCs w:val="24"/>
        </w:rPr>
        <w:t>gas choices</w:t>
      </w:r>
      <w:r w:rsidRPr="00A50D31" w:rsidR="00EB3F36">
        <w:rPr>
          <w:rFonts w:ascii="Times New Roman" w:eastAsia="Times New Roman" w:hAnsi="Times New Roman" w:cs="Times New Roman"/>
          <w:sz w:val="24"/>
          <w:szCs w:val="24"/>
        </w:rPr>
        <w:t>.</w:t>
      </w:r>
      <w:r w:rsidR="00890099">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5"/>
      </w:r>
      <w:r w:rsidRPr="00A50D31" w:rsidR="00EB3F36">
        <w:rPr>
          <w:rFonts w:ascii="Times New Roman" w:eastAsia="Times New Roman" w:hAnsi="Times New Roman" w:cs="Times New Roman"/>
          <w:sz w:val="24"/>
          <w:szCs w:val="24"/>
        </w:rPr>
        <w:t xml:space="preserve"> </w:t>
      </w:r>
      <w:r w:rsidRPr="00A50D31" w:rsidR="00606C90">
        <w:rPr>
          <w:rFonts w:ascii="Times New Roman" w:eastAsia="Times New Roman" w:hAnsi="Times New Roman" w:cs="Times New Roman"/>
          <w:sz w:val="24"/>
          <w:szCs w:val="24"/>
        </w:rPr>
        <w:t>Finally, t</w:t>
      </w:r>
      <w:r w:rsidRPr="00A50D31">
        <w:rPr>
          <w:rFonts w:ascii="Times New Roman" w:eastAsia="Times New Roman" w:hAnsi="Times New Roman" w:cs="Times New Roman"/>
          <w:sz w:val="24"/>
          <w:szCs w:val="24"/>
        </w:rPr>
        <w:t>hey assert that e</w:t>
      </w:r>
      <w:r w:rsidRPr="00A50D31" w:rsidR="00976E9D">
        <w:rPr>
          <w:rFonts w:ascii="Times New Roman" w:eastAsia="Times New Roman" w:hAnsi="Times New Roman" w:cs="Times New Roman"/>
          <w:sz w:val="24"/>
          <w:szCs w:val="24"/>
        </w:rPr>
        <w:t xml:space="preserve">ven if a marketer offers a monthly variable rate that is lower than the price to compare for the prior month, the marketer’s rate for future months could be based upon different </w:t>
      </w:r>
      <w:r w:rsidRPr="00A50D31">
        <w:rPr>
          <w:rFonts w:ascii="Times New Roman" w:eastAsia="Times New Roman" w:hAnsi="Times New Roman" w:cs="Times New Roman"/>
          <w:sz w:val="24"/>
          <w:szCs w:val="24"/>
        </w:rPr>
        <w:t>factors such as market conditions or renewal term rates.</w:t>
      </w:r>
      <w:r>
        <w:rPr>
          <w:rStyle w:val="FootnoteReference"/>
          <w:rFonts w:ascii="Times New Roman" w:eastAsia="Times New Roman" w:hAnsi="Times New Roman" w:cs="Times New Roman"/>
          <w:sz w:val="24"/>
          <w:szCs w:val="24"/>
        </w:rPr>
        <w:footnoteReference w:id="16"/>
      </w:r>
    </w:p>
    <w:p w:rsidR="00923D43" w:rsidRPr="00A50D31" w:rsidP="004D7758" w14:paraId="1A9D80D4" w14:textId="276CD92D">
      <w:pPr>
        <w:spacing w:after="0" w:line="480" w:lineRule="auto"/>
        <w:ind w:firstLine="720"/>
        <w:contextualSpacing/>
        <w:rPr>
          <w:rFonts w:ascii="Times New Roman" w:eastAsia="Times New Roman" w:hAnsi="Times New Roman" w:cs="Times New Roman"/>
          <w:sz w:val="24"/>
          <w:szCs w:val="24"/>
        </w:rPr>
      </w:pPr>
      <w:r w:rsidRPr="00A50D31">
        <w:rPr>
          <w:rFonts w:ascii="Times New Roman" w:eastAsia="Times New Roman" w:hAnsi="Times New Roman" w:cs="Times New Roman"/>
          <w:sz w:val="24"/>
          <w:szCs w:val="24"/>
        </w:rPr>
        <w:t xml:space="preserve">Regardless of whatever </w:t>
      </w:r>
      <w:r w:rsidR="00053875">
        <w:rPr>
          <w:rFonts w:ascii="Times New Roman" w:eastAsia="Times New Roman" w:hAnsi="Times New Roman" w:cs="Times New Roman"/>
          <w:sz w:val="24"/>
          <w:szCs w:val="24"/>
        </w:rPr>
        <w:t>value-added</w:t>
      </w:r>
      <w:r w:rsidR="00850FF9">
        <w:rPr>
          <w:rFonts w:ascii="Times New Roman" w:eastAsia="Times New Roman" w:hAnsi="Times New Roman" w:cs="Times New Roman"/>
          <w:sz w:val="24"/>
          <w:szCs w:val="24"/>
        </w:rPr>
        <w:t xml:space="preserve"> services</w:t>
      </w:r>
      <w:r w:rsidRPr="00A50D31">
        <w:rPr>
          <w:rFonts w:ascii="Times New Roman" w:eastAsia="Times New Roman" w:hAnsi="Times New Roman" w:cs="Times New Roman"/>
          <w:sz w:val="24"/>
          <w:szCs w:val="24"/>
        </w:rPr>
        <w:t xml:space="preserve"> </w:t>
      </w:r>
      <w:r w:rsidRPr="00A50D31" w:rsidR="005A6649">
        <w:rPr>
          <w:rFonts w:ascii="Times New Roman" w:eastAsia="Times New Roman" w:hAnsi="Times New Roman" w:cs="Times New Roman"/>
          <w:sz w:val="24"/>
          <w:szCs w:val="24"/>
        </w:rPr>
        <w:t>a</w:t>
      </w:r>
      <w:r w:rsidRPr="00A50D31">
        <w:rPr>
          <w:rFonts w:ascii="Times New Roman" w:eastAsia="Times New Roman" w:hAnsi="Times New Roman" w:cs="Times New Roman"/>
          <w:sz w:val="24"/>
          <w:szCs w:val="24"/>
        </w:rPr>
        <w:t xml:space="preserve"> marketer may be offering, the product </w:t>
      </w:r>
      <w:r w:rsidR="00C82BAB">
        <w:rPr>
          <w:rFonts w:ascii="Times New Roman" w:eastAsia="Times New Roman" w:hAnsi="Times New Roman" w:cs="Times New Roman"/>
          <w:sz w:val="24"/>
          <w:szCs w:val="24"/>
        </w:rPr>
        <w:t>to compare is t</w:t>
      </w:r>
      <w:r w:rsidRPr="00A50D31" w:rsidR="00D435A7">
        <w:rPr>
          <w:rFonts w:ascii="Times New Roman" w:eastAsia="Times New Roman" w:hAnsi="Times New Roman" w:cs="Times New Roman"/>
          <w:sz w:val="24"/>
          <w:szCs w:val="24"/>
        </w:rPr>
        <w:t xml:space="preserve">he rate for the </w:t>
      </w:r>
      <w:r w:rsidRPr="00A50D31">
        <w:rPr>
          <w:rFonts w:ascii="Times New Roman" w:eastAsia="Times New Roman" w:hAnsi="Times New Roman" w:cs="Times New Roman"/>
          <w:sz w:val="24"/>
          <w:szCs w:val="24"/>
        </w:rPr>
        <w:t>gas commodity itself</w:t>
      </w:r>
      <w:r w:rsidRPr="00A50D31" w:rsidR="00B021C6">
        <w:rPr>
          <w:rFonts w:ascii="Times New Roman" w:eastAsia="Times New Roman" w:hAnsi="Times New Roman" w:cs="Times New Roman"/>
          <w:sz w:val="24"/>
          <w:szCs w:val="24"/>
        </w:rPr>
        <w:t xml:space="preserve"> </w:t>
      </w:r>
      <w:r w:rsidRPr="00A50D31">
        <w:rPr>
          <w:rFonts w:ascii="Times New Roman" w:eastAsia="Times New Roman" w:hAnsi="Times New Roman" w:cs="Times New Roman"/>
          <w:sz w:val="24"/>
          <w:szCs w:val="24"/>
        </w:rPr>
        <w:t xml:space="preserve">not </w:t>
      </w:r>
      <w:r w:rsidRPr="00A50D31">
        <w:rPr>
          <w:rFonts w:ascii="Times New Roman" w:eastAsia="Times New Roman" w:hAnsi="Times New Roman" w:cs="Times New Roman"/>
          <w:sz w:val="24"/>
          <w:szCs w:val="24"/>
        </w:rPr>
        <w:t>market conditions</w:t>
      </w:r>
      <w:r w:rsidR="00850FF9">
        <w:rPr>
          <w:rFonts w:ascii="Times New Roman" w:eastAsia="Times New Roman" w:hAnsi="Times New Roman" w:cs="Times New Roman"/>
          <w:sz w:val="24"/>
          <w:szCs w:val="24"/>
        </w:rPr>
        <w:t xml:space="preserve"> that affect the prices that marketers offer and charge</w:t>
      </w:r>
      <w:r w:rsidRPr="00A50D31">
        <w:rPr>
          <w:rFonts w:ascii="Times New Roman" w:eastAsia="Times New Roman" w:hAnsi="Times New Roman" w:cs="Times New Roman"/>
          <w:sz w:val="24"/>
          <w:szCs w:val="24"/>
        </w:rPr>
        <w:t xml:space="preserve">, renewal terms rates, </w:t>
      </w:r>
      <w:r w:rsidRPr="00A50D31">
        <w:rPr>
          <w:rFonts w:ascii="Times New Roman" w:eastAsia="Times New Roman" w:hAnsi="Times New Roman" w:cs="Times New Roman"/>
          <w:sz w:val="24"/>
          <w:szCs w:val="24"/>
        </w:rPr>
        <w:t>free thermostats</w:t>
      </w:r>
      <w:r w:rsidRPr="00A50D31">
        <w:rPr>
          <w:rFonts w:ascii="Times New Roman" w:eastAsia="Times New Roman" w:hAnsi="Times New Roman" w:cs="Times New Roman"/>
          <w:sz w:val="24"/>
          <w:szCs w:val="24"/>
        </w:rPr>
        <w:t xml:space="preserve"> or lightbulbs</w:t>
      </w:r>
      <w:r w:rsidRPr="00A50D31">
        <w:rPr>
          <w:rFonts w:ascii="Times New Roman" w:eastAsia="Times New Roman" w:hAnsi="Times New Roman" w:cs="Times New Roman"/>
          <w:sz w:val="24"/>
          <w:szCs w:val="24"/>
        </w:rPr>
        <w:t xml:space="preserve">, home warranties, etc. Moreover, the Energy Choice website </w:t>
      </w:r>
      <w:r w:rsidRPr="00A50D31" w:rsidR="0084385C">
        <w:rPr>
          <w:rFonts w:ascii="Times New Roman" w:eastAsia="Times New Roman" w:hAnsi="Times New Roman" w:cs="Times New Roman"/>
          <w:sz w:val="24"/>
          <w:szCs w:val="24"/>
        </w:rPr>
        <w:t xml:space="preserve">comparison chart </w:t>
      </w:r>
      <w:r w:rsidRPr="00A50D31">
        <w:rPr>
          <w:rFonts w:ascii="Times New Roman" w:eastAsia="Times New Roman" w:hAnsi="Times New Roman" w:cs="Times New Roman"/>
          <w:sz w:val="24"/>
          <w:szCs w:val="24"/>
        </w:rPr>
        <w:t>is called “Apples to Apples,” no</w:t>
      </w:r>
      <w:r w:rsidRPr="00A50D31" w:rsidR="000F3E7C">
        <w:rPr>
          <w:rFonts w:ascii="Times New Roman" w:eastAsia="Times New Roman" w:hAnsi="Times New Roman" w:cs="Times New Roman"/>
          <w:sz w:val="24"/>
          <w:szCs w:val="24"/>
        </w:rPr>
        <w:t>t</w:t>
      </w:r>
      <w:r w:rsidRPr="00A50D31">
        <w:rPr>
          <w:rFonts w:ascii="Times New Roman" w:eastAsia="Times New Roman" w:hAnsi="Times New Roman" w:cs="Times New Roman"/>
          <w:sz w:val="24"/>
          <w:szCs w:val="24"/>
        </w:rPr>
        <w:t xml:space="preserve"> “Apples to Oranges</w:t>
      </w:r>
      <w:r w:rsidRPr="00A50D31">
        <w:rPr>
          <w:rFonts w:ascii="Times New Roman" w:eastAsia="Times New Roman" w:hAnsi="Times New Roman" w:cs="Times New Roman"/>
          <w:sz w:val="24"/>
          <w:szCs w:val="24"/>
        </w:rPr>
        <w:t>,</w:t>
      </w:r>
      <w:r w:rsidRPr="00A50D31">
        <w:rPr>
          <w:rFonts w:ascii="Times New Roman" w:eastAsia="Times New Roman" w:hAnsi="Times New Roman" w:cs="Times New Roman"/>
          <w:sz w:val="24"/>
          <w:szCs w:val="24"/>
        </w:rPr>
        <w:t xml:space="preserve">” </w:t>
      </w:r>
      <w:r w:rsidR="00C82BAB">
        <w:rPr>
          <w:rFonts w:ascii="Times New Roman" w:eastAsia="Times New Roman" w:hAnsi="Times New Roman" w:cs="Times New Roman"/>
          <w:sz w:val="24"/>
          <w:szCs w:val="24"/>
        </w:rPr>
        <w:t>For</w:t>
      </w:r>
      <w:r w:rsidRPr="00A50D31">
        <w:rPr>
          <w:rFonts w:ascii="Times New Roman" w:eastAsia="Times New Roman" w:hAnsi="Times New Roman" w:cs="Times New Roman"/>
          <w:sz w:val="24"/>
          <w:szCs w:val="24"/>
        </w:rPr>
        <w:t xml:space="preserve"> </w:t>
      </w:r>
      <w:r w:rsidRPr="00A50D31" w:rsidR="00CE6262">
        <w:rPr>
          <w:rFonts w:ascii="Times New Roman" w:eastAsia="Times New Roman" w:hAnsi="Times New Roman" w:cs="Times New Roman"/>
          <w:sz w:val="24"/>
          <w:szCs w:val="24"/>
        </w:rPr>
        <w:t>M</w:t>
      </w:r>
      <w:r w:rsidRPr="00A50D31">
        <w:rPr>
          <w:rFonts w:ascii="Times New Roman" w:eastAsia="Times New Roman" w:hAnsi="Times New Roman" w:cs="Times New Roman"/>
          <w:sz w:val="24"/>
          <w:szCs w:val="24"/>
        </w:rPr>
        <w:t>arketers to now claim they are not providing the same service with “</w:t>
      </w:r>
      <w:r w:rsidRPr="00A50D31" w:rsidR="000F3E7C">
        <w:rPr>
          <w:rFonts w:ascii="Times New Roman" w:eastAsia="Times New Roman" w:hAnsi="Times New Roman" w:cs="Times New Roman"/>
          <w:sz w:val="24"/>
          <w:szCs w:val="24"/>
        </w:rPr>
        <w:t>e</w:t>
      </w:r>
      <w:r w:rsidRPr="00A50D31">
        <w:rPr>
          <w:rFonts w:ascii="Times New Roman" w:eastAsia="Times New Roman" w:hAnsi="Times New Roman" w:cs="Times New Roman"/>
          <w:sz w:val="24"/>
          <w:szCs w:val="24"/>
        </w:rPr>
        <w:t>xtras” is misleading.</w:t>
      </w:r>
      <w:r w:rsidRPr="00A50D31" w:rsidR="00976E9D">
        <w:rPr>
          <w:rFonts w:ascii="Times New Roman" w:eastAsia="Times New Roman" w:hAnsi="Times New Roman" w:cs="Times New Roman"/>
          <w:sz w:val="24"/>
          <w:szCs w:val="24"/>
        </w:rPr>
        <w:t xml:space="preserve"> </w:t>
      </w:r>
      <w:r w:rsidRPr="00A50D31">
        <w:rPr>
          <w:rFonts w:ascii="Times New Roman" w:eastAsia="Times New Roman" w:hAnsi="Times New Roman" w:cs="Times New Roman"/>
          <w:sz w:val="24"/>
          <w:szCs w:val="24"/>
        </w:rPr>
        <w:t xml:space="preserve">On the one hand, </w:t>
      </w:r>
      <w:r w:rsidRPr="00A50D31" w:rsidR="004D7758">
        <w:rPr>
          <w:rFonts w:ascii="Times New Roman" w:eastAsia="Times New Roman" w:hAnsi="Times New Roman" w:cs="Times New Roman"/>
          <w:sz w:val="24"/>
          <w:szCs w:val="24"/>
        </w:rPr>
        <w:t>the M</w:t>
      </w:r>
      <w:r w:rsidRPr="00A50D31" w:rsidR="005A6649">
        <w:rPr>
          <w:rFonts w:ascii="Times New Roman" w:eastAsia="Times New Roman" w:hAnsi="Times New Roman" w:cs="Times New Roman"/>
          <w:sz w:val="24"/>
          <w:szCs w:val="24"/>
        </w:rPr>
        <w:t>arketers want their products</w:t>
      </w:r>
      <w:r w:rsidRPr="00A50D31">
        <w:rPr>
          <w:rFonts w:ascii="Times New Roman" w:eastAsia="Times New Roman" w:hAnsi="Times New Roman" w:cs="Times New Roman"/>
          <w:sz w:val="24"/>
          <w:szCs w:val="24"/>
        </w:rPr>
        <w:t xml:space="preserve"> to be considered the “same as” the default service</w:t>
      </w:r>
      <w:r w:rsidRPr="00A50D31" w:rsidR="004C70D4">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7"/>
      </w:r>
      <w:r w:rsidRPr="00A50D31">
        <w:rPr>
          <w:rFonts w:ascii="Times New Roman" w:eastAsia="Times New Roman" w:hAnsi="Times New Roman" w:cs="Times New Roman"/>
          <w:sz w:val="24"/>
          <w:szCs w:val="24"/>
        </w:rPr>
        <w:t xml:space="preserve"> yet when it</w:t>
      </w:r>
      <w:r w:rsidRPr="00A50D31" w:rsidR="000F3E7C">
        <w:rPr>
          <w:rFonts w:ascii="Times New Roman" w:eastAsia="Times New Roman" w:hAnsi="Times New Roman" w:cs="Times New Roman"/>
          <w:sz w:val="24"/>
          <w:szCs w:val="24"/>
        </w:rPr>
        <w:t xml:space="preserve"> i</w:t>
      </w:r>
      <w:r w:rsidRPr="00A50D31">
        <w:rPr>
          <w:rFonts w:ascii="Times New Roman" w:eastAsia="Times New Roman" w:hAnsi="Times New Roman" w:cs="Times New Roman"/>
          <w:sz w:val="24"/>
          <w:szCs w:val="24"/>
        </w:rPr>
        <w:t>s time to</w:t>
      </w:r>
      <w:r w:rsidR="00C82BAB">
        <w:rPr>
          <w:rFonts w:ascii="Times New Roman" w:eastAsia="Times New Roman" w:hAnsi="Times New Roman" w:cs="Times New Roman"/>
          <w:sz w:val="24"/>
          <w:szCs w:val="24"/>
        </w:rPr>
        <w:t xml:space="preserve"> implement </w:t>
      </w:r>
      <w:r w:rsidRPr="00A50D31" w:rsidR="0084385C">
        <w:rPr>
          <w:rFonts w:ascii="Times New Roman" w:eastAsia="Times New Roman" w:hAnsi="Times New Roman" w:cs="Times New Roman"/>
          <w:sz w:val="24"/>
          <w:szCs w:val="24"/>
        </w:rPr>
        <w:t>rules or restrictions on their behavior</w:t>
      </w:r>
      <w:r w:rsidRPr="00A50D31">
        <w:rPr>
          <w:rFonts w:ascii="Times New Roman" w:eastAsia="Times New Roman" w:hAnsi="Times New Roman" w:cs="Times New Roman"/>
          <w:sz w:val="24"/>
          <w:szCs w:val="24"/>
        </w:rPr>
        <w:t xml:space="preserve">, they </w:t>
      </w:r>
      <w:r w:rsidR="00C82BAB">
        <w:rPr>
          <w:rFonts w:ascii="Times New Roman" w:eastAsia="Times New Roman" w:hAnsi="Times New Roman" w:cs="Times New Roman"/>
          <w:sz w:val="24"/>
          <w:szCs w:val="24"/>
        </w:rPr>
        <w:t xml:space="preserve">argue </w:t>
      </w:r>
      <w:r w:rsidRPr="00A50D31" w:rsidR="005A6649">
        <w:rPr>
          <w:rFonts w:ascii="Times New Roman" w:eastAsia="Times New Roman" w:hAnsi="Times New Roman" w:cs="Times New Roman"/>
          <w:sz w:val="24"/>
          <w:szCs w:val="24"/>
        </w:rPr>
        <w:t xml:space="preserve">their product is </w:t>
      </w:r>
      <w:r w:rsidRPr="00A50D31" w:rsidR="000F3E7C">
        <w:rPr>
          <w:rFonts w:ascii="Times New Roman" w:eastAsia="Times New Roman" w:hAnsi="Times New Roman" w:cs="Times New Roman"/>
          <w:sz w:val="24"/>
          <w:szCs w:val="24"/>
        </w:rPr>
        <w:t>different and</w:t>
      </w:r>
      <w:r w:rsidR="00C82BAB">
        <w:rPr>
          <w:rFonts w:ascii="Times New Roman" w:eastAsia="Times New Roman" w:hAnsi="Times New Roman" w:cs="Times New Roman"/>
          <w:sz w:val="24"/>
          <w:szCs w:val="24"/>
        </w:rPr>
        <w:t xml:space="preserve"> not comparable </w:t>
      </w:r>
      <w:r w:rsidRPr="00A50D31" w:rsidR="000F3E7C">
        <w:rPr>
          <w:rFonts w:ascii="Times New Roman" w:eastAsia="Times New Roman" w:hAnsi="Times New Roman" w:cs="Times New Roman"/>
          <w:sz w:val="24"/>
          <w:szCs w:val="24"/>
        </w:rPr>
        <w:t xml:space="preserve">to the default service offer. </w:t>
      </w:r>
      <w:r w:rsidRPr="00A50D31" w:rsidR="00CE6262">
        <w:rPr>
          <w:rFonts w:ascii="Times New Roman" w:eastAsia="Times New Roman" w:hAnsi="Times New Roman" w:cs="Times New Roman"/>
          <w:sz w:val="24"/>
          <w:szCs w:val="24"/>
        </w:rPr>
        <w:t>Marketers cannot have it both ways.</w:t>
      </w:r>
      <w:r w:rsidR="00016929">
        <w:rPr>
          <w:rFonts w:ascii="Times New Roman" w:eastAsia="Times New Roman" w:hAnsi="Times New Roman" w:cs="Times New Roman"/>
          <w:sz w:val="24"/>
          <w:szCs w:val="24"/>
        </w:rPr>
        <w:t xml:space="preserve"> </w:t>
      </w:r>
    </w:p>
    <w:p w:rsidR="00D5484D" w:rsidP="00976E9D" w14:paraId="05E5A508" w14:textId="68F9F61C">
      <w:pPr>
        <w:spacing w:after="0" w:line="480" w:lineRule="auto"/>
        <w:ind w:firstLine="720"/>
        <w:rPr>
          <w:rFonts w:ascii="Times New Roman" w:eastAsia="Times New Roman" w:hAnsi="Times New Roman" w:cs="Times New Roman"/>
          <w:sz w:val="24"/>
          <w:szCs w:val="24"/>
        </w:rPr>
      </w:pPr>
      <w:r w:rsidRPr="00A50D31">
        <w:rPr>
          <w:rFonts w:ascii="Times New Roman" w:eastAsia="Times New Roman" w:hAnsi="Times New Roman" w:cs="Times New Roman"/>
          <w:sz w:val="24"/>
          <w:szCs w:val="24"/>
        </w:rPr>
        <w:t xml:space="preserve">Contrary to what the Marketers and Gas </w:t>
      </w:r>
      <w:r w:rsidR="00C31901">
        <w:rPr>
          <w:rFonts w:ascii="Times New Roman" w:eastAsia="Times New Roman" w:hAnsi="Times New Roman" w:cs="Times New Roman"/>
          <w:sz w:val="24"/>
          <w:szCs w:val="24"/>
        </w:rPr>
        <w:t>Utilities</w:t>
      </w:r>
      <w:r w:rsidRPr="00A50D31">
        <w:rPr>
          <w:rFonts w:ascii="Times New Roman" w:eastAsia="Times New Roman" w:hAnsi="Times New Roman" w:cs="Times New Roman"/>
          <w:sz w:val="24"/>
          <w:szCs w:val="24"/>
        </w:rPr>
        <w:t xml:space="preserve"> argue, i</w:t>
      </w:r>
      <w:r w:rsidRPr="00A50D31" w:rsidR="000F3E7C">
        <w:rPr>
          <w:rFonts w:ascii="Times New Roman" w:eastAsia="Times New Roman" w:hAnsi="Times New Roman" w:cs="Times New Roman"/>
          <w:sz w:val="24"/>
          <w:szCs w:val="24"/>
        </w:rPr>
        <w:t xml:space="preserve">t is </w:t>
      </w:r>
      <w:r w:rsidRPr="00A50D31" w:rsidR="00CE6262">
        <w:rPr>
          <w:rFonts w:ascii="Times New Roman" w:eastAsia="Times New Roman" w:hAnsi="Times New Roman" w:cs="Times New Roman"/>
          <w:sz w:val="24"/>
          <w:szCs w:val="24"/>
        </w:rPr>
        <w:t>accurate and straightforward</w:t>
      </w:r>
      <w:r w:rsidRPr="00A50D31" w:rsidR="000F3E7C">
        <w:rPr>
          <w:rFonts w:ascii="Times New Roman" w:eastAsia="Times New Roman" w:hAnsi="Times New Roman" w:cs="Times New Roman"/>
          <w:sz w:val="24"/>
          <w:szCs w:val="24"/>
        </w:rPr>
        <w:t xml:space="preserve"> to state that the gas company is charging x </w:t>
      </w:r>
      <w:r w:rsidRPr="00A50D31" w:rsidR="00D435A7">
        <w:rPr>
          <w:rFonts w:ascii="Times New Roman" w:eastAsia="Times New Roman" w:hAnsi="Times New Roman" w:cs="Times New Roman"/>
          <w:sz w:val="24"/>
          <w:szCs w:val="24"/>
        </w:rPr>
        <w:t>($ per mcf or ccf)</w:t>
      </w:r>
      <w:r w:rsidRPr="00A50D31" w:rsidR="000F3E7C">
        <w:rPr>
          <w:rFonts w:ascii="Times New Roman" w:eastAsia="Times New Roman" w:hAnsi="Times New Roman" w:cs="Times New Roman"/>
          <w:sz w:val="24"/>
          <w:szCs w:val="24"/>
        </w:rPr>
        <w:t xml:space="preserve"> of gas (the actual commodity), but the </w:t>
      </w:r>
      <w:r w:rsidR="00562424">
        <w:rPr>
          <w:rFonts w:ascii="Times New Roman" w:eastAsia="Times New Roman" w:hAnsi="Times New Roman" w:cs="Times New Roman"/>
          <w:sz w:val="24"/>
          <w:szCs w:val="24"/>
        </w:rPr>
        <w:t>m</w:t>
      </w:r>
      <w:r w:rsidRPr="00A50D31" w:rsidR="000F3E7C">
        <w:rPr>
          <w:rFonts w:ascii="Times New Roman" w:eastAsia="Times New Roman" w:hAnsi="Times New Roman" w:cs="Times New Roman"/>
          <w:sz w:val="24"/>
          <w:szCs w:val="24"/>
        </w:rPr>
        <w:t>arketer is charging x</w:t>
      </w:r>
      <w:r w:rsidRPr="00A50D31">
        <w:rPr>
          <w:rFonts w:ascii="Times New Roman" w:eastAsia="Times New Roman" w:hAnsi="Times New Roman" w:cs="Times New Roman"/>
          <w:sz w:val="24"/>
          <w:szCs w:val="24"/>
        </w:rPr>
        <w:t xml:space="preserve"> + </w:t>
      </w:r>
      <w:r w:rsidRPr="00A50D31" w:rsidR="00CE6262">
        <w:rPr>
          <w:rFonts w:ascii="Times New Roman" w:eastAsia="Times New Roman" w:hAnsi="Times New Roman" w:cs="Times New Roman"/>
          <w:sz w:val="24"/>
          <w:szCs w:val="24"/>
        </w:rPr>
        <w:t>y</w:t>
      </w:r>
      <w:r w:rsidRPr="00A50D31" w:rsidR="000F3E7C">
        <w:rPr>
          <w:rFonts w:ascii="Times New Roman" w:eastAsia="Times New Roman" w:hAnsi="Times New Roman" w:cs="Times New Roman"/>
          <w:sz w:val="24"/>
          <w:szCs w:val="24"/>
          <w:vertAlign w:val="superscript"/>
        </w:rPr>
        <w:t xml:space="preserve"> </w:t>
      </w:r>
      <w:r w:rsidRPr="00A50D31" w:rsidR="000F3E7C">
        <w:rPr>
          <w:rFonts w:ascii="Times New Roman" w:eastAsia="Times New Roman" w:hAnsi="Times New Roman" w:cs="Times New Roman"/>
          <w:sz w:val="24"/>
          <w:szCs w:val="24"/>
        </w:rPr>
        <w:t xml:space="preserve">for the </w:t>
      </w:r>
      <w:r w:rsidR="00C82BAB">
        <w:rPr>
          <w:rFonts w:ascii="Times New Roman" w:eastAsia="Times New Roman" w:hAnsi="Times New Roman" w:cs="Times New Roman"/>
          <w:sz w:val="24"/>
          <w:szCs w:val="24"/>
        </w:rPr>
        <w:t xml:space="preserve">amount of </w:t>
      </w:r>
      <w:r w:rsidRPr="00A50D31" w:rsidR="000F3E7C">
        <w:rPr>
          <w:rFonts w:ascii="Times New Roman" w:eastAsia="Times New Roman" w:hAnsi="Times New Roman" w:cs="Times New Roman"/>
          <w:sz w:val="24"/>
          <w:szCs w:val="24"/>
        </w:rPr>
        <w:t>gas, regardless of whatever they are packaging with the commodity</w:t>
      </w:r>
      <w:r w:rsidRPr="00A50D31" w:rsidR="0084385C">
        <w:rPr>
          <w:rFonts w:ascii="Times New Roman" w:eastAsia="Times New Roman" w:hAnsi="Times New Roman" w:cs="Times New Roman"/>
          <w:sz w:val="24"/>
          <w:szCs w:val="24"/>
        </w:rPr>
        <w:t xml:space="preserve"> (y)</w:t>
      </w:r>
      <w:r w:rsidRPr="00A50D31" w:rsidR="000F3E7C">
        <w:rPr>
          <w:rFonts w:ascii="Times New Roman" w:eastAsia="Times New Roman" w:hAnsi="Times New Roman" w:cs="Times New Roman"/>
          <w:sz w:val="24"/>
          <w:szCs w:val="24"/>
        </w:rPr>
        <w:t xml:space="preserve">. </w:t>
      </w:r>
      <w:r w:rsidRPr="00A50D31" w:rsidR="00782F05">
        <w:rPr>
          <w:rFonts w:ascii="Times New Roman" w:eastAsia="Times New Roman" w:hAnsi="Times New Roman" w:cs="Times New Roman"/>
          <w:sz w:val="24"/>
          <w:szCs w:val="24"/>
        </w:rPr>
        <w:t>If x</w:t>
      </w:r>
      <w:r w:rsidRPr="00A50D31">
        <w:rPr>
          <w:rFonts w:ascii="Times New Roman" w:eastAsia="Times New Roman" w:hAnsi="Times New Roman" w:cs="Times New Roman"/>
          <w:sz w:val="24"/>
          <w:szCs w:val="24"/>
        </w:rPr>
        <w:t xml:space="preserve"> &lt; </w:t>
      </w:r>
      <w:r w:rsidRPr="00A50D31" w:rsidR="00782F05">
        <w:rPr>
          <w:rFonts w:ascii="Times New Roman" w:eastAsia="Times New Roman" w:hAnsi="Times New Roman" w:cs="Times New Roman"/>
          <w:sz w:val="24"/>
          <w:szCs w:val="24"/>
        </w:rPr>
        <w:t>x</w:t>
      </w:r>
      <w:r w:rsidRPr="00A50D31">
        <w:rPr>
          <w:rFonts w:ascii="Times New Roman" w:eastAsia="Times New Roman" w:hAnsi="Times New Roman" w:cs="Times New Roman"/>
          <w:sz w:val="24"/>
          <w:szCs w:val="24"/>
        </w:rPr>
        <w:t xml:space="preserve"> + </w:t>
      </w:r>
      <w:r w:rsidRPr="00A50D31" w:rsidR="00CE6262">
        <w:rPr>
          <w:rFonts w:ascii="Times New Roman" w:eastAsia="Times New Roman" w:hAnsi="Times New Roman" w:cs="Times New Roman"/>
          <w:sz w:val="24"/>
          <w:szCs w:val="24"/>
        </w:rPr>
        <w:t>y</w:t>
      </w:r>
      <w:r w:rsidRPr="00A50D31" w:rsidR="00782F05">
        <w:rPr>
          <w:rFonts w:ascii="Times New Roman" w:eastAsia="Times New Roman" w:hAnsi="Times New Roman" w:cs="Times New Roman"/>
          <w:sz w:val="24"/>
          <w:szCs w:val="24"/>
        </w:rPr>
        <w:t>, you are going to save money if you choose x</w:t>
      </w:r>
      <w:r w:rsidRPr="00A50D31" w:rsidR="004C70D4">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8"/>
      </w:r>
      <w:r w:rsidRPr="00A50D31" w:rsidR="00782F05">
        <w:rPr>
          <w:rFonts w:ascii="Times New Roman" w:eastAsia="Times New Roman" w:hAnsi="Times New Roman" w:cs="Times New Roman"/>
          <w:sz w:val="24"/>
          <w:szCs w:val="24"/>
        </w:rPr>
        <w:t xml:space="preserve"> </w:t>
      </w:r>
      <w:r w:rsidRPr="00A50D31" w:rsidR="004C70D4">
        <w:rPr>
          <w:rFonts w:ascii="Times New Roman" w:eastAsia="Times New Roman" w:hAnsi="Times New Roman" w:cs="Times New Roman"/>
          <w:sz w:val="24"/>
          <w:szCs w:val="24"/>
        </w:rPr>
        <w:t>i</w:t>
      </w:r>
      <w:r w:rsidRPr="00A50D31" w:rsidR="00782F05">
        <w:rPr>
          <w:rFonts w:ascii="Times New Roman" w:eastAsia="Times New Roman" w:hAnsi="Times New Roman" w:cs="Times New Roman"/>
          <w:sz w:val="24"/>
          <w:szCs w:val="24"/>
        </w:rPr>
        <w:t xml:space="preserve">t is simple math. </w:t>
      </w:r>
    </w:p>
    <w:p w:rsidR="00B021C6" w:rsidRPr="00A50D31" w:rsidP="00976E9D" w14:paraId="678F7195" w14:textId="1DE3E3F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90099">
        <w:rPr>
          <w:rFonts w:ascii="Times New Roman" w:eastAsia="Times New Roman" w:hAnsi="Times New Roman" w:cs="Times New Roman"/>
          <w:sz w:val="24"/>
          <w:szCs w:val="24"/>
        </w:rPr>
        <w:t>et’s</w:t>
      </w:r>
      <w:r w:rsidR="00D5484D">
        <w:rPr>
          <w:rFonts w:ascii="Times New Roman" w:eastAsia="Times New Roman" w:hAnsi="Times New Roman" w:cs="Times New Roman"/>
          <w:sz w:val="24"/>
          <w:szCs w:val="24"/>
        </w:rPr>
        <w:t xml:space="preserve"> consider a fast food analogy. W</w:t>
      </w:r>
      <w:r w:rsidRPr="00A50D31" w:rsidR="000F3E7C">
        <w:rPr>
          <w:rFonts w:ascii="Times New Roman" w:eastAsia="Times New Roman" w:hAnsi="Times New Roman" w:cs="Times New Roman"/>
          <w:sz w:val="24"/>
          <w:szCs w:val="24"/>
        </w:rPr>
        <w:t xml:space="preserve">hen </w:t>
      </w:r>
      <w:r>
        <w:rPr>
          <w:rFonts w:ascii="Times New Roman" w:eastAsia="Times New Roman" w:hAnsi="Times New Roman" w:cs="Times New Roman"/>
          <w:sz w:val="24"/>
          <w:szCs w:val="24"/>
        </w:rPr>
        <w:t>one</w:t>
      </w:r>
      <w:r w:rsidRPr="00A50D31">
        <w:rPr>
          <w:rFonts w:ascii="Times New Roman" w:eastAsia="Times New Roman" w:hAnsi="Times New Roman" w:cs="Times New Roman"/>
          <w:sz w:val="24"/>
          <w:szCs w:val="24"/>
        </w:rPr>
        <w:t xml:space="preserve"> </w:t>
      </w:r>
      <w:r w:rsidR="00D5484D">
        <w:rPr>
          <w:rFonts w:ascii="Times New Roman" w:eastAsia="Times New Roman" w:hAnsi="Times New Roman" w:cs="Times New Roman"/>
          <w:sz w:val="24"/>
          <w:szCs w:val="24"/>
        </w:rPr>
        <w:t>purchase</w:t>
      </w:r>
      <w:r>
        <w:rPr>
          <w:rFonts w:ascii="Times New Roman" w:eastAsia="Times New Roman" w:hAnsi="Times New Roman" w:cs="Times New Roman"/>
          <w:sz w:val="24"/>
          <w:szCs w:val="24"/>
        </w:rPr>
        <w:t>s</w:t>
      </w:r>
      <w:r w:rsidRPr="00A50D31" w:rsidR="000F3E7C">
        <w:rPr>
          <w:rFonts w:ascii="Times New Roman" w:eastAsia="Times New Roman" w:hAnsi="Times New Roman" w:cs="Times New Roman"/>
          <w:sz w:val="24"/>
          <w:szCs w:val="24"/>
        </w:rPr>
        <w:t xml:space="preserve"> a </w:t>
      </w:r>
      <w:r w:rsidRPr="00A50D31" w:rsidR="00923D43">
        <w:rPr>
          <w:rFonts w:ascii="Times New Roman" w:eastAsia="Times New Roman" w:hAnsi="Times New Roman" w:cs="Times New Roman"/>
          <w:sz w:val="24"/>
          <w:szCs w:val="24"/>
        </w:rPr>
        <w:t xml:space="preserve">fast food </w:t>
      </w:r>
      <w:r w:rsidRPr="00A50D31" w:rsidR="000F3E7C">
        <w:rPr>
          <w:rFonts w:ascii="Times New Roman" w:eastAsia="Times New Roman" w:hAnsi="Times New Roman" w:cs="Times New Roman"/>
          <w:sz w:val="24"/>
          <w:szCs w:val="24"/>
        </w:rPr>
        <w:t xml:space="preserve">value meal, </w:t>
      </w:r>
      <w:r>
        <w:rPr>
          <w:rFonts w:ascii="Times New Roman" w:eastAsia="Times New Roman" w:hAnsi="Times New Roman" w:cs="Times New Roman"/>
          <w:sz w:val="24"/>
          <w:szCs w:val="24"/>
        </w:rPr>
        <w:t>one is</w:t>
      </w:r>
      <w:r w:rsidR="00D5484D">
        <w:rPr>
          <w:rFonts w:ascii="Times New Roman" w:eastAsia="Times New Roman" w:hAnsi="Times New Roman" w:cs="Times New Roman"/>
          <w:sz w:val="24"/>
          <w:szCs w:val="24"/>
        </w:rPr>
        <w:t xml:space="preserve"> </w:t>
      </w:r>
      <w:r w:rsidRPr="00A50D31" w:rsidR="000F3E7C">
        <w:rPr>
          <w:rFonts w:ascii="Times New Roman" w:eastAsia="Times New Roman" w:hAnsi="Times New Roman" w:cs="Times New Roman"/>
          <w:sz w:val="24"/>
          <w:szCs w:val="24"/>
        </w:rPr>
        <w:t>add</w:t>
      </w:r>
      <w:r w:rsidR="00D5484D">
        <w:rPr>
          <w:rFonts w:ascii="Times New Roman" w:eastAsia="Times New Roman" w:hAnsi="Times New Roman" w:cs="Times New Roman"/>
          <w:sz w:val="24"/>
          <w:szCs w:val="24"/>
        </w:rPr>
        <w:t xml:space="preserve">ing extras like </w:t>
      </w:r>
      <w:r w:rsidRPr="00A50D31" w:rsidR="000F3E7C">
        <w:rPr>
          <w:rFonts w:ascii="Times New Roman" w:eastAsia="Times New Roman" w:hAnsi="Times New Roman" w:cs="Times New Roman"/>
          <w:sz w:val="24"/>
          <w:szCs w:val="24"/>
        </w:rPr>
        <w:t xml:space="preserve">fries </w:t>
      </w:r>
      <w:r w:rsidRPr="00A50D31" w:rsidR="00606C90">
        <w:rPr>
          <w:rFonts w:ascii="Times New Roman" w:eastAsia="Times New Roman" w:hAnsi="Times New Roman" w:cs="Times New Roman"/>
          <w:sz w:val="24"/>
          <w:szCs w:val="24"/>
        </w:rPr>
        <w:t>(market conditions</w:t>
      </w:r>
      <w:r w:rsidRPr="00A50D31" w:rsidR="00923D43">
        <w:rPr>
          <w:rFonts w:ascii="Times New Roman" w:eastAsia="Times New Roman" w:hAnsi="Times New Roman" w:cs="Times New Roman"/>
          <w:sz w:val="24"/>
          <w:szCs w:val="24"/>
        </w:rPr>
        <w:t>, etc.</w:t>
      </w:r>
      <w:r w:rsidRPr="00A50D31" w:rsidR="00606C90">
        <w:rPr>
          <w:rFonts w:ascii="Times New Roman" w:eastAsia="Times New Roman" w:hAnsi="Times New Roman" w:cs="Times New Roman"/>
          <w:sz w:val="24"/>
          <w:szCs w:val="24"/>
        </w:rPr>
        <w:t xml:space="preserve">) </w:t>
      </w:r>
      <w:r w:rsidRPr="00A50D31" w:rsidR="000F3E7C">
        <w:rPr>
          <w:rFonts w:ascii="Times New Roman" w:eastAsia="Times New Roman" w:hAnsi="Times New Roman" w:cs="Times New Roman"/>
          <w:sz w:val="24"/>
          <w:szCs w:val="24"/>
        </w:rPr>
        <w:t>and a drink</w:t>
      </w:r>
      <w:r w:rsidRPr="00A50D31" w:rsidR="00606C90">
        <w:rPr>
          <w:rFonts w:ascii="Times New Roman" w:eastAsia="Times New Roman" w:hAnsi="Times New Roman" w:cs="Times New Roman"/>
          <w:sz w:val="24"/>
          <w:szCs w:val="24"/>
        </w:rPr>
        <w:t xml:space="preserve"> (renewal term rates</w:t>
      </w:r>
      <w:r w:rsidRPr="00A50D31" w:rsidR="00923D43">
        <w:rPr>
          <w:rFonts w:ascii="Times New Roman" w:eastAsia="Times New Roman" w:hAnsi="Times New Roman" w:cs="Times New Roman"/>
          <w:sz w:val="24"/>
          <w:szCs w:val="24"/>
        </w:rPr>
        <w:t>, etc.</w:t>
      </w:r>
      <w:r w:rsidRPr="00A50D31" w:rsidR="00606C90">
        <w:rPr>
          <w:rFonts w:ascii="Times New Roman" w:eastAsia="Times New Roman" w:hAnsi="Times New Roman" w:cs="Times New Roman"/>
          <w:sz w:val="24"/>
          <w:szCs w:val="24"/>
        </w:rPr>
        <w:t>)</w:t>
      </w:r>
      <w:r w:rsidRPr="00A50D31" w:rsidR="000F3E7C">
        <w:rPr>
          <w:rFonts w:ascii="Times New Roman" w:eastAsia="Times New Roman" w:hAnsi="Times New Roman" w:cs="Times New Roman"/>
          <w:sz w:val="24"/>
          <w:szCs w:val="24"/>
        </w:rPr>
        <w:t>, to the price of the sandwich</w:t>
      </w:r>
      <w:r w:rsidRPr="00A50D31" w:rsidR="00606C90">
        <w:rPr>
          <w:rFonts w:ascii="Times New Roman" w:eastAsia="Times New Roman" w:hAnsi="Times New Roman" w:cs="Times New Roman"/>
          <w:sz w:val="24"/>
          <w:szCs w:val="24"/>
        </w:rPr>
        <w:t xml:space="preserve"> (gas commodity)</w:t>
      </w:r>
      <w:r w:rsidRPr="00A50D31" w:rsidR="000F3E7C">
        <w:rPr>
          <w:rFonts w:ascii="Times New Roman" w:eastAsia="Times New Roman" w:hAnsi="Times New Roman" w:cs="Times New Roman"/>
          <w:sz w:val="24"/>
          <w:szCs w:val="24"/>
        </w:rPr>
        <w:t xml:space="preserve">. </w:t>
      </w:r>
    </w:p>
    <w:p w:rsidR="00C82BAB" w:rsidP="00976E9D" w14:paraId="63A95509" w14:textId="7777777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Regardless as to w</w:t>
      </w:r>
      <w:r w:rsidRPr="00A50D31" w:rsidR="000F3E7C">
        <w:rPr>
          <w:rFonts w:ascii="Times New Roman" w:eastAsia="Times New Roman" w:hAnsi="Times New Roman" w:cs="Times New Roman"/>
          <w:sz w:val="24"/>
          <w:szCs w:val="24"/>
        </w:rPr>
        <w:t xml:space="preserve">hether you add the fries and drink, the sandwich is the sandwich and has a particular </w:t>
      </w:r>
      <w:r w:rsidRPr="00A50D31" w:rsidR="00CE6262">
        <w:rPr>
          <w:rFonts w:ascii="Times New Roman" w:eastAsia="Times New Roman" w:hAnsi="Times New Roman" w:cs="Times New Roman"/>
          <w:sz w:val="24"/>
          <w:szCs w:val="24"/>
        </w:rPr>
        <w:t xml:space="preserve">fixed </w:t>
      </w:r>
      <w:r w:rsidRPr="00A50D31" w:rsidR="000F3E7C">
        <w:rPr>
          <w:rFonts w:ascii="Times New Roman" w:eastAsia="Times New Roman" w:hAnsi="Times New Roman" w:cs="Times New Roman"/>
          <w:sz w:val="24"/>
          <w:szCs w:val="24"/>
        </w:rPr>
        <w:t xml:space="preserve">cost. </w:t>
      </w:r>
      <w:r w:rsidRPr="00A50D31" w:rsidR="00CE6262">
        <w:rPr>
          <w:rFonts w:ascii="Times New Roman" w:eastAsia="Times New Roman" w:hAnsi="Times New Roman" w:cs="Times New Roman"/>
          <w:sz w:val="24"/>
          <w:szCs w:val="24"/>
        </w:rPr>
        <w:t xml:space="preserve">You have no way of knowing what price is charged for the drink and fries once it is bundled together; there is </w:t>
      </w:r>
      <w:r w:rsidRPr="00A50D31" w:rsidR="00B021C6">
        <w:rPr>
          <w:rFonts w:ascii="Times New Roman" w:eastAsia="Times New Roman" w:hAnsi="Times New Roman" w:cs="Times New Roman"/>
          <w:sz w:val="24"/>
          <w:szCs w:val="24"/>
        </w:rPr>
        <w:t xml:space="preserve">typically </w:t>
      </w:r>
      <w:r w:rsidRPr="00A50D31" w:rsidR="00CE6262">
        <w:rPr>
          <w:rFonts w:ascii="Times New Roman" w:eastAsia="Times New Roman" w:hAnsi="Times New Roman" w:cs="Times New Roman"/>
          <w:sz w:val="24"/>
          <w:szCs w:val="24"/>
        </w:rPr>
        <w:t xml:space="preserve">no breakdown of the charges. </w:t>
      </w:r>
      <w:r w:rsidRPr="00A50D31" w:rsidR="000F3E7C">
        <w:rPr>
          <w:rFonts w:ascii="Times New Roman" w:eastAsia="Times New Roman" w:hAnsi="Times New Roman" w:cs="Times New Roman"/>
          <w:sz w:val="24"/>
          <w:szCs w:val="24"/>
        </w:rPr>
        <w:t xml:space="preserve">So, to make a true sandwich </w:t>
      </w:r>
      <w:r w:rsidRPr="00A50D31" w:rsidR="00CE6262">
        <w:rPr>
          <w:rFonts w:ascii="Times New Roman" w:eastAsia="Times New Roman" w:hAnsi="Times New Roman" w:cs="Times New Roman"/>
          <w:sz w:val="24"/>
          <w:szCs w:val="24"/>
        </w:rPr>
        <w:t xml:space="preserve">to sandwich </w:t>
      </w:r>
      <w:r w:rsidRPr="00A50D31" w:rsidR="000F3E7C">
        <w:rPr>
          <w:rFonts w:ascii="Times New Roman" w:eastAsia="Times New Roman" w:hAnsi="Times New Roman" w:cs="Times New Roman"/>
          <w:sz w:val="24"/>
          <w:szCs w:val="24"/>
        </w:rPr>
        <w:t xml:space="preserve">comparison, you would need to compare the price of the sandwich from one </w:t>
      </w:r>
      <w:r w:rsidRPr="00A50D31" w:rsidR="00923D43">
        <w:rPr>
          <w:rFonts w:ascii="Times New Roman" w:eastAsia="Times New Roman" w:hAnsi="Times New Roman" w:cs="Times New Roman"/>
          <w:sz w:val="24"/>
          <w:szCs w:val="24"/>
        </w:rPr>
        <w:t>supplier</w:t>
      </w:r>
      <w:r w:rsidRPr="00A50D31" w:rsidR="000F3E7C">
        <w:rPr>
          <w:rFonts w:ascii="Times New Roman" w:eastAsia="Times New Roman" w:hAnsi="Times New Roman" w:cs="Times New Roman"/>
          <w:sz w:val="24"/>
          <w:szCs w:val="24"/>
        </w:rPr>
        <w:t xml:space="preserve"> to another, and not the </w:t>
      </w:r>
      <w:r w:rsidRPr="00A50D31" w:rsidR="00923D43">
        <w:rPr>
          <w:rFonts w:ascii="Times New Roman" w:eastAsia="Times New Roman" w:hAnsi="Times New Roman" w:cs="Times New Roman"/>
          <w:sz w:val="24"/>
          <w:szCs w:val="24"/>
        </w:rPr>
        <w:t xml:space="preserve">illusory added “value” of </w:t>
      </w:r>
      <w:r>
        <w:rPr>
          <w:rFonts w:ascii="Times New Roman" w:eastAsia="Times New Roman" w:hAnsi="Times New Roman" w:cs="Times New Roman"/>
          <w:sz w:val="24"/>
          <w:szCs w:val="24"/>
        </w:rPr>
        <w:t>other extras bundled wit</w:t>
      </w:r>
      <w:r w:rsidR="00D5484D">
        <w:rPr>
          <w:rFonts w:ascii="Times New Roman" w:eastAsia="Times New Roman" w:hAnsi="Times New Roman" w:cs="Times New Roman"/>
          <w:sz w:val="24"/>
          <w:szCs w:val="24"/>
        </w:rPr>
        <w:t>h the sandwich</w:t>
      </w:r>
      <w:r w:rsidRPr="00A50D31" w:rsidR="000F3E7C">
        <w:rPr>
          <w:rFonts w:ascii="Times New Roman" w:eastAsia="Times New Roman" w:hAnsi="Times New Roman" w:cs="Times New Roman"/>
          <w:sz w:val="24"/>
          <w:szCs w:val="24"/>
        </w:rPr>
        <w:t xml:space="preserve">. </w:t>
      </w:r>
    </w:p>
    <w:p w:rsidR="00976E9D" w:rsidRPr="00A50D31" w:rsidP="00976E9D" w14:paraId="4C1ACC5D" w14:textId="4760B26A">
      <w:pPr>
        <w:spacing w:after="0" w:line="480" w:lineRule="auto"/>
        <w:ind w:firstLine="720"/>
        <w:rPr>
          <w:rFonts w:ascii="Times New Roman" w:eastAsia="Times New Roman" w:hAnsi="Times New Roman" w:cs="Times New Roman"/>
          <w:sz w:val="24"/>
          <w:szCs w:val="24"/>
        </w:rPr>
      </w:pPr>
      <w:r w:rsidRPr="00A50D31">
        <w:rPr>
          <w:rFonts w:ascii="Times New Roman" w:eastAsia="Times New Roman" w:hAnsi="Times New Roman" w:cs="Times New Roman"/>
          <w:sz w:val="24"/>
          <w:szCs w:val="24"/>
        </w:rPr>
        <w:t>The same must be done for the charge for natural gas commodity.</w:t>
      </w:r>
      <w:r w:rsidRPr="00A50D31" w:rsidR="00B021C6">
        <w:rPr>
          <w:rFonts w:ascii="Times New Roman" w:eastAsia="Times New Roman" w:hAnsi="Times New Roman" w:cs="Times New Roman"/>
          <w:sz w:val="24"/>
          <w:szCs w:val="24"/>
        </w:rPr>
        <w:t xml:space="preserve"> </w:t>
      </w:r>
      <w:r w:rsidRPr="00A50D31" w:rsidR="00C27DD5">
        <w:rPr>
          <w:rFonts w:ascii="Times New Roman" w:eastAsia="Times New Roman" w:hAnsi="Times New Roman" w:cs="Times New Roman"/>
          <w:sz w:val="24"/>
          <w:szCs w:val="24"/>
        </w:rPr>
        <w:t xml:space="preserve">The PUCO should disregard this attempt by the Marketers and Gas </w:t>
      </w:r>
      <w:r w:rsidR="00C31901">
        <w:rPr>
          <w:rFonts w:ascii="Times New Roman" w:eastAsia="Times New Roman" w:hAnsi="Times New Roman" w:cs="Times New Roman"/>
          <w:sz w:val="24"/>
          <w:szCs w:val="24"/>
        </w:rPr>
        <w:t>Utilities</w:t>
      </w:r>
      <w:r w:rsidRPr="00A50D31" w:rsidR="00C27DD5">
        <w:rPr>
          <w:rFonts w:ascii="Times New Roman" w:eastAsia="Times New Roman" w:hAnsi="Times New Roman" w:cs="Times New Roman"/>
          <w:sz w:val="24"/>
          <w:szCs w:val="24"/>
        </w:rPr>
        <w:t xml:space="preserve"> to avoid </w:t>
      </w:r>
      <w:r w:rsidR="00D5484D">
        <w:rPr>
          <w:rFonts w:ascii="Times New Roman" w:eastAsia="Times New Roman" w:hAnsi="Times New Roman" w:cs="Times New Roman"/>
          <w:sz w:val="24"/>
          <w:szCs w:val="24"/>
        </w:rPr>
        <w:t xml:space="preserve">pricing transparency </w:t>
      </w:r>
      <w:r w:rsidRPr="00A50D31" w:rsidR="00B021C6">
        <w:rPr>
          <w:rFonts w:ascii="Times New Roman" w:eastAsia="Times New Roman" w:hAnsi="Times New Roman" w:cs="Times New Roman"/>
          <w:sz w:val="24"/>
          <w:szCs w:val="24"/>
        </w:rPr>
        <w:t xml:space="preserve">by not </w:t>
      </w:r>
      <w:r w:rsidRPr="00A50D31" w:rsidR="00D435A7">
        <w:rPr>
          <w:rFonts w:ascii="Times New Roman" w:eastAsia="Times New Roman" w:hAnsi="Times New Roman" w:cs="Times New Roman"/>
          <w:sz w:val="24"/>
          <w:szCs w:val="24"/>
        </w:rPr>
        <w:t>disclosing</w:t>
      </w:r>
      <w:r w:rsidRPr="00A50D31" w:rsidR="00B021C6">
        <w:rPr>
          <w:rFonts w:ascii="Times New Roman" w:eastAsia="Times New Roman" w:hAnsi="Times New Roman" w:cs="Times New Roman"/>
          <w:sz w:val="24"/>
          <w:szCs w:val="24"/>
        </w:rPr>
        <w:t xml:space="preserve"> a price to compare on natural gas bills</w:t>
      </w:r>
      <w:r w:rsidRPr="00A50D31" w:rsidR="00C27DD5">
        <w:rPr>
          <w:rFonts w:ascii="Times New Roman" w:eastAsia="Times New Roman" w:hAnsi="Times New Roman" w:cs="Times New Roman"/>
          <w:sz w:val="24"/>
          <w:szCs w:val="24"/>
        </w:rPr>
        <w:t xml:space="preserve">. </w:t>
      </w:r>
      <w:r w:rsidRPr="00A50D31" w:rsidR="00B021C6">
        <w:rPr>
          <w:rFonts w:ascii="Times New Roman" w:eastAsia="Times New Roman" w:hAnsi="Times New Roman" w:cs="Times New Roman"/>
          <w:sz w:val="24"/>
          <w:szCs w:val="24"/>
        </w:rPr>
        <w:t>Gas customers should receive the same information and protection as electric customers</w:t>
      </w:r>
      <w:r w:rsidR="00D5484D">
        <w:rPr>
          <w:rFonts w:ascii="Times New Roman" w:eastAsia="Times New Roman" w:hAnsi="Times New Roman" w:cs="Times New Roman"/>
          <w:sz w:val="24"/>
          <w:szCs w:val="24"/>
        </w:rPr>
        <w:t xml:space="preserve"> receive under the PUCO rules.</w:t>
      </w:r>
      <w:r w:rsidRPr="00A50D31" w:rsidR="00B021C6">
        <w:rPr>
          <w:rFonts w:ascii="Times New Roman" w:eastAsia="Times New Roman" w:hAnsi="Times New Roman" w:cs="Times New Roman"/>
          <w:sz w:val="24"/>
          <w:szCs w:val="24"/>
        </w:rPr>
        <w:t xml:space="preserve"> </w:t>
      </w:r>
    </w:p>
    <w:p w:rsidR="0072714C" w:rsidRPr="00A50D31" w:rsidP="00A93C91" w14:paraId="5A7D42FF" w14:textId="6EDAAE8B">
      <w:pPr>
        <w:pStyle w:val="Heading3"/>
      </w:pPr>
      <w:bookmarkStart w:id="9" w:name="_Toc31380625"/>
      <w:r w:rsidRPr="00A50D31">
        <w:t xml:space="preserve">OCC’s </w:t>
      </w:r>
      <w:r w:rsidR="00890099">
        <w:t>r</w:t>
      </w:r>
      <w:r w:rsidRPr="00A50D31">
        <w:t xml:space="preserve">ecommended </w:t>
      </w:r>
      <w:r w:rsidR="00890099">
        <w:t>r</w:t>
      </w:r>
      <w:r w:rsidRPr="00A50D31">
        <w:t xml:space="preserve">evision to Staff’s </w:t>
      </w:r>
      <w:r w:rsidR="00890099">
        <w:t>p</w:t>
      </w:r>
      <w:r w:rsidRPr="00A50D31">
        <w:t xml:space="preserve">roposed </w:t>
      </w:r>
      <w:r w:rsidR="00890099">
        <w:t>r</w:t>
      </w:r>
      <w:r w:rsidRPr="00A50D31">
        <w:t xml:space="preserve">ule does not </w:t>
      </w:r>
      <w:r w:rsidR="00890099">
        <w:t>v</w:t>
      </w:r>
      <w:r w:rsidRPr="00A50D31">
        <w:t xml:space="preserve">iolate </w:t>
      </w:r>
      <w:r w:rsidR="00890099">
        <w:t>s</w:t>
      </w:r>
      <w:r w:rsidRPr="00A50D31">
        <w:t xml:space="preserve">tate </w:t>
      </w:r>
      <w:r w:rsidR="00890099">
        <w:t>p</w:t>
      </w:r>
      <w:r w:rsidRPr="00A50D31">
        <w:t>olicy</w:t>
      </w:r>
      <w:r w:rsidR="00A910B4">
        <w:t xml:space="preserve"> and would protect consumers</w:t>
      </w:r>
      <w:r w:rsidRPr="00A50D31">
        <w:t>.</w:t>
      </w:r>
      <w:bookmarkEnd w:id="9"/>
    </w:p>
    <w:p w:rsidR="00D5541C" w:rsidRPr="00A50D31" w:rsidP="00C27DD5" w14:paraId="391FCE22" w14:textId="244BA3DA">
      <w:pPr>
        <w:spacing w:after="0" w:line="480" w:lineRule="auto"/>
        <w:ind w:firstLine="720"/>
        <w:rPr>
          <w:rFonts w:ascii="Times New Roman" w:eastAsia="Times New Roman" w:hAnsi="Times New Roman" w:cs="Times New Roman"/>
          <w:sz w:val="24"/>
          <w:szCs w:val="24"/>
        </w:rPr>
      </w:pPr>
      <w:r w:rsidRPr="00A50D31">
        <w:rPr>
          <w:rFonts w:ascii="Times New Roman" w:eastAsia="Times New Roman" w:hAnsi="Times New Roman" w:cs="Times New Roman"/>
          <w:sz w:val="24"/>
          <w:szCs w:val="24"/>
        </w:rPr>
        <w:t xml:space="preserve">It is the policy of the state of </w:t>
      </w:r>
      <w:r w:rsidRPr="00A50D31" w:rsidR="00C27DD5">
        <w:rPr>
          <w:rFonts w:ascii="Times New Roman" w:eastAsia="Times New Roman" w:hAnsi="Times New Roman" w:cs="Times New Roman"/>
          <w:sz w:val="24"/>
          <w:szCs w:val="24"/>
        </w:rPr>
        <w:t>Ohio</w:t>
      </w:r>
      <w:r w:rsidRPr="00A50D31">
        <w:rPr>
          <w:rFonts w:ascii="Times New Roman" w:eastAsia="Times New Roman" w:hAnsi="Times New Roman" w:cs="Times New Roman"/>
          <w:sz w:val="24"/>
          <w:szCs w:val="24"/>
        </w:rPr>
        <w:t xml:space="preserve"> to promote the availability of adequate, reliable, and reasonably priced natural gas services and goods.</w:t>
      </w:r>
      <w:r>
        <w:rPr>
          <w:rStyle w:val="FootnoteReference"/>
          <w:rFonts w:ascii="Times New Roman" w:eastAsia="Times New Roman" w:hAnsi="Times New Roman" w:cs="Times New Roman"/>
          <w:sz w:val="24"/>
          <w:szCs w:val="24"/>
        </w:rPr>
        <w:footnoteReference w:id="19"/>
      </w:r>
      <w:r w:rsidRPr="00A50D31">
        <w:rPr>
          <w:rFonts w:ascii="Times New Roman" w:eastAsia="Times New Roman" w:hAnsi="Times New Roman" w:cs="Times New Roman"/>
          <w:sz w:val="24"/>
          <w:szCs w:val="24"/>
        </w:rPr>
        <w:t xml:space="preserve"> It is also the policy of the state to promote the diversity of natural gas supplies and suppliers, and to recognize the continuing emergence of </w:t>
      </w:r>
      <w:r w:rsidR="00562424">
        <w:rPr>
          <w:rFonts w:ascii="Times New Roman" w:eastAsia="Times New Roman" w:hAnsi="Times New Roman" w:cs="Times New Roman"/>
          <w:sz w:val="24"/>
          <w:szCs w:val="24"/>
        </w:rPr>
        <w:t>m</w:t>
      </w:r>
      <w:r w:rsidRPr="00A50D31">
        <w:rPr>
          <w:rFonts w:ascii="Times New Roman" w:eastAsia="Times New Roman" w:hAnsi="Times New Roman" w:cs="Times New Roman"/>
          <w:sz w:val="24"/>
          <w:szCs w:val="24"/>
        </w:rPr>
        <w:t>arketers though flexible regulatory treatment.</w:t>
      </w:r>
      <w:r>
        <w:rPr>
          <w:rStyle w:val="FootnoteReference"/>
          <w:rFonts w:ascii="Times New Roman" w:eastAsia="Times New Roman" w:hAnsi="Times New Roman" w:cs="Times New Roman"/>
          <w:sz w:val="24"/>
          <w:szCs w:val="24"/>
        </w:rPr>
        <w:footnoteReference w:id="20"/>
      </w:r>
      <w:r w:rsidRPr="00A50D31" w:rsidR="00857E72">
        <w:rPr>
          <w:rFonts w:ascii="Times New Roman" w:eastAsia="Times New Roman" w:hAnsi="Times New Roman" w:cs="Times New Roman"/>
          <w:sz w:val="24"/>
          <w:szCs w:val="24"/>
        </w:rPr>
        <w:t xml:space="preserve"> </w:t>
      </w:r>
    </w:p>
    <w:p w:rsidR="00B647E5" w:rsidRPr="00A50D31" w:rsidP="00C27DD5" w14:paraId="35873DC5" w14:textId="3834DF29">
      <w:pPr>
        <w:spacing w:after="0" w:line="480" w:lineRule="auto"/>
        <w:ind w:firstLine="720"/>
        <w:rPr>
          <w:rFonts w:ascii="Times New Roman" w:eastAsia="Times New Roman" w:hAnsi="Times New Roman" w:cs="Times New Roman"/>
          <w:sz w:val="24"/>
          <w:szCs w:val="24"/>
        </w:rPr>
      </w:pPr>
      <w:r w:rsidRPr="00A50D31">
        <w:rPr>
          <w:rFonts w:ascii="Times New Roman" w:eastAsia="Times New Roman" w:hAnsi="Times New Roman" w:cs="Times New Roman"/>
          <w:sz w:val="24"/>
          <w:szCs w:val="24"/>
        </w:rPr>
        <w:t>The Marketers provided the correct wording of the State policy but misapply</w:t>
      </w:r>
      <w:r w:rsidR="003C0F81">
        <w:rPr>
          <w:rFonts w:ascii="Times New Roman" w:eastAsia="Times New Roman" w:hAnsi="Times New Roman" w:cs="Times New Roman"/>
          <w:sz w:val="24"/>
          <w:szCs w:val="24"/>
        </w:rPr>
        <w:t xml:space="preserve"> it</w:t>
      </w:r>
      <w:r w:rsidR="0065030D">
        <w:rPr>
          <w:rFonts w:ascii="Times New Roman" w:eastAsia="Times New Roman" w:hAnsi="Times New Roman" w:cs="Times New Roman"/>
          <w:sz w:val="24"/>
          <w:szCs w:val="24"/>
        </w:rPr>
        <w:t>.</w:t>
      </w:r>
      <w:r w:rsidRPr="00A50D31">
        <w:rPr>
          <w:rFonts w:ascii="Times New Roman" w:eastAsia="Times New Roman" w:hAnsi="Times New Roman" w:cs="Times New Roman"/>
          <w:sz w:val="24"/>
          <w:szCs w:val="24"/>
        </w:rPr>
        <w:t xml:space="preserve"> The Marketers claim that </w:t>
      </w:r>
      <w:r w:rsidR="00A910B4">
        <w:rPr>
          <w:rFonts w:ascii="Times New Roman" w:eastAsia="Times New Roman" w:hAnsi="Times New Roman" w:cs="Times New Roman"/>
          <w:sz w:val="24"/>
          <w:szCs w:val="24"/>
        </w:rPr>
        <w:t xml:space="preserve">adding the Staff’s price to compare language to natural gas bills </w:t>
      </w:r>
      <w:r w:rsidR="0065030D">
        <w:rPr>
          <w:rFonts w:ascii="Times New Roman" w:eastAsia="Times New Roman" w:hAnsi="Times New Roman" w:cs="Times New Roman"/>
          <w:sz w:val="24"/>
          <w:szCs w:val="24"/>
        </w:rPr>
        <w:t xml:space="preserve">is a </w:t>
      </w:r>
      <w:r w:rsidR="00A910B4">
        <w:rPr>
          <w:rFonts w:ascii="Times New Roman" w:eastAsia="Times New Roman" w:hAnsi="Times New Roman" w:cs="Times New Roman"/>
          <w:sz w:val="24"/>
          <w:szCs w:val="24"/>
        </w:rPr>
        <w:t>PUCO “endorsement” of the default rates over marketer rates.</w:t>
      </w:r>
      <w:r>
        <w:rPr>
          <w:rStyle w:val="FootnoteReference"/>
          <w:rFonts w:ascii="Times New Roman" w:eastAsia="Times New Roman" w:hAnsi="Times New Roman" w:cs="Times New Roman"/>
          <w:sz w:val="24"/>
          <w:szCs w:val="24"/>
        </w:rPr>
        <w:footnoteReference w:id="21"/>
      </w:r>
      <w:r w:rsidR="00A910B4">
        <w:rPr>
          <w:rFonts w:ascii="Times New Roman" w:eastAsia="Times New Roman" w:hAnsi="Times New Roman" w:cs="Times New Roman"/>
          <w:sz w:val="24"/>
          <w:szCs w:val="24"/>
        </w:rPr>
        <w:t xml:space="preserve"> The Marketers assert that this alleged endorsement does not promote diversity of natural gas supplies and suppliers or recognize the continuing emergence of the competitive market through flexible regulatory treatment.</w:t>
      </w:r>
      <w:r>
        <w:rPr>
          <w:rStyle w:val="FootnoteReference"/>
          <w:rFonts w:ascii="Times New Roman" w:eastAsia="Times New Roman" w:hAnsi="Times New Roman" w:cs="Times New Roman"/>
          <w:sz w:val="24"/>
          <w:szCs w:val="24"/>
        </w:rPr>
        <w:footnoteReference w:id="22"/>
      </w:r>
      <w:r w:rsidRPr="00A50D31" w:rsidR="00D5541C">
        <w:rPr>
          <w:rFonts w:ascii="Times New Roman" w:eastAsia="Times New Roman" w:hAnsi="Times New Roman" w:cs="Times New Roman"/>
          <w:sz w:val="24"/>
          <w:szCs w:val="24"/>
        </w:rPr>
        <w:t xml:space="preserve"> </w:t>
      </w:r>
    </w:p>
    <w:p w:rsidR="00857E72" w:rsidRPr="00A50D31" w:rsidP="00C27DD5" w14:paraId="232DCD4E" w14:textId="08EB054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the Marketers are mistaken. </w:t>
      </w:r>
      <w:r w:rsidR="00AC2B3C">
        <w:rPr>
          <w:rFonts w:ascii="Times New Roman" w:eastAsia="Times New Roman" w:hAnsi="Times New Roman" w:cs="Times New Roman"/>
          <w:sz w:val="24"/>
          <w:szCs w:val="24"/>
        </w:rPr>
        <w:t xml:space="preserve">The </w:t>
      </w:r>
      <w:r w:rsidRPr="00A50D31" w:rsidR="00AC2B3C">
        <w:rPr>
          <w:rFonts w:ascii="Times New Roman" w:eastAsia="Times New Roman" w:hAnsi="Times New Roman" w:cs="Times New Roman"/>
          <w:sz w:val="24"/>
          <w:szCs w:val="24"/>
        </w:rPr>
        <w:t>Staff’s</w:t>
      </w:r>
      <w:r w:rsidRPr="00A50D31" w:rsidR="006B1921">
        <w:rPr>
          <w:rFonts w:ascii="Times New Roman" w:eastAsia="Times New Roman" w:hAnsi="Times New Roman" w:cs="Times New Roman"/>
          <w:sz w:val="24"/>
          <w:szCs w:val="24"/>
        </w:rPr>
        <w:t xml:space="preserve"> proposed price to compare rule does</w:t>
      </w:r>
      <w:r>
        <w:rPr>
          <w:rFonts w:ascii="Times New Roman" w:eastAsia="Times New Roman" w:hAnsi="Times New Roman" w:cs="Times New Roman"/>
          <w:sz w:val="24"/>
          <w:szCs w:val="24"/>
        </w:rPr>
        <w:t xml:space="preserve"> not violate state policy</w:t>
      </w:r>
      <w:r w:rsidRPr="00A50D31" w:rsidR="006B19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Instead it </w:t>
      </w:r>
      <w:r w:rsidRPr="00A50D31" w:rsidR="006B1921">
        <w:rPr>
          <w:rFonts w:ascii="Times New Roman" w:eastAsia="Times New Roman" w:hAnsi="Times New Roman" w:cs="Times New Roman"/>
          <w:sz w:val="24"/>
          <w:szCs w:val="24"/>
        </w:rPr>
        <w:t>extend</w:t>
      </w:r>
      <w:r>
        <w:rPr>
          <w:rFonts w:ascii="Times New Roman" w:eastAsia="Times New Roman" w:hAnsi="Times New Roman" w:cs="Times New Roman"/>
          <w:sz w:val="24"/>
          <w:szCs w:val="24"/>
        </w:rPr>
        <w:t>s</w:t>
      </w:r>
      <w:r w:rsidRPr="00A50D31" w:rsidR="006B1921">
        <w:rPr>
          <w:rFonts w:ascii="Times New Roman" w:eastAsia="Times New Roman" w:hAnsi="Times New Roman" w:cs="Times New Roman"/>
          <w:sz w:val="24"/>
          <w:szCs w:val="24"/>
        </w:rPr>
        <w:t xml:space="preserve"> the same protection to natural gas customers as electric customers </w:t>
      </w:r>
      <w:r w:rsidRPr="00A50D31" w:rsidR="00D435A7">
        <w:rPr>
          <w:rFonts w:ascii="Times New Roman" w:eastAsia="Times New Roman" w:hAnsi="Times New Roman" w:cs="Times New Roman"/>
          <w:sz w:val="24"/>
          <w:szCs w:val="24"/>
        </w:rPr>
        <w:t>have received for almost twenty years</w:t>
      </w:r>
      <w:r w:rsidR="00AC2B3C">
        <w:rPr>
          <w:rFonts w:ascii="Times New Roman" w:eastAsia="Times New Roman" w:hAnsi="Times New Roman" w:cs="Times New Roman"/>
          <w:sz w:val="24"/>
          <w:szCs w:val="24"/>
        </w:rPr>
        <w:t>—</w:t>
      </w:r>
      <w:r w:rsidR="00F40F67">
        <w:rPr>
          <w:rFonts w:ascii="Times New Roman" w:eastAsia="Times New Roman" w:hAnsi="Times New Roman" w:cs="Times New Roman"/>
          <w:sz w:val="24"/>
          <w:szCs w:val="24"/>
        </w:rPr>
        <w:t>t</w:t>
      </w:r>
      <w:r w:rsidRPr="00A50D31">
        <w:rPr>
          <w:rFonts w:ascii="Times New Roman" w:eastAsia="Times New Roman" w:hAnsi="Times New Roman" w:cs="Times New Roman"/>
          <w:sz w:val="24"/>
          <w:szCs w:val="24"/>
        </w:rPr>
        <w:t xml:space="preserve">he protection that the first line of the </w:t>
      </w:r>
      <w:r>
        <w:rPr>
          <w:rFonts w:ascii="Times New Roman" w:eastAsia="Times New Roman" w:hAnsi="Times New Roman" w:cs="Times New Roman"/>
          <w:sz w:val="24"/>
          <w:szCs w:val="24"/>
        </w:rPr>
        <w:t>s</w:t>
      </w:r>
      <w:r w:rsidRPr="00A50D31">
        <w:rPr>
          <w:rFonts w:ascii="Times New Roman" w:eastAsia="Times New Roman" w:hAnsi="Times New Roman" w:cs="Times New Roman"/>
          <w:sz w:val="24"/>
          <w:szCs w:val="24"/>
        </w:rPr>
        <w:t xml:space="preserve">tate policy </w:t>
      </w:r>
      <w:r>
        <w:rPr>
          <w:rFonts w:ascii="Times New Roman" w:eastAsia="Times New Roman" w:hAnsi="Times New Roman" w:cs="Times New Roman"/>
          <w:sz w:val="24"/>
          <w:szCs w:val="24"/>
        </w:rPr>
        <w:t>endorses.</w:t>
      </w:r>
      <w:r>
        <w:rPr>
          <w:rStyle w:val="FootnoteReference"/>
          <w:rFonts w:ascii="Times New Roman" w:eastAsia="Times New Roman" w:hAnsi="Times New Roman" w:cs="Times New Roman"/>
          <w:sz w:val="24"/>
          <w:szCs w:val="24"/>
        </w:rPr>
        <w:footnoteReference w:id="23"/>
      </w:r>
      <w:r w:rsidRPr="00A50D31">
        <w:rPr>
          <w:rFonts w:ascii="Times New Roman" w:eastAsia="Times New Roman" w:hAnsi="Times New Roman" w:cs="Times New Roman"/>
          <w:sz w:val="24"/>
          <w:szCs w:val="24"/>
        </w:rPr>
        <w:t xml:space="preserve"> It is telling that t</w:t>
      </w:r>
      <w:r w:rsidRPr="00A50D31" w:rsidR="006B1921">
        <w:rPr>
          <w:rFonts w:ascii="Times New Roman" w:eastAsia="Times New Roman" w:hAnsi="Times New Roman" w:cs="Times New Roman"/>
          <w:sz w:val="24"/>
          <w:szCs w:val="24"/>
        </w:rPr>
        <w:t>he Marketers are not advocating that the nearly identical electric provision violates state policy. They cannot</w:t>
      </w:r>
      <w:r w:rsidRPr="00A50D31">
        <w:rPr>
          <w:rFonts w:ascii="Times New Roman" w:eastAsia="Times New Roman" w:hAnsi="Times New Roman" w:cs="Times New Roman"/>
          <w:sz w:val="24"/>
          <w:szCs w:val="24"/>
        </w:rPr>
        <w:t>.</w:t>
      </w:r>
      <w:r w:rsidRPr="00A50D31" w:rsidR="006B1921">
        <w:rPr>
          <w:rFonts w:ascii="Times New Roman" w:eastAsia="Times New Roman" w:hAnsi="Times New Roman" w:cs="Times New Roman"/>
          <w:sz w:val="24"/>
          <w:szCs w:val="24"/>
        </w:rPr>
        <w:t xml:space="preserve"> </w:t>
      </w:r>
      <w:r w:rsidRPr="00A50D31">
        <w:rPr>
          <w:rFonts w:ascii="Times New Roman" w:eastAsia="Times New Roman" w:hAnsi="Times New Roman" w:cs="Times New Roman"/>
          <w:sz w:val="24"/>
          <w:szCs w:val="24"/>
        </w:rPr>
        <w:t>B</w:t>
      </w:r>
      <w:r w:rsidRPr="00A50D31" w:rsidR="006B1921">
        <w:rPr>
          <w:rFonts w:ascii="Times New Roman" w:eastAsia="Times New Roman" w:hAnsi="Times New Roman" w:cs="Times New Roman"/>
          <w:sz w:val="24"/>
          <w:szCs w:val="24"/>
        </w:rPr>
        <w:t>ecause there is no violation</w:t>
      </w:r>
      <w:r w:rsidRPr="00A50D31" w:rsidR="00B647E5">
        <w:rPr>
          <w:rFonts w:ascii="Times New Roman" w:eastAsia="Times New Roman" w:hAnsi="Times New Roman" w:cs="Times New Roman"/>
          <w:sz w:val="24"/>
          <w:szCs w:val="24"/>
        </w:rPr>
        <w:t xml:space="preserve"> </w:t>
      </w:r>
      <w:r w:rsidR="004E7776">
        <w:rPr>
          <w:rFonts w:ascii="Times New Roman" w:eastAsia="Times New Roman" w:hAnsi="Times New Roman" w:cs="Times New Roman"/>
          <w:sz w:val="24"/>
          <w:szCs w:val="24"/>
        </w:rPr>
        <w:t xml:space="preserve">on the electric side </w:t>
      </w:r>
      <w:r w:rsidRPr="00A50D31" w:rsidR="00B647E5">
        <w:rPr>
          <w:rFonts w:ascii="Times New Roman" w:eastAsia="Times New Roman" w:hAnsi="Times New Roman" w:cs="Times New Roman"/>
          <w:sz w:val="24"/>
          <w:szCs w:val="24"/>
        </w:rPr>
        <w:t>there, no</w:t>
      </w:r>
      <w:r w:rsidRPr="00A50D31" w:rsidR="002664AC">
        <w:rPr>
          <w:rFonts w:ascii="Times New Roman" w:eastAsia="Times New Roman" w:hAnsi="Times New Roman" w:cs="Times New Roman"/>
          <w:sz w:val="24"/>
          <w:szCs w:val="24"/>
        </w:rPr>
        <w:t>r</w:t>
      </w:r>
      <w:r w:rsidRPr="00A50D31" w:rsidR="00B647E5">
        <w:rPr>
          <w:rFonts w:ascii="Times New Roman" w:eastAsia="Times New Roman" w:hAnsi="Times New Roman" w:cs="Times New Roman"/>
          <w:sz w:val="24"/>
          <w:szCs w:val="24"/>
        </w:rPr>
        <w:t xml:space="preserve"> is there</w:t>
      </w:r>
      <w:r w:rsidR="004E7776">
        <w:rPr>
          <w:rFonts w:ascii="Times New Roman" w:eastAsia="Times New Roman" w:hAnsi="Times New Roman" w:cs="Times New Roman"/>
          <w:sz w:val="24"/>
          <w:szCs w:val="24"/>
        </w:rPr>
        <w:t xml:space="preserve"> a violation</w:t>
      </w:r>
      <w:r w:rsidRPr="00A50D31" w:rsidR="00B647E5">
        <w:rPr>
          <w:rFonts w:ascii="Times New Roman" w:eastAsia="Times New Roman" w:hAnsi="Times New Roman" w:cs="Times New Roman"/>
          <w:sz w:val="24"/>
          <w:szCs w:val="24"/>
        </w:rPr>
        <w:t xml:space="preserve"> here</w:t>
      </w:r>
      <w:r w:rsidRPr="00A50D31" w:rsidR="006B1921">
        <w:rPr>
          <w:rFonts w:ascii="Times New Roman" w:eastAsia="Times New Roman" w:hAnsi="Times New Roman" w:cs="Times New Roman"/>
          <w:sz w:val="24"/>
          <w:szCs w:val="24"/>
        </w:rPr>
        <w:t xml:space="preserve">. </w:t>
      </w:r>
    </w:p>
    <w:p w:rsidR="009403E0" w:rsidP="00185F9E" w14:paraId="2F610854" w14:textId="19128A03">
      <w:pPr>
        <w:spacing w:after="0" w:line="480" w:lineRule="auto"/>
        <w:ind w:firstLine="720"/>
        <w:rPr>
          <w:rFonts w:ascii="Times New Roman" w:eastAsia="Times New Roman" w:hAnsi="Times New Roman" w:cs="Times New Roman"/>
          <w:sz w:val="24"/>
          <w:szCs w:val="24"/>
        </w:rPr>
      </w:pPr>
      <w:r w:rsidRPr="00A50D31">
        <w:rPr>
          <w:rFonts w:ascii="Times New Roman" w:eastAsia="Times New Roman" w:hAnsi="Times New Roman" w:cs="Times New Roman"/>
          <w:sz w:val="24"/>
          <w:szCs w:val="24"/>
        </w:rPr>
        <w:t xml:space="preserve">Although the PUCO must promote diversity of natural gas supply and foster development of the competitive market, it is not required to do so at the expense of </w:t>
      </w:r>
      <w:r w:rsidRPr="00A50D31" w:rsidR="008F70AA">
        <w:rPr>
          <w:rFonts w:ascii="Times New Roman" w:eastAsia="Times New Roman" w:hAnsi="Times New Roman" w:cs="Times New Roman"/>
          <w:sz w:val="24"/>
          <w:szCs w:val="24"/>
        </w:rPr>
        <w:t>consumer</w:t>
      </w:r>
      <w:r w:rsidR="008F70AA">
        <w:rPr>
          <w:rFonts w:ascii="Times New Roman" w:eastAsia="Times New Roman" w:hAnsi="Times New Roman" w:cs="Times New Roman"/>
          <w:sz w:val="24"/>
          <w:szCs w:val="24"/>
        </w:rPr>
        <w:t>s.</w:t>
      </w:r>
      <w:r w:rsidRPr="00A50D31">
        <w:rPr>
          <w:rFonts w:ascii="Times New Roman" w:eastAsia="Times New Roman" w:hAnsi="Times New Roman" w:cs="Times New Roman"/>
          <w:sz w:val="24"/>
          <w:szCs w:val="24"/>
        </w:rPr>
        <w:t xml:space="preserve"> The proposed rule does not endorse the </w:t>
      </w:r>
      <w:r w:rsidRPr="00A50D31" w:rsidR="00857E72">
        <w:rPr>
          <w:rFonts w:ascii="Times New Roman" w:eastAsia="Times New Roman" w:hAnsi="Times New Roman" w:cs="Times New Roman"/>
          <w:sz w:val="24"/>
          <w:szCs w:val="24"/>
        </w:rPr>
        <w:t>default</w:t>
      </w:r>
      <w:r w:rsidRPr="00A50D31">
        <w:rPr>
          <w:rFonts w:ascii="Times New Roman" w:eastAsia="Times New Roman" w:hAnsi="Times New Roman" w:cs="Times New Roman"/>
          <w:sz w:val="24"/>
          <w:szCs w:val="24"/>
        </w:rPr>
        <w:t xml:space="preserve"> service as the “better” service. </w:t>
      </w:r>
      <w:r w:rsidR="0065030D">
        <w:rPr>
          <w:rFonts w:ascii="Times New Roman" w:eastAsia="Times New Roman" w:hAnsi="Times New Roman" w:cs="Times New Roman"/>
          <w:sz w:val="24"/>
          <w:szCs w:val="24"/>
        </w:rPr>
        <w:t>It merely states a fact</w:t>
      </w:r>
      <w:r w:rsidRPr="003C0F81" w:rsidR="003C0F81">
        <w:rPr>
          <w:rFonts w:ascii="Times New Roman" w:eastAsia="Times New Roman" w:hAnsi="Times New Roman" w:cs="Times New Roman"/>
          <w:sz w:val="24"/>
          <w:szCs w:val="24"/>
        </w:rPr>
        <w:t>—</w:t>
      </w:r>
      <w:r w:rsidRPr="00A50D31">
        <w:rPr>
          <w:rFonts w:ascii="Times New Roman" w:eastAsia="Times New Roman" w:hAnsi="Times New Roman" w:cs="Times New Roman"/>
          <w:sz w:val="24"/>
          <w:szCs w:val="24"/>
        </w:rPr>
        <w:t xml:space="preserve">that the PUCO approves the default </w:t>
      </w:r>
      <w:r w:rsidRPr="00A50D31" w:rsidR="00D435A7">
        <w:rPr>
          <w:rFonts w:ascii="Times New Roman" w:eastAsia="Times New Roman" w:hAnsi="Times New Roman" w:cs="Times New Roman"/>
          <w:sz w:val="24"/>
          <w:szCs w:val="24"/>
        </w:rPr>
        <w:t>service</w:t>
      </w:r>
      <w:r w:rsidRPr="00A50D31" w:rsidR="002664AC">
        <w:rPr>
          <w:rFonts w:ascii="Times New Roman" w:eastAsia="Times New Roman" w:hAnsi="Times New Roman" w:cs="Times New Roman"/>
          <w:sz w:val="24"/>
          <w:szCs w:val="24"/>
        </w:rPr>
        <w:t xml:space="preserve"> </w:t>
      </w:r>
      <w:r w:rsidRPr="00A50D31">
        <w:rPr>
          <w:rFonts w:ascii="Times New Roman" w:eastAsia="Times New Roman" w:hAnsi="Times New Roman" w:cs="Times New Roman"/>
          <w:sz w:val="24"/>
          <w:szCs w:val="24"/>
        </w:rPr>
        <w:t xml:space="preserve">rate. </w:t>
      </w:r>
      <w:r w:rsidRPr="00A50D31" w:rsidR="00B647E5">
        <w:rPr>
          <w:rFonts w:ascii="Times New Roman" w:eastAsia="Times New Roman" w:hAnsi="Times New Roman" w:cs="Times New Roman"/>
          <w:sz w:val="24"/>
          <w:szCs w:val="24"/>
        </w:rPr>
        <w:t>The PUCO should disregard the Marketers</w:t>
      </w:r>
      <w:r w:rsidR="00C31901">
        <w:rPr>
          <w:rFonts w:ascii="Times New Roman" w:eastAsia="Times New Roman" w:hAnsi="Times New Roman" w:cs="Times New Roman"/>
          <w:sz w:val="24"/>
          <w:szCs w:val="24"/>
        </w:rPr>
        <w:t>’</w:t>
      </w:r>
      <w:r w:rsidRPr="00A50D31" w:rsidR="00B647E5">
        <w:rPr>
          <w:rFonts w:ascii="Times New Roman" w:eastAsia="Times New Roman" w:hAnsi="Times New Roman" w:cs="Times New Roman"/>
          <w:sz w:val="24"/>
          <w:szCs w:val="24"/>
        </w:rPr>
        <w:t xml:space="preserve"> arguments that including the price to compare on natural gas bills violates Ohio’s policy. It cannot and does not.</w:t>
      </w:r>
    </w:p>
    <w:p w:rsidR="0072714C" w:rsidRPr="00A50D31" w:rsidP="00A93C91" w14:paraId="5C98A02E" w14:textId="28953E32">
      <w:pPr>
        <w:pStyle w:val="Heading3"/>
      </w:pPr>
      <w:bookmarkStart w:id="10" w:name="_Toc31380626"/>
      <w:r>
        <w:t xml:space="preserve">The </w:t>
      </w:r>
      <w:r w:rsidRPr="00A50D31" w:rsidR="0011520B">
        <w:t xml:space="preserve">PUCO Staff’s </w:t>
      </w:r>
      <w:r w:rsidRPr="00A50D31" w:rsidR="003E6616">
        <w:t xml:space="preserve">proposed </w:t>
      </w:r>
      <w:r w:rsidR="00F40F67">
        <w:t>p</w:t>
      </w:r>
      <w:r w:rsidRPr="00A50D31" w:rsidR="003E6616">
        <w:t>rice to compare language is a</w:t>
      </w:r>
      <w:r w:rsidRPr="00A50D31">
        <w:t xml:space="preserve">ccurate, correct, </w:t>
      </w:r>
      <w:r w:rsidRPr="00A50D31" w:rsidR="003E6616">
        <w:t xml:space="preserve">and </w:t>
      </w:r>
      <w:r w:rsidR="004E7776">
        <w:t xml:space="preserve">will </w:t>
      </w:r>
      <w:r w:rsidRPr="00A50D31" w:rsidR="003E6616">
        <w:t>not m</w:t>
      </w:r>
      <w:r w:rsidRPr="00A50D31">
        <w:t>islead</w:t>
      </w:r>
      <w:r w:rsidR="004E7776">
        <w:t xml:space="preserve"> customers.</w:t>
      </w:r>
      <w:bookmarkEnd w:id="10"/>
    </w:p>
    <w:p w:rsidR="00283DB0" w:rsidRPr="00A50D31" w:rsidP="0072714C" w14:paraId="1BD8C430" w14:textId="1F19216E">
      <w:pPr>
        <w:spacing w:after="0" w:line="480" w:lineRule="auto"/>
        <w:ind w:firstLine="720"/>
        <w:rPr>
          <w:rFonts w:ascii="Times New Roman" w:eastAsia="Times New Roman" w:hAnsi="Times New Roman" w:cs="Times New Roman"/>
          <w:sz w:val="24"/>
          <w:szCs w:val="24"/>
        </w:rPr>
      </w:pPr>
      <w:r w:rsidRPr="00A50D31">
        <w:rPr>
          <w:rFonts w:ascii="Times New Roman" w:eastAsia="Times New Roman" w:hAnsi="Times New Roman" w:cs="Times New Roman"/>
          <w:sz w:val="24"/>
          <w:szCs w:val="24"/>
        </w:rPr>
        <w:t>T</w:t>
      </w:r>
      <w:r w:rsidRPr="00A50D31" w:rsidR="00C50327">
        <w:rPr>
          <w:rFonts w:ascii="Times New Roman" w:eastAsia="Times New Roman" w:hAnsi="Times New Roman" w:cs="Times New Roman"/>
          <w:sz w:val="24"/>
          <w:szCs w:val="24"/>
        </w:rPr>
        <w:t>he Marketers</w:t>
      </w:r>
      <w:r w:rsidRPr="00A50D31" w:rsidR="00976E9D">
        <w:rPr>
          <w:rFonts w:ascii="Times New Roman" w:eastAsia="Times New Roman" w:hAnsi="Times New Roman" w:cs="Times New Roman"/>
          <w:sz w:val="24"/>
          <w:szCs w:val="24"/>
        </w:rPr>
        <w:t xml:space="preserve"> and the Gas </w:t>
      </w:r>
      <w:r w:rsidR="00C31901">
        <w:rPr>
          <w:rFonts w:ascii="Times New Roman" w:eastAsia="Times New Roman" w:hAnsi="Times New Roman" w:cs="Times New Roman"/>
          <w:sz w:val="24"/>
          <w:szCs w:val="24"/>
        </w:rPr>
        <w:t>Utilities</w:t>
      </w:r>
      <w:r w:rsidRPr="00A50D31" w:rsidR="00C50327">
        <w:rPr>
          <w:rFonts w:ascii="Times New Roman" w:eastAsia="Times New Roman" w:hAnsi="Times New Roman" w:cs="Times New Roman"/>
          <w:sz w:val="24"/>
          <w:szCs w:val="24"/>
        </w:rPr>
        <w:t xml:space="preserve"> </w:t>
      </w:r>
      <w:r w:rsidRPr="00A50D31" w:rsidR="003715A0">
        <w:rPr>
          <w:rFonts w:ascii="Times New Roman" w:eastAsia="Times New Roman" w:hAnsi="Times New Roman" w:cs="Times New Roman"/>
          <w:sz w:val="24"/>
          <w:szCs w:val="24"/>
        </w:rPr>
        <w:t>assert</w:t>
      </w:r>
      <w:r w:rsidRPr="00A50D31" w:rsidR="00C50327">
        <w:rPr>
          <w:rFonts w:ascii="Times New Roman" w:eastAsia="Times New Roman" w:hAnsi="Times New Roman" w:cs="Times New Roman"/>
          <w:sz w:val="24"/>
          <w:szCs w:val="24"/>
        </w:rPr>
        <w:t xml:space="preserve"> that</w:t>
      </w:r>
      <w:r w:rsidRPr="00A50D31" w:rsidR="003715A0">
        <w:rPr>
          <w:rFonts w:ascii="Times New Roman" w:eastAsia="Times New Roman" w:hAnsi="Times New Roman" w:cs="Times New Roman"/>
          <w:sz w:val="24"/>
          <w:szCs w:val="24"/>
        </w:rPr>
        <w:t xml:space="preserve"> the </w:t>
      </w:r>
      <w:r w:rsidRPr="00A50D31" w:rsidR="006A42EF">
        <w:rPr>
          <w:rFonts w:ascii="Times New Roman" w:eastAsia="Times New Roman" w:hAnsi="Times New Roman" w:cs="Times New Roman"/>
          <w:sz w:val="24"/>
          <w:szCs w:val="24"/>
        </w:rPr>
        <w:t xml:space="preserve">Staff </w:t>
      </w:r>
      <w:r w:rsidRPr="00A50D31" w:rsidR="003715A0">
        <w:rPr>
          <w:rFonts w:ascii="Times New Roman" w:eastAsia="Times New Roman" w:hAnsi="Times New Roman" w:cs="Times New Roman"/>
          <w:sz w:val="24"/>
          <w:szCs w:val="24"/>
        </w:rPr>
        <w:t xml:space="preserve">price to </w:t>
      </w:r>
      <w:r w:rsidRPr="00A50D31" w:rsidR="00976E9D">
        <w:rPr>
          <w:rFonts w:ascii="Times New Roman" w:eastAsia="Times New Roman" w:hAnsi="Times New Roman" w:cs="Times New Roman"/>
          <w:sz w:val="24"/>
          <w:szCs w:val="24"/>
        </w:rPr>
        <w:t>compare language is inaccurate, incorrect</w:t>
      </w:r>
      <w:r w:rsidR="00890099">
        <w:rPr>
          <w:rFonts w:ascii="Times New Roman" w:eastAsia="Times New Roman" w:hAnsi="Times New Roman" w:cs="Times New Roman"/>
          <w:sz w:val="24"/>
          <w:szCs w:val="24"/>
        </w:rPr>
        <w:t>,</w:t>
      </w:r>
      <w:r w:rsidRPr="00A50D31" w:rsidR="00976E9D">
        <w:rPr>
          <w:rFonts w:ascii="Times New Roman" w:eastAsia="Times New Roman" w:hAnsi="Times New Roman" w:cs="Times New Roman"/>
          <w:sz w:val="24"/>
          <w:szCs w:val="24"/>
        </w:rPr>
        <w:t xml:space="preserve"> and misleading,</w:t>
      </w:r>
      <w:r>
        <w:rPr>
          <w:rStyle w:val="FootnoteReference"/>
          <w:rFonts w:ascii="Times New Roman" w:eastAsia="Times New Roman" w:hAnsi="Times New Roman" w:cs="Times New Roman"/>
          <w:sz w:val="24"/>
          <w:szCs w:val="24"/>
        </w:rPr>
        <w:footnoteReference w:id="24"/>
      </w:r>
      <w:r w:rsidRPr="00A50D31" w:rsidR="00976E9D">
        <w:rPr>
          <w:rFonts w:ascii="Times New Roman" w:eastAsia="Times New Roman" w:hAnsi="Times New Roman" w:cs="Times New Roman"/>
          <w:sz w:val="24"/>
          <w:szCs w:val="24"/>
        </w:rPr>
        <w:t xml:space="preserve"> </w:t>
      </w:r>
      <w:r w:rsidRPr="00A50D31" w:rsidR="003715A0">
        <w:rPr>
          <w:rFonts w:ascii="Times New Roman" w:eastAsia="Times New Roman" w:hAnsi="Times New Roman" w:cs="Times New Roman"/>
          <w:sz w:val="24"/>
          <w:szCs w:val="24"/>
        </w:rPr>
        <w:t xml:space="preserve">especially in territories where the gas company does not have a choice program or </w:t>
      </w:r>
      <w:r w:rsidRPr="00A50D31" w:rsidR="00185F9E">
        <w:rPr>
          <w:rFonts w:ascii="Times New Roman" w:eastAsia="Times New Roman" w:hAnsi="Times New Roman" w:cs="Times New Roman"/>
          <w:sz w:val="24"/>
          <w:szCs w:val="24"/>
        </w:rPr>
        <w:t>where</w:t>
      </w:r>
      <w:r w:rsidRPr="00A50D31" w:rsidR="003715A0">
        <w:rPr>
          <w:rFonts w:ascii="Times New Roman" w:eastAsia="Times New Roman" w:hAnsi="Times New Roman" w:cs="Times New Roman"/>
          <w:sz w:val="24"/>
          <w:szCs w:val="24"/>
        </w:rPr>
        <w:t xml:space="preserve"> the standard choice offer or gas cost recovery rate is not available.</w:t>
      </w:r>
      <w:r>
        <w:rPr>
          <w:rStyle w:val="FootnoteReference"/>
          <w:rFonts w:ascii="Times New Roman" w:eastAsia="Times New Roman" w:hAnsi="Times New Roman" w:cs="Times New Roman"/>
          <w:sz w:val="24"/>
          <w:szCs w:val="24"/>
        </w:rPr>
        <w:footnoteReference w:id="25"/>
      </w:r>
      <w:r w:rsidRPr="00A50D31" w:rsidR="006A42EF">
        <w:rPr>
          <w:rFonts w:ascii="Times New Roman" w:eastAsia="Times New Roman" w:hAnsi="Times New Roman" w:cs="Times New Roman"/>
          <w:sz w:val="24"/>
          <w:szCs w:val="24"/>
        </w:rPr>
        <w:t xml:space="preserve"> </w:t>
      </w:r>
      <w:r w:rsidRPr="00A50D31" w:rsidR="00976E9D">
        <w:rPr>
          <w:rFonts w:ascii="Times New Roman" w:eastAsia="Times New Roman" w:hAnsi="Times New Roman" w:cs="Times New Roman"/>
          <w:sz w:val="24"/>
          <w:szCs w:val="24"/>
        </w:rPr>
        <w:t>The</w:t>
      </w:r>
      <w:r w:rsidRPr="00A50D31" w:rsidR="003E6616">
        <w:rPr>
          <w:rFonts w:ascii="Times New Roman" w:eastAsia="Times New Roman" w:hAnsi="Times New Roman" w:cs="Times New Roman"/>
          <w:sz w:val="24"/>
          <w:szCs w:val="24"/>
        </w:rPr>
        <w:t>ir</w:t>
      </w:r>
      <w:r w:rsidRPr="00A50D31">
        <w:rPr>
          <w:rFonts w:ascii="Times New Roman" w:eastAsia="Times New Roman" w:hAnsi="Times New Roman" w:cs="Times New Roman"/>
          <w:sz w:val="24"/>
          <w:szCs w:val="24"/>
        </w:rPr>
        <w:t xml:space="preserve"> concern is that the proposed rule suggests that a customer can save money by choosing </w:t>
      </w:r>
      <w:r w:rsidRPr="00A50D31" w:rsidR="003E6616">
        <w:rPr>
          <w:rFonts w:ascii="Times New Roman" w:eastAsia="Times New Roman" w:hAnsi="Times New Roman" w:cs="Times New Roman"/>
          <w:sz w:val="24"/>
          <w:szCs w:val="24"/>
        </w:rPr>
        <w:t xml:space="preserve">the standard service offer or gas cost recovery rate rather than </w:t>
      </w:r>
      <w:r w:rsidRPr="00A50D31">
        <w:rPr>
          <w:rFonts w:ascii="Times New Roman" w:eastAsia="Times New Roman" w:hAnsi="Times New Roman" w:cs="Times New Roman"/>
          <w:sz w:val="24"/>
          <w:szCs w:val="24"/>
        </w:rPr>
        <w:t>a marketer</w:t>
      </w:r>
      <w:r w:rsidRPr="00A50D31" w:rsidR="003E6616">
        <w:rPr>
          <w:rFonts w:ascii="Times New Roman" w:eastAsia="Times New Roman" w:hAnsi="Times New Roman" w:cs="Times New Roman"/>
          <w:sz w:val="24"/>
          <w:szCs w:val="24"/>
        </w:rPr>
        <w:t xml:space="preserve"> product.</w:t>
      </w:r>
      <w:r>
        <w:rPr>
          <w:rStyle w:val="FootnoteReference"/>
          <w:rFonts w:ascii="Times New Roman" w:eastAsia="Times New Roman" w:hAnsi="Times New Roman" w:cs="Times New Roman"/>
          <w:sz w:val="24"/>
          <w:szCs w:val="24"/>
        </w:rPr>
        <w:footnoteReference w:id="26"/>
      </w:r>
      <w:r w:rsidRPr="00A50D31">
        <w:rPr>
          <w:rFonts w:ascii="Times New Roman" w:eastAsia="Times New Roman" w:hAnsi="Times New Roman" w:cs="Times New Roman"/>
          <w:sz w:val="24"/>
          <w:szCs w:val="24"/>
        </w:rPr>
        <w:t xml:space="preserve"> </w:t>
      </w:r>
      <w:r w:rsidRPr="00A50D31" w:rsidR="003E6616">
        <w:rPr>
          <w:rFonts w:ascii="Times New Roman" w:eastAsia="Times New Roman" w:hAnsi="Times New Roman" w:cs="Times New Roman"/>
          <w:sz w:val="24"/>
          <w:szCs w:val="24"/>
        </w:rPr>
        <w:t>They believe this suggestion is wrong and misleading.</w:t>
      </w:r>
    </w:p>
    <w:p w:rsidR="0011520B" w:rsidRPr="00A50D31" w:rsidP="0072714C" w14:paraId="2B6B49D0" w14:textId="29162FD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A50D31" w:rsidR="00AB1342">
        <w:rPr>
          <w:rFonts w:ascii="Times New Roman" w:eastAsia="Times New Roman" w:hAnsi="Times New Roman" w:cs="Times New Roman"/>
          <w:sz w:val="24"/>
          <w:szCs w:val="24"/>
        </w:rPr>
        <w:t xml:space="preserve">he proposed rule suggests that a customer </w:t>
      </w:r>
      <w:r w:rsidRPr="00A50D31" w:rsidR="00AB1342">
        <w:rPr>
          <w:rFonts w:ascii="Times New Roman" w:eastAsia="Times New Roman" w:hAnsi="Times New Roman" w:cs="Times New Roman"/>
          <w:i/>
          <w:iCs/>
          <w:sz w:val="24"/>
          <w:szCs w:val="24"/>
        </w:rPr>
        <w:t xml:space="preserve">will </w:t>
      </w:r>
      <w:r w:rsidRPr="00A50D31" w:rsidR="00AB1342">
        <w:rPr>
          <w:rFonts w:ascii="Times New Roman" w:eastAsia="Times New Roman" w:hAnsi="Times New Roman" w:cs="Times New Roman"/>
          <w:sz w:val="24"/>
          <w:szCs w:val="24"/>
        </w:rPr>
        <w:t xml:space="preserve">save money by choosing the </w:t>
      </w:r>
      <w:r w:rsidRPr="00A50D31" w:rsidR="000331E0">
        <w:rPr>
          <w:rFonts w:ascii="Times New Roman" w:eastAsia="Times New Roman" w:hAnsi="Times New Roman" w:cs="Times New Roman"/>
          <w:sz w:val="24"/>
          <w:szCs w:val="24"/>
        </w:rPr>
        <w:t>standard</w:t>
      </w:r>
      <w:r w:rsidRPr="00A50D31" w:rsidR="00AB1342">
        <w:rPr>
          <w:rFonts w:ascii="Times New Roman" w:eastAsia="Times New Roman" w:hAnsi="Times New Roman" w:cs="Times New Roman"/>
          <w:sz w:val="24"/>
          <w:szCs w:val="24"/>
        </w:rPr>
        <w:t xml:space="preserve"> service offer or the gas cost recovery rate rather than a marketer product. The rule </w:t>
      </w:r>
      <w:r w:rsidRPr="00A50D31" w:rsidR="00D435A7">
        <w:rPr>
          <w:rFonts w:ascii="Times New Roman" w:eastAsia="Times New Roman" w:hAnsi="Times New Roman" w:cs="Times New Roman"/>
          <w:sz w:val="24"/>
          <w:szCs w:val="24"/>
        </w:rPr>
        <w:t>merely discloses</w:t>
      </w:r>
      <w:r w:rsidRPr="00A50D31" w:rsidR="00AB1342">
        <w:rPr>
          <w:rFonts w:ascii="Times New Roman" w:eastAsia="Times New Roman" w:hAnsi="Times New Roman" w:cs="Times New Roman"/>
          <w:sz w:val="24"/>
          <w:szCs w:val="24"/>
        </w:rPr>
        <w:t xml:space="preserve"> the </w:t>
      </w:r>
      <w:r w:rsidR="004E7776">
        <w:rPr>
          <w:rFonts w:ascii="Times New Roman" w:eastAsia="Times New Roman" w:hAnsi="Times New Roman" w:cs="Times New Roman"/>
          <w:sz w:val="24"/>
          <w:szCs w:val="24"/>
        </w:rPr>
        <w:t xml:space="preserve">default </w:t>
      </w:r>
      <w:r w:rsidRPr="00A50D31" w:rsidR="00AB1342">
        <w:rPr>
          <w:rFonts w:ascii="Times New Roman" w:eastAsia="Times New Roman" w:hAnsi="Times New Roman" w:cs="Times New Roman"/>
          <w:i/>
          <w:iCs/>
          <w:sz w:val="24"/>
          <w:szCs w:val="24"/>
        </w:rPr>
        <w:t xml:space="preserve">price </w:t>
      </w:r>
      <w:r w:rsidR="0065030D">
        <w:rPr>
          <w:rFonts w:ascii="Times New Roman" w:eastAsia="Times New Roman" w:hAnsi="Times New Roman" w:cs="Times New Roman"/>
          <w:sz w:val="24"/>
          <w:szCs w:val="24"/>
        </w:rPr>
        <w:t>needed for consumers to</w:t>
      </w:r>
      <w:r w:rsidRPr="00A50D31" w:rsidR="00AB1342">
        <w:rPr>
          <w:rFonts w:ascii="Times New Roman" w:eastAsia="Times New Roman" w:hAnsi="Times New Roman" w:cs="Times New Roman"/>
          <w:i/>
          <w:iCs/>
          <w:sz w:val="24"/>
          <w:szCs w:val="24"/>
        </w:rPr>
        <w:t xml:space="preserve"> </w:t>
      </w:r>
      <w:r w:rsidRPr="00A50D31" w:rsidR="00AB1342">
        <w:rPr>
          <w:rFonts w:ascii="Times New Roman" w:eastAsia="Times New Roman" w:hAnsi="Times New Roman" w:cs="Times New Roman"/>
          <w:sz w:val="24"/>
          <w:szCs w:val="24"/>
        </w:rPr>
        <w:t xml:space="preserve">save money. Nowhere does it state </w:t>
      </w:r>
      <w:r w:rsidR="0065030D">
        <w:rPr>
          <w:rFonts w:ascii="Times New Roman" w:eastAsia="Times New Roman" w:hAnsi="Times New Roman" w:cs="Times New Roman"/>
          <w:sz w:val="24"/>
          <w:szCs w:val="24"/>
        </w:rPr>
        <w:t xml:space="preserve">that </w:t>
      </w:r>
      <w:r w:rsidRPr="00A50D31">
        <w:rPr>
          <w:rFonts w:ascii="Times New Roman" w:eastAsia="Times New Roman" w:hAnsi="Times New Roman" w:cs="Times New Roman"/>
          <w:sz w:val="24"/>
          <w:szCs w:val="24"/>
        </w:rPr>
        <w:t xml:space="preserve">a consumer </w:t>
      </w:r>
      <w:r w:rsidRPr="00A50D31" w:rsidR="00AB1342">
        <w:rPr>
          <w:rFonts w:ascii="Times New Roman" w:eastAsia="Times New Roman" w:hAnsi="Times New Roman" w:cs="Times New Roman"/>
          <w:i/>
          <w:iCs/>
          <w:sz w:val="24"/>
          <w:szCs w:val="24"/>
        </w:rPr>
        <w:t>must choose</w:t>
      </w:r>
      <w:r w:rsidRPr="00A50D31" w:rsidR="00AB1342">
        <w:rPr>
          <w:rFonts w:ascii="Times New Roman" w:eastAsia="Times New Roman" w:hAnsi="Times New Roman" w:cs="Times New Roman"/>
          <w:sz w:val="24"/>
          <w:szCs w:val="24"/>
        </w:rPr>
        <w:t xml:space="preserve"> this rate to save money </w:t>
      </w:r>
    </w:p>
    <w:p w:rsidR="003E6616" w:rsidRPr="00A50D31" w:rsidP="0072714C" w14:paraId="6FB4E234" w14:textId="4BD9B962">
      <w:pPr>
        <w:spacing w:after="0" w:line="480" w:lineRule="auto"/>
        <w:ind w:firstLine="720"/>
        <w:rPr>
          <w:rFonts w:ascii="Times New Roman" w:eastAsia="Times New Roman" w:hAnsi="Times New Roman" w:cs="Times New Roman"/>
          <w:sz w:val="24"/>
          <w:szCs w:val="24"/>
        </w:rPr>
      </w:pPr>
      <w:r w:rsidRPr="00A50D31">
        <w:rPr>
          <w:rFonts w:ascii="Times New Roman" w:eastAsia="Times New Roman" w:hAnsi="Times New Roman" w:cs="Times New Roman"/>
          <w:sz w:val="24"/>
          <w:szCs w:val="24"/>
        </w:rPr>
        <w:t xml:space="preserve">This rule simply provides information to the consumer </w:t>
      </w:r>
      <w:r w:rsidR="00AE492D">
        <w:rPr>
          <w:rFonts w:ascii="Times New Roman" w:eastAsia="Times New Roman" w:hAnsi="Times New Roman" w:cs="Times New Roman"/>
          <w:sz w:val="24"/>
          <w:szCs w:val="24"/>
        </w:rPr>
        <w:t>that</w:t>
      </w:r>
      <w:r w:rsidRPr="00A50D31" w:rsidR="00AE492D">
        <w:rPr>
          <w:rFonts w:ascii="Times New Roman" w:eastAsia="Times New Roman" w:hAnsi="Times New Roman" w:cs="Times New Roman"/>
          <w:sz w:val="24"/>
          <w:szCs w:val="24"/>
        </w:rPr>
        <w:t xml:space="preserve"> </w:t>
      </w:r>
      <w:r w:rsidRPr="00A50D31">
        <w:rPr>
          <w:rFonts w:ascii="Times New Roman" w:eastAsia="Times New Roman" w:hAnsi="Times New Roman" w:cs="Times New Roman"/>
          <w:sz w:val="24"/>
          <w:szCs w:val="24"/>
        </w:rPr>
        <w:t xml:space="preserve">permits the comparison to be made without seeking out the Energy Choice website, or spending hours calling different companies for quotes. It is information, not a decree. Moreover, electric consumers already have this information on their bill, it should be no different for gas consumers. The Marketer’s </w:t>
      </w:r>
      <w:r w:rsidR="004E7776">
        <w:rPr>
          <w:rFonts w:ascii="Times New Roman" w:eastAsia="Times New Roman" w:hAnsi="Times New Roman" w:cs="Times New Roman"/>
          <w:sz w:val="24"/>
          <w:szCs w:val="24"/>
        </w:rPr>
        <w:t xml:space="preserve">and </w:t>
      </w:r>
      <w:r w:rsidRPr="00A50D31">
        <w:rPr>
          <w:rFonts w:ascii="Times New Roman" w:eastAsia="Times New Roman" w:hAnsi="Times New Roman" w:cs="Times New Roman"/>
          <w:sz w:val="24"/>
          <w:szCs w:val="24"/>
        </w:rPr>
        <w:t xml:space="preserve">Gas </w:t>
      </w:r>
      <w:r w:rsidR="00C31901">
        <w:rPr>
          <w:rFonts w:ascii="Times New Roman" w:eastAsia="Times New Roman" w:hAnsi="Times New Roman" w:cs="Times New Roman"/>
          <w:sz w:val="24"/>
          <w:szCs w:val="24"/>
        </w:rPr>
        <w:t>Utilities’</w:t>
      </w:r>
      <w:r w:rsidR="0065030D">
        <w:rPr>
          <w:rFonts w:ascii="Times New Roman" w:eastAsia="Times New Roman" w:hAnsi="Times New Roman" w:cs="Times New Roman"/>
          <w:sz w:val="24"/>
          <w:szCs w:val="24"/>
        </w:rPr>
        <w:t xml:space="preserve"> </w:t>
      </w:r>
      <w:r w:rsidRPr="00A50D31">
        <w:rPr>
          <w:rFonts w:ascii="Times New Roman" w:eastAsia="Times New Roman" w:hAnsi="Times New Roman" w:cs="Times New Roman"/>
          <w:sz w:val="24"/>
          <w:szCs w:val="24"/>
        </w:rPr>
        <w:t>concerns are unfounded</w:t>
      </w:r>
      <w:r w:rsidR="0065030D">
        <w:rPr>
          <w:rFonts w:ascii="Times New Roman" w:eastAsia="Times New Roman" w:hAnsi="Times New Roman" w:cs="Times New Roman"/>
          <w:sz w:val="24"/>
          <w:szCs w:val="24"/>
        </w:rPr>
        <w:t>. T</w:t>
      </w:r>
      <w:r w:rsidRPr="00A50D31">
        <w:rPr>
          <w:rFonts w:ascii="Times New Roman" w:eastAsia="Times New Roman" w:hAnsi="Times New Roman" w:cs="Times New Roman"/>
          <w:sz w:val="24"/>
          <w:szCs w:val="24"/>
        </w:rPr>
        <w:t>he PUCO should adopt its Staff’s proposed rule to add the price to compare to natural gas bills.</w:t>
      </w:r>
    </w:p>
    <w:p w:rsidR="00FD7B2A" w:rsidRPr="00A50D31" w:rsidP="00BB498C" w14:paraId="1D01350C" w14:textId="0ADD1E07">
      <w:pPr>
        <w:spacing w:after="0" w:line="480" w:lineRule="auto"/>
        <w:ind w:firstLine="720"/>
        <w:rPr>
          <w:rFonts w:ascii="Times New Roman" w:hAnsi="Times New Roman" w:cs="Times New Roman"/>
          <w:sz w:val="24"/>
          <w:szCs w:val="24"/>
        </w:rPr>
      </w:pPr>
      <w:r w:rsidRPr="00A50D31">
        <w:rPr>
          <w:rFonts w:ascii="Times New Roman" w:eastAsia="Times New Roman" w:hAnsi="Times New Roman" w:cs="Times New Roman"/>
          <w:sz w:val="24"/>
          <w:szCs w:val="24"/>
        </w:rPr>
        <w:t xml:space="preserve">As the OCC explained in its initial comments, </w:t>
      </w:r>
      <w:r w:rsidR="0065030D">
        <w:rPr>
          <w:rFonts w:ascii="Times New Roman" w:eastAsia="Times New Roman" w:hAnsi="Times New Roman" w:cs="Times New Roman"/>
          <w:sz w:val="24"/>
          <w:szCs w:val="24"/>
        </w:rPr>
        <w:t>most</w:t>
      </w:r>
      <w:r w:rsidRPr="00A50D31">
        <w:rPr>
          <w:rFonts w:ascii="Times New Roman" w:eastAsia="Times New Roman" w:hAnsi="Times New Roman" w:cs="Times New Roman"/>
          <w:sz w:val="24"/>
          <w:szCs w:val="24"/>
        </w:rPr>
        <w:t xml:space="preserve"> </w:t>
      </w:r>
      <w:r w:rsidRPr="00A50D31" w:rsidR="00060596">
        <w:rPr>
          <w:rFonts w:ascii="Times New Roman" w:eastAsia="Times New Roman" w:hAnsi="Times New Roman" w:cs="Times New Roman"/>
          <w:sz w:val="24"/>
          <w:szCs w:val="24"/>
        </w:rPr>
        <w:t>gas marketer</w:t>
      </w:r>
      <w:r w:rsidR="0065030D">
        <w:rPr>
          <w:rFonts w:ascii="Times New Roman" w:eastAsia="Times New Roman" w:hAnsi="Times New Roman" w:cs="Times New Roman"/>
          <w:sz w:val="24"/>
          <w:szCs w:val="24"/>
        </w:rPr>
        <w:t>’</w:t>
      </w:r>
      <w:r w:rsidRPr="00A50D31" w:rsidR="00060596">
        <w:rPr>
          <w:rFonts w:ascii="Times New Roman" w:eastAsia="Times New Roman" w:hAnsi="Times New Roman" w:cs="Times New Roman"/>
          <w:sz w:val="24"/>
          <w:szCs w:val="24"/>
        </w:rPr>
        <w:t xml:space="preserve"> </w:t>
      </w:r>
      <w:r w:rsidRPr="00A50D31">
        <w:rPr>
          <w:rFonts w:ascii="Times New Roman" w:eastAsia="Times New Roman" w:hAnsi="Times New Roman" w:cs="Times New Roman"/>
          <w:sz w:val="24"/>
          <w:szCs w:val="24"/>
        </w:rPr>
        <w:t xml:space="preserve">rates </w:t>
      </w:r>
      <w:r w:rsidR="0065030D">
        <w:rPr>
          <w:rFonts w:ascii="Times New Roman" w:eastAsia="Times New Roman" w:hAnsi="Times New Roman" w:cs="Times New Roman"/>
          <w:sz w:val="24"/>
          <w:szCs w:val="24"/>
        </w:rPr>
        <w:t>listed</w:t>
      </w:r>
      <w:r w:rsidRPr="00A50D31">
        <w:rPr>
          <w:rFonts w:ascii="Times New Roman" w:eastAsia="Times New Roman" w:hAnsi="Times New Roman" w:cs="Times New Roman"/>
          <w:sz w:val="24"/>
          <w:szCs w:val="24"/>
        </w:rPr>
        <w:t xml:space="preserve"> </w:t>
      </w:r>
      <w:r w:rsidRPr="00A50D31">
        <w:rPr>
          <w:rFonts w:ascii="Times New Roman" w:eastAsia="Times New Roman" w:hAnsi="Times New Roman" w:cs="Times New Roman"/>
          <w:sz w:val="24"/>
          <w:szCs w:val="24"/>
        </w:rPr>
        <w:t>on the PUCO</w:t>
      </w:r>
      <w:r w:rsidRPr="00A50D31" w:rsidR="00060596">
        <w:rPr>
          <w:rFonts w:ascii="Times New Roman" w:eastAsia="Times New Roman" w:hAnsi="Times New Roman" w:cs="Times New Roman"/>
          <w:sz w:val="24"/>
          <w:szCs w:val="24"/>
        </w:rPr>
        <w:t>’s</w:t>
      </w:r>
      <w:r w:rsidRPr="00A50D31">
        <w:rPr>
          <w:rFonts w:ascii="Times New Roman" w:eastAsia="Times New Roman" w:hAnsi="Times New Roman" w:cs="Times New Roman"/>
          <w:sz w:val="24"/>
          <w:szCs w:val="24"/>
        </w:rPr>
        <w:t xml:space="preserve"> Energy Choice website exceed the utility standard choice offer or gas cost recovery rate</w:t>
      </w:r>
      <w:r w:rsidRPr="00A50D31" w:rsidR="00060596">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7"/>
      </w:r>
      <w:r w:rsidRPr="00A50D31" w:rsidR="00135A3A">
        <w:rPr>
          <w:rFonts w:ascii="Times New Roman" w:eastAsia="Times New Roman" w:hAnsi="Times New Roman" w:cs="Times New Roman"/>
          <w:sz w:val="24"/>
          <w:szCs w:val="24"/>
        </w:rPr>
        <w:t xml:space="preserve"> </w:t>
      </w:r>
      <w:r w:rsidRPr="00A50D31" w:rsidR="00BB498C">
        <w:rPr>
          <w:rFonts w:ascii="Times New Roman" w:eastAsia="Times New Roman" w:hAnsi="Times New Roman" w:cs="Times New Roman"/>
          <w:sz w:val="24"/>
          <w:szCs w:val="24"/>
        </w:rPr>
        <w:t xml:space="preserve">This is an easily verifiable fact. </w:t>
      </w:r>
      <w:r w:rsidR="0065030D">
        <w:rPr>
          <w:rFonts w:ascii="Times New Roman" w:eastAsia="Times New Roman" w:hAnsi="Times New Roman" w:cs="Times New Roman"/>
          <w:sz w:val="24"/>
          <w:szCs w:val="24"/>
        </w:rPr>
        <w:t>T</w:t>
      </w:r>
      <w:r w:rsidRPr="00A50D31">
        <w:rPr>
          <w:rFonts w:ascii="Times New Roman" w:eastAsia="Times New Roman" w:hAnsi="Times New Roman" w:cs="Times New Roman"/>
          <w:sz w:val="24"/>
          <w:szCs w:val="24"/>
        </w:rPr>
        <w:t xml:space="preserve">he emphasis should be on helping consumers </w:t>
      </w:r>
      <w:r w:rsidR="004E7776">
        <w:rPr>
          <w:rFonts w:ascii="Times New Roman" w:eastAsia="Times New Roman" w:hAnsi="Times New Roman" w:cs="Times New Roman"/>
          <w:sz w:val="24"/>
          <w:szCs w:val="24"/>
        </w:rPr>
        <w:t xml:space="preserve">understand their choice </w:t>
      </w:r>
      <w:r w:rsidR="0065030D">
        <w:rPr>
          <w:rFonts w:ascii="Times New Roman" w:eastAsia="Times New Roman" w:hAnsi="Times New Roman" w:cs="Times New Roman"/>
          <w:sz w:val="24"/>
          <w:szCs w:val="24"/>
        </w:rPr>
        <w:t xml:space="preserve">has </w:t>
      </w:r>
      <w:r w:rsidR="004E7776">
        <w:rPr>
          <w:rFonts w:ascii="Times New Roman" w:eastAsia="Times New Roman" w:hAnsi="Times New Roman" w:cs="Times New Roman"/>
          <w:sz w:val="24"/>
          <w:szCs w:val="24"/>
        </w:rPr>
        <w:t>financial ramifications</w:t>
      </w:r>
      <w:r w:rsidR="0065030D">
        <w:rPr>
          <w:rFonts w:ascii="Times New Roman" w:eastAsia="Times New Roman" w:hAnsi="Times New Roman" w:cs="Times New Roman"/>
          <w:sz w:val="24"/>
          <w:szCs w:val="24"/>
        </w:rPr>
        <w:t>.</w:t>
      </w:r>
      <w:r w:rsidR="007E336F">
        <w:rPr>
          <w:rFonts w:ascii="Times New Roman" w:eastAsia="Times New Roman" w:hAnsi="Times New Roman" w:cs="Times New Roman"/>
          <w:sz w:val="24"/>
          <w:szCs w:val="24"/>
        </w:rPr>
        <w:t xml:space="preserve"> </w:t>
      </w:r>
      <w:r w:rsidRPr="00A50D31" w:rsidR="00BB498C">
        <w:rPr>
          <w:rFonts w:ascii="Times New Roman" w:eastAsia="Times New Roman" w:hAnsi="Times New Roman" w:cs="Times New Roman"/>
          <w:sz w:val="24"/>
          <w:szCs w:val="24"/>
        </w:rPr>
        <w:t>OCC suggest</w:t>
      </w:r>
      <w:r w:rsidRPr="00A50D31" w:rsidR="00ED39A7">
        <w:rPr>
          <w:rFonts w:ascii="Times New Roman" w:eastAsia="Times New Roman" w:hAnsi="Times New Roman" w:cs="Times New Roman"/>
          <w:sz w:val="24"/>
          <w:szCs w:val="24"/>
        </w:rPr>
        <w:t>ed</w:t>
      </w:r>
      <w:r w:rsidRPr="00A50D31" w:rsidR="00BB498C">
        <w:rPr>
          <w:rFonts w:ascii="Times New Roman" w:eastAsia="Times New Roman" w:hAnsi="Times New Roman" w:cs="Times New Roman"/>
          <w:sz w:val="24"/>
          <w:szCs w:val="24"/>
        </w:rPr>
        <w:t xml:space="preserve"> revisions to Staff’s proposed rule would alleviate some of the concerns raised by the Marketers </w:t>
      </w:r>
      <w:r w:rsidR="004E7776">
        <w:rPr>
          <w:rFonts w:ascii="Times New Roman" w:eastAsia="Times New Roman" w:hAnsi="Times New Roman" w:cs="Times New Roman"/>
          <w:sz w:val="24"/>
          <w:szCs w:val="24"/>
        </w:rPr>
        <w:t xml:space="preserve">and </w:t>
      </w:r>
      <w:r w:rsidRPr="00A50D31" w:rsidR="00BB498C">
        <w:rPr>
          <w:rFonts w:ascii="Times New Roman" w:eastAsia="Times New Roman" w:hAnsi="Times New Roman" w:cs="Times New Roman"/>
          <w:sz w:val="24"/>
          <w:szCs w:val="24"/>
        </w:rPr>
        <w:t xml:space="preserve">Gas </w:t>
      </w:r>
      <w:r w:rsidR="00C31901">
        <w:rPr>
          <w:rFonts w:ascii="Times New Roman" w:eastAsia="Times New Roman" w:hAnsi="Times New Roman" w:cs="Times New Roman"/>
          <w:sz w:val="24"/>
          <w:szCs w:val="24"/>
        </w:rPr>
        <w:t>Utilities</w:t>
      </w:r>
      <w:r w:rsidRPr="00A50D31" w:rsidR="00BB498C">
        <w:rPr>
          <w:rFonts w:ascii="Times New Roman" w:eastAsia="Times New Roman" w:hAnsi="Times New Roman" w:cs="Times New Roman"/>
          <w:sz w:val="24"/>
          <w:szCs w:val="24"/>
        </w:rPr>
        <w:t xml:space="preserve">. OCC’s suggestion clarifies that there is no guarantee that customers will save money but explains </w:t>
      </w:r>
      <w:r w:rsidR="008F70AA">
        <w:rPr>
          <w:rFonts w:ascii="Times New Roman" w:eastAsia="Times New Roman" w:hAnsi="Times New Roman" w:cs="Times New Roman"/>
          <w:sz w:val="24"/>
          <w:szCs w:val="24"/>
        </w:rPr>
        <w:t xml:space="preserve">to consumers </w:t>
      </w:r>
      <w:r w:rsidRPr="00A50D31" w:rsidR="00BB498C">
        <w:rPr>
          <w:rFonts w:ascii="Times New Roman" w:eastAsia="Times New Roman" w:hAnsi="Times New Roman" w:cs="Times New Roman"/>
          <w:sz w:val="24"/>
          <w:szCs w:val="24"/>
        </w:rPr>
        <w:t>what comparison to make. Moreover, the OCC does not agree with the assertion that the rule’s final sentence (“The standard choice offer rate or gas cost recovery rate is approved by the public utilities commission.”) is inaccurate or inappropriate. It is a true statement, a fact. Accordingly, the PUCO should adopt OCC’s recommended revision to Staff’s proposed rule 4901:1-13-11(B)(13).</w:t>
      </w:r>
      <w:r w:rsidRPr="00A50D31">
        <w:rPr>
          <w:rFonts w:ascii="Times New Roman" w:hAnsi="Times New Roman" w:cs="Times New Roman"/>
          <w:sz w:val="24"/>
          <w:szCs w:val="24"/>
        </w:rPr>
        <w:t xml:space="preserve"> </w:t>
      </w:r>
    </w:p>
    <w:p w:rsidR="005A2B44" w:rsidRPr="00A50D31" w:rsidP="00740C40" w14:paraId="6DCA717C" w14:textId="47D7A29C">
      <w:pPr>
        <w:pStyle w:val="Heading2"/>
      </w:pPr>
      <w:bookmarkStart w:id="11" w:name="_Toc31017099"/>
      <w:bookmarkStart w:id="12" w:name="_Toc31380627"/>
      <w:r w:rsidRPr="00A50D31">
        <w:t>For consumer protection against slamming, customers should be permitted to request a supplier block be placed on their account.</w:t>
      </w:r>
      <w:bookmarkEnd w:id="11"/>
      <w:bookmarkEnd w:id="12"/>
    </w:p>
    <w:p w:rsidR="006E4A1F" w:rsidRPr="00A50D31" w:rsidP="00185F9E" w14:paraId="3F4EBAD2" w14:textId="24AA8455">
      <w:pPr>
        <w:spacing w:after="0" w:line="480" w:lineRule="auto"/>
        <w:ind w:firstLine="720"/>
        <w:rPr>
          <w:rFonts w:ascii="Times New Roman" w:eastAsia="Times New Roman" w:hAnsi="Times New Roman" w:cs="Times New Roman"/>
          <w:sz w:val="24"/>
          <w:szCs w:val="24"/>
        </w:rPr>
      </w:pPr>
      <w:r w:rsidRPr="00A50D31">
        <w:rPr>
          <w:rFonts w:ascii="Times New Roman" w:eastAsia="Times New Roman" w:hAnsi="Times New Roman" w:cs="Times New Roman"/>
          <w:sz w:val="24"/>
          <w:szCs w:val="24"/>
        </w:rPr>
        <w:t xml:space="preserve">The PUCO Staff proposed the addition of Ohio Adm. Code 4901:1-13-12 (G). This rule </w:t>
      </w:r>
      <w:r w:rsidRPr="00A50D31" w:rsidR="00113F83">
        <w:rPr>
          <w:rFonts w:ascii="Times New Roman" w:eastAsia="Times New Roman" w:hAnsi="Times New Roman" w:cs="Times New Roman"/>
          <w:sz w:val="24"/>
          <w:szCs w:val="24"/>
        </w:rPr>
        <w:t xml:space="preserve">would permit a customer to place a </w:t>
      </w:r>
      <w:r w:rsidR="008F70AA">
        <w:rPr>
          <w:rFonts w:ascii="Times New Roman" w:eastAsia="Times New Roman" w:hAnsi="Times New Roman" w:cs="Times New Roman"/>
          <w:sz w:val="24"/>
          <w:szCs w:val="24"/>
        </w:rPr>
        <w:t>“</w:t>
      </w:r>
      <w:r w:rsidRPr="00A50D31" w:rsidR="00113F83">
        <w:rPr>
          <w:rFonts w:ascii="Times New Roman" w:eastAsia="Times New Roman" w:hAnsi="Times New Roman" w:cs="Times New Roman"/>
          <w:sz w:val="24"/>
          <w:szCs w:val="24"/>
        </w:rPr>
        <w:t>supplier block</w:t>
      </w:r>
      <w:r w:rsidR="008F70AA">
        <w:rPr>
          <w:rFonts w:ascii="Times New Roman" w:eastAsia="Times New Roman" w:hAnsi="Times New Roman" w:cs="Times New Roman"/>
          <w:sz w:val="24"/>
          <w:szCs w:val="24"/>
        </w:rPr>
        <w:t>”</w:t>
      </w:r>
      <w:r w:rsidRPr="00A50D31" w:rsidR="00113F83">
        <w:rPr>
          <w:rFonts w:ascii="Times New Roman" w:eastAsia="Times New Roman" w:hAnsi="Times New Roman" w:cs="Times New Roman"/>
          <w:sz w:val="24"/>
          <w:szCs w:val="24"/>
        </w:rPr>
        <w:t xml:space="preserve"> on their account to protect against s</w:t>
      </w:r>
      <w:r w:rsidRPr="00A50D31" w:rsidR="00185F9E">
        <w:rPr>
          <w:rFonts w:ascii="Times New Roman" w:eastAsia="Times New Roman" w:hAnsi="Times New Roman" w:cs="Times New Roman"/>
          <w:sz w:val="24"/>
          <w:szCs w:val="24"/>
        </w:rPr>
        <w:t>lamming</w:t>
      </w:r>
      <w:r w:rsidRPr="00A50D31" w:rsidR="00113F83">
        <w:rPr>
          <w:rFonts w:ascii="Times New Roman" w:eastAsia="Times New Roman" w:hAnsi="Times New Roman" w:cs="Times New Roman"/>
          <w:sz w:val="24"/>
          <w:szCs w:val="24"/>
        </w:rPr>
        <w:t>. Slamming</w:t>
      </w:r>
      <w:r w:rsidRPr="00A50D31" w:rsidR="00185F9E">
        <w:rPr>
          <w:rFonts w:ascii="Times New Roman" w:eastAsia="Times New Roman" w:hAnsi="Times New Roman" w:cs="Times New Roman"/>
          <w:sz w:val="24"/>
          <w:szCs w:val="24"/>
        </w:rPr>
        <w:t xml:space="preserve"> occurs when a customer is switched to a competitive supplier without the customer’s </w:t>
      </w:r>
      <w:r w:rsidR="0065030D">
        <w:rPr>
          <w:rFonts w:ascii="Times New Roman" w:eastAsia="Times New Roman" w:hAnsi="Times New Roman" w:cs="Times New Roman"/>
          <w:sz w:val="24"/>
          <w:szCs w:val="24"/>
        </w:rPr>
        <w:t>consent</w:t>
      </w:r>
      <w:r w:rsidR="008F70AA">
        <w:rPr>
          <w:rFonts w:ascii="Times New Roman" w:eastAsia="Times New Roman" w:hAnsi="Times New Roman" w:cs="Times New Roman"/>
          <w:sz w:val="24"/>
          <w:szCs w:val="24"/>
        </w:rPr>
        <w:t>.</w:t>
      </w:r>
      <w:r w:rsidR="007E336F">
        <w:rPr>
          <w:rFonts w:ascii="Times New Roman" w:eastAsia="Times New Roman" w:hAnsi="Times New Roman" w:cs="Times New Roman"/>
          <w:sz w:val="24"/>
          <w:szCs w:val="24"/>
        </w:rPr>
        <w:t xml:space="preserve"> </w:t>
      </w:r>
      <w:r w:rsidR="008F70AA">
        <w:rPr>
          <w:rFonts w:ascii="Times New Roman" w:eastAsia="Times New Roman" w:hAnsi="Times New Roman" w:cs="Times New Roman"/>
          <w:sz w:val="24"/>
          <w:szCs w:val="24"/>
        </w:rPr>
        <w:t xml:space="preserve">A </w:t>
      </w:r>
      <w:r w:rsidRPr="00A50D31" w:rsidR="00185F9E">
        <w:rPr>
          <w:rFonts w:ascii="Times New Roman" w:eastAsia="Times New Roman" w:hAnsi="Times New Roman" w:cs="Times New Roman"/>
          <w:sz w:val="24"/>
          <w:szCs w:val="24"/>
        </w:rPr>
        <w:t xml:space="preserve">switching block prevents gas service from being switched without a customer-provided code or pin number. </w:t>
      </w:r>
      <w:r w:rsidR="0065030D">
        <w:rPr>
          <w:rFonts w:ascii="Times New Roman" w:eastAsia="Times New Roman" w:hAnsi="Times New Roman" w:cs="Times New Roman"/>
          <w:sz w:val="24"/>
          <w:szCs w:val="24"/>
        </w:rPr>
        <w:t>T</w:t>
      </w:r>
      <w:r w:rsidRPr="00A50D31" w:rsidR="00185F9E">
        <w:rPr>
          <w:rFonts w:ascii="Times New Roman" w:eastAsia="Times New Roman" w:hAnsi="Times New Roman" w:cs="Times New Roman"/>
          <w:sz w:val="24"/>
          <w:szCs w:val="24"/>
        </w:rPr>
        <w:t xml:space="preserve">his is an important anti-slamming consumer protection that helps customers </w:t>
      </w:r>
      <w:r w:rsidR="008F70AA">
        <w:rPr>
          <w:rFonts w:ascii="Times New Roman" w:eastAsia="Times New Roman" w:hAnsi="Times New Roman" w:cs="Times New Roman"/>
          <w:sz w:val="24"/>
          <w:szCs w:val="24"/>
        </w:rPr>
        <w:t xml:space="preserve">by preventing switching </w:t>
      </w:r>
      <w:r w:rsidRPr="00A50D31" w:rsidR="00185F9E">
        <w:rPr>
          <w:rFonts w:ascii="Times New Roman" w:eastAsia="Times New Roman" w:hAnsi="Times New Roman" w:cs="Times New Roman"/>
          <w:sz w:val="24"/>
          <w:szCs w:val="24"/>
        </w:rPr>
        <w:t>without explicit authorization.</w:t>
      </w:r>
      <w:r>
        <w:rPr>
          <w:rStyle w:val="FootnoteReference"/>
          <w:rFonts w:ascii="Times New Roman" w:eastAsia="Times New Roman" w:hAnsi="Times New Roman" w:cs="Times New Roman"/>
          <w:sz w:val="24"/>
          <w:szCs w:val="24"/>
        </w:rPr>
        <w:footnoteReference w:id="28"/>
      </w:r>
      <w:r w:rsidRPr="00A50D31" w:rsidR="00031DD6">
        <w:rPr>
          <w:rFonts w:ascii="Times New Roman" w:eastAsia="Times New Roman" w:hAnsi="Times New Roman" w:cs="Times New Roman"/>
          <w:sz w:val="24"/>
          <w:szCs w:val="24"/>
        </w:rPr>
        <w:t xml:space="preserve"> The PUCO should adopt its Staff’s proposed </w:t>
      </w:r>
      <w:r w:rsidRPr="00A50D31" w:rsidR="00441780">
        <w:rPr>
          <w:rFonts w:ascii="Times New Roman" w:eastAsia="Times New Roman" w:hAnsi="Times New Roman" w:cs="Times New Roman"/>
          <w:sz w:val="24"/>
          <w:szCs w:val="24"/>
        </w:rPr>
        <w:t>addition of Ohio Adm. Code 4901:1-13-12(G).</w:t>
      </w:r>
    </w:p>
    <w:p w:rsidR="00932B67" w:rsidP="005E5261" w14:paraId="70F79761" w14:textId="65C62C47">
      <w:pPr>
        <w:autoSpaceDE w:val="0"/>
        <w:autoSpaceDN w:val="0"/>
        <w:adjustRightInd w:val="0"/>
        <w:spacing w:after="0" w:line="480" w:lineRule="auto"/>
        <w:ind w:firstLine="720"/>
        <w:rPr>
          <w:rFonts w:ascii="Times New Roman" w:hAnsi="Times New Roman" w:cs="Times New Roman"/>
          <w:sz w:val="24"/>
          <w:szCs w:val="24"/>
        </w:rPr>
      </w:pPr>
      <w:r w:rsidRPr="00A50D31">
        <w:rPr>
          <w:rFonts w:ascii="Times New Roman" w:eastAsia="Times New Roman" w:hAnsi="Times New Roman" w:cs="Times New Roman"/>
          <w:sz w:val="24"/>
          <w:szCs w:val="24"/>
        </w:rPr>
        <w:t xml:space="preserve">The Marketers and the Gas </w:t>
      </w:r>
      <w:r w:rsidR="00C31901">
        <w:rPr>
          <w:rFonts w:ascii="Times New Roman" w:eastAsia="Times New Roman" w:hAnsi="Times New Roman" w:cs="Times New Roman"/>
          <w:sz w:val="24"/>
          <w:szCs w:val="24"/>
        </w:rPr>
        <w:t xml:space="preserve">Utilities </w:t>
      </w:r>
      <w:r w:rsidRPr="00A50D31">
        <w:rPr>
          <w:rFonts w:ascii="Times New Roman" w:eastAsia="Times New Roman" w:hAnsi="Times New Roman" w:cs="Times New Roman"/>
          <w:sz w:val="24"/>
          <w:szCs w:val="24"/>
        </w:rPr>
        <w:t xml:space="preserve">are opposed to </w:t>
      </w:r>
      <w:r w:rsidR="00AE492D">
        <w:rPr>
          <w:rFonts w:ascii="Times New Roman" w:eastAsia="Times New Roman" w:hAnsi="Times New Roman" w:cs="Times New Roman"/>
          <w:sz w:val="24"/>
          <w:szCs w:val="24"/>
        </w:rPr>
        <w:t xml:space="preserve">the </w:t>
      </w:r>
      <w:r w:rsidRPr="00A50D31" w:rsidR="00B6361F">
        <w:rPr>
          <w:rFonts w:ascii="Times New Roman" w:eastAsia="Times New Roman" w:hAnsi="Times New Roman" w:cs="Times New Roman"/>
          <w:sz w:val="24"/>
          <w:szCs w:val="24"/>
        </w:rPr>
        <w:t>PUCO Staff’s proposed supplier block</w:t>
      </w:r>
      <w:r w:rsidRPr="00A50D31" w:rsidR="00860859">
        <w:rPr>
          <w:rFonts w:ascii="Times New Roman" w:eastAsia="Times New Roman" w:hAnsi="Times New Roman" w:cs="Times New Roman"/>
          <w:sz w:val="24"/>
          <w:szCs w:val="24"/>
        </w:rPr>
        <w:t xml:space="preserve"> rule</w:t>
      </w:r>
      <w:r w:rsidRPr="00A50D31" w:rsidR="00B6361F">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9"/>
      </w:r>
      <w:r w:rsidRPr="00A50D31" w:rsidR="00B6361F">
        <w:rPr>
          <w:rFonts w:ascii="Times New Roman" w:eastAsia="Times New Roman" w:hAnsi="Times New Roman" w:cs="Times New Roman"/>
          <w:sz w:val="24"/>
          <w:szCs w:val="24"/>
        </w:rPr>
        <w:t xml:space="preserve"> </w:t>
      </w:r>
      <w:r w:rsidRPr="00A50D31" w:rsidR="00706363">
        <w:rPr>
          <w:rFonts w:ascii="Times New Roman" w:eastAsia="Times New Roman" w:hAnsi="Times New Roman" w:cs="Times New Roman"/>
          <w:sz w:val="24"/>
          <w:szCs w:val="24"/>
        </w:rPr>
        <w:t>They are concerned that the supplier block will frustrate consumer shopping and competition</w:t>
      </w:r>
      <w:r w:rsidR="0065030D">
        <w:rPr>
          <w:rFonts w:ascii="Times New Roman" w:eastAsia="Times New Roman" w:hAnsi="Times New Roman" w:cs="Times New Roman"/>
          <w:sz w:val="24"/>
          <w:szCs w:val="24"/>
        </w:rPr>
        <w:t>.</w:t>
      </w:r>
      <w:r w:rsidR="007E336F">
        <w:rPr>
          <w:rFonts w:ascii="Times New Roman" w:eastAsia="Times New Roman" w:hAnsi="Times New Roman" w:cs="Times New Roman"/>
          <w:sz w:val="24"/>
          <w:szCs w:val="24"/>
        </w:rPr>
        <w:t xml:space="preserve"> </w:t>
      </w:r>
      <w:r w:rsidR="0065030D">
        <w:rPr>
          <w:rFonts w:ascii="Times New Roman" w:eastAsia="Times New Roman" w:hAnsi="Times New Roman" w:cs="Times New Roman"/>
          <w:sz w:val="24"/>
          <w:szCs w:val="24"/>
        </w:rPr>
        <w:t xml:space="preserve">They </w:t>
      </w:r>
      <w:r w:rsidR="003E1327">
        <w:rPr>
          <w:rFonts w:ascii="Times New Roman" w:hAnsi="Times New Roman" w:cs="Times New Roman"/>
          <w:sz w:val="24"/>
          <w:szCs w:val="24"/>
        </w:rPr>
        <w:t>recommend alternatives that are less protective of customer</w:t>
      </w:r>
      <w:r w:rsidR="00890099">
        <w:rPr>
          <w:rFonts w:ascii="Times New Roman" w:hAnsi="Times New Roman" w:cs="Times New Roman"/>
          <w:sz w:val="24"/>
          <w:szCs w:val="24"/>
        </w:rPr>
        <w:t>s; alternatives that</w:t>
      </w:r>
      <w:r w:rsidR="003E1327">
        <w:rPr>
          <w:rFonts w:ascii="Times New Roman" w:hAnsi="Times New Roman" w:cs="Times New Roman"/>
          <w:sz w:val="24"/>
          <w:szCs w:val="24"/>
        </w:rPr>
        <w:t xml:space="preserve"> are geared to a reactive not proactive approach to slamming.</w:t>
      </w:r>
      <w:r>
        <w:rPr>
          <w:rStyle w:val="FootnoteReference"/>
          <w:rFonts w:ascii="Times New Roman" w:eastAsia="Times New Roman" w:hAnsi="Times New Roman" w:cs="Times New Roman"/>
          <w:sz w:val="24"/>
          <w:szCs w:val="24"/>
        </w:rPr>
        <w:footnoteReference w:id="30"/>
      </w:r>
      <w:r w:rsidR="003E1327">
        <w:rPr>
          <w:rFonts w:ascii="Times New Roman" w:hAnsi="Times New Roman" w:cs="Times New Roman"/>
          <w:sz w:val="24"/>
          <w:szCs w:val="24"/>
        </w:rPr>
        <w:t xml:space="preserve"> </w:t>
      </w:r>
      <w:r>
        <w:rPr>
          <w:rFonts w:ascii="Times New Roman" w:hAnsi="Times New Roman" w:cs="Times New Roman"/>
          <w:sz w:val="24"/>
          <w:szCs w:val="24"/>
        </w:rPr>
        <w:t>Consumers deserve better.</w:t>
      </w:r>
    </w:p>
    <w:p w:rsidR="0065030D" w:rsidP="005E5261" w14:paraId="4F086D68" w14:textId="7C5B35FC">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example, </w:t>
      </w:r>
      <w:r w:rsidR="00932B67">
        <w:rPr>
          <w:rFonts w:ascii="Times New Roman" w:hAnsi="Times New Roman" w:cs="Times New Roman"/>
          <w:sz w:val="24"/>
          <w:szCs w:val="24"/>
        </w:rPr>
        <w:t xml:space="preserve">the Gas </w:t>
      </w:r>
      <w:r w:rsidR="00C31901">
        <w:rPr>
          <w:rFonts w:ascii="Times New Roman" w:hAnsi="Times New Roman" w:cs="Times New Roman"/>
          <w:sz w:val="24"/>
          <w:szCs w:val="24"/>
        </w:rPr>
        <w:t>Utilities</w:t>
      </w:r>
      <w:r>
        <w:rPr>
          <w:rFonts w:ascii="Times New Roman" w:hAnsi="Times New Roman" w:cs="Times New Roman"/>
          <w:sz w:val="24"/>
          <w:szCs w:val="24"/>
        </w:rPr>
        <w:t xml:space="preserve"> </w:t>
      </w:r>
      <w:r w:rsidRPr="00A50D31">
        <w:rPr>
          <w:rFonts w:ascii="Times New Roman" w:hAnsi="Times New Roman" w:cs="Times New Roman"/>
          <w:sz w:val="24"/>
          <w:szCs w:val="24"/>
        </w:rPr>
        <w:t>recommend that the more appropriate way to stop customers from being involuntarily switched is to aggressively monitor the marketers and punish the bad actors.</w:t>
      </w:r>
      <w:r>
        <w:rPr>
          <w:rStyle w:val="FootnoteReference"/>
          <w:rFonts w:ascii="Times New Roman" w:hAnsi="Times New Roman" w:cs="Times New Roman"/>
          <w:sz w:val="24"/>
          <w:szCs w:val="24"/>
        </w:rPr>
        <w:footnoteReference w:id="31"/>
      </w:r>
      <w:r w:rsidR="007E336F">
        <w:rPr>
          <w:rFonts w:ascii="Times New Roman" w:hAnsi="Times New Roman" w:cs="Times New Roman"/>
          <w:sz w:val="24"/>
          <w:szCs w:val="24"/>
        </w:rPr>
        <w:t xml:space="preserve"> </w:t>
      </w:r>
      <w:r w:rsidR="008432D9">
        <w:rPr>
          <w:rFonts w:ascii="Times New Roman" w:hAnsi="Times New Roman" w:cs="Times New Roman"/>
          <w:sz w:val="24"/>
          <w:szCs w:val="24"/>
        </w:rPr>
        <w:t>But t</w:t>
      </w:r>
      <w:r>
        <w:rPr>
          <w:rFonts w:ascii="Times New Roman" w:hAnsi="Times New Roman" w:cs="Times New Roman"/>
          <w:sz w:val="24"/>
          <w:szCs w:val="24"/>
        </w:rPr>
        <w:t>his approach is deficient because the PUCO is already doing this</w:t>
      </w:r>
      <w:r>
        <w:rPr>
          <w:rFonts w:ascii="Times New Roman" w:hAnsi="Times New Roman" w:cs="Times New Roman"/>
          <w:sz w:val="24"/>
          <w:szCs w:val="24"/>
        </w:rPr>
        <w:t>. It</w:t>
      </w:r>
      <w:r>
        <w:rPr>
          <w:rFonts w:ascii="Times New Roman" w:hAnsi="Times New Roman" w:cs="Times New Roman"/>
          <w:sz w:val="24"/>
          <w:szCs w:val="24"/>
        </w:rPr>
        <w:t xml:space="preserve"> is not working. </w:t>
      </w:r>
    </w:p>
    <w:p w:rsidR="005E5261" w:rsidRPr="00A50D31" w:rsidP="005E5261" w14:paraId="1C5A4014" w14:textId="070E30B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more proactive process, such as a switching block, is needed to curb this </w:t>
      </w:r>
      <w:r w:rsidR="0065030D">
        <w:rPr>
          <w:rFonts w:ascii="Times New Roman" w:hAnsi="Times New Roman" w:cs="Times New Roman"/>
          <w:sz w:val="24"/>
          <w:szCs w:val="24"/>
        </w:rPr>
        <w:t xml:space="preserve">bad anti-consumer </w:t>
      </w:r>
      <w:r>
        <w:rPr>
          <w:rFonts w:ascii="Times New Roman" w:hAnsi="Times New Roman" w:cs="Times New Roman"/>
          <w:sz w:val="24"/>
          <w:szCs w:val="24"/>
        </w:rPr>
        <w:t>behavior.</w:t>
      </w:r>
      <w:r w:rsidR="008432D9">
        <w:rPr>
          <w:rFonts w:ascii="Times New Roman" w:hAnsi="Times New Roman" w:cs="Times New Roman"/>
          <w:sz w:val="24"/>
          <w:szCs w:val="24"/>
        </w:rPr>
        <w:t xml:space="preserve"> </w:t>
      </w:r>
      <w:r w:rsidR="00890099">
        <w:rPr>
          <w:rFonts w:ascii="Times New Roman" w:hAnsi="Times New Roman" w:cs="Times New Roman"/>
          <w:sz w:val="24"/>
          <w:szCs w:val="24"/>
        </w:rPr>
        <w:t xml:space="preserve">The Gas </w:t>
      </w:r>
      <w:r w:rsidR="00C31901">
        <w:rPr>
          <w:rFonts w:ascii="Times New Roman" w:hAnsi="Times New Roman" w:cs="Times New Roman"/>
          <w:sz w:val="24"/>
          <w:szCs w:val="24"/>
        </w:rPr>
        <w:t>Utilities</w:t>
      </w:r>
      <w:r w:rsidR="00890099">
        <w:rPr>
          <w:rFonts w:ascii="Times New Roman" w:hAnsi="Times New Roman" w:cs="Times New Roman"/>
          <w:sz w:val="24"/>
          <w:szCs w:val="24"/>
        </w:rPr>
        <w:t xml:space="preserve"> also</w:t>
      </w:r>
      <w:r w:rsidRPr="00A50D31" w:rsidR="008432D9">
        <w:rPr>
          <w:rFonts w:ascii="Times New Roman" w:hAnsi="Times New Roman" w:cs="Times New Roman"/>
          <w:sz w:val="24"/>
          <w:szCs w:val="24"/>
        </w:rPr>
        <w:t xml:space="preserve"> recommend that if there have been any abuses (there have), those issues should be dealt with directly by addressing the actor or the practice, not by a universal block.</w:t>
      </w:r>
      <w:r>
        <w:rPr>
          <w:rStyle w:val="FootnoteReference"/>
          <w:rFonts w:ascii="Times New Roman" w:hAnsi="Times New Roman" w:cs="Times New Roman"/>
          <w:sz w:val="24"/>
          <w:szCs w:val="24"/>
        </w:rPr>
        <w:footnoteReference w:id="32"/>
      </w:r>
      <w:r w:rsidR="008432D9">
        <w:rPr>
          <w:rFonts w:ascii="Times New Roman" w:hAnsi="Times New Roman" w:cs="Times New Roman"/>
          <w:sz w:val="24"/>
          <w:szCs w:val="24"/>
        </w:rPr>
        <w:t xml:space="preserve"> But this view ignores the reality in Ohio—that there are bad actors engaging in deceptive marketing of gas utility service to customers and places the PUCO in a reactive, not proactive posture.</w:t>
      </w:r>
      <w:r w:rsidR="007E336F">
        <w:rPr>
          <w:rFonts w:ascii="Times New Roman" w:hAnsi="Times New Roman" w:cs="Times New Roman"/>
          <w:sz w:val="24"/>
          <w:szCs w:val="24"/>
        </w:rPr>
        <w:t xml:space="preserve"> </w:t>
      </w:r>
      <w:r w:rsidR="008432D9">
        <w:rPr>
          <w:rFonts w:ascii="Times New Roman" w:hAnsi="Times New Roman" w:cs="Times New Roman"/>
          <w:sz w:val="24"/>
          <w:szCs w:val="24"/>
        </w:rPr>
        <w:t>Customers need to be protected from these bad actors and the best way to do so is through the Staff’s proactive approach.</w:t>
      </w:r>
    </w:p>
    <w:p w:rsidR="00932B67" w:rsidP="00860859" w14:paraId="5DCAF358" w14:textId="74832685">
      <w:pPr>
        <w:autoSpaceDE w:val="0"/>
        <w:autoSpaceDN w:val="0"/>
        <w:adjustRightInd w:val="0"/>
        <w:spacing w:after="0" w:line="480" w:lineRule="auto"/>
        <w:ind w:firstLine="720"/>
        <w:rPr>
          <w:rFonts w:ascii="Times New Roman" w:hAnsi="Times New Roman" w:cs="Times New Roman"/>
          <w:color w:val="010202"/>
          <w:sz w:val="24"/>
          <w:szCs w:val="24"/>
        </w:rPr>
      </w:pPr>
      <w:r>
        <w:rPr>
          <w:rFonts w:ascii="Times New Roman" w:hAnsi="Times New Roman" w:cs="Times New Roman"/>
          <w:color w:val="010202"/>
          <w:sz w:val="24"/>
          <w:szCs w:val="24"/>
        </w:rPr>
        <w:t xml:space="preserve">The Marketers </w:t>
      </w:r>
      <w:r w:rsidRPr="00A50D31" w:rsidR="008432D9">
        <w:rPr>
          <w:rFonts w:ascii="Times New Roman" w:hAnsi="Times New Roman" w:cs="Times New Roman"/>
          <w:color w:val="010202"/>
          <w:sz w:val="24"/>
          <w:szCs w:val="24"/>
        </w:rPr>
        <w:t>assert that Staff’s proposed block procedure is not a necessary or reasonable restriction on the competitive market</w:t>
      </w:r>
      <w:r w:rsidR="008432D9">
        <w:rPr>
          <w:rFonts w:ascii="Times New Roman" w:hAnsi="Times New Roman" w:cs="Times New Roman"/>
          <w:color w:val="010202"/>
          <w:sz w:val="24"/>
          <w:szCs w:val="24"/>
        </w:rPr>
        <w:t>.</w:t>
      </w:r>
      <w:r>
        <w:rPr>
          <w:rStyle w:val="FootnoteReference"/>
          <w:rFonts w:ascii="Times New Roman" w:hAnsi="Times New Roman" w:cs="Times New Roman"/>
          <w:color w:val="010202"/>
          <w:sz w:val="24"/>
          <w:szCs w:val="24"/>
        </w:rPr>
        <w:footnoteReference w:id="33"/>
      </w:r>
      <w:r w:rsidR="008432D9">
        <w:rPr>
          <w:rFonts w:ascii="Times New Roman" w:hAnsi="Times New Roman" w:cs="Times New Roman"/>
          <w:color w:val="010202"/>
          <w:sz w:val="24"/>
          <w:szCs w:val="24"/>
        </w:rPr>
        <w:t xml:space="preserve"> </w:t>
      </w:r>
      <w:r>
        <w:rPr>
          <w:rFonts w:ascii="Times New Roman" w:hAnsi="Times New Roman" w:cs="Times New Roman"/>
          <w:color w:val="010202"/>
          <w:sz w:val="24"/>
          <w:szCs w:val="24"/>
        </w:rPr>
        <w:t>They also</w:t>
      </w:r>
      <w:r w:rsidR="008432D9">
        <w:rPr>
          <w:rFonts w:ascii="Times New Roman" w:hAnsi="Times New Roman" w:cs="Times New Roman"/>
          <w:color w:val="010202"/>
          <w:sz w:val="24"/>
          <w:szCs w:val="24"/>
        </w:rPr>
        <w:t xml:space="preserve"> suggest that customers already have tools available to them to protect against slamming</w:t>
      </w:r>
      <w:r w:rsidRPr="00A50D31" w:rsidR="008432D9">
        <w:rPr>
          <w:rFonts w:ascii="Times New Roman" w:hAnsi="Times New Roman" w:cs="Times New Roman"/>
          <w:color w:val="010202"/>
          <w:sz w:val="24"/>
          <w:szCs w:val="24"/>
        </w:rPr>
        <w:t xml:space="preserve"> such as blocking an enrollment by not providing their utility account number</w:t>
      </w:r>
      <w:r w:rsidR="008432D9">
        <w:rPr>
          <w:rFonts w:ascii="Times New Roman" w:hAnsi="Times New Roman" w:cs="Times New Roman"/>
          <w:color w:val="010202"/>
          <w:sz w:val="24"/>
          <w:szCs w:val="24"/>
        </w:rPr>
        <w:t xml:space="preserve"> to the marketer representative</w:t>
      </w:r>
      <w:r w:rsidRPr="00A50D31" w:rsidR="008432D9">
        <w:rPr>
          <w:rFonts w:ascii="Times New Roman" w:hAnsi="Times New Roman" w:cs="Times New Roman"/>
          <w:color w:val="010202"/>
          <w:sz w:val="24"/>
          <w:szCs w:val="24"/>
        </w:rPr>
        <w:t xml:space="preserve">, declining to answer any of the various questions asked by a </w:t>
      </w:r>
      <w:r w:rsidR="008432D9">
        <w:rPr>
          <w:rFonts w:ascii="Times New Roman" w:hAnsi="Times New Roman" w:cs="Times New Roman"/>
          <w:color w:val="010202"/>
          <w:sz w:val="24"/>
          <w:szCs w:val="24"/>
        </w:rPr>
        <w:t>marketer</w:t>
      </w:r>
      <w:r w:rsidRPr="00A50D31" w:rsidR="008432D9">
        <w:rPr>
          <w:rFonts w:ascii="Times New Roman" w:hAnsi="Times New Roman" w:cs="Times New Roman"/>
          <w:color w:val="010202"/>
          <w:sz w:val="24"/>
          <w:szCs w:val="24"/>
        </w:rPr>
        <w:t>, and rescinding their enrollment.</w:t>
      </w:r>
      <w:r>
        <w:rPr>
          <w:rStyle w:val="FootnoteReference"/>
          <w:rFonts w:ascii="Times New Roman" w:hAnsi="Times New Roman" w:cs="Times New Roman"/>
          <w:color w:val="010202"/>
          <w:sz w:val="24"/>
          <w:szCs w:val="24"/>
        </w:rPr>
        <w:footnoteReference w:id="34"/>
      </w:r>
      <w:r w:rsidR="008432D9">
        <w:rPr>
          <w:rFonts w:ascii="Times New Roman" w:hAnsi="Times New Roman" w:cs="Times New Roman"/>
          <w:color w:val="010202"/>
          <w:sz w:val="24"/>
          <w:szCs w:val="24"/>
        </w:rPr>
        <w:t xml:space="preserve"> But </w:t>
      </w:r>
      <w:r>
        <w:rPr>
          <w:rFonts w:ascii="Times New Roman" w:hAnsi="Times New Roman" w:cs="Times New Roman"/>
          <w:color w:val="010202"/>
          <w:sz w:val="24"/>
          <w:szCs w:val="24"/>
        </w:rPr>
        <w:t>the Marketers</w:t>
      </w:r>
      <w:r w:rsidR="008432D9">
        <w:rPr>
          <w:rFonts w:ascii="Times New Roman" w:hAnsi="Times New Roman" w:cs="Times New Roman"/>
          <w:color w:val="010202"/>
          <w:sz w:val="24"/>
          <w:szCs w:val="24"/>
        </w:rPr>
        <w:t xml:space="preserve"> </w:t>
      </w:r>
      <w:r>
        <w:rPr>
          <w:rFonts w:ascii="Times New Roman" w:hAnsi="Times New Roman" w:cs="Times New Roman"/>
          <w:color w:val="010202"/>
          <w:sz w:val="24"/>
          <w:szCs w:val="24"/>
        </w:rPr>
        <w:t>are</w:t>
      </w:r>
      <w:r w:rsidR="008432D9">
        <w:rPr>
          <w:rFonts w:ascii="Times New Roman" w:hAnsi="Times New Roman" w:cs="Times New Roman"/>
          <w:color w:val="010202"/>
          <w:sz w:val="24"/>
          <w:szCs w:val="24"/>
        </w:rPr>
        <w:t xml:space="preserve"> wrong. Customers may not know or understand that they can refuse to give their account number to the marketer. Moreover, if they provide the number to a bad actor, they may not ever receive their right to rescind letter. Customers may also be confused</w:t>
      </w:r>
      <w:r w:rsidR="00A740E2">
        <w:rPr>
          <w:rFonts w:ascii="Times New Roman" w:hAnsi="Times New Roman" w:cs="Times New Roman"/>
          <w:color w:val="010202"/>
          <w:sz w:val="24"/>
          <w:szCs w:val="24"/>
        </w:rPr>
        <w:t xml:space="preserve"> about whether </w:t>
      </w:r>
      <w:r w:rsidR="008432D9">
        <w:rPr>
          <w:rFonts w:ascii="Times New Roman" w:hAnsi="Times New Roman" w:cs="Times New Roman"/>
          <w:color w:val="010202"/>
          <w:sz w:val="24"/>
          <w:szCs w:val="24"/>
        </w:rPr>
        <w:t xml:space="preserve">the marketer is employed by the gas </w:t>
      </w:r>
      <w:r w:rsidR="00A740E2">
        <w:rPr>
          <w:rFonts w:ascii="Times New Roman" w:hAnsi="Times New Roman" w:cs="Times New Roman"/>
          <w:color w:val="010202"/>
          <w:sz w:val="24"/>
          <w:szCs w:val="24"/>
        </w:rPr>
        <w:t xml:space="preserve">utility. </w:t>
      </w:r>
    </w:p>
    <w:p w:rsidR="008432D9" w:rsidP="00860859" w14:paraId="78611CC6" w14:textId="5BCF874D">
      <w:pPr>
        <w:autoSpaceDE w:val="0"/>
        <w:autoSpaceDN w:val="0"/>
        <w:adjustRightInd w:val="0"/>
        <w:spacing w:after="0" w:line="480" w:lineRule="auto"/>
        <w:ind w:firstLine="720"/>
        <w:rPr>
          <w:rFonts w:ascii="Times New Roman" w:hAnsi="Times New Roman" w:cs="Times New Roman"/>
          <w:color w:val="010202"/>
          <w:sz w:val="24"/>
          <w:szCs w:val="24"/>
        </w:rPr>
      </w:pPr>
      <w:r>
        <w:rPr>
          <w:rFonts w:ascii="Times New Roman" w:hAnsi="Times New Roman" w:cs="Times New Roman"/>
          <w:color w:val="010202"/>
          <w:sz w:val="24"/>
          <w:szCs w:val="24"/>
        </w:rPr>
        <w:t>The Marketers</w:t>
      </w:r>
      <w:r>
        <w:rPr>
          <w:rFonts w:ascii="Times New Roman" w:hAnsi="Times New Roman" w:cs="Times New Roman"/>
          <w:color w:val="010202"/>
          <w:sz w:val="24"/>
          <w:szCs w:val="24"/>
        </w:rPr>
        <w:t xml:space="preserve"> also assert that </w:t>
      </w:r>
      <w:r w:rsidRPr="00A50D31">
        <w:rPr>
          <w:rFonts w:ascii="Times New Roman" w:hAnsi="Times New Roman" w:cs="Times New Roman"/>
          <w:sz w:val="24"/>
          <w:szCs w:val="24"/>
        </w:rPr>
        <w:t>should a customer need assistance, the PUCO rules provide a process for an informal complaint resolution through the PUCO Staff and a formal complaint proceeding before the PUCO.</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But </w:t>
      </w:r>
      <w:r>
        <w:rPr>
          <w:rFonts w:ascii="Times New Roman" w:hAnsi="Times New Roman" w:cs="Times New Roman"/>
          <w:sz w:val="24"/>
          <w:szCs w:val="24"/>
        </w:rPr>
        <w:t xml:space="preserve">under </w:t>
      </w:r>
      <w:r>
        <w:rPr>
          <w:rFonts w:ascii="Times New Roman" w:hAnsi="Times New Roman" w:cs="Times New Roman"/>
          <w:sz w:val="24"/>
          <w:szCs w:val="24"/>
        </w:rPr>
        <w:t xml:space="preserve">this approach a consumer would have to </w:t>
      </w:r>
      <w:r w:rsidR="00A740E2">
        <w:rPr>
          <w:rFonts w:ascii="Times New Roman" w:hAnsi="Times New Roman" w:cs="Times New Roman"/>
          <w:sz w:val="24"/>
          <w:szCs w:val="24"/>
        </w:rPr>
        <w:t xml:space="preserve">suffer </w:t>
      </w:r>
      <w:r>
        <w:rPr>
          <w:rFonts w:ascii="Times New Roman" w:hAnsi="Times New Roman" w:cs="Times New Roman"/>
          <w:sz w:val="24"/>
          <w:szCs w:val="24"/>
        </w:rPr>
        <w:t>harm first</w:t>
      </w:r>
      <w:r w:rsidR="00A740E2">
        <w:rPr>
          <w:rFonts w:ascii="Times New Roman" w:hAnsi="Times New Roman" w:cs="Times New Roman"/>
          <w:sz w:val="24"/>
          <w:szCs w:val="24"/>
        </w:rPr>
        <w:t>.</w:t>
      </w:r>
      <w:r w:rsidR="007E336F">
        <w:rPr>
          <w:rFonts w:ascii="Times New Roman" w:hAnsi="Times New Roman" w:cs="Times New Roman"/>
          <w:sz w:val="24"/>
          <w:szCs w:val="24"/>
        </w:rPr>
        <w:t xml:space="preserve"> </w:t>
      </w:r>
      <w:r w:rsidR="00A740E2">
        <w:rPr>
          <w:rFonts w:ascii="Times New Roman" w:hAnsi="Times New Roman" w:cs="Times New Roman"/>
          <w:sz w:val="24"/>
          <w:szCs w:val="24"/>
        </w:rPr>
        <w:t>T</w:t>
      </w:r>
      <w:r>
        <w:rPr>
          <w:rFonts w:ascii="Times New Roman" w:hAnsi="Times New Roman" w:cs="Times New Roman"/>
          <w:sz w:val="24"/>
          <w:szCs w:val="24"/>
        </w:rPr>
        <w:t xml:space="preserve">hen it would be up to the consumer or the PUCO to take remedial actions. </w:t>
      </w:r>
      <w:r>
        <w:rPr>
          <w:rFonts w:ascii="Times New Roman" w:hAnsi="Times New Roman" w:cs="Times New Roman"/>
          <w:sz w:val="24"/>
          <w:szCs w:val="24"/>
        </w:rPr>
        <w:t xml:space="preserve">And </w:t>
      </w:r>
      <w:r w:rsidR="00890099">
        <w:rPr>
          <w:rFonts w:ascii="Times New Roman" w:hAnsi="Times New Roman" w:cs="Times New Roman"/>
          <w:sz w:val="24"/>
          <w:szCs w:val="24"/>
        </w:rPr>
        <w:t>an</w:t>
      </w:r>
      <w:r>
        <w:rPr>
          <w:rFonts w:ascii="Times New Roman" w:hAnsi="Times New Roman" w:cs="Times New Roman"/>
          <w:sz w:val="24"/>
          <w:szCs w:val="24"/>
        </w:rPr>
        <w:t xml:space="preserve"> exacerbating </w:t>
      </w:r>
      <w:r>
        <w:rPr>
          <w:rFonts w:ascii="Times New Roman" w:hAnsi="Times New Roman" w:cs="Times New Roman"/>
          <w:sz w:val="24"/>
          <w:szCs w:val="24"/>
        </w:rPr>
        <w:t xml:space="preserve">problem </w:t>
      </w:r>
      <w:r w:rsidR="00890099">
        <w:rPr>
          <w:rFonts w:ascii="Times New Roman" w:hAnsi="Times New Roman" w:cs="Times New Roman"/>
          <w:sz w:val="24"/>
          <w:szCs w:val="24"/>
        </w:rPr>
        <w:t xml:space="preserve">with this approach </w:t>
      </w:r>
      <w:r>
        <w:rPr>
          <w:rFonts w:ascii="Times New Roman" w:hAnsi="Times New Roman" w:cs="Times New Roman"/>
          <w:sz w:val="24"/>
          <w:szCs w:val="24"/>
        </w:rPr>
        <w:t>is that</w:t>
      </w:r>
      <w:r w:rsidRPr="00FA4336">
        <w:rPr>
          <w:rFonts w:ascii="Times New Roman" w:hAnsi="Times New Roman" w:cs="Times New Roman"/>
          <w:sz w:val="24"/>
          <w:szCs w:val="24"/>
        </w:rPr>
        <w:t xml:space="preserve"> </w:t>
      </w:r>
      <w:r w:rsidRPr="00DE661F">
        <w:rPr>
          <w:rFonts w:ascii="Times New Roman" w:hAnsi="Times New Roman" w:cs="Times New Roman"/>
          <w:sz w:val="24"/>
          <w:szCs w:val="24"/>
        </w:rPr>
        <w:t>consumers rarely win at the PUCO</w:t>
      </w:r>
      <w:r w:rsidRPr="00FA4336">
        <w:rPr>
          <w:rFonts w:ascii="Times New Roman" w:hAnsi="Times New Roman" w:cs="Times New Roman"/>
          <w:sz w:val="24"/>
          <w:szCs w:val="24"/>
        </w:rPr>
        <w:t xml:space="preserve"> according to an article published by t</w:t>
      </w:r>
      <w:r w:rsidRPr="00CD6D6B">
        <w:rPr>
          <w:rFonts w:ascii="Times New Roman" w:hAnsi="Times New Roman" w:cs="Times New Roman"/>
          <w:sz w:val="24"/>
          <w:szCs w:val="24"/>
        </w:rPr>
        <w:t>he Columbus Dispatch and the Cleveland Plain Dealer.</w:t>
      </w:r>
      <w:r>
        <w:rPr>
          <w:rStyle w:val="FootnoteReference"/>
          <w:rFonts w:ascii="Times New Roman" w:hAnsi="Times New Roman" w:cs="Times New Roman"/>
          <w:sz w:val="24"/>
          <w:szCs w:val="24"/>
        </w:rPr>
        <w:footnoteReference w:id="36"/>
      </w:r>
      <w:r w:rsidRPr="00CD6D6B">
        <w:rPr>
          <w:rFonts w:ascii="Times New Roman" w:hAnsi="Times New Roman" w:cs="Times New Roman"/>
          <w:sz w:val="24"/>
          <w:szCs w:val="24"/>
        </w:rPr>
        <w:t xml:space="preserve"> The article describes the challenges that Ohioans encounter in processing complaints against powerful (lawyered-up) utilities.</w:t>
      </w:r>
      <w:r>
        <w:rPr>
          <w:rStyle w:val="FootnoteReference"/>
          <w:rFonts w:ascii="Times New Roman" w:hAnsi="Times New Roman" w:cs="Times New Roman"/>
          <w:sz w:val="24"/>
          <w:szCs w:val="24"/>
        </w:rPr>
        <w:footnoteReference w:id="37"/>
      </w:r>
      <w:r w:rsidR="007E336F">
        <w:rPr>
          <w:rFonts w:ascii="Times New Roman" w:hAnsi="Times New Roman" w:cs="Times New Roman"/>
          <w:sz w:val="24"/>
          <w:szCs w:val="24"/>
        </w:rPr>
        <w:t xml:space="preserve"> </w:t>
      </w:r>
      <w:bookmarkStart w:id="13" w:name="_Hlk29759199"/>
      <w:r w:rsidRPr="00CD6D6B">
        <w:rPr>
          <w:rFonts w:ascii="Times New Roman" w:hAnsi="Times New Roman" w:cs="Times New Roman"/>
          <w:sz w:val="24"/>
          <w:szCs w:val="24"/>
        </w:rPr>
        <w:t xml:space="preserve">The Plain Dealer’s headline was </w:t>
      </w:r>
      <w:r w:rsidR="00A740E2">
        <w:rPr>
          <w:rFonts w:ascii="Times New Roman" w:hAnsi="Times New Roman" w:cs="Times New Roman"/>
          <w:sz w:val="24"/>
          <w:szCs w:val="24"/>
        </w:rPr>
        <w:t xml:space="preserve">aptly </w:t>
      </w:r>
      <w:r w:rsidRPr="00CD6D6B">
        <w:rPr>
          <w:rFonts w:ascii="Times New Roman" w:hAnsi="Times New Roman" w:cs="Times New Roman"/>
          <w:sz w:val="24"/>
          <w:szCs w:val="24"/>
        </w:rPr>
        <w:t>titled “Prepare to lose your case at PUCO: Consumers only win 4 cases over 10 years.”</w:t>
      </w:r>
      <w:r>
        <w:rPr>
          <w:rStyle w:val="FootnoteReference"/>
          <w:rFonts w:ascii="Times New Roman" w:hAnsi="Times New Roman" w:cs="Times New Roman"/>
          <w:sz w:val="24"/>
          <w:szCs w:val="24"/>
        </w:rPr>
        <w:footnoteReference w:id="38"/>
      </w:r>
      <w:bookmarkEnd w:id="13"/>
      <w:r w:rsidR="007E336F">
        <w:rPr>
          <w:szCs w:val="24"/>
        </w:rPr>
        <w:t xml:space="preserve"> </w:t>
      </w:r>
      <w:r>
        <w:rPr>
          <w:rFonts w:ascii="Times New Roman" w:hAnsi="Times New Roman" w:cs="Times New Roman"/>
          <w:sz w:val="24"/>
          <w:szCs w:val="24"/>
        </w:rPr>
        <w:t xml:space="preserve">Again, this reactive approach is not protective of customers. </w:t>
      </w:r>
      <w:r>
        <w:rPr>
          <w:rFonts w:ascii="Times New Roman" w:hAnsi="Times New Roman" w:cs="Times New Roman"/>
          <w:color w:val="010202"/>
          <w:sz w:val="24"/>
          <w:szCs w:val="24"/>
        </w:rPr>
        <w:t xml:space="preserve">The reality is that the tools currently available to consumers are not providing nearly enough protection against slamming because it is still occurring. Consumers deserve better. </w:t>
      </w:r>
      <w:r>
        <w:rPr>
          <w:rFonts w:ascii="Times New Roman" w:hAnsi="Times New Roman" w:cs="Times New Roman"/>
          <w:color w:val="010202"/>
          <w:sz w:val="24"/>
          <w:szCs w:val="24"/>
        </w:rPr>
        <w:t xml:space="preserve">The </w:t>
      </w:r>
      <w:r>
        <w:rPr>
          <w:rFonts w:ascii="Times New Roman" w:hAnsi="Times New Roman" w:cs="Times New Roman"/>
          <w:color w:val="010202"/>
          <w:sz w:val="24"/>
          <w:szCs w:val="24"/>
        </w:rPr>
        <w:t>OCC agrees with the PUCO Staff’s more proactive approach to protect consumers.</w:t>
      </w:r>
    </w:p>
    <w:p w:rsidR="00B6408B" w:rsidRPr="00A50D31" w:rsidP="00860859" w14:paraId="2B6C2372" w14:textId="517625B8">
      <w:pPr>
        <w:autoSpaceDE w:val="0"/>
        <w:autoSpaceDN w:val="0"/>
        <w:adjustRightInd w:val="0"/>
        <w:spacing w:after="0" w:line="480" w:lineRule="auto"/>
        <w:ind w:firstLine="720"/>
        <w:rPr>
          <w:rFonts w:ascii="Times New Roman" w:hAnsi="Times New Roman" w:cs="Times New Roman"/>
          <w:sz w:val="24"/>
          <w:szCs w:val="24"/>
        </w:rPr>
      </w:pPr>
      <w:r w:rsidRPr="00A50D31">
        <w:rPr>
          <w:rFonts w:ascii="Times New Roman" w:hAnsi="Times New Roman" w:cs="Times New Roman"/>
          <w:sz w:val="24"/>
          <w:szCs w:val="24"/>
        </w:rPr>
        <w:t>As an alternative t</w:t>
      </w:r>
      <w:r w:rsidRPr="00A50D31" w:rsidR="000654AC">
        <w:rPr>
          <w:rFonts w:ascii="Times New Roman" w:hAnsi="Times New Roman" w:cs="Times New Roman"/>
          <w:sz w:val="24"/>
          <w:szCs w:val="24"/>
        </w:rPr>
        <w:t xml:space="preserve">o a block, </w:t>
      </w:r>
      <w:r w:rsidRPr="00A50D31" w:rsidR="002D6829">
        <w:rPr>
          <w:rFonts w:ascii="Times New Roman" w:hAnsi="Times New Roman" w:cs="Times New Roman"/>
          <w:sz w:val="24"/>
          <w:szCs w:val="24"/>
        </w:rPr>
        <w:t>Columbia recommend</w:t>
      </w:r>
      <w:r w:rsidRPr="00A50D31">
        <w:rPr>
          <w:rFonts w:ascii="Times New Roman" w:hAnsi="Times New Roman" w:cs="Times New Roman"/>
          <w:sz w:val="24"/>
          <w:szCs w:val="24"/>
        </w:rPr>
        <w:t>s</w:t>
      </w:r>
      <w:r w:rsidRPr="00A50D31" w:rsidR="002D6829">
        <w:rPr>
          <w:rFonts w:ascii="Times New Roman" w:hAnsi="Times New Roman" w:cs="Times New Roman"/>
          <w:sz w:val="24"/>
          <w:szCs w:val="24"/>
        </w:rPr>
        <w:t xml:space="preserve"> that a</w:t>
      </w:r>
      <w:r w:rsidRPr="00A50D31" w:rsidR="00F61B26">
        <w:rPr>
          <w:rFonts w:ascii="Times New Roman" w:hAnsi="Times New Roman" w:cs="Times New Roman"/>
          <w:sz w:val="24"/>
          <w:szCs w:val="24"/>
        </w:rPr>
        <w:t xml:space="preserve"> verified customer authorization</w:t>
      </w:r>
      <w:r w:rsidRPr="00A50D31" w:rsidR="002D6829">
        <w:rPr>
          <w:rFonts w:ascii="Times New Roman" w:hAnsi="Times New Roman" w:cs="Times New Roman"/>
          <w:sz w:val="24"/>
          <w:szCs w:val="24"/>
        </w:rPr>
        <w:t xml:space="preserve"> should be utilized</w:t>
      </w:r>
      <w:r w:rsidRPr="00A50D31" w:rsidR="00F61B26">
        <w:rPr>
          <w:rFonts w:ascii="Times New Roman" w:hAnsi="Times New Roman" w:cs="Times New Roman"/>
          <w:sz w:val="24"/>
          <w:szCs w:val="24"/>
        </w:rPr>
        <w:t>.</w:t>
      </w:r>
      <w:r>
        <w:rPr>
          <w:rStyle w:val="FootnoteReference"/>
          <w:rFonts w:ascii="Times New Roman" w:hAnsi="Times New Roman" w:cs="Times New Roman"/>
          <w:sz w:val="24"/>
          <w:szCs w:val="24"/>
        </w:rPr>
        <w:footnoteReference w:id="39"/>
      </w:r>
      <w:r w:rsidRPr="00A50D31" w:rsidR="00BA5E85">
        <w:rPr>
          <w:rFonts w:ascii="Times New Roman" w:hAnsi="Times New Roman" w:cs="Times New Roman"/>
          <w:sz w:val="24"/>
          <w:szCs w:val="24"/>
        </w:rPr>
        <w:t xml:space="preserve"> Columbia proposes that if </w:t>
      </w:r>
      <w:r w:rsidRPr="00A50D31" w:rsidR="00F61B26">
        <w:rPr>
          <w:rFonts w:ascii="Times New Roman" w:hAnsi="Times New Roman" w:cs="Times New Roman"/>
          <w:sz w:val="24"/>
          <w:szCs w:val="24"/>
        </w:rPr>
        <w:t xml:space="preserve">a customer calls into Columbia’s call center, </w:t>
      </w:r>
      <w:r w:rsidRPr="00A50D31" w:rsidR="00DF5A79">
        <w:rPr>
          <w:rFonts w:ascii="Times New Roman" w:hAnsi="Times New Roman" w:cs="Times New Roman"/>
          <w:sz w:val="24"/>
          <w:szCs w:val="24"/>
        </w:rPr>
        <w:t xml:space="preserve">then </w:t>
      </w:r>
      <w:r w:rsidRPr="00A50D31" w:rsidR="00F61B26">
        <w:rPr>
          <w:rFonts w:ascii="Times New Roman" w:hAnsi="Times New Roman" w:cs="Times New Roman"/>
          <w:sz w:val="24"/>
          <w:szCs w:val="24"/>
        </w:rPr>
        <w:t xml:space="preserve">Columbia </w:t>
      </w:r>
      <w:r w:rsidRPr="00A50D31" w:rsidR="00DF5A79">
        <w:rPr>
          <w:rFonts w:ascii="Times New Roman" w:hAnsi="Times New Roman" w:cs="Times New Roman"/>
          <w:sz w:val="24"/>
          <w:szCs w:val="24"/>
        </w:rPr>
        <w:t xml:space="preserve">would </w:t>
      </w:r>
      <w:r w:rsidRPr="00A50D31" w:rsidR="00F61B26">
        <w:rPr>
          <w:rFonts w:ascii="Times New Roman" w:hAnsi="Times New Roman" w:cs="Times New Roman"/>
          <w:sz w:val="24"/>
          <w:szCs w:val="24"/>
        </w:rPr>
        <w:t>verif</w:t>
      </w:r>
      <w:r w:rsidRPr="00A50D31" w:rsidR="00DF5A79">
        <w:rPr>
          <w:rFonts w:ascii="Times New Roman" w:hAnsi="Times New Roman" w:cs="Times New Roman"/>
          <w:sz w:val="24"/>
          <w:szCs w:val="24"/>
        </w:rPr>
        <w:t>y</w:t>
      </w:r>
      <w:r w:rsidRPr="00A50D31" w:rsidR="00F61B26">
        <w:rPr>
          <w:rFonts w:ascii="Times New Roman" w:hAnsi="Times New Roman" w:cs="Times New Roman"/>
          <w:sz w:val="24"/>
          <w:szCs w:val="24"/>
        </w:rPr>
        <w:t xml:space="preserve"> that the caller is the customer of record.</w:t>
      </w:r>
      <w:r>
        <w:rPr>
          <w:rStyle w:val="FootnoteReference"/>
          <w:rFonts w:ascii="Times New Roman" w:hAnsi="Times New Roman" w:cs="Times New Roman"/>
          <w:sz w:val="24"/>
          <w:szCs w:val="24"/>
        </w:rPr>
        <w:footnoteReference w:id="40"/>
      </w:r>
      <w:r w:rsidRPr="00A50D31" w:rsidR="00F61B26">
        <w:rPr>
          <w:rFonts w:ascii="Times New Roman" w:hAnsi="Times New Roman" w:cs="Times New Roman"/>
          <w:sz w:val="24"/>
          <w:szCs w:val="24"/>
        </w:rPr>
        <w:t xml:space="preserve"> </w:t>
      </w:r>
      <w:r w:rsidRPr="00A50D31" w:rsidR="00BA5E85">
        <w:rPr>
          <w:rFonts w:ascii="Times New Roman" w:hAnsi="Times New Roman" w:cs="Times New Roman"/>
          <w:sz w:val="24"/>
          <w:szCs w:val="24"/>
        </w:rPr>
        <w:t>And o</w:t>
      </w:r>
      <w:r w:rsidRPr="00A50D31" w:rsidR="00F61B26">
        <w:rPr>
          <w:rFonts w:ascii="Times New Roman" w:hAnsi="Times New Roman" w:cs="Times New Roman"/>
          <w:sz w:val="24"/>
          <w:szCs w:val="24"/>
        </w:rPr>
        <w:t xml:space="preserve">nce verified, Columbia would be able to place a block on the account, with customer authorization, which would alleviate the customer from </w:t>
      </w:r>
      <w:r w:rsidRPr="00A50D31" w:rsidR="00DF5A79">
        <w:rPr>
          <w:rFonts w:ascii="Times New Roman" w:hAnsi="Times New Roman" w:cs="Times New Roman"/>
          <w:sz w:val="24"/>
          <w:szCs w:val="24"/>
        </w:rPr>
        <w:t xml:space="preserve">needing to </w:t>
      </w:r>
      <w:r w:rsidRPr="00A50D31" w:rsidR="00F61B26">
        <w:rPr>
          <w:rFonts w:ascii="Times New Roman" w:hAnsi="Times New Roman" w:cs="Times New Roman"/>
          <w:sz w:val="24"/>
          <w:szCs w:val="24"/>
        </w:rPr>
        <w:t>remember a code or a pin number.</w:t>
      </w:r>
      <w:r>
        <w:rPr>
          <w:rStyle w:val="FootnoteReference"/>
          <w:rFonts w:ascii="Times New Roman" w:hAnsi="Times New Roman" w:cs="Times New Roman"/>
          <w:sz w:val="24"/>
          <w:szCs w:val="24"/>
        </w:rPr>
        <w:footnoteReference w:id="41"/>
      </w:r>
      <w:r w:rsidR="007E336F">
        <w:rPr>
          <w:rFonts w:ascii="Times New Roman" w:hAnsi="Times New Roman" w:cs="Times New Roman"/>
          <w:sz w:val="24"/>
          <w:szCs w:val="24"/>
        </w:rPr>
        <w:t xml:space="preserve"> </w:t>
      </w:r>
      <w:r w:rsidR="004317B9">
        <w:rPr>
          <w:rFonts w:ascii="Times New Roman" w:hAnsi="Times New Roman" w:cs="Times New Roman"/>
          <w:sz w:val="24"/>
          <w:szCs w:val="24"/>
        </w:rPr>
        <w:t xml:space="preserve">While </w:t>
      </w:r>
      <w:r w:rsidR="009F7B1E">
        <w:rPr>
          <w:rFonts w:ascii="Times New Roman" w:hAnsi="Times New Roman" w:cs="Times New Roman"/>
          <w:sz w:val="24"/>
          <w:szCs w:val="24"/>
        </w:rPr>
        <w:t xml:space="preserve">OCC is not opposed to </w:t>
      </w:r>
      <w:r w:rsidR="004317B9">
        <w:rPr>
          <w:rFonts w:ascii="Times New Roman" w:hAnsi="Times New Roman" w:cs="Times New Roman"/>
          <w:sz w:val="24"/>
          <w:szCs w:val="24"/>
        </w:rPr>
        <w:t xml:space="preserve">this proposal </w:t>
      </w:r>
      <w:r w:rsidR="009F7B1E">
        <w:rPr>
          <w:rFonts w:ascii="Times New Roman" w:hAnsi="Times New Roman" w:cs="Times New Roman"/>
          <w:sz w:val="24"/>
          <w:szCs w:val="24"/>
        </w:rPr>
        <w:t xml:space="preserve">per se, it </w:t>
      </w:r>
      <w:r w:rsidR="004317B9">
        <w:rPr>
          <w:rFonts w:ascii="Times New Roman" w:hAnsi="Times New Roman" w:cs="Times New Roman"/>
          <w:sz w:val="24"/>
          <w:szCs w:val="24"/>
        </w:rPr>
        <w:t>is</w:t>
      </w:r>
      <w:r w:rsidR="00A740E2">
        <w:rPr>
          <w:rFonts w:ascii="Times New Roman" w:hAnsi="Times New Roman" w:cs="Times New Roman"/>
          <w:sz w:val="24"/>
          <w:szCs w:val="24"/>
        </w:rPr>
        <w:t xml:space="preserve"> only </w:t>
      </w:r>
      <w:r w:rsidR="004317B9">
        <w:rPr>
          <w:rFonts w:ascii="Times New Roman" w:hAnsi="Times New Roman" w:cs="Times New Roman"/>
          <w:sz w:val="24"/>
          <w:szCs w:val="24"/>
        </w:rPr>
        <w:t>a half</w:t>
      </w:r>
      <w:r w:rsidR="009F7B1E">
        <w:rPr>
          <w:rFonts w:ascii="Times New Roman" w:hAnsi="Times New Roman" w:cs="Times New Roman"/>
          <w:sz w:val="24"/>
          <w:szCs w:val="24"/>
        </w:rPr>
        <w:t>-</w:t>
      </w:r>
      <w:r w:rsidR="004317B9">
        <w:rPr>
          <w:rFonts w:ascii="Times New Roman" w:hAnsi="Times New Roman" w:cs="Times New Roman"/>
          <w:sz w:val="24"/>
          <w:szCs w:val="24"/>
        </w:rPr>
        <w:t xml:space="preserve">step </w:t>
      </w:r>
      <w:r w:rsidR="00A740E2">
        <w:rPr>
          <w:rFonts w:ascii="Times New Roman" w:hAnsi="Times New Roman" w:cs="Times New Roman"/>
          <w:sz w:val="24"/>
          <w:szCs w:val="24"/>
        </w:rPr>
        <w:t>toward</w:t>
      </w:r>
      <w:r w:rsidR="004317B9">
        <w:rPr>
          <w:rFonts w:ascii="Times New Roman" w:hAnsi="Times New Roman" w:cs="Times New Roman"/>
          <w:sz w:val="24"/>
          <w:szCs w:val="24"/>
        </w:rPr>
        <w:t xml:space="preserve"> protecting customers</w:t>
      </w:r>
      <w:r w:rsidR="009F7B1E">
        <w:rPr>
          <w:rFonts w:ascii="Times New Roman" w:hAnsi="Times New Roman" w:cs="Times New Roman"/>
          <w:sz w:val="24"/>
          <w:szCs w:val="24"/>
        </w:rPr>
        <w:t>.</w:t>
      </w:r>
      <w:r w:rsidR="004317B9">
        <w:rPr>
          <w:rFonts w:ascii="Times New Roman" w:hAnsi="Times New Roman" w:cs="Times New Roman"/>
          <w:sz w:val="24"/>
          <w:szCs w:val="24"/>
        </w:rPr>
        <w:t xml:space="preserve"> Staff’s broader and complete approach</w:t>
      </w:r>
      <w:r w:rsidR="009F7B1E">
        <w:rPr>
          <w:rFonts w:ascii="Times New Roman" w:hAnsi="Times New Roman" w:cs="Times New Roman"/>
          <w:sz w:val="24"/>
          <w:szCs w:val="24"/>
        </w:rPr>
        <w:t>, which requires a PIN,</w:t>
      </w:r>
      <w:r w:rsidR="004317B9">
        <w:rPr>
          <w:rFonts w:ascii="Times New Roman" w:hAnsi="Times New Roman" w:cs="Times New Roman"/>
          <w:sz w:val="24"/>
          <w:szCs w:val="24"/>
        </w:rPr>
        <w:t xml:space="preserve"> is </w:t>
      </w:r>
      <w:r w:rsidR="00A740E2">
        <w:rPr>
          <w:rFonts w:ascii="Times New Roman" w:hAnsi="Times New Roman" w:cs="Times New Roman"/>
          <w:sz w:val="24"/>
          <w:szCs w:val="24"/>
        </w:rPr>
        <w:t xml:space="preserve">a full step with </w:t>
      </w:r>
      <w:r w:rsidR="004317B9">
        <w:rPr>
          <w:rFonts w:ascii="Times New Roman" w:hAnsi="Times New Roman" w:cs="Times New Roman"/>
          <w:sz w:val="24"/>
          <w:szCs w:val="24"/>
        </w:rPr>
        <w:t xml:space="preserve">better </w:t>
      </w:r>
      <w:r w:rsidR="00A740E2">
        <w:rPr>
          <w:rFonts w:ascii="Times New Roman" w:hAnsi="Times New Roman" w:cs="Times New Roman"/>
          <w:sz w:val="24"/>
          <w:szCs w:val="24"/>
        </w:rPr>
        <w:t xml:space="preserve">protection </w:t>
      </w:r>
      <w:r w:rsidR="004317B9">
        <w:rPr>
          <w:rFonts w:ascii="Times New Roman" w:hAnsi="Times New Roman" w:cs="Times New Roman"/>
          <w:sz w:val="24"/>
          <w:szCs w:val="24"/>
        </w:rPr>
        <w:t>for consumers.</w:t>
      </w:r>
      <w:r w:rsidR="007E336F">
        <w:rPr>
          <w:rFonts w:ascii="Times New Roman" w:hAnsi="Times New Roman" w:cs="Times New Roman"/>
          <w:sz w:val="24"/>
          <w:szCs w:val="24"/>
        </w:rPr>
        <w:t xml:space="preserve"> </w:t>
      </w:r>
    </w:p>
    <w:p w:rsidR="00A740E2" w:rsidP="005A2B44" w14:paraId="6A6BBBEC" w14:textId="7777777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A50D31" w:rsidR="00894412">
        <w:rPr>
          <w:rFonts w:ascii="Times New Roman" w:eastAsia="Times New Roman" w:hAnsi="Times New Roman" w:cs="Times New Roman"/>
          <w:sz w:val="24"/>
          <w:szCs w:val="24"/>
        </w:rPr>
        <w:t>he PUCO should protect consumers against slamming by adopting its Staff’s proposed rule which enables consumers to block unauthorized supplier changes on their accounts.</w:t>
      </w:r>
      <w:r>
        <w:rPr>
          <w:rStyle w:val="FootnoteReference"/>
          <w:rFonts w:ascii="Times New Roman" w:eastAsia="Times New Roman" w:hAnsi="Times New Roman" w:cs="Times New Roman"/>
          <w:sz w:val="24"/>
          <w:szCs w:val="24"/>
        </w:rPr>
        <w:footnoteReference w:id="42"/>
      </w:r>
      <w:r w:rsidRPr="00A50D31" w:rsidR="00894412">
        <w:rPr>
          <w:rFonts w:ascii="Times New Roman" w:eastAsia="Times New Roman" w:hAnsi="Times New Roman" w:cs="Times New Roman"/>
          <w:sz w:val="24"/>
          <w:szCs w:val="24"/>
        </w:rPr>
        <w:t xml:space="preserve"> </w:t>
      </w:r>
      <w:r w:rsidRPr="00A50D31" w:rsidR="00D435A7">
        <w:rPr>
          <w:rFonts w:ascii="Times New Roman" w:eastAsia="Times New Roman" w:hAnsi="Times New Roman" w:cs="Times New Roman"/>
          <w:sz w:val="24"/>
          <w:szCs w:val="24"/>
        </w:rPr>
        <w:t xml:space="preserve">Ohio law prohibits switching suppliers without prior customer consent and the protections </w:t>
      </w:r>
      <w:r>
        <w:rPr>
          <w:rFonts w:ascii="Times New Roman" w:eastAsia="Times New Roman" w:hAnsi="Times New Roman" w:cs="Times New Roman"/>
          <w:sz w:val="24"/>
          <w:szCs w:val="24"/>
        </w:rPr>
        <w:t xml:space="preserve">against unlawful slamming </w:t>
      </w:r>
      <w:r w:rsidRPr="00A50D31" w:rsidR="00D435A7">
        <w:rPr>
          <w:rFonts w:ascii="Times New Roman" w:eastAsia="Times New Roman" w:hAnsi="Times New Roman" w:cs="Times New Roman"/>
          <w:sz w:val="24"/>
          <w:szCs w:val="24"/>
        </w:rPr>
        <w:t xml:space="preserve">provided in the Staff proposed rules are </w:t>
      </w:r>
      <w:r>
        <w:rPr>
          <w:rFonts w:ascii="Times New Roman" w:eastAsia="Times New Roman" w:hAnsi="Times New Roman" w:cs="Times New Roman"/>
          <w:sz w:val="24"/>
          <w:szCs w:val="24"/>
        </w:rPr>
        <w:t>reasonable.</w:t>
      </w:r>
      <w:r w:rsidRPr="00A50D31" w:rsidR="00D435A7">
        <w:rPr>
          <w:rFonts w:ascii="Times New Roman" w:eastAsia="Times New Roman" w:hAnsi="Times New Roman" w:cs="Times New Roman"/>
          <w:sz w:val="24"/>
          <w:szCs w:val="24"/>
        </w:rPr>
        <w:t xml:space="preserve"> </w:t>
      </w:r>
      <w:r w:rsidRPr="00A50D31" w:rsidR="005A2B44">
        <w:rPr>
          <w:rFonts w:ascii="Times New Roman" w:eastAsia="Times New Roman" w:hAnsi="Times New Roman" w:cs="Times New Roman"/>
          <w:sz w:val="24"/>
          <w:szCs w:val="24"/>
        </w:rPr>
        <w:t>Slamming is confusing, stressful, inconvenient, and often very expensive for consumers</w:t>
      </w:r>
      <w:r>
        <w:rPr>
          <w:rFonts w:ascii="Times New Roman" w:eastAsia="Times New Roman" w:hAnsi="Times New Roman" w:cs="Times New Roman"/>
          <w:sz w:val="24"/>
          <w:szCs w:val="24"/>
        </w:rPr>
        <w:t>.</w:t>
      </w:r>
      <w:r w:rsidRPr="00A50D31" w:rsidR="005A2B44">
        <w:rPr>
          <w:rFonts w:ascii="Times New Roman" w:eastAsia="Times New Roman" w:hAnsi="Times New Roman" w:cs="Times New Roman"/>
          <w:sz w:val="24"/>
          <w:szCs w:val="24"/>
        </w:rPr>
        <w:t xml:space="preserve"> </w:t>
      </w:r>
    </w:p>
    <w:p w:rsidR="00A37AAD" w:rsidRPr="00A50D31" w:rsidP="005A2B44" w14:paraId="2C0FB2F1" w14:textId="580CC2DB">
      <w:pPr>
        <w:spacing w:after="0" w:line="480" w:lineRule="auto"/>
        <w:ind w:firstLine="720"/>
        <w:rPr>
          <w:rFonts w:ascii="Times New Roman" w:eastAsia="Times New Roman" w:hAnsi="Times New Roman" w:cs="Times New Roman"/>
          <w:sz w:val="24"/>
          <w:szCs w:val="24"/>
        </w:rPr>
      </w:pPr>
      <w:r w:rsidRPr="00A50D31">
        <w:rPr>
          <w:rFonts w:ascii="Times New Roman" w:eastAsia="Times New Roman" w:hAnsi="Times New Roman" w:cs="Times New Roman"/>
          <w:sz w:val="24"/>
          <w:szCs w:val="24"/>
        </w:rPr>
        <w:t xml:space="preserve">The Gas </w:t>
      </w:r>
      <w:r w:rsidR="00C31901">
        <w:rPr>
          <w:rFonts w:ascii="Times New Roman" w:eastAsia="Times New Roman" w:hAnsi="Times New Roman" w:cs="Times New Roman"/>
          <w:sz w:val="24"/>
          <w:szCs w:val="24"/>
        </w:rPr>
        <w:t>Utilities</w:t>
      </w:r>
      <w:r w:rsidRPr="00A50D31">
        <w:rPr>
          <w:rFonts w:ascii="Times New Roman" w:eastAsia="Times New Roman" w:hAnsi="Times New Roman" w:cs="Times New Roman"/>
          <w:sz w:val="24"/>
          <w:szCs w:val="24"/>
        </w:rPr>
        <w:t xml:space="preserve"> and Marketers claim this rule will be too inconvenient for consumers and point to the current rules as appropriate remedies. </w:t>
      </w:r>
      <w:r w:rsidRPr="00A50D31" w:rsidR="005040D4">
        <w:rPr>
          <w:rFonts w:ascii="Times New Roman" w:eastAsia="Times New Roman" w:hAnsi="Times New Roman" w:cs="Times New Roman"/>
          <w:sz w:val="24"/>
          <w:szCs w:val="24"/>
        </w:rPr>
        <w:t xml:space="preserve">They also assert that consumers can simply decline to speak with a </w:t>
      </w:r>
      <w:r w:rsidR="00562424">
        <w:rPr>
          <w:rFonts w:ascii="Times New Roman" w:eastAsia="Times New Roman" w:hAnsi="Times New Roman" w:cs="Times New Roman"/>
          <w:sz w:val="24"/>
          <w:szCs w:val="24"/>
        </w:rPr>
        <w:t>m</w:t>
      </w:r>
      <w:r w:rsidRPr="00A50D31" w:rsidR="005040D4">
        <w:rPr>
          <w:rFonts w:ascii="Times New Roman" w:eastAsia="Times New Roman" w:hAnsi="Times New Roman" w:cs="Times New Roman"/>
          <w:sz w:val="24"/>
          <w:szCs w:val="24"/>
        </w:rPr>
        <w:t xml:space="preserve">arketer or refuse to provide their account number. </w:t>
      </w:r>
      <w:r w:rsidR="00890099">
        <w:rPr>
          <w:rFonts w:ascii="Times New Roman" w:eastAsia="Times New Roman" w:hAnsi="Times New Roman" w:cs="Times New Roman"/>
          <w:sz w:val="24"/>
          <w:szCs w:val="24"/>
        </w:rPr>
        <w:t>But t</w:t>
      </w:r>
      <w:r w:rsidRPr="00A50D31" w:rsidR="00932625">
        <w:rPr>
          <w:rFonts w:ascii="Times New Roman" w:eastAsia="Times New Roman" w:hAnsi="Times New Roman" w:cs="Times New Roman"/>
          <w:sz w:val="24"/>
          <w:szCs w:val="24"/>
        </w:rPr>
        <w:t xml:space="preserve">hese are </w:t>
      </w:r>
      <w:r w:rsidR="00A740E2">
        <w:rPr>
          <w:rFonts w:ascii="Times New Roman" w:eastAsia="Times New Roman" w:hAnsi="Times New Roman" w:cs="Times New Roman"/>
          <w:sz w:val="24"/>
          <w:szCs w:val="24"/>
        </w:rPr>
        <w:t>“</w:t>
      </w:r>
      <w:r w:rsidRPr="00A50D31" w:rsidR="00932625">
        <w:rPr>
          <w:rFonts w:ascii="Times New Roman" w:eastAsia="Times New Roman" w:hAnsi="Times New Roman" w:cs="Times New Roman"/>
          <w:sz w:val="24"/>
          <w:szCs w:val="24"/>
        </w:rPr>
        <w:t>consumer protections</w:t>
      </w:r>
      <w:r w:rsidR="00A740E2">
        <w:rPr>
          <w:rFonts w:ascii="Times New Roman" w:eastAsia="Times New Roman" w:hAnsi="Times New Roman" w:cs="Times New Roman"/>
          <w:sz w:val="24"/>
          <w:szCs w:val="24"/>
        </w:rPr>
        <w:t>” are not working.</w:t>
      </w:r>
      <w:r w:rsidRPr="00A50D31" w:rsidR="00932625">
        <w:rPr>
          <w:rFonts w:ascii="Times New Roman" w:eastAsia="Times New Roman" w:hAnsi="Times New Roman" w:cs="Times New Roman"/>
          <w:sz w:val="24"/>
          <w:szCs w:val="24"/>
        </w:rPr>
        <w:t xml:space="preserve"> They also assert that they are unaware that there have been slamming issues. </w:t>
      </w:r>
      <w:r w:rsidRPr="00A50D31">
        <w:rPr>
          <w:rFonts w:ascii="Times New Roman" w:eastAsia="Times New Roman" w:hAnsi="Times New Roman" w:cs="Times New Roman"/>
          <w:sz w:val="24"/>
          <w:szCs w:val="24"/>
        </w:rPr>
        <w:t xml:space="preserve">Perhaps they are unaware of the investigations against </w:t>
      </w:r>
      <w:r w:rsidR="00A740E2">
        <w:rPr>
          <w:rFonts w:ascii="Times New Roman" w:eastAsia="Times New Roman" w:hAnsi="Times New Roman" w:cs="Times New Roman"/>
          <w:sz w:val="24"/>
          <w:szCs w:val="24"/>
        </w:rPr>
        <w:t xml:space="preserve">fellow marketers like </w:t>
      </w:r>
      <w:r w:rsidRPr="00A50D31">
        <w:rPr>
          <w:rFonts w:ascii="Times New Roman" w:eastAsia="Times New Roman" w:hAnsi="Times New Roman" w:cs="Times New Roman"/>
          <w:sz w:val="24"/>
          <w:szCs w:val="24"/>
        </w:rPr>
        <w:t>Verde</w:t>
      </w:r>
      <w:r>
        <w:rPr>
          <w:rStyle w:val="FootnoteReference"/>
          <w:rFonts w:ascii="Times New Roman" w:eastAsia="Times New Roman" w:hAnsi="Times New Roman" w:cs="Times New Roman"/>
          <w:sz w:val="24"/>
          <w:szCs w:val="24"/>
        </w:rPr>
        <w:footnoteReference w:id="43"/>
      </w:r>
      <w:r w:rsidR="00A740E2">
        <w:rPr>
          <w:rFonts w:ascii="Times New Roman" w:eastAsia="Times New Roman" w:hAnsi="Times New Roman" w:cs="Times New Roman"/>
          <w:sz w:val="24"/>
          <w:szCs w:val="24"/>
        </w:rPr>
        <w:t xml:space="preserve"> and PALMco </w:t>
      </w:r>
      <w:r w:rsidRPr="00A50D31" w:rsidR="00894412">
        <w:rPr>
          <w:rFonts w:ascii="Times New Roman" w:eastAsia="Times New Roman" w:hAnsi="Times New Roman" w:cs="Times New Roman"/>
          <w:sz w:val="24"/>
          <w:szCs w:val="24"/>
        </w:rPr>
        <w:t>i</w:t>
      </w:r>
      <w:r w:rsidRPr="00A50D31">
        <w:rPr>
          <w:rFonts w:ascii="Times New Roman" w:eastAsia="Times New Roman" w:hAnsi="Times New Roman" w:cs="Times New Roman"/>
          <w:sz w:val="24"/>
          <w:szCs w:val="24"/>
        </w:rPr>
        <w:t xml:space="preserve">n Ohio, and the </w:t>
      </w:r>
      <w:r w:rsidRPr="00A50D31" w:rsidR="00E035F3">
        <w:rPr>
          <w:rFonts w:ascii="Times New Roman" w:eastAsia="Times New Roman" w:hAnsi="Times New Roman" w:cs="Times New Roman"/>
          <w:sz w:val="24"/>
          <w:szCs w:val="24"/>
        </w:rPr>
        <w:t>numerous</w:t>
      </w:r>
      <w:r w:rsidRPr="00A50D31">
        <w:rPr>
          <w:rFonts w:ascii="Times New Roman" w:eastAsia="Times New Roman" w:hAnsi="Times New Roman" w:cs="Times New Roman"/>
          <w:sz w:val="24"/>
          <w:szCs w:val="24"/>
        </w:rPr>
        <w:t xml:space="preserve"> issues with </w:t>
      </w:r>
      <w:r w:rsidR="00562424">
        <w:rPr>
          <w:rFonts w:ascii="Times New Roman" w:eastAsia="Times New Roman" w:hAnsi="Times New Roman" w:cs="Times New Roman"/>
          <w:sz w:val="24"/>
          <w:szCs w:val="24"/>
        </w:rPr>
        <w:t>m</w:t>
      </w:r>
      <w:r w:rsidRPr="00A50D31">
        <w:rPr>
          <w:rFonts w:ascii="Times New Roman" w:eastAsia="Times New Roman" w:hAnsi="Times New Roman" w:cs="Times New Roman"/>
          <w:sz w:val="24"/>
          <w:szCs w:val="24"/>
        </w:rPr>
        <w:t>arketers in other states.</w:t>
      </w:r>
      <w:r>
        <w:rPr>
          <w:rStyle w:val="FootnoteReference"/>
          <w:rFonts w:ascii="Times New Roman" w:eastAsia="Times New Roman" w:hAnsi="Times New Roman" w:cs="Times New Roman"/>
          <w:sz w:val="24"/>
          <w:szCs w:val="24"/>
        </w:rPr>
        <w:footnoteReference w:id="44"/>
      </w:r>
      <w:r w:rsidRPr="00A50D31">
        <w:rPr>
          <w:rFonts w:ascii="Times New Roman" w:eastAsia="Times New Roman" w:hAnsi="Times New Roman" w:cs="Times New Roman"/>
          <w:sz w:val="24"/>
          <w:szCs w:val="24"/>
        </w:rPr>
        <w:t xml:space="preserve"> </w:t>
      </w:r>
      <w:r w:rsidRPr="00A50D31" w:rsidR="007B11A5">
        <w:rPr>
          <w:rFonts w:ascii="Times New Roman" w:eastAsia="Times New Roman" w:hAnsi="Times New Roman" w:cs="Times New Roman"/>
          <w:sz w:val="24"/>
          <w:szCs w:val="24"/>
        </w:rPr>
        <w:t>The fact is, t</w:t>
      </w:r>
      <w:r w:rsidRPr="00A50D31">
        <w:rPr>
          <w:rFonts w:ascii="Times New Roman" w:eastAsia="Times New Roman" w:hAnsi="Times New Roman" w:cs="Times New Roman"/>
          <w:sz w:val="24"/>
          <w:szCs w:val="24"/>
        </w:rPr>
        <w:t xml:space="preserve">here </w:t>
      </w:r>
      <w:r w:rsidRPr="00A50D31" w:rsidR="007B11A5">
        <w:rPr>
          <w:rFonts w:ascii="Times New Roman" w:eastAsia="Times New Roman" w:hAnsi="Times New Roman" w:cs="Times New Roman"/>
          <w:sz w:val="24"/>
          <w:szCs w:val="24"/>
        </w:rPr>
        <w:t xml:space="preserve">truly </w:t>
      </w:r>
      <w:r w:rsidRPr="00A50D31">
        <w:rPr>
          <w:rFonts w:ascii="Times New Roman" w:eastAsia="Times New Roman" w:hAnsi="Times New Roman" w:cs="Times New Roman"/>
          <w:sz w:val="24"/>
          <w:szCs w:val="24"/>
        </w:rPr>
        <w:t xml:space="preserve">is a problem and there will continue to be a problem with </w:t>
      </w:r>
      <w:r w:rsidR="00562424">
        <w:rPr>
          <w:rFonts w:ascii="Times New Roman" w:eastAsia="Times New Roman" w:hAnsi="Times New Roman" w:cs="Times New Roman"/>
          <w:sz w:val="24"/>
          <w:szCs w:val="24"/>
        </w:rPr>
        <w:t>m</w:t>
      </w:r>
      <w:r w:rsidRPr="00A50D31">
        <w:rPr>
          <w:rFonts w:ascii="Times New Roman" w:eastAsia="Times New Roman" w:hAnsi="Times New Roman" w:cs="Times New Roman"/>
          <w:sz w:val="24"/>
          <w:szCs w:val="24"/>
        </w:rPr>
        <w:t>arketer</w:t>
      </w:r>
      <w:r w:rsidR="00A740E2">
        <w:rPr>
          <w:rFonts w:ascii="Times New Roman" w:eastAsia="Times New Roman" w:hAnsi="Times New Roman" w:cs="Times New Roman"/>
          <w:sz w:val="24"/>
          <w:szCs w:val="24"/>
        </w:rPr>
        <w:t>’</w:t>
      </w:r>
      <w:r w:rsidRPr="00A50D31">
        <w:rPr>
          <w:rFonts w:ascii="Times New Roman" w:eastAsia="Times New Roman" w:hAnsi="Times New Roman" w:cs="Times New Roman"/>
          <w:sz w:val="24"/>
          <w:szCs w:val="24"/>
        </w:rPr>
        <w:t xml:space="preserve"> abuses until consumer are provided with better tools </w:t>
      </w:r>
      <w:r w:rsidR="00A740E2">
        <w:rPr>
          <w:rFonts w:ascii="Times New Roman" w:eastAsia="Times New Roman" w:hAnsi="Times New Roman" w:cs="Times New Roman"/>
          <w:sz w:val="24"/>
          <w:szCs w:val="24"/>
        </w:rPr>
        <w:t>(like blocking).</w:t>
      </w:r>
    </w:p>
    <w:p w:rsidR="005A2B44" w:rsidRPr="00A50D31" w:rsidP="005A2B44" w14:paraId="1B21E4A0" w14:textId="7D1166A9">
      <w:pPr>
        <w:spacing w:after="0" w:line="480" w:lineRule="auto"/>
        <w:ind w:firstLine="720"/>
        <w:rPr>
          <w:rFonts w:ascii="Times New Roman" w:hAnsi="Times New Roman" w:cs="Times New Roman"/>
          <w:b/>
          <w:bCs/>
          <w:sz w:val="24"/>
          <w:szCs w:val="24"/>
        </w:rPr>
      </w:pPr>
      <w:r w:rsidRPr="00A50D31">
        <w:rPr>
          <w:rFonts w:ascii="Times New Roman" w:eastAsia="Times New Roman" w:hAnsi="Times New Roman" w:cs="Times New Roman"/>
          <w:sz w:val="24"/>
          <w:szCs w:val="24"/>
        </w:rPr>
        <w:t xml:space="preserve">As OCC mentioned in its initial comments, local telephone customers have had </w:t>
      </w:r>
      <w:r w:rsidRPr="00A50D31" w:rsidR="00A37AAD">
        <w:rPr>
          <w:rFonts w:ascii="Times New Roman" w:eastAsia="Times New Roman" w:hAnsi="Times New Roman" w:cs="Times New Roman"/>
          <w:sz w:val="24"/>
          <w:szCs w:val="24"/>
        </w:rPr>
        <w:t>the ability to block</w:t>
      </w:r>
      <w:r w:rsidRPr="00A50D31">
        <w:rPr>
          <w:rFonts w:ascii="Times New Roman" w:eastAsia="Times New Roman" w:hAnsi="Times New Roman" w:cs="Times New Roman"/>
          <w:sz w:val="24"/>
          <w:szCs w:val="24"/>
        </w:rPr>
        <w:t xml:space="preserve"> since 2003</w:t>
      </w:r>
      <w:r w:rsidRPr="00A50D31" w:rsidR="00740C40">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5"/>
      </w:r>
      <w:r w:rsidRPr="00A50D31" w:rsidR="00740C40">
        <w:rPr>
          <w:rFonts w:ascii="Times New Roman" w:eastAsia="Times New Roman" w:hAnsi="Times New Roman" w:cs="Times New Roman"/>
          <w:sz w:val="24"/>
          <w:szCs w:val="24"/>
        </w:rPr>
        <w:t xml:space="preserve"> </w:t>
      </w:r>
      <w:r w:rsidRPr="00A50D31">
        <w:rPr>
          <w:rFonts w:ascii="Times New Roman" w:eastAsia="Times New Roman" w:hAnsi="Times New Roman" w:cs="Times New Roman"/>
          <w:sz w:val="24"/>
          <w:szCs w:val="24"/>
        </w:rPr>
        <w:t xml:space="preserve">The PUCO should give gas consumers </w:t>
      </w:r>
      <w:r w:rsidRPr="00A50D31" w:rsidR="000E11AE">
        <w:rPr>
          <w:rFonts w:ascii="Times New Roman" w:eastAsia="Times New Roman" w:hAnsi="Times New Roman" w:cs="Times New Roman"/>
          <w:sz w:val="24"/>
          <w:szCs w:val="24"/>
        </w:rPr>
        <w:t xml:space="preserve">the same protection against slamming that local telephone consumers have had for over 16 years. </w:t>
      </w:r>
      <w:r w:rsidRPr="00A50D31">
        <w:rPr>
          <w:rFonts w:ascii="Times New Roman" w:eastAsia="Times New Roman" w:hAnsi="Times New Roman" w:cs="Times New Roman"/>
          <w:sz w:val="24"/>
          <w:szCs w:val="24"/>
        </w:rPr>
        <w:t>To protect consumers against slamming, the PUCO should adopt the Staff proposed rule in Ohio Adm. Code 4901:1-13-12(G).</w:t>
      </w:r>
      <w:r w:rsidRPr="00A50D31" w:rsidR="00135A3A">
        <w:rPr>
          <w:rFonts w:ascii="Times New Roman" w:eastAsia="Times New Roman" w:hAnsi="Times New Roman" w:cs="Times New Roman"/>
          <w:sz w:val="24"/>
          <w:szCs w:val="24"/>
        </w:rPr>
        <w:t xml:space="preserve"> </w:t>
      </w:r>
    </w:p>
    <w:p w:rsidR="00E754A1" w:rsidRPr="00A50D31" w:rsidP="00740C40" w14:paraId="7BB6C8C1" w14:textId="24991452">
      <w:pPr>
        <w:pStyle w:val="Heading2"/>
      </w:pPr>
      <w:bookmarkStart w:id="14" w:name="_Toc31017100"/>
      <w:bookmarkStart w:id="15" w:name="_Toc31380628"/>
      <w:r w:rsidRPr="00A50D31">
        <w:t xml:space="preserve">The </w:t>
      </w:r>
      <w:r>
        <w:t>PUCO</w:t>
      </w:r>
      <w:r w:rsidRPr="00A50D31">
        <w:t xml:space="preserve"> should provide additional consumer protections regarding marketer contract portability.</w:t>
      </w:r>
      <w:bookmarkEnd w:id="14"/>
      <w:bookmarkEnd w:id="15"/>
      <w:r w:rsidRPr="00A50D31">
        <w:t xml:space="preserve"> </w:t>
      </w:r>
    </w:p>
    <w:p w:rsidR="00992227" w:rsidRPr="00A50D31" w:rsidP="00992227" w14:paraId="6D12A0AB" w14:textId="102D1BB6">
      <w:pPr>
        <w:spacing w:after="0" w:line="480" w:lineRule="auto"/>
        <w:ind w:firstLine="720"/>
        <w:rPr>
          <w:rFonts w:ascii="Times New Roman" w:eastAsia="Times New Roman" w:hAnsi="Times New Roman" w:cs="Times New Roman"/>
          <w:sz w:val="24"/>
          <w:szCs w:val="24"/>
        </w:rPr>
      </w:pPr>
      <w:r w:rsidRPr="00A50D31">
        <w:rPr>
          <w:rFonts w:ascii="Times New Roman" w:eastAsia="Times New Roman" w:hAnsi="Times New Roman" w:cs="Times New Roman"/>
          <w:sz w:val="24"/>
          <w:szCs w:val="24"/>
        </w:rPr>
        <w:t xml:space="preserve">The PUCO Staff proposed a new rule in Ohio Adm. Code 4901:1-13-12(H) that requires a gas utility to advise customers cancelling service at one address and initiating service </w:t>
      </w:r>
      <w:r w:rsidR="00A740E2">
        <w:rPr>
          <w:rFonts w:ascii="Times New Roman" w:eastAsia="Times New Roman" w:hAnsi="Times New Roman" w:cs="Times New Roman"/>
          <w:sz w:val="24"/>
          <w:szCs w:val="24"/>
        </w:rPr>
        <w:t>elsewhere</w:t>
      </w:r>
      <w:r w:rsidRPr="00A50D31">
        <w:rPr>
          <w:rFonts w:ascii="Times New Roman" w:eastAsia="Times New Roman" w:hAnsi="Times New Roman" w:cs="Times New Roman"/>
          <w:sz w:val="24"/>
          <w:szCs w:val="24"/>
        </w:rPr>
        <w:t xml:space="preserve"> in their service territory </w:t>
      </w:r>
      <w:r w:rsidR="00A740E2">
        <w:rPr>
          <w:rFonts w:ascii="Times New Roman" w:eastAsia="Times New Roman" w:hAnsi="Times New Roman" w:cs="Times New Roman"/>
          <w:sz w:val="24"/>
          <w:szCs w:val="24"/>
        </w:rPr>
        <w:t xml:space="preserve">that </w:t>
      </w:r>
      <w:r w:rsidRPr="00A50D31">
        <w:rPr>
          <w:rFonts w:ascii="Times New Roman" w:eastAsia="Times New Roman" w:hAnsi="Times New Roman" w:cs="Times New Roman"/>
          <w:sz w:val="24"/>
          <w:szCs w:val="24"/>
        </w:rPr>
        <w:t>their gas marketer will remain the same at the new address.</w:t>
      </w:r>
      <w:r w:rsidRPr="00A50D31" w:rsidR="00102FA2">
        <w:rPr>
          <w:rFonts w:ascii="Times New Roman" w:eastAsia="Times New Roman" w:hAnsi="Times New Roman" w:cs="Times New Roman"/>
          <w:sz w:val="24"/>
          <w:szCs w:val="24"/>
        </w:rPr>
        <w:t xml:space="preserve"> </w:t>
      </w:r>
      <w:r w:rsidRPr="00A50D31" w:rsidR="007F0227">
        <w:rPr>
          <w:rFonts w:ascii="Times New Roman" w:eastAsia="Times New Roman" w:hAnsi="Times New Roman" w:cs="Times New Roman"/>
          <w:sz w:val="24"/>
          <w:szCs w:val="24"/>
        </w:rPr>
        <w:t xml:space="preserve">The OCC does not support contract portability unless the practice </w:t>
      </w:r>
      <w:r w:rsidRPr="00A50D31" w:rsidR="00D435A7">
        <w:rPr>
          <w:rFonts w:ascii="Times New Roman" w:eastAsia="Times New Roman" w:hAnsi="Times New Roman" w:cs="Times New Roman"/>
          <w:sz w:val="24"/>
          <w:szCs w:val="24"/>
        </w:rPr>
        <w:t xml:space="preserve">and specific details for how the transfer occurs </w:t>
      </w:r>
      <w:r w:rsidRPr="00A50D31" w:rsidR="007F0227">
        <w:rPr>
          <w:rFonts w:ascii="Times New Roman" w:eastAsia="Times New Roman" w:hAnsi="Times New Roman" w:cs="Times New Roman"/>
          <w:sz w:val="24"/>
          <w:szCs w:val="24"/>
        </w:rPr>
        <w:t xml:space="preserve">is authorized by the PUCO in the gas </w:t>
      </w:r>
      <w:r w:rsidR="00053875">
        <w:rPr>
          <w:rFonts w:ascii="Times New Roman" w:eastAsia="Times New Roman" w:hAnsi="Times New Roman" w:cs="Times New Roman"/>
          <w:sz w:val="24"/>
          <w:szCs w:val="24"/>
        </w:rPr>
        <w:t>utilities</w:t>
      </w:r>
      <w:r w:rsidR="00A740E2">
        <w:rPr>
          <w:rFonts w:ascii="Times New Roman" w:eastAsia="Times New Roman" w:hAnsi="Times New Roman" w:cs="Times New Roman"/>
          <w:sz w:val="24"/>
          <w:szCs w:val="24"/>
        </w:rPr>
        <w:t>’</w:t>
      </w:r>
      <w:r w:rsidRPr="00A50D31" w:rsidR="007F0227">
        <w:rPr>
          <w:rFonts w:ascii="Times New Roman" w:eastAsia="Times New Roman" w:hAnsi="Times New Roman" w:cs="Times New Roman"/>
          <w:sz w:val="24"/>
          <w:szCs w:val="24"/>
        </w:rPr>
        <w:t xml:space="preserve"> tariffs</w:t>
      </w:r>
      <w:r w:rsidRPr="00A50D31" w:rsidR="003C176A">
        <w:rPr>
          <w:rFonts w:ascii="Times New Roman" w:eastAsia="Times New Roman" w:hAnsi="Times New Roman" w:cs="Times New Roman"/>
          <w:sz w:val="24"/>
          <w:szCs w:val="24"/>
        </w:rPr>
        <w:t>, as it stated in its initial comments</w:t>
      </w:r>
      <w:r w:rsidRPr="00A50D31" w:rsidR="007F0227">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6"/>
      </w:r>
    </w:p>
    <w:p w:rsidR="008912C3" w:rsidP="00634D00" w14:paraId="22CB96E6"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Gas </w:t>
      </w:r>
      <w:r w:rsidR="00C31901">
        <w:rPr>
          <w:rFonts w:ascii="Times New Roman" w:hAnsi="Times New Roman" w:cs="Times New Roman"/>
          <w:sz w:val="24"/>
          <w:szCs w:val="24"/>
        </w:rPr>
        <w:t>Utilities</w:t>
      </w:r>
      <w:r w:rsidRPr="00A50D31" w:rsidR="00C434DB">
        <w:rPr>
          <w:rFonts w:ascii="Times New Roman" w:hAnsi="Times New Roman" w:cs="Times New Roman"/>
          <w:sz w:val="24"/>
          <w:szCs w:val="24"/>
        </w:rPr>
        <w:t xml:space="preserve"> comment </w:t>
      </w:r>
      <w:r w:rsidRPr="00A50D31" w:rsidR="00AC103C">
        <w:rPr>
          <w:rFonts w:ascii="Times New Roman" w:hAnsi="Times New Roman" w:cs="Times New Roman"/>
          <w:sz w:val="24"/>
          <w:szCs w:val="24"/>
        </w:rPr>
        <w:t xml:space="preserve">that this rule is concerning because it implies </w:t>
      </w:r>
      <w:r w:rsidRPr="00A50D31" w:rsidR="00C434DB">
        <w:rPr>
          <w:rFonts w:ascii="Times New Roman" w:hAnsi="Times New Roman" w:cs="Times New Roman"/>
          <w:sz w:val="24"/>
          <w:szCs w:val="24"/>
        </w:rPr>
        <w:t xml:space="preserve">the supplier will transfer </w:t>
      </w:r>
      <w:r w:rsidRPr="00A50D31" w:rsidR="00AC103C">
        <w:rPr>
          <w:rFonts w:ascii="Times New Roman" w:hAnsi="Times New Roman" w:cs="Times New Roman"/>
          <w:sz w:val="24"/>
          <w:szCs w:val="24"/>
        </w:rPr>
        <w:t xml:space="preserve">a contract </w:t>
      </w:r>
      <w:r w:rsidR="00634D00">
        <w:rPr>
          <w:rFonts w:ascii="Times New Roman" w:hAnsi="Times New Roman" w:cs="Times New Roman"/>
          <w:sz w:val="24"/>
          <w:szCs w:val="24"/>
        </w:rPr>
        <w:t xml:space="preserve">or that a customer </w:t>
      </w:r>
      <w:r w:rsidRPr="009403E0" w:rsidR="00634D00">
        <w:rPr>
          <w:rFonts w:ascii="Times New Roman" w:hAnsi="Times New Roman" w:cs="Times New Roman"/>
          <w:i/>
          <w:iCs/>
          <w:sz w:val="24"/>
          <w:szCs w:val="24"/>
        </w:rPr>
        <w:t>should</w:t>
      </w:r>
      <w:r w:rsidR="00634D00">
        <w:rPr>
          <w:rFonts w:ascii="Times New Roman" w:hAnsi="Times New Roman" w:cs="Times New Roman"/>
          <w:sz w:val="24"/>
          <w:szCs w:val="24"/>
        </w:rPr>
        <w:t xml:space="preserve"> change their natural gas source </w:t>
      </w:r>
      <w:r w:rsidRPr="00A50D31" w:rsidR="00AC103C">
        <w:rPr>
          <w:rFonts w:ascii="Times New Roman" w:hAnsi="Times New Roman" w:cs="Times New Roman"/>
          <w:sz w:val="24"/>
          <w:szCs w:val="24"/>
        </w:rPr>
        <w:t>in all instances</w:t>
      </w:r>
      <w:r w:rsidRPr="00A50D31" w:rsidR="005829B3">
        <w:rPr>
          <w:rFonts w:ascii="Times New Roman" w:hAnsi="Times New Roman" w:cs="Times New Roman"/>
          <w:sz w:val="24"/>
          <w:szCs w:val="24"/>
        </w:rPr>
        <w:t>.</w:t>
      </w:r>
      <w:r>
        <w:rPr>
          <w:rStyle w:val="FootnoteReference"/>
          <w:rFonts w:ascii="Times New Roman" w:hAnsi="Times New Roman" w:cs="Times New Roman"/>
          <w:sz w:val="24"/>
          <w:szCs w:val="24"/>
        </w:rPr>
        <w:footnoteReference w:id="47"/>
      </w:r>
      <w:r w:rsidRPr="00A50D31" w:rsidR="00C434DB">
        <w:rPr>
          <w:rFonts w:ascii="Times New Roman" w:hAnsi="Times New Roman" w:cs="Times New Roman"/>
          <w:sz w:val="24"/>
          <w:szCs w:val="24"/>
        </w:rPr>
        <w:t xml:space="preserve"> </w:t>
      </w:r>
      <w:r w:rsidR="00DF1516">
        <w:rPr>
          <w:rFonts w:ascii="Times New Roman" w:hAnsi="Times New Roman" w:cs="Times New Roman"/>
          <w:sz w:val="24"/>
          <w:szCs w:val="24"/>
        </w:rPr>
        <w:t>Similarly,</w:t>
      </w:r>
      <w:r w:rsidR="00634D00">
        <w:rPr>
          <w:rFonts w:ascii="Times New Roman" w:hAnsi="Times New Roman" w:cs="Times New Roman"/>
          <w:sz w:val="24"/>
          <w:szCs w:val="24"/>
        </w:rPr>
        <w:t xml:space="preserve"> </w:t>
      </w:r>
      <w:r w:rsidRPr="00A50D31" w:rsidR="00154E09">
        <w:rPr>
          <w:rFonts w:ascii="Times New Roman" w:hAnsi="Times New Roman" w:cs="Times New Roman"/>
          <w:sz w:val="24"/>
          <w:szCs w:val="24"/>
        </w:rPr>
        <w:t xml:space="preserve">RESA </w:t>
      </w:r>
      <w:r w:rsidR="00634D00">
        <w:rPr>
          <w:rFonts w:ascii="Times New Roman" w:hAnsi="Times New Roman" w:cs="Times New Roman"/>
          <w:sz w:val="24"/>
          <w:szCs w:val="24"/>
        </w:rPr>
        <w:t>comments that</w:t>
      </w:r>
      <w:r w:rsidRPr="00A50D31" w:rsidR="00154E09">
        <w:rPr>
          <w:rFonts w:ascii="Times New Roman" w:hAnsi="Times New Roman" w:cs="Times New Roman"/>
          <w:sz w:val="24"/>
          <w:szCs w:val="24"/>
        </w:rPr>
        <w:t xml:space="preserve"> </w:t>
      </w:r>
      <w:r w:rsidRPr="00A50D31" w:rsidR="002822A1">
        <w:rPr>
          <w:rFonts w:ascii="Times New Roman" w:hAnsi="Times New Roman" w:cs="Times New Roman"/>
          <w:sz w:val="24"/>
          <w:szCs w:val="24"/>
        </w:rPr>
        <w:t xml:space="preserve">the </w:t>
      </w:r>
      <w:r w:rsidRPr="00A50D31" w:rsidR="00154E09">
        <w:rPr>
          <w:rFonts w:ascii="Times New Roman" w:hAnsi="Times New Roman" w:cs="Times New Roman"/>
          <w:sz w:val="24"/>
          <w:szCs w:val="24"/>
        </w:rPr>
        <w:t>gas</w:t>
      </w:r>
      <w:r w:rsidRPr="00A50D31" w:rsidR="002822A1">
        <w:rPr>
          <w:rFonts w:ascii="Times New Roman" w:hAnsi="Times New Roman" w:cs="Times New Roman"/>
          <w:sz w:val="24"/>
          <w:szCs w:val="24"/>
        </w:rPr>
        <w:t xml:space="preserve"> </w:t>
      </w:r>
      <w:r w:rsidRPr="00A50D31" w:rsidR="00154E09">
        <w:rPr>
          <w:rFonts w:ascii="Times New Roman" w:hAnsi="Times New Roman" w:cs="Times New Roman"/>
          <w:sz w:val="24"/>
          <w:szCs w:val="24"/>
        </w:rPr>
        <w:t xml:space="preserve">company </w:t>
      </w:r>
      <w:r w:rsidRPr="00A50D31" w:rsidR="002822A1">
        <w:rPr>
          <w:rFonts w:ascii="Times New Roman" w:hAnsi="Times New Roman" w:cs="Times New Roman"/>
          <w:sz w:val="24"/>
          <w:szCs w:val="24"/>
        </w:rPr>
        <w:t xml:space="preserve">should not be “advising” the customer of what to do </w:t>
      </w:r>
      <w:r w:rsidRPr="00A50D31" w:rsidR="008A3F2A">
        <w:rPr>
          <w:rFonts w:ascii="Times New Roman" w:hAnsi="Times New Roman" w:cs="Times New Roman"/>
          <w:sz w:val="24"/>
          <w:szCs w:val="24"/>
        </w:rPr>
        <w:t>regarding</w:t>
      </w:r>
      <w:r w:rsidR="00D04897">
        <w:rPr>
          <w:rFonts w:ascii="Times New Roman" w:hAnsi="Times New Roman" w:cs="Times New Roman"/>
          <w:sz w:val="24"/>
          <w:szCs w:val="24"/>
        </w:rPr>
        <w:t xml:space="preserve"> </w:t>
      </w:r>
      <w:r w:rsidR="00562424">
        <w:rPr>
          <w:rFonts w:ascii="Times New Roman" w:hAnsi="Times New Roman" w:cs="Times New Roman"/>
          <w:sz w:val="24"/>
          <w:szCs w:val="24"/>
        </w:rPr>
        <w:t>m</w:t>
      </w:r>
      <w:r w:rsidRPr="00A50D31" w:rsidR="008A3F2A">
        <w:rPr>
          <w:rFonts w:ascii="Times New Roman" w:hAnsi="Times New Roman" w:cs="Times New Roman"/>
          <w:sz w:val="24"/>
          <w:szCs w:val="24"/>
        </w:rPr>
        <w:t xml:space="preserve">arketer </w:t>
      </w:r>
      <w:r w:rsidRPr="00A50D31" w:rsidR="002822A1">
        <w:rPr>
          <w:rFonts w:ascii="Times New Roman" w:hAnsi="Times New Roman" w:cs="Times New Roman"/>
          <w:sz w:val="24"/>
          <w:szCs w:val="24"/>
        </w:rPr>
        <w:t>service</w:t>
      </w:r>
      <w:r w:rsidRPr="00A50D31" w:rsidR="008A3F2A">
        <w:rPr>
          <w:rFonts w:ascii="Times New Roman" w:hAnsi="Times New Roman" w:cs="Times New Roman"/>
          <w:sz w:val="24"/>
          <w:szCs w:val="24"/>
        </w:rPr>
        <w:t>s</w:t>
      </w:r>
      <w:r w:rsidRPr="00A50D31" w:rsidR="002822A1">
        <w:rPr>
          <w:rFonts w:ascii="Times New Roman" w:hAnsi="Times New Roman" w:cs="Times New Roman"/>
          <w:sz w:val="24"/>
          <w:szCs w:val="24"/>
        </w:rPr>
        <w:t>.</w:t>
      </w:r>
      <w:r>
        <w:rPr>
          <w:rStyle w:val="FootnoteReference"/>
          <w:rFonts w:ascii="Times New Roman" w:hAnsi="Times New Roman" w:cs="Times New Roman"/>
          <w:sz w:val="24"/>
          <w:szCs w:val="24"/>
        </w:rPr>
        <w:footnoteReference w:id="48"/>
      </w:r>
      <w:r w:rsidRPr="00A50D31" w:rsidR="002822A1">
        <w:rPr>
          <w:rFonts w:ascii="Times New Roman" w:hAnsi="Times New Roman" w:cs="Times New Roman"/>
          <w:sz w:val="24"/>
          <w:szCs w:val="24"/>
        </w:rPr>
        <w:t xml:space="preserve"> </w:t>
      </w:r>
    </w:p>
    <w:p w:rsidR="00634D00" w:rsidP="00634D00" w14:paraId="050B90DF" w14:textId="25BC98C2">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T</w:t>
      </w:r>
      <w:r>
        <w:rPr>
          <w:rFonts w:ascii="Times New Roman" w:eastAsia="Times New Roman" w:hAnsi="Times New Roman" w:cs="Times New Roman"/>
          <w:sz w:val="24"/>
          <w:szCs w:val="24"/>
        </w:rPr>
        <w:t xml:space="preserve">he Gas </w:t>
      </w:r>
      <w:r w:rsidR="00C31901">
        <w:rPr>
          <w:rFonts w:ascii="Times New Roman" w:eastAsia="Times New Roman" w:hAnsi="Times New Roman" w:cs="Times New Roman"/>
          <w:sz w:val="24"/>
          <w:szCs w:val="24"/>
        </w:rPr>
        <w:t>Utilities</w:t>
      </w:r>
      <w:r>
        <w:rPr>
          <w:rFonts w:ascii="Times New Roman" w:eastAsia="Times New Roman" w:hAnsi="Times New Roman" w:cs="Times New Roman"/>
          <w:sz w:val="24"/>
          <w:szCs w:val="24"/>
        </w:rPr>
        <w:t xml:space="preserve"> and RESA are overreacting to the proposed rule. </w:t>
      </w:r>
      <w:r>
        <w:rPr>
          <w:rFonts w:ascii="Times New Roman" w:hAnsi="Times New Roman" w:cs="Times New Roman"/>
          <w:sz w:val="24"/>
          <w:szCs w:val="24"/>
        </w:rPr>
        <w:t xml:space="preserve">The proposed </w:t>
      </w:r>
      <w:r w:rsidR="003C0F81">
        <w:rPr>
          <w:rFonts w:ascii="Times New Roman" w:hAnsi="Times New Roman" w:cs="Times New Roman"/>
          <w:sz w:val="24"/>
          <w:szCs w:val="24"/>
        </w:rPr>
        <w:t xml:space="preserve">rule </w:t>
      </w:r>
      <w:r w:rsidR="008912C3">
        <w:rPr>
          <w:rFonts w:ascii="Times New Roman" w:hAnsi="Times New Roman" w:cs="Times New Roman"/>
          <w:sz w:val="24"/>
          <w:szCs w:val="24"/>
        </w:rPr>
        <w:t>is not</w:t>
      </w:r>
      <w:r>
        <w:rPr>
          <w:rFonts w:ascii="Times New Roman" w:hAnsi="Times New Roman" w:cs="Times New Roman"/>
          <w:sz w:val="24"/>
          <w:szCs w:val="24"/>
        </w:rPr>
        <w:t xml:space="preserve"> a guarantee or recommendation that a customer’s contract will transfer. Nor will the Gas </w:t>
      </w:r>
      <w:r w:rsidR="00C31901">
        <w:rPr>
          <w:rFonts w:ascii="Times New Roman" w:hAnsi="Times New Roman" w:cs="Times New Roman"/>
          <w:sz w:val="24"/>
          <w:szCs w:val="24"/>
        </w:rPr>
        <w:t xml:space="preserve">Utilities </w:t>
      </w:r>
      <w:r>
        <w:rPr>
          <w:rFonts w:ascii="Times New Roman" w:hAnsi="Times New Roman" w:cs="Times New Roman"/>
          <w:sz w:val="24"/>
          <w:szCs w:val="24"/>
        </w:rPr>
        <w:t xml:space="preserve">be in the position of “advising” a customer on what they should do. The Gas </w:t>
      </w:r>
      <w:r w:rsidR="00C31901">
        <w:rPr>
          <w:rFonts w:ascii="Times New Roman" w:hAnsi="Times New Roman" w:cs="Times New Roman"/>
          <w:sz w:val="24"/>
          <w:szCs w:val="24"/>
        </w:rPr>
        <w:t>Utilities</w:t>
      </w:r>
      <w:r>
        <w:rPr>
          <w:rFonts w:ascii="Times New Roman" w:hAnsi="Times New Roman" w:cs="Times New Roman"/>
          <w:sz w:val="24"/>
          <w:szCs w:val="24"/>
        </w:rPr>
        <w:t xml:space="preserve"> are merely provid</w:t>
      </w:r>
      <w:r w:rsidR="008912C3">
        <w:rPr>
          <w:rFonts w:ascii="Times New Roman" w:hAnsi="Times New Roman" w:cs="Times New Roman"/>
          <w:sz w:val="24"/>
          <w:szCs w:val="24"/>
        </w:rPr>
        <w:t xml:space="preserve">ing </w:t>
      </w:r>
      <w:r>
        <w:rPr>
          <w:rFonts w:ascii="Times New Roman" w:hAnsi="Times New Roman" w:cs="Times New Roman"/>
          <w:sz w:val="24"/>
          <w:szCs w:val="24"/>
        </w:rPr>
        <w:t xml:space="preserve">information to the customer. </w:t>
      </w:r>
      <w:r>
        <w:rPr>
          <w:rFonts w:ascii="Times New Roman" w:eastAsia="Times New Roman" w:hAnsi="Times New Roman" w:cs="Times New Roman"/>
          <w:sz w:val="24"/>
          <w:szCs w:val="24"/>
        </w:rPr>
        <w:t xml:space="preserve">However, as the OCC </w:t>
      </w:r>
      <w:r w:rsidRPr="00A50D31">
        <w:rPr>
          <w:rFonts w:ascii="Times New Roman" w:eastAsia="Times New Roman" w:hAnsi="Times New Roman" w:cs="Times New Roman"/>
          <w:sz w:val="24"/>
          <w:szCs w:val="24"/>
        </w:rPr>
        <w:t xml:space="preserve">stated in its initial comments, the availability of contract portability should be prohibited unless the practice and details are authorized by the PUCO in the gas </w:t>
      </w:r>
      <w:r w:rsidR="008912C3">
        <w:rPr>
          <w:rFonts w:ascii="Times New Roman" w:eastAsia="Times New Roman" w:hAnsi="Times New Roman" w:cs="Times New Roman"/>
          <w:sz w:val="24"/>
          <w:szCs w:val="24"/>
        </w:rPr>
        <w:t>utility t</w:t>
      </w:r>
      <w:r w:rsidRPr="00A50D31">
        <w:rPr>
          <w:rFonts w:ascii="Times New Roman" w:eastAsia="Times New Roman" w:hAnsi="Times New Roman" w:cs="Times New Roman"/>
          <w:sz w:val="24"/>
          <w:szCs w:val="24"/>
        </w:rPr>
        <w:t>ariffs</w:t>
      </w:r>
      <w:r>
        <w:rPr>
          <w:rFonts w:ascii="Times New Roman" w:eastAsia="Times New Roman" w:hAnsi="Times New Roman" w:cs="Times New Roman"/>
          <w:sz w:val="24"/>
          <w:szCs w:val="24"/>
        </w:rPr>
        <w:t xml:space="preserve"> </w:t>
      </w:r>
      <w:r w:rsidRPr="00A50D31">
        <w:rPr>
          <w:rFonts w:ascii="Times New Roman" w:eastAsia="Times New Roman" w:hAnsi="Times New Roman" w:cs="Times New Roman"/>
          <w:sz w:val="24"/>
          <w:szCs w:val="24"/>
        </w:rPr>
        <w:t>to protect customers against slamming.</w:t>
      </w:r>
      <w:r>
        <w:rPr>
          <w:rStyle w:val="FootnoteReference"/>
          <w:rFonts w:ascii="Times New Roman" w:eastAsia="Times New Roman" w:hAnsi="Times New Roman" w:cs="Times New Roman"/>
          <w:sz w:val="24"/>
          <w:szCs w:val="24"/>
        </w:rPr>
        <w:footnoteReference w:id="49"/>
      </w:r>
      <w:r w:rsidRPr="00A50D31">
        <w:rPr>
          <w:rFonts w:ascii="Times New Roman" w:eastAsia="Times New Roman" w:hAnsi="Times New Roman" w:cs="Times New Roman"/>
          <w:sz w:val="24"/>
          <w:szCs w:val="24"/>
        </w:rPr>
        <w:t xml:space="preserve"> Specifically, the continuation of service from a marketer at the new address cannot occur unless the customer consents and provides their account number to authorize the change. </w:t>
      </w:r>
    </w:p>
    <w:p w:rsidR="00485C8A" w:rsidRPr="00A50D31" w:rsidP="00485C8A" w14:paraId="0CF57B1D" w14:textId="5D691F68">
      <w:pPr>
        <w:spacing w:after="0" w:line="480" w:lineRule="auto"/>
        <w:ind w:firstLine="720"/>
        <w:rPr>
          <w:rFonts w:ascii="Times New Roman" w:eastAsia="Times New Roman" w:hAnsi="Times New Roman" w:cs="Times New Roman"/>
          <w:sz w:val="24"/>
          <w:szCs w:val="24"/>
        </w:rPr>
      </w:pPr>
      <w:r w:rsidRPr="00A50D31">
        <w:rPr>
          <w:rFonts w:ascii="Times New Roman" w:hAnsi="Times New Roman" w:cs="Times New Roman"/>
          <w:sz w:val="24"/>
          <w:szCs w:val="24"/>
        </w:rPr>
        <w:t>The Farm Bureau provided comments that asks the PUCO to expand the term “contract portability.”</w:t>
      </w:r>
      <w:r>
        <w:rPr>
          <w:rStyle w:val="FootnoteReference"/>
          <w:rFonts w:ascii="Times New Roman" w:hAnsi="Times New Roman" w:cs="Times New Roman"/>
          <w:sz w:val="24"/>
          <w:szCs w:val="24"/>
        </w:rPr>
        <w:footnoteReference w:id="50"/>
      </w:r>
      <w:r w:rsidRPr="00A50D31">
        <w:rPr>
          <w:rFonts w:ascii="Times New Roman" w:hAnsi="Times New Roman" w:cs="Times New Roman"/>
          <w:sz w:val="24"/>
          <w:szCs w:val="24"/>
        </w:rPr>
        <w:t xml:space="preserve"> The Farm Bureau explains that many agricultural operations may have an opportunity to expand their operations, resulting in locations that cannot be served by one meter.</w:t>
      </w:r>
      <w:r>
        <w:rPr>
          <w:rStyle w:val="FootnoteReference"/>
          <w:rFonts w:ascii="Times New Roman" w:hAnsi="Times New Roman" w:cs="Times New Roman"/>
          <w:sz w:val="24"/>
          <w:szCs w:val="24"/>
        </w:rPr>
        <w:footnoteReference w:id="51"/>
      </w:r>
      <w:r w:rsidRPr="00A50D31">
        <w:rPr>
          <w:rFonts w:ascii="Times New Roman" w:hAnsi="Times New Roman" w:cs="Times New Roman"/>
          <w:sz w:val="24"/>
          <w:szCs w:val="24"/>
        </w:rPr>
        <w:t xml:space="preserve"> The Farm Bureau recommends that provisions should be made for the customer to work directly with the gas company and contracted </w:t>
      </w:r>
      <w:r>
        <w:rPr>
          <w:rFonts w:ascii="Times New Roman" w:hAnsi="Times New Roman" w:cs="Times New Roman"/>
          <w:sz w:val="24"/>
          <w:szCs w:val="24"/>
        </w:rPr>
        <w:t>a</w:t>
      </w:r>
      <w:r w:rsidRPr="00A50D31">
        <w:rPr>
          <w:rFonts w:ascii="Times New Roman" w:hAnsi="Times New Roman" w:cs="Times New Roman"/>
          <w:sz w:val="24"/>
          <w:szCs w:val="24"/>
        </w:rPr>
        <w:t xml:space="preserve">ggregator and/or </w:t>
      </w:r>
      <w:r>
        <w:rPr>
          <w:rFonts w:ascii="Times New Roman" w:hAnsi="Times New Roman" w:cs="Times New Roman"/>
          <w:sz w:val="24"/>
          <w:szCs w:val="24"/>
        </w:rPr>
        <w:t>m</w:t>
      </w:r>
      <w:r w:rsidRPr="00A50D31">
        <w:rPr>
          <w:rFonts w:ascii="Times New Roman" w:hAnsi="Times New Roman" w:cs="Times New Roman"/>
          <w:sz w:val="24"/>
          <w:szCs w:val="24"/>
        </w:rPr>
        <w:t>arketer to ensure additional supplies can be delivered to a new and/or expanded location within the utility service area.</w:t>
      </w:r>
      <w:r>
        <w:rPr>
          <w:rStyle w:val="FootnoteReference"/>
          <w:rFonts w:ascii="Times New Roman" w:hAnsi="Times New Roman" w:cs="Times New Roman"/>
          <w:sz w:val="24"/>
          <w:szCs w:val="24"/>
        </w:rPr>
        <w:footnoteReference w:id="52"/>
      </w:r>
      <w:r w:rsidRPr="00A50D31">
        <w:rPr>
          <w:rFonts w:ascii="Times New Roman" w:hAnsi="Times New Roman" w:cs="Times New Roman"/>
          <w:sz w:val="24"/>
          <w:szCs w:val="24"/>
        </w:rPr>
        <w:t xml:space="preserve"> The Farm Bureau proposed that Staff’s proposed term be amended to facilitate the addition of meters or additional service locations onto an existing contract.</w:t>
      </w:r>
      <w:r w:rsidRPr="00A50D31">
        <w:rPr>
          <w:rFonts w:ascii="Times New Roman" w:eastAsia="Times New Roman" w:hAnsi="Times New Roman" w:cs="Times New Roman"/>
          <w:sz w:val="24"/>
          <w:szCs w:val="24"/>
        </w:rPr>
        <w:t xml:space="preserve"> The OCC does not take issue with the Farm Bureau’s request to expand the term “contract portability” to permit customers to have additional meters or service locations under the same contract. The customer should have the ability to choose a configuration that works best for them, </w:t>
      </w:r>
      <w:r w:rsidR="008912C3">
        <w:rPr>
          <w:rFonts w:ascii="Times New Roman" w:eastAsia="Times New Roman" w:hAnsi="Times New Roman" w:cs="Times New Roman"/>
          <w:sz w:val="24"/>
          <w:szCs w:val="24"/>
        </w:rPr>
        <w:t xml:space="preserve">so </w:t>
      </w:r>
      <w:r w:rsidRPr="00A50D31">
        <w:rPr>
          <w:rFonts w:ascii="Times New Roman" w:eastAsia="Times New Roman" w:hAnsi="Times New Roman" w:cs="Times New Roman"/>
          <w:sz w:val="24"/>
          <w:szCs w:val="24"/>
        </w:rPr>
        <w:t xml:space="preserve">long as this is authorized by the PUCO and provided in the gas </w:t>
      </w:r>
      <w:r w:rsidR="00AC2B3C">
        <w:rPr>
          <w:rFonts w:ascii="Times New Roman" w:eastAsia="Times New Roman" w:hAnsi="Times New Roman" w:cs="Times New Roman"/>
          <w:sz w:val="24"/>
          <w:szCs w:val="24"/>
        </w:rPr>
        <w:t>utility</w:t>
      </w:r>
      <w:r w:rsidRPr="00A50D31">
        <w:rPr>
          <w:rFonts w:ascii="Times New Roman" w:eastAsia="Times New Roman" w:hAnsi="Times New Roman" w:cs="Times New Roman"/>
          <w:sz w:val="24"/>
          <w:szCs w:val="24"/>
        </w:rPr>
        <w:t xml:space="preserve"> tariffs.</w:t>
      </w:r>
    </w:p>
    <w:p w:rsidR="00634D00" w:rsidP="00634D00" w14:paraId="27C15D1B" w14:textId="4497EE4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A50D31">
        <w:rPr>
          <w:rFonts w:ascii="Times New Roman" w:eastAsia="Times New Roman" w:hAnsi="Times New Roman" w:cs="Times New Roman"/>
          <w:sz w:val="24"/>
          <w:szCs w:val="24"/>
        </w:rPr>
        <w:t xml:space="preserve"> OCC remains concerned </w:t>
      </w:r>
      <w:r w:rsidR="008912C3">
        <w:rPr>
          <w:rFonts w:ascii="Times New Roman" w:eastAsia="Times New Roman" w:hAnsi="Times New Roman" w:cs="Times New Roman"/>
          <w:sz w:val="24"/>
          <w:szCs w:val="24"/>
        </w:rPr>
        <w:t>that</w:t>
      </w:r>
      <w:r w:rsidRPr="00A50D31">
        <w:rPr>
          <w:rFonts w:ascii="Times New Roman" w:eastAsia="Times New Roman" w:hAnsi="Times New Roman" w:cs="Times New Roman"/>
          <w:sz w:val="24"/>
          <w:szCs w:val="24"/>
        </w:rPr>
        <w:t xml:space="preserve"> consumers who originally enrolled on fixed rate contracts</w:t>
      </w:r>
      <w:r w:rsidR="008912C3">
        <w:rPr>
          <w:rFonts w:ascii="Times New Roman" w:eastAsia="Times New Roman" w:hAnsi="Times New Roman" w:cs="Times New Roman"/>
          <w:sz w:val="24"/>
          <w:szCs w:val="24"/>
        </w:rPr>
        <w:t xml:space="preserve"> could have </w:t>
      </w:r>
      <w:r w:rsidRPr="00A50D31">
        <w:rPr>
          <w:rFonts w:ascii="Times New Roman" w:eastAsia="Times New Roman" w:hAnsi="Times New Roman" w:cs="Times New Roman"/>
          <w:sz w:val="24"/>
          <w:szCs w:val="24"/>
        </w:rPr>
        <w:t xml:space="preserve">their contracts automatically renewed without explicit </w:t>
      </w:r>
      <w:r w:rsidRPr="00A50D31" w:rsidR="00AC2B3C">
        <w:rPr>
          <w:rFonts w:ascii="Times New Roman" w:eastAsia="Times New Roman" w:hAnsi="Times New Roman" w:cs="Times New Roman"/>
          <w:sz w:val="24"/>
          <w:szCs w:val="24"/>
        </w:rPr>
        <w:t>consent and</w:t>
      </w:r>
      <w:r w:rsidRPr="00A50D31">
        <w:rPr>
          <w:rFonts w:ascii="Times New Roman" w:eastAsia="Times New Roman" w:hAnsi="Times New Roman" w:cs="Times New Roman"/>
          <w:sz w:val="24"/>
          <w:szCs w:val="24"/>
        </w:rPr>
        <w:t xml:space="preserve"> </w:t>
      </w:r>
      <w:r w:rsidR="008912C3">
        <w:rPr>
          <w:rFonts w:ascii="Times New Roman" w:eastAsia="Times New Roman" w:hAnsi="Times New Roman" w:cs="Times New Roman"/>
          <w:sz w:val="24"/>
          <w:szCs w:val="24"/>
        </w:rPr>
        <w:t>be forced onto a</w:t>
      </w:r>
      <w:r w:rsidRPr="00A50D31">
        <w:rPr>
          <w:rFonts w:ascii="Times New Roman" w:eastAsia="Times New Roman" w:hAnsi="Times New Roman" w:cs="Times New Roman"/>
          <w:sz w:val="24"/>
          <w:szCs w:val="24"/>
        </w:rPr>
        <w:t xml:space="preserve"> month to month variable rate. These variable rates are commonly three or four times the rate charged to standard choice offer or gas cost recovery rate customers. </w:t>
      </w:r>
      <w:r w:rsidR="008912C3">
        <w:rPr>
          <w:rFonts w:ascii="Times New Roman" w:eastAsia="Times New Roman" w:hAnsi="Times New Roman" w:cs="Times New Roman"/>
          <w:sz w:val="24"/>
          <w:szCs w:val="24"/>
        </w:rPr>
        <w:t>C</w:t>
      </w:r>
      <w:r w:rsidRPr="00A50D31">
        <w:rPr>
          <w:rFonts w:ascii="Times New Roman" w:eastAsia="Times New Roman" w:hAnsi="Times New Roman" w:cs="Times New Roman"/>
          <w:sz w:val="24"/>
          <w:szCs w:val="24"/>
        </w:rPr>
        <w:t xml:space="preserve">ontracts should not be transferred from one address to another without first informing customers both about the rates they are being charged under the current contract, and about other choices that will protect them from overpaying. </w:t>
      </w:r>
    </w:p>
    <w:p w:rsidR="00424C2F" w:rsidRPr="00A50D31" w:rsidP="003C3A71" w14:paraId="7BC1E233" w14:textId="54AC9B9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A50D31" w:rsidR="0089319D">
        <w:rPr>
          <w:rFonts w:ascii="Times New Roman" w:eastAsia="Times New Roman" w:hAnsi="Times New Roman" w:cs="Times New Roman"/>
          <w:sz w:val="24"/>
          <w:szCs w:val="24"/>
        </w:rPr>
        <w:t xml:space="preserve">atural gas utilities should be required to inform customers about the rate they paid for natural gas over a twelve-month period of time compared to the rate that was charged </w:t>
      </w:r>
      <w:r>
        <w:rPr>
          <w:rFonts w:ascii="Times New Roman" w:eastAsia="Times New Roman" w:hAnsi="Times New Roman" w:cs="Times New Roman"/>
          <w:sz w:val="24"/>
          <w:szCs w:val="24"/>
        </w:rPr>
        <w:t xml:space="preserve">for the </w:t>
      </w:r>
      <w:r w:rsidRPr="00A50D31" w:rsidR="0089319D">
        <w:rPr>
          <w:rFonts w:ascii="Times New Roman" w:eastAsia="Times New Roman" w:hAnsi="Times New Roman" w:cs="Times New Roman"/>
          <w:sz w:val="24"/>
          <w:szCs w:val="24"/>
        </w:rPr>
        <w:t>standard choice offer or gas cost recovery rate</w:t>
      </w:r>
      <w:r>
        <w:rPr>
          <w:rFonts w:ascii="Times New Roman" w:eastAsia="Times New Roman" w:hAnsi="Times New Roman" w:cs="Times New Roman"/>
          <w:sz w:val="24"/>
          <w:szCs w:val="24"/>
        </w:rPr>
        <w:t>.</w:t>
      </w:r>
      <w:r w:rsidRPr="00A50D31" w:rsidR="0089319D">
        <w:rPr>
          <w:rFonts w:ascii="Times New Roman" w:eastAsia="Times New Roman" w:hAnsi="Times New Roman" w:cs="Times New Roman"/>
          <w:sz w:val="24"/>
          <w:szCs w:val="24"/>
        </w:rPr>
        <w:t xml:space="preserve"> The PUCO should adopt, with OCC</w:t>
      </w:r>
      <w:r w:rsidR="008B2192">
        <w:rPr>
          <w:rFonts w:ascii="Times New Roman" w:eastAsia="Times New Roman" w:hAnsi="Times New Roman" w:cs="Times New Roman"/>
          <w:sz w:val="24"/>
          <w:szCs w:val="24"/>
        </w:rPr>
        <w:t>’s</w:t>
      </w:r>
      <w:r w:rsidRPr="00A50D31" w:rsidR="0089319D">
        <w:rPr>
          <w:rFonts w:ascii="Times New Roman" w:eastAsia="Times New Roman" w:hAnsi="Times New Roman" w:cs="Times New Roman"/>
          <w:sz w:val="24"/>
          <w:szCs w:val="24"/>
        </w:rPr>
        <w:t xml:space="preserve"> recommended revisions provided in initial comments,</w:t>
      </w:r>
      <w:r>
        <w:rPr>
          <w:rStyle w:val="FootnoteReference"/>
          <w:rFonts w:ascii="Times New Roman" w:eastAsia="Times New Roman" w:hAnsi="Times New Roman" w:cs="Times New Roman"/>
          <w:sz w:val="24"/>
          <w:szCs w:val="24"/>
        </w:rPr>
        <w:footnoteReference w:id="53"/>
      </w:r>
      <w:r w:rsidRPr="00A50D31" w:rsidR="0089319D">
        <w:rPr>
          <w:rFonts w:ascii="Times New Roman" w:eastAsia="Times New Roman" w:hAnsi="Times New Roman" w:cs="Times New Roman"/>
          <w:sz w:val="24"/>
          <w:szCs w:val="24"/>
        </w:rPr>
        <w:t xml:space="preserve"> its Staff’s proposed Ohio Adm. Code 4901:1-13-12 (H).</w:t>
      </w:r>
    </w:p>
    <w:p w:rsidR="005A2B44" w:rsidRPr="00A50D31" w:rsidP="00740C40" w14:paraId="39AEF155" w14:textId="21B050E7">
      <w:pPr>
        <w:pStyle w:val="Heading2"/>
      </w:pPr>
      <w:bookmarkStart w:id="16" w:name="_Toc30096542"/>
      <w:bookmarkStart w:id="17" w:name="_Toc30097696"/>
      <w:bookmarkStart w:id="18" w:name="_Toc30097867"/>
      <w:bookmarkStart w:id="19" w:name="_Toc30097978"/>
      <w:bookmarkStart w:id="20" w:name="_Toc30098183"/>
      <w:bookmarkStart w:id="21" w:name="_Toc30147721"/>
      <w:bookmarkStart w:id="22" w:name="_Toc30157614"/>
      <w:bookmarkStart w:id="23" w:name="_Toc30096543"/>
      <w:bookmarkStart w:id="24" w:name="_Toc30097697"/>
      <w:bookmarkStart w:id="25" w:name="_Toc30097868"/>
      <w:bookmarkStart w:id="26" w:name="_Toc30097979"/>
      <w:bookmarkStart w:id="27" w:name="_Toc30098184"/>
      <w:bookmarkStart w:id="28" w:name="_Toc30147722"/>
      <w:bookmarkStart w:id="29" w:name="_Toc30157615"/>
      <w:bookmarkStart w:id="30" w:name="_Toc30096544"/>
      <w:bookmarkStart w:id="31" w:name="_Toc30097698"/>
      <w:bookmarkStart w:id="32" w:name="_Toc30097869"/>
      <w:bookmarkStart w:id="33" w:name="_Toc30097980"/>
      <w:bookmarkStart w:id="34" w:name="_Toc30098185"/>
      <w:bookmarkStart w:id="35" w:name="_Toc30147723"/>
      <w:bookmarkStart w:id="36" w:name="_Toc30157616"/>
      <w:bookmarkStart w:id="37" w:name="_Toc30096545"/>
      <w:bookmarkStart w:id="38" w:name="_Toc30097699"/>
      <w:bookmarkStart w:id="39" w:name="_Toc30097870"/>
      <w:bookmarkStart w:id="40" w:name="_Toc30097981"/>
      <w:bookmarkStart w:id="41" w:name="_Toc30098186"/>
      <w:bookmarkStart w:id="42" w:name="_Toc30147724"/>
      <w:bookmarkStart w:id="43" w:name="_Toc30157617"/>
      <w:bookmarkStart w:id="44" w:name="_Toc30096546"/>
      <w:bookmarkStart w:id="45" w:name="_Toc30097700"/>
      <w:bookmarkStart w:id="46" w:name="_Toc30097871"/>
      <w:bookmarkStart w:id="47" w:name="_Toc30097982"/>
      <w:bookmarkStart w:id="48" w:name="_Toc30098187"/>
      <w:bookmarkStart w:id="49" w:name="_Toc30147725"/>
      <w:bookmarkStart w:id="50" w:name="_Toc30157618"/>
      <w:bookmarkStart w:id="51" w:name="_Toc30096547"/>
      <w:bookmarkStart w:id="52" w:name="_Toc30097701"/>
      <w:bookmarkStart w:id="53" w:name="_Toc30097872"/>
      <w:bookmarkStart w:id="54" w:name="_Toc30097983"/>
      <w:bookmarkStart w:id="55" w:name="_Toc30098188"/>
      <w:bookmarkStart w:id="56" w:name="_Toc30147726"/>
      <w:bookmarkStart w:id="57" w:name="_Toc30157619"/>
      <w:bookmarkStart w:id="58" w:name="_Toc30096548"/>
      <w:bookmarkStart w:id="59" w:name="_Toc30097702"/>
      <w:bookmarkStart w:id="60" w:name="_Toc30097873"/>
      <w:bookmarkStart w:id="61" w:name="_Toc30097984"/>
      <w:bookmarkStart w:id="62" w:name="_Toc30098189"/>
      <w:bookmarkStart w:id="63" w:name="_Toc30147727"/>
      <w:bookmarkStart w:id="64" w:name="_Toc30157620"/>
      <w:bookmarkStart w:id="65" w:name="_Toc30096549"/>
      <w:bookmarkStart w:id="66" w:name="_Toc30097703"/>
      <w:bookmarkStart w:id="67" w:name="_Toc30097874"/>
      <w:bookmarkStart w:id="68" w:name="_Toc30097985"/>
      <w:bookmarkStart w:id="69" w:name="_Toc30098190"/>
      <w:bookmarkStart w:id="70" w:name="_Toc30147728"/>
      <w:bookmarkStart w:id="71" w:name="_Toc30157621"/>
      <w:bookmarkStart w:id="72" w:name="_Toc30096550"/>
      <w:bookmarkStart w:id="73" w:name="_Toc30097704"/>
      <w:bookmarkStart w:id="74" w:name="_Toc30097875"/>
      <w:bookmarkStart w:id="75" w:name="_Toc30097986"/>
      <w:bookmarkStart w:id="76" w:name="_Toc30098191"/>
      <w:bookmarkStart w:id="77" w:name="_Toc30147729"/>
      <w:bookmarkStart w:id="78" w:name="_Toc30157622"/>
      <w:bookmarkStart w:id="79" w:name="_Toc30096551"/>
      <w:bookmarkStart w:id="80" w:name="_Toc30097705"/>
      <w:bookmarkStart w:id="81" w:name="_Toc30097876"/>
      <w:bookmarkStart w:id="82" w:name="_Toc30097987"/>
      <w:bookmarkStart w:id="83" w:name="_Toc30098192"/>
      <w:bookmarkStart w:id="84" w:name="_Toc30147730"/>
      <w:bookmarkStart w:id="85" w:name="_Toc30157623"/>
      <w:bookmarkStart w:id="86" w:name="_Toc30096552"/>
      <w:bookmarkStart w:id="87" w:name="_Toc30097706"/>
      <w:bookmarkStart w:id="88" w:name="_Toc30097877"/>
      <w:bookmarkStart w:id="89" w:name="_Toc30097988"/>
      <w:bookmarkStart w:id="90" w:name="_Toc30098193"/>
      <w:bookmarkStart w:id="91" w:name="_Toc30147731"/>
      <w:bookmarkStart w:id="92" w:name="_Toc30157624"/>
      <w:bookmarkStart w:id="93" w:name="_Toc30096553"/>
      <w:bookmarkStart w:id="94" w:name="_Toc30097707"/>
      <w:bookmarkStart w:id="95" w:name="_Toc30097878"/>
      <w:bookmarkStart w:id="96" w:name="_Toc30097989"/>
      <w:bookmarkStart w:id="97" w:name="_Toc30098194"/>
      <w:bookmarkStart w:id="98" w:name="_Toc30147732"/>
      <w:bookmarkStart w:id="99" w:name="_Toc30157625"/>
      <w:bookmarkStart w:id="100" w:name="_Toc30096554"/>
      <w:bookmarkStart w:id="101" w:name="_Toc30097708"/>
      <w:bookmarkStart w:id="102" w:name="_Toc30097879"/>
      <w:bookmarkStart w:id="103" w:name="_Toc30097990"/>
      <w:bookmarkStart w:id="104" w:name="_Toc30098195"/>
      <w:bookmarkStart w:id="105" w:name="_Toc30147733"/>
      <w:bookmarkStart w:id="106" w:name="_Toc30157626"/>
      <w:bookmarkStart w:id="107" w:name="_Toc30096555"/>
      <w:bookmarkStart w:id="108" w:name="_Toc30097709"/>
      <w:bookmarkStart w:id="109" w:name="_Toc30097880"/>
      <w:bookmarkStart w:id="110" w:name="_Toc30097991"/>
      <w:bookmarkStart w:id="111" w:name="_Toc30098196"/>
      <w:bookmarkStart w:id="112" w:name="_Toc30147734"/>
      <w:bookmarkStart w:id="113" w:name="_Toc30157627"/>
      <w:bookmarkStart w:id="114" w:name="_Toc30096556"/>
      <w:bookmarkStart w:id="115" w:name="_Toc30097710"/>
      <w:bookmarkStart w:id="116" w:name="_Toc30097881"/>
      <w:bookmarkStart w:id="117" w:name="_Toc30097992"/>
      <w:bookmarkStart w:id="118" w:name="_Toc30098197"/>
      <w:bookmarkStart w:id="119" w:name="_Toc30147735"/>
      <w:bookmarkStart w:id="120" w:name="_Toc30157628"/>
      <w:bookmarkStart w:id="121" w:name="_Toc31017101"/>
      <w:bookmarkStart w:id="122" w:name="_Toc31380629"/>
      <w:bookmarkStart w:id="123" w:name="_Hlk3068611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A50D31">
        <w:t xml:space="preserve">The </w:t>
      </w:r>
      <w:r>
        <w:t>PUCO</w:t>
      </w:r>
      <w:r w:rsidRPr="00A50D31">
        <w:t xml:space="preserve"> should adopt the proposed </w:t>
      </w:r>
      <w:r>
        <w:t>S</w:t>
      </w:r>
      <w:r w:rsidRPr="00A50D31">
        <w:t>taff rule limiting the types of charges that can appear on natural gas customers’ bills to include only commodity charges and tariff</w:t>
      </w:r>
      <w:r w:rsidRPr="00A50D31" w:rsidR="00713C8B">
        <w:t>-</w:t>
      </w:r>
      <w:r w:rsidRPr="00A50D31">
        <w:t>approved distribution charges or services.</w:t>
      </w:r>
      <w:bookmarkEnd w:id="121"/>
      <w:bookmarkEnd w:id="122"/>
      <w:r w:rsidRPr="00A50D31" w:rsidR="00135A3A">
        <w:t xml:space="preserve"> </w:t>
      </w:r>
    </w:p>
    <w:p w:rsidR="00AD095B" w:rsidP="00F226AC" w14:paraId="3193B224" w14:textId="18A90BC2">
      <w:pPr>
        <w:spacing w:line="480" w:lineRule="auto"/>
        <w:ind w:firstLine="720"/>
        <w:contextualSpacing/>
        <w:rPr>
          <w:rFonts w:ascii="Times New Roman" w:eastAsia="Times New Roman" w:hAnsi="Times New Roman" w:cs="Times New Roman"/>
          <w:sz w:val="24"/>
          <w:szCs w:val="24"/>
        </w:rPr>
      </w:pPr>
      <w:r w:rsidRPr="00A50D31">
        <w:rPr>
          <w:rFonts w:ascii="Times New Roman" w:eastAsia="Times New Roman" w:hAnsi="Times New Roman" w:cs="Times New Roman"/>
          <w:sz w:val="24"/>
          <w:szCs w:val="24"/>
        </w:rPr>
        <w:t>The PUCO Staff proposed a much-needed change in the natural gas billing rules in Ohio Adm. Code 4901:1-13-11 that help</w:t>
      </w:r>
      <w:r w:rsidRPr="00A50D31" w:rsidR="00F26A20">
        <w:rPr>
          <w:rFonts w:ascii="Times New Roman" w:eastAsia="Times New Roman" w:hAnsi="Times New Roman" w:cs="Times New Roman"/>
          <w:sz w:val="24"/>
          <w:szCs w:val="24"/>
        </w:rPr>
        <w:t>s</w:t>
      </w:r>
      <w:r w:rsidRPr="00A50D31">
        <w:rPr>
          <w:rFonts w:ascii="Times New Roman" w:eastAsia="Times New Roman" w:hAnsi="Times New Roman" w:cs="Times New Roman"/>
          <w:sz w:val="24"/>
          <w:szCs w:val="24"/>
        </w:rPr>
        <w:t xml:space="preserve"> </w:t>
      </w:r>
      <w:r w:rsidR="008912C3">
        <w:rPr>
          <w:rFonts w:ascii="Times New Roman" w:eastAsia="Times New Roman" w:hAnsi="Times New Roman" w:cs="Times New Roman"/>
          <w:sz w:val="24"/>
          <w:szCs w:val="24"/>
        </w:rPr>
        <w:t>consumers manage the complexity of their natural gas utility bill.</w:t>
      </w:r>
      <w:r w:rsidRPr="00A50D31">
        <w:rPr>
          <w:rFonts w:ascii="Times New Roman" w:eastAsia="Times New Roman" w:hAnsi="Times New Roman" w:cs="Times New Roman"/>
          <w:sz w:val="24"/>
          <w:szCs w:val="24"/>
        </w:rPr>
        <w:t xml:space="preserve"> Staff proposed a new rule (K) that identifies the specific types of charges that can be included on a natural gas bill to include either commodity charges for the natural gas supply and/or other distribution charges or services that are approved by the PUCO in the utility tariff. </w:t>
      </w:r>
    </w:p>
    <w:p w:rsidR="00F226AC" w:rsidRPr="00A50D31" w:rsidP="008912C3" w14:paraId="35692531" w14:textId="42401C44">
      <w:pPr>
        <w:spacing w:line="480" w:lineRule="auto"/>
        <w:ind w:firstLine="720"/>
        <w:contextualSpacing/>
        <w:rPr>
          <w:rFonts w:ascii="Times New Roman" w:eastAsia="Times New Roman" w:hAnsi="Times New Roman" w:cs="Times New Roman"/>
          <w:sz w:val="24"/>
          <w:szCs w:val="24"/>
        </w:rPr>
      </w:pPr>
      <w:r w:rsidRPr="00A50D31">
        <w:rPr>
          <w:rFonts w:ascii="Times New Roman" w:eastAsia="Times New Roman" w:hAnsi="Times New Roman" w:cs="Times New Roman"/>
          <w:sz w:val="24"/>
          <w:szCs w:val="24"/>
        </w:rPr>
        <w:t xml:space="preserve">This simple and straight-forward proposal by Staff </w:t>
      </w:r>
      <w:r w:rsidR="008912C3">
        <w:rPr>
          <w:rFonts w:ascii="Times New Roman" w:eastAsia="Times New Roman" w:hAnsi="Times New Roman" w:cs="Times New Roman"/>
          <w:sz w:val="24"/>
          <w:szCs w:val="24"/>
        </w:rPr>
        <w:t xml:space="preserve">facilitates using </w:t>
      </w:r>
      <w:r w:rsidRPr="00A50D31">
        <w:rPr>
          <w:rFonts w:ascii="Times New Roman" w:eastAsia="Times New Roman" w:hAnsi="Times New Roman" w:cs="Times New Roman"/>
          <w:sz w:val="24"/>
          <w:szCs w:val="24"/>
        </w:rPr>
        <w:t xml:space="preserve">the regulated natural gas bill </w:t>
      </w:r>
      <w:r w:rsidR="008912C3">
        <w:rPr>
          <w:rFonts w:ascii="Times New Roman" w:eastAsia="Times New Roman" w:hAnsi="Times New Roman" w:cs="Times New Roman"/>
          <w:sz w:val="24"/>
          <w:szCs w:val="24"/>
        </w:rPr>
        <w:t xml:space="preserve">for </w:t>
      </w:r>
      <w:r w:rsidRPr="00A50D31">
        <w:rPr>
          <w:rFonts w:ascii="Times New Roman" w:eastAsia="Times New Roman" w:hAnsi="Times New Roman" w:cs="Times New Roman"/>
          <w:sz w:val="24"/>
          <w:szCs w:val="24"/>
        </w:rPr>
        <w:t>its intended purpose</w:t>
      </w:r>
      <w:r w:rsidR="008912C3">
        <w:rPr>
          <w:rFonts w:ascii="Times New Roman" w:eastAsia="Times New Roman" w:hAnsi="Times New Roman" w:cs="Times New Roman"/>
          <w:sz w:val="24"/>
          <w:szCs w:val="24"/>
        </w:rPr>
        <w:t>:</w:t>
      </w:r>
      <w:r w:rsidR="007E336F">
        <w:rPr>
          <w:rFonts w:ascii="Times New Roman" w:eastAsia="Times New Roman" w:hAnsi="Times New Roman" w:cs="Times New Roman"/>
          <w:sz w:val="24"/>
          <w:szCs w:val="24"/>
        </w:rPr>
        <w:t xml:space="preserve"> </w:t>
      </w:r>
      <w:r w:rsidRPr="00A50D31">
        <w:rPr>
          <w:rFonts w:ascii="Times New Roman" w:eastAsia="Times New Roman" w:hAnsi="Times New Roman" w:cs="Times New Roman"/>
          <w:sz w:val="24"/>
          <w:szCs w:val="24"/>
        </w:rPr>
        <w:t>billing customers for natural gas charges and services. This is a significant</w:t>
      </w:r>
      <w:r w:rsidR="003C0F81">
        <w:rPr>
          <w:rFonts w:ascii="Times New Roman" w:eastAsia="Times New Roman" w:hAnsi="Times New Roman" w:cs="Times New Roman"/>
          <w:sz w:val="24"/>
          <w:szCs w:val="24"/>
        </w:rPr>
        <w:t xml:space="preserve"> improvement</w:t>
      </w:r>
      <w:r w:rsidR="008912C3">
        <w:rPr>
          <w:rFonts w:ascii="Times New Roman" w:eastAsia="Times New Roman" w:hAnsi="Times New Roman" w:cs="Times New Roman"/>
          <w:sz w:val="24"/>
          <w:szCs w:val="24"/>
        </w:rPr>
        <w:t xml:space="preserve">. Under the Staff’s proposal utility </w:t>
      </w:r>
      <w:r w:rsidRPr="00A50D31">
        <w:rPr>
          <w:rFonts w:ascii="Times New Roman" w:eastAsia="Times New Roman" w:hAnsi="Times New Roman" w:cs="Times New Roman"/>
          <w:sz w:val="24"/>
          <w:szCs w:val="24"/>
        </w:rPr>
        <w:t xml:space="preserve">bills </w:t>
      </w:r>
      <w:r w:rsidR="008912C3">
        <w:rPr>
          <w:rFonts w:ascii="Times New Roman" w:eastAsia="Times New Roman" w:hAnsi="Times New Roman" w:cs="Times New Roman"/>
          <w:sz w:val="24"/>
          <w:szCs w:val="24"/>
        </w:rPr>
        <w:t xml:space="preserve">to customers </w:t>
      </w:r>
      <w:r w:rsidRPr="00A50D31">
        <w:rPr>
          <w:rFonts w:ascii="Times New Roman" w:eastAsia="Times New Roman" w:hAnsi="Times New Roman" w:cs="Times New Roman"/>
          <w:sz w:val="24"/>
          <w:szCs w:val="24"/>
        </w:rPr>
        <w:t>will include only those charges that are specific to natural gas service that are under PUCO oversight</w:t>
      </w:r>
      <w:r w:rsidR="00AD095B">
        <w:rPr>
          <w:rFonts w:ascii="Times New Roman" w:eastAsia="Times New Roman" w:hAnsi="Times New Roman" w:cs="Times New Roman"/>
          <w:sz w:val="24"/>
          <w:szCs w:val="24"/>
        </w:rPr>
        <w:t>.</w:t>
      </w:r>
      <w:r w:rsidR="00D04897">
        <w:rPr>
          <w:rFonts w:ascii="Times New Roman" w:eastAsia="Times New Roman" w:hAnsi="Times New Roman" w:cs="Times New Roman"/>
          <w:sz w:val="24"/>
          <w:szCs w:val="24"/>
        </w:rPr>
        <w:t xml:space="preserve"> </w:t>
      </w:r>
      <w:r w:rsidR="008912C3">
        <w:rPr>
          <w:rFonts w:ascii="Times New Roman" w:eastAsia="Times New Roman" w:hAnsi="Times New Roman" w:cs="Times New Roman"/>
          <w:sz w:val="24"/>
          <w:szCs w:val="24"/>
        </w:rPr>
        <w:t>C</w:t>
      </w:r>
      <w:r w:rsidRPr="00A50D31">
        <w:rPr>
          <w:rFonts w:ascii="Times New Roman" w:eastAsia="Times New Roman" w:hAnsi="Times New Roman" w:cs="Times New Roman"/>
          <w:sz w:val="24"/>
          <w:szCs w:val="24"/>
        </w:rPr>
        <w:t xml:space="preserve">onsumers still have access to the plethora of unregulated products and services available through the market; however, </w:t>
      </w:r>
      <w:r w:rsidR="008912C3">
        <w:rPr>
          <w:rFonts w:ascii="Times New Roman" w:eastAsia="Times New Roman" w:hAnsi="Times New Roman" w:cs="Times New Roman"/>
          <w:sz w:val="24"/>
          <w:szCs w:val="24"/>
        </w:rPr>
        <w:t xml:space="preserve">they are not bombarded with this information on their </w:t>
      </w:r>
      <w:r w:rsidRPr="00A50D31">
        <w:rPr>
          <w:rFonts w:ascii="Times New Roman" w:eastAsia="Times New Roman" w:hAnsi="Times New Roman" w:cs="Times New Roman"/>
          <w:sz w:val="24"/>
          <w:szCs w:val="24"/>
        </w:rPr>
        <w:t>regulated gas bill.</w:t>
      </w:r>
      <w:r w:rsidR="00D04897">
        <w:rPr>
          <w:rFonts w:ascii="Times New Roman" w:eastAsia="Times New Roman" w:hAnsi="Times New Roman" w:cs="Times New Roman"/>
          <w:sz w:val="24"/>
          <w:szCs w:val="24"/>
        </w:rPr>
        <w:t xml:space="preserve"> </w:t>
      </w:r>
    </w:p>
    <w:p w:rsidR="000A5DCF" w:rsidP="00F226AC" w14:paraId="5D287CE6" w14:textId="139E0426">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Gas </w:t>
      </w:r>
      <w:r w:rsidR="00C31901">
        <w:rPr>
          <w:rFonts w:ascii="Times New Roman" w:eastAsia="Times New Roman" w:hAnsi="Times New Roman" w:cs="Times New Roman"/>
          <w:sz w:val="24"/>
          <w:szCs w:val="24"/>
        </w:rPr>
        <w:t>Utilities</w:t>
      </w:r>
      <w:r w:rsidRPr="00A50D31" w:rsidR="00F226AC">
        <w:rPr>
          <w:rFonts w:ascii="Times New Roman" w:eastAsia="Times New Roman" w:hAnsi="Times New Roman" w:cs="Times New Roman"/>
          <w:sz w:val="24"/>
          <w:szCs w:val="24"/>
        </w:rPr>
        <w:t xml:space="preserve"> oppose the Staff proposal to </w:t>
      </w:r>
      <w:r>
        <w:rPr>
          <w:rFonts w:ascii="Times New Roman" w:eastAsia="Times New Roman" w:hAnsi="Times New Roman" w:cs="Times New Roman"/>
          <w:sz w:val="24"/>
          <w:szCs w:val="24"/>
        </w:rPr>
        <w:t>separate</w:t>
      </w:r>
      <w:r w:rsidRPr="00A50D31" w:rsidR="00F226AC">
        <w:rPr>
          <w:rFonts w:ascii="Times New Roman" w:eastAsia="Times New Roman" w:hAnsi="Times New Roman" w:cs="Times New Roman"/>
          <w:sz w:val="24"/>
          <w:szCs w:val="24"/>
        </w:rPr>
        <w:t xml:space="preserve"> electric distribution and supply charges </w:t>
      </w:r>
      <w:r>
        <w:rPr>
          <w:rFonts w:ascii="Times New Roman" w:eastAsia="Times New Roman" w:hAnsi="Times New Roman" w:cs="Times New Roman"/>
          <w:sz w:val="24"/>
          <w:szCs w:val="24"/>
        </w:rPr>
        <w:t>on</w:t>
      </w:r>
      <w:r w:rsidRPr="00A50D31" w:rsidR="00F226AC">
        <w:rPr>
          <w:rFonts w:ascii="Times New Roman" w:eastAsia="Times New Roman" w:hAnsi="Times New Roman" w:cs="Times New Roman"/>
          <w:sz w:val="24"/>
          <w:szCs w:val="24"/>
        </w:rPr>
        <w:t xml:space="preserve"> the gas bill.</w:t>
      </w:r>
      <w:r>
        <w:rPr>
          <w:rStyle w:val="FootnoteReference"/>
          <w:rFonts w:ascii="Times New Roman" w:eastAsia="Times New Roman" w:hAnsi="Times New Roman" w:cs="Times New Roman"/>
          <w:sz w:val="24"/>
          <w:szCs w:val="24"/>
        </w:rPr>
        <w:footnoteReference w:id="54"/>
      </w:r>
      <w:r w:rsidR="00DF15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But m</w:t>
      </w:r>
      <w:r w:rsidRPr="00A50D31" w:rsidR="00F226AC">
        <w:rPr>
          <w:rFonts w:ascii="Times New Roman" w:eastAsia="Times New Roman" w:hAnsi="Times New Roman" w:cs="Times New Roman"/>
          <w:sz w:val="24"/>
          <w:szCs w:val="24"/>
        </w:rPr>
        <w:t xml:space="preserve">any customers may not </w:t>
      </w:r>
      <w:r w:rsidR="008912C3">
        <w:rPr>
          <w:rFonts w:ascii="Times New Roman" w:eastAsia="Times New Roman" w:hAnsi="Times New Roman" w:cs="Times New Roman"/>
          <w:sz w:val="24"/>
          <w:szCs w:val="24"/>
        </w:rPr>
        <w:t xml:space="preserve">know the ins and outs about </w:t>
      </w:r>
      <w:r w:rsidRPr="00A50D31" w:rsidR="00F226AC">
        <w:rPr>
          <w:rFonts w:ascii="Times New Roman" w:eastAsia="Times New Roman" w:hAnsi="Times New Roman" w:cs="Times New Roman"/>
          <w:sz w:val="24"/>
          <w:szCs w:val="24"/>
        </w:rPr>
        <w:t xml:space="preserve">unregulated </w:t>
      </w:r>
      <w:r>
        <w:rPr>
          <w:rFonts w:ascii="Times New Roman" w:eastAsia="Times New Roman" w:hAnsi="Times New Roman" w:cs="Times New Roman"/>
          <w:sz w:val="24"/>
          <w:szCs w:val="24"/>
        </w:rPr>
        <w:t xml:space="preserve">and regulated charges. Such customers would benefit by a definitive separation of these charges on their bills. </w:t>
      </w:r>
    </w:p>
    <w:p w:rsidR="00F226AC" w:rsidRPr="00A50D31" w:rsidP="00F226AC" w14:paraId="1DC4A1BE" w14:textId="18F8DB73">
      <w:pPr>
        <w:spacing w:line="480" w:lineRule="auto"/>
        <w:ind w:firstLine="720"/>
        <w:contextualSpacing/>
        <w:rPr>
          <w:rFonts w:ascii="Times New Roman" w:eastAsia="Times New Roman" w:hAnsi="Times New Roman" w:cs="Times New Roman"/>
          <w:sz w:val="24"/>
          <w:szCs w:val="24"/>
        </w:rPr>
      </w:pPr>
      <w:r w:rsidRPr="00A50D31">
        <w:rPr>
          <w:rFonts w:ascii="Times New Roman" w:eastAsia="Times New Roman" w:hAnsi="Times New Roman" w:cs="Times New Roman"/>
          <w:sz w:val="24"/>
          <w:szCs w:val="24"/>
        </w:rPr>
        <w:t xml:space="preserve">The </w:t>
      </w:r>
      <w:r w:rsidR="00485C8A">
        <w:rPr>
          <w:rFonts w:ascii="Times New Roman" w:eastAsia="Times New Roman" w:hAnsi="Times New Roman" w:cs="Times New Roman"/>
          <w:sz w:val="24"/>
          <w:szCs w:val="24"/>
        </w:rPr>
        <w:t xml:space="preserve">Gas </w:t>
      </w:r>
      <w:r w:rsidR="00C31901">
        <w:rPr>
          <w:rFonts w:ascii="Times New Roman" w:eastAsia="Times New Roman" w:hAnsi="Times New Roman" w:cs="Times New Roman"/>
          <w:sz w:val="24"/>
          <w:szCs w:val="24"/>
        </w:rPr>
        <w:t>Utilities</w:t>
      </w:r>
      <w:r w:rsidRPr="00A50D31">
        <w:rPr>
          <w:rFonts w:ascii="Times New Roman" w:eastAsia="Times New Roman" w:hAnsi="Times New Roman" w:cs="Times New Roman"/>
          <w:sz w:val="24"/>
          <w:szCs w:val="24"/>
        </w:rPr>
        <w:t xml:space="preserve"> </w:t>
      </w:r>
      <w:r w:rsidR="00C77D72">
        <w:rPr>
          <w:rFonts w:ascii="Times New Roman" w:eastAsia="Times New Roman" w:hAnsi="Times New Roman" w:cs="Times New Roman"/>
          <w:sz w:val="24"/>
          <w:szCs w:val="24"/>
        </w:rPr>
        <w:t xml:space="preserve">and Marketers </w:t>
      </w:r>
      <w:r w:rsidRPr="00A50D31">
        <w:rPr>
          <w:rFonts w:ascii="Times New Roman" w:eastAsia="Times New Roman" w:hAnsi="Times New Roman" w:cs="Times New Roman"/>
          <w:sz w:val="24"/>
          <w:szCs w:val="24"/>
        </w:rPr>
        <w:t>also propose that utilities should have discretion over the addition of charges for unregulated products and services that are included on their bills.</w:t>
      </w:r>
      <w:r>
        <w:rPr>
          <w:rStyle w:val="FootnoteReference"/>
          <w:rFonts w:ascii="Times New Roman" w:eastAsia="Times New Roman" w:hAnsi="Times New Roman" w:cs="Times New Roman"/>
          <w:sz w:val="24"/>
          <w:szCs w:val="24"/>
        </w:rPr>
        <w:footnoteReference w:id="55"/>
      </w:r>
      <w:r w:rsidRPr="00A50D31">
        <w:rPr>
          <w:rFonts w:ascii="Times New Roman" w:eastAsia="Times New Roman" w:hAnsi="Times New Roman" w:cs="Times New Roman"/>
          <w:sz w:val="24"/>
          <w:szCs w:val="24"/>
        </w:rPr>
        <w:t xml:space="preserve"> </w:t>
      </w:r>
      <w:r w:rsidR="00C77D72">
        <w:rPr>
          <w:rFonts w:ascii="Times New Roman" w:eastAsia="Times New Roman" w:hAnsi="Times New Roman" w:cs="Times New Roman"/>
          <w:sz w:val="24"/>
          <w:szCs w:val="24"/>
        </w:rPr>
        <w:t>But t</w:t>
      </w:r>
      <w:r w:rsidRPr="00A50D31">
        <w:rPr>
          <w:rFonts w:ascii="Times New Roman" w:eastAsia="Times New Roman" w:hAnsi="Times New Roman" w:cs="Times New Roman"/>
          <w:sz w:val="24"/>
          <w:szCs w:val="24"/>
        </w:rPr>
        <w:t>hese comments do not recognize the exclusive jurisdiction that the PUCO maintains over the natural gas bill. This jurisdiction extends to the prohibiting of unjust and unreasonable charges on the bill.</w:t>
      </w:r>
      <w:r>
        <w:rPr>
          <w:rStyle w:val="FootnoteReference"/>
          <w:rFonts w:ascii="Times New Roman" w:eastAsia="Times New Roman" w:hAnsi="Times New Roman" w:cs="Times New Roman"/>
          <w:sz w:val="24"/>
          <w:szCs w:val="24"/>
        </w:rPr>
        <w:footnoteReference w:id="56"/>
      </w:r>
      <w:r w:rsidR="00D04897">
        <w:rPr>
          <w:rFonts w:ascii="Times New Roman" w:eastAsia="Times New Roman" w:hAnsi="Times New Roman" w:cs="Times New Roman"/>
          <w:sz w:val="24"/>
          <w:szCs w:val="24"/>
        </w:rPr>
        <w:t xml:space="preserve"> </w:t>
      </w:r>
      <w:r w:rsidRPr="00A50D31">
        <w:rPr>
          <w:rFonts w:ascii="Times New Roman" w:eastAsia="Times New Roman" w:hAnsi="Times New Roman" w:cs="Times New Roman"/>
          <w:sz w:val="24"/>
          <w:szCs w:val="24"/>
        </w:rPr>
        <w:t>In fact, the PUCO has specific rules governing the content of regulated gas utility bills and the requirements for clear and understandable form and language.</w:t>
      </w:r>
      <w:r>
        <w:rPr>
          <w:rStyle w:val="FootnoteReference"/>
          <w:rFonts w:ascii="Times New Roman" w:eastAsia="Times New Roman" w:hAnsi="Times New Roman" w:cs="Times New Roman"/>
          <w:sz w:val="24"/>
          <w:szCs w:val="24"/>
        </w:rPr>
        <w:footnoteReference w:id="57"/>
      </w:r>
      <w:r w:rsidR="007E336F">
        <w:rPr>
          <w:rFonts w:ascii="Times New Roman" w:eastAsia="Times New Roman" w:hAnsi="Times New Roman" w:cs="Times New Roman"/>
          <w:sz w:val="24"/>
          <w:szCs w:val="24"/>
        </w:rPr>
        <w:t xml:space="preserve"> </w:t>
      </w:r>
    </w:p>
    <w:p w:rsidR="000A5DCF" w:rsidP="00F226AC" w14:paraId="0D5B90D5" w14:textId="77777777">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Marketers claim that </w:t>
      </w:r>
      <w:r w:rsidRPr="00A50D31" w:rsidR="00F226AC">
        <w:rPr>
          <w:rFonts w:ascii="Times New Roman" w:eastAsia="Times New Roman" w:hAnsi="Times New Roman" w:cs="Times New Roman"/>
          <w:sz w:val="24"/>
          <w:szCs w:val="24"/>
        </w:rPr>
        <w:t>there is no explanation for what is considered a commodity charge and therefore Staff and the utility would have full discretion to determine what price a supplier should charge.</w:t>
      </w:r>
      <w:r>
        <w:rPr>
          <w:rStyle w:val="FootnoteReference"/>
          <w:rFonts w:ascii="Times New Roman" w:eastAsia="Times New Roman" w:hAnsi="Times New Roman" w:cs="Times New Roman"/>
          <w:sz w:val="24"/>
          <w:szCs w:val="24"/>
        </w:rPr>
        <w:footnoteReference w:id="58"/>
      </w:r>
      <w:r w:rsidR="00D04897">
        <w:rPr>
          <w:rFonts w:ascii="Times New Roman" w:eastAsia="Times New Roman" w:hAnsi="Times New Roman" w:cs="Times New Roman"/>
          <w:sz w:val="24"/>
          <w:szCs w:val="24"/>
        </w:rPr>
        <w:t xml:space="preserve"> </w:t>
      </w:r>
      <w:r w:rsidRPr="00A50D31" w:rsidR="00F226AC">
        <w:rPr>
          <w:rFonts w:ascii="Times New Roman" w:eastAsia="Times New Roman" w:hAnsi="Times New Roman" w:cs="Times New Roman"/>
          <w:sz w:val="24"/>
          <w:szCs w:val="24"/>
        </w:rPr>
        <w:t>OCC made a similar comment and recommended that the PUCO adopt a definition for commodity charges.</w:t>
      </w:r>
      <w:r>
        <w:rPr>
          <w:rStyle w:val="FootnoteReference"/>
          <w:rFonts w:ascii="Times New Roman" w:eastAsia="Times New Roman" w:hAnsi="Times New Roman" w:cs="Times New Roman"/>
          <w:sz w:val="24"/>
          <w:szCs w:val="24"/>
        </w:rPr>
        <w:footnoteReference w:id="59"/>
      </w:r>
      <w:r w:rsidRPr="00A50D31" w:rsidR="00F226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IGS </w:t>
      </w:r>
      <w:r w:rsidR="00DF1516">
        <w:rPr>
          <w:rFonts w:ascii="Times New Roman" w:eastAsia="Times New Roman" w:hAnsi="Times New Roman" w:cs="Times New Roman"/>
          <w:sz w:val="24"/>
          <w:szCs w:val="24"/>
        </w:rPr>
        <w:t xml:space="preserve">specifically </w:t>
      </w:r>
      <w:r w:rsidRPr="00A50D31" w:rsidR="00F226AC">
        <w:rPr>
          <w:rFonts w:ascii="Times New Roman" w:eastAsia="Times New Roman" w:hAnsi="Times New Roman" w:cs="Times New Roman"/>
          <w:sz w:val="24"/>
          <w:szCs w:val="24"/>
        </w:rPr>
        <w:t>claim</w:t>
      </w:r>
      <w:r>
        <w:rPr>
          <w:rFonts w:ascii="Times New Roman" w:eastAsia="Times New Roman" w:hAnsi="Times New Roman" w:cs="Times New Roman"/>
          <w:sz w:val="24"/>
          <w:szCs w:val="24"/>
        </w:rPr>
        <w:t>s</w:t>
      </w:r>
      <w:r w:rsidRPr="00A50D31" w:rsidR="00F226AC">
        <w:rPr>
          <w:rFonts w:ascii="Times New Roman" w:eastAsia="Times New Roman" w:hAnsi="Times New Roman" w:cs="Times New Roman"/>
          <w:sz w:val="24"/>
          <w:szCs w:val="24"/>
        </w:rPr>
        <w:t xml:space="preserve"> that there is no harm in having non-commodity charges on the bill because customers are not eligible for disconnection if these charges are not paid.</w:t>
      </w:r>
      <w:r>
        <w:rPr>
          <w:rStyle w:val="FootnoteReference"/>
          <w:rFonts w:ascii="Times New Roman" w:eastAsia="Times New Roman" w:hAnsi="Times New Roman" w:cs="Times New Roman"/>
          <w:sz w:val="24"/>
          <w:szCs w:val="24"/>
        </w:rPr>
        <w:footnoteReference w:id="60"/>
      </w:r>
      <w:r w:rsidRPr="00A50D31" w:rsidR="00F226AC">
        <w:rPr>
          <w:rFonts w:ascii="Times New Roman" w:eastAsia="Times New Roman" w:hAnsi="Times New Roman" w:cs="Times New Roman"/>
          <w:sz w:val="24"/>
          <w:szCs w:val="24"/>
        </w:rPr>
        <w:t xml:space="preserve"> However, many customers are not aware of different consumer protection rights that apply for unregulated charges that appear on a regulated natural gas bill. </w:t>
      </w:r>
    </w:p>
    <w:p w:rsidR="00F26A20" w:rsidRPr="00A50D31" w:rsidP="00F226AC" w14:paraId="34E3FC2A" w14:textId="3011E92B">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IGS</w:t>
      </w:r>
      <w:r w:rsidRPr="00A50D31" w:rsidR="00F226AC">
        <w:rPr>
          <w:rFonts w:ascii="Times New Roman" w:eastAsia="Times New Roman" w:hAnsi="Times New Roman" w:cs="Times New Roman"/>
          <w:sz w:val="24"/>
          <w:szCs w:val="24"/>
        </w:rPr>
        <w:t xml:space="preserve"> </w:t>
      </w:r>
      <w:r w:rsidR="00DF1516">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asserts</w:t>
      </w:r>
      <w:r w:rsidRPr="00A50D31">
        <w:rPr>
          <w:rFonts w:ascii="Times New Roman" w:eastAsia="Times New Roman" w:hAnsi="Times New Roman" w:cs="Times New Roman"/>
          <w:sz w:val="24"/>
          <w:szCs w:val="24"/>
        </w:rPr>
        <w:t xml:space="preserve"> </w:t>
      </w:r>
      <w:r w:rsidRPr="00A50D31" w:rsidR="00F226AC">
        <w:rPr>
          <w:rFonts w:ascii="Times New Roman" w:eastAsia="Times New Roman" w:hAnsi="Times New Roman" w:cs="Times New Roman"/>
          <w:sz w:val="24"/>
          <w:szCs w:val="24"/>
        </w:rPr>
        <w:t>that consumers have protections related to the unregulated products and services on the gas bill under the Consumer Sales Practices laws.</w:t>
      </w:r>
      <w:r>
        <w:rPr>
          <w:rStyle w:val="FootnoteReference"/>
          <w:rFonts w:ascii="Times New Roman" w:eastAsia="Times New Roman" w:hAnsi="Times New Roman" w:cs="Times New Roman"/>
          <w:sz w:val="24"/>
          <w:szCs w:val="24"/>
        </w:rPr>
        <w:footnoteReference w:id="61"/>
      </w:r>
      <w:r w:rsidRPr="00A50D31" w:rsidR="00F226AC">
        <w:rPr>
          <w:rFonts w:ascii="Times New Roman" w:eastAsia="Times New Roman" w:hAnsi="Times New Roman" w:cs="Times New Roman"/>
          <w:sz w:val="24"/>
          <w:szCs w:val="24"/>
        </w:rPr>
        <w:t xml:space="preserve"> </w:t>
      </w:r>
      <w:r w:rsidR="00652EDF">
        <w:rPr>
          <w:rFonts w:ascii="Times New Roman" w:eastAsia="Times New Roman" w:hAnsi="Times New Roman" w:cs="Times New Roman"/>
          <w:sz w:val="24"/>
          <w:szCs w:val="24"/>
        </w:rPr>
        <w:t>But</w:t>
      </w:r>
      <w:r w:rsidR="00DF1516">
        <w:rPr>
          <w:rFonts w:ascii="Times New Roman" w:eastAsia="Times New Roman" w:hAnsi="Times New Roman" w:cs="Times New Roman"/>
          <w:sz w:val="24"/>
          <w:szCs w:val="24"/>
        </w:rPr>
        <w:t>,</w:t>
      </w:r>
      <w:r w:rsidR="00652EDF">
        <w:rPr>
          <w:rFonts w:ascii="Times New Roman" w:eastAsia="Times New Roman" w:hAnsi="Times New Roman" w:cs="Times New Roman"/>
          <w:sz w:val="24"/>
          <w:szCs w:val="24"/>
        </w:rPr>
        <w:t xml:space="preserve"> again</w:t>
      </w:r>
      <w:r w:rsidR="00DF1516">
        <w:rPr>
          <w:rFonts w:ascii="Times New Roman" w:eastAsia="Times New Roman" w:hAnsi="Times New Roman" w:cs="Times New Roman"/>
          <w:sz w:val="24"/>
          <w:szCs w:val="24"/>
        </w:rPr>
        <w:t>,</w:t>
      </w:r>
      <w:r w:rsidR="00652EDF">
        <w:rPr>
          <w:rFonts w:ascii="Times New Roman" w:eastAsia="Times New Roman" w:hAnsi="Times New Roman" w:cs="Times New Roman"/>
          <w:sz w:val="24"/>
          <w:szCs w:val="24"/>
        </w:rPr>
        <w:t xml:space="preserve"> many customers are likely unaware that they can and should bring their complaint regarding unregulated products and services to the Attorney General and the courts under the Consumer Sales Practices laws. Customers have been educated to contact the PUCO and the OCC when they have questions or concerns with their utility bill. </w:t>
      </w:r>
    </w:p>
    <w:p w:rsidR="008A60EB" w:rsidRPr="00A50D31" w:rsidP="008A60EB" w14:paraId="218A201E" w14:textId="0CCFEC29">
      <w:pPr>
        <w:spacing w:line="480" w:lineRule="auto"/>
        <w:ind w:firstLine="720"/>
        <w:contextualSpacing/>
        <w:rPr>
          <w:rFonts w:ascii="Times New Roman" w:eastAsia="Times New Roman" w:hAnsi="Times New Roman" w:cs="Times New Roman"/>
          <w:sz w:val="24"/>
          <w:szCs w:val="24"/>
        </w:rPr>
      </w:pPr>
      <w:r w:rsidRPr="00A50D31">
        <w:rPr>
          <w:rFonts w:ascii="Times New Roman" w:eastAsia="Times New Roman" w:hAnsi="Times New Roman" w:cs="Times New Roman"/>
          <w:sz w:val="24"/>
          <w:szCs w:val="24"/>
        </w:rPr>
        <w:t>HomeServ USA Corp. and HomeServ USA Management Corp. (“HomeServ”)</w:t>
      </w:r>
      <w:r w:rsidRPr="00A50D31" w:rsidR="00F226AC">
        <w:rPr>
          <w:rFonts w:ascii="Times New Roman" w:eastAsia="Times New Roman" w:hAnsi="Times New Roman" w:cs="Times New Roman"/>
          <w:sz w:val="24"/>
          <w:szCs w:val="24"/>
        </w:rPr>
        <w:t xml:space="preserve"> and Pivotal Home Solutions </w:t>
      </w:r>
      <w:r w:rsidRPr="00A50D31">
        <w:rPr>
          <w:rFonts w:ascii="Times New Roman" w:eastAsia="Times New Roman" w:hAnsi="Times New Roman" w:cs="Times New Roman"/>
          <w:sz w:val="24"/>
          <w:szCs w:val="24"/>
        </w:rPr>
        <w:t>(“Pivotal”)</w:t>
      </w:r>
      <w:r>
        <w:rPr>
          <w:rStyle w:val="FootnoteReference"/>
          <w:rFonts w:ascii="Times New Roman" w:eastAsia="Times New Roman" w:hAnsi="Times New Roman" w:cs="Times New Roman"/>
          <w:sz w:val="24"/>
          <w:szCs w:val="24"/>
        </w:rPr>
        <w:footnoteReference w:id="62"/>
      </w:r>
      <w:r w:rsidRPr="00A50D31">
        <w:rPr>
          <w:rFonts w:ascii="Times New Roman" w:eastAsia="Times New Roman" w:hAnsi="Times New Roman" w:cs="Times New Roman"/>
          <w:sz w:val="24"/>
          <w:szCs w:val="24"/>
        </w:rPr>
        <w:t xml:space="preserve"> </w:t>
      </w:r>
      <w:r w:rsidRPr="00A50D31" w:rsidR="00F226AC">
        <w:rPr>
          <w:rFonts w:ascii="Times New Roman" w:eastAsia="Times New Roman" w:hAnsi="Times New Roman" w:cs="Times New Roman"/>
          <w:sz w:val="24"/>
          <w:szCs w:val="24"/>
        </w:rPr>
        <w:t xml:space="preserve">also </w:t>
      </w:r>
      <w:r w:rsidR="00DF1516">
        <w:rPr>
          <w:rFonts w:ascii="Times New Roman" w:eastAsia="Times New Roman" w:hAnsi="Times New Roman" w:cs="Times New Roman"/>
          <w:sz w:val="24"/>
          <w:szCs w:val="24"/>
        </w:rPr>
        <w:t>oppose the</w:t>
      </w:r>
      <w:r w:rsidRPr="00A50D31" w:rsidR="00F226AC">
        <w:rPr>
          <w:rFonts w:ascii="Times New Roman" w:eastAsia="Times New Roman" w:hAnsi="Times New Roman" w:cs="Times New Roman"/>
          <w:sz w:val="24"/>
          <w:szCs w:val="24"/>
        </w:rPr>
        <w:t xml:space="preserve"> Staff proposed rule</w:t>
      </w:r>
      <w:r w:rsidR="00FA111C">
        <w:rPr>
          <w:rFonts w:ascii="Times New Roman" w:eastAsia="Times New Roman" w:hAnsi="Times New Roman" w:cs="Times New Roman"/>
          <w:sz w:val="24"/>
          <w:szCs w:val="24"/>
        </w:rPr>
        <w:t xml:space="preserve"> because they claim it will have a negative impact on consumers</w:t>
      </w:r>
      <w:r w:rsidRPr="00A50D31" w:rsidR="00F226AC">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63"/>
      </w:r>
      <w:r w:rsidR="00DF1516">
        <w:rPr>
          <w:rFonts w:ascii="Times New Roman" w:eastAsia="Times New Roman" w:hAnsi="Times New Roman" w:cs="Times New Roman"/>
          <w:sz w:val="24"/>
          <w:szCs w:val="24"/>
        </w:rPr>
        <w:t xml:space="preserve"> </w:t>
      </w:r>
      <w:r w:rsidR="00FA111C">
        <w:rPr>
          <w:rFonts w:ascii="Times New Roman" w:eastAsia="Times New Roman" w:hAnsi="Times New Roman" w:cs="Times New Roman"/>
          <w:sz w:val="24"/>
          <w:szCs w:val="24"/>
        </w:rPr>
        <w:t xml:space="preserve">For example, </w:t>
      </w:r>
      <w:r w:rsidRPr="00A50D31" w:rsidR="00F226AC">
        <w:rPr>
          <w:rFonts w:ascii="Times New Roman" w:eastAsia="Times New Roman" w:hAnsi="Times New Roman" w:cs="Times New Roman"/>
          <w:sz w:val="24"/>
          <w:szCs w:val="24"/>
        </w:rPr>
        <w:t>changing the method in which consumers pay for these services upsets customer’s expectations of being able to pay these charges along with their gas bill</w:t>
      </w:r>
      <w:r w:rsidR="00FA111C">
        <w:rPr>
          <w:rFonts w:ascii="Times New Roman" w:eastAsia="Times New Roman" w:hAnsi="Times New Roman" w:cs="Times New Roman"/>
          <w:sz w:val="24"/>
          <w:szCs w:val="24"/>
        </w:rPr>
        <w:t>, and that providing these charges on the bill is more protective of credit card and other sensitive information</w:t>
      </w:r>
      <w:r w:rsidRPr="00A50D31" w:rsidR="00F226AC">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64"/>
      </w:r>
      <w:r w:rsidR="00D04897">
        <w:rPr>
          <w:rFonts w:ascii="Times New Roman" w:eastAsia="Times New Roman" w:hAnsi="Times New Roman" w:cs="Times New Roman"/>
          <w:sz w:val="24"/>
          <w:szCs w:val="24"/>
        </w:rPr>
        <w:t xml:space="preserve"> </w:t>
      </w:r>
      <w:r w:rsidR="00FA111C">
        <w:rPr>
          <w:rFonts w:ascii="Times New Roman" w:eastAsia="Times New Roman" w:hAnsi="Times New Roman" w:cs="Times New Roman"/>
          <w:sz w:val="24"/>
          <w:szCs w:val="24"/>
        </w:rPr>
        <w:t>But</w:t>
      </w:r>
      <w:r w:rsidR="008634A0">
        <w:rPr>
          <w:rFonts w:ascii="Times New Roman" w:eastAsia="Times New Roman" w:hAnsi="Times New Roman" w:cs="Times New Roman"/>
          <w:sz w:val="24"/>
          <w:szCs w:val="24"/>
        </w:rPr>
        <w:t xml:space="preserve"> t</w:t>
      </w:r>
      <w:r w:rsidRPr="00A50D31" w:rsidR="00F226AC">
        <w:rPr>
          <w:rFonts w:ascii="Times New Roman" w:eastAsia="Times New Roman" w:hAnsi="Times New Roman" w:cs="Times New Roman"/>
          <w:sz w:val="24"/>
          <w:szCs w:val="24"/>
        </w:rPr>
        <w:t xml:space="preserve">o the extent that customers find value in the unregulated products and services offered by </w:t>
      </w:r>
      <w:r w:rsidRPr="00A50D31">
        <w:rPr>
          <w:rFonts w:ascii="Times New Roman" w:eastAsia="Times New Roman" w:hAnsi="Times New Roman" w:cs="Times New Roman"/>
          <w:sz w:val="24"/>
          <w:szCs w:val="24"/>
        </w:rPr>
        <w:t xml:space="preserve">HomeServ </w:t>
      </w:r>
      <w:r w:rsidRPr="00A50D31" w:rsidR="00F226AC">
        <w:rPr>
          <w:rFonts w:ascii="Times New Roman" w:eastAsia="Times New Roman" w:hAnsi="Times New Roman" w:cs="Times New Roman"/>
          <w:sz w:val="24"/>
          <w:szCs w:val="24"/>
        </w:rPr>
        <w:t xml:space="preserve">and </w:t>
      </w:r>
      <w:r w:rsidR="00FA111C">
        <w:rPr>
          <w:rFonts w:ascii="Times New Roman" w:eastAsia="Times New Roman" w:hAnsi="Times New Roman" w:cs="Times New Roman"/>
          <w:sz w:val="24"/>
          <w:szCs w:val="24"/>
        </w:rPr>
        <w:t>similar providers</w:t>
      </w:r>
      <w:r w:rsidRPr="00A50D31" w:rsidR="00F226AC">
        <w:rPr>
          <w:rFonts w:ascii="Times New Roman" w:eastAsia="Times New Roman" w:hAnsi="Times New Roman" w:cs="Times New Roman"/>
          <w:sz w:val="24"/>
          <w:szCs w:val="24"/>
        </w:rPr>
        <w:t>, customers can easily arrange for the purchase of these services directly from the supplier.</w:t>
      </w:r>
      <w:r>
        <w:rPr>
          <w:rStyle w:val="FootnoteReference"/>
          <w:rFonts w:ascii="Times New Roman" w:eastAsia="Times New Roman" w:hAnsi="Times New Roman" w:cs="Times New Roman"/>
          <w:sz w:val="24"/>
          <w:szCs w:val="24"/>
        </w:rPr>
        <w:footnoteReference w:id="65"/>
      </w:r>
      <w:r w:rsidRPr="00A50D31" w:rsidR="00F226AC">
        <w:rPr>
          <w:rFonts w:ascii="Times New Roman" w:eastAsia="Times New Roman" w:hAnsi="Times New Roman" w:cs="Times New Roman"/>
          <w:sz w:val="24"/>
          <w:szCs w:val="24"/>
        </w:rPr>
        <w:t xml:space="preserve"> </w:t>
      </w:r>
      <w:r w:rsidR="00FA111C">
        <w:rPr>
          <w:rFonts w:ascii="Times New Roman" w:eastAsia="Times New Roman" w:hAnsi="Times New Roman" w:cs="Times New Roman"/>
          <w:sz w:val="24"/>
          <w:szCs w:val="24"/>
        </w:rPr>
        <w:t>And</w:t>
      </w:r>
      <w:r w:rsidRPr="00A50D31" w:rsidR="00F226AC">
        <w:rPr>
          <w:rFonts w:ascii="Times New Roman" w:eastAsia="Times New Roman" w:hAnsi="Times New Roman" w:cs="Times New Roman"/>
          <w:sz w:val="24"/>
          <w:szCs w:val="24"/>
        </w:rPr>
        <w:t xml:space="preserve"> even though a regulated utility is billing for the charges, there is always the risk of inadvertent disclosure of sensitive customer information. </w:t>
      </w:r>
    </w:p>
    <w:p w:rsidR="00F226AC" w:rsidP="008A60EB" w14:paraId="4242FA29" w14:textId="22607FD2">
      <w:pPr>
        <w:spacing w:line="480" w:lineRule="auto"/>
        <w:ind w:firstLine="720"/>
        <w:contextualSpacing/>
        <w:rPr>
          <w:rFonts w:ascii="Times New Roman" w:hAnsi="Times New Roman" w:cs="Times New Roman"/>
          <w:sz w:val="24"/>
          <w:szCs w:val="24"/>
        </w:rPr>
      </w:pPr>
      <w:r w:rsidRPr="00A50D31">
        <w:rPr>
          <w:rFonts w:ascii="Times New Roman" w:hAnsi="Times New Roman" w:cs="Times New Roman"/>
          <w:sz w:val="24"/>
          <w:szCs w:val="24"/>
        </w:rPr>
        <w:t>As stated in the OCC</w:t>
      </w:r>
      <w:r w:rsidRPr="00A50D31" w:rsidR="0083609B">
        <w:rPr>
          <w:rFonts w:ascii="Times New Roman" w:hAnsi="Times New Roman" w:cs="Times New Roman"/>
          <w:sz w:val="24"/>
          <w:szCs w:val="24"/>
        </w:rPr>
        <w:t>’s initial</w:t>
      </w:r>
      <w:r w:rsidRPr="00A50D31">
        <w:rPr>
          <w:rFonts w:ascii="Times New Roman" w:hAnsi="Times New Roman" w:cs="Times New Roman"/>
          <w:sz w:val="24"/>
          <w:szCs w:val="24"/>
        </w:rPr>
        <w:t xml:space="preserve"> comments, the PUCO Staff propos</w:t>
      </w:r>
      <w:r w:rsidR="008B2192">
        <w:rPr>
          <w:rFonts w:ascii="Times New Roman" w:hAnsi="Times New Roman" w:cs="Times New Roman"/>
          <w:sz w:val="24"/>
          <w:szCs w:val="24"/>
        </w:rPr>
        <w:t>al</w:t>
      </w:r>
      <w:r w:rsidRPr="00A50D31">
        <w:rPr>
          <w:rFonts w:ascii="Times New Roman" w:hAnsi="Times New Roman" w:cs="Times New Roman"/>
          <w:sz w:val="24"/>
          <w:szCs w:val="24"/>
        </w:rPr>
        <w:t xml:space="preserve"> limits the charges that can be imposed on a natural gas bill</w:t>
      </w:r>
      <w:r w:rsidR="000A5DCF">
        <w:rPr>
          <w:rFonts w:ascii="Times New Roman" w:hAnsi="Times New Roman" w:cs="Times New Roman"/>
          <w:sz w:val="24"/>
          <w:szCs w:val="24"/>
        </w:rPr>
        <w:t>.</w:t>
      </w:r>
      <w:r w:rsidR="007E336F">
        <w:rPr>
          <w:rFonts w:ascii="Times New Roman" w:hAnsi="Times New Roman" w:cs="Times New Roman"/>
          <w:sz w:val="24"/>
          <w:szCs w:val="24"/>
        </w:rPr>
        <w:t xml:space="preserve"> </w:t>
      </w:r>
      <w:r w:rsidRPr="00A50D31">
        <w:rPr>
          <w:rFonts w:ascii="Times New Roman" w:hAnsi="Times New Roman" w:cs="Times New Roman"/>
          <w:sz w:val="24"/>
          <w:szCs w:val="24"/>
        </w:rPr>
        <w:t>Several commenters have opposed the change in the rules claiming the negative impact this will have on consumers. But as demonstrated in these reply comments, there is no reason for non-commodity charges to be on regulated natural gas bills.</w:t>
      </w:r>
      <w:r w:rsidR="00D04897">
        <w:rPr>
          <w:rFonts w:ascii="Times New Roman" w:hAnsi="Times New Roman" w:cs="Times New Roman"/>
          <w:sz w:val="24"/>
          <w:szCs w:val="24"/>
        </w:rPr>
        <w:t xml:space="preserve"> </w:t>
      </w:r>
      <w:r w:rsidR="000A5DCF">
        <w:rPr>
          <w:rFonts w:ascii="Times New Roman" w:hAnsi="Times New Roman" w:cs="Times New Roman"/>
          <w:sz w:val="24"/>
          <w:szCs w:val="24"/>
        </w:rPr>
        <w:t>P</w:t>
      </w:r>
      <w:r w:rsidRPr="00A50D31">
        <w:rPr>
          <w:rFonts w:ascii="Times New Roman" w:hAnsi="Times New Roman" w:cs="Times New Roman"/>
          <w:sz w:val="24"/>
          <w:szCs w:val="24"/>
        </w:rPr>
        <w:t>roviders for these types of unregulated goods and services can bill customers separately for these products. This helps protect the integrity and accuracy of the natural gas bill. OCC supports this Staff proposal</w:t>
      </w:r>
      <w:r w:rsidR="000A5DCF">
        <w:rPr>
          <w:rFonts w:ascii="Times New Roman" w:hAnsi="Times New Roman" w:cs="Times New Roman"/>
          <w:sz w:val="24"/>
          <w:szCs w:val="24"/>
        </w:rPr>
        <w:t>.</w:t>
      </w:r>
      <w:r w:rsidRPr="00A50D31">
        <w:rPr>
          <w:rFonts w:ascii="Times New Roman" w:hAnsi="Times New Roman" w:cs="Times New Roman"/>
          <w:sz w:val="24"/>
          <w:szCs w:val="24"/>
        </w:rPr>
        <w:t xml:space="preserve"> </w:t>
      </w:r>
    </w:p>
    <w:p w:rsidR="008634A0" w:rsidP="008634A0" w14:paraId="00F0DA2A" w14:textId="05BFD9E8">
      <w:pPr>
        <w:pStyle w:val="Heading2"/>
      </w:pPr>
      <w:bookmarkStart w:id="124" w:name="_Toc31380630"/>
      <w:r>
        <w:t xml:space="preserve">The PUCO should adopt NOPEC’s recommendation </w:t>
      </w:r>
      <w:r w:rsidR="006D4251">
        <w:t>for</w:t>
      </w:r>
      <w:r>
        <w:t xml:space="preserve"> a uniform rescission letter.</w:t>
      </w:r>
      <w:bookmarkEnd w:id="124"/>
    </w:p>
    <w:p w:rsidR="000A5DCF" w:rsidP="00AC2B3C" w14:paraId="169718DB" w14:textId="77777777">
      <w:pPr>
        <w:spacing w:after="0" w:line="480" w:lineRule="auto"/>
        <w:ind w:firstLine="720"/>
        <w:rPr>
          <w:rFonts w:ascii="Times New Roman" w:hAnsi="Times New Roman" w:cs="Times New Roman"/>
          <w:sz w:val="24"/>
          <w:szCs w:val="24"/>
        </w:rPr>
      </w:pPr>
      <w:r w:rsidRPr="009403E0">
        <w:rPr>
          <w:rFonts w:ascii="Times New Roman" w:hAnsi="Times New Roman" w:cs="Times New Roman"/>
          <w:sz w:val="24"/>
          <w:szCs w:val="24"/>
        </w:rPr>
        <w:t>NOPEC proposed that the PUCO adopt a uniform rescission letter.</w:t>
      </w:r>
      <w:r>
        <w:rPr>
          <w:rStyle w:val="FootnoteReference"/>
          <w:rFonts w:ascii="Times New Roman" w:hAnsi="Times New Roman" w:cs="Times New Roman"/>
          <w:sz w:val="24"/>
          <w:szCs w:val="24"/>
        </w:rPr>
        <w:footnoteReference w:id="66"/>
      </w:r>
      <w:r w:rsidRPr="009403E0">
        <w:rPr>
          <w:rFonts w:ascii="Times New Roman" w:hAnsi="Times New Roman" w:cs="Times New Roman"/>
          <w:sz w:val="24"/>
          <w:szCs w:val="24"/>
        </w:rPr>
        <w:t xml:space="preserve"> The rescission letter alerts customers that an unauthorized attempt to switch their natural gas account may have occurred.</w:t>
      </w:r>
      <w:r>
        <w:rPr>
          <w:rStyle w:val="FootnoteReference"/>
          <w:rFonts w:ascii="Times New Roman" w:hAnsi="Times New Roman" w:cs="Times New Roman"/>
          <w:sz w:val="24"/>
          <w:szCs w:val="24"/>
        </w:rPr>
        <w:footnoteReference w:id="67"/>
      </w:r>
      <w:r w:rsidRPr="009403E0">
        <w:rPr>
          <w:rFonts w:ascii="Times New Roman" w:hAnsi="Times New Roman" w:cs="Times New Roman"/>
          <w:sz w:val="24"/>
          <w:szCs w:val="24"/>
        </w:rPr>
        <w:t xml:space="preserve"> NOPEC expressed concern that the current rescission letter for governmental aggre</w:t>
      </w:r>
      <w:r w:rsidRPr="009403E0" w:rsidR="005E41F0">
        <w:rPr>
          <w:rFonts w:ascii="Times New Roman" w:hAnsi="Times New Roman" w:cs="Times New Roman"/>
          <w:sz w:val="24"/>
          <w:szCs w:val="24"/>
        </w:rPr>
        <w:t xml:space="preserve">gation </w:t>
      </w:r>
      <w:r w:rsidR="005E41F0">
        <w:rPr>
          <w:rFonts w:ascii="Times New Roman" w:hAnsi="Times New Roman" w:cs="Times New Roman"/>
          <w:sz w:val="24"/>
          <w:szCs w:val="24"/>
        </w:rPr>
        <w:t xml:space="preserve">does not clearly communicate that </w:t>
      </w:r>
      <w:r w:rsidRPr="009403E0" w:rsidR="005E41F0">
        <w:rPr>
          <w:rFonts w:ascii="Times New Roman" w:hAnsi="Times New Roman" w:cs="Times New Roman"/>
          <w:sz w:val="24"/>
          <w:szCs w:val="24"/>
        </w:rPr>
        <w:t>the customer is in a community that has adopted governmental aggregation</w:t>
      </w:r>
      <w:r w:rsidR="005E41F0">
        <w:rPr>
          <w:rFonts w:ascii="Times New Roman" w:hAnsi="Times New Roman" w:cs="Times New Roman"/>
          <w:sz w:val="24"/>
          <w:szCs w:val="24"/>
        </w:rPr>
        <w:t>.</w:t>
      </w:r>
      <w:r>
        <w:rPr>
          <w:rStyle w:val="FootnoteReference"/>
          <w:rFonts w:ascii="Times New Roman" w:hAnsi="Times New Roman" w:cs="Times New Roman"/>
          <w:sz w:val="24"/>
          <w:szCs w:val="24"/>
        </w:rPr>
        <w:footnoteReference w:id="68"/>
      </w:r>
      <w:r w:rsidRPr="009403E0" w:rsidR="005E41F0">
        <w:rPr>
          <w:rFonts w:ascii="Times New Roman" w:hAnsi="Times New Roman" w:cs="Times New Roman"/>
          <w:sz w:val="24"/>
          <w:szCs w:val="24"/>
        </w:rPr>
        <w:t xml:space="preserve"> </w:t>
      </w:r>
    </w:p>
    <w:p w:rsidR="008634A0" w:rsidRPr="009403E0" w:rsidP="009403E0" w14:paraId="57FBBCA1" w14:textId="2A1C1F5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OCC agrees with </w:t>
      </w:r>
      <w:r w:rsidRPr="009403E0">
        <w:rPr>
          <w:rFonts w:ascii="Times New Roman" w:hAnsi="Times New Roman" w:cs="Times New Roman"/>
          <w:sz w:val="24"/>
          <w:szCs w:val="24"/>
        </w:rPr>
        <w:t xml:space="preserve">NOPEC </w:t>
      </w:r>
      <w:r>
        <w:rPr>
          <w:rFonts w:ascii="Times New Roman" w:hAnsi="Times New Roman" w:cs="Times New Roman"/>
          <w:sz w:val="24"/>
          <w:szCs w:val="24"/>
        </w:rPr>
        <w:t xml:space="preserve">that </w:t>
      </w:r>
      <w:r w:rsidRPr="009403E0">
        <w:rPr>
          <w:rFonts w:ascii="Times New Roman" w:hAnsi="Times New Roman" w:cs="Times New Roman"/>
          <w:sz w:val="24"/>
          <w:szCs w:val="24"/>
        </w:rPr>
        <w:t xml:space="preserve">this may confuse the customer in a governmental aggregation </w:t>
      </w:r>
      <w:r w:rsidR="000A5DCF">
        <w:rPr>
          <w:rFonts w:ascii="Times New Roman" w:hAnsi="Times New Roman" w:cs="Times New Roman"/>
          <w:sz w:val="24"/>
          <w:szCs w:val="24"/>
        </w:rPr>
        <w:t xml:space="preserve">community </w:t>
      </w:r>
      <w:r w:rsidRPr="009403E0">
        <w:rPr>
          <w:rFonts w:ascii="Times New Roman" w:hAnsi="Times New Roman" w:cs="Times New Roman"/>
          <w:sz w:val="24"/>
          <w:szCs w:val="24"/>
        </w:rPr>
        <w:t>because the customer may believe that they must provide consent for the switch of suppliers to occur.</w:t>
      </w:r>
      <w:r>
        <w:rPr>
          <w:rStyle w:val="FootnoteReference"/>
          <w:rFonts w:ascii="Times New Roman" w:hAnsi="Times New Roman" w:cs="Times New Roman"/>
          <w:sz w:val="24"/>
          <w:szCs w:val="24"/>
        </w:rPr>
        <w:footnoteReference w:id="69"/>
      </w:r>
      <w:r w:rsidRPr="009403E0">
        <w:rPr>
          <w:rFonts w:ascii="Times New Roman" w:hAnsi="Times New Roman" w:cs="Times New Roman"/>
          <w:sz w:val="24"/>
          <w:szCs w:val="24"/>
        </w:rPr>
        <w:t xml:space="preserve"> </w:t>
      </w:r>
      <w:r w:rsidRPr="009403E0">
        <w:rPr>
          <w:rFonts w:ascii="Times New Roman" w:hAnsi="Times New Roman" w:cs="Times New Roman"/>
          <w:sz w:val="24"/>
          <w:szCs w:val="24"/>
        </w:rPr>
        <w:t xml:space="preserve">OCC </w:t>
      </w:r>
      <w:r>
        <w:rPr>
          <w:rFonts w:ascii="Times New Roman" w:hAnsi="Times New Roman" w:cs="Times New Roman"/>
          <w:sz w:val="24"/>
          <w:szCs w:val="24"/>
        </w:rPr>
        <w:t xml:space="preserve">also </w:t>
      </w:r>
      <w:r w:rsidRPr="009403E0">
        <w:rPr>
          <w:rFonts w:ascii="Times New Roman" w:hAnsi="Times New Roman" w:cs="Times New Roman"/>
          <w:sz w:val="24"/>
          <w:szCs w:val="24"/>
        </w:rPr>
        <w:t xml:space="preserve">agrees with NOPEC that the </w:t>
      </w:r>
      <w:r w:rsidR="00FA111C">
        <w:rPr>
          <w:rFonts w:ascii="Times New Roman" w:hAnsi="Times New Roman" w:cs="Times New Roman"/>
          <w:sz w:val="24"/>
          <w:szCs w:val="24"/>
        </w:rPr>
        <w:t>G</w:t>
      </w:r>
      <w:r w:rsidRPr="009403E0">
        <w:rPr>
          <w:rFonts w:ascii="Times New Roman" w:hAnsi="Times New Roman" w:cs="Times New Roman"/>
          <w:sz w:val="24"/>
          <w:szCs w:val="24"/>
        </w:rPr>
        <w:t xml:space="preserve">as </w:t>
      </w:r>
      <w:r w:rsidR="00C31901">
        <w:rPr>
          <w:rFonts w:ascii="Times New Roman" w:hAnsi="Times New Roman" w:cs="Times New Roman"/>
          <w:sz w:val="24"/>
          <w:szCs w:val="24"/>
        </w:rPr>
        <w:t>Utilities’</w:t>
      </w:r>
      <w:r w:rsidRPr="009403E0">
        <w:rPr>
          <w:rFonts w:ascii="Times New Roman" w:hAnsi="Times New Roman" w:cs="Times New Roman"/>
          <w:sz w:val="24"/>
          <w:szCs w:val="24"/>
        </w:rPr>
        <w:t xml:space="preserve"> enrollment rescission letter plays a pivotal role in consumer protection</w:t>
      </w:r>
      <w:r w:rsidRPr="009403E0">
        <w:rPr>
          <w:rFonts w:ascii="Times New Roman" w:hAnsi="Times New Roman" w:cs="Times New Roman"/>
          <w:sz w:val="24"/>
          <w:szCs w:val="24"/>
        </w:rPr>
        <w:t xml:space="preserve"> and that in its current form can cause confusion to consumers</w:t>
      </w:r>
      <w:r w:rsidR="000A5DCF">
        <w:rPr>
          <w:rFonts w:ascii="Times New Roman" w:hAnsi="Times New Roman" w:cs="Times New Roman"/>
          <w:sz w:val="24"/>
          <w:szCs w:val="24"/>
        </w:rPr>
        <w:t>.</w:t>
      </w:r>
      <w:r>
        <w:rPr>
          <w:rStyle w:val="FootnoteReference"/>
          <w:rFonts w:ascii="Times New Roman" w:hAnsi="Times New Roman" w:cs="Times New Roman"/>
          <w:sz w:val="24"/>
          <w:szCs w:val="24"/>
        </w:rPr>
        <w:footnoteReference w:id="70"/>
      </w:r>
      <w:r w:rsidRPr="009403E0">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6D4251">
        <w:rPr>
          <w:rFonts w:ascii="Times New Roman" w:hAnsi="Times New Roman" w:cs="Times New Roman"/>
          <w:sz w:val="24"/>
          <w:szCs w:val="24"/>
        </w:rPr>
        <w:t>PUCO should adopt</w:t>
      </w:r>
      <w:r w:rsidRPr="009403E0">
        <w:rPr>
          <w:rFonts w:ascii="Times New Roman" w:hAnsi="Times New Roman" w:cs="Times New Roman"/>
          <w:sz w:val="24"/>
          <w:szCs w:val="24"/>
        </w:rPr>
        <w:t xml:space="preserve"> NOPEC’s proposal </w:t>
      </w:r>
      <w:r w:rsidR="006D4251">
        <w:rPr>
          <w:rFonts w:ascii="Times New Roman" w:hAnsi="Times New Roman" w:cs="Times New Roman"/>
          <w:sz w:val="24"/>
          <w:szCs w:val="24"/>
        </w:rPr>
        <w:t xml:space="preserve">for </w:t>
      </w:r>
      <w:r w:rsidRPr="009403E0">
        <w:rPr>
          <w:rFonts w:ascii="Times New Roman" w:hAnsi="Times New Roman" w:cs="Times New Roman"/>
          <w:sz w:val="24"/>
          <w:szCs w:val="24"/>
        </w:rPr>
        <w:t xml:space="preserve">a uniform rescission letter that makes clear to the customer that their community made the switch in compliance with R.C. 4929.26, and that the customer has the right to rescind their enrollment if desired. </w:t>
      </w:r>
    </w:p>
    <w:p w:rsidR="00720934" w:rsidRPr="00A50D31" w:rsidP="00F30ED6" w14:paraId="368D63A4" w14:textId="012EBF20">
      <w:pPr>
        <w:pStyle w:val="Heading1"/>
        <w:rPr>
          <w:rFonts w:cs="Times New Roman"/>
          <w:szCs w:val="24"/>
        </w:rPr>
      </w:pPr>
      <w:bookmarkStart w:id="125" w:name="_Toc30098201"/>
      <w:bookmarkStart w:id="126" w:name="_Toc30147739"/>
      <w:bookmarkStart w:id="127" w:name="_Toc30157632"/>
      <w:bookmarkStart w:id="128" w:name="_Toc30098202"/>
      <w:bookmarkStart w:id="129" w:name="_Toc30147740"/>
      <w:bookmarkStart w:id="130" w:name="_Toc30157633"/>
      <w:bookmarkStart w:id="131" w:name="_Toc30098203"/>
      <w:bookmarkStart w:id="132" w:name="_Toc30147741"/>
      <w:bookmarkStart w:id="133" w:name="_Toc30157634"/>
      <w:bookmarkStart w:id="134" w:name="_Toc30097997"/>
      <w:bookmarkStart w:id="135" w:name="_Toc30098204"/>
      <w:bookmarkStart w:id="136" w:name="_Toc30147742"/>
      <w:bookmarkStart w:id="137" w:name="_Toc30157635"/>
      <w:bookmarkStart w:id="138" w:name="_Toc30097998"/>
      <w:bookmarkStart w:id="139" w:name="_Toc30098205"/>
      <w:bookmarkStart w:id="140" w:name="_Toc30147743"/>
      <w:bookmarkStart w:id="141" w:name="_Toc30157636"/>
      <w:bookmarkStart w:id="142" w:name="_Toc30097999"/>
      <w:bookmarkStart w:id="143" w:name="_Toc30098206"/>
      <w:bookmarkStart w:id="144" w:name="_Toc30147744"/>
      <w:bookmarkStart w:id="145" w:name="_Toc30157637"/>
      <w:bookmarkStart w:id="146" w:name="_Toc30098000"/>
      <w:bookmarkStart w:id="147" w:name="_Toc30098207"/>
      <w:bookmarkStart w:id="148" w:name="_Toc30147745"/>
      <w:bookmarkStart w:id="149" w:name="_Toc30157638"/>
      <w:bookmarkStart w:id="150" w:name="_Toc30098001"/>
      <w:bookmarkStart w:id="151" w:name="_Toc30098208"/>
      <w:bookmarkStart w:id="152" w:name="_Toc30147746"/>
      <w:bookmarkStart w:id="153" w:name="_Toc30157639"/>
      <w:bookmarkStart w:id="154" w:name="_Toc30097714"/>
      <w:bookmarkStart w:id="155" w:name="_Toc30097885"/>
      <w:bookmarkStart w:id="156" w:name="_Toc30098002"/>
      <w:bookmarkStart w:id="157" w:name="_Toc30098209"/>
      <w:bookmarkStart w:id="158" w:name="_Toc30147747"/>
      <w:bookmarkStart w:id="159" w:name="_Toc30157640"/>
      <w:bookmarkStart w:id="160" w:name="_Toc30097715"/>
      <w:bookmarkStart w:id="161" w:name="_Toc30097886"/>
      <w:bookmarkStart w:id="162" w:name="_Toc30098003"/>
      <w:bookmarkStart w:id="163" w:name="_Toc30098210"/>
      <w:bookmarkStart w:id="164" w:name="_Toc30147748"/>
      <w:bookmarkStart w:id="165" w:name="_Toc30157641"/>
      <w:bookmarkStart w:id="166" w:name="_Toc30097716"/>
      <w:bookmarkStart w:id="167" w:name="_Toc30097887"/>
      <w:bookmarkStart w:id="168" w:name="_Toc30098004"/>
      <w:bookmarkStart w:id="169" w:name="_Toc30098211"/>
      <w:bookmarkStart w:id="170" w:name="_Toc30147749"/>
      <w:bookmarkStart w:id="171" w:name="_Toc30157642"/>
      <w:bookmarkStart w:id="172" w:name="_Toc30097717"/>
      <w:bookmarkStart w:id="173" w:name="_Toc30097888"/>
      <w:bookmarkStart w:id="174" w:name="_Toc30098005"/>
      <w:bookmarkStart w:id="175" w:name="_Toc30098212"/>
      <w:bookmarkStart w:id="176" w:name="_Toc30147750"/>
      <w:bookmarkStart w:id="177" w:name="_Toc30157643"/>
      <w:bookmarkStart w:id="178" w:name="_Toc30097718"/>
      <w:bookmarkStart w:id="179" w:name="_Toc30097889"/>
      <w:bookmarkStart w:id="180" w:name="_Toc30098006"/>
      <w:bookmarkStart w:id="181" w:name="_Toc30098213"/>
      <w:bookmarkStart w:id="182" w:name="_Toc30147751"/>
      <w:bookmarkStart w:id="183" w:name="_Toc30157644"/>
      <w:bookmarkStart w:id="184" w:name="_Toc30097719"/>
      <w:bookmarkStart w:id="185" w:name="_Toc30097890"/>
      <w:bookmarkStart w:id="186" w:name="_Toc30098007"/>
      <w:bookmarkStart w:id="187" w:name="_Toc30098214"/>
      <w:bookmarkStart w:id="188" w:name="_Toc30147752"/>
      <w:bookmarkStart w:id="189" w:name="_Toc30157645"/>
      <w:bookmarkStart w:id="190" w:name="_Toc30097720"/>
      <w:bookmarkStart w:id="191" w:name="_Toc30097891"/>
      <w:bookmarkStart w:id="192" w:name="_Toc30098008"/>
      <w:bookmarkStart w:id="193" w:name="_Toc30098215"/>
      <w:bookmarkStart w:id="194" w:name="_Toc30147753"/>
      <w:bookmarkStart w:id="195" w:name="_Toc30157646"/>
      <w:bookmarkStart w:id="196" w:name="_Toc30097721"/>
      <w:bookmarkStart w:id="197" w:name="_Toc30097892"/>
      <w:bookmarkStart w:id="198" w:name="_Toc30098009"/>
      <w:bookmarkStart w:id="199" w:name="_Toc30098216"/>
      <w:bookmarkStart w:id="200" w:name="_Toc30147754"/>
      <w:bookmarkStart w:id="201" w:name="_Toc30157647"/>
      <w:bookmarkStart w:id="202" w:name="_Toc30097722"/>
      <w:bookmarkStart w:id="203" w:name="_Toc30097893"/>
      <w:bookmarkStart w:id="204" w:name="_Toc30098010"/>
      <w:bookmarkStart w:id="205" w:name="_Toc30098217"/>
      <w:bookmarkStart w:id="206" w:name="_Toc30147755"/>
      <w:bookmarkStart w:id="207" w:name="_Toc30157648"/>
      <w:bookmarkStart w:id="208" w:name="_Toc30097723"/>
      <w:bookmarkStart w:id="209" w:name="_Toc30097894"/>
      <w:bookmarkStart w:id="210" w:name="_Toc30098011"/>
      <w:bookmarkStart w:id="211" w:name="_Toc30098218"/>
      <w:bookmarkStart w:id="212" w:name="_Toc30147756"/>
      <w:bookmarkStart w:id="213" w:name="_Toc30157649"/>
      <w:bookmarkStart w:id="214" w:name="_Toc30097724"/>
      <w:bookmarkStart w:id="215" w:name="_Toc30097895"/>
      <w:bookmarkStart w:id="216" w:name="_Toc30098012"/>
      <w:bookmarkStart w:id="217" w:name="_Toc30098219"/>
      <w:bookmarkStart w:id="218" w:name="_Toc30147757"/>
      <w:bookmarkStart w:id="219" w:name="_Toc30157650"/>
      <w:bookmarkStart w:id="220" w:name="_Toc30097725"/>
      <w:bookmarkStart w:id="221" w:name="_Toc30097896"/>
      <w:bookmarkStart w:id="222" w:name="_Toc30098013"/>
      <w:bookmarkStart w:id="223" w:name="_Toc30098220"/>
      <w:bookmarkStart w:id="224" w:name="_Toc30147758"/>
      <w:bookmarkStart w:id="225" w:name="_Toc30157651"/>
      <w:bookmarkStart w:id="226" w:name="_Toc30097726"/>
      <w:bookmarkStart w:id="227" w:name="_Toc30097897"/>
      <w:bookmarkStart w:id="228" w:name="_Toc30098014"/>
      <w:bookmarkStart w:id="229" w:name="_Toc30098221"/>
      <w:bookmarkStart w:id="230" w:name="_Toc30147759"/>
      <w:bookmarkStart w:id="231" w:name="_Toc30157652"/>
      <w:bookmarkStart w:id="232" w:name="_Toc30097727"/>
      <w:bookmarkStart w:id="233" w:name="_Toc30097898"/>
      <w:bookmarkStart w:id="234" w:name="_Toc30098015"/>
      <w:bookmarkStart w:id="235" w:name="_Toc30098222"/>
      <w:bookmarkStart w:id="236" w:name="_Toc30147760"/>
      <w:bookmarkStart w:id="237" w:name="_Toc30157653"/>
      <w:bookmarkStart w:id="238" w:name="_Toc30097728"/>
      <w:bookmarkStart w:id="239" w:name="_Toc30097899"/>
      <w:bookmarkStart w:id="240" w:name="_Toc30098016"/>
      <w:bookmarkStart w:id="241" w:name="_Toc30098223"/>
      <w:bookmarkStart w:id="242" w:name="_Toc30147761"/>
      <w:bookmarkStart w:id="243" w:name="_Toc30157654"/>
      <w:bookmarkStart w:id="244" w:name="_Toc30097729"/>
      <w:bookmarkStart w:id="245" w:name="_Toc30097900"/>
      <w:bookmarkStart w:id="246" w:name="_Toc30098017"/>
      <w:bookmarkStart w:id="247" w:name="_Toc30098224"/>
      <w:bookmarkStart w:id="248" w:name="_Toc30147762"/>
      <w:bookmarkStart w:id="249" w:name="_Toc30157655"/>
      <w:bookmarkStart w:id="250" w:name="_Toc30097730"/>
      <w:bookmarkStart w:id="251" w:name="_Toc30097901"/>
      <w:bookmarkStart w:id="252" w:name="_Toc30098018"/>
      <w:bookmarkStart w:id="253" w:name="_Toc30098225"/>
      <w:bookmarkStart w:id="254" w:name="_Toc30147763"/>
      <w:bookmarkStart w:id="255" w:name="_Toc30157656"/>
      <w:bookmarkStart w:id="256" w:name="_Toc31017102"/>
      <w:bookmarkStart w:id="257" w:name="_Toc31380631"/>
      <w:bookmarkEnd w:id="123"/>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A50D31">
        <w:rPr>
          <w:rFonts w:cs="Times New Roman"/>
          <w:szCs w:val="24"/>
        </w:rPr>
        <w:t>III.</w:t>
      </w:r>
      <w:r w:rsidRPr="00A50D31">
        <w:rPr>
          <w:rFonts w:cs="Times New Roman"/>
          <w:szCs w:val="24"/>
        </w:rPr>
        <w:tab/>
      </w:r>
      <w:r w:rsidRPr="00A50D31" w:rsidR="005A2B44">
        <w:rPr>
          <w:rFonts w:cs="Times New Roman"/>
          <w:szCs w:val="24"/>
        </w:rPr>
        <w:t>C</w:t>
      </w:r>
      <w:r w:rsidRPr="00A50D31">
        <w:rPr>
          <w:rFonts w:cs="Times New Roman"/>
          <w:szCs w:val="24"/>
        </w:rPr>
        <w:t>ONCLUSION</w:t>
      </w:r>
      <w:bookmarkEnd w:id="256"/>
      <w:bookmarkEnd w:id="257"/>
    </w:p>
    <w:p w:rsidR="00642D61" w:rsidRPr="00A50D31" w:rsidP="00B57263" w14:paraId="1CE11764" w14:textId="77249825">
      <w:pPr>
        <w:spacing w:after="0" w:line="480" w:lineRule="auto"/>
        <w:ind w:firstLine="720"/>
        <w:rPr>
          <w:rFonts w:ascii="Times New Roman" w:eastAsia="Times New Roman" w:hAnsi="Times New Roman" w:cs="Times New Roman"/>
          <w:sz w:val="24"/>
          <w:szCs w:val="24"/>
        </w:rPr>
      </w:pPr>
      <w:r w:rsidRPr="00A50D31">
        <w:rPr>
          <w:rFonts w:ascii="Times New Roman" w:eastAsia="Times New Roman" w:hAnsi="Times New Roman" w:cs="Times New Roman"/>
          <w:sz w:val="24"/>
          <w:szCs w:val="24"/>
        </w:rPr>
        <w:t xml:space="preserve">OCC </w:t>
      </w:r>
      <w:r w:rsidRPr="00A50D31" w:rsidR="00311A21">
        <w:rPr>
          <w:rFonts w:ascii="Times New Roman" w:eastAsia="Times New Roman" w:hAnsi="Times New Roman" w:cs="Times New Roman"/>
          <w:sz w:val="24"/>
          <w:szCs w:val="24"/>
        </w:rPr>
        <w:t>commends</w:t>
      </w:r>
      <w:r w:rsidRPr="00A50D31">
        <w:rPr>
          <w:rFonts w:ascii="Times New Roman" w:eastAsia="Times New Roman" w:hAnsi="Times New Roman" w:cs="Times New Roman"/>
          <w:sz w:val="24"/>
          <w:szCs w:val="24"/>
        </w:rPr>
        <w:t xml:space="preserve"> </w:t>
      </w:r>
      <w:r w:rsidRPr="00A50D31" w:rsidR="00E44776">
        <w:rPr>
          <w:rFonts w:ascii="Times New Roman" w:eastAsia="Times New Roman" w:hAnsi="Times New Roman" w:cs="Times New Roman"/>
          <w:sz w:val="24"/>
          <w:szCs w:val="24"/>
        </w:rPr>
        <w:t xml:space="preserve">the </w:t>
      </w:r>
      <w:r w:rsidRPr="00A50D31">
        <w:rPr>
          <w:rFonts w:ascii="Times New Roman" w:eastAsia="Times New Roman" w:hAnsi="Times New Roman" w:cs="Times New Roman"/>
          <w:sz w:val="24"/>
          <w:szCs w:val="24"/>
        </w:rPr>
        <w:t>PUCO Staff for its proposed rule changes</w:t>
      </w:r>
      <w:r w:rsidR="000A5DCF">
        <w:rPr>
          <w:rFonts w:ascii="Times New Roman" w:eastAsia="Times New Roman" w:hAnsi="Times New Roman" w:cs="Times New Roman"/>
          <w:sz w:val="24"/>
          <w:szCs w:val="24"/>
        </w:rPr>
        <w:t xml:space="preserve"> that in large part help provide more protections</w:t>
      </w:r>
      <w:r w:rsidRPr="00A50D31" w:rsidR="004913DD">
        <w:rPr>
          <w:rFonts w:ascii="Times New Roman" w:eastAsia="Times New Roman" w:hAnsi="Times New Roman" w:cs="Times New Roman"/>
          <w:sz w:val="24"/>
          <w:szCs w:val="24"/>
        </w:rPr>
        <w:t xml:space="preserve"> for consumers</w:t>
      </w:r>
      <w:r w:rsidR="000A5DCF">
        <w:rPr>
          <w:rFonts w:ascii="Times New Roman" w:eastAsia="Times New Roman" w:hAnsi="Times New Roman" w:cs="Times New Roman"/>
          <w:sz w:val="24"/>
          <w:szCs w:val="24"/>
        </w:rPr>
        <w:t xml:space="preserve"> of </w:t>
      </w:r>
      <w:r w:rsidRPr="00A50D31" w:rsidR="004913DD">
        <w:rPr>
          <w:rFonts w:ascii="Times New Roman" w:eastAsia="Times New Roman" w:hAnsi="Times New Roman" w:cs="Times New Roman"/>
          <w:sz w:val="24"/>
          <w:szCs w:val="24"/>
        </w:rPr>
        <w:t>natural gas service</w:t>
      </w:r>
      <w:r w:rsidRPr="00A50D31">
        <w:rPr>
          <w:rFonts w:ascii="Times New Roman" w:eastAsia="Times New Roman" w:hAnsi="Times New Roman" w:cs="Times New Roman"/>
          <w:sz w:val="24"/>
          <w:szCs w:val="24"/>
        </w:rPr>
        <w:t xml:space="preserve">. </w:t>
      </w:r>
      <w:r w:rsidR="00FA111C">
        <w:rPr>
          <w:rFonts w:ascii="Times New Roman" w:eastAsia="Times New Roman" w:hAnsi="Times New Roman" w:cs="Times New Roman"/>
          <w:sz w:val="24"/>
          <w:szCs w:val="24"/>
        </w:rPr>
        <w:t>But t</w:t>
      </w:r>
      <w:r w:rsidRPr="00A50D31">
        <w:rPr>
          <w:rFonts w:ascii="Times New Roman" w:eastAsia="Times New Roman" w:hAnsi="Times New Roman" w:cs="Times New Roman"/>
          <w:sz w:val="24"/>
          <w:szCs w:val="24"/>
        </w:rPr>
        <w:t xml:space="preserve">here </w:t>
      </w:r>
      <w:r w:rsidRPr="00A50D31" w:rsidR="00E44776">
        <w:rPr>
          <w:rFonts w:ascii="Times New Roman" w:eastAsia="Times New Roman" w:hAnsi="Times New Roman" w:cs="Times New Roman"/>
          <w:sz w:val="24"/>
          <w:szCs w:val="24"/>
        </w:rPr>
        <w:t>are</w:t>
      </w:r>
      <w:r w:rsidRPr="00A50D31">
        <w:rPr>
          <w:rFonts w:ascii="Times New Roman" w:eastAsia="Times New Roman" w:hAnsi="Times New Roman" w:cs="Times New Roman"/>
          <w:sz w:val="24"/>
          <w:szCs w:val="24"/>
        </w:rPr>
        <w:t xml:space="preserve"> </w:t>
      </w:r>
      <w:r w:rsidRPr="00A50D31" w:rsidR="00E44776">
        <w:rPr>
          <w:rFonts w:ascii="Times New Roman" w:eastAsia="Times New Roman" w:hAnsi="Times New Roman" w:cs="Times New Roman"/>
          <w:sz w:val="24"/>
          <w:szCs w:val="24"/>
        </w:rPr>
        <w:t xml:space="preserve">additional </w:t>
      </w:r>
      <w:r w:rsidRPr="00A50D31">
        <w:rPr>
          <w:rFonts w:ascii="Times New Roman" w:eastAsia="Times New Roman" w:hAnsi="Times New Roman" w:cs="Times New Roman"/>
          <w:sz w:val="24"/>
          <w:szCs w:val="24"/>
        </w:rPr>
        <w:t>protection</w:t>
      </w:r>
      <w:r w:rsidRPr="00A50D31" w:rsidR="00E44776">
        <w:rPr>
          <w:rFonts w:ascii="Times New Roman" w:eastAsia="Times New Roman" w:hAnsi="Times New Roman" w:cs="Times New Roman"/>
          <w:sz w:val="24"/>
          <w:szCs w:val="24"/>
        </w:rPr>
        <w:t>s</w:t>
      </w:r>
      <w:r w:rsidRPr="00A50D31">
        <w:rPr>
          <w:rFonts w:ascii="Times New Roman" w:eastAsia="Times New Roman" w:hAnsi="Times New Roman" w:cs="Times New Roman"/>
          <w:sz w:val="24"/>
          <w:szCs w:val="24"/>
        </w:rPr>
        <w:t xml:space="preserve"> that Ohio gas utility consumers need and deserve</w:t>
      </w:r>
      <w:r w:rsidRPr="00A50D31" w:rsidR="00E44776">
        <w:rPr>
          <w:rFonts w:ascii="Times New Roman" w:eastAsia="Times New Roman" w:hAnsi="Times New Roman" w:cs="Times New Roman"/>
          <w:sz w:val="24"/>
          <w:szCs w:val="24"/>
        </w:rPr>
        <w:t>, as described above</w:t>
      </w:r>
      <w:r w:rsidRPr="00A50D31">
        <w:rPr>
          <w:rFonts w:ascii="Times New Roman" w:eastAsia="Times New Roman" w:hAnsi="Times New Roman" w:cs="Times New Roman"/>
          <w:sz w:val="24"/>
          <w:szCs w:val="24"/>
        </w:rPr>
        <w:t>. Ohio consumers deserve reliable</w:t>
      </w:r>
      <w:r w:rsidR="006D4251">
        <w:rPr>
          <w:rFonts w:ascii="Times New Roman" w:eastAsia="Times New Roman" w:hAnsi="Times New Roman" w:cs="Times New Roman"/>
          <w:sz w:val="24"/>
          <w:szCs w:val="24"/>
        </w:rPr>
        <w:t xml:space="preserve"> </w:t>
      </w:r>
      <w:r w:rsidRPr="00A50D31">
        <w:rPr>
          <w:rFonts w:ascii="Times New Roman" w:eastAsia="Times New Roman" w:hAnsi="Times New Roman" w:cs="Times New Roman"/>
          <w:sz w:val="24"/>
          <w:szCs w:val="24"/>
        </w:rPr>
        <w:t xml:space="preserve">and reasonably priced natural gas services and goods. </w:t>
      </w:r>
      <w:r w:rsidRPr="00A50D31" w:rsidR="0002648B">
        <w:rPr>
          <w:rFonts w:ascii="Times New Roman" w:eastAsia="Times New Roman" w:hAnsi="Times New Roman" w:cs="Times New Roman"/>
          <w:sz w:val="24"/>
          <w:szCs w:val="24"/>
        </w:rPr>
        <w:t>OCC</w:t>
      </w:r>
      <w:r w:rsidRPr="00A50D31" w:rsidR="004913DD">
        <w:rPr>
          <w:rFonts w:ascii="Times New Roman" w:eastAsia="Times New Roman" w:hAnsi="Times New Roman" w:cs="Times New Roman"/>
          <w:sz w:val="24"/>
          <w:szCs w:val="24"/>
        </w:rPr>
        <w:t>’s</w:t>
      </w:r>
      <w:r w:rsidRPr="00A50D31" w:rsidR="0002648B">
        <w:rPr>
          <w:rFonts w:ascii="Times New Roman" w:eastAsia="Times New Roman" w:hAnsi="Times New Roman" w:cs="Times New Roman"/>
          <w:sz w:val="24"/>
          <w:szCs w:val="24"/>
        </w:rPr>
        <w:t xml:space="preserve"> recommendations </w:t>
      </w:r>
      <w:r w:rsidRPr="00A50D31" w:rsidR="004913DD">
        <w:rPr>
          <w:rFonts w:ascii="Times New Roman" w:eastAsia="Times New Roman" w:hAnsi="Times New Roman" w:cs="Times New Roman"/>
          <w:sz w:val="24"/>
          <w:szCs w:val="24"/>
        </w:rPr>
        <w:t>provide</w:t>
      </w:r>
      <w:r w:rsidRPr="00A50D31" w:rsidR="0002648B">
        <w:rPr>
          <w:rFonts w:ascii="Times New Roman" w:eastAsia="Times New Roman" w:hAnsi="Times New Roman" w:cs="Times New Roman"/>
          <w:sz w:val="24"/>
          <w:szCs w:val="24"/>
        </w:rPr>
        <w:t xml:space="preserve"> </w:t>
      </w:r>
      <w:r w:rsidR="00FA111C">
        <w:rPr>
          <w:rFonts w:ascii="Times New Roman" w:eastAsia="Times New Roman" w:hAnsi="Times New Roman" w:cs="Times New Roman"/>
          <w:sz w:val="24"/>
          <w:szCs w:val="24"/>
        </w:rPr>
        <w:t xml:space="preserve">these </w:t>
      </w:r>
      <w:r w:rsidRPr="00A50D31" w:rsidR="004913DD">
        <w:rPr>
          <w:rFonts w:ascii="Times New Roman" w:eastAsia="Times New Roman" w:hAnsi="Times New Roman" w:cs="Times New Roman"/>
          <w:sz w:val="24"/>
          <w:szCs w:val="24"/>
        </w:rPr>
        <w:t xml:space="preserve">needed </w:t>
      </w:r>
      <w:r w:rsidRPr="00A50D31" w:rsidR="0002648B">
        <w:rPr>
          <w:rFonts w:ascii="Times New Roman" w:eastAsia="Times New Roman" w:hAnsi="Times New Roman" w:cs="Times New Roman"/>
          <w:sz w:val="24"/>
          <w:szCs w:val="24"/>
        </w:rPr>
        <w:t>protect</w:t>
      </w:r>
      <w:r w:rsidRPr="00A50D31" w:rsidR="004913DD">
        <w:rPr>
          <w:rFonts w:ascii="Times New Roman" w:eastAsia="Times New Roman" w:hAnsi="Times New Roman" w:cs="Times New Roman"/>
          <w:sz w:val="24"/>
          <w:szCs w:val="24"/>
        </w:rPr>
        <w:t>ions for</w:t>
      </w:r>
      <w:r w:rsidRPr="00A50D31" w:rsidR="0002648B">
        <w:rPr>
          <w:rFonts w:ascii="Times New Roman" w:eastAsia="Times New Roman" w:hAnsi="Times New Roman" w:cs="Times New Roman"/>
          <w:sz w:val="24"/>
          <w:szCs w:val="24"/>
        </w:rPr>
        <w:t xml:space="preserve"> Ohio consumers. The PUCO should adopt OCC’s recommendations to protect consumers.</w:t>
      </w:r>
      <w:r w:rsidRPr="00A50D31">
        <w:rPr>
          <w:rFonts w:ascii="Times New Roman" w:eastAsia="Times New Roman" w:hAnsi="Times New Roman" w:cs="Times New Roman"/>
          <w:sz w:val="24"/>
          <w:szCs w:val="24"/>
        </w:rPr>
        <w:t xml:space="preserve"> </w:t>
      </w:r>
    </w:p>
    <w:p w:rsidR="00F30ED6" w:rsidRPr="00A50D31" w:rsidP="00F30ED6" w14:paraId="7989572A" w14:textId="77777777">
      <w:pPr>
        <w:ind w:left="3240" w:firstLine="720"/>
        <w:rPr>
          <w:rFonts w:ascii="Times New Roman" w:hAnsi="Times New Roman" w:cs="Times New Roman"/>
          <w:sz w:val="24"/>
          <w:szCs w:val="24"/>
        </w:rPr>
      </w:pPr>
    </w:p>
    <w:p w:rsidR="00875BFA" w:rsidRPr="00A50D31" w:rsidP="00F30ED6" w14:paraId="3505C3C7" w14:textId="731C3008">
      <w:pPr>
        <w:ind w:left="3240" w:firstLine="720"/>
        <w:rPr>
          <w:rFonts w:ascii="Times New Roman" w:hAnsi="Times New Roman" w:cs="Times New Roman"/>
          <w:sz w:val="24"/>
          <w:szCs w:val="24"/>
        </w:rPr>
      </w:pPr>
      <w:r w:rsidRPr="00A50D31">
        <w:rPr>
          <w:rFonts w:ascii="Times New Roman" w:hAnsi="Times New Roman" w:cs="Times New Roman"/>
          <w:sz w:val="24"/>
          <w:szCs w:val="24"/>
        </w:rPr>
        <w:t>Respectfully submitted,</w:t>
      </w:r>
    </w:p>
    <w:p w:rsidR="00875BFA" w:rsidRPr="00A50D31" w:rsidP="00875BFA" w14:paraId="39346AB5" w14:textId="77777777">
      <w:pPr>
        <w:pStyle w:val="Footer"/>
        <w:tabs>
          <w:tab w:val="left" w:pos="4320"/>
          <w:tab w:val="clear" w:pos="8640"/>
        </w:tabs>
        <w:ind w:left="3960"/>
        <w:rPr>
          <w:sz w:val="24"/>
          <w:szCs w:val="24"/>
        </w:rPr>
      </w:pPr>
      <w:r w:rsidRPr="00A50D31">
        <w:rPr>
          <w:sz w:val="24"/>
          <w:szCs w:val="24"/>
        </w:rPr>
        <w:t>Bruce Weston (0016973)</w:t>
      </w:r>
    </w:p>
    <w:p w:rsidR="00875BFA" w:rsidRPr="00A50D31" w:rsidP="00875BFA" w14:paraId="2AEE6B2F" w14:textId="636CB2FC">
      <w:pPr>
        <w:tabs>
          <w:tab w:val="left" w:pos="4320"/>
        </w:tabs>
        <w:spacing w:after="0" w:line="240" w:lineRule="auto"/>
        <w:ind w:left="3960"/>
        <w:rPr>
          <w:rFonts w:ascii="Times New Roman" w:hAnsi="Times New Roman" w:cs="Times New Roman"/>
          <w:sz w:val="24"/>
          <w:szCs w:val="24"/>
        </w:rPr>
      </w:pPr>
      <w:r w:rsidRPr="00A50D31">
        <w:rPr>
          <w:rFonts w:ascii="Times New Roman" w:hAnsi="Times New Roman" w:cs="Times New Roman"/>
          <w:sz w:val="24"/>
          <w:szCs w:val="24"/>
        </w:rPr>
        <w:t>Ohio Consumers’ Counsel</w:t>
      </w:r>
    </w:p>
    <w:p w:rsidR="00875BFA" w:rsidRPr="00A50D31" w:rsidP="00875BFA" w14:paraId="5C1B58B1" w14:textId="77777777">
      <w:pPr>
        <w:tabs>
          <w:tab w:val="left" w:pos="4320"/>
        </w:tabs>
        <w:spacing w:after="0" w:line="240" w:lineRule="auto"/>
        <w:ind w:left="3960"/>
        <w:rPr>
          <w:rFonts w:ascii="Times New Roman" w:hAnsi="Times New Roman" w:cs="Times New Roman"/>
          <w:sz w:val="24"/>
          <w:szCs w:val="24"/>
        </w:rPr>
      </w:pPr>
    </w:p>
    <w:p w:rsidR="00875BFA" w:rsidRPr="00A50D31" w:rsidP="00875BFA" w14:paraId="1792C437" w14:textId="77777777">
      <w:pPr>
        <w:tabs>
          <w:tab w:val="left" w:pos="4320"/>
        </w:tabs>
        <w:spacing w:after="0" w:line="240" w:lineRule="auto"/>
        <w:ind w:left="3960"/>
        <w:rPr>
          <w:rFonts w:ascii="Times New Roman" w:hAnsi="Times New Roman" w:cs="Times New Roman"/>
          <w:sz w:val="24"/>
          <w:szCs w:val="24"/>
        </w:rPr>
      </w:pPr>
      <w:r w:rsidRPr="00A50D31">
        <w:rPr>
          <w:rFonts w:ascii="Times New Roman" w:hAnsi="Times New Roman" w:cs="Times New Roman"/>
          <w:i/>
          <w:sz w:val="24"/>
          <w:szCs w:val="24"/>
          <w:u w:val="single"/>
        </w:rPr>
        <w:t>/s/ Ambrosia E. Logsdon</w:t>
      </w:r>
      <w:r w:rsidRPr="00A50D31">
        <w:rPr>
          <w:rFonts w:ascii="Times New Roman" w:hAnsi="Times New Roman" w:cs="Times New Roman"/>
          <w:i/>
          <w:sz w:val="24"/>
          <w:szCs w:val="24"/>
          <w:u w:val="single"/>
        </w:rPr>
        <w:tab/>
      </w:r>
      <w:r w:rsidRPr="00A50D31">
        <w:rPr>
          <w:rFonts w:ascii="Times New Roman" w:hAnsi="Times New Roman" w:cs="Times New Roman"/>
          <w:i/>
          <w:sz w:val="24"/>
          <w:szCs w:val="24"/>
          <w:u w:val="single"/>
        </w:rPr>
        <w:tab/>
      </w:r>
      <w:r w:rsidRPr="00A50D31">
        <w:rPr>
          <w:rFonts w:ascii="Times New Roman" w:hAnsi="Times New Roman" w:cs="Times New Roman"/>
          <w:i/>
          <w:sz w:val="24"/>
          <w:szCs w:val="24"/>
          <w:u w:val="single"/>
        </w:rPr>
        <w:tab/>
      </w:r>
    </w:p>
    <w:p w:rsidR="00875BFA" w:rsidRPr="00A50D31" w:rsidP="00875BFA" w14:paraId="747E3929" w14:textId="77777777">
      <w:pPr>
        <w:tabs>
          <w:tab w:val="left" w:pos="4320"/>
        </w:tabs>
        <w:spacing w:after="0" w:line="240" w:lineRule="auto"/>
        <w:ind w:left="3960"/>
        <w:rPr>
          <w:rFonts w:ascii="Times New Roman" w:hAnsi="Times New Roman" w:cs="Times New Roman"/>
          <w:sz w:val="24"/>
          <w:szCs w:val="24"/>
        </w:rPr>
      </w:pPr>
      <w:r w:rsidRPr="00A50D31">
        <w:rPr>
          <w:rFonts w:ascii="Times New Roman" w:hAnsi="Times New Roman" w:cs="Times New Roman"/>
          <w:sz w:val="24"/>
          <w:szCs w:val="24"/>
        </w:rPr>
        <w:t>Ambrosia E. Logsdon (0096598)</w:t>
      </w:r>
    </w:p>
    <w:p w:rsidR="00875BFA" w:rsidRPr="00A50D31" w:rsidP="00875BFA" w14:paraId="2963C92A" w14:textId="2E7A0862">
      <w:pPr>
        <w:tabs>
          <w:tab w:val="left" w:pos="4320"/>
        </w:tabs>
        <w:spacing w:after="0" w:line="240" w:lineRule="auto"/>
        <w:ind w:left="3960"/>
        <w:rPr>
          <w:rFonts w:ascii="Times New Roman" w:hAnsi="Times New Roman" w:cs="Times New Roman"/>
          <w:sz w:val="24"/>
          <w:szCs w:val="24"/>
        </w:rPr>
      </w:pPr>
      <w:r w:rsidRPr="00A50D31">
        <w:rPr>
          <w:rFonts w:ascii="Times New Roman" w:hAnsi="Times New Roman" w:cs="Times New Roman"/>
          <w:sz w:val="24"/>
          <w:szCs w:val="24"/>
        </w:rPr>
        <w:t xml:space="preserve">Counsel of Record </w:t>
      </w:r>
    </w:p>
    <w:p w:rsidR="00875BFA" w:rsidRPr="00A50D31" w:rsidP="00875BFA" w14:paraId="1AA06468" w14:textId="55630EF0">
      <w:pPr>
        <w:tabs>
          <w:tab w:val="left" w:pos="4320"/>
        </w:tabs>
        <w:spacing w:after="0" w:line="240" w:lineRule="auto"/>
        <w:ind w:left="3960"/>
        <w:rPr>
          <w:rFonts w:ascii="Times New Roman" w:hAnsi="Times New Roman" w:cs="Times New Roman"/>
          <w:sz w:val="24"/>
          <w:szCs w:val="24"/>
        </w:rPr>
      </w:pPr>
      <w:r w:rsidRPr="00A50D31">
        <w:rPr>
          <w:rFonts w:ascii="Times New Roman" w:hAnsi="Times New Roman" w:cs="Times New Roman"/>
          <w:sz w:val="24"/>
          <w:szCs w:val="24"/>
        </w:rPr>
        <w:t>David Bergmann (0009991)</w:t>
      </w:r>
    </w:p>
    <w:p w:rsidR="00875BFA" w:rsidRPr="00A50D31" w:rsidP="00875BFA" w14:paraId="7429200E" w14:textId="77777777">
      <w:pPr>
        <w:tabs>
          <w:tab w:val="left" w:pos="4320"/>
        </w:tabs>
        <w:spacing w:after="0" w:line="240" w:lineRule="auto"/>
        <w:ind w:left="3960"/>
        <w:rPr>
          <w:rFonts w:ascii="Times New Roman" w:hAnsi="Times New Roman" w:cs="Times New Roman"/>
          <w:sz w:val="24"/>
          <w:szCs w:val="24"/>
        </w:rPr>
      </w:pPr>
      <w:r w:rsidRPr="00A50D31">
        <w:rPr>
          <w:rFonts w:ascii="Times New Roman" w:hAnsi="Times New Roman" w:cs="Times New Roman"/>
          <w:sz w:val="24"/>
          <w:szCs w:val="24"/>
        </w:rPr>
        <w:t>Assistant Consumers’ Counsel</w:t>
      </w:r>
    </w:p>
    <w:p w:rsidR="00875BFA" w:rsidRPr="00A50D31" w:rsidP="00875BFA" w14:paraId="160112A0" w14:textId="77777777">
      <w:pPr>
        <w:spacing w:after="0" w:line="240" w:lineRule="auto"/>
        <w:ind w:left="3960"/>
        <w:rPr>
          <w:rFonts w:ascii="Times New Roman" w:hAnsi="Times New Roman" w:cs="Times New Roman"/>
          <w:b/>
          <w:sz w:val="24"/>
          <w:szCs w:val="24"/>
        </w:rPr>
      </w:pPr>
    </w:p>
    <w:p w:rsidR="00875BFA" w:rsidRPr="00A50D31" w:rsidP="00875BFA" w14:paraId="68BFA415" w14:textId="1638A43A">
      <w:pPr>
        <w:spacing w:after="0" w:line="240" w:lineRule="auto"/>
        <w:ind w:left="3960"/>
        <w:rPr>
          <w:rFonts w:ascii="Times New Roman" w:hAnsi="Times New Roman" w:cs="Times New Roman"/>
          <w:b/>
          <w:sz w:val="24"/>
          <w:szCs w:val="24"/>
        </w:rPr>
      </w:pPr>
      <w:r w:rsidRPr="00A50D31">
        <w:rPr>
          <w:rFonts w:ascii="Times New Roman" w:hAnsi="Times New Roman" w:cs="Times New Roman"/>
          <w:b/>
          <w:sz w:val="24"/>
          <w:szCs w:val="24"/>
        </w:rPr>
        <w:t>Office of the Ohio Consumers’ Counsel</w:t>
      </w:r>
    </w:p>
    <w:p w:rsidR="00875BFA" w:rsidRPr="00A50D31" w:rsidP="00875BFA" w14:paraId="1B06A228" w14:textId="77777777">
      <w:pPr>
        <w:spacing w:after="0" w:line="240" w:lineRule="auto"/>
        <w:ind w:left="3960"/>
        <w:rPr>
          <w:rFonts w:ascii="Times New Roman" w:hAnsi="Times New Roman" w:cs="Times New Roman"/>
          <w:sz w:val="24"/>
          <w:szCs w:val="24"/>
        </w:rPr>
      </w:pPr>
      <w:r w:rsidRPr="00A50D31">
        <w:rPr>
          <w:rFonts w:ascii="Times New Roman" w:hAnsi="Times New Roman" w:cs="Times New Roman"/>
          <w:sz w:val="24"/>
          <w:szCs w:val="24"/>
        </w:rPr>
        <w:t>65 E. State Street, 7th Floor</w:t>
      </w:r>
    </w:p>
    <w:p w:rsidR="00875BFA" w:rsidRPr="00A50D31" w:rsidP="00875BFA" w14:paraId="68879AEA" w14:textId="77777777">
      <w:pPr>
        <w:spacing w:after="0" w:line="240" w:lineRule="auto"/>
        <w:ind w:left="3960"/>
        <w:rPr>
          <w:rFonts w:ascii="Times New Roman" w:hAnsi="Times New Roman" w:cs="Times New Roman"/>
          <w:sz w:val="24"/>
          <w:szCs w:val="24"/>
        </w:rPr>
      </w:pPr>
      <w:r w:rsidRPr="00A50D31">
        <w:rPr>
          <w:rFonts w:ascii="Times New Roman" w:hAnsi="Times New Roman" w:cs="Times New Roman"/>
          <w:sz w:val="24"/>
          <w:szCs w:val="24"/>
        </w:rPr>
        <w:t>Columbus, Ohio 43215-3485</w:t>
      </w:r>
    </w:p>
    <w:p w:rsidR="00875BFA" w:rsidRPr="00A50D31" w:rsidP="00875BFA" w14:paraId="354F00AA" w14:textId="732D323D">
      <w:pPr>
        <w:spacing w:after="0" w:line="240" w:lineRule="auto"/>
        <w:ind w:left="3960"/>
        <w:rPr>
          <w:rFonts w:ascii="Times New Roman" w:hAnsi="Times New Roman" w:cs="Times New Roman"/>
          <w:sz w:val="24"/>
          <w:szCs w:val="24"/>
        </w:rPr>
      </w:pPr>
      <w:r w:rsidRPr="00A50D31">
        <w:rPr>
          <w:rFonts w:ascii="Times New Roman" w:hAnsi="Times New Roman" w:cs="Times New Roman"/>
          <w:sz w:val="24"/>
          <w:szCs w:val="24"/>
        </w:rPr>
        <w:t>Telephone [Logsdon]:</w:t>
      </w:r>
      <w:r w:rsidRPr="00A50D31" w:rsidR="00135A3A">
        <w:rPr>
          <w:rFonts w:ascii="Times New Roman" w:hAnsi="Times New Roman" w:cs="Times New Roman"/>
          <w:sz w:val="24"/>
          <w:szCs w:val="24"/>
        </w:rPr>
        <w:t xml:space="preserve"> </w:t>
      </w:r>
      <w:r w:rsidRPr="00A50D31">
        <w:rPr>
          <w:rFonts w:ascii="Times New Roman" w:hAnsi="Times New Roman" w:cs="Times New Roman"/>
          <w:sz w:val="24"/>
          <w:szCs w:val="24"/>
        </w:rPr>
        <w:t>614-466-1292</w:t>
      </w:r>
    </w:p>
    <w:p w:rsidR="00875BFA" w:rsidRPr="00A50D31" w:rsidP="00875BFA" w14:paraId="6F526AF2" w14:textId="58CF0A82">
      <w:pPr>
        <w:spacing w:after="0" w:line="240" w:lineRule="auto"/>
        <w:ind w:left="3960"/>
        <w:rPr>
          <w:rFonts w:ascii="Times New Roman" w:hAnsi="Times New Roman" w:cs="Times New Roman"/>
          <w:sz w:val="24"/>
          <w:szCs w:val="24"/>
        </w:rPr>
      </w:pPr>
      <w:r w:rsidRPr="00A50D31">
        <w:rPr>
          <w:rFonts w:ascii="Times New Roman" w:hAnsi="Times New Roman" w:cs="Times New Roman"/>
          <w:sz w:val="24"/>
          <w:szCs w:val="24"/>
        </w:rPr>
        <w:t>Telephone [Bergmann</w:t>
      </w:r>
      <w:r w:rsidR="001842E6">
        <w:rPr>
          <w:rFonts w:ascii="Times New Roman" w:hAnsi="Times New Roman" w:cs="Times New Roman"/>
          <w:sz w:val="24"/>
          <w:szCs w:val="24"/>
        </w:rPr>
        <w:t>]</w:t>
      </w:r>
      <w:r w:rsidRPr="00A50D31">
        <w:rPr>
          <w:rFonts w:ascii="Times New Roman" w:hAnsi="Times New Roman" w:cs="Times New Roman"/>
          <w:sz w:val="24"/>
          <w:szCs w:val="24"/>
        </w:rPr>
        <w:t>:</w:t>
      </w:r>
      <w:r w:rsidRPr="00A50D31" w:rsidR="00135A3A">
        <w:rPr>
          <w:rFonts w:ascii="Times New Roman" w:hAnsi="Times New Roman" w:cs="Times New Roman"/>
          <w:sz w:val="24"/>
          <w:szCs w:val="24"/>
        </w:rPr>
        <w:t xml:space="preserve"> </w:t>
      </w:r>
      <w:r w:rsidRPr="00A50D31">
        <w:rPr>
          <w:rFonts w:ascii="Times New Roman" w:hAnsi="Times New Roman" w:cs="Times New Roman"/>
          <w:sz w:val="24"/>
          <w:szCs w:val="24"/>
        </w:rPr>
        <w:t>614-466-9569</w:t>
      </w:r>
    </w:p>
    <w:p w:rsidR="00875BFA" w:rsidRPr="00A50D31" w:rsidP="00875BFA" w14:paraId="32D944B0" w14:textId="7FEA9855">
      <w:pPr>
        <w:spacing w:after="0" w:line="240" w:lineRule="auto"/>
        <w:ind w:left="3960"/>
        <w:rPr>
          <w:rFonts w:ascii="Times New Roman" w:hAnsi="Times New Roman" w:cs="Times New Roman"/>
          <w:sz w:val="24"/>
          <w:szCs w:val="24"/>
        </w:rPr>
      </w:pPr>
      <w:hyperlink r:id="rId6" w:history="1">
        <w:r w:rsidRPr="00A50D31">
          <w:rPr>
            <w:rStyle w:val="Hyperlink"/>
            <w:rFonts w:ascii="Times New Roman" w:hAnsi="Times New Roman" w:cs="Times New Roman"/>
            <w:sz w:val="24"/>
            <w:szCs w:val="24"/>
          </w:rPr>
          <w:t>Ambrosia.Logsdon@occ.ohio.gov</w:t>
        </w:r>
      </w:hyperlink>
    </w:p>
    <w:p w:rsidR="00875BFA" w:rsidRPr="00A50D31" w:rsidP="00875BFA" w14:paraId="6F9DD6AE" w14:textId="776756AA">
      <w:pPr>
        <w:spacing w:after="0" w:line="240" w:lineRule="auto"/>
        <w:ind w:left="3960"/>
        <w:rPr>
          <w:rFonts w:ascii="Times New Roman" w:hAnsi="Times New Roman" w:cs="Times New Roman"/>
          <w:sz w:val="24"/>
          <w:szCs w:val="24"/>
        </w:rPr>
      </w:pPr>
      <w:hyperlink r:id="rId7" w:history="1">
        <w:r w:rsidRPr="007109E0" w:rsidR="005E7DB2">
          <w:rPr>
            <w:rStyle w:val="Hyperlink"/>
            <w:rFonts w:ascii="Times New Roman" w:hAnsi="Times New Roman" w:cs="Times New Roman"/>
            <w:sz w:val="24"/>
            <w:szCs w:val="24"/>
          </w:rPr>
          <w:t>David.Bergmann@occ.ohio.gov</w:t>
        </w:r>
      </w:hyperlink>
    </w:p>
    <w:p w:rsidR="00642D61" w:rsidRPr="00A50D31" w:rsidP="00875BFA" w14:paraId="20840D3D" w14:textId="12E97858">
      <w:pPr>
        <w:autoSpaceDE w:val="0"/>
        <w:autoSpaceDN w:val="0"/>
        <w:adjustRightInd w:val="0"/>
        <w:ind w:left="3960"/>
        <w:rPr>
          <w:rFonts w:ascii="Times New Roman" w:hAnsi="Times New Roman" w:cs="Times New Roman"/>
          <w:sz w:val="24"/>
          <w:szCs w:val="24"/>
        </w:rPr>
      </w:pPr>
      <w:r w:rsidRPr="00A50D31">
        <w:rPr>
          <w:rFonts w:ascii="Times New Roman" w:hAnsi="Times New Roman" w:cs="Times New Roman"/>
          <w:sz w:val="24"/>
          <w:szCs w:val="24"/>
        </w:rPr>
        <w:t>(willing to accept service by e-mail)</w:t>
      </w:r>
    </w:p>
    <w:p w:rsidR="00642D61" w:rsidRPr="00A50D31" w14:paraId="21BA9659" w14:textId="77777777">
      <w:pPr>
        <w:rPr>
          <w:rFonts w:ascii="Times New Roman" w:hAnsi="Times New Roman" w:cs="Times New Roman"/>
          <w:sz w:val="24"/>
          <w:szCs w:val="24"/>
        </w:rPr>
      </w:pPr>
      <w:r w:rsidRPr="00A50D31">
        <w:rPr>
          <w:rFonts w:ascii="Times New Roman" w:hAnsi="Times New Roman" w:cs="Times New Roman"/>
          <w:sz w:val="24"/>
          <w:szCs w:val="24"/>
        </w:rPr>
        <w:br w:type="page"/>
      </w:r>
    </w:p>
    <w:p w:rsidR="00875BFA" w:rsidRPr="00A50D31" w:rsidP="00875BFA" w14:paraId="0AE0D46A" w14:textId="16098470">
      <w:pPr>
        <w:widowControl w:val="0"/>
        <w:tabs>
          <w:tab w:val="center" w:pos="4680"/>
          <w:tab w:val="right" w:pos="9360"/>
        </w:tabs>
        <w:ind w:left="3960" w:hanging="3960"/>
        <w:jc w:val="center"/>
        <w:rPr>
          <w:rFonts w:ascii="Times New Roman" w:hAnsi="Times New Roman" w:cs="Times New Roman"/>
          <w:b/>
          <w:bCs/>
          <w:sz w:val="24"/>
          <w:szCs w:val="24"/>
          <w:u w:val="single"/>
        </w:rPr>
      </w:pPr>
      <w:r w:rsidRPr="00A50D31">
        <w:rPr>
          <w:rFonts w:ascii="Times New Roman" w:hAnsi="Times New Roman" w:cs="Times New Roman"/>
          <w:b/>
          <w:bCs/>
          <w:sz w:val="24"/>
          <w:szCs w:val="24"/>
          <w:u w:val="single"/>
        </w:rPr>
        <w:t>CERTIFICATE OF SERVICE</w:t>
      </w:r>
    </w:p>
    <w:p w:rsidR="00875BFA" w:rsidRPr="00A50D31" w:rsidP="00875BFA" w14:paraId="6E418D9E" w14:textId="7F8E3C5B">
      <w:pPr>
        <w:spacing w:line="480" w:lineRule="atLeast"/>
        <w:rPr>
          <w:rFonts w:ascii="Times New Roman" w:hAnsi="Times New Roman" w:cs="Times New Roman"/>
          <w:sz w:val="24"/>
          <w:szCs w:val="24"/>
        </w:rPr>
      </w:pPr>
      <w:r w:rsidRPr="00A50D31">
        <w:rPr>
          <w:rFonts w:ascii="Times New Roman" w:hAnsi="Times New Roman" w:cs="Times New Roman"/>
          <w:sz w:val="24"/>
          <w:szCs w:val="24"/>
        </w:rPr>
        <w:tab/>
        <w:t xml:space="preserve">I hereby certify that a copy of these </w:t>
      </w:r>
      <w:r w:rsidR="005E7DB2">
        <w:rPr>
          <w:rFonts w:ascii="Times New Roman" w:hAnsi="Times New Roman" w:cs="Times New Roman"/>
          <w:sz w:val="24"/>
          <w:szCs w:val="24"/>
        </w:rPr>
        <w:t xml:space="preserve">Reply </w:t>
      </w:r>
      <w:r w:rsidRPr="00A50D31">
        <w:rPr>
          <w:rFonts w:ascii="Times New Roman" w:hAnsi="Times New Roman" w:cs="Times New Roman"/>
          <w:sz w:val="24"/>
          <w:szCs w:val="24"/>
        </w:rPr>
        <w:t xml:space="preserve">Comments </w:t>
      </w:r>
      <w:r w:rsidR="00163671">
        <w:rPr>
          <w:rFonts w:ascii="Times New Roman" w:hAnsi="Times New Roman" w:cs="Times New Roman"/>
          <w:sz w:val="24"/>
          <w:szCs w:val="24"/>
        </w:rPr>
        <w:t>was</w:t>
      </w:r>
      <w:r w:rsidRPr="00A50D31">
        <w:rPr>
          <w:rFonts w:ascii="Times New Roman" w:hAnsi="Times New Roman" w:cs="Times New Roman"/>
          <w:sz w:val="24"/>
          <w:szCs w:val="24"/>
        </w:rPr>
        <w:t xml:space="preserve"> served on the persons stated below via electronic transmission this </w:t>
      </w:r>
      <w:r w:rsidRPr="00A50D31" w:rsidR="006E4A1F">
        <w:rPr>
          <w:rFonts w:ascii="Times New Roman" w:hAnsi="Times New Roman" w:cs="Times New Roman"/>
          <w:sz w:val="24"/>
          <w:szCs w:val="24"/>
        </w:rPr>
        <w:t>31st</w:t>
      </w:r>
      <w:r w:rsidRPr="00A50D31">
        <w:rPr>
          <w:rFonts w:ascii="Times New Roman" w:hAnsi="Times New Roman" w:cs="Times New Roman"/>
          <w:sz w:val="24"/>
          <w:szCs w:val="24"/>
        </w:rPr>
        <w:t xml:space="preserve"> day of January 2020.</w:t>
      </w:r>
    </w:p>
    <w:p w:rsidR="00875BFA" w:rsidRPr="00A50D31" w:rsidP="00875BFA" w14:paraId="11A73FDA" w14:textId="77777777">
      <w:pPr>
        <w:tabs>
          <w:tab w:val="left" w:pos="4320"/>
        </w:tabs>
        <w:spacing w:after="0" w:line="240" w:lineRule="auto"/>
        <w:rPr>
          <w:rFonts w:ascii="Times New Roman" w:hAnsi="Times New Roman" w:cs="Times New Roman"/>
          <w:sz w:val="24"/>
          <w:szCs w:val="24"/>
        </w:rPr>
      </w:pPr>
      <w:r w:rsidRPr="00A50D31">
        <w:rPr>
          <w:rFonts w:ascii="Times New Roman" w:hAnsi="Times New Roman" w:cs="Times New Roman"/>
          <w:sz w:val="24"/>
          <w:szCs w:val="24"/>
        </w:rPr>
        <w:tab/>
      </w:r>
      <w:r w:rsidRPr="00A50D31">
        <w:rPr>
          <w:rFonts w:ascii="Times New Roman" w:hAnsi="Times New Roman" w:cs="Times New Roman"/>
          <w:i/>
          <w:sz w:val="24"/>
          <w:szCs w:val="24"/>
          <w:u w:val="single"/>
        </w:rPr>
        <w:t>/s/ Ambrosia E. Logsdon</w:t>
      </w:r>
      <w:r w:rsidRPr="00A50D31">
        <w:rPr>
          <w:rFonts w:ascii="Times New Roman" w:hAnsi="Times New Roman" w:cs="Times New Roman"/>
          <w:i/>
          <w:sz w:val="24"/>
          <w:szCs w:val="24"/>
          <w:u w:val="single"/>
        </w:rPr>
        <w:tab/>
      </w:r>
    </w:p>
    <w:p w:rsidR="00875BFA" w:rsidRPr="00A50D31" w:rsidP="00875BFA" w14:paraId="58494BEF" w14:textId="77777777">
      <w:pPr>
        <w:tabs>
          <w:tab w:val="left" w:pos="4320"/>
        </w:tabs>
        <w:spacing w:after="0" w:line="240" w:lineRule="auto"/>
        <w:rPr>
          <w:rFonts w:ascii="Times New Roman" w:hAnsi="Times New Roman" w:cs="Times New Roman"/>
          <w:sz w:val="24"/>
          <w:szCs w:val="24"/>
        </w:rPr>
      </w:pPr>
      <w:r w:rsidRPr="00A50D31">
        <w:rPr>
          <w:rFonts w:ascii="Times New Roman" w:hAnsi="Times New Roman" w:cs="Times New Roman"/>
          <w:sz w:val="24"/>
          <w:szCs w:val="24"/>
        </w:rPr>
        <w:tab/>
        <w:t>Ambrosia E. Logsdon</w:t>
      </w:r>
    </w:p>
    <w:p w:rsidR="00875BFA" w:rsidRPr="00A50D31" w:rsidP="00875BFA" w14:paraId="0EF30371" w14:textId="77777777">
      <w:pPr>
        <w:tabs>
          <w:tab w:val="left" w:pos="4320"/>
        </w:tabs>
        <w:spacing w:after="0" w:line="240" w:lineRule="auto"/>
        <w:rPr>
          <w:rFonts w:ascii="Times New Roman" w:hAnsi="Times New Roman" w:cs="Times New Roman"/>
          <w:sz w:val="24"/>
          <w:szCs w:val="24"/>
        </w:rPr>
      </w:pPr>
      <w:r w:rsidRPr="00A50D31">
        <w:rPr>
          <w:rFonts w:ascii="Times New Roman" w:hAnsi="Times New Roman" w:cs="Times New Roman"/>
          <w:sz w:val="24"/>
          <w:szCs w:val="24"/>
        </w:rPr>
        <w:tab/>
        <w:t>Assistant Consumers’ Counsel</w:t>
      </w:r>
    </w:p>
    <w:p w:rsidR="007962BC" w:rsidP="009403E0" w14:paraId="4C7C41B9" w14:textId="77777777">
      <w:pPr>
        <w:rPr>
          <w:rFonts w:ascii="Times New Roman" w:hAnsi="Times New Roman" w:cs="Times New Roman"/>
          <w:sz w:val="24"/>
          <w:szCs w:val="24"/>
        </w:rPr>
      </w:pPr>
    </w:p>
    <w:p w:rsidR="00875BFA" w:rsidRPr="00A50D31" w:rsidP="009403E0" w14:paraId="3F84CFBD" w14:textId="77B3EC46">
      <w:pPr>
        <w:spacing w:after="0"/>
        <w:rPr>
          <w:rFonts w:ascii="Times New Roman" w:hAnsi="Times New Roman" w:cs="Times New Roman"/>
          <w:sz w:val="24"/>
          <w:szCs w:val="24"/>
        </w:rPr>
      </w:pPr>
      <w:r w:rsidRPr="00A50D31">
        <w:rPr>
          <w:rFonts w:ascii="Times New Roman" w:hAnsi="Times New Roman" w:cs="Times New Roman"/>
          <w:sz w:val="24"/>
          <w:szCs w:val="24"/>
        </w:rPr>
        <w:t>The PUCO’s e-filing system will electronically serve notice of the filing of this document on the following parties:</w:t>
      </w:r>
    </w:p>
    <w:p w:rsidR="00875BFA" w:rsidRPr="00A50D31" w:rsidP="00875BFA" w14:paraId="7309DF6B" w14:textId="77777777">
      <w:pPr>
        <w:pStyle w:val="CommentText"/>
        <w:jc w:val="center"/>
        <w:rPr>
          <w:rFonts w:ascii="Times New Roman" w:hAnsi="Times New Roman" w:cs="Times New Roman"/>
          <w:b/>
          <w:sz w:val="24"/>
          <w:szCs w:val="24"/>
          <w:u w:val="single"/>
        </w:rPr>
      </w:pPr>
      <w:r w:rsidRPr="00A50D31">
        <w:rPr>
          <w:rFonts w:ascii="Times New Roman" w:hAnsi="Times New Roman" w:cs="Times New Roman"/>
          <w:b/>
          <w:sz w:val="24"/>
          <w:szCs w:val="24"/>
          <w:u w:val="single"/>
        </w:rPr>
        <w:t>SERVICE LIST</w:t>
      </w:r>
    </w:p>
    <w:p w:rsidR="00875BFA" w:rsidRPr="00A50D31" w:rsidP="00875BFA" w14:paraId="5CCD0734" w14:textId="77777777">
      <w:pPr>
        <w:pStyle w:val="BodyText"/>
        <w:rPr>
          <w:b w:val="0"/>
          <w:bCs w:val="0"/>
        </w:rPr>
      </w:pPr>
    </w:p>
    <w:tbl>
      <w:tblPr>
        <w:tblW w:w="8730" w:type="dxa"/>
        <w:tblLayout w:type="fixed"/>
        <w:tblLook w:val="04A0"/>
      </w:tblPr>
      <w:tblGrid>
        <w:gridCol w:w="4230"/>
        <w:gridCol w:w="4500"/>
      </w:tblGrid>
      <w:tr w14:paraId="6071BB9B" w14:textId="77777777" w:rsidTr="009403E0">
        <w:tblPrEx>
          <w:tblW w:w="8730" w:type="dxa"/>
          <w:tblLayout w:type="fixed"/>
          <w:tblLook w:val="04A0"/>
        </w:tblPrEx>
        <w:tc>
          <w:tcPr>
            <w:tcW w:w="4230" w:type="dxa"/>
            <w:shd w:val="clear" w:color="auto" w:fill="auto"/>
          </w:tcPr>
          <w:p w:rsidR="00875BFA" w:rsidRPr="00A50D31" w:rsidP="00AD59C9" w14:paraId="409A2F21" w14:textId="77777777">
            <w:pPr>
              <w:autoSpaceDE w:val="0"/>
              <w:autoSpaceDN w:val="0"/>
              <w:adjustRightInd w:val="0"/>
              <w:rPr>
                <w:rFonts w:ascii="Times New Roman" w:hAnsi="Times New Roman" w:cs="Times New Roman"/>
                <w:color w:val="0000FF"/>
                <w:sz w:val="24"/>
                <w:szCs w:val="24"/>
                <w:u w:val="single"/>
              </w:rPr>
            </w:pPr>
            <w:r w:rsidRPr="00A50D31">
              <w:rPr>
                <w:rFonts w:ascii="Times New Roman" w:hAnsi="Times New Roman" w:cs="Times New Roman"/>
                <w:color w:val="0000FF"/>
                <w:sz w:val="24"/>
                <w:szCs w:val="24"/>
                <w:u w:val="single"/>
              </w:rPr>
              <w:t>John.jones@ohioattorneygeneral.gov</w:t>
            </w:r>
          </w:p>
          <w:p w:rsidR="00875BFA" w:rsidRPr="00A50D31" w:rsidP="00AD59C9" w14:paraId="3572C693" w14:textId="77777777">
            <w:pPr>
              <w:pStyle w:val="BodyText"/>
              <w:jc w:val="both"/>
              <w:rPr>
                <w:lang w:eastAsia="en-US"/>
              </w:rPr>
            </w:pPr>
          </w:p>
          <w:p w:rsidR="00875BFA" w:rsidRPr="00A50D31" w:rsidP="00AD59C9" w14:paraId="0F38C0B5" w14:textId="77777777">
            <w:pPr>
              <w:pStyle w:val="BodyText"/>
              <w:jc w:val="both"/>
              <w:rPr>
                <w:b w:val="0"/>
                <w:lang w:eastAsia="en-US"/>
              </w:rPr>
            </w:pPr>
            <w:r w:rsidRPr="00A50D31">
              <w:rPr>
                <w:b w:val="0"/>
                <w:lang w:eastAsia="en-US"/>
              </w:rPr>
              <w:t>Attorney Examiner:</w:t>
            </w:r>
          </w:p>
          <w:p w:rsidR="00875BFA" w:rsidRPr="00A50D31" w:rsidP="00AD59C9" w14:paraId="0F45A84A" w14:textId="77777777">
            <w:pPr>
              <w:pStyle w:val="BodyText"/>
              <w:jc w:val="both"/>
              <w:rPr>
                <w:lang w:eastAsia="en-US"/>
              </w:rPr>
            </w:pPr>
          </w:p>
          <w:p w:rsidR="00875BFA" w:rsidRPr="00A50D31" w:rsidP="00AD59C9" w14:paraId="3C76F07A" w14:textId="373E97FB">
            <w:pPr>
              <w:pStyle w:val="BodyText"/>
              <w:jc w:val="both"/>
              <w:rPr>
                <w:b w:val="0"/>
                <w:lang w:eastAsia="en-US"/>
              </w:rPr>
            </w:pPr>
            <w:hyperlink r:id="rId12" w:history="1">
              <w:r w:rsidRPr="00A50D31" w:rsidR="002154C8">
                <w:rPr>
                  <w:rStyle w:val="Hyperlink"/>
                  <w:b w:val="0"/>
                  <w:lang w:eastAsia="en-US"/>
                </w:rPr>
                <w:t>Sarah.parrott@puco.ohio.gov</w:t>
              </w:r>
            </w:hyperlink>
          </w:p>
          <w:p w:rsidR="002154C8" w:rsidRPr="00A50D31" w:rsidP="00AD59C9" w14:paraId="21188103" w14:textId="77777777">
            <w:pPr>
              <w:pStyle w:val="BodyText"/>
              <w:jc w:val="both"/>
              <w:rPr>
                <w:b w:val="0"/>
                <w:lang w:eastAsia="en-US"/>
              </w:rPr>
            </w:pPr>
          </w:p>
          <w:p w:rsidR="00875BFA" w:rsidRPr="00A50D31" w:rsidP="00AD59C9" w14:paraId="39F43CE1" w14:textId="77777777">
            <w:pPr>
              <w:pStyle w:val="BodyText"/>
              <w:jc w:val="both"/>
              <w:rPr>
                <w:lang w:eastAsia="en-US"/>
              </w:rPr>
            </w:pPr>
          </w:p>
        </w:tc>
        <w:tc>
          <w:tcPr>
            <w:tcW w:w="4500" w:type="dxa"/>
            <w:shd w:val="clear" w:color="auto" w:fill="auto"/>
          </w:tcPr>
          <w:p w:rsidR="007962BC" w:rsidP="007962BC" w14:paraId="32148161" w14:textId="5B5D0AB1">
            <w:pPr>
              <w:autoSpaceDE w:val="0"/>
              <w:autoSpaceDN w:val="0"/>
              <w:adjustRightInd w:val="0"/>
              <w:spacing w:after="0"/>
              <w:ind w:left="159"/>
              <w:rPr>
                <w:rFonts w:ascii="Times New Roman" w:hAnsi="Times New Roman" w:cs="Times New Roman"/>
                <w:color w:val="0000FF"/>
                <w:sz w:val="24"/>
                <w:szCs w:val="24"/>
                <w:u w:val="single"/>
              </w:rPr>
            </w:pPr>
            <w:hyperlink r:id="rId13" w:history="1">
              <w:r w:rsidRPr="00232E23">
                <w:rPr>
                  <w:rStyle w:val="Hyperlink"/>
                  <w:rFonts w:ascii="Times New Roman" w:hAnsi="Times New Roman" w:cs="Times New Roman"/>
                  <w:sz w:val="24"/>
                  <w:szCs w:val="24"/>
                </w:rPr>
                <w:t>regulatory@infiniteenergy.com</w:t>
              </w:r>
            </w:hyperlink>
          </w:p>
          <w:p w:rsidR="007962BC" w:rsidP="007962BC" w14:paraId="1795EBE1" w14:textId="55E7941B">
            <w:pPr>
              <w:autoSpaceDE w:val="0"/>
              <w:autoSpaceDN w:val="0"/>
              <w:adjustRightInd w:val="0"/>
              <w:spacing w:after="0"/>
              <w:ind w:left="159"/>
              <w:rPr>
                <w:rFonts w:ascii="Times New Roman" w:hAnsi="Times New Roman" w:cs="Times New Roman"/>
                <w:color w:val="0000FF"/>
                <w:sz w:val="24"/>
                <w:szCs w:val="24"/>
                <w:u w:val="single"/>
              </w:rPr>
            </w:pPr>
            <w:hyperlink r:id="rId14" w:history="1">
              <w:r w:rsidRPr="00232E23">
                <w:rPr>
                  <w:rStyle w:val="Hyperlink"/>
                  <w:rFonts w:ascii="Times New Roman" w:hAnsi="Times New Roman" w:cs="Times New Roman"/>
                  <w:sz w:val="24"/>
                  <w:szCs w:val="24"/>
                </w:rPr>
                <w:t>josephclark@nisource.com</w:t>
              </w:r>
            </w:hyperlink>
          </w:p>
          <w:p w:rsidR="007962BC" w:rsidP="007962BC" w14:paraId="0864711F" w14:textId="658B3CFD">
            <w:pPr>
              <w:autoSpaceDE w:val="0"/>
              <w:autoSpaceDN w:val="0"/>
              <w:adjustRightInd w:val="0"/>
              <w:spacing w:after="0"/>
              <w:ind w:left="159"/>
              <w:rPr>
                <w:rFonts w:ascii="Times New Roman" w:hAnsi="Times New Roman" w:cs="Times New Roman"/>
                <w:color w:val="0000FF"/>
                <w:sz w:val="24"/>
                <w:szCs w:val="24"/>
                <w:u w:val="single"/>
              </w:rPr>
            </w:pPr>
            <w:hyperlink r:id="rId15" w:history="1">
              <w:r w:rsidRPr="00232E23">
                <w:rPr>
                  <w:rStyle w:val="Hyperlink"/>
                  <w:rFonts w:ascii="Times New Roman" w:hAnsi="Times New Roman" w:cs="Times New Roman"/>
                  <w:sz w:val="24"/>
                  <w:szCs w:val="24"/>
                </w:rPr>
                <w:t>talexander@calfee.com</w:t>
              </w:r>
            </w:hyperlink>
          </w:p>
          <w:p w:rsidR="007962BC" w:rsidP="007962BC" w14:paraId="3CB58EFE" w14:textId="497AD5AF">
            <w:pPr>
              <w:autoSpaceDE w:val="0"/>
              <w:autoSpaceDN w:val="0"/>
              <w:adjustRightInd w:val="0"/>
              <w:spacing w:after="0"/>
              <w:ind w:left="159"/>
              <w:rPr>
                <w:rFonts w:ascii="Times New Roman" w:hAnsi="Times New Roman" w:cs="Times New Roman"/>
                <w:color w:val="0000FF"/>
                <w:sz w:val="24"/>
                <w:szCs w:val="24"/>
                <w:u w:val="single"/>
              </w:rPr>
            </w:pPr>
            <w:hyperlink r:id="rId16" w:history="1">
              <w:r w:rsidRPr="00232E23">
                <w:rPr>
                  <w:rStyle w:val="Hyperlink"/>
                  <w:rFonts w:ascii="Times New Roman" w:hAnsi="Times New Roman" w:cs="Times New Roman"/>
                  <w:sz w:val="24"/>
                  <w:szCs w:val="24"/>
                </w:rPr>
                <w:t>slesser@calfee.com</w:t>
              </w:r>
            </w:hyperlink>
          </w:p>
          <w:p w:rsidR="007962BC" w:rsidP="007962BC" w14:paraId="74962BBD" w14:textId="0DDF2765">
            <w:pPr>
              <w:autoSpaceDE w:val="0"/>
              <w:autoSpaceDN w:val="0"/>
              <w:adjustRightInd w:val="0"/>
              <w:spacing w:after="0"/>
              <w:ind w:left="159"/>
              <w:rPr>
                <w:rFonts w:ascii="Times New Roman" w:hAnsi="Times New Roman" w:cs="Times New Roman"/>
                <w:color w:val="0000FF"/>
                <w:sz w:val="24"/>
                <w:szCs w:val="24"/>
                <w:u w:val="single"/>
              </w:rPr>
            </w:pPr>
            <w:hyperlink r:id="rId17" w:history="1">
              <w:r w:rsidRPr="00232E23">
                <w:rPr>
                  <w:rStyle w:val="Hyperlink"/>
                  <w:rFonts w:ascii="Times New Roman" w:hAnsi="Times New Roman" w:cs="Times New Roman"/>
                  <w:sz w:val="24"/>
                  <w:szCs w:val="24"/>
                </w:rPr>
                <w:t>khehmeyer@calfee.com</w:t>
              </w:r>
            </w:hyperlink>
          </w:p>
          <w:p w:rsidR="007962BC" w:rsidP="007962BC" w14:paraId="3A6D9CF6" w14:textId="3A1AC578">
            <w:pPr>
              <w:autoSpaceDE w:val="0"/>
              <w:autoSpaceDN w:val="0"/>
              <w:adjustRightInd w:val="0"/>
              <w:spacing w:after="0"/>
              <w:ind w:left="159"/>
              <w:rPr>
                <w:rFonts w:ascii="Times New Roman" w:hAnsi="Times New Roman" w:cs="Times New Roman"/>
                <w:color w:val="0000FF"/>
                <w:sz w:val="24"/>
                <w:szCs w:val="24"/>
                <w:u w:val="single"/>
              </w:rPr>
            </w:pPr>
            <w:hyperlink r:id="rId18" w:history="1">
              <w:r w:rsidRPr="00232E23">
                <w:rPr>
                  <w:rStyle w:val="Hyperlink"/>
                  <w:rFonts w:ascii="Times New Roman" w:hAnsi="Times New Roman" w:cs="Times New Roman"/>
                  <w:sz w:val="24"/>
                  <w:szCs w:val="24"/>
                </w:rPr>
                <w:t>Rocco.dascenzo@duke-energy.com</w:t>
              </w:r>
            </w:hyperlink>
          </w:p>
          <w:p w:rsidR="007962BC" w:rsidP="007962BC" w14:paraId="24FD38A4" w14:textId="11CE31EB">
            <w:pPr>
              <w:autoSpaceDE w:val="0"/>
              <w:autoSpaceDN w:val="0"/>
              <w:adjustRightInd w:val="0"/>
              <w:spacing w:after="0"/>
              <w:ind w:left="159"/>
              <w:rPr>
                <w:rFonts w:ascii="Times New Roman" w:hAnsi="Times New Roman" w:cs="Times New Roman"/>
                <w:color w:val="0000FF"/>
                <w:sz w:val="24"/>
                <w:szCs w:val="24"/>
                <w:u w:val="single"/>
              </w:rPr>
            </w:pPr>
            <w:hyperlink r:id="rId19" w:history="1">
              <w:r w:rsidRPr="00232E23">
                <w:rPr>
                  <w:rStyle w:val="Hyperlink"/>
                  <w:rFonts w:ascii="Times New Roman" w:hAnsi="Times New Roman" w:cs="Times New Roman"/>
                  <w:sz w:val="24"/>
                  <w:szCs w:val="24"/>
                </w:rPr>
                <w:t>Jeanne.Kingery@duke-energy.com</w:t>
              </w:r>
            </w:hyperlink>
          </w:p>
          <w:p w:rsidR="007962BC" w:rsidP="007962BC" w14:paraId="6F9F7BD4" w14:textId="773F003A">
            <w:pPr>
              <w:autoSpaceDE w:val="0"/>
              <w:autoSpaceDN w:val="0"/>
              <w:adjustRightInd w:val="0"/>
              <w:spacing w:after="0"/>
              <w:ind w:left="159"/>
              <w:rPr>
                <w:rFonts w:ascii="Times New Roman" w:hAnsi="Times New Roman" w:cs="Times New Roman"/>
                <w:color w:val="0000FF"/>
                <w:sz w:val="24"/>
                <w:szCs w:val="24"/>
                <w:u w:val="single"/>
              </w:rPr>
            </w:pPr>
            <w:hyperlink r:id="rId20" w:history="1">
              <w:r w:rsidRPr="00232E23">
                <w:rPr>
                  <w:rStyle w:val="Hyperlink"/>
                  <w:rFonts w:ascii="Times New Roman" w:hAnsi="Times New Roman" w:cs="Times New Roman"/>
                  <w:sz w:val="24"/>
                  <w:szCs w:val="24"/>
                </w:rPr>
                <w:t>Larisa.vaysman@duke-energy.com</w:t>
              </w:r>
            </w:hyperlink>
          </w:p>
          <w:p w:rsidR="007962BC" w:rsidP="007962BC" w14:paraId="4D3E2BBF" w14:textId="6D487ED0">
            <w:pPr>
              <w:autoSpaceDE w:val="0"/>
              <w:autoSpaceDN w:val="0"/>
              <w:adjustRightInd w:val="0"/>
              <w:spacing w:after="0"/>
              <w:ind w:left="159"/>
              <w:rPr>
                <w:rFonts w:ascii="Times New Roman" w:hAnsi="Times New Roman" w:cs="Times New Roman"/>
                <w:color w:val="0000FF"/>
                <w:sz w:val="24"/>
                <w:szCs w:val="24"/>
                <w:u w:val="single"/>
              </w:rPr>
            </w:pPr>
            <w:hyperlink r:id="rId21" w:history="1">
              <w:r w:rsidRPr="00232E23">
                <w:rPr>
                  <w:rStyle w:val="Hyperlink"/>
                  <w:rFonts w:ascii="Times New Roman" w:hAnsi="Times New Roman" w:cs="Times New Roman"/>
                  <w:sz w:val="24"/>
                  <w:szCs w:val="24"/>
                </w:rPr>
                <w:t>mpritchard@mcneeslaw.com</w:t>
              </w:r>
            </w:hyperlink>
          </w:p>
          <w:p w:rsidR="007962BC" w:rsidP="007962BC" w14:paraId="57B442C6" w14:textId="4D624000">
            <w:pPr>
              <w:autoSpaceDE w:val="0"/>
              <w:autoSpaceDN w:val="0"/>
              <w:adjustRightInd w:val="0"/>
              <w:spacing w:after="0"/>
              <w:ind w:left="159"/>
              <w:rPr>
                <w:rFonts w:ascii="Times New Roman" w:hAnsi="Times New Roman" w:cs="Times New Roman"/>
                <w:color w:val="0000FF"/>
                <w:sz w:val="24"/>
                <w:szCs w:val="24"/>
                <w:u w:val="single"/>
              </w:rPr>
            </w:pPr>
            <w:hyperlink r:id="rId22" w:history="1">
              <w:r w:rsidRPr="00E4720C">
                <w:rPr>
                  <w:rStyle w:val="Hyperlink"/>
                  <w:rFonts w:ascii="Times New Roman" w:hAnsi="Times New Roman" w:cs="Times New Roman"/>
                  <w:sz w:val="24"/>
                  <w:szCs w:val="24"/>
                </w:rPr>
                <w:t>cendsley@ofbf.org</w:t>
              </w:r>
            </w:hyperlink>
          </w:p>
          <w:p w:rsidR="007962BC" w:rsidP="007962BC" w14:paraId="39728C48" w14:textId="77777777">
            <w:pPr>
              <w:autoSpaceDE w:val="0"/>
              <w:autoSpaceDN w:val="0"/>
              <w:adjustRightInd w:val="0"/>
              <w:spacing w:after="0"/>
              <w:ind w:left="159"/>
              <w:rPr>
                <w:rFonts w:ascii="Times New Roman" w:hAnsi="Times New Roman" w:cs="Times New Roman"/>
                <w:color w:val="0000FF"/>
                <w:sz w:val="24"/>
                <w:szCs w:val="24"/>
                <w:u w:val="single"/>
              </w:rPr>
            </w:pPr>
            <w:hyperlink r:id="rId23" w:history="1">
              <w:r w:rsidRPr="00E4720C">
                <w:rPr>
                  <w:rStyle w:val="Hyperlink"/>
                  <w:rFonts w:ascii="Times New Roman" w:hAnsi="Times New Roman" w:cs="Times New Roman"/>
                  <w:sz w:val="24"/>
                  <w:szCs w:val="24"/>
                </w:rPr>
                <w:t>lcurtis@ofbf.org</w:t>
              </w:r>
            </w:hyperlink>
          </w:p>
          <w:p w:rsidR="007962BC" w:rsidP="007962BC" w14:paraId="22103885" w14:textId="3A97280B">
            <w:pPr>
              <w:autoSpaceDE w:val="0"/>
              <w:autoSpaceDN w:val="0"/>
              <w:adjustRightInd w:val="0"/>
              <w:spacing w:after="0"/>
              <w:ind w:left="159"/>
              <w:rPr>
                <w:rFonts w:ascii="Times New Roman" w:hAnsi="Times New Roman" w:cs="Times New Roman"/>
                <w:color w:val="0000FF"/>
                <w:sz w:val="24"/>
                <w:szCs w:val="24"/>
                <w:u w:val="single"/>
              </w:rPr>
            </w:pPr>
            <w:hyperlink r:id="rId24" w:history="1">
              <w:r w:rsidRPr="00232E23">
                <w:rPr>
                  <w:rStyle w:val="Hyperlink"/>
                  <w:rFonts w:ascii="Times New Roman" w:hAnsi="Times New Roman" w:cs="Times New Roman"/>
                  <w:sz w:val="24"/>
                  <w:szCs w:val="24"/>
                </w:rPr>
                <w:t>amilam@ofbf.org</w:t>
              </w:r>
            </w:hyperlink>
          </w:p>
          <w:p w:rsidR="007962BC" w:rsidP="007962BC" w14:paraId="17924A86" w14:textId="085038A9">
            <w:pPr>
              <w:autoSpaceDE w:val="0"/>
              <w:autoSpaceDN w:val="0"/>
              <w:adjustRightInd w:val="0"/>
              <w:spacing w:after="0"/>
              <w:ind w:left="159"/>
              <w:rPr>
                <w:rFonts w:ascii="Times New Roman" w:hAnsi="Times New Roman" w:cs="Times New Roman"/>
                <w:color w:val="0000FF"/>
                <w:sz w:val="24"/>
                <w:szCs w:val="24"/>
                <w:u w:val="single"/>
              </w:rPr>
            </w:pPr>
            <w:hyperlink r:id="rId25" w:history="1">
              <w:r w:rsidRPr="00232E23">
                <w:rPr>
                  <w:rStyle w:val="Hyperlink"/>
                  <w:rFonts w:ascii="Times New Roman" w:hAnsi="Times New Roman" w:cs="Times New Roman"/>
                  <w:sz w:val="24"/>
                  <w:szCs w:val="24"/>
                </w:rPr>
                <w:t>sdismukes@eckertseamans.com</w:t>
              </w:r>
            </w:hyperlink>
          </w:p>
          <w:p w:rsidR="007962BC" w:rsidP="007962BC" w14:paraId="7A7C84A3" w14:textId="5A94BFE3">
            <w:pPr>
              <w:autoSpaceDE w:val="0"/>
              <w:autoSpaceDN w:val="0"/>
              <w:adjustRightInd w:val="0"/>
              <w:spacing w:after="0"/>
              <w:ind w:left="159"/>
              <w:rPr>
                <w:rFonts w:ascii="Times New Roman" w:hAnsi="Times New Roman" w:cs="Times New Roman"/>
                <w:color w:val="0000FF"/>
                <w:sz w:val="24"/>
                <w:szCs w:val="24"/>
                <w:u w:val="single"/>
              </w:rPr>
            </w:pPr>
            <w:hyperlink r:id="rId26" w:history="1">
              <w:r w:rsidRPr="00E4720C">
                <w:rPr>
                  <w:rStyle w:val="Hyperlink"/>
                  <w:rFonts w:ascii="Times New Roman" w:hAnsi="Times New Roman" w:cs="Times New Roman"/>
                  <w:sz w:val="24"/>
                  <w:szCs w:val="24"/>
                </w:rPr>
                <w:t>dclearfield@eckertseamans.com</w:t>
              </w:r>
            </w:hyperlink>
          </w:p>
          <w:p w:rsidR="007962BC" w:rsidP="007962BC" w14:paraId="1CAF1484" w14:textId="07261F40">
            <w:pPr>
              <w:autoSpaceDE w:val="0"/>
              <w:autoSpaceDN w:val="0"/>
              <w:adjustRightInd w:val="0"/>
              <w:spacing w:after="0"/>
              <w:ind w:left="159"/>
              <w:rPr>
                <w:rFonts w:ascii="Times New Roman" w:hAnsi="Times New Roman" w:cs="Times New Roman"/>
                <w:color w:val="0000FF"/>
                <w:sz w:val="24"/>
                <w:szCs w:val="24"/>
                <w:u w:val="single"/>
              </w:rPr>
            </w:pPr>
            <w:hyperlink r:id="rId27" w:history="1">
              <w:r w:rsidRPr="00232E23">
                <w:rPr>
                  <w:rStyle w:val="Hyperlink"/>
                  <w:rFonts w:ascii="Times New Roman" w:hAnsi="Times New Roman" w:cs="Times New Roman"/>
                  <w:sz w:val="24"/>
                  <w:szCs w:val="24"/>
                </w:rPr>
                <w:t>SStoner@eckertseamans.com</w:t>
              </w:r>
            </w:hyperlink>
          </w:p>
          <w:p w:rsidR="007962BC" w:rsidP="007962BC" w14:paraId="573F546B" w14:textId="1BCC83D4">
            <w:pPr>
              <w:autoSpaceDE w:val="0"/>
              <w:autoSpaceDN w:val="0"/>
              <w:adjustRightInd w:val="0"/>
              <w:spacing w:after="0"/>
              <w:ind w:left="159"/>
              <w:rPr>
                <w:rFonts w:ascii="Times New Roman" w:hAnsi="Times New Roman" w:cs="Times New Roman"/>
                <w:color w:val="0000FF"/>
                <w:sz w:val="24"/>
                <w:szCs w:val="24"/>
                <w:u w:val="single"/>
              </w:rPr>
            </w:pPr>
            <w:hyperlink r:id="rId28" w:history="1">
              <w:r w:rsidRPr="00232E23">
                <w:rPr>
                  <w:rStyle w:val="Hyperlink"/>
                  <w:rFonts w:ascii="Times New Roman" w:hAnsi="Times New Roman" w:cs="Times New Roman"/>
                  <w:sz w:val="24"/>
                  <w:szCs w:val="24"/>
                </w:rPr>
                <w:t>gkrassen@bricker.com</w:t>
              </w:r>
            </w:hyperlink>
          </w:p>
          <w:p w:rsidR="007962BC" w:rsidP="007962BC" w14:paraId="63589AF5" w14:textId="08E6A58F">
            <w:pPr>
              <w:autoSpaceDE w:val="0"/>
              <w:autoSpaceDN w:val="0"/>
              <w:adjustRightInd w:val="0"/>
              <w:spacing w:after="0"/>
              <w:ind w:left="159"/>
              <w:rPr>
                <w:rFonts w:ascii="Times New Roman" w:hAnsi="Times New Roman" w:cs="Times New Roman"/>
                <w:color w:val="0000FF"/>
                <w:sz w:val="24"/>
                <w:szCs w:val="24"/>
                <w:u w:val="single"/>
              </w:rPr>
            </w:pPr>
            <w:hyperlink r:id="rId29" w:history="1">
              <w:r w:rsidRPr="00232E23">
                <w:rPr>
                  <w:rStyle w:val="Hyperlink"/>
                  <w:rFonts w:ascii="Times New Roman" w:hAnsi="Times New Roman" w:cs="Times New Roman"/>
                  <w:sz w:val="24"/>
                  <w:szCs w:val="24"/>
                </w:rPr>
                <w:t>dstinson@bricker.com</w:t>
              </w:r>
            </w:hyperlink>
          </w:p>
          <w:p w:rsidR="007962BC" w:rsidP="007962BC" w14:paraId="22BC6F84" w14:textId="375C1E1A">
            <w:pPr>
              <w:autoSpaceDE w:val="0"/>
              <w:autoSpaceDN w:val="0"/>
              <w:adjustRightInd w:val="0"/>
              <w:spacing w:after="0"/>
              <w:ind w:left="159"/>
              <w:rPr>
                <w:rFonts w:ascii="Times New Roman" w:hAnsi="Times New Roman" w:cs="Times New Roman"/>
                <w:color w:val="0000FF"/>
                <w:sz w:val="24"/>
                <w:szCs w:val="24"/>
                <w:u w:val="single"/>
              </w:rPr>
            </w:pPr>
            <w:hyperlink r:id="rId30" w:history="1">
              <w:r w:rsidRPr="00232E23">
                <w:rPr>
                  <w:rStyle w:val="Hyperlink"/>
                  <w:rFonts w:ascii="Times New Roman" w:hAnsi="Times New Roman" w:cs="Times New Roman"/>
                  <w:sz w:val="24"/>
                  <w:szCs w:val="24"/>
                </w:rPr>
                <w:t>dparram@bricker.com</w:t>
              </w:r>
            </w:hyperlink>
          </w:p>
          <w:p w:rsidR="007962BC" w:rsidP="007962BC" w14:paraId="1CB58BF2" w14:textId="0167C37A">
            <w:pPr>
              <w:autoSpaceDE w:val="0"/>
              <w:autoSpaceDN w:val="0"/>
              <w:adjustRightInd w:val="0"/>
              <w:spacing w:after="0"/>
              <w:ind w:left="159"/>
              <w:rPr>
                <w:rFonts w:ascii="Times New Roman" w:hAnsi="Times New Roman" w:cs="Times New Roman"/>
                <w:color w:val="0000FF"/>
                <w:sz w:val="24"/>
                <w:szCs w:val="24"/>
                <w:u w:val="single"/>
              </w:rPr>
            </w:pPr>
            <w:hyperlink r:id="rId31" w:history="1">
              <w:r w:rsidRPr="00232E23">
                <w:rPr>
                  <w:rStyle w:val="Hyperlink"/>
                  <w:rFonts w:ascii="Times New Roman" w:hAnsi="Times New Roman" w:cs="Times New Roman"/>
                  <w:sz w:val="24"/>
                  <w:szCs w:val="24"/>
                </w:rPr>
                <w:t>Bethany.Allen@igs.com</w:t>
              </w:r>
            </w:hyperlink>
          </w:p>
          <w:p w:rsidR="007962BC" w:rsidP="007962BC" w14:paraId="3E4130B7" w14:textId="2AC1F4E7">
            <w:pPr>
              <w:autoSpaceDE w:val="0"/>
              <w:autoSpaceDN w:val="0"/>
              <w:adjustRightInd w:val="0"/>
              <w:spacing w:after="0"/>
              <w:ind w:left="159"/>
              <w:rPr>
                <w:rFonts w:ascii="Times New Roman" w:hAnsi="Times New Roman" w:cs="Times New Roman"/>
                <w:color w:val="0000FF"/>
                <w:sz w:val="24"/>
                <w:szCs w:val="24"/>
                <w:u w:val="single"/>
              </w:rPr>
            </w:pPr>
            <w:hyperlink r:id="rId32" w:history="1">
              <w:r w:rsidRPr="00232E23">
                <w:rPr>
                  <w:rStyle w:val="Hyperlink"/>
                  <w:rFonts w:ascii="Times New Roman" w:hAnsi="Times New Roman" w:cs="Times New Roman"/>
                  <w:sz w:val="24"/>
                  <w:szCs w:val="24"/>
                </w:rPr>
                <w:t>Michael.Nugent@igs.com</w:t>
              </w:r>
            </w:hyperlink>
          </w:p>
          <w:p w:rsidR="007962BC" w:rsidP="007962BC" w14:paraId="15F9634B" w14:textId="41824942">
            <w:pPr>
              <w:autoSpaceDE w:val="0"/>
              <w:autoSpaceDN w:val="0"/>
              <w:adjustRightInd w:val="0"/>
              <w:spacing w:after="0"/>
              <w:ind w:left="159"/>
              <w:rPr>
                <w:rFonts w:ascii="Times New Roman" w:hAnsi="Times New Roman" w:cs="Times New Roman"/>
                <w:color w:val="0000FF"/>
                <w:sz w:val="24"/>
                <w:szCs w:val="24"/>
                <w:u w:val="single"/>
              </w:rPr>
            </w:pPr>
            <w:hyperlink r:id="rId33" w:history="1">
              <w:r w:rsidRPr="00E4720C">
                <w:rPr>
                  <w:rStyle w:val="Hyperlink"/>
                  <w:rFonts w:ascii="Times New Roman" w:hAnsi="Times New Roman" w:cs="Times New Roman"/>
                  <w:sz w:val="24"/>
                  <w:szCs w:val="24"/>
                </w:rPr>
                <w:t>Joe.Oliker@igs.com</w:t>
              </w:r>
            </w:hyperlink>
          </w:p>
          <w:p w:rsidR="007962BC" w:rsidP="007962BC" w14:paraId="1B277B26" w14:textId="309A4504">
            <w:pPr>
              <w:autoSpaceDE w:val="0"/>
              <w:autoSpaceDN w:val="0"/>
              <w:adjustRightInd w:val="0"/>
              <w:spacing w:after="0"/>
              <w:ind w:left="159"/>
              <w:rPr>
                <w:rFonts w:ascii="Times New Roman" w:hAnsi="Times New Roman" w:cs="Times New Roman"/>
                <w:color w:val="0000FF"/>
                <w:sz w:val="24"/>
                <w:szCs w:val="24"/>
                <w:u w:val="single"/>
              </w:rPr>
            </w:pPr>
            <w:hyperlink r:id="rId34" w:history="1">
              <w:r w:rsidRPr="00232E23">
                <w:rPr>
                  <w:rStyle w:val="Hyperlink"/>
                  <w:rFonts w:ascii="Times New Roman" w:hAnsi="Times New Roman" w:cs="Times New Roman"/>
                  <w:sz w:val="24"/>
                  <w:szCs w:val="24"/>
                </w:rPr>
                <w:t>kennedy@whitt-sturtevant.com</w:t>
              </w:r>
            </w:hyperlink>
          </w:p>
          <w:p w:rsidR="007962BC" w:rsidP="007962BC" w14:paraId="5CF2DB51" w14:textId="5C87599D">
            <w:pPr>
              <w:autoSpaceDE w:val="0"/>
              <w:autoSpaceDN w:val="0"/>
              <w:adjustRightInd w:val="0"/>
              <w:spacing w:after="0"/>
              <w:ind w:left="159"/>
              <w:rPr>
                <w:rFonts w:ascii="Times New Roman" w:hAnsi="Times New Roman" w:cs="Times New Roman"/>
                <w:color w:val="0000FF"/>
                <w:sz w:val="24"/>
                <w:szCs w:val="24"/>
                <w:u w:val="single"/>
              </w:rPr>
            </w:pPr>
            <w:hyperlink r:id="rId35" w:history="1">
              <w:r w:rsidRPr="00232E23">
                <w:rPr>
                  <w:rStyle w:val="Hyperlink"/>
                  <w:rFonts w:ascii="Times New Roman" w:hAnsi="Times New Roman" w:cs="Times New Roman"/>
                  <w:sz w:val="24"/>
                  <w:szCs w:val="24"/>
                </w:rPr>
                <w:t>fykes@whitt-sturtevant.com</w:t>
              </w:r>
            </w:hyperlink>
          </w:p>
          <w:p w:rsidR="007962BC" w:rsidP="007962BC" w14:paraId="0219ADA9" w14:textId="3EDC033B">
            <w:pPr>
              <w:autoSpaceDE w:val="0"/>
              <w:autoSpaceDN w:val="0"/>
              <w:adjustRightInd w:val="0"/>
              <w:spacing w:after="0"/>
              <w:ind w:left="159"/>
              <w:rPr>
                <w:rFonts w:ascii="Times New Roman" w:hAnsi="Times New Roman" w:cs="Times New Roman"/>
                <w:color w:val="0000FF"/>
                <w:sz w:val="24"/>
                <w:szCs w:val="24"/>
                <w:u w:val="single"/>
              </w:rPr>
            </w:pPr>
            <w:hyperlink r:id="rId36" w:history="1">
              <w:r w:rsidRPr="00232E23">
                <w:rPr>
                  <w:rStyle w:val="Hyperlink"/>
                  <w:rFonts w:ascii="Times New Roman" w:hAnsi="Times New Roman" w:cs="Times New Roman"/>
                  <w:sz w:val="24"/>
                  <w:szCs w:val="24"/>
                </w:rPr>
                <w:t>Andrew.j.campbell@dominionenergy.commjsettineri@vorys.com</w:t>
              </w:r>
            </w:hyperlink>
          </w:p>
          <w:p w:rsidR="00875BFA" w:rsidRPr="00A50D31" w:rsidP="009403E0" w14:paraId="27B83263" w14:textId="75B37EF0">
            <w:pPr>
              <w:autoSpaceDE w:val="0"/>
              <w:autoSpaceDN w:val="0"/>
              <w:adjustRightInd w:val="0"/>
              <w:spacing w:after="0"/>
              <w:ind w:left="159"/>
            </w:pPr>
            <w:r w:rsidRPr="00595762">
              <w:rPr>
                <w:rFonts w:ascii="Times New Roman" w:hAnsi="Times New Roman" w:cs="Times New Roman"/>
                <w:color w:val="0000FF"/>
                <w:sz w:val="24"/>
                <w:szCs w:val="24"/>
                <w:u w:val="single"/>
              </w:rPr>
              <w:t>glpetrucci@vorys.com</w:t>
            </w:r>
          </w:p>
        </w:tc>
      </w:tr>
    </w:tbl>
    <w:p w:rsidR="00875BFA" w:rsidRPr="00A50D31" w:rsidP="009403E0" w14:paraId="5A8ED81D" w14:textId="77777777">
      <w:pPr>
        <w:pStyle w:val="CommentText"/>
        <w:jc w:val="center"/>
        <w:rPr>
          <w:rFonts w:ascii="Times New Roman" w:eastAsia="Times New Roman" w:hAnsi="Times New Roman" w:cs="Times New Roman"/>
          <w:sz w:val="24"/>
          <w:szCs w:val="24"/>
        </w:rPr>
      </w:pPr>
    </w:p>
    <w:sectPr w:rsidSect="002154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79490586"/>
      <w:docPartObj>
        <w:docPartGallery w:val="Page Numbers (Bottom of Page)"/>
        <w:docPartUnique/>
      </w:docPartObj>
    </w:sdtPr>
    <w:sdtEndPr>
      <w:rPr>
        <w:noProof/>
      </w:rPr>
    </w:sdtEndPr>
    <w:sdtContent>
      <w:p w:rsidR="008912C3" w14:paraId="34EEF347" w14:textId="14BF1AA0">
        <w:pPr>
          <w:pStyle w:val="Footer"/>
          <w:jc w:val="center"/>
        </w:pPr>
      </w:p>
    </w:sdtContent>
  </w:sdt>
  <w:p w:rsidR="008912C3" w14:paraId="4310AA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35405704"/>
      <w:docPartObj>
        <w:docPartGallery w:val="Page Numbers (Bottom of Page)"/>
        <w:docPartUnique/>
      </w:docPartObj>
    </w:sdtPr>
    <w:sdtEndPr>
      <w:rPr>
        <w:noProof/>
        <w:sz w:val="24"/>
        <w:szCs w:val="24"/>
      </w:rPr>
    </w:sdtEndPr>
    <w:sdtContent>
      <w:p w:rsidR="008912C3" w:rsidRPr="00A77E49" w14:paraId="44C3FD66" w14:textId="77777777">
        <w:pPr>
          <w:pStyle w:val="Footer"/>
          <w:jc w:val="center"/>
          <w:rPr>
            <w:sz w:val="24"/>
            <w:szCs w:val="24"/>
          </w:rPr>
        </w:pPr>
        <w:r w:rsidRPr="00A77E49">
          <w:rPr>
            <w:sz w:val="24"/>
            <w:szCs w:val="24"/>
          </w:rPr>
          <w:fldChar w:fldCharType="begin"/>
        </w:r>
        <w:r w:rsidRPr="00A77E49">
          <w:rPr>
            <w:sz w:val="24"/>
            <w:szCs w:val="24"/>
          </w:rPr>
          <w:instrText xml:space="preserve"> PAGE   \* MERGEFORMAT </w:instrText>
        </w:r>
        <w:r w:rsidRPr="00A77E49">
          <w:rPr>
            <w:sz w:val="24"/>
            <w:szCs w:val="24"/>
          </w:rPr>
          <w:fldChar w:fldCharType="separate"/>
        </w:r>
        <w:r>
          <w:rPr>
            <w:noProof/>
            <w:sz w:val="24"/>
            <w:szCs w:val="24"/>
          </w:rPr>
          <w:t>8</w:t>
        </w:r>
        <w:r w:rsidRPr="00A77E49">
          <w:rPr>
            <w:noProof/>
            <w:sz w:val="24"/>
            <w:szCs w:val="24"/>
          </w:rPr>
          <w:fldChar w:fldCharType="end"/>
        </w:r>
      </w:p>
    </w:sdtContent>
  </w:sdt>
  <w:p w:rsidR="008912C3" w14:paraId="2DDD101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26231" w:rsidP="00720934" w14:paraId="2E5E27FE" w14:textId="77777777">
      <w:pPr>
        <w:spacing w:after="0" w:line="240" w:lineRule="auto"/>
      </w:pPr>
      <w:r>
        <w:separator/>
      </w:r>
    </w:p>
  </w:footnote>
  <w:footnote w:type="continuationSeparator" w:id="1">
    <w:p w:rsidR="00B26231" w:rsidP="00720934" w14:paraId="0DE73803" w14:textId="77777777">
      <w:pPr>
        <w:spacing w:after="0" w:line="240" w:lineRule="auto"/>
      </w:pPr>
      <w:r>
        <w:continuationSeparator/>
      </w:r>
    </w:p>
  </w:footnote>
  <w:footnote w:type="continuationNotice" w:id="2">
    <w:p w:rsidR="00B26231" w14:paraId="4D0828F6" w14:textId="77777777">
      <w:pPr>
        <w:spacing w:after="0" w:line="240" w:lineRule="auto"/>
      </w:pPr>
    </w:p>
  </w:footnote>
  <w:footnote w:id="3">
    <w:p w:rsidR="008912C3" w:rsidRPr="00053875" w:rsidP="00053875" w14:paraId="74F5734D" w14:textId="77777777">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R.C. 4929.02(A)(1).</w:t>
      </w:r>
    </w:p>
  </w:footnote>
  <w:footnote w:id="4">
    <w:p w:rsidR="008912C3" w:rsidRPr="00053875" w:rsidP="00053875" w14:paraId="55037666" w14:textId="0230EEC1">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OCC Comments at 2-3.</w:t>
      </w:r>
    </w:p>
  </w:footnote>
  <w:footnote w:id="5">
    <w:p w:rsidR="008912C3" w:rsidRPr="00053875" w:rsidP="00053875" w14:paraId="7CF4D161" w14:textId="628971CE">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iCs/>
        </w:rPr>
        <w:t>Id</w:t>
      </w:r>
      <w:r w:rsidRPr="00053875">
        <w:rPr>
          <w:rFonts w:ascii="Times New Roman" w:hAnsi="Times New Roman" w:cs="Times New Roman"/>
        </w:rPr>
        <w:t>.</w:t>
      </w:r>
    </w:p>
  </w:footnote>
  <w:footnote w:id="6">
    <w:p w:rsidR="008912C3" w:rsidRPr="00053875" w:rsidP="00053875" w14:paraId="3CA86BA8" w14:textId="12F09976">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rPr>
        <w:t>Id</w:t>
      </w:r>
      <w:r w:rsidRPr="00053875">
        <w:rPr>
          <w:rFonts w:ascii="Times New Roman" w:hAnsi="Times New Roman" w:cs="Times New Roman"/>
        </w:rPr>
        <w:t>.</w:t>
      </w:r>
    </w:p>
  </w:footnote>
  <w:footnote w:id="7">
    <w:p w:rsidR="008912C3" w:rsidRPr="00053875" w:rsidP="00053875" w14:paraId="731FE25A" w14:textId="20196ACC">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rPr>
        <w:t>Id</w:t>
      </w:r>
      <w:r w:rsidRPr="00053875">
        <w:rPr>
          <w:rFonts w:ascii="Times New Roman" w:hAnsi="Times New Roman" w:cs="Times New Roman"/>
        </w:rPr>
        <w:t>. at 3.</w:t>
      </w:r>
    </w:p>
  </w:footnote>
  <w:footnote w:id="8">
    <w:p w:rsidR="008912C3" w:rsidRPr="00053875" w:rsidP="00053875" w14:paraId="4E675A08" w14:textId="7D6FD80A">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Direct Energy Services, LLC and Direct Energy Business, LLC (“collectively “Direct Energy”), Interstate Gas Supply, Inc. (“IGS”), and the Retail Energy Supply Association (“RESA”) (collectively the “Marketers”).</w:t>
      </w:r>
    </w:p>
  </w:footnote>
  <w:footnote w:id="9">
    <w:p w:rsidR="008912C3" w:rsidRPr="00053875" w:rsidP="00053875" w14:paraId="6F0DE033" w14:textId="78A7011D">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Duke Energy Ohio, Inc. (“Duke”), The East Ohio Gas Company d/b/a Dominion Energy Ohio and Vectren Energy Delivery of Ohio, Inc. (“Dominion and Vectren”) (collectively the “Gas Utilities”); Notably Columbia Gas, which has a Shadow Billing program, and provides a price to compare on its bills, did not file comments opposing this rule.</w:t>
      </w:r>
    </w:p>
  </w:footnote>
  <w:footnote w:id="10">
    <w:p w:rsidR="008912C3" w:rsidRPr="00053875" w:rsidP="00053875" w14:paraId="0F4E6605" w14:textId="534E9BB4">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eastAsia="Times New Roman" w:hAnsi="Times New Roman" w:cs="Times New Roman"/>
        </w:rPr>
        <w:t>Ohio Adm. Code 4901:1-13-11(K).</w:t>
      </w:r>
    </w:p>
  </w:footnote>
  <w:footnote w:id="11">
    <w:p w:rsidR="008912C3" w:rsidRPr="00053875" w:rsidP="00053875" w14:paraId="34B6AD4D" w14:textId="061A427E">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Direct Energy at 9-13; IGS at 12-15; RESA at 2-4; and Dominion and Vectren Joint Comments at 3-6 (January 17, 2020). Duke seemingly misunderstood (or had a typo) that the proposed rule suggests consumers can save money by choosing a marketer. Duke at 1-2. A proper reading of the rule indicates the opposite.</w:t>
      </w:r>
      <w:r w:rsidRPr="00053875">
        <w:rPr>
          <w:rFonts w:ascii="Times New Roman" w:eastAsia="Times New Roman" w:hAnsi="Times New Roman" w:cs="Times New Roman"/>
        </w:rPr>
        <w:t xml:space="preserve"> </w:t>
      </w:r>
    </w:p>
  </w:footnote>
  <w:footnote w:id="12">
    <w:p w:rsidR="008912C3" w:rsidRPr="00053875" w:rsidP="00053875" w14:paraId="1E2E3D5D" w14:textId="1C8F60BC">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iCs/>
        </w:rPr>
        <w:t>Id.</w:t>
      </w:r>
    </w:p>
  </w:footnote>
  <w:footnote w:id="13">
    <w:p w:rsidR="008912C3" w:rsidRPr="00053875" w:rsidP="00053875" w14:paraId="7C8DC79A" w14:textId="437EC11F">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iCs/>
        </w:rPr>
        <w:t>Id.</w:t>
      </w:r>
    </w:p>
  </w:footnote>
  <w:footnote w:id="14">
    <w:p w:rsidR="008912C3" w:rsidRPr="00053875" w:rsidP="00053875" w14:paraId="09AF91D8" w14:textId="2F7AC8D6">
      <w:pPr>
        <w:pStyle w:val="FootnoteText"/>
        <w:spacing w:after="120"/>
        <w:rPr>
          <w:rFonts w:ascii="Times New Roman" w:hAnsi="Times New Roman" w:cs="Times New Roman"/>
          <w:i/>
          <w:iCs/>
        </w:rPr>
      </w:pPr>
      <w:r w:rsidRPr="00053875">
        <w:rPr>
          <w:rStyle w:val="FootnoteReference"/>
          <w:rFonts w:ascii="Times New Roman" w:hAnsi="Times New Roman" w:cs="Times New Roman"/>
        </w:rPr>
        <w:footnoteRef/>
      </w:r>
      <w:r w:rsidRPr="00053875">
        <w:rPr>
          <w:rFonts w:ascii="Times New Roman" w:hAnsi="Times New Roman" w:cs="Times New Roman"/>
        </w:rPr>
        <w:t xml:space="preserve"> OCC Initial Comments at 3-4.</w:t>
      </w:r>
    </w:p>
  </w:footnote>
  <w:footnote w:id="15">
    <w:p w:rsidR="008912C3" w:rsidRPr="00053875" w:rsidP="00053875" w14:paraId="6F867D0A" w14:textId="1D098DDC">
      <w:pPr>
        <w:pStyle w:val="FootnoteText"/>
        <w:spacing w:after="120"/>
        <w:rPr>
          <w:rFonts w:ascii="Times New Roman" w:hAnsi="Times New Roman" w:cs="Times New Roman"/>
        </w:rPr>
      </w:pPr>
      <w:r w:rsidRPr="00053875">
        <w:rPr>
          <w:rStyle w:val="FootnoteReference"/>
          <w:rFonts w:ascii="Times New Roman" w:hAnsi="Times New Roman"/>
        </w:rPr>
        <w:footnoteRef/>
      </w:r>
      <w:r w:rsidRPr="00053875">
        <w:rPr>
          <w:rStyle w:val="FootnoteReference"/>
          <w:rFonts w:ascii="Times New Roman" w:hAnsi="Times New Roman"/>
        </w:rPr>
        <w:t xml:space="preserve"> </w:t>
      </w:r>
      <w:r w:rsidRPr="00053875">
        <w:rPr>
          <w:rFonts w:ascii="Times New Roman" w:hAnsi="Times New Roman" w:cs="Times New Roman"/>
        </w:rPr>
        <w:t>RESA at 2 (RESA asserts that Examples of key missing information include: that the gas cost recovery and standard choice offer are variable rates, the price to compare is a snapshot based on historic standard choice offer and gas cost recovery rates, and the gas cost recovery and standard choice offer rates do not include components found in different marketer offers. The Staff’s price to compare proposal also does not invite the customer to use the PUCO’s energy choice website where apples-to-apples comparisons can be made.).</w:t>
      </w:r>
    </w:p>
  </w:footnote>
  <w:footnote w:id="16">
    <w:p w:rsidR="008912C3" w:rsidRPr="00053875" w:rsidP="00053875" w14:paraId="4BC08BE6" w14:textId="512B5B2B">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Direct Energy at 9-13, IGS at 12-15, RESA at 2-4, Duke at 1-2, and Dominion and Vectren Joint Comments at 3-6 (January 17, 2020).</w:t>
      </w:r>
    </w:p>
  </w:footnote>
  <w:footnote w:id="17">
    <w:p w:rsidR="008912C3" w:rsidRPr="00053875" w:rsidP="00053875" w14:paraId="3BD01643" w14:textId="07809EE1">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rPr>
        <w:t>Id</w:t>
      </w:r>
      <w:r w:rsidRPr="00053875">
        <w:rPr>
          <w:rFonts w:ascii="Times New Roman" w:hAnsi="Times New Roman" w:cs="Times New Roman"/>
        </w:rPr>
        <w:t>.</w:t>
      </w:r>
    </w:p>
  </w:footnote>
  <w:footnote w:id="18">
    <w:p w:rsidR="008912C3" w:rsidRPr="00053875" w:rsidP="00053875" w14:paraId="6DE4F60D" w14:textId="12940585">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Assuming y &gt; 0.</w:t>
      </w:r>
    </w:p>
  </w:footnote>
  <w:footnote w:id="19">
    <w:p w:rsidR="008912C3" w:rsidRPr="00053875" w:rsidP="00053875" w14:paraId="1A5E37B9" w14:textId="3F528926">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R.C. 4929.02(A)(1).</w:t>
      </w:r>
    </w:p>
  </w:footnote>
  <w:footnote w:id="20">
    <w:p w:rsidR="008912C3" w:rsidRPr="00053875" w:rsidP="00053875" w14:paraId="46273CCB" w14:textId="15ED3507">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R.C. 4929.02(A)(3) &amp; (A)(6).</w:t>
      </w:r>
    </w:p>
  </w:footnote>
  <w:footnote w:id="21">
    <w:p w:rsidR="008912C3" w:rsidRPr="00053875" w:rsidP="00053875" w14:paraId="58119419" w14:textId="3B36DF8B">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RESA at 3.</w:t>
      </w:r>
    </w:p>
  </w:footnote>
  <w:footnote w:id="22">
    <w:p w:rsidR="008912C3" w:rsidRPr="00053875" w:rsidP="00053875" w14:paraId="272735EB" w14:textId="53A47590">
      <w:pPr>
        <w:pStyle w:val="FootnoteText"/>
        <w:spacing w:after="120"/>
        <w:rPr>
          <w:rFonts w:ascii="Times New Roman" w:hAnsi="Times New Roman" w:cs="Times New Roman"/>
        </w:rPr>
      </w:pPr>
      <w:r w:rsidRPr="00053875">
        <w:rPr>
          <w:rStyle w:val="FootnoteReference"/>
          <w:rFonts w:ascii="Times New Roman" w:hAnsi="Times New Roman"/>
        </w:rPr>
        <w:footnoteRef/>
      </w:r>
      <w:r w:rsidRPr="00053875">
        <w:rPr>
          <w:rFonts w:ascii="Times New Roman" w:hAnsi="Times New Roman" w:cs="Times New Roman"/>
        </w:rPr>
        <w:t xml:space="preserve"> </w:t>
      </w:r>
      <w:r w:rsidRPr="00053875">
        <w:rPr>
          <w:rFonts w:ascii="Times New Roman" w:hAnsi="Times New Roman" w:cs="Times New Roman"/>
          <w:i/>
          <w:iCs/>
        </w:rPr>
        <w:t>Id.</w:t>
      </w:r>
    </w:p>
  </w:footnote>
  <w:footnote w:id="23">
    <w:p w:rsidR="008912C3" w:rsidRPr="00053875" w:rsidP="00053875" w14:paraId="0AA69945" w14:textId="02743DDB">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Style w:val="FootnoteReference"/>
          <w:rFonts w:ascii="Times New Roman" w:hAnsi="Times New Roman" w:cs="Times New Roman"/>
        </w:rPr>
        <w:t xml:space="preserve"> </w:t>
      </w:r>
      <w:r w:rsidRPr="00053875">
        <w:rPr>
          <w:rStyle w:val="FootnoteReference"/>
          <w:rFonts w:ascii="Times New Roman" w:hAnsi="Times New Roman" w:cs="Times New Roman"/>
          <w:vertAlign w:val="baseline"/>
        </w:rPr>
        <w:t>(A)(1) It is the policy of this state to, throughout this state</w:t>
      </w:r>
      <w:r w:rsidRPr="00053875">
        <w:rPr>
          <w:rFonts w:ascii="Times New Roman" w:hAnsi="Times New Roman" w:cs="Times New Roman"/>
        </w:rPr>
        <w:t>:</w:t>
      </w:r>
      <w:r w:rsidRPr="00053875">
        <w:rPr>
          <w:rStyle w:val="FootnoteReference"/>
          <w:rFonts w:ascii="Times New Roman" w:hAnsi="Times New Roman" w:cs="Times New Roman"/>
          <w:vertAlign w:val="baseline"/>
        </w:rPr>
        <w:t xml:space="preserve"> promote the availability to consumers of adequate, reliable, and reasonably priced natural gas services and goods.</w:t>
      </w:r>
    </w:p>
  </w:footnote>
  <w:footnote w:id="24">
    <w:p w:rsidR="008912C3" w:rsidRPr="00053875" w:rsidP="00053875" w14:paraId="3088CA02" w14:textId="673F02A1">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Direct Energy at 9-13, IGS at 12-15, RESA at 2-4, Duke at 1-2, and Dominion and Vectren Joint Comments at 3-6 (January 17, 2020).</w:t>
      </w:r>
    </w:p>
  </w:footnote>
  <w:footnote w:id="25">
    <w:p w:rsidR="008912C3" w:rsidRPr="00053875" w:rsidP="00053875" w14:paraId="09D70992" w14:textId="32FF9177">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RESA at 4.</w:t>
      </w:r>
    </w:p>
  </w:footnote>
  <w:footnote w:id="26">
    <w:p w:rsidR="008912C3" w:rsidRPr="00053875" w:rsidP="00053875" w14:paraId="155CE317" w14:textId="0D6AA912">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Duke at 1; Dominion and Vectren at 3.</w:t>
      </w:r>
    </w:p>
  </w:footnote>
  <w:footnote w:id="27">
    <w:p w:rsidR="008912C3" w:rsidRPr="00053875" w:rsidP="00053875" w14:paraId="185A9985" w14:textId="7E957100">
      <w:pPr>
        <w:pStyle w:val="FootnoteText"/>
        <w:spacing w:after="120"/>
        <w:rPr>
          <w:rFonts w:ascii="Times New Roman" w:hAnsi="Times New Roman" w:cs="Times New Roman"/>
          <w:iCs/>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Cs/>
        </w:rPr>
        <w:t>OCC Comments at 3.</w:t>
      </w:r>
    </w:p>
  </w:footnote>
  <w:footnote w:id="28">
    <w:p w:rsidR="008912C3" w:rsidRPr="00053875" w:rsidP="00053875" w14:paraId="47784AC8" w14:textId="45BECCE5">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OCC Comments at 7.</w:t>
      </w:r>
    </w:p>
  </w:footnote>
  <w:footnote w:id="29">
    <w:p w:rsidR="008912C3" w:rsidRPr="00053875" w:rsidP="00053875" w14:paraId="2B35801C" w14:textId="2DA2D72D">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Columbia at 3; Duke at 3; Dominion and Vectren at 2, 7-8; Direct at 5-8; RESA at 9-11; IGS at 15-16.</w:t>
      </w:r>
    </w:p>
  </w:footnote>
  <w:footnote w:id="30">
    <w:p w:rsidR="008912C3" w:rsidRPr="00053875" w:rsidP="00053875" w14:paraId="7F3CA8C4" w14:textId="77777777">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rPr>
        <w:t>Id</w:t>
      </w:r>
      <w:r w:rsidRPr="00053875">
        <w:rPr>
          <w:rFonts w:ascii="Times New Roman" w:hAnsi="Times New Roman" w:cs="Times New Roman"/>
        </w:rPr>
        <w:t>.</w:t>
      </w:r>
    </w:p>
  </w:footnote>
  <w:footnote w:id="31">
    <w:p w:rsidR="008912C3" w:rsidRPr="00053875" w:rsidP="00053875" w14:paraId="67DE1AC6" w14:textId="33F026A5">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Columbia at 3; Duke at 3; Dominion and Vectren at 2.</w:t>
      </w:r>
    </w:p>
  </w:footnote>
  <w:footnote w:id="32">
    <w:p w:rsidR="008912C3" w:rsidRPr="00053875" w:rsidP="00053875" w14:paraId="3FECDE6D" w14:textId="77777777">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iCs/>
        </w:rPr>
        <w:t>Id</w:t>
      </w:r>
      <w:r w:rsidRPr="00053875">
        <w:rPr>
          <w:rFonts w:ascii="Times New Roman" w:hAnsi="Times New Roman" w:cs="Times New Roman"/>
        </w:rPr>
        <w:t>.</w:t>
      </w:r>
    </w:p>
  </w:footnote>
  <w:footnote w:id="33">
    <w:p w:rsidR="008912C3" w:rsidRPr="00053875" w:rsidP="00053875" w14:paraId="1D267C91" w14:textId="2FFF83A5">
      <w:pPr>
        <w:pStyle w:val="FootnoteText"/>
        <w:spacing w:after="120"/>
        <w:rPr>
          <w:rFonts w:ascii="Times New Roman" w:hAnsi="Times New Roman" w:cs="Times New Roman"/>
          <w:i/>
          <w:iCs/>
        </w:rPr>
      </w:pPr>
      <w:r w:rsidRPr="00053875">
        <w:rPr>
          <w:rStyle w:val="FootnoteReference"/>
          <w:rFonts w:ascii="Times New Roman" w:hAnsi="Times New Roman" w:cs="Times New Roman"/>
        </w:rPr>
        <w:footnoteRef/>
      </w:r>
      <w:r w:rsidRPr="00053875">
        <w:rPr>
          <w:rFonts w:ascii="Times New Roman" w:hAnsi="Times New Roman" w:cs="Times New Roman"/>
        </w:rPr>
        <w:t xml:space="preserve"> Direct Energy at 5-8; IGS at 15-16; RESA at 9-11.</w:t>
      </w:r>
    </w:p>
  </w:footnote>
  <w:footnote w:id="34">
    <w:p w:rsidR="008912C3" w:rsidRPr="00053875" w:rsidP="00053875" w14:paraId="3264DDC2" w14:textId="77777777">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iCs/>
        </w:rPr>
        <w:t>Id</w:t>
      </w:r>
      <w:r w:rsidRPr="00053875">
        <w:rPr>
          <w:rFonts w:ascii="Times New Roman" w:hAnsi="Times New Roman" w:cs="Times New Roman"/>
        </w:rPr>
        <w:t>.</w:t>
      </w:r>
    </w:p>
  </w:footnote>
  <w:footnote w:id="35">
    <w:p w:rsidR="008912C3" w:rsidRPr="00053875" w:rsidP="00053875" w14:paraId="7D992D9D" w14:textId="77777777">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iCs/>
        </w:rPr>
        <w:t>Id</w:t>
      </w:r>
      <w:r w:rsidRPr="00053875">
        <w:rPr>
          <w:rFonts w:ascii="Times New Roman" w:hAnsi="Times New Roman" w:cs="Times New Roman"/>
        </w:rPr>
        <w:t>.</w:t>
      </w:r>
    </w:p>
  </w:footnote>
  <w:footnote w:id="36">
    <w:p w:rsidR="008912C3" w:rsidRPr="00053875" w:rsidP="00053875" w14:paraId="56B9020A" w14:textId="2FC4070D">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Gearino, </w:t>
      </w:r>
      <w:r w:rsidRPr="00053875">
        <w:rPr>
          <w:rFonts w:ascii="Times New Roman" w:hAnsi="Times New Roman" w:cs="Times New Roman"/>
          <w:i/>
          <w:iCs/>
        </w:rPr>
        <w:t>Ohio consumers face difficulties filing complaints against utilities</w:t>
      </w:r>
      <w:r w:rsidRPr="00053875">
        <w:rPr>
          <w:rFonts w:ascii="Times New Roman" w:hAnsi="Times New Roman" w:cs="Times New Roman"/>
        </w:rPr>
        <w:t xml:space="preserve">, Columbus Dispatch (May 10, 2015) </w:t>
      </w:r>
      <w:hyperlink r:id="rId1" w:history="1">
        <w:r w:rsidRPr="00053875">
          <w:rPr>
            <w:rFonts w:ascii="Times New Roman" w:hAnsi="Times New Roman" w:cs="Times New Roman"/>
            <w:color w:val="0000FF"/>
            <w:u w:val="single"/>
          </w:rPr>
          <w:t>https://www.dispatch.com/article/20150510/NEWS/305109934</w:t>
        </w:r>
      </w:hyperlink>
      <w:r w:rsidRPr="00053875">
        <w:rPr>
          <w:rFonts w:ascii="Times New Roman" w:hAnsi="Times New Roman" w:cs="Times New Roman"/>
          <w:color w:val="0000FF"/>
          <w:u w:val="single"/>
        </w:rPr>
        <w:t xml:space="preserve">, </w:t>
      </w:r>
      <w:r w:rsidRPr="00053875">
        <w:rPr>
          <w:rFonts w:ascii="Times New Roman" w:hAnsi="Times New Roman" w:cs="Times New Roman"/>
        </w:rPr>
        <w:t xml:space="preserve">(“If you are an Ohio consumer filing a complaint against a utility company, get ready for a long battle, and be prepared to lose.”); Gearino, </w:t>
      </w:r>
      <w:r w:rsidRPr="00053875">
        <w:rPr>
          <w:rFonts w:ascii="Times New Roman" w:hAnsi="Times New Roman" w:cs="Times New Roman"/>
          <w:i/>
          <w:iCs/>
        </w:rPr>
        <w:t>Prepare to lose your case at PUCO</w:t>
      </w:r>
      <w:r w:rsidRPr="00053875">
        <w:rPr>
          <w:rFonts w:ascii="Times New Roman" w:hAnsi="Times New Roman" w:cs="Times New Roman"/>
        </w:rPr>
        <w:t>, Cleveland Plain Dealer (May 11, 2015) A1.</w:t>
      </w:r>
    </w:p>
  </w:footnote>
  <w:footnote w:id="37">
    <w:p w:rsidR="008912C3" w:rsidRPr="00053875" w:rsidP="00053875" w14:paraId="389F284E" w14:textId="295FC193">
      <w:pPr>
        <w:pStyle w:val="FootnoteText"/>
        <w:spacing w:after="120"/>
        <w:rPr>
          <w:rStyle w:val="FootnoteReference"/>
          <w:rFonts w:ascii="Times New Roman" w:hAnsi="Times New Roman"/>
        </w:rPr>
      </w:pPr>
      <w:r w:rsidRPr="00053875">
        <w:rPr>
          <w:rStyle w:val="FootnoteReference"/>
          <w:rFonts w:ascii="Times New Roman" w:hAnsi="Times New Roman" w:cs="Times New Roman"/>
        </w:rPr>
        <w:footnoteRef/>
      </w:r>
      <w:r w:rsidRPr="00053875">
        <w:rPr>
          <w:rStyle w:val="FootnoteReference"/>
          <w:rFonts w:ascii="Times New Roman" w:hAnsi="Times New Roman"/>
        </w:rPr>
        <w:t xml:space="preserve"> </w:t>
      </w:r>
      <w:r w:rsidRPr="00053875">
        <w:rPr>
          <w:rFonts w:ascii="Times New Roman" w:hAnsi="Times New Roman" w:cs="Times New Roman"/>
          <w:i/>
          <w:iCs/>
        </w:rPr>
        <w:t>Id.</w:t>
      </w:r>
    </w:p>
  </w:footnote>
  <w:footnote w:id="38">
    <w:p w:rsidR="008912C3" w:rsidRPr="00053875" w:rsidP="00053875" w14:paraId="0D91D907" w14:textId="3ABAC827">
      <w:pPr>
        <w:pStyle w:val="FootnoteText"/>
        <w:spacing w:after="120"/>
        <w:rPr>
          <w:rFonts w:ascii="Times New Roman" w:hAnsi="Times New Roman" w:cs="Times New Roman"/>
          <w:i/>
          <w:iCs/>
        </w:rPr>
      </w:pPr>
      <w:r w:rsidRPr="00053875">
        <w:rPr>
          <w:rStyle w:val="FootnoteReference"/>
          <w:rFonts w:ascii="Times New Roman" w:hAnsi="Times New Roman" w:cs="Times New Roman"/>
        </w:rPr>
        <w:footnoteRef/>
      </w:r>
      <w:r w:rsidRPr="00053875">
        <w:rPr>
          <w:rStyle w:val="FootnoteReference"/>
          <w:rFonts w:ascii="Times New Roman" w:hAnsi="Times New Roman"/>
        </w:rPr>
        <w:t xml:space="preserve"> </w:t>
      </w:r>
      <w:r w:rsidRPr="00053875">
        <w:rPr>
          <w:rFonts w:ascii="Times New Roman" w:hAnsi="Times New Roman" w:cs="Times New Roman"/>
          <w:i/>
          <w:iCs/>
        </w:rPr>
        <w:t>Id.</w:t>
      </w:r>
    </w:p>
  </w:footnote>
  <w:footnote w:id="39">
    <w:p w:rsidR="008912C3" w:rsidRPr="00053875" w:rsidP="00053875" w14:paraId="0B827671" w14:textId="01D35EBF">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Columbia at 3.</w:t>
      </w:r>
    </w:p>
  </w:footnote>
  <w:footnote w:id="40">
    <w:p w:rsidR="008912C3" w:rsidRPr="00053875" w:rsidP="00053875" w14:paraId="6055D9AB" w14:textId="5D048842">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rPr>
        <w:t>Id</w:t>
      </w:r>
      <w:r w:rsidRPr="00053875">
        <w:rPr>
          <w:rFonts w:ascii="Times New Roman" w:hAnsi="Times New Roman" w:cs="Times New Roman"/>
        </w:rPr>
        <w:t>.</w:t>
      </w:r>
    </w:p>
  </w:footnote>
  <w:footnote w:id="41">
    <w:p w:rsidR="008912C3" w:rsidRPr="00053875" w:rsidP="00053875" w14:paraId="4F98050C" w14:textId="2E47F402">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rPr>
        <w:t>Id</w:t>
      </w:r>
      <w:r w:rsidRPr="00053875">
        <w:rPr>
          <w:rFonts w:ascii="Times New Roman" w:hAnsi="Times New Roman" w:cs="Times New Roman"/>
        </w:rPr>
        <w:t>.</w:t>
      </w:r>
    </w:p>
  </w:footnote>
  <w:footnote w:id="42">
    <w:p w:rsidR="008912C3" w:rsidRPr="00053875" w:rsidP="00053875" w14:paraId="4E142EC2" w14:textId="07EEF3CC">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OCC Comments at 7.</w:t>
      </w:r>
    </w:p>
  </w:footnote>
  <w:footnote w:id="43">
    <w:p w:rsidR="008912C3" w:rsidRPr="00053875" w:rsidP="00053875" w14:paraId="388981D6" w14:textId="64A3EF97">
      <w:pPr>
        <w:pStyle w:val="FootnoteText"/>
        <w:spacing w:after="120"/>
        <w:rPr>
          <w:rFonts w:ascii="Times New Roman" w:hAnsi="Times New Roman" w:cs="Times New Roman"/>
          <w:highlight w:val="yellow"/>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rPr>
        <w:t>See</w:t>
      </w:r>
      <w:r w:rsidRPr="00053875">
        <w:rPr>
          <w:rFonts w:ascii="Times New Roman" w:hAnsi="Times New Roman" w:cs="Times New Roman"/>
        </w:rPr>
        <w:t xml:space="preserve"> </w:t>
      </w:r>
      <w:r w:rsidRPr="00053875">
        <w:rPr>
          <w:rFonts w:ascii="Times New Roman" w:hAnsi="Times New Roman" w:cs="Times New Roman"/>
          <w:i/>
          <w:iCs/>
        </w:rPr>
        <w:t>In re the PUCO’s Investigation into Verde Energy USA Ohio LLC’s Compliance with the OAC and Potential Remedial Actions for Non-Compliance</w:t>
      </w:r>
      <w:r w:rsidRPr="00053875">
        <w:rPr>
          <w:rFonts w:ascii="Times New Roman" w:hAnsi="Times New Roman" w:cs="Times New Roman"/>
        </w:rPr>
        <w:t>, Case No. 19-0958-GE-COI.</w:t>
      </w:r>
    </w:p>
  </w:footnote>
  <w:footnote w:id="44">
    <w:p w:rsidR="008912C3" w:rsidRPr="00053875" w:rsidP="00053875" w14:paraId="0AC10CB2" w14:textId="436BB1FC">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A few specific examples: Maryland: </w:t>
      </w:r>
      <w:hyperlink r:id="rId2" w:history="1">
        <w:r w:rsidRPr="00053875">
          <w:rPr>
            <w:rStyle w:val="Hyperlink"/>
            <w:rFonts w:ascii="Times New Roman" w:hAnsi="Times New Roman" w:cs="Times New Roman"/>
          </w:rPr>
          <w:t>https://www.baltimoresun.com/business/bs-bz-smart-one-fine-20190802-t27o7ham25hebhdwnmzco53iva-story.html</w:t>
        </w:r>
      </w:hyperlink>
      <w:r w:rsidRPr="00053875">
        <w:rPr>
          <w:rFonts w:ascii="Times New Roman" w:hAnsi="Times New Roman" w:cs="Times New Roman"/>
        </w:rPr>
        <w:t xml:space="preserve"> and </w:t>
      </w:r>
      <w:hyperlink r:id="rId3" w:history="1">
        <w:r w:rsidRPr="00053875">
          <w:rPr>
            <w:rStyle w:val="Hyperlink"/>
            <w:rFonts w:ascii="Times New Roman" w:hAnsi="Times New Roman" w:cs="Times New Roman"/>
          </w:rPr>
          <w:t>http://www.energychoicematters.com/stories/20190515bg.html</w:t>
        </w:r>
      </w:hyperlink>
      <w:r w:rsidRPr="00053875">
        <w:rPr>
          <w:rFonts w:ascii="Times New Roman" w:hAnsi="Times New Roman" w:cs="Times New Roman"/>
        </w:rPr>
        <w:t xml:space="preserve">; Texas: </w:t>
      </w:r>
      <w:hyperlink r:id="rId4" w:history="1">
        <w:r w:rsidRPr="00053875">
          <w:rPr>
            <w:rStyle w:val="Hyperlink"/>
            <w:rFonts w:ascii="Times New Roman" w:hAnsi="Times New Roman" w:cs="Times New Roman"/>
          </w:rPr>
          <w:t>https://www.khou.com/article/news/investigations/direct-energy-leads-state-in-electricity-slamming-refunds/65322482</w:t>
        </w:r>
      </w:hyperlink>
      <w:r w:rsidRPr="00053875">
        <w:rPr>
          <w:rFonts w:ascii="Times New Roman" w:hAnsi="Times New Roman" w:cs="Times New Roman"/>
        </w:rPr>
        <w:t xml:space="preserve">; Pennsylvania: </w:t>
      </w:r>
      <w:hyperlink r:id="rId5" w:history="1">
        <w:r w:rsidRPr="00053875">
          <w:rPr>
            <w:rStyle w:val="Hyperlink"/>
            <w:rFonts w:ascii="Times New Roman" w:hAnsi="Times New Roman" w:cs="Times New Roman"/>
          </w:rPr>
          <w:t>http://www.puc.pa.gov/about_puc/press_releases.aspx?ShowPR=3204</w:t>
        </w:r>
      </w:hyperlink>
      <w:r w:rsidR="00053875">
        <w:rPr>
          <w:rFonts w:ascii="Times New Roman" w:hAnsi="Times New Roman" w:cs="Times New Roman"/>
        </w:rPr>
        <w:t>.</w:t>
      </w:r>
    </w:p>
  </w:footnote>
  <w:footnote w:id="45">
    <w:p w:rsidR="008912C3" w:rsidRPr="00053875" w:rsidP="00053875" w14:paraId="37CDFC99" w14:textId="6D812BB8">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OCC Comments at 7.</w:t>
      </w:r>
    </w:p>
  </w:footnote>
  <w:footnote w:id="46">
    <w:p w:rsidR="008912C3" w:rsidRPr="00053875" w:rsidP="00053875" w14:paraId="21BE143E" w14:textId="3B3C6B3E">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rPr>
        <w:t>Id</w:t>
      </w:r>
      <w:r w:rsidRPr="00053875">
        <w:rPr>
          <w:rFonts w:ascii="Times New Roman" w:hAnsi="Times New Roman" w:cs="Times New Roman"/>
        </w:rPr>
        <w:t>. at 8.</w:t>
      </w:r>
    </w:p>
  </w:footnote>
  <w:footnote w:id="47">
    <w:p w:rsidR="008912C3" w:rsidRPr="00053875" w:rsidP="00053875" w14:paraId="70ECA425" w14:textId="4FE4D428">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Dominion and Vectren at 8.</w:t>
      </w:r>
    </w:p>
  </w:footnote>
  <w:footnote w:id="48">
    <w:p w:rsidR="008912C3" w:rsidRPr="00053875" w:rsidP="00053875" w14:paraId="7A7438AA" w14:textId="13E45DAE">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Cs/>
        </w:rPr>
        <w:t>RESA at 11.</w:t>
      </w:r>
    </w:p>
  </w:footnote>
  <w:footnote w:id="49">
    <w:p w:rsidR="008912C3" w:rsidRPr="00053875" w:rsidP="00053875" w14:paraId="2B245D00" w14:textId="77777777">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OCC Comments at 7.</w:t>
      </w:r>
    </w:p>
  </w:footnote>
  <w:footnote w:id="50">
    <w:p w:rsidR="008912C3" w:rsidRPr="00053875" w:rsidP="00053875" w14:paraId="269EF19D" w14:textId="77777777">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Farm Bureau at 1-2.</w:t>
      </w:r>
    </w:p>
  </w:footnote>
  <w:footnote w:id="51">
    <w:p w:rsidR="008912C3" w:rsidRPr="00053875" w:rsidP="00053875" w14:paraId="3AA7E675" w14:textId="07E318E3">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rPr>
        <w:t>Id</w:t>
      </w:r>
      <w:r w:rsidRPr="00053875">
        <w:rPr>
          <w:rFonts w:ascii="Times New Roman" w:hAnsi="Times New Roman" w:cs="Times New Roman"/>
        </w:rPr>
        <w:t>.</w:t>
      </w:r>
    </w:p>
  </w:footnote>
  <w:footnote w:id="52">
    <w:p w:rsidR="008912C3" w:rsidRPr="00053875" w:rsidP="00053875" w14:paraId="1331BE94" w14:textId="77777777">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rPr>
        <w:t>Id</w:t>
      </w:r>
      <w:r w:rsidRPr="00053875">
        <w:rPr>
          <w:rFonts w:ascii="Times New Roman" w:hAnsi="Times New Roman" w:cs="Times New Roman"/>
        </w:rPr>
        <w:t>.</w:t>
      </w:r>
    </w:p>
  </w:footnote>
  <w:footnote w:id="53">
    <w:p w:rsidR="008912C3" w:rsidRPr="00053875" w:rsidP="00053875" w14:paraId="0C1E991E" w14:textId="77777777">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rPr>
        <w:t>Id</w:t>
      </w:r>
      <w:r w:rsidRPr="00053875">
        <w:rPr>
          <w:rFonts w:ascii="Times New Roman" w:hAnsi="Times New Roman" w:cs="Times New Roman"/>
        </w:rPr>
        <w:t>.</w:t>
      </w:r>
    </w:p>
  </w:footnote>
  <w:footnote w:id="54">
    <w:p w:rsidR="008912C3" w:rsidRPr="00053875" w:rsidP="00053875" w14:paraId="42672868" w14:textId="30D807E9">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Duke at 4; Dominion and Vectren at 7; Direct Energy at 13; IGS at 3. </w:t>
      </w:r>
    </w:p>
  </w:footnote>
  <w:footnote w:id="55">
    <w:p w:rsidR="008912C3" w:rsidRPr="00053875" w:rsidP="00053875" w14:paraId="2FA38008" w14:textId="52F34BFB">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Dominion and Vectren at 7; Direct Energy at 13; RESA at 5.</w:t>
      </w:r>
    </w:p>
  </w:footnote>
  <w:footnote w:id="56">
    <w:p w:rsidR="008912C3" w:rsidRPr="00053875" w:rsidP="00053875" w14:paraId="2E73713F" w14:textId="048F89D1">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R.C. 4905.22.</w:t>
      </w:r>
    </w:p>
  </w:footnote>
  <w:footnote w:id="57">
    <w:p w:rsidR="008912C3" w:rsidRPr="00053875" w:rsidP="00053875" w14:paraId="1DCC5C86" w14:textId="71A45059">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Ohio Adm. Code 4901:1-13-11(B).</w:t>
      </w:r>
    </w:p>
  </w:footnote>
  <w:footnote w:id="58">
    <w:p w:rsidR="008912C3" w:rsidRPr="00053875" w:rsidP="00053875" w14:paraId="3F6A38EA" w14:textId="2F15AE7B">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Cs/>
        </w:rPr>
        <w:t>Direct Energy at 13; RESA at 5.</w:t>
      </w:r>
    </w:p>
  </w:footnote>
  <w:footnote w:id="59">
    <w:p w:rsidR="008912C3" w:rsidRPr="00053875" w:rsidP="00053875" w14:paraId="69164F35" w14:textId="56769686">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OCC Comments at 11.</w:t>
      </w:r>
    </w:p>
  </w:footnote>
  <w:footnote w:id="60">
    <w:p w:rsidR="008912C3" w:rsidRPr="00053875" w:rsidP="00053875" w14:paraId="17E99B2B" w14:textId="3AE98641">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IGS at 3. </w:t>
      </w:r>
    </w:p>
  </w:footnote>
  <w:footnote w:id="61">
    <w:p w:rsidR="008912C3" w:rsidRPr="00053875" w:rsidP="00053875" w14:paraId="777A43C4" w14:textId="3560694D">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iCs/>
        </w:rPr>
        <w:t xml:space="preserve">Id. </w:t>
      </w:r>
      <w:r w:rsidRPr="00053875">
        <w:rPr>
          <w:rFonts w:ascii="Times New Roman" w:hAnsi="Times New Roman" w:cs="Times New Roman"/>
        </w:rPr>
        <w:t>at 4.</w:t>
      </w:r>
    </w:p>
  </w:footnote>
  <w:footnote w:id="62">
    <w:p w:rsidR="008912C3" w:rsidRPr="00053875" w:rsidP="00053875" w14:paraId="18031F97" w14:textId="2BADD2E4">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They are t</w:t>
      </w:r>
      <w:r w:rsidRPr="00053875">
        <w:rPr>
          <w:rFonts w:ascii="Times New Roman" w:eastAsia="Times New Roman" w:hAnsi="Times New Roman" w:cs="Times New Roman"/>
        </w:rPr>
        <w:t>hird-party providers of unregulated goods and services that are billed on natural gas bills.</w:t>
      </w:r>
    </w:p>
  </w:footnote>
  <w:footnote w:id="63">
    <w:p w:rsidR="008912C3" w:rsidRPr="00053875" w:rsidP="00053875" w14:paraId="7F16858A" w14:textId="46804A79">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HomeServ at 3-5; Pivotal at 3-6.</w:t>
      </w:r>
    </w:p>
  </w:footnote>
  <w:footnote w:id="64">
    <w:p w:rsidR="008912C3" w:rsidRPr="00053875" w:rsidP="00053875" w14:paraId="32793355" w14:textId="64E35546">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eastAsia="Times New Roman" w:hAnsi="Times New Roman" w:cs="Times New Roman"/>
          <w:i/>
          <w:iCs/>
        </w:rPr>
        <w:t>Id.</w:t>
      </w:r>
    </w:p>
  </w:footnote>
  <w:footnote w:id="65">
    <w:p w:rsidR="008912C3" w:rsidRPr="00053875" w:rsidP="00053875" w14:paraId="6EB322CF" w14:textId="77777777">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rPr>
        <w:t>Id</w:t>
      </w:r>
      <w:r w:rsidRPr="00053875">
        <w:rPr>
          <w:rFonts w:ascii="Times New Roman" w:hAnsi="Times New Roman" w:cs="Times New Roman"/>
        </w:rPr>
        <w:t>.</w:t>
      </w:r>
    </w:p>
  </w:footnote>
  <w:footnote w:id="66">
    <w:p w:rsidR="008912C3" w:rsidRPr="00053875" w:rsidP="00053875" w14:paraId="56AC2D15" w14:textId="3CFDC2D8">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NOPEC Comments at 2.</w:t>
      </w:r>
    </w:p>
  </w:footnote>
  <w:footnote w:id="67">
    <w:p w:rsidR="008912C3" w:rsidRPr="00053875" w:rsidP="00053875" w14:paraId="1E14F5A1" w14:textId="3DCDBE2F">
      <w:pPr>
        <w:pStyle w:val="FootnoteText"/>
        <w:spacing w:after="120"/>
        <w:rPr>
          <w:rFonts w:ascii="Times New Roman" w:hAnsi="Times New Roman" w:cs="Times New Roman"/>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iCs/>
        </w:rPr>
        <w:t>Id.</w:t>
      </w:r>
    </w:p>
  </w:footnote>
  <w:footnote w:id="68">
    <w:p w:rsidR="008912C3" w:rsidRPr="00053875" w:rsidP="00053875" w14:paraId="2AD65E3D" w14:textId="443C0025">
      <w:pPr>
        <w:pStyle w:val="FootnoteText"/>
        <w:spacing w:after="120"/>
        <w:rPr>
          <w:rFonts w:ascii="Times New Roman" w:hAnsi="Times New Roman" w:cs="Times New Roman"/>
          <w:i/>
          <w:iCs/>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iCs/>
        </w:rPr>
        <w:t>Id.</w:t>
      </w:r>
    </w:p>
  </w:footnote>
  <w:footnote w:id="69">
    <w:p w:rsidR="008912C3" w:rsidRPr="00053875" w:rsidP="00053875" w14:paraId="0F036FB0" w14:textId="4945EA3B">
      <w:pPr>
        <w:pStyle w:val="FootnoteText"/>
        <w:spacing w:after="120"/>
        <w:rPr>
          <w:rFonts w:ascii="Times New Roman" w:hAnsi="Times New Roman" w:cs="Times New Roman"/>
          <w:i/>
          <w:iCs/>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iCs/>
        </w:rPr>
        <w:t>Id.</w:t>
      </w:r>
    </w:p>
  </w:footnote>
  <w:footnote w:id="70">
    <w:p w:rsidR="008912C3" w:rsidRPr="00053875" w:rsidP="00053875" w14:paraId="40BFE903" w14:textId="4C8EB8E4">
      <w:pPr>
        <w:pStyle w:val="FootnoteText"/>
        <w:spacing w:after="120"/>
        <w:rPr>
          <w:rFonts w:ascii="Times New Roman" w:hAnsi="Times New Roman" w:cs="Times New Roman"/>
          <w:i/>
          <w:iCs/>
        </w:rPr>
      </w:pPr>
      <w:r w:rsidRPr="00053875">
        <w:rPr>
          <w:rStyle w:val="FootnoteReference"/>
          <w:rFonts w:ascii="Times New Roman" w:hAnsi="Times New Roman" w:cs="Times New Roman"/>
        </w:rPr>
        <w:footnoteRef/>
      </w:r>
      <w:r w:rsidRPr="00053875">
        <w:rPr>
          <w:rFonts w:ascii="Times New Roman" w:hAnsi="Times New Roman" w:cs="Times New Roman"/>
        </w:rPr>
        <w:t xml:space="preserve"> </w:t>
      </w:r>
      <w:r w:rsidRPr="00053875">
        <w:rPr>
          <w:rFonts w:ascii="Times New Roman" w:hAnsi="Times New Roman" w:cs="Times New Roman"/>
          <w:i/>
          <w:iCs/>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12C3" w14:paraId="08AB1C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12C3" w14:paraId="6B2875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8D0F71"/>
    <w:multiLevelType w:val="hybridMultilevel"/>
    <w:tmpl w:val="579A17A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D8F4635"/>
    <w:multiLevelType w:val="hybridMultilevel"/>
    <w:tmpl w:val="47AC12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807A79"/>
    <w:multiLevelType w:val="hybridMultilevel"/>
    <w:tmpl w:val="18748CFC"/>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0357906"/>
    <w:multiLevelType w:val="hybridMultilevel"/>
    <w:tmpl w:val="87820AF6"/>
    <w:lvl w:ilvl="0">
      <w:start w:val="1"/>
      <w:numFmt w:val="decimal"/>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B7496D"/>
    <w:multiLevelType w:val="hybridMultilevel"/>
    <w:tmpl w:val="3C6097A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F0C484F"/>
    <w:multiLevelType w:val="hybridMultilevel"/>
    <w:tmpl w:val="61D246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20102C1B"/>
    <w:multiLevelType w:val="hybridMultilevel"/>
    <w:tmpl w:val="3C6097A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2456FAA"/>
    <w:multiLevelType w:val="hybridMultilevel"/>
    <w:tmpl w:val="4FDE66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36A5824"/>
    <w:multiLevelType w:val="hybridMultilevel"/>
    <w:tmpl w:val="EC8EB5D6"/>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67622D"/>
    <w:multiLevelType w:val="hybridMultilevel"/>
    <w:tmpl w:val="5FD250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F871D52"/>
    <w:multiLevelType w:val="hybridMultilevel"/>
    <w:tmpl w:val="6C7E7E7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F976351"/>
    <w:multiLevelType w:val="hybridMultilevel"/>
    <w:tmpl w:val="E34CA012"/>
    <w:lvl w:ilvl="0">
      <w:start w:val="1"/>
      <w:numFmt w:val="decimal"/>
      <w:pStyle w:val="Heading3"/>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4194020"/>
    <w:multiLevelType w:val="hybridMultilevel"/>
    <w:tmpl w:val="AB623B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B6F371A"/>
    <w:multiLevelType w:val="hybridMultilevel"/>
    <w:tmpl w:val="D572F39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0D102D"/>
    <w:multiLevelType w:val="hybridMultilevel"/>
    <w:tmpl w:val="C298E7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0311C89"/>
    <w:multiLevelType w:val="hybridMultilevel"/>
    <w:tmpl w:val="F3A0E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3CC04D9"/>
    <w:multiLevelType w:val="hybridMultilevel"/>
    <w:tmpl w:val="09BCB52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38493F"/>
    <w:multiLevelType w:val="hybridMultilevel"/>
    <w:tmpl w:val="66F688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5FC515A"/>
    <w:multiLevelType w:val="hybridMultilevel"/>
    <w:tmpl w:val="5E708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8903AA"/>
    <w:multiLevelType w:val="hybridMultilevel"/>
    <w:tmpl w:val="4FDE66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6A203E2"/>
    <w:multiLevelType w:val="hybridMultilevel"/>
    <w:tmpl w:val="4FDE66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72E6328"/>
    <w:multiLevelType w:val="hybridMultilevel"/>
    <w:tmpl w:val="746A90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405514"/>
    <w:multiLevelType w:val="hybridMultilevel"/>
    <w:tmpl w:val="9CA63694"/>
    <w:lvl w:ilvl="0">
      <w:start w:val="1"/>
      <w:numFmt w:val="upp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3">
    <w:nsid w:val="7ECB0852"/>
    <w:multiLevelType w:val="hybridMultilevel"/>
    <w:tmpl w:val="B976871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4"/>
  </w:num>
  <w:num w:numId="2">
    <w:abstractNumId w:val="2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6"/>
  </w:num>
  <w:num w:numId="6">
    <w:abstractNumId w:val="23"/>
  </w:num>
  <w:num w:numId="7">
    <w:abstractNumId w:val="0"/>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13"/>
  </w:num>
  <w:num w:numId="16">
    <w:abstractNumId w:val="2"/>
  </w:num>
  <w:num w:numId="17">
    <w:abstractNumId w:val="13"/>
  </w:num>
  <w:num w:numId="18">
    <w:abstractNumId w:val="19"/>
  </w:num>
  <w:num w:numId="19">
    <w:abstractNumId w:val="20"/>
  </w:num>
  <w:num w:numId="20">
    <w:abstractNumId w:val="7"/>
  </w:num>
  <w:num w:numId="21">
    <w:abstractNumId w:val="6"/>
  </w:num>
  <w:num w:numId="22">
    <w:abstractNumId w:val="4"/>
  </w:num>
  <w:num w:numId="23">
    <w:abstractNumId w:val="3"/>
  </w:num>
  <w:num w:numId="24">
    <w:abstractNumId w:val="15"/>
  </w:num>
  <w:num w:numId="25">
    <w:abstractNumId w:val="11"/>
  </w:num>
  <w:num w:numId="26">
    <w:abstractNumId w:val="18"/>
  </w:num>
  <w:num w:numId="27">
    <w:abstractNumId w:val="12"/>
  </w:num>
  <w:num w:numId="28">
    <w:abstractNumId w:val="9"/>
  </w:num>
  <w:num w:numId="29">
    <w:abstractNumId w:val="17"/>
  </w:num>
  <w:num w:numId="30">
    <w:abstractNumId w:val="2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34"/>
    <w:rsid w:val="00000C51"/>
    <w:rsid w:val="00001AA6"/>
    <w:rsid w:val="00002067"/>
    <w:rsid w:val="00006087"/>
    <w:rsid w:val="000071BB"/>
    <w:rsid w:val="0001300C"/>
    <w:rsid w:val="00016929"/>
    <w:rsid w:val="0002648B"/>
    <w:rsid w:val="000267F6"/>
    <w:rsid w:val="000277E1"/>
    <w:rsid w:val="0003127D"/>
    <w:rsid w:val="00031DD6"/>
    <w:rsid w:val="00032C0C"/>
    <w:rsid w:val="00032D22"/>
    <w:rsid w:val="000331E0"/>
    <w:rsid w:val="00035C43"/>
    <w:rsid w:val="00040405"/>
    <w:rsid w:val="00042114"/>
    <w:rsid w:val="00046AEC"/>
    <w:rsid w:val="00046C12"/>
    <w:rsid w:val="00046D2A"/>
    <w:rsid w:val="00052166"/>
    <w:rsid w:val="000536F9"/>
    <w:rsid w:val="00053875"/>
    <w:rsid w:val="00054201"/>
    <w:rsid w:val="00057497"/>
    <w:rsid w:val="00060596"/>
    <w:rsid w:val="000614BB"/>
    <w:rsid w:val="000654AC"/>
    <w:rsid w:val="0006742F"/>
    <w:rsid w:val="00067E58"/>
    <w:rsid w:val="00072FDC"/>
    <w:rsid w:val="00085DC4"/>
    <w:rsid w:val="000913EA"/>
    <w:rsid w:val="0009446D"/>
    <w:rsid w:val="00094D7D"/>
    <w:rsid w:val="00096DCA"/>
    <w:rsid w:val="00097EC3"/>
    <w:rsid w:val="000A2EFE"/>
    <w:rsid w:val="000A5DCF"/>
    <w:rsid w:val="000A69EA"/>
    <w:rsid w:val="000B065F"/>
    <w:rsid w:val="000B2278"/>
    <w:rsid w:val="000B367D"/>
    <w:rsid w:val="000B553F"/>
    <w:rsid w:val="000B60E2"/>
    <w:rsid w:val="000B6135"/>
    <w:rsid w:val="000B7939"/>
    <w:rsid w:val="000C1F2F"/>
    <w:rsid w:val="000C5A21"/>
    <w:rsid w:val="000D01D5"/>
    <w:rsid w:val="000D18AF"/>
    <w:rsid w:val="000D1B2E"/>
    <w:rsid w:val="000E11AE"/>
    <w:rsid w:val="000F0959"/>
    <w:rsid w:val="000F3E7C"/>
    <w:rsid w:val="0010086D"/>
    <w:rsid w:val="001012E5"/>
    <w:rsid w:val="00102FA2"/>
    <w:rsid w:val="00104A97"/>
    <w:rsid w:val="00105453"/>
    <w:rsid w:val="001103D1"/>
    <w:rsid w:val="00113914"/>
    <w:rsid w:val="00113F83"/>
    <w:rsid w:val="00114E61"/>
    <w:rsid w:val="0011520B"/>
    <w:rsid w:val="0011535F"/>
    <w:rsid w:val="00116870"/>
    <w:rsid w:val="0012137D"/>
    <w:rsid w:val="0013058C"/>
    <w:rsid w:val="00134DE8"/>
    <w:rsid w:val="00135A3A"/>
    <w:rsid w:val="00137757"/>
    <w:rsid w:val="001420E8"/>
    <w:rsid w:val="00154679"/>
    <w:rsid w:val="00154E09"/>
    <w:rsid w:val="0015744F"/>
    <w:rsid w:val="00157A32"/>
    <w:rsid w:val="0016181F"/>
    <w:rsid w:val="001620E7"/>
    <w:rsid w:val="00163671"/>
    <w:rsid w:val="0017352D"/>
    <w:rsid w:val="0017517F"/>
    <w:rsid w:val="00180ECF"/>
    <w:rsid w:val="00183CC0"/>
    <w:rsid w:val="001842E6"/>
    <w:rsid w:val="00185F9E"/>
    <w:rsid w:val="0019220B"/>
    <w:rsid w:val="001941A8"/>
    <w:rsid w:val="00197504"/>
    <w:rsid w:val="001B166A"/>
    <w:rsid w:val="001B1926"/>
    <w:rsid w:val="001B46CE"/>
    <w:rsid w:val="001B7992"/>
    <w:rsid w:val="001C0CEF"/>
    <w:rsid w:val="001C23E4"/>
    <w:rsid w:val="001C50A8"/>
    <w:rsid w:val="001C7356"/>
    <w:rsid w:val="001D0CFB"/>
    <w:rsid w:val="001D2FD6"/>
    <w:rsid w:val="001E56A7"/>
    <w:rsid w:val="001F7D4A"/>
    <w:rsid w:val="00200704"/>
    <w:rsid w:val="00200AFA"/>
    <w:rsid w:val="002015A9"/>
    <w:rsid w:val="002079F9"/>
    <w:rsid w:val="00213DE7"/>
    <w:rsid w:val="002154C8"/>
    <w:rsid w:val="00216375"/>
    <w:rsid w:val="00221623"/>
    <w:rsid w:val="00232E23"/>
    <w:rsid w:val="002355D5"/>
    <w:rsid w:val="00251779"/>
    <w:rsid w:val="00251806"/>
    <w:rsid w:val="00256687"/>
    <w:rsid w:val="00260E89"/>
    <w:rsid w:val="002610AF"/>
    <w:rsid w:val="002642BA"/>
    <w:rsid w:val="002664AC"/>
    <w:rsid w:val="00266BCB"/>
    <w:rsid w:val="0027203C"/>
    <w:rsid w:val="002762AD"/>
    <w:rsid w:val="00276E73"/>
    <w:rsid w:val="002822A1"/>
    <w:rsid w:val="00283DB0"/>
    <w:rsid w:val="00291C4E"/>
    <w:rsid w:val="002937ED"/>
    <w:rsid w:val="002A05A9"/>
    <w:rsid w:val="002A0C5C"/>
    <w:rsid w:val="002A4958"/>
    <w:rsid w:val="002A58C5"/>
    <w:rsid w:val="002A6831"/>
    <w:rsid w:val="002B0E52"/>
    <w:rsid w:val="002B3346"/>
    <w:rsid w:val="002B66F4"/>
    <w:rsid w:val="002B759A"/>
    <w:rsid w:val="002C239B"/>
    <w:rsid w:val="002C3A64"/>
    <w:rsid w:val="002C7C22"/>
    <w:rsid w:val="002D1976"/>
    <w:rsid w:val="002D1CC8"/>
    <w:rsid w:val="002D6829"/>
    <w:rsid w:val="002D703D"/>
    <w:rsid w:val="002E1DDA"/>
    <w:rsid w:val="002E60B5"/>
    <w:rsid w:val="002E680D"/>
    <w:rsid w:val="002E6F25"/>
    <w:rsid w:val="00301818"/>
    <w:rsid w:val="00306D45"/>
    <w:rsid w:val="00311A21"/>
    <w:rsid w:val="00316620"/>
    <w:rsid w:val="00322A31"/>
    <w:rsid w:val="0032519D"/>
    <w:rsid w:val="003265FF"/>
    <w:rsid w:val="00332D6D"/>
    <w:rsid w:val="0035299A"/>
    <w:rsid w:val="003542E0"/>
    <w:rsid w:val="00360BD7"/>
    <w:rsid w:val="0036380F"/>
    <w:rsid w:val="0036404D"/>
    <w:rsid w:val="0037154A"/>
    <w:rsid w:val="003715A0"/>
    <w:rsid w:val="00374233"/>
    <w:rsid w:val="0038228D"/>
    <w:rsid w:val="0038633B"/>
    <w:rsid w:val="00394328"/>
    <w:rsid w:val="003947B9"/>
    <w:rsid w:val="00396290"/>
    <w:rsid w:val="003A0306"/>
    <w:rsid w:val="003A0EEF"/>
    <w:rsid w:val="003A4730"/>
    <w:rsid w:val="003C09C4"/>
    <w:rsid w:val="003C0F81"/>
    <w:rsid w:val="003C176A"/>
    <w:rsid w:val="003C3A71"/>
    <w:rsid w:val="003C3ABB"/>
    <w:rsid w:val="003C3EEE"/>
    <w:rsid w:val="003C66B4"/>
    <w:rsid w:val="003D15E9"/>
    <w:rsid w:val="003D3F95"/>
    <w:rsid w:val="003E1327"/>
    <w:rsid w:val="003E6616"/>
    <w:rsid w:val="003F69EC"/>
    <w:rsid w:val="003F7D05"/>
    <w:rsid w:val="00401098"/>
    <w:rsid w:val="0041512D"/>
    <w:rsid w:val="004211C7"/>
    <w:rsid w:val="00424C2F"/>
    <w:rsid w:val="00431183"/>
    <w:rsid w:val="004317B9"/>
    <w:rsid w:val="004318CE"/>
    <w:rsid w:val="00431E8D"/>
    <w:rsid w:val="0043722E"/>
    <w:rsid w:val="004376A1"/>
    <w:rsid w:val="00440B2B"/>
    <w:rsid w:val="00441780"/>
    <w:rsid w:val="00443E52"/>
    <w:rsid w:val="00444D33"/>
    <w:rsid w:val="0044687D"/>
    <w:rsid w:val="004500C8"/>
    <w:rsid w:val="00460322"/>
    <w:rsid w:val="00462423"/>
    <w:rsid w:val="0046551E"/>
    <w:rsid w:val="00465AD8"/>
    <w:rsid w:val="004666D4"/>
    <w:rsid w:val="004758D5"/>
    <w:rsid w:val="004775F7"/>
    <w:rsid w:val="004855BE"/>
    <w:rsid w:val="00485C8A"/>
    <w:rsid w:val="004913DD"/>
    <w:rsid w:val="00493913"/>
    <w:rsid w:val="004A2114"/>
    <w:rsid w:val="004B16C1"/>
    <w:rsid w:val="004B2C03"/>
    <w:rsid w:val="004C3BE7"/>
    <w:rsid w:val="004C70D4"/>
    <w:rsid w:val="004D1751"/>
    <w:rsid w:val="004D25C3"/>
    <w:rsid w:val="004D4D21"/>
    <w:rsid w:val="004D619C"/>
    <w:rsid w:val="004D7758"/>
    <w:rsid w:val="004E00E1"/>
    <w:rsid w:val="004E45DE"/>
    <w:rsid w:val="004E5851"/>
    <w:rsid w:val="004E7776"/>
    <w:rsid w:val="00503D08"/>
    <w:rsid w:val="005040D4"/>
    <w:rsid w:val="005140B7"/>
    <w:rsid w:val="00516244"/>
    <w:rsid w:val="00526154"/>
    <w:rsid w:val="005266F4"/>
    <w:rsid w:val="00530EE4"/>
    <w:rsid w:val="005329E2"/>
    <w:rsid w:val="00536006"/>
    <w:rsid w:val="00540F78"/>
    <w:rsid w:val="005461A6"/>
    <w:rsid w:val="00551EAC"/>
    <w:rsid w:val="00556ED2"/>
    <w:rsid w:val="005571CD"/>
    <w:rsid w:val="00562424"/>
    <w:rsid w:val="00571F29"/>
    <w:rsid w:val="00572B84"/>
    <w:rsid w:val="00577F7E"/>
    <w:rsid w:val="00580416"/>
    <w:rsid w:val="005829B3"/>
    <w:rsid w:val="00582F7E"/>
    <w:rsid w:val="005879AC"/>
    <w:rsid w:val="00590E1D"/>
    <w:rsid w:val="00590F4F"/>
    <w:rsid w:val="00591221"/>
    <w:rsid w:val="00594B9A"/>
    <w:rsid w:val="00595762"/>
    <w:rsid w:val="005A26B9"/>
    <w:rsid w:val="005A2B44"/>
    <w:rsid w:val="005A48F3"/>
    <w:rsid w:val="005A5DC7"/>
    <w:rsid w:val="005A6649"/>
    <w:rsid w:val="005B00DE"/>
    <w:rsid w:val="005B4353"/>
    <w:rsid w:val="005B4CCF"/>
    <w:rsid w:val="005C3747"/>
    <w:rsid w:val="005C687F"/>
    <w:rsid w:val="005D3636"/>
    <w:rsid w:val="005D6C6A"/>
    <w:rsid w:val="005E41F0"/>
    <w:rsid w:val="005E46E3"/>
    <w:rsid w:val="005E5261"/>
    <w:rsid w:val="005E5506"/>
    <w:rsid w:val="005E5590"/>
    <w:rsid w:val="005E66A1"/>
    <w:rsid w:val="005E7DB2"/>
    <w:rsid w:val="005F3770"/>
    <w:rsid w:val="005F3EDE"/>
    <w:rsid w:val="005F7572"/>
    <w:rsid w:val="00606C90"/>
    <w:rsid w:val="00610C7F"/>
    <w:rsid w:val="00614F48"/>
    <w:rsid w:val="0061637C"/>
    <w:rsid w:val="00620A1E"/>
    <w:rsid w:val="00621B95"/>
    <w:rsid w:val="0062209A"/>
    <w:rsid w:val="00625331"/>
    <w:rsid w:val="00633474"/>
    <w:rsid w:val="0063387C"/>
    <w:rsid w:val="00634C15"/>
    <w:rsid w:val="00634D00"/>
    <w:rsid w:val="00641729"/>
    <w:rsid w:val="00642D61"/>
    <w:rsid w:val="00643617"/>
    <w:rsid w:val="00643C42"/>
    <w:rsid w:val="00644209"/>
    <w:rsid w:val="0065030D"/>
    <w:rsid w:val="00651096"/>
    <w:rsid w:val="00652EDF"/>
    <w:rsid w:val="006537B3"/>
    <w:rsid w:val="006543E3"/>
    <w:rsid w:val="0065591C"/>
    <w:rsid w:val="00662163"/>
    <w:rsid w:val="00662852"/>
    <w:rsid w:val="00673EC4"/>
    <w:rsid w:val="0069683E"/>
    <w:rsid w:val="006970D1"/>
    <w:rsid w:val="006A011E"/>
    <w:rsid w:val="006A2A52"/>
    <w:rsid w:val="006A42EF"/>
    <w:rsid w:val="006B0371"/>
    <w:rsid w:val="006B04C7"/>
    <w:rsid w:val="006B1921"/>
    <w:rsid w:val="006B304A"/>
    <w:rsid w:val="006B7926"/>
    <w:rsid w:val="006B7C94"/>
    <w:rsid w:val="006C435E"/>
    <w:rsid w:val="006C5DFD"/>
    <w:rsid w:val="006D4251"/>
    <w:rsid w:val="006D5719"/>
    <w:rsid w:val="006E4A1F"/>
    <w:rsid w:val="006E73D8"/>
    <w:rsid w:val="006F09E6"/>
    <w:rsid w:val="006F0B82"/>
    <w:rsid w:val="006F3F3C"/>
    <w:rsid w:val="006F6A1A"/>
    <w:rsid w:val="00705526"/>
    <w:rsid w:val="00706363"/>
    <w:rsid w:val="007109E0"/>
    <w:rsid w:val="007125D2"/>
    <w:rsid w:val="00713C8B"/>
    <w:rsid w:val="00714F3F"/>
    <w:rsid w:val="00720934"/>
    <w:rsid w:val="007227E3"/>
    <w:rsid w:val="00723999"/>
    <w:rsid w:val="0072714C"/>
    <w:rsid w:val="00734426"/>
    <w:rsid w:val="00734614"/>
    <w:rsid w:val="00740C40"/>
    <w:rsid w:val="0074450F"/>
    <w:rsid w:val="007459F2"/>
    <w:rsid w:val="00752A75"/>
    <w:rsid w:val="0075712C"/>
    <w:rsid w:val="007579A0"/>
    <w:rsid w:val="0076004D"/>
    <w:rsid w:val="007601EB"/>
    <w:rsid w:val="00766CAB"/>
    <w:rsid w:val="00774AAE"/>
    <w:rsid w:val="00782F05"/>
    <w:rsid w:val="007832A8"/>
    <w:rsid w:val="0079135B"/>
    <w:rsid w:val="0079226D"/>
    <w:rsid w:val="00794684"/>
    <w:rsid w:val="00794F12"/>
    <w:rsid w:val="00795BB7"/>
    <w:rsid w:val="007962BC"/>
    <w:rsid w:val="007B11A5"/>
    <w:rsid w:val="007B2ABD"/>
    <w:rsid w:val="007C0140"/>
    <w:rsid w:val="007C06FB"/>
    <w:rsid w:val="007C18BF"/>
    <w:rsid w:val="007C2B80"/>
    <w:rsid w:val="007C405C"/>
    <w:rsid w:val="007D624E"/>
    <w:rsid w:val="007E336F"/>
    <w:rsid w:val="007F0227"/>
    <w:rsid w:val="007F2EA5"/>
    <w:rsid w:val="00803834"/>
    <w:rsid w:val="00821E03"/>
    <w:rsid w:val="0082623A"/>
    <w:rsid w:val="00835530"/>
    <w:rsid w:val="0083609B"/>
    <w:rsid w:val="00837BDD"/>
    <w:rsid w:val="0084056A"/>
    <w:rsid w:val="00841FED"/>
    <w:rsid w:val="008432D9"/>
    <w:rsid w:val="0084385C"/>
    <w:rsid w:val="00850FF9"/>
    <w:rsid w:val="00857E72"/>
    <w:rsid w:val="00860859"/>
    <w:rsid w:val="00862375"/>
    <w:rsid w:val="008634A0"/>
    <w:rsid w:val="00864ACE"/>
    <w:rsid w:val="00870507"/>
    <w:rsid w:val="00875BFA"/>
    <w:rsid w:val="00875D3F"/>
    <w:rsid w:val="008765FC"/>
    <w:rsid w:val="00876EA7"/>
    <w:rsid w:val="00877232"/>
    <w:rsid w:val="00881AD1"/>
    <w:rsid w:val="00883B4E"/>
    <w:rsid w:val="008852A9"/>
    <w:rsid w:val="00890099"/>
    <w:rsid w:val="00890C30"/>
    <w:rsid w:val="008912C3"/>
    <w:rsid w:val="0089319D"/>
    <w:rsid w:val="00894412"/>
    <w:rsid w:val="008A0E9D"/>
    <w:rsid w:val="008A3F2A"/>
    <w:rsid w:val="008A60EB"/>
    <w:rsid w:val="008B2192"/>
    <w:rsid w:val="008C11A8"/>
    <w:rsid w:val="008C7E6F"/>
    <w:rsid w:val="008D369F"/>
    <w:rsid w:val="008D7B2A"/>
    <w:rsid w:val="008F10B2"/>
    <w:rsid w:val="008F47EB"/>
    <w:rsid w:val="008F5DEA"/>
    <w:rsid w:val="008F70AA"/>
    <w:rsid w:val="009040DF"/>
    <w:rsid w:val="00905D78"/>
    <w:rsid w:val="00906D48"/>
    <w:rsid w:val="00907FD7"/>
    <w:rsid w:val="00910213"/>
    <w:rsid w:val="00923D43"/>
    <w:rsid w:val="00930931"/>
    <w:rsid w:val="00932625"/>
    <w:rsid w:val="00932B67"/>
    <w:rsid w:val="0093324B"/>
    <w:rsid w:val="009403E0"/>
    <w:rsid w:val="00940B96"/>
    <w:rsid w:val="00942637"/>
    <w:rsid w:val="00943185"/>
    <w:rsid w:val="0094457A"/>
    <w:rsid w:val="0095175A"/>
    <w:rsid w:val="00953E90"/>
    <w:rsid w:val="00962CF5"/>
    <w:rsid w:val="00972CBB"/>
    <w:rsid w:val="00976E69"/>
    <w:rsid w:val="00976E9D"/>
    <w:rsid w:val="00980DDB"/>
    <w:rsid w:val="00992227"/>
    <w:rsid w:val="00992839"/>
    <w:rsid w:val="00993CB0"/>
    <w:rsid w:val="00995A9D"/>
    <w:rsid w:val="0099761A"/>
    <w:rsid w:val="009A6C41"/>
    <w:rsid w:val="009C0CFC"/>
    <w:rsid w:val="009C4756"/>
    <w:rsid w:val="009C6DB7"/>
    <w:rsid w:val="009D3622"/>
    <w:rsid w:val="009E063E"/>
    <w:rsid w:val="009E3673"/>
    <w:rsid w:val="009E5FAB"/>
    <w:rsid w:val="009E6454"/>
    <w:rsid w:val="009E6B01"/>
    <w:rsid w:val="009E7F75"/>
    <w:rsid w:val="009F11A3"/>
    <w:rsid w:val="009F2DA7"/>
    <w:rsid w:val="009F7B1E"/>
    <w:rsid w:val="00A070A6"/>
    <w:rsid w:val="00A25902"/>
    <w:rsid w:val="00A30BFE"/>
    <w:rsid w:val="00A37AAD"/>
    <w:rsid w:val="00A37DFA"/>
    <w:rsid w:val="00A507F6"/>
    <w:rsid w:val="00A50D31"/>
    <w:rsid w:val="00A52335"/>
    <w:rsid w:val="00A52386"/>
    <w:rsid w:val="00A632DD"/>
    <w:rsid w:val="00A740E2"/>
    <w:rsid w:val="00A77E49"/>
    <w:rsid w:val="00A83753"/>
    <w:rsid w:val="00A87FAE"/>
    <w:rsid w:val="00A910B4"/>
    <w:rsid w:val="00A93C24"/>
    <w:rsid w:val="00A93C91"/>
    <w:rsid w:val="00A975F5"/>
    <w:rsid w:val="00AA19EE"/>
    <w:rsid w:val="00AA4E26"/>
    <w:rsid w:val="00AB1342"/>
    <w:rsid w:val="00AB1552"/>
    <w:rsid w:val="00AB4C67"/>
    <w:rsid w:val="00AC103C"/>
    <w:rsid w:val="00AC2B3C"/>
    <w:rsid w:val="00AD04EE"/>
    <w:rsid w:val="00AD0604"/>
    <w:rsid w:val="00AD095B"/>
    <w:rsid w:val="00AD3A5D"/>
    <w:rsid w:val="00AD3D09"/>
    <w:rsid w:val="00AD4FF2"/>
    <w:rsid w:val="00AD59C9"/>
    <w:rsid w:val="00AD6ACF"/>
    <w:rsid w:val="00AE492D"/>
    <w:rsid w:val="00AF6976"/>
    <w:rsid w:val="00B021C6"/>
    <w:rsid w:val="00B02462"/>
    <w:rsid w:val="00B03341"/>
    <w:rsid w:val="00B050C6"/>
    <w:rsid w:val="00B052D6"/>
    <w:rsid w:val="00B075FC"/>
    <w:rsid w:val="00B132E1"/>
    <w:rsid w:val="00B15129"/>
    <w:rsid w:val="00B24631"/>
    <w:rsid w:val="00B26231"/>
    <w:rsid w:val="00B405CD"/>
    <w:rsid w:val="00B43798"/>
    <w:rsid w:val="00B4555A"/>
    <w:rsid w:val="00B45AF4"/>
    <w:rsid w:val="00B475E7"/>
    <w:rsid w:val="00B5645F"/>
    <w:rsid w:val="00B57263"/>
    <w:rsid w:val="00B6361F"/>
    <w:rsid w:val="00B6408B"/>
    <w:rsid w:val="00B647E5"/>
    <w:rsid w:val="00B6649E"/>
    <w:rsid w:val="00B723AA"/>
    <w:rsid w:val="00B757EE"/>
    <w:rsid w:val="00B801A4"/>
    <w:rsid w:val="00B81DBA"/>
    <w:rsid w:val="00B83061"/>
    <w:rsid w:val="00B91C4F"/>
    <w:rsid w:val="00B92BD5"/>
    <w:rsid w:val="00B96F25"/>
    <w:rsid w:val="00B97A36"/>
    <w:rsid w:val="00BA5E85"/>
    <w:rsid w:val="00BB498C"/>
    <w:rsid w:val="00BB6E23"/>
    <w:rsid w:val="00BC2BB5"/>
    <w:rsid w:val="00BD5358"/>
    <w:rsid w:val="00BD5BDA"/>
    <w:rsid w:val="00BD5C07"/>
    <w:rsid w:val="00BE12DB"/>
    <w:rsid w:val="00BE7F74"/>
    <w:rsid w:val="00BF7D8B"/>
    <w:rsid w:val="00C0012D"/>
    <w:rsid w:val="00C0085F"/>
    <w:rsid w:val="00C00D2A"/>
    <w:rsid w:val="00C05186"/>
    <w:rsid w:val="00C17EC1"/>
    <w:rsid w:val="00C20C84"/>
    <w:rsid w:val="00C27DD5"/>
    <w:rsid w:val="00C31901"/>
    <w:rsid w:val="00C33443"/>
    <w:rsid w:val="00C434DB"/>
    <w:rsid w:val="00C4597F"/>
    <w:rsid w:val="00C50327"/>
    <w:rsid w:val="00C55CFB"/>
    <w:rsid w:val="00C605B4"/>
    <w:rsid w:val="00C633B4"/>
    <w:rsid w:val="00C643BF"/>
    <w:rsid w:val="00C66080"/>
    <w:rsid w:val="00C724DC"/>
    <w:rsid w:val="00C77D72"/>
    <w:rsid w:val="00C77D88"/>
    <w:rsid w:val="00C82BAB"/>
    <w:rsid w:val="00C82CEA"/>
    <w:rsid w:val="00C8377A"/>
    <w:rsid w:val="00C90C09"/>
    <w:rsid w:val="00C93B6D"/>
    <w:rsid w:val="00CA060E"/>
    <w:rsid w:val="00CA0F15"/>
    <w:rsid w:val="00CA46DB"/>
    <w:rsid w:val="00CB196D"/>
    <w:rsid w:val="00CB49A9"/>
    <w:rsid w:val="00CC5989"/>
    <w:rsid w:val="00CC7F7B"/>
    <w:rsid w:val="00CD6517"/>
    <w:rsid w:val="00CD6D6B"/>
    <w:rsid w:val="00CE2885"/>
    <w:rsid w:val="00CE49AF"/>
    <w:rsid w:val="00CE6262"/>
    <w:rsid w:val="00CF0E43"/>
    <w:rsid w:val="00CF1FAF"/>
    <w:rsid w:val="00CF4449"/>
    <w:rsid w:val="00CF56EE"/>
    <w:rsid w:val="00CF779C"/>
    <w:rsid w:val="00D04897"/>
    <w:rsid w:val="00D04C5A"/>
    <w:rsid w:val="00D078B1"/>
    <w:rsid w:val="00D07C4F"/>
    <w:rsid w:val="00D16B54"/>
    <w:rsid w:val="00D2244C"/>
    <w:rsid w:val="00D24817"/>
    <w:rsid w:val="00D26A66"/>
    <w:rsid w:val="00D3502B"/>
    <w:rsid w:val="00D37BF0"/>
    <w:rsid w:val="00D37F45"/>
    <w:rsid w:val="00D42B78"/>
    <w:rsid w:val="00D435A7"/>
    <w:rsid w:val="00D5484D"/>
    <w:rsid w:val="00D5541C"/>
    <w:rsid w:val="00D60377"/>
    <w:rsid w:val="00D639A8"/>
    <w:rsid w:val="00D75846"/>
    <w:rsid w:val="00D84DD3"/>
    <w:rsid w:val="00D94FA6"/>
    <w:rsid w:val="00D9578F"/>
    <w:rsid w:val="00D96606"/>
    <w:rsid w:val="00DA263F"/>
    <w:rsid w:val="00DB73D8"/>
    <w:rsid w:val="00DC21F1"/>
    <w:rsid w:val="00DC4EAE"/>
    <w:rsid w:val="00DC502C"/>
    <w:rsid w:val="00DC746C"/>
    <w:rsid w:val="00DC7A92"/>
    <w:rsid w:val="00DD3436"/>
    <w:rsid w:val="00DE2929"/>
    <w:rsid w:val="00DE4BC5"/>
    <w:rsid w:val="00DE661F"/>
    <w:rsid w:val="00DE6706"/>
    <w:rsid w:val="00DF1516"/>
    <w:rsid w:val="00DF4AAA"/>
    <w:rsid w:val="00DF5A79"/>
    <w:rsid w:val="00E035F3"/>
    <w:rsid w:val="00E170B4"/>
    <w:rsid w:val="00E25D77"/>
    <w:rsid w:val="00E265EB"/>
    <w:rsid w:val="00E31F18"/>
    <w:rsid w:val="00E40DC1"/>
    <w:rsid w:val="00E432FA"/>
    <w:rsid w:val="00E44776"/>
    <w:rsid w:val="00E45AF2"/>
    <w:rsid w:val="00E4720C"/>
    <w:rsid w:val="00E51777"/>
    <w:rsid w:val="00E55025"/>
    <w:rsid w:val="00E67CD4"/>
    <w:rsid w:val="00E73AEE"/>
    <w:rsid w:val="00E74B6B"/>
    <w:rsid w:val="00E75329"/>
    <w:rsid w:val="00E754A1"/>
    <w:rsid w:val="00E828E5"/>
    <w:rsid w:val="00E8442C"/>
    <w:rsid w:val="00E85510"/>
    <w:rsid w:val="00E877D8"/>
    <w:rsid w:val="00E87E02"/>
    <w:rsid w:val="00E953B3"/>
    <w:rsid w:val="00E95AF7"/>
    <w:rsid w:val="00EA1743"/>
    <w:rsid w:val="00EA64AA"/>
    <w:rsid w:val="00EB3729"/>
    <w:rsid w:val="00EB3F36"/>
    <w:rsid w:val="00EB7F8E"/>
    <w:rsid w:val="00EC0770"/>
    <w:rsid w:val="00EC6AF2"/>
    <w:rsid w:val="00EC7E11"/>
    <w:rsid w:val="00ED369B"/>
    <w:rsid w:val="00ED39A7"/>
    <w:rsid w:val="00EE7120"/>
    <w:rsid w:val="00EF46BA"/>
    <w:rsid w:val="00EF4D4A"/>
    <w:rsid w:val="00EF7531"/>
    <w:rsid w:val="00F205BB"/>
    <w:rsid w:val="00F205DA"/>
    <w:rsid w:val="00F226AC"/>
    <w:rsid w:val="00F26448"/>
    <w:rsid w:val="00F26A20"/>
    <w:rsid w:val="00F30ED6"/>
    <w:rsid w:val="00F32B3E"/>
    <w:rsid w:val="00F342DA"/>
    <w:rsid w:val="00F40F67"/>
    <w:rsid w:val="00F537AD"/>
    <w:rsid w:val="00F56EE2"/>
    <w:rsid w:val="00F57844"/>
    <w:rsid w:val="00F60070"/>
    <w:rsid w:val="00F600C5"/>
    <w:rsid w:val="00F61B26"/>
    <w:rsid w:val="00F762BD"/>
    <w:rsid w:val="00F85DBA"/>
    <w:rsid w:val="00F94921"/>
    <w:rsid w:val="00F97CC4"/>
    <w:rsid w:val="00FA05DD"/>
    <w:rsid w:val="00FA111C"/>
    <w:rsid w:val="00FA3BE7"/>
    <w:rsid w:val="00FA4336"/>
    <w:rsid w:val="00FA5534"/>
    <w:rsid w:val="00FB0F50"/>
    <w:rsid w:val="00FC5646"/>
    <w:rsid w:val="00FD17E6"/>
    <w:rsid w:val="00FD7B2A"/>
    <w:rsid w:val="00FE05F1"/>
    <w:rsid w:val="00FE19A4"/>
    <w:rsid w:val="00FE549A"/>
    <w:rsid w:val="00FF18B3"/>
    <w:rsid w:val="00FF2D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F30ED6"/>
    <w:pPr>
      <w:keepNext/>
      <w:keepLines/>
      <w:spacing w:after="240" w:line="240" w:lineRule="auto"/>
      <w:outlineLvl w:val="0"/>
    </w:pPr>
    <w:rPr>
      <w:rFonts w:ascii="Times New Roman" w:hAnsi="Times New Roman" w:eastAsiaTheme="majorEastAsia" w:cstheme="majorBidi"/>
      <w:b/>
      <w:sz w:val="24"/>
      <w:szCs w:val="32"/>
    </w:rPr>
  </w:style>
  <w:style w:type="paragraph" w:styleId="Heading2">
    <w:name w:val="heading 2"/>
    <w:basedOn w:val="Normal"/>
    <w:next w:val="Normal"/>
    <w:link w:val="Heading2Char"/>
    <w:autoRedefine/>
    <w:uiPriority w:val="9"/>
    <w:unhideWhenUsed/>
    <w:qFormat/>
    <w:rsid w:val="00740C40"/>
    <w:pPr>
      <w:keepNext/>
      <w:keepLines/>
      <w:numPr>
        <w:numId w:val="16"/>
      </w:numPr>
      <w:tabs>
        <w:tab w:val="left" w:pos="1440"/>
      </w:tabs>
      <w:spacing w:before="40" w:after="240" w:line="240" w:lineRule="auto"/>
      <w:ind w:left="1440" w:hanging="720"/>
      <w:outlineLvl w:val="1"/>
    </w:pPr>
    <w:rPr>
      <w:rFonts w:ascii="Times New Roman" w:hAnsi="Times New Roman" w:eastAsiaTheme="majorEastAsia" w:cs="Times New Roman"/>
      <w:b/>
      <w:sz w:val="24"/>
      <w:szCs w:val="24"/>
    </w:rPr>
  </w:style>
  <w:style w:type="paragraph" w:styleId="Heading3">
    <w:name w:val="heading 3"/>
    <w:basedOn w:val="ListParagraph"/>
    <w:next w:val="Normal"/>
    <w:link w:val="Heading3Char"/>
    <w:uiPriority w:val="9"/>
    <w:unhideWhenUsed/>
    <w:qFormat/>
    <w:rsid w:val="00A93C91"/>
    <w:pPr>
      <w:numPr>
        <w:numId w:val="25"/>
      </w:numPr>
      <w:spacing w:line="240" w:lineRule="auto"/>
      <w:ind w:left="2160" w:hanging="72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934"/>
    <w:pPr>
      <w:ind w:left="720"/>
      <w:contextualSpacing/>
    </w:pPr>
  </w:style>
  <w:style w:type="paragraph" w:styleId="FootnoteText">
    <w:name w:val="footnote text"/>
    <w:aliases w:val="Footnote Text Char Char,Footnote Text Char2,Footnote Text Char2 Char Char,Footnote Text Char2 Char1 Char1 Char Char,Footnote Text Char3 Char1 Char Char,Footnote Text Char3 Char1 Char Char Char Char,f,fn,fn Char2 Char"/>
    <w:basedOn w:val="Normal"/>
    <w:link w:val="FootnoteTextChar"/>
    <w:unhideWhenUsed/>
    <w:rsid w:val="00720934"/>
    <w:pPr>
      <w:spacing w:after="0" w:line="240" w:lineRule="auto"/>
    </w:pPr>
    <w:rPr>
      <w:sz w:val="20"/>
      <w:szCs w:val="20"/>
    </w:rPr>
  </w:style>
  <w:style w:type="character" w:customStyle="1" w:styleId="FootnoteTextChar">
    <w:name w:val="Footnote Text Char"/>
    <w:aliases w:val="Footnote Text Char Char Char,Footnote Text Char2 Char,Footnote Text Char2 Char Char Char,Footnote Text Char2 Char1 Char1 Char Char Char,Footnote Text Char3 Char1 Char Char Char,Footnote Text Char3 Char1 Char Char Char Char Char,f Char"/>
    <w:basedOn w:val="DefaultParagraphFont"/>
    <w:link w:val="FootnoteText"/>
    <w:rsid w:val="00720934"/>
    <w:rPr>
      <w:sz w:val="20"/>
      <w:szCs w:val="20"/>
    </w:rPr>
  </w:style>
  <w:style w:type="character" w:styleId="FootnoteReference">
    <w:name w:val="footnote reference"/>
    <w:basedOn w:val="DefaultParagraphFont"/>
    <w:unhideWhenUsed/>
    <w:rsid w:val="00720934"/>
    <w:rPr>
      <w:vertAlign w:val="superscript"/>
    </w:rPr>
  </w:style>
  <w:style w:type="paragraph" w:styleId="BalloonText">
    <w:name w:val="Balloon Text"/>
    <w:basedOn w:val="Normal"/>
    <w:link w:val="BalloonTextChar"/>
    <w:uiPriority w:val="99"/>
    <w:semiHidden/>
    <w:unhideWhenUsed/>
    <w:rsid w:val="00C90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C09"/>
    <w:rPr>
      <w:rFonts w:ascii="Segoe UI" w:hAnsi="Segoe UI" w:cs="Segoe UI"/>
      <w:sz w:val="18"/>
      <w:szCs w:val="18"/>
    </w:rPr>
  </w:style>
  <w:style w:type="table" w:styleId="TableGrid">
    <w:name w:val="Table Grid"/>
    <w:basedOn w:val="TableNormal"/>
    <w:uiPriority w:val="59"/>
    <w:rsid w:val="00C9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0C09"/>
    <w:rPr>
      <w:color w:val="0000FF"/>
      <w:u w:val="single"/>
    </w:rPr>
  </w:style>
  <w:style w:type="character" w:styleId="CommentReference">
    <w:name w:val="annotation reference"/>
    <w:basedOn w:val="DefaultParagraphFont"/>
    <w:uiPriority w:val="99"/>
    <w:semiHidden/>
    <w:unhideWhenUsed/>
    <w:rsid w:val="00C90C09"/>
    <w:rPr>
      <w:sz w:val="16"/>
      <w:szCs w:val="16"/>
    </w:rPr>
  </w:style>
  <w:style w:type="paragraph" w:styleId="CommentText">
    <w:name w:val="annotation text"/>
    <w:basedOn w:val="Normal"/>
    <w:link w:val="CommentTextChar"/>
    <w:unhideWhenUsed/>
    <w:rsid w:val="004D619C"/>
    <w:pPr>
      <w:spacing w:line="240" w:lineRule="auto"/>
    </w:pPr>
    <w:rPr>
      <w:sz w:val="20"/>
      <w:szCs w:val="20"/>
    </w:rPr>
  </w:style>
  <w:style w:type="character" w:customStyle="1" w:styleId="CommentTextChar">
    <w:name w:val="Comment Text Char"/>
    <w:basedOn w:val="DefaultParagraphFont"/>
    <w:link w:val="CommentText"/>
    <w:rsid w:val="00C90C09"/>
    <w:rPr>
      <w:sz w:val="20"/>
      <w:szCs w:val="20"/>
    </w:rPr>
  </w:style>
  <w:style w:type="paragraph" w:styleId="CommentSubject">
    <w:name w:val="annotation subject"/>
    <w:basedOn w:val="CommentText"/>
    <w:next w:val="CommentText"/>
    <w:link w:val="CommentSubjectChar"/>
    <w:semiHidden/>
    <w:unhideWhenUsed/>
    <w:rsid w:val="00C90C09"/>
    <w:rPr>
      <w:b/>
      <w:bCs/>
    </w:rPr>
  </w:style>
  <w:style w:type="character" w:customStyle="1" w:styleId="CommentSubjectChar">
    <w:name w:val="Comment Subject Char"/>
    <w:basedOn w:val="CommentTextChar"/>
    <w:link w:val="CommentSubject"/>
    <w:semiHidden/>
    <w:rsid w:val="00C90C09"/>
    <w:rPr>
      <w:b/>
      <w:bCs/>
      <w:sz w:val="20"/>
      <w:szCs w:val="20"/>
    </w:rPr>
  </w:style>
  <w:style w:type="character" w:customStyle="1" w:styleId="Heading1Char">
    <w:name w:val="Heading 1 Char"/>
    <w:basedOn w:val="DefaultParagraphFont"/>
    <w:link w:val="Heading1"/>
    <w:uiPriority w:val="9"/>
    <w:rsid w:val="00F30ED6"/>
    <w:rPr>
      <w:rFonts w:ascii="Times New Roman" w:hAnsi="Times New Roman" w:eastAsiaTheme="majorEastAsia" w:cstheme="majorBidi"/>
      <w:b/>
      <w:sz w:val="24"/>
      <w:szCs w:val="32"/>
    </w:rPr>
  </w:style>
  <w:style w:type="paragraph" w:styleId="TOCHeading">
    <w:name w:val="TOC Heading"/>
    <w:basedOn w:val="Heading1"/>
    <w:next w:val="Normal"/>
    <w:uiPriority w:val="39"/>
    <w:unhideWhenUsed/>
    <w:qFormat/>
    <w:rsid w:val="00571F29"/>
    <w:pPr>
      <w:spacing w:line="259" w:lineRule="auto"/>
      <w:outlineLvl w:val="9"/>
    </w:pPr>
  </w:style>
  <w:style w:type="paragraph" w:styleId="TOC1">
    <w:name w:val="toc 1"/>
    <w:basedOn w:val="Normal"/>
    <w:next w:val="Normal"/>
    <w:autoRedefine/>
    <w:uiPriority w:val="39"/>
    <w:unhideWhenUsed/>
    <w:qFormat/>
    <w:rsid w:val="00875BFA"/>
    <w:pPr>
      <w:tabs>
        <w:tab w:val="decimal" w:leader="dot" w:pos="8640"/>
      </w:tabs>
      <w:spacing w:after="240" w:line="240" w:lineRule="auto"/>
      <w:ind w:left="720" w:hanging="720"/>
    </w:pPr>
    <w:rPr>
      <w:rFonts w:ascii="Times New Roman" w:hAnsi="Times New Roman"/>
      <w:caps/>
      <w:sz w:val="24"/>
    </w:rPr>
  </w:style>
  <w:style w:type="character" w:customStyle="1" w:styleId="Heading2Char">
    <w:name w:val="Heading 2 Char"/>
    <w:basedOn w:val="DefaultParagraphFont"/>
    <w:link w:val="Heading2"/>
    <w:uiPriority w:val="9"/>
    <w:rsid w:val="00740C40"/>
    <w:rPr>
      <w:rFonts w:ascii="Times New Roman" w:hAnsi="Times New Roman" w:eastAsiaTheme="majorEastAsia" w:cs="Times New Roman"/>
      <w:b/>
      <w:sz w:val="24"/>
      <w:szCs w:val="24"/>
    </w:rPr>
  </w:style>
  <w:style w:type="paragraph" w:styleId="TOC2">
    <w:name w:val="toc 2"/>
    <w:basedOn w:val="Normal"/>
    <w:next w:val="Normal"/>
    <w:autoRedefine/>
    <w:uiPriority w:val="39"/>
    <w:unhideWhenUsed/>
    <w:qFormat/>
    <w:rsid w:val="00875BFA"/>
    <w:pPr>
      <w:tabs>
        <w:tab w:val="decimal" w:leader="dot" w:pos="8640"/>
      </w:tabs>
      <w:spacing w:after="240" w:line="240" w:lineRule="auto"/>
      <w:ind w:left="1440" w:hanging="720"/>
    </w:pPr>
    <w:rPr>
      <w:rFonts w:ascii="Times New Roman" w:hAnsi="Times New Roman"/>
      <w:sz w:val="24"/>
    </w:rPr>
  </w:style>
  <w:style w:type="paragraph" w:styleId="NormalWeb">
    <w:name w:val="Normal (Web)"/>
    <w:basedOn w:val="Normal"/>
    <w:uiPriority w:val="99"/>
    <w:unhideWhenUsed/>
    <w:rsid w:val="000536F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2B759A"/>
    <w:pPr>
      <w:autoSpaceDE w:val="0"/>
      <w:autoSpaceDN w:val="0"/>
      <w:adjustRightInd w:val="0"/>
      <w:spacing w:after="0" w:line="240" w:lineRule="auto"/>
      <w:jc w:val="center"/>
    </w:pPr>
    <w:rPr>
      <w:rFonts w:ascii="Times New Roman" w:eastAsia="SimSun" w:hAnsi="Times New Roman" w:cs="Times New Roman"/>
      <w:b/>
      <w:bCs/>
      <w:sz w:val="24"/>
      <w:szCs w:val="24"/>
      <w:lang w:eastAsia="zh-CN"/>
    </w:rPr>
  </w:style>
  <w:style w:type="character" w:customStyle="1" w:styleId="BodyTextChar">
    <w:name w:val="Body Text Char"/>
    <w:basedOn w:val="DefaultParagraphFont"/>
    <w:link w:val="BodyText"/>
    <w:uiPriority w:val="99"/>
    <w:rsid w:val="002B759A"/>
    <w:rPr>
      <w:rFonts w:ascii="Times New Roman" w:eastAsia="SimSun" w:hAnsi="Times New Roman" w:cs="Times New Roman"/>
      <w:b/>
      <w:bCs/>
      <w:sz w:val="24"/>
      <w:szCs w:val="24"/>
      <w:lang w:eastAsia="zh-CN"/>
    </w:rPr>
  </w:style>
  <w:style w:type="paragraph" w:styleId="HTMLPreformatted">
    <w:name w:val="HTML Preformatted"/>
    <w:basedOn w:val="Normal"/>
    <w:link w:val="HTMLPreformattedChar"/>
    <w:uiPriority w:val="99"/>
    <w:rsid w:val="002B7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2B759A"/>
    <w:rPr>
      <w:rFonts w:ascii="Courier New" w:eastAsia="Times New Roman" w:hAnsi="Courier New" w:cs="Courier New"/>
      <w:sz w:val="20"/>
      <w:szCs w:val="20"/>
      <w:lang w:eastAsia="zh-CN"/>
    </w:rPr>
  </w:style>
  <w:style w:type="paragraph" w:styleId="Footer">
    <w:name w:val="footer"/>
    <w:basedOn w:val="Normal"/>
    <w:link w:val="FooterChar"/>
    <w:uiPriority w:val="99"/>
    <w:rsid w:val="00875BF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75BFA"/>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875BFA"/>
    <w:rPr>
      <w:color w:val="605E5C"/>
      <w:shd w:val="clear" w:color="auto" w:fill="E1DFDD"/>
    </w:rPr>
  </w:style>
  <w:style w:type="paragraph" w:styleId="Header">
    <w:name w:val="header"/>
    <w:basedOn w:val="Normal"/>
    <w:link w:val="HeaderChar"/>
    <w:uiPriority w:val="99"/>
    <w:unhideWhenUsed/>
    <w:rsid w:val="00875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BFA"/>
  </w:style>
  <w:style w:type="paragraph" w:styleId="Revision">
    <w:name w:val="Revision"/>
    <w:hidden/>
    <w:uiPriority w:val="99"/>
    <w:semiHidden/>
    <w:rsid w:val="00462423"/>
    <w:pPr>
      <w:spacing w:after="0" w:line="240" w:lineRule="auto"/>
    </w:pPr>
  </w:style>
  <w:style w:type="paragraph" w:styleId="BodyTextIndent3">
    <w:name w:val="Body Text Indent 3"/>
    <w:basedOn w:val="Normal"/>
    <w:link w:val="BodyTextIndent3Char"/>
    <w:uiPriority w:val="99"/>
    <w:semiHidden/>
    <w:unhideWhenUsed/>
    <w:rsid w:val="00EE71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E7120"/>
    <w:rPr>
      <w:sz w:val="16"/>
      <w:szCs w:val="16"/>
    </w:rPr>
  </w:style>
  <w:style w:type="character" w:styleId="FollowedHyperlink">
    <w:name w:val="FollowedHyperlink"/>
    <w:basedOn w:val="DefaultParagraphFont"/>
    <w:uiPriority w:val="99"/>
    <w:semiHidden/>
    <w:unhideWhenUsed/>
    <w:rsid w:val="003C3EEE"/>
    <w:rPr>
      <w:color w:val="800080" w:themeColor="followedHyperlink"/>
      <w:u w:val="single"/>
    </w:rPr>
  </w:style>
  <w:style w:type="character" w:customStyle="1" w:styleId="UnresolvedMention2">
    <w:name w:val="Unresolved Mention2"/>
    <w:basedOn w:val="DefaultParagraphFont"/>
    <w:uiPriority w:val="99"/>
    <w:semiHidden/>
    <w:unhideWhenUsed/>
    <w:rsid w:val="001012E5"/>
    <w:rPr>
      <w:color w:val="605E5C"/>
      <w:shd w:val="clear" w:color="auto" w:fill="E1DFDD"/>
    </w:rPr>
  </w:style>
  <w:style w:type="character" w:customStyle="1" w:styleId="Heading3Char">
    <w:name w:val="Heading 3 Char"/>
    <w:basedOn w:val="DefaultParagraphFont"/>
    <w:link w:val="Heading3"/>
    <w:uiPriority w:val="9"/>
    <w:rsid w:val="00A93C91"/>
    <w:rPr>
      <w:rFonts w:ascii="Times New Roman" w:eastAsia="Times New Roman" w:hAnsi="Times New Roman" w:cs="Times New Roman"/>
      <w:b/>
      <w:bCs/>
      <w:sz w:val="24"/>
      <w:szCs w:val="24"/>
    </w:rPr>
  </w:style>
  <w:style w:type="paragraph" w:styleId="TOC3">
    <w:name w:val="toc 3"/>
    <w:basedOn w:val="Normal"/>
    <w:next w:val="Normal"/>
    <w:autoRedefine/>
    <w:uiPriority w:val="39"/>
    <w:unhideWhenUsed/>
    <w:rsid w:val="00001AA6"/>
    <w:pPr>
      <w:tabs>
        <w:tab w:val="decimal" w:leader="dot" w:pos="8640"/>
      </w:tabs>
      <w:spacing w:after="240" w:line="240" w:lineRule="auto"/>
      <w:ind w:left="2160" w:hanging="720"/>
    </w:pPr>
    <w:rPr>
      <w:rFonts w:ascii="Times New Roman" w:hAnsi="Times New Roman"/>
      <w:sz w:val="24"/>
    </w:rPr>
  </w:style>
  <w:style w:type="character" w:customStyle="1" w:styleId="UnresolvedMention">
    <w:name w:val="Unresolved Mention"/>
    <w:basedOn w:val="DefaultParagraphFont"/>
    <w:uiPriority w:val="99"/>
    <w:semiHidden/>
    <w:unhideWhenUsed/>
    <w:rsid w:val="00053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hyperlink" Target="mailto:Sarah.parrott@puco.ohio.gov" TargetMode="External" /><Relationship Id="rId13" Type="http://schemas.openxmlformats.org/officeDocument/2006/relationships/hyperlink" Target="mailto:regulatory@infiniteenergy.com" TargetMode="External" /><Relationship Id="rId14" Type="http://schemas.openxmlformats.org/officeDocument/2006/relationships/hyperlink" Target="mailto:josephclark@nisource.com" TargetMode="External" /><Relationship Id="rId15" Type="http://schemas.openxmlformats.org/officeDocument/2006/relationships/hyperlink" Target="mailto:talexander@calfee.com" TargetMode="External" /><Relationship Id="rId16" Type="http://schemas.openxmlformats.org/officeDocument/2006/relationships/hyperlink" Target="mailto:slesser@calfee.com" TargetMode="External" /><Relationship Id="rId17" Type="http://schemas.openxmlformats.org/officeDocument/2006/relationships/hyperlink" Target="mailto:khehmeyer@calfee.com" TargetMode="External" /><Relationship Id="rId18" Type="http://schemas.openxmlformats.org/officeDocument/2006/relationships/hyperlink" Target="mailto:Rocco.dascenzo@duke-energy.com" TargetMode="External" /><Relationship Id="rId19" Type="http://schemas.openxmlformats.org/officeDocument/2006/relationships/hyperlink" Target="mailto:Jeanne.Kingery@duke-energy.com" TargetMode="External" /><Relationship Id="rId2" Type="http://schemas.openxmlformats.org/officeDocument/2006/relationships/settings" Target="settings.xml" /><Relationship Id="rId20" Type="http://schemas.openxmlformats.org/officeDocument/2006/relationships/hyperlink" Target="mailto:Larisa.vaysman@duke-energy.com" TargetMode="External" /><Relationship Id="rId21" Type="http://schemas.openxmlformats.org/officeDocument/2006/relationships/hyperlink" Target="mailto:mpritchard@mcneeslaw.com" TargetMode="External" /><Relationship Id="rId22" Type="http://schemas.openxmlformats.org/officeDocument/2006/relationships/hyperlink" Target="mailto:cendsley@ofbf.org" TargetMode="External" /><Relationship Id="rId23" Type="http://schemas.openxmlformats.org/officeDocument/2006/relationships/hyperlink" Target="mailto:lcurtis@ofbf.org" TargetMode="External" /><Relationship Id="rId24" Type="http://schemas.openxmlformats.org/officeDocument/2006/relationships/hyperlink" Target="mailto:amilam@ofbf.org" TargetMode="External" /><Relationship Id="rId25" Type="http://schemas.openxmlformats.org/officeDocument/2006/relationships/hyperlink" Target="mailto:sdismukes@eckertseamans.com" TargetMode="External" /><Relationship Id="rId26" Type="http://schemas.openxmlformats.org/officeDocument/2006/relationships/hyperlink" Target="mailto:dclearfield@eckertseamans.com" TargetMode="External" /><Relationship Id="rId27" Type="http://schemas.openxmlformats.org/officeDocument/2006/relationships/hyperlink" Target="mailto:SStoner@eckertseamans.com" TargetMode="External" /><Relationship Id="rId28" Type="http://schemas.openxmlformats.org/officeDocument/2006/relationships/hyperlink" Target="mailto:gkrassen@bricker.com" TargetMode="External" /><Relationship Id="rId29" Type="http://schemas.openxmlformats.org/officeDocument/2006/relationships/hyperlink" Target="mailto:dstinson@bricker.com" TargetMode="External" /><Relationship Id="rId3" Type="http://schemas.openxmlformats.org/officeDocument/2006/relationships/webSettings" Target="webSettings.xml" /><Relationship Id="rId30" Type="http://schemas.openxmlformats.org/officeDocument/2006/relationships/hyperlink" Target="mailto:dparram@bricker.com" TargetMode="External" /><Relationship Id="rId31" Type="http://schemas.openxmlformats.org/officeDocument/2006/relationships/hyperlink" Target="mailto:Bethany.Allen@igs.com" TargetMode="External" /><Relationship Id="rId32" Type="http://schemas.openxmlformats.org/officeDocument/2006/relationships/hyperlink" Target="mailto:Michael.Nugent@igs.com" TargetMode="External" /><Relationship Id="rId33" Type="http://schemas.openxmlformats.org/officeDocument/2006/relationships/hyperlink" Target="mailto:Joe.Oliker@igs.com" TargetMode="External" /><Relationship Id="rId34" Type="http://schemas.openxmlformats.org/officeDocument/2006/relationships/hyperlink" Target="mailto:kennedy@whitt-sturtevant.com" TargetMode="External" /><Relationship Id="rId35" Type="http://schemas.openxmlformats.org/officeDocument/2006/relationships/hyperlink" Target="mailto:fykes@whitt-sturtevant.com" TargetMode="External" /><Relationship Id="rId36" Type="http://schemas.openxmlformats.org/officeDocument/2006/relationships/hyperlink" Target="mailto:Andrew.j.campbell@dominionenergy.commjsettineri@vorys.com" TargetMode="Externa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brosia.Logsdon@occ.ohio.gov" TargetMode="External" /><Relationship Id="rId7" Type="http://schemas.openxmlformats.org/officeDocument/2006/relationships/hyperlink" Target="mailto:David.Bergmann@occ.ohio.gov" TargetMode="External" /><Relationship Id="rId8" Type="http://schemas.openxmlformats.org/officeDocument/2006/relationships/footer" Target="footer1.xml" /><Relationship Id="rId9" Type="http://schemas.openxmlformats.org/officeDocument/2006/relationships/header" Target="head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dispatch.com/article/20150510/NEWS/305109934" TargetMode="External" /><Relationship Id="rId2" Type="http://schemas.openxmlformats.org/officeDocument/2006/relationships/hyperlink" Target="https://www.baltimoresun.com/business/bs-bz-smart-one-fine-20190802-t27o7ham25hebhdwnmzco53iva-story.html" TargetMode="External" /><Relationship Id="rId3" Type="http://schemas.openxmlformats.org/officeDocument/2006/relationships/hyperlink" Target="http://www.energychoicematters.com/stories/20190515bg.html" TargetMode="External" /><Relationship Id="rId4" Type="http://schemas.openxmlformats.org/officeDocument/2006/relationships/hyperlink" Target="https://www.khou.com/article/news/investigations/direct-energy-leads-state-in-electricity-slamming-refunds/65322482" TargetMode="External" /><Relationship Id="rId5" Type="http://schemas.openxmlformats.org/officeDocument/2006/relationships/hyperlink" Target="http://www.puc.pa.gov/about_puc/press_releases.aspx?ShowPR=320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26A18-67E2-4B90-A70C-0443CC8C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4800</Words>
  <Characters>27365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19-1429  OCC Reply Comments.docx</vt:lpstr>
    </vt:vector>
  </TitlesOfParts>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2020-01-31T21:40:29Z</dcterms:created>
  <dcterms:modified xsi:type="dcterms:W3CDTF">2020-01-31T21:40:29Z</dcterms:modified>
</cp:coreProperties>
</file>