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4B" w:rsidRDefault="00537CB4">
      <w:pPr>
        <w:pStyle w:val="Title"/>
        <w:rPr>
          <w:szCs w:val="32"/>
        </w:rPr>
      </w:pPr>
      <w:bookmarkStart w:id="0" w:name="OLE_LINK1"/>
      <w:bookmarkStart w:id="1" w:name="OLE_LINK2"/>
      <w:r>
        <w:rPr>
          <w:szCs w:val="32"/>
        </w:rPr>
        <w:t>Before</w:t>
      </w:r>
    </w:p>
    <w:p w:rsidR="00F05C4B" w:rsidRDefault="00537CB4">
      <w:pPr>
        <w:jc w:val="center"/>
        <w:rPr>
          <w:rFonts w:ascii="Arial" w:hAnsi="Arial" w:cs="Arial"/>
          <w:b/>
          <w:smallCaps/>
          <w:sz w:val="32"/>
          <w:szCs w:val="32"/>
        </w:rPr>
      </w:pPr>
      <w:r>
        <w:rPr>
          <w:rFonts w:ascii="Arial" w:hAnsi="Arial" w:cs="Arial"/>
          <w:b/>
          <w:smallCaps/>
          <w:sz w:val="32"/>
          <w:szCs w:val="32"/>
        </w:rPr>
        <w:t>The Public Utilities Commission of Ohio</w:t>
      </w:r>
    </w:p>
    <w:p w:rsidR="00F05C4B" w:rsidRDefault="00F05C4B">
      <w:pPr>
        <w:autoSpaceDE w:val="0"/>
        <w:autoSpaceDN w:val="0"/>
        <w:adjustRightInd w:val="0"/>
        <w:rPr>
          <w:rFonts w:ascii="Arial" w:eastAsiaTheme="minorHAnsi" w:hAnsi="Arial" w:cs="Arial"/>
        </w:rPr>
      </w:pPr>
    </w:p>
    <w:p w:rsidR="00F05C4B" w:rsidRDefault="00537CB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In the Matter of the Application of the </w:t>
      </w:r>
      <w:r>
        <w:rPr>
          <w:rFonts w:ascii="Arial" w:eastAsiaTheme="minorHAnsi" w:hAnsi="Arial" w:cs="Arial"/>
        </w:rPr>
        <w:tab/>
        <w:t>)</w:t>
      </w:r>
    </w:p>
    <w:p w:rsidR="00F05C4B" w:rsidRDefault="00537CB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Ohio Development Services Agency</w:t>
      </w:r>
      <w:r>
        <w:rPr>
          <w:rFonts w:ascii="Arial" w:eastAsiaTheme="minorHAnsi" w:hAnsi="Arial" w:cs="Arial"/>
        </w:rPr>
        <w:tab/>
        <w:t>)</w:t>
      </w:r>
    </w:p>
    <w:p w:rsidR="00F05C4B" w:rsidRDefault="00537CB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for an Order Approving Adjustments</w:t>
      </w:r>
      <w:r>
        <w:rPr>
          <w:rFonts w:ascii="Arial" w:eastAsiaTheme="minorHAnsi" w:hAnsi="Arial" w:cs="Arial"/>
        </w:rPr>
        <w:tab/>
        <w:t>)</w:t>
      </w:r>
      <w:r>
        <w:rPr>
          <w:rFonts w:ascii="Arial" w:eastAsiaTheme="minorHAnsi" w:hAnsi="Arial" w:cs="Arial"/>
        </w:rPr>
        <w:tab/>
        <w:t>Case No. 15-1046-EL-USF</w:t>
      </w:r>
    </w:p>
    <w:p w:rsidR="00F05C4B" w:rsidRDefault="00537CB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to the Universal Service Fund Riders of </w:t>
      </w:r>
      <w:r>
        <w:rPr>
          <w:rFonts w:ascii="Arial" w:eastAsiaTheme="minorHAnsi" w:hAnsi="Arial" w:cs="Arial"/>
        </w:rPr>
        <w:tab/>
        <w:t>)</w:t>
      </w:r>
    </w:p>
    <w:p w:rsidR="00F05C4B" w:rsidRDefault="00537CB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Jurisdictional Ohio Electric Distribution </w:t>
      </w:r>
      <w:r>
        <w:rPr>
          <w:rFonts w:ascii="Arial" w:eastAsiaTheme="minorHAnsi" w:hAnsi="Arial" w:cs="Arial"/>
        </w:rPr>
        <w:tab/>
        <w:t>)</w:t>
      </w:r>
    </w:p>
    <w:p w:rsidR="00F05C4B" w:rsidRDefault="00537CB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Utilities.</w:t>
      </w:r>
      <w:r>
        <w:rPr>
          <w:rFonts w:ascii="Arial" w:eastAsiaTheme="minorHAnsi" w:hAnsi="Arial" w:cs="Arial"/>
        </w:rPr>
        <w:tab/>
        <w:t>)</w:t>
      </w:r>
    </w:p>
    <w:p w:rsidR="00F05C4B" w:rsidRDefault="00F05C4B">
      <w:pPr>
        <w:pStyle w:val="BodyText"/>
        <w:tabs>
          <w:tab w:val="left" w:pos="5040"/>
        </w:tabs>
      </w:pPr>
    </w:p>
    <w:p w:rsidR="00F05C4B" w:rsidRDefault="00F05C4B">
      <w:pPr>
        <w:pStyle w:val="BodyText"/>
        <w:tabs>
          <w:tab w:val="left" w:pos="5040"/>
        </w:tabs>
        <w:rPr>
          <w:sz w:val="28"/>
        </w:rPr>
      </w:pPr>
    </w:p>
    <w:p w:rsidR="00F05C4B" w:rsidRDefault="00F05C4B">
      <w:pPr>
        <w:pBdr>
          <w:top w:val="single" w:sz="12" w:space="1" w:color="auto"/>
        </w:pBdr>
        <w:jc w:val="center"/>
        <w:rPr>
          <w:rFonts w:ascii="Arial" w:hAnsi="Arial" w:cs="Arial"/>
          <w:b/>
        </w:rPr>
      </w:pPr>
    </w:p>
    <w:p w:rsidR="00F05C4B" w:rsidRDefault="00537CB4">
      <w:pPr>
        <w:jc w:val="center"/>
        <w:rPr>
          <w:rFonts w:ascii="Arial Bold" w:hAnsi="Arial Bold" w:cs="Arial"/>
          <w:b/>
          <w:smallCaps/>
          <w:sz w:val="32"/>
          <w:szCs w:val="32"/>
        </w:rPr>
      </w:pPr>
      <w:r>
        <w:rPr>
          <w:rFonts w:ascii="Arial Bold" w:hAnsi="Arial Bold" w:cs="Arial"/>
          <w:b/>
          <w:smallCaps/>
          <w:sz w:val="32"/>
          <w:szCs w:val="32"/>
        </w:rPr>
        <w:t>Reply Brief of</w:t>
      </w:r>
    </w:p>
    <w:p w:rsidR="00F05C4B" w:rsidRDefault="00537CB4">
      <w:pPr>
        <w:jc w:val="center"/>
        <w:rPr>
          <w:rFonts w:ascii="Arial Bold" w:hAnsi="Arial Bold" w:cs="Arial"/>
          <w:b/>
          <w:smallCaps/>
          <w:sz w:val="32"/>
          <w:szCs w:val="32"/>
        </w:rPr>
      </w:pPr>
      <w:r>
        <w:rPr>
          <w:rFonts w:ascii="Arial Bold" w:hAnsi="Arial Bold" w:cs="Arial"/>
          <w:b/>
          <w:smallCaps/>
          <w:sz w:val="32"/>
          <w:szCs w:val="32"/>
        </w:rPr>
        <w:t>Industrial Energy Users-Ohio</w:t>
      </w:r>
    </w:p>
    <w:bookmarkEnd w:id="0"/>
    <w:bookmarkEnd w:id="1"/>
    <w:p w:rsidR="00F05C4B" w:rsidRDefault="00F05C4B">
      <w:pPr>
        <w:pStyle w:val="Title"/>
        <w:pBdr>
          <w:bottom w:val="single" w:sz="12" w:space="1" w:color="auto"/>
        </w:pBdr>
        <w:rPr>
          <w:sz w:val="24"/>
          <w:u w:val="single"/>
        </w:rPr>
      </w:pPr>
    </w:p>
    <w:p w:rsidR="00F05C4B" w:rsidRDefault="00F05C4B">
      <w:pPr>
        <w:pStyle w:val="Title"/>
        <w:rPr>
          <w:sz w:val="28"/>
          <w:u w:val="single"/>
        </w:rPr>
      </w:pPr>
      <w:bookmarkStart w:id="2" w:name="_GoBack"/>
      <w:bookmarkEnd w:id="2"/>
    </w:p>
    <w:p w:rsidR="00F05C4B" w:rsidRDefault="00F05C4B">
      <w:pPr>
        <w:pStyle w:val="Title"/>
        <w:rPr>
          <w:sz w:val="28"/>
          <w:u w:val="single"/>
        </w:rPr>
      </w:pPr>
    </w:p>
    <w:p w:rsidR="00F05C4B" w:rsidRDefault="00F05C4B">
      <w:pPr>
        <w:pStyle w:val="Title"/>
        <w:rPr>
          <w:sz w:val="28"/>
          <w:u w:val="single"/>
        </w:rPr>
      </w:pPr>
    </w:p>
    <w:p w:rsidR="00F05C4B" w:rsidRDefault="00F05C4B">
      <w:pPr>
        <w:pStyle w:val="Title"/>
        <w:rPr>
          <w:sz w:val="28"/>
          <w:u w:val="single"/>
        </w:rPr>
      </w:pPr>
    </w:p>
    <w:p w:rsidR="00F05C4B" w:rsidRDefault="00F05C4B">
      <w:pPr>
        <w:pStyle w:val="Title"/>
        <w:rPr>
          <w:sz w:val="28"/>
          <w:u w:val="single"/>
        </w:rPr>
      </w:pPr>
    </w:p>
    <w:p w:rsidR="00F05C4B" w:rsidRDefault="00F05C4B">
      <w:pPr>
        <w:pStyle w:val="Title"/>
        <w:rPr>
          <w:sz w:val="28"/>
          <w:u w:val="single"/>
        </w:rPr>
      </w:pPr>
    </w:p>
    <w:p w:rsidR="00F05C4B" w:rsidRDefault="00F05C4B">
      <w:pPr>
        <w:pStyle w:val="Title"/>
        <w:rPr>
          <w:sz w:val="28"/>
          <w:u w:val="single"/>
        </w:rPr>
      </w:pPr>
    </w:p>
    <w:p w:rsidR="00F05C4B" w:rsidRDefault="00F05C4B">
      <w:pPr>
        <w:pStyle w:val="Title"/>
        <w:rPr>
          <w:sz w:val="28"/>
          <w:u w:val="single"/>
        </w:rPr>
      </w:pPr>
    </w:p>
    <w:p w:rsidR="00F05C4B" w:rsidRDefault="00F05C4B">
      <w:pPr>
        <w:pStyle w:val="Title"/>
        <w:rPr>
          <w:sz w:val="28"/>
          <w:u w:val="single"/>
        </w:rPr>
      </w:pPr>
    </w:p>
    <w:p w:rsidR="00F05C4B" w:rsidRDefault="00F05C4B">
      <w:pPr>
        <w:pStyle w:val="Title"/>
        <w:rPr>
          <w:sz w:val="28"/>
          <w:u w:val="single"/>
        </w:rPr>
      </w:pPr>
    </w:p>
    <w:p w:rsidR="00F05C4B" w:rsidRDefault="00F05C4B">
      <w:pPr>
        <w:pStyle w:val="Title"/>
        <w:rPr>
          <w:sz w:val="28"/>
          <w:u w:val="single"/>
        </w:rPr>
      </w:pPr>
    </w:p>
    <w:p w:rsidR="00F05C4B" w:rsidRDefault="00F05C4B">
      <w:pPr>
        <w:pStyle w:val="Title"/>
        <w:rPr>
          <w:sz w:val="28"/>
          <w:u w:val="single"/>
        </w:rPr>
      </w:pPr>
    </w:p>
    <w:p w:rsidR="00F05C4B" w:rsidRDefault="00F05C4B">
      <w:pPr>
        <w:pStyle w:val="Title"/>
        <w:rPr>
          <w:sz w:val="28"/>
          <w:u w:val="single"/>
        </w:rPr>
      </w:pPr>
    </w:p>
    <w:p w:rsidR="00F05C4B" w:rsidRDefault="00F05C4B">
      <w:pPr>
        <w:pStyle w:val="Title"/>
        <w:rPr>
          <w:sz w:val="28"/>
          <w:u w:val="single"/>
        </w:rPr>
      </w:pPr>
    </w:p>
    <w:p w:rsidR="00E567BD" w:rsidRDefault="00E567BD">
      <w:pPr>
        <w:pStyle w:val="Title"/>
        <w:rPr>
          <w:sz w:val="28"/>
          <w:u w:val="single"/>
        </w:rPr>
      </w:pPr>
    </w:p>
    <w:p w:rsidR="00F05C4B" w:rsidRDefault="00F05C4B">
      <w:pPr>
        <w:pStyle w:val="Title"/>
        <w:rPr>
          <w:sz w:val="28"/>
          <w:u w:val="single"/>
        </w:rPr>
      </w:pPr>
    </w:p>
    <w:p w:rsidR="00F05C4B" w:rsidRDefault="00537CB4">
      <w:pPr>
        <w:pStyle w:val="BodyText3"/>
        <w:widowControl w:val="0"/>
        <w:ind w:left="4320"/>
        <w:jc w:val="both"/>
        <w:rPr>
          <w:rFonts w:ascii="Arial" w:hAnsi="Arial" w:cs="Arial"/>
          <w:b w:val="0"/>
          <w:bCs/>
        </w:rPr>
      </w:pPr>
      <w:r>
        <w:rPr>
          <w:rFonts w:ascii="Arial" w:hAnsi="Arial" w:cs="Arial"/>
          <w:b w:val="0"/>
          <w:bCs/>
        </w:rPr>
        <w:t>Frank P. Darr (Reg. No. 0025469)</w:t>
      </w:r>
    </w:p>
    <w:p w:rsidR="00F05C4B" w:rsidRDefault="00537CB4">
      <w:pPr>
        <w:tabs>
          <w:tab w:val="right" w:pos="8640"/>
        </w:tabs>
        <w:ind w:left="4320"/>
        <w:jc w:val="both"/>
        <w:rPr>
          <w:rFonts w:ascii="Arial" w:hAnsi="Arial" w:cs="Arial"/>
        </w:rPr>
      </w:pPr>
      <w:r>
        <w:rPr>
          <w:rFonts w:ascii="Arial" w:hAnsi="Arial" w:cs="Arial"/>
        </w:rPr>
        <w:t>(Counsel of Record)</w:t>
      </w:r>
    </w:p>
    <w:p w:rsidR="00F05C4B" w:rsidRDefault="00537CB4">
      <w:pPr>
        <w:pStyle w:val="BodyText3"/>
        <w:widowControl w:val="0"/>
        <w:ind w:left="4320"/>
        <w:jc w:val="both"/>
        <w:rPr>
          <w:rFonts w:ascii="Arial" w:hAnsi="Arial" w:cs="Arial"/>
          <w:b w:val="0"/>
          <w:bCs/>
        </w:rPr>
      </w:pPr>
      <w:r>
        <w:rPr>
          <w:rFonts w:ascii="Arial" w:hAnsi="Arial" w:cs="Arial"/>
          <w:b w:val="0"/>
          <w:bCs/>
        </w:rPr>
        <w:t>Matthew R. Pritchard (Reg. No. 0088070)</w:t>
      </w:r>
    </w:p>
    <w:p w:rsidR="00F05C4B" w:rsidRDefault="00537CB4">
      <w:pPr>
        <w:pStyle w:val="BodyText3"/>
        <w:widowControl w:val="0"/>
        <w:ind w:left="4320"/>
        <w:jc w:val="both"/>
        <w:rPr>
          <w:rFonts w:ascii="Arial" w:hAnsi="Arial" w:cs="Arial"/>
          <w:b w:val="0"/>
          <w:bCs/>
          <w:smallCaps/>
          <w:szCs w:val="24"/>
        </w:rPr>
      </w:pPr>
      <w:r>
        <w:rPr>
          <w:rFonts w:ascii="Arial" w:hAnsi="Arial" w:cs="Arial"/>
          <w:b w:val="0"/>
          <w:bCs/>
          <w:smallCaps/>
          <w:szCs w:val="24"/>
        </w:rPr>
        <w:t>McNees Wallace &amp; Nurick LLC</w:t>
      </w:r>
    </w:p>
    <w:p w:rsidR="00F05C4B" w:rsidRDefault="00537CB4">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F05C4B" w:rsidRDefault="00537CB4">
      <w:pPr>
        <w:pStyle w:val="BodyText"/>
        <w:ind w:left="4320"/>
      </w:pPr>
      <w:r>
        <w:t>Columbus, OH  43215</w:t>
      </w:r>
    </w:p>
    <w:p w:rsidR="00F05C4B" w:rsidRDefault="00537CB4">
      <w:pPr>
        <w:pStyle w:val="BodyText"/>
        <w:ind w:left="4320"/>
      </w:pPr>
      <w:r>
        <w:t>Telephone:  (614) 469-8000</w:t>
      </w:r>
    </w:p>
    <w:p w:rsidR="00F05C4B" w:rsidRDefault="00537CB4">
      <w:pPr>
        <w:pStyle w:val="BodyText"/>
        <w:ind w:left="4320"/>
      </w:pPr>
      <w:r>
        <w:t>Telecopier:  (614) 469-4653</w:t>
      </w:r>
    </w:p>
    <w:p w:rsidR="00F05C4B" w:rsidRDefault="00537CB4">
      <w:pPr>
        <w:pStyle w:val="BodyText"/>
        <w:ind w:left="4320"/>
      </w:pPr>
      <w:r>
        <w:t>fdarr@mwncmh.com</w:t>
      </w:r>
    </w:p>
    <w:p w:rsidR="00F05C4B" w:rsidRDefault="00537CB4">
      <w:pPr>
        <w:pStyle w:val="BodyText"/>
        <w:ind w:left="4320"/>
      </w:pPr>
      <w:r>
        <w:t>mpritchard@mwncmh.com</w:t>
      </w:r>
    </w:p>
    <w:p w:rsidR="00F05C4B" w:rsidRDefault="00F05C4B">
      <w:pPr>
        <w:tabs>
          <w:tab w:val="left" w:pos="4320"/>
          <w:tab w:val="right" w:pos="8640"/>
        </w:tabs>
        <w:jc w:val="both"/>
        <w:rPr>
          <w:rFonts w:ascii="Arial" w:hAnsi="Arial" w:cs="Arial"/>
        </w:rPr>
      </w:pPr>
    </w:p>
    <w:p w:rsidR="00F05C4B" w:rsidRDefault="00537CB4">
      <w:pPr>
        <w:pStyle w:val="Title"/>
        <w:tabs>
          <w:tab w:val="left" w:pos="4320"/>
        </w:tabs>
        <w:ind w:left="4320" w:hanging="4320"/>
        <w:jc w:val="left"/>
        <w:rPr>
          <w:smallCaps w:val="0"/>
          <w:sz w:val="24"/>
        </w:rPr>
        <w:sectPr w:rsidR="00F05C4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80" w:left="1440" w:header="720" w:footer="720" w:gutter="0"/>
          <w:pgNumType w:start="1"/>
          <w:cols w:space="720"/>
          <w:titlePg/>
          <w:docGrid w:linePitch="326"/>
        </w:sectPr>
      </w:pPr>
      <w:r>
        <w:rPr>
          <w:smallCaps w:val="0"/>
          <w:sz w:val="24"/>
        </w:rPr>
        <w:t>September 9, 2015</w:t>
      </w:r>
      <w:r>
        <w:rPr>
          <w:smallCaps w:val="0"/>
          <w:sz w:val="24"/>
        </w:rPr>
        <w:tab/>
        <w:t>Attorneys for Industrial Energy Users-Ohio</w:t>
      </w:r>
    </w:p>
    <w:sdt>
      <w:sdtPr>
        <w:rPr>
          <w:b/>
          <w:bCs/>
        </w:rPr>
        <w:id w:val="-658156217"/>
        <w:docPartObj>
          <w:docPartGallery w:val="Table of Contents"/>
          <w:docPartUnique/>
        </w:docPartObj>
      </w:sdtPr>
      <w:sdtEndPr>
        <w:rPr>
          <w:b w:val="0"/>
          <w:bCs w:val="0"/>
          <w:noProof/>
        </w:rPr>
      </w:sdtEndPr>
      <w:sdtContent>
        <w:p w:rsidR="00F05C4B" w:rsidRPr="00E567BD" w:rsidRDefault="00537CB4">
          <w:pPr>
            <w:jc w:val="center"/>
            <w:rPr>
              <w:rFonts w:ascii="Arial Bold" w:hAnsi="Arial Bold" w:cs="Arial"/>
              <w:b/>
              <w:smallCaps/>
              <w:sz w:val="28"/>
              <w:szCs w:val="28"/>
              <w:u w:val="single"/>
            </w:rPr>
          </w:pPr>
          <w:r w:rsidRPr="00E567BD">
            <w:rPr>
              <w:rFonts w:ascii="Arial Bold" w:hAnsi="Arial Bold" w:cs="Arial"/>
              <w:b/>
              <w:smallCaps/>
              <w:sz w:val="28"/>
              <w:szCs w:val="28"/>
              <w:u w:val="single"/>
            </w:rPr>
            <w:t>Table of Contents</w:t>
          </w:r>
        </w:p>
        <w:p w:rsidR="00F05C4B" w:rsidRPr="00E663DA" w:rsidRDefault="00537CB4">
          <w:pPr>
            <w:jc w:val="right"/>
            <w:rPr>
              <w:rFonts w:ascii="Arial" w:hAnsi="Arial" w:cs="Arial"/>
              <w:b/>
              <w:sz w:val="22"/>
              <w:szCs w:val="22"/>
              <w:u w:val="single"/>
              <w:lang w:eastAsia="ja-JP"/>
            </w:rPr>
          </w:pPr>
          <w:r w:rsidRPr="00E663DA">
            <w:rPr>
              <w:rFonts w:ascii="Arial" w:hAnsi="Arial" w:cs="Arial"/>
              <w:b/>
              <w:sz w:val="22"/>
              <w:szCs w:val="22"/>
              <w:u w:val="single"/>
              <w:lang w:eastAsia="ja-JP"/>
            </w:rPr>
            <w:t>Page</w:t>
          </w:r>
        </w:p>
        <w:p w:rsidR="00F05C4B" w:rsidRDefault="00F05C4B">
          <w:pPr>
            <w:jc w:val="right"/>
            <w:rPr>
              <w:rFonts w:ascii="Arial" w:hAnsi="Arial" w:cs="Arial"/>
              <w:u w:val="single"/>
              <w:lang w:eastAsia="ja-JP"/>
            </w:rPr>
          </w:pPr>
        </w:p>
        <w:p w:rsidR="00F05C4B" w:rsidRDefault="00537CB4" w:rsidP="00E567BD">
          <w:pPr>
            <w:pStyle w:val="TOC1"/>
            <w:rPr>
              <w:rFonts w:eastAsiaTheme="minorEastAsia"/>
              <w:noProof/>
              <w:sz w:val="22"/>
              <w:szCs w:val="22"/>
            </w:rPr>
          </w:pPr>
          <w:r>
            <w:fldChar w:fldCharType="begin"/>
          </w:r>
          <w:r>
            <w:instrText xml:space="preserve"> TOC \o "1-3" \h \z \u </w:instrText>
          </w:r>
          <w:r>
            <w:fldChar w:fldCharType="separate"/>
          </w:r>
          <w:hyperlink w:anchor="_Toc429515327" w:history="1">
            <w:r w:rsidRPr="00E567BD">
              <w:rPr>
                <w:rStyle w:val="Hyperlink"/>
                <w:rFonts w:ascii="Arial" w:hAnsi="Arial" w:cs="Arial"/>
                <w:b/>
                <w:noProof/>
              </w:rPr>
              <w:t>I.</w:t>
            </w:r>
            <w:r w:rsidRPr="00E567BD">
              <w:rPr>
                <w:rFonts w:eastAsiaTheme="minorEastAsia"/>
                <w:b/>
                <w:noProof/>
                <w:sz w:val="22"/>
                <w:szCs w:val="22"/>
              </w:rPr>
              <w:tab/>
            </w:r>
            <w:r w:rsidRPr="00E567BD">
              <w:rPr>
                <w:rStyle w:val="Hyperlink"/>
                <w:rFonts w:ascii="Arial" w:hAnsi="Arial" w:cs="Arial"/>
                <w:b/>
                <w:noProof/>
              </w:rPr>
              <w:t>ARGUMENT</w:t>
            </w:r>
            <w:r>
              <w:rPr>
                <w:noProof/>
                <w:webHidden/>
              </w:rPr>
              <w:tab/>
            </w:r>
            <w:r w:rsidRPr="00035F37">
              <w:rPr>
                <w:rFonts w:ascii="Arial" w:hAnsi="Arial" w:cs="Arial"/>
                <w:noProof/>
                <w:webHidden/>
              </w:rPr>
              <w:fldChar w:fldCharType="begin"/>
            </w:r>
            <w:r w:rsidRPr="00035F37">
              <w:rPr>
                <w:rFonts w:ascii="Arial" w:hAnsi="Arial" w:cs="Arial"/>
                <w:noProof/>
                <w:webHidden/>
              </w:rPr>
              <w:instrText xml:space="preserve"> PAGEREF _Toc429515327 \h </w:instrText>
            </w:r>
            <w:r w:rsidRPr="00035F37">
              <w:rPr>
                <w:rFonts w:ascii="Arial" w:hAnsi="Arial" w:cs="Arial"/>
                <w:noProof/>
                <w:webHidden/>
              </w:rPr>
            </w:r>
            <w:r w:rsidRPr="00035F37">
              <w:rPr>
                <w:rFonts w:ascii="Arial" w:hAnsi="Arial" w:cs="Arial"/>
                <w:noProof/>
                <w:webHidden/>
              </w:rPr>
              <w:fldChar w:fldCharType="separate"/>
            </w:r>
            <w:r w:rsidR="00F74BE6" w:rsidRPr="00035F37">
              <w:rPr>
                <w:rFonts w:ascii="Arial" w:hAnsi="Arial" w:cs="Arial"/>
                <w:noProof/>
                <w:webHidden/>
              </w:rPr>
              <w:t>4</w:t>
            </w:r>
            <w:r w:rsidRPr="00035F37">
              <w:rPr>
                <w:rFonts w:ascii="Arial" w:hAnsi="Arial" w:cs="Arial"/>
                <w:noProof/>
                <w:webHidden/>
              </w:rPr>
              <w:fldChar w:fldCharType="end"/>
            </w:r>
          </w:hyperlink>
        </w:p>
        <w:p w:rsidR="00F05C4B" w:rsidRPr="00E567BD" w:rsidRDefault="00035F37" w:rsidP="00E567BD">
          <w:pPr>
            <w:pStyle w:val="TOC2"/>
            <w:rPr>
              <w:rFonts w:eastAsiaTheme="minorEastAsia"/>
              <w:sz w:val="22"/>
              <w:szCs w:val="22"/>
            </w:rPr>
          </w:pPr>
          <w:hyperlink w:anchor="_Toc429515328" w:history="1">
            <w:r w:rsidR="00537CB4" w:rsidRPr="00E567BD">
              <w:rPr>
                <w:rStyle w:val="Hyperlink"/>
                <w:b/>
              </w:rPr>
              <w:t>A.</w:t>
            </w:r>
            <w:r w:rsidR="00537CB4" w:rsidRPr="00E567BD">
              <w:rPr>
                <w:rFonts w:eastAsiaTheme="minorEastAsia"/>
                <w:sz w:val="22"/>
                <w:szCs w:val="22"/>
              </w:rPr>
              <w:tab/>
            </w:r>
            <w:r w:rsidR="00537CB4" w:rsidRPr="00E567BD">
              <w:rPr>
                <w:rStyle w:val="Hyperlink"/>
                <w:b/>
              </w:rPr>
              <w:t>The Commission should reject OPAE’s arguments because the Commission cannot grant OPAE the relief it seeks, the sought relief is unlawful and unreasonable, and OPAE’s arguments are otherwise without merit</w:t>
            </w:r>
            <w:r w:rsidR="00537CB4" w:rsidRPr="00E567BD">
              <w:rPr>
                <w:webHidden/>
              </w:rPr>
              <w:tab/>
            </w:r>
            <w:r w:rsidR="00537CB4" w:rsidRPr="00E567BD">
              <w:rPr>
                <w:webHidden/>
              </w:rPr>
              <w:fldChar w:fldCharType="begin"/>
            </w:r>
            <w:r w:rsidR="00537CB4" w:rsidRPr="00E567BD">
              <w:rPr>
                <w:webHidden/>
              </w:rPr>
              <w:instrText xml:space="preserve"> PAGEREF _Toc429515328 \h </w:instrText>
            </w:r>
            <w:r w:rsidR="00537CB4" w:rsidRPr="00E567BD">
              <w:rPr>
                <w:webHidden/>
              </w:rPr>
            </w:r>
            <w:r w:rsidR="00537CB4" w:rsidRPr="00E567BD">
              <w:rPr>
                <w:webHidden/>
              </w:rPr>
              <w:fldChar w:fldCharType="separate"/>
            </w:r>
            <w:r w:rsidR="00F74BE6">
              <w:rPr>
                <w:webHidden/>
              </w:rPr>
              <w:t>4</w:t>
            </w:r>
            <w:r w:rsidR="00537CB4" w:rsidRPr="00E567BD">
              <w:rPr>
                <w:webHidden/>
              </w:rPr>
              <w:fldChar w:fldCharType="end"/>
            </w:r>
          </w:hyperlink>
        </w:p>
        <w:p w:rsidR="00F05C4B" w:rsidRDefault="00035F37" w:rsidP="00E567BD">
          <w:pPr>
            <w:pStyle w:val="TOC2"/>
            <w:rPr>
              <w:rFonts w:eastAsiaTheme="minorEastAsia"/>
              <w:sz w:val="22"/>
              <w:szCs w:val="22"/>
            </w:rPr>
          </w:pPr>
          <w:hyperlink w:anchor="_Toc429515330" w:history="1">
            <w:r w:rsidR="00537CB4" w:rsidRPr="00E567BD">
              <w:rPr>
                <w:rStyle w:val="Hyperlink"/>
                <w:b/>
              </w:rPr>
              <w:t>B.</w:t>
            </w:r>
            <w:r w:rsidR="00537CB4" w:rsidRPr="00E567BD">
              <w:rPr>
                <w:rFonts w:eastAsiaTheme="minorEastAsia"/>
                <w:sz w:val="22"/>
                <w:szCs w:val="22"/>
              </w:rPr>
              <w:tab/>
            </w:r>
            <w:r w:rsidR="00537CB4" w:rsidRPr="00E567BD">
              <w:rPr>
                <w:rStyle w:val="Hyperlink"/>
                <w:b/>
              </w:rPr>
              <w:t>The relief AEP-Ohio seeks conflicts with prior Commission orders.</w:t>
            </w:r>
            <w:r w:rsidR="00537CB4">
              <w:rPr>
                <w:webHidden/>
              </w:rPr>
              <w:tab/>
            </w:r>
            <w:r w:rsidR="00537CB4">
              <w:rPr>
                <w:webHidden/>
              </w:rPr>
              <w:fldChar w:fldCharType="begin"/>
            </w:r>
            <w:r w:rsidR="00537CB4">
              <w:rPr>
                <w:webHidden/>
              </w:rPr>
              <w:instrText xml:space="preserve"> PAGEREF _Toc429515330 \h </w:instrText>
            </w:r>
            <w:r w:rsidR="00537CB4">
              <w:rPr>
                <w:webHidden/>
              </w:rPr>
            </w:r>
            <w:r w:rsidR="00537CB4">
              <w:rPr>
                <w:webHidden/>
              </w:rPr>
              <w:fldChar w:fldCharType="separate"/>
            </w:r>
            <w:r w:rsidR="00F74BE6">
              <w:rPr>
                <w:webHidden/>
              </w:rPr>
              <w:t>8</w:t>
            </w:r>
            <w:r w:rsidR="00537CB4">
              <w:rPr>
                <w:webHidden/>
              </w:rPr>
              <w:fldChar w:fldCharType="end"/>
            </w:r>
          </w:hyperlink>
        </w:p>
        <w:p w:rsidR="00F05C4B" w:rsidRDefault="00035F37" w:rsidP="00E567BD">
          <w:pPr>
            <w:pStyle w:val="TOC1"/>
            <w:rPr>
              <w:rFonts w:eastAsiaTheme="minorEastAsia"/>
              <w:noProof/>
              <w:sz w:val="22"/>
              <w:szCs w:val="22"/>
            </w:rPr>
          </w:pPr>
          <w:hyperlink w:anchor="_Toc429515331" w:history="1">
            <w:r w:rsidR="00537CB4" w:rsidRPr="00E567BD">
              <w:rPr>
                <w:rStyle w:val="Hyperlink"/>
                <w:rFonts w:ascii="Arial" w:hAnsi="Arial" w:cs="Arial"/>
                <w:b/>
                <w:noProof/>
              </w:rPr>
              <w:t>II.</w:t>
            </w:r>
            <w:r w:rsidR="00537CB4" w:rsidRPr="00E567BD">
              <w:rPr>
                <w:rFonts w:eastAsiaTheme="minorEastAsia"/>
                <w:b/>
                <w:noProof/>
                <w:sz w:val="22"/>
                <w:szCs w:val="22"/>
              </w:rPr>
              <w:tab/>
            </w:r>
            <w:r w:rsidR="00537CB4" w:rsidRPr="00E567BD">
              <w:rPr>
                <w:rStyle w:val="Hyperlink"/>
                <w:rFonts w:ascii="Arial" w:hAnsi="Arial" w:cs="Arial"/>
                <w:b/>
                <w:noProof/>
              </w:rPr>
              <w:t>CONCLUSION</w:t>
            </w:r>
            <w:r w:rsidR="00537CB4">
              <w:rPr>
                <w:noProof/>
                <w:webHidden/>
              </w:rPr>
              <w:tab/>
            </w:r>
            <w:r w:rsidR="00537CB4" w:rsidRPr="00E663DA">
              <w:rPr>
                <w:rFonts w:ascii="Arial" w:hAnsi="Arial" w:cs="Arial"/>
                <w:noProof/>
                <w:webHidden/>
              </w:rPr>
              <w:fldChar w:fldCharType="begin"/>
            </w:r>
            <w:r w:rsidR="00537CB4" w:rsidRPr="00E663DA">
              <w:rPr>
                <w:rFonts w:ascii="Arial" w:hAnsi="Arial" w:cs="Arial"/>
                <w:noProof/>
                <w:webHidden/>
              </w:rPr>
              <w:instrText xml:space="preserve"> PAGEREF _Toc429515331 \h </w:instrText>
            </w:r>
            <w:r w:rsidR="00537CB4" w:rsidRPr="00E663DA">
              <w:rPr>
                <w:rFonts w:ascii="Arial" w:hAnsi="Arial" w:cs="Arial"/>
                <w:noProof/>
                <w:webHidden/>
              </w:rPr>
            </w:r>
            <w:r w:rsidR="00537CB4" w:rsidRPr="00E663DA">
              <w:rPr>
                <w:rFonts w:ascii="Arial" w:hAnsi="Arial" w:cs="Arial"/>
                <w:noProof/>
                <w:webHidden/>
              </w:rPr>
              <w:fldChar w:fldCharType="separate"/>
            </w:r>
            <w:r w:rsidR="00F74BE6">
              <w:rPr>
                <w:rFonts w:ascii="Arial" w:hAnsi="Arial" w:cs="Arial"/>
                <w:noProof/>
                <w:webHidden/>
              </w:rPr>
              <w:t>9</w:t>
            </w:r>
            <w:r w:rsidR="00537CB4" w:rsidRPr="00E663DA">
              <w:rPr>
                <w:rFonts w:ascii="Arial" w:hAnsi="Arial" w:cs="Arial"/>
                <w:noProof/>
                <w:webHidden/>
              </w:rPr>
              <w:fldChar w:fldCharType="end"/>
            </w:r>
          </w:hyperlink>
        </w:p>
        <w:p w:rsidR="00F05C4B" w:rsidRDefault="00537CB4">
          <w:r>
            <w:rPr>
              <w:rFonts w:ascii="Arial" w:hAnsi="Arial" w:cs="Arial"/>
              <w:b/>
              <w:bCs/>
              <w:noProof/>
            </w:rPr>
            <w:fldChar w:fldCharType="end"/>
          </w:r>
        </w:p>
      </w:sdtContent>
    </w:sdt>
    <w:p w:rsidR="00F05C4B" w:rsidRDefault="00F05C4B">
      <w:pPr>
        <w:pStyle w:val="Title"/>
        <w:tabs>
          <w:tab w:val="left" w:pos="4320"/>
        </w:tabs>
        <w:rPr>
          <w:sz w:val="28"/>
        </w:rPr>
        <w:sectPr w:rsidR="00F05C4B">
          <w:pgSz w:w="12240" w:h="15840" w:code="1"/>
          <w:pgMar w:top="1440" w:right="1440" w:bottom="1440" w:left="1440" w:header="720" w:footer="720" w:gutter="0"/>
          <w:pgNumType w:fmt="lowerRoman" w:start="1"/>
          <w:cols w:space="720"/>
          <w:docGrid w:linePitch="360"/>
        </w:sectPr>
      </w:pPr>
    </w:p>
    <w:p w:rsidR="00F05C4B" w:rsidRDefault="00537CB4">
      <w:pPr>
        <w:pStyle w:val="Title"/>
        <w:tabs>
          <w:tab w:val="left" w:pos="4320"/>
        </w:tabs>
        <w:rPr>
          <w:sz w:val="28"/>
        </w:rPr>
      </w:pPr>
      <w:r>
        <w:rPr>
          <w:sz w:val="28"/>
        </w:rPr>
        <w:lastRenderedPageBreak/>
        <w:t>Before</w:t>
      </w:r>
    </w:p>
    <w:p w:rsidR="00F05C4B" w:rsidRDefault="00537CB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F05C4B" w:rsidRDefault="00F05C4B">
      <w:pPr>
        <w:autoSpaceDE w:val="0"/>
        <w:autoSpaceDN w:val="0"/>
        <w:adjustRightInd w:val="0"/>
        <w:rPr>
          <w:rFonts w:ascii="Arial" w:eastAsiaTheme="minorHAnsi" w:hAnsi="Arial" w:cs="Arial"/>
        </w:rPr>
      </w:pPr>
    </w:p>
    <w:p w:rsidR="00F05C4B" w:rsidRDefault="00537CB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In the Matter of the Application of the </w:t>
      </w:r>
      <w:r>
        <w:rPr>
          <w:rFonts w:ascii="Arial" w:eastAsiaTheme="minorHAnsi" w:hAnsi="Arial" w:cs="Arial"/>
        </w:rPr>
        <w:tab/>
        <w:t>)</w:t>
      </w:r>
    </w:p>
    <w:p w:rsidR="00F05C4B" w:rsidRDefault="00537CB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Ohio Development Services Agency</w:t>
      </w:r>
      <w:r>
        <w:rPr>
          <w:rFonts w:ascii="Arial" w:eastAsiaTheme="minorHAnsi" w:hAnsi="Arial" w:cs="Arial"/>
        </w:rPr>
        <w:tab/>
        <w:t>)</w:t>
      </w:r>
    </w:p>
    <w:p w:rsidR="00F05C4B" w:rsidRDefault="00537CB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for an Order Approving Adjustments</w:t>
      </w:r>
      <w:r>
        <w:rPr>
          <w:rFonts w:ascii="Arial" w:eastAsiaTheme="minorHAnsi" w:hAnsi="Arial" w:cs="Arial"/>
        </w:rPr>
        <w:tab/>
        <w:t>)</w:t>
      </w:r>
      <w:r>
        <w:rPr>
          <w:rFonts w:ascii="Arial" w:eastAsiaTheme="minorHAnsi" w:hAnsi="Arial" w:cs="Arial"/>
        </w:rPr>
        <w:tab/>
        <w:t>Case No. 15-1046-EL-USF</w:t>
      </w:r>
    </w:p>
    <w:p w:rsidR="00F05C4B" w:rsidRDefault="00537CB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to the Universal Service Fund Riders of </w:t>
      </w:r>
      <w:r>
        <w:rPr>
          <w:rFonts w:ascii="Arial" w:eastAsiaTheme="minorHAnsi" w:hAnsi="Arial" w:cs="Arial"/>
        </w:rPr>
        <w:tab/>
        <w:t>)</w:t>
      </w:r>
    </w:p>
    <w:p w:rsidR="00F05C4B" w:rsidRDefault="00537CB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Jurisdictional Ohio Electric Distribution </w:t>
      </w:r>
      <w:r>
        <w:rPr>
          <w:rFonts w:ascii="Arial" w:eastAsiaTheme="minorHAnsi" w:hAnsi="Arial" w:cs="Arial"/>
        </w:rPr>
        <w:tab/>
        <w:t>)</w:t>
      </w:r>
    </w:p>
    <w:p w:rsidR="00F05C4B" w:rsidRDefault="00537CB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Utilities.</w:t>
      </w:r>
      <w:r>
        <w:rPr>
          <w:rFonts w:ascii="Arial" w:eastAsiaTheme="minorHAnsi" w:hAnsi="Arial" w:cs="Arial"/>
        </w:rPr>
        <w:tab/>
        <w:t>)</w:t>
      </w:r>
    </w:p>
    <w:p w:rsidR="00F05C4B" w:rsidRDefault="00F05C4B">
      <w:pPr>
        <w:pStyle w:val="BodyText"/>
        <w:tabs>
          <w:tab w:val="left" w:pos="5040"/>
        </w:tabs>
        <w:rPr>
          <w:sz w:val="28"/>
        </w:rPr>
      </w:pPr>
    </w:p>
    <w:p w:rsidR="00F05C4B" w:rsidRDefault="00F05C4B">
      <w:pPr>
        <w:pBdr>
          <w:top w:val="single" w:sz="12" w:space="1" w:color="auto"/>
        </w:pBdr>
        <w:jc w:val="center"/>
        <w:rPr>
          <w:rFonts w:ascii="Arial" w:hAnsi="Arial" w:cs="Arial"/>
          <w:sz w:val="20"/>
          <w:szCs w:val="20"/>
        </w:rPr>
      </w:pPr>
    </w:p>
    <w:p w:rsidR="00F05C4B" w:rsidRDefault="00537CB4">
      <w:pPr>
        <w:jc w:val="center"/>
        <w:rPr>
          <w:rFonts w:ascii="Arial Bold" w:hAnsi="Arial Bold" w:cs="Arial"/>
          <w:b/>
          <w:smallCaps/>
          <w:sz w:val="28"/>
          <w:szCs w:val="28"/>
        </w:rPr>
      </w:pPr>
      <w:r>
        <w:rPr>
          <w:rFonts w:ascii="Arial Bold" w:hAnsi="Arial Bold" w:cs="Arial"/>
          <w:b/>
          <w:smallCaps/>
          <w:sz w:val="28"/>
          <w:szCs w:val="28"/>
        </w:rPr>
        <w:t>Reply Brief of</w:t>
      </w:r>
    </w:p>
    <w:p w:rsidR="00F05C4B" w:rsidRDefault="00537CB4">
      <w:pPr>
        <w:jc w:val="center"/>
        <w:rPr>
          <w:rFonts w:ascii="Arial Bold" w:hAnsi="Arial Bold" w:cs="Arial"/>
          <w:b/>
          <w:smallCaps/>
          <w:sz w:val="28"/>
          <w:szCs w:val="28"/>
        </w:rPr>
      </w:pPr>
      <w:r>
        <w:rPr>
          <w:rFonts w:ascii="Arial Bold" w:hAnsi="Arial Bold" w:cs="Arial"/>
          <w:b/>
          <w:smallCaps/>
          <w:sz w:val="28"/>
          <w:szCs w:val="28"/>
        </w:rPr>
        <w:t>Industrial Energy Users-Ohio</w:t>
      </w:r>
    </w:p>
    <w:p w:rsidR="00F05C4B" w:rsidRDefault="00F05C4B">
      <w:pPr>
        <w:pStyle w:val="Title"/>
        <w:pBdr>
          <w:bottom w:val="single" w:sz="12" w:space="1" w:color="auto"/>
        </w:pBdr>
        <w:rPr>
          <w:sz w:val="20"/>
          <w:szCs w:val="20"/>
          <w:u w:val="single"/>
        </w:rPr>
      </w:pPr>
    </w:p>
    <w:p w:rsidR="00F05C4B" w:rsidRDefault="00F05C4B">
      <w:pPr>
        <w:spacing w:line="480" w:lineRule="auto"/>
        <w:jc w:val="both"/>
        <w:rPr>
          <w:rFonts w:ascii="Arial" w:hAnsi="Arial" w:cs="Arial"/>
        </w:rPr>
      </w:pPr>
    </w:p>
    <w:p w:rsidR="00F05C4B" w:rsidRDefault="00537CB4">
      <w:pPr>
        <w:spacing w:line="480" w:lineRule="auto"/>
        <w:jc w:val="both"/>
        <w:rPr>
          <w:rFonts w:ascii="Arial" w:hAnsi="Arial" w:cs="Arial"/>
        </w:rPr>
      </w:pPr>
      <w:r>
        <w:rPr>
          <w:rFonts w:ascii="Arial" w:hAnsi="Arial" w:cs="Arial"/>
        </w:rPr>
        <w:tab/>
        <w:t>The Ohio Development Services Agency (“ODSA”), Industrial Energy Users-Ohio (“IEU-Ohio”), Ohio Edison Company, The Cleveland Electric Illuminating Company, and The Toledo Edison Company (collectively, “FirstEnergy”), and The Dayton Power and Light Company (“DP&amp;L”) have jointly submitted a Stipulation and Recommendation (“Stipulation”) to the Public Utilities Commission of Ohio (“Commission”) that seeks to continue 14 consecutive years of Commission approval of the declining block rate design for purposes of calculating the Universal Service Fund (“USF”) rider rates.  Following the presentation of evidence at the hearing held on August 19, 2015, the Staff of the Commission (“Staff”), the Office of the Ohio Consumers’ Counsel (“OCC”), and Duke Energy Ohio, Inc. (“Duke”) filed letters with the Commission indicating they do not oppose the Stipulation.  As discussed in IEU-Ohio’s Initial Brief, the Stipulation is reasonable, adequately supported by the record, and should be adopted.</w:t>
      </w:r>
      <w:r>
        <w:rPr>
          <w:rFonts w:ascii="Arial" w:hAnsi="Arial" w:cs="Arial"/>
          <w:vertAlign w:val="superscript"/>
        </w:rPr>
        <w:footnoteReference w:id="1"/>
      </w:r>
    </w:p>
    <w:p w:rsidR="00F05C4B" w:rsidRDefault="00537CB4">
      <w:pPr>
        <w:spacing w:line="480" w:lineRule="auto"/>
        <w:jc w:val="both"/>
        <w:rPr>
          <w:rFonts w:ascii="Arial" w:hAnsi="Arial" w:cs="Arial"/>
        </w:rPr>
      </w:pPr>
      <w:r>
        <w:rPr>
          <w:rFonts w:ascii="Arial" w:hAnsi="Arial" w:cs="Arial"/>
        </w:rPr>
        <w:tab/>
        <w:t>Only two parties filed briefs opposing the Stipulation.  Neither party has presented the Commission with a basis to reject the Stipulation.</w:t>
      </w:r>
    </w:p>
    <w:p w:rsidR="00F05C4B" w:rsidRDefault="00537CB4">
      <w:pPr>
        <w:spacing w:line="480" w:lineRule="auto"/>
        <w:jc w:val="both"/>
        <w:rPr>
          <w:rFonts w:ascii="Arial" w:hAnsi="Arial" w:cs="Arial"/>
        </w:rPr>
      </w:pPr>
      <w:r>
        <w:rPr>
          <w:rFonts w:ascii="Arial" w:hAnsi="Arial" w:cs="Arial"/>
        </w:rPr>
        <w:lastRenderedPageBreak/>
        <w:tab/>
        <w:t>Ohio Partners for Affordable Energy (“OPAE”) requests that the Commission reject the Stipulation because it recommends the Commission authorize the continued use of a declining block rate design methodology to calculate the USF rider rates.  OPAE claims that the declining block rate design methodology violates R.C. 4928.52(C) because it “shifts costs from a subset of very large industrial customers to all other customers.”</w:t>
      </w:r>
      <w:r>
        <w:rPr>
          <w:rStyle w:val="FootnoteReference"/>
          <w:rFonts w:ascii="Arial" w:eastAsiaTheme="majorEastAsia" w:hAnsi="Arial" w:cs="Arial"/>
        </w:rPr>
        <w:footnoteReference w:id="2"/>
      </w:r>
      <w:r>
        <w:rPr>
          <w:rFonts w:ascii="Arial" w:hAnsi="Arial" w:cs="Arial"/>
        </w:rPr>
        <w:t xml:space="preserve">  OPAE requests that the Commission adopt a uniform per kilowatt-hour (“kWh”) rate design in its place.  </w:t>
      </w:r>
    </w:p>
    <w:p w:rsidR="00F05C4B" w:rsidRDefault="00537CB4">
      <w:pPr>
        <w:spacing w:line="480" w:lineRule="auto"/>
        <w:jc w:val="both"/>
        <w:rPr>
          <w:rFonts w:ascii="Arial" w:hAnsi="Arial" w:cs="Arial"/>
        </w:rPr>
      </w:pPr>
      <w:r>
        <w:rPr>
          <w:rFonts w:ascii="Arial" w:hAnsi="Arial" w:cs="Arial"/>
        </w:rPr>
        <w:tab/>
        <w:t>Irrespective of the errors embedded in OPAE’s claims and testimony, and there are many as explained in IEU-Ohio’s Initial Brief including OPAE’s flip-flopping regarding the declining block rate design, the relief OPAE seeks is barred by R.C. 4928.52.  More specifically, the uniform per kWh rate design outcome OPAE seeks would result in a reduction in a portion of the USF charges, which the Commission may not order without the consent of the Director of ODSA who must first consult with the Public Benefits Advisory Board (“Advisory Board”).</w:t>
      </w:r>
      <w:r>
        <w:rPr>
          <w:rStyle w:val="FootnoteReference"/>
          <w:rFonts w:ascii="Arial" w:eastAsiaTheme="majorEastAsia" w:hAnsi="Arial" w:cs="Arial"/>
        </w:rPr>
        <w:footnoteReference w:id="3"/>
      </w:r>
      <w:r>
        <w:rPr>
          <w:rFonts w:ascii="Arial" w:hAnsi="Arial" w:cs="Arial"/>
        </w:rPr>
        <w:t xml:space="preserve">  Accordingly, there is no evidence in the record to grant OPAE the relief it seeks.</w:t>
      </w:r>
    </w:p>
    <w:p w:rsidR="00F05C4B" w:rsidRDefault="00537CB4">
      <w:pPr>
        <w:spacing w:line="480" w:lineRule="auto"/>
        <w:jc w:val="both"/>
        <w:rPr>
          <w:rFonts w:ascii="Arial" w:hAnsi="Arial" w:cs="Arial"/>
        </w:rPr>
      </w:pPr>
      <w:r>
        <w:rPr>
          <w:rFonts w:ascii="Arial" w:hAnsi="Arial" w:cs="Arial"/>
        </w:rPr>
        <w:tab/>
        <w:t>Ohio Power Company (“AEP-Ohio”) also opposes the Stipulation and argues that the Stipulation should be modified to merge the USF riders for the Ohio Power (“OP”) and Columbus Southern Power (“CSP”) rate zones.  AEP-Ohio argues that maintaining separate USF riders for the two rate zones perpetuates operational inefficiencies.</w:t>
      </w:r>
      <w:r>
        <w:rPr>
          <w:rStyle w:val="FootnoteReference"/>
          <w:rFonts w:ascii="Arial" w:eastAsiaTheme="majorEastAsia" w:hAnsi="Arial" w:cs="Arial"/>
        </w:rPr>
        <w:footnoteReference w:id="4"/>
      </w:r>
      <w:r>
        <w:rPr>
          <w:rFonts w:ascii="Arial" w:hAnsi="Arial" w:cs="Arial"/>
        </w:rPr>
        <w:t xml:space="preserve">  AEP-Ohio’s witness Mr. Gill, however, was not able to quantify these </w:t>
      </w:r>
      <w:r w:rsidR="00E567BD">
        <w:rPr>
          <w:rFonts w:ascii="Arial" w:hAnsi="Arial" w:cs="Arial"/>
        </w:rPr>
        <w:t>in</w:t>
      </w:r>
      <w:r>
        <w:rPr>
          <w:rFonts w:ascii="Arial" w:hAnsi="Arial" w:cs="Arial"/>
        </w:rPr>
        <w:t xml:space="preserve">efficiencies, admitted that he was not aware of any cost savings from any potential operational </w:t>
      </w:r>
      <w:r>
        <w:rPr>
          <w:rFonts w:ascii="Arial" w:hAnsi="Arial" w:cs="Arial"/>
        </w:rPr>
        <w:lastRenderedPageBreak/>
        <w:t>efficiencies that would be passed on to customers, and was not able to testify whether ODSA’s IT systems were in a position to merge the riders for the two rate zones.</w:t>
      </w:r>
      <w:r>
        <w:rPr>
          <w:rStyle w:val="FootnoteReference"/>
          <w:rFonts w:ascii="Arial" w:eastAsiaTheme="majorEastAsia" w:hAnsi="Arial" w:cs="Arial"/>
        </w:rPr>
        <w:footnoteReference w:id="5"/>
      </w:r>
      <w:r>
        <w:rPr>
          <w:rFonts w:ascii="Arial" w:hAnsi="Arial" w:cs="Arial"/>
        </w:rPr>
        <w:t xml:space="preserve">  Conversely, Ms. Moser testified that ODSA had not completed its internal review to determine what IT or operational upgrades would be necessary to implement AEP-Ohio’s recommendation.</w:t>
      </w:r>
      <w:r>
        <w:rPr>
          <w:rStyle w:val="FootnoteReference"/>
          <w:rFonts w:ascii="Arial" w:eastAsiaTheme="majorEastAsia" w:hAnsi="Arial" w:cs="Arial"/>
        </w:rPr>
        <w:footnoteReference w:id="6"/>
      </w:r>
      <w:r>
        <w:rPr>
          <w:rFonts w:ascii="Arial" w:hAnsi="Arial" w:cs="Arial"/>
        </w:rPr>
        <w:t xml:space="preserve">  Given these uncertainties, AEP-Ohio has failed to demonstrate that its requested modification to the Stipulation is reasonable.</w:t>
      </w:r>
    </w:p>
    <w:p w:rsidR="00F05C4B" w:rsidRDefault="00537CB4">
      <w:pPr>
        <w:spacing w:line="480" w:lineRule="auto"/>
        <w:jc w:val="both"/>
        <w:rPr>
          <w:rFonts w:ascii="Arial" w:hAnsi="Arial" w:cs="Arial"/>
        </w:rPr>
      </w:pPr>
      <w:r>
        <w:rPr>
          <w:rFonts w:ascii="Arial" w:hAnsi="Arial" w:cs="Arial"/>
        </w:rPr>
        <w:tab/>
        <w:t>The relief AEP-Ohio seeks also conflicts with the Commission’s prior findings regarding the funding responsibility for the OP rate zone deferral that is collected through the Phase-In Recovery Rider (“PIRR”).  A portion of the overall funding responsibility for the USF rider in the OP rate zone reflects costs attributable to the PIRR rider that would otherwise be paid for by a Percentage of Income Payment Plan (“PIPP”) customer but for their participation in the PIPP program.  AEP-Ohio’s Initial Brief fails to address the issue and therefore fails to present the Commission with a reasonable or lawful basis to modify its prior finding.  Accordingly, AEP-Ohio has failed to demonstrate that its proposed modification to the Stipulation is reasonable.</w:t>
      </w:r>
    </w:p>
    <w:p w:rsidR="00F05C4B" w:rsidRDefault="00537CB4">
      <w:pPr>
        <w:spacing w:line="480" w:lineRule="auto"/>
        <w:jc w:val="both"/>
        <w:rPr>
          <w:rFonts w:ascii="Arial" w:hAnsi="Arial" w:cs="Arial"/>
        </w:rPr>
      </w:pPr>
      <w:r>
        <w:rPr>
          <w:rFonts w:ascii="Arial" w:hAnsi="Arial" w:cs="Arial"/>
        </w:rPr>
        <w:tab/>
        <w:t>In sum, the Stipulation is reasonable and satisfies the Commission’s 3-part test for reviewing the reasonableness of stipulations and it should therefore be adopted without modification.</w:t>
      </w:r>
    </w:p>
    <w:p w:rsidR="00E567BD" w:rsidRDefault="00E567BD">
      <w:pPr>
        <w:jc w:val="both"/>
        <w:rPr>
          <w:rFonts w:ascii="Arial" w:hAnsi="Arial" w:cs="Arial"/>
        </w:rPr>
      </w:pPr>
      <w:r>
        <w:rPr>
          <w:rFonts w:ascii="Arial" w:hAnsi="Arial" w:cs="Arial"/>
        </w:rPr>
        <w:br w:type="page"/>
      </w:r>
    </w:p>
    <w:p w:rsidR="00F05C4B" w:rsidRDefault="00537CB4">
      <w:pPr>
        <w:pStyle w:val="Heading1"/>
      </w:pPr>
      <w:bookmarkStart w:id="3" w:name="_Toc429515327"/>
      <w:r>
        <w:lastRenderedPageBreak/>
        <w:t>argument</w:t>
      </w:r>
      <w:bookmarkEnd w:id="3"/>
    </w:p>
    <w:p w:rsidR="00F05C4B" w:rsidRDefault="00537CB4">
      <w:pPr>
        <w:pStyle w:val="Heading2"/>
      </w:pPr>
      <w:bookmarkStart w:id="4" w:name="_Toc429515328"/>
      <w:r>
        <w:t>The Commission should reject OPAE’s arguments because the Commission cannot grant OPAE the relief it seeks, the sought relief is unlawful and unreasonable, and OPAE’s arguments are otherwise without merit</w:t>
      </w:r>
      <w:bookmarkEnd w:id="4"/>
    </w:p>
    <w:p w:rsidR="00F05C4B" w:rsidRDefault="00537CB4">
      <w:pPr>
        <w:spacing w:line="480" w:lineRule="auto"/>
        <w:jc w:val="both"/>
        <w:rPr>
          <w:rFonts w:ascii="Arial" w:hAnsi="Arial" w:cs="Arial"/>
        </w:rPr>
      </w:pPr>
      <w:r>
        <w:rPr>
          <w:rFonts w:ascii="Arial" w:hAnsi="Arial" w:cs="Arial"/>
        </w:rPr>
        <w:tab/>
        <w:t>OPAE’s Brief, as supported by its non-expert witness testimony,</w:t>
      </w:r>
      <w:r>
        <w:rPr>
          <w:rStyle w:val="FootnoteReference"/>
          <w:rFonts w:ascii="Arial" w:eastAsiaTheme="majorEastAsia" w:hAnsi="Arial" w:cs="Arial"/>
        </w:rPr>
        <w:footnoteReference w:id="7"/>
      </w:r>
      <w:r>
        <w:rPr>
          <w:rFonts w:ascii="Arial" w:hAnsi="Arial" w:cs="Arial"/>
        </w:rPr>
        <w:t xml:space="preserve"> requests that the Commission adopt a uniform kWh rate design for the USF riders that will lower a portion of the USF rates.</w:t>
      </w:r>
      <w:r>
        <w:rPr>
          <w:rStyle w:val="FootnoteReference"/>
          <w:rFonts w:ascii="Arial" w:eastAsiaTheme="majorEastAsia" w:hAnsi="Arial" w:cs="Arial"/>
        </w:rPr>
        <w:footnoteReference w:id="8"/>
      </w:r>
      <w:r>
        <w:rPr>
          <w:rFonts w:ascii="Arial" w:hAnsi="Arial" w:cs="Arial"/>
        </w:rPr>
        <w:t xml:space="preserve">  The Commission, however, “shall not decrease the universal service rider without the approval of the director, after consultation by the director with the advisory board.”</w:t>
      </w:r>
      <w:r>
        <w:rPr>
          <w:rStyle w:val="FootnoteReference"/>
          <w:rFonts w:ascii="Arial" w:hAnsi="Arial" w:cs="Arial"/>
        </w:rPr>
        <w:footnoteReference w:id="9"/>
      </w:r>
      <w:r>
        <w:rPr>
          <w:rFonts w:ascii="Arial" w:hAnsi="Arial" w:cs="Arial"/>
        </w:rPr>
        <w:t xml:space="preserve">  Nowhere in its Brief does OPAE suggest that the Director of ODSA has consented to such a decrease or that the Director of ODSA consulted with the Advisory Board about decreasing a portion of the USF rider rates.  </w:t>
      </w:r>
    </w:p>
    <w:p w:rsidR="00F05C4B" w:rsidRDefault="00537CB4">
      <w:pPr>
        <w:spacing w:line="480" w:lineRule="auto"/>
        <w:jc w:val="both"/>
        <w:rPr>
          <w:rFonts w:ascii="Arial" w:hAnsi="Arial" w:cs="Arial"/>
        </w:rPr>
      </w:pPr>
      <w:r>
        <w:rPr>
          <w:rFonts w:ascii="Arial" w:hAnsi="Arial" w:cs="Arial"/>
        </w:rPr>
        <w:tab/>
        <w:t>OPAE also claims that the Stipulation violates R.C. 4928.52(C) because the “declining block methodology shifts costs from a subset of very large industrial customers to all other customers.”</w:t>
      </w:r>
      <w:r>
        <w:rPr>
          <w:rStyle w:val="FootnoteReference"/>
          <w:rFonts w:ascii="Arial" w:eastAsiaTheme="majorEastAsia" w:hAnsi="Arial" w:cs="Arial"/>
        </w:rPr>
        <w:footnoteReference w:id="10"/>
      </w:r>
      <w:r>
        <w:rPr>
          <w:rFonts w:ascii="Arial" w:hAnsi="Arial" w:cs="Arial"/>
        </w:rPr>
        <w:t xml:space="preserve">  As demonstrated in IEU-Ohio’s Initial Brief, Mr. Rinebolt is not an expert in the areas of rate design or cost of service studies and, therefore, his testimony, and OPAE’s Brief relying on that testimony, should be stricken or given no weight.</w:t>
      </w:r>
      <w:r>
        <w:rPr>
          <w:rStyle w:val="FootnoteReference"/>
          <w:rFonts w:ascii="Arial" w:eastAsiaTheme="majorEastAsia" w:hAnsi="Arial" w:cs="Arial"/>
        </w:rPr>
        <w:footnoteReference w:id="11"/>
      </w:r>
      <w:r>
        <w:rPr>
          <w:rFonts w:ascii="Arial" w:hAnsi="Arial" w:cs="Arial"/>
        </w:rPr>
        <w:t xml:space="preserve">  Furthermore, Mr. Rinebolt’s testimony fails to demonstrate that the declining block rate design violates, or that its requested uniform kWh methodology satisfies, the command in R.C. 4928.52(C) that the Commission establish the USF riders in a manner “so as not to shift among the customer classes” the USF funding </w:t>
      </w:r>
      <w:r>
        <w:rPr>
          <w:rFonts w:ascii="Arial" w:hAnsi="Arial" w:cs="Arial"/>
        </w:rPr>
        <w:lastRenderedPageBreak/>
        <w:t>responsibility.</w:t>
      </w:r>
      <w:r>
        <w:rPr>
          <w:rStyle w:val="FootnoteReference"/>
          <w:rFonts w:ascii="Arial" w:eastAsiaTheme="majorEastAsia" w:hAnsi="Arial" w:cs="Arial"/>
        </w:rPr>
        <w:footnoteReference w:id="12"/>
      </w:r>
      <w:r>
        <w:rPr>
          <w:rFonts w:ascii="Arial" w:hAnsi="Arial" w:cs="Arial"/>
        </w:rPr>
        <w:t xml:space="preserve">  Mr. Rinebolt’s testimony does not contain any analysis relative to any customer class or utility rate schedule.</w:t>
      </w:r>
      <w:r>
        <w:rPr>
          <w:rStyle w:val="FootnoteReference"/>
          <w:rFonts w:ascii="Arial" w:eastAsiaTheme="majorEastAsia" w:hAnsi="Arial" w:cs="Arial"/>
        </w:rPr>
        <w:footnoteReference w:id="13"/>
      </w:r>
      <w:r>
        <w:rPr>
          <w:rFonts w:ascii="Arial" w:hAnsi="Arial" w:cs="Arial"/>
        </w:rPr>
        <w:t xml:space="preserve">  </w:t>
      </w:r>
    </w:p>
    <w:p w:rsidR="00F05C4B" w:rsidRDefault="00537CB4">
      <w:pPr>
        <w:spacing w:line="480" w:lineRule="auto"/>
        <w:jc w:val="both"/>
        <w:rPr>
          <w:rFonts w:ascii="Arial" w:hAnsi="Arial" w:cs="Arial"/>
        </w:rPr>
      </w:pPr>
      <w:r>
        <w:rPr>
          <w:rFonts w:ascii="Arial" w:hAnsi="Arial" w:cs="Arial"/>
        </w:rPr>
        <w:tab/>
        <w:t>Accordingly, the evidence demonstrates that the relief OPAE seeks is beyond that which the Commission may authorize in this proceeding.  The best means for the Commission to prevent a cost-shift among customer classes, and the only outcome supported by the record, is to maintain the declining block rate design methodology used to determine the USF rider rates for the past 14 years.</w:t>
      </w:r>
    </w:p>
    <w:p w:rsidR="00F05C4B" w:rsidRDefault="00537CB4">
      <w:pPr>
        <w:spacing w:line="480" w:lineRule="auto"/>
        <w:jc w:val="both"/>
        <w:rPr>
          <w:rFonts w:ascii="Arial" w:hAnsi="Arial" w:cs="Arial"/>
        </w:rPr>
      </w:pPr>
      <w:r>
        <w:rPr>
          <w:rFonts w:ascii="Arial" w:hAnsi="Arial" w:cs="Arial"/>
        </w:rPr>
        <w:tab/>
        <w:t>Furthermore, and as discussed further in IEU-Ohio’s Initial Brief, OPAE’s arguments against the declining block rate design and for the uniform kWh methodology are without merit.  The Commission has on at least five occasions explicitly rejected OPAE’s arguments advancing a volumetric rate design to collect costs unrelated to consumption.</w:t>
      </w:r>
      <w:r>
        <w:rPr>
          <w:rStyle w:val="FootnoteReference"/>
          <w:rFonts w:ascii="Arial" w:eastAsiaTheme="majorEastAsia" w:hAnsi="Arial" w:cs="Arial"/>
        </w:rPr>
        <w:footnoteReference w:id="14"/>
      </w:r>
      <w:r>
        <w:rPr>
          <w:rFonts w:ascii="Arial" w:hAnsi="Arial" w:cs="Arial"/>
        </w:rPr>
        <w:t xml:space="preserve">  OPAE fails to address the Commission’s precedent or distinguish its current request from its previously rejected arguments in its Brief.</w:t>
      </w:r>
    </w:p>
    <w:p w:rsidR="00F05C4B" w:rsidRDefault="00537CB4">
      <w:pPr>
        <w:spacing w:line="480" w:lineRule="auto"/>
        <w:jc w:val="both"/>
        <w:rPr>
          <w:rFonts w:ascii="Arial" w:hAnsi="Arial" w:cs="Arial"/>
        </w:rPr>
      </w:pPr>
      <w:r>
        <w:rPr>
          <w:rFonts w:ascii="Arial" w:hAnsi="Arial" w:cs="Arial"/>
        </w:rPr>
        <w:tab/>
        <w:t>Finally, OPAE has not rebutted the evidence that demonstrates the Stipulation is reasonable and satisfies the Commission’s 3-part test for reviewing the reasonableness of stipulations.  OPAE initially attempts to distract attention from its lack of evidence by focusing on the Notice of Intent (“NOI”) process that was first recommended in 2004.</w:t>
      </w:r>
      <w:r>
        <w:rPr>
          <w:rStyle w:val="FootnoteReference"/>
          <w:rFonts w:ascii="Arial" w:eastAsiaTheme="majorEastAsia" w:hAnsi="Arial" w:cs="Arial"/>
        </w:rPr>
        <w:footnoteReference w:id="15"/>
      </w:r>
      <w:r>
        <w:rPr>
          <w:rFonts w:ascii="Arial" w:hAnsi="Arial" w:cs="Arial"/>
        </w:rPr>
        <w:t xml:space="preserve">  OPAE’s recitation of the history of the NOI process and OPAE’s reliance on the 2004 stipulation are irrelevant as the NOI process for this case was established in the Commission’s Opinion and Order in the 2014 USF case, and the Commission-ordered </w:t>
      </w:r>
      <w:r>
        <w:rPr>
          <w:rFonts w:ascii="Arial" w:hAnsi="Arial" w:cs="Arial"/>
        </w:rPr>
        <w:lastRenderedPageBreak/>
        <w:t>NOI process has been followed.</w:t>
      </w:r>
      <w:r>
        <w:rPr>
          <w:rStyle w:val="FootnoteReference"/>
          <w:rFonts w:ascii="Arial" w:eastAsiaTheme="majorEastAsia" w:hAnsi="Arial" w:cs="Arial"/>
        </w:rPr>
        <w:footnoteReference w:id="16"/>
      </w:r>
      <w:r>
        <w:rPr>
          <w:rFonts w:ascii="Arial" w:hAnsi="Arial" w:cs="Arial"/>
        </w:rPr>
        <w:t xml:space="preserve">  OPAE had</w:t>
      </w:r>
      <w:r w:rsidR="00E567BD">
        <w:rPr>
          <w:rFonts w:ascii="Arial" w:hAnsi="Arial" w:cs="Arial"/>
        </w:rPr>
        <w:t>,</w:t>
      </w:r>
      <w:r>
        <w:rPr>
          <w:rFonts w:ascii="Arial" w:hAnsi="Arial" w:cs="Arial"/>
        </w:rPr>
        <w:t xml:space="preserve"> and used</w:t>
      </w:r>
      <w:r w:rsidR="00E567BD">
        <w:rPr>
          <w:rFonts w:ascii="Arial" w:hAnsi="Arial" w:cs="Arial"/>
        </w:rPr>
        <w:t>,</w:t>
      </w:r>
      <w:r>
        <w:rPr>
          <w:rFonts w:ascii="Arial" w:hAnsi="Arial" w:cs="Arial"/>
        </w:rPr>
        <w:t xml:space="preserve"> the opportunity to file objections, present testimony, participate in a hearing, and file post-hearing briefs.  OPAE’s process claims should be rejected as nothing more than an attempt to distract attention from its inability to put forward a credible case on the merits.</w:t>
      </w:r>
    </w:p>
    <w:p w:rsidR="00F05C4B" w:rsidRDefault="00537CB4">
      <w:pPr>
        <w:spacing w:line="480" w:lineRule="auto"/>
        <w:jc w:val="both"/>
        <w:rPr>
          <w:rFonts w:ascii="Arial" w:hAnsi="Arial" w:cs="Arial"/>
        </w:rPr>
      </w:pPr>
      <w:r>
        <w:rPr>
          <w:rFonts w:ascii="Arial" w:hAnsi="Arial" w:cs="Arial"/>
        </w:rPr>
        <w:tab/>
        <w:t>Although OPAE’s witness did not address the Commission’s 3-part test, in its Brief OPAE argues that the Stipulation fails all 3 parts.  Initially, OPAE makes the incredulous claim that it was unaware of any settlement negotiations occurring in this case and claims that no evidence was presented to satisfy the first prong.</w:t>
      </w:r>
      <w:r>
        <w:rPr>
          <w:rStyle w:val="FootnoteReference"/>
          <w:rFonts w:ascii="Arial" w:eastAsiaTheme="majorEastAsia" w:hAnsi="Arial" w:cs="Arial"/>
        </w:rPr>
        <w:footnoteReference w:id="17"/>
      </w:r>
      <w:r>
        <w:rPr>
          <w:rFonts w:ascii="Arial" w:hAnsi="Arial" w:cs="Arial"/>
        </w:rPr>
        <w:t xml:space="preserve">  OPAE then leaps to conclude there was no serious bargaining among capable, knowledgeable parties.</w:t>
      </w:r>
      <w:r>
        <w:rPr>
          <w:rFonts w:ascii="Arial" w:hAnsi="Arial" w:cs="Arial"/>
          <w:vertAlign w:val="superscript"/>
        </w:rPr>
        <w:footnoteReference w:id="18"/>
      </w:r>
    </w:p>
    <w:p w:rsidR="00F05C4B" w:rsidRDefault="00537CB4">
      <w:pPr>
        <w:spacing w:line="480" w:lineRule="auto"/>
        <w:jc w:val="both"/>
        <w:rPr>
          <w:rFonts w:ascii="Arial" w:hAnsi="Arial" w:cs="Arial"/>
        </w:rPr>
      </w:pPr>
      <w:r>
        <w:rPr>
          <w:rFonts w:ascii="Arial" w:hAnsi="Arial" w:cs="Arial"/>
        </w:rPr>
        <w:tab/>
        <w:t>OPAE’s assertions are contradicted by its Initial Brief and the record.  More specifically, OPAE acknowledges that ODSA presented evidence on the first part in the form of Ms. Moser’s direct testimony, which indicates that the Stipulation was the product of serious bargaining.</w:t>
      </w:r>
      <w:r>
        <w:rPr>
          <w:rFonts w:ascii="Arial" w:hAnsi="Arial" w:cs="Arial"/>
          <w:vertAlign w:val="superscript"/>
        </w:rPr>
        <w:footnoteReference w:id="19"/>
      </w:r>
      <w:r>
        <w:rPr>
          <w:rFonts w:ascii="Arial" w:hAnsi="Arial" w:cs="Arial"/>
        </w:rPr>
        <w:t xml:space="preserve">  AEP-Ohio witness Gill also testified that ODSA had circulated draft stipulations and engaged in settlement talks with AEP-Ohio.</w:t>
      </w:r>
      <w:r>
        <w:rPr>
          <w:rStyle w:val="FootnoteReference"/>
          <w:rFonts w:ascii="Arial" w:eastAsiaTheme="majorEastAsia" w:hAnsi="Arial" w:cs="Arial"/>
        </w:rPr>
        <w:footnoteReference w:id="20"/>
      </w:r>
      <w:r>
        <w:rPr>
          <w:rFonts w:ascii="Arial" w:hAnsi="Arial" w:cs="Arial"/>
        </w:rPr>
        <w:t xml:space="preserve"> Additionally, and in lieu of holding an additional day of hearing on the issue of bargaining, AEP-Ohio (the only party that raised the issue of serious bargaining during the evidentiary hearing) and ODSA filed a joint stipulation of facts highlighting some of </w:t>
      </w:r>
      <w:r>
        <w:rPr>
          <w:rFonts w:ascii="Arial" w:hAnsi="Arial" w:cs="Arial"/>
        </w:rPr>
        <w:lastRenderedPageBreak/>
        <w:t>the bargaining that took place prior to the submission of the Stipulation.</w:t>
      </w:r>
      <w:r>
        <w:rPr>
          <w:rFonts w:ascii="Arial" w:hAnsi="Arial" w:cs="Arial"/>
          <w:vertAlign w:val="superscript"/>
        </w:rPr>
        <w:footnoteReference w:id="21"/>
      </w:r>
      <w:r>
        <w:rPr>
          <w:rFonts w:ascii="Arial" w:hAnsi="Arial" w:cs="Arial"/>
        </w:rPr>
        <w:t xml:space="preserve">  Further, OPAE has participated in 13 of the 14 annual USF cases, is aware that every single prior USF case has been resolved by way of settlement, and was notified that ODSA would be filing the NOI application through its participation on the Advisory Board.</w:t>
      </w:r>
      <w:r>
        <w:rPr>
          <w:rStyle w:val="FootnoteReference"/>
          <w:rFonts w:ascii="Arial" w:eastAsiaTheme="majorEastAsia" w:hAnsi="Arial" w:cs="Arial"/>
        </w:rPr>
        <w:footnoteReference w:id="22"/>
      </w:r>
      <w:r>
        <w:rPr>
          <w:rFonts w:ascii="Arial" w:hAnsi="Arial" w:cs="Arial"/>
        </w:rPr>
        <w:t xml:space="preserve">  Accordingly, OPAE’s claim that there is no evidence to support a finding that there was serious bargaining and its claim that it was unaware that settlement negotiations were occurring are without merit and should be rejected.</w:t>
      </w:r>
    </w:p>
    <w:p w:rsidR="00F05C4B" w:rsidRDefault="00537CB4">
      <w:pPr>
        <w:spacing w:line="480" w:lineRule="auto"/>
        <w:jc w:val="both"/>
        <w:rPr>
          <w:rFonts w:ascii="Arial" w:hAnsi="Arial" w:cs="Arial"/>
        </w:rPr>
      </w:pPr>
      <w:r>
        <w:rPr>
          <w:rFonts w:ascii="Arial" w:hAnsi="Arial" w:cs="Arial"/>
        </w:rPr>
        <w:tab/>
        <w:t xml:space="preserve">OPAE also failed to rebut the evidence that demonstrates that the Stipulation satisfies the second and third parts of the Commission’s test.  </w:t>
      </w:r>
    </w:p>
    <w:p w:rsidR="00F05C4B" w:rsidRDefault="00537CB4" w:rsidP="00E567BD">
      <w:pPr>
        <w:spacing w:line="480" w:lineRule="auto"/>
        <w:ind w:firstLine="720"/>
        <w:jc w:val="both"/>
        <w:rPr>
          <w:rFonts w:ascii="Arial" w:hAnsi="Arial" w:cs="Arial"/>
        </w:rPr>
      </w:pPr>
      <w:r>
        <w:rPr>
          <w:rFonts w:ascii="Arial" w:hAnsi="Arial" w:cs="Arial"/>
        </w:rPr>
        <w:t>Although OPAE has previously represented to the Commission that the declining block rate design methodology is lawful and reasonable</w:t>
      </w:r>
      <w:r w:rsidR="00E567BD">
        <w:rPr>
          <w:rFonts w:ascii="Arial" w:hAnsi="Arial" w:cs="Arial"/>
        </w:rPr>
        <w:t>,</w:t>
      </w:r>
      <w:r>
        <w:rPr>
          <w:rFonts w:ascii="Arial" w:hAnsi="Arial" w:cs="Arial"/>
        </w:rPr>
        <w:t xml:space="preserve"> OPAE now asserts otherwise in its Brief.</w:t>
      </w:r>
      <w:r>
        <w:rPr>
          <w:rStyle w:val="FootnoteReference"/>
          <w:rFonts w:ascii="Arial" w:eastAsiaTheme="majorEastAsia" w:hAnsi="Arial" w:cs="Arial"/>
        </w:rPr>
        <w:footnoteReference w:id="23"/>
      </w:r>
      <w:r>
        <w:rPr>
          <w:rFonts w:ascii="Arial" w:hAnsi="Arial" w:cs="Arial"/>
        </w:rPr>
        <w:t xml:space="preserve">  The Commission must reject OPAE’s arguments; arguments that are in direct conflict with OPAE’s prior representations to the Commission, in direct conflict with the Commission’s prior rulings, rest upon opinions of Mr. Rinebolt who admitted that he is not an expert on the subjects discussed in his testimony, and are arguments that amount to a collateral attack on a prior Commission order approving the declining block rate design.</w:t>
      </w:r>
      <w:r>
        <w:rPr>
          <w:rStyle w:val="FootnoteReference"/>
          <w:rFonts w:ascii="Arial" w:eastAsiaTheme="majorEastAsia" w:hAnsi="Arial" w:cs="Arial"/>
        </w:rPr>
        <w:footnoteReference w:id="24"/>
      </w:r>
      <w:r>
        <w:rPr>
          <w:rFonts w:ascii="Arial" w:hAnsi="Arial" w:cs="Arial"/>
        </w:rPr>
        <w:t xml:space="preserve"> </w:t>
      </w:r>
    </w:p>
    <w:p w:rsidR="00E567BD" w:rsidRDefault="00E567BD">
      <w:pPr>
        <w:jc w:val="both"/>
        <w:rPr>
          <w:rFonts w:ascii="Arial" w:hAnsi="Arial" w:cs="Arial"/>
        </w:rPr>
      </w:pPr>
      <w:r>
        <w:rPr>
          <w:rFonts w:ascii="Arial" w:hAnsi="Arial" w:cs="Arial"/>
        </w:rPr>
        <w:br w:type="page"/>
      </w:r>
    </w:p>
    <w:p w:rsidR="00F05C4B" w:rsidRDefault="00537CB4">
      <w:pPr>
        <w:pStyle w:val="Heading2"/>
      </w:pPr>
      <w:bookmarkStart w:id="5" w:name="_Toc429515329"/>
      <w:bookmarkStart w:id="6" w:name="_Toc429515330"/>
      <w:bookmarkEnd w:id="5"/>
      <w:r>
        <w:lastRenderedPageBreak/>
        <w:t>The relief AEP-Ohio seeks conflicts with prior Commission orders</w:t>
      </w:r>
      <w:bookmarkEnd w:id="6"/>
    </w:p>
    <w:p w:rsidR="00F05C4B" w:rsidRDefault="00537CB4">
      <w:pPr>
        <w:spacing w:line="480" w:lineRule="auto"/>
        <w:jc w:val="both"/>
        <w:rPr>
          <w:rFonts w:ascii="Arial" w:hAnsi="Arial" w:cs="Arial"/>
        </w:rPr>
      </w:pPr>
      <w:r>
        <w:rPr>
          <w:rFonts w:ascii="Arial" w:hAnsi="Arial" w:cs="Arial"/>
        </w:rPr>
        <w:tab/>
        <w:t>AEP-Ohio urges the Commission to modify the Stipulation and order ODSA to merge the USF riders for the OP and CSP rate zones.  AEP-Ohio’s arguments rely on a claim that merging the riders for the two rate zones will result in operational efficiencies.</w:t>
      </w:r>
      <w:r>
        <w:rPr>
          <w:rStyle w:val="FootnoteReference"/>
          <w:rFonts w:ascii="Arial" w:eastAsiaTheme="majorEastAsia" w:hAnsi="Arial" w:cs="Arial"/>
        </w:rPr>
        <w:footnoteReference w:id="25"/>
      </w:r>
      <w:r>
        <w:rPr>
          <w:rFonts w:ascii="Arial" w:hAnsi="Arial" w:cs="Arial"/>
        </w:rPr>
        <w:t xml:space="preserve">  AEP-Ohio’s witness, however, admitted that he could not quantify these claimed efficiencies and admitted that it was not proposing to pass on any cost savings to customers.</w:t>
      </w:r>
      <w:r>
        <w:rPr>
          <w:rStyle w:val="FootnoteReference"/>
          <w:rFonts w:ascii="Arial" w:eastAsiaTheme="majorEastAsia" w:hAnsi="Arial" w:cs="Arial"/>
        </w:rPr>
        <w:footnoteReference w:id="26"/>
      </w:r>
      <w:r>
        <w:rPr>
          <w:rFonts w:ascii="Arial" w:hAnsi="Arial" w:cs="Arial"/>
        </w:rPr>
        <w:t xml:space="preserve">  ODSA witness Moser also testified that ODSA was conducting an internal review to determine what IT or process upgrades would be necessary to adopt AEP-Ohio’s recommendation.</w:t>
      </w:r>
      <w:r>
        <w:rPr>
          <w:rStyle w:val="FootnoteReference"/>
          <w:rFonts w:ascii="Arial" w:eastAsiaTheme="majorEastAsia" w:hAnsi="Arial" w:cs="Arial"/>
        </w:rPr>
        <w:footnoteReference w:id="27"/>
      </w:r>
      <w:r>
        <w:rPr>
          <w:rFonts w:ascii="Arial" w:hAnsi="Arial" w:cs="Arial"/>
        </w:rPr>
        <w:t xml:space="preserve">  </w:t>
      </w:r>
    </w:p>
    <w:p w:rsidR="00F05C4B" w:rsidRDefault="00537CB4">
      <w:pPr>
        <w:spacing w:line="480" w:lineRule="auto"/>
        <w:jc w:val="both"/>
        <w:rPr>
          <w:rFonts w:ascii="Arial" w:hAnsi="Arial" w:cs="Arial"/>
        </w:rPr>
      </w:pPr>
      <w:r>
        <w:rPr>
          <w:rFonts w:ascii="Arial" w:hAnsi="Arial" w:cs="Arial"/>
        </w:rPr>
        <w:tab/>
        <w:t>Regardless of whether the Commission finds that the evidence demonstrates there would be operational efficiencies from a merger or whether ODSA would be able to technologically implement the recommendation, AEP-Ohio’s Brief fails to demonstrate that its recommendation would comply with prior Commission orders.</w:t>
      </w:r>
      <w:r>
        <w:rPr>
          <w:rStyle w:val="FootnoteReference"/>
          <w:rFonts w:ascii="Arial" w:eastAsiaTheme="majorEastAsia" w:hAnsi="Arial" w:cs="Arial"/>
        </w:rPr>
        <w:footnoteReference w:id="28"/>
      </w:r>
      <w:r>
        <w:rPr>
          <w:rFonts w:ascii="Arial" w:hAnsi="Arial" w:cs="Arial"/>
        </w:rPr>
        <w:t xml:space="preserve">  More specifically, the Commission previously found that the deferral that is collected from the OP rate zone customers through the PIRR should not be collected from CSP rate zone customers because they had already paid their deferral.</w:t>
      </w:r>
      <w:r>
        <w:rPr>
          <w:rStyle w:val="FootnoteReference"/>
          <w:rFonts w:ascii="Arial" w:eastAsiaTheme="majorEastAsia" w:hAnsi="Arial" w:cs="Arial"/>
        </w:rPr>
        <w:footnoteReference w:id="29"/>
      </w:r>
      <w:r>
        <w:rPr>
          <w:rFonts w:ascii="Arial" w:hAnsi="Arial" w:cs="Arial"/>
        </w:rPr>
        <w:t xml:space="preserve">  For every PIPP customer in the OP rate zone, a portion of the PIPP expense that is picked up through the USF rider relates to the PIRR charge.  Merging the two rate zones will cause CSP rate zone customers to pick up a portion of the OP rate zone PIRR charges.</w:t>
      </w:r>
    </w:p>
    <w:p w:rsidR="00F05C4B" w:rsidRDefault="00537CB4">
      <w:pPr>
        <w:spacing w:line="480" w:lineRule="auto"/>
        <w:jc w:val="both"/>
        <w:rPr>
          <w:rFonts w:ascii="Arial" w:hAnsi="Arial" w:cs="Arial"/>
        </w:rPr>
      </w:pPr>
      <w:r>
        <w:rPr>
          <w:rFonts w:ascii="Arial" w:hAnsi="Arial" w:cs="Arial"/>
        </w:rPr>
        <w:lastRenderedPageBreak/>
        <w:tab/>
        <w:t>AEP-Ohio has not provided the Commission with any basis to reverse its prior findings with respect to CSP rate zone customers not paying for the OP rate zone deferral collected through the PIRR charge.  Accordingly, the Commission should reject, without prejudice, AEP-Ohio’s proposed modification to the Stipulation.</w:t>
      </w:r>
    </w:p>
    <w:p w:rsidR="00F05C4B" w:rsidRDefault="00537CB4">
      <w:pPr>
        <w:pStyle w:val="Heading1"/>
      </w:pPr>
      <w:bookmarkStart w:id="7" w:name="_Toc429515331"/>
      <w:r>
        <w:t>conclusion</w:t>
      </w:r>
      <w:bookmarkEnd w:id="7"/>
    </w:p>
    <w:p w:rsidR="00F05C4B" w:rsidRDefault="00537CB4">
      <w:pPr>
        <w:spacing w:line="480" w:lineRule="auto"/>
        <w:jc w:val="both"/>
        <w:rPr>
          <w:rFonts w:ascii="Arial" w:hAnsi="Arial" w:cs="Arial"/>
        </w:rPr>
      </w:pPr>
      <w:r>
        <w:rPr>
          <w:rFonts w:ascii="Arial" w:hAnsi="Arial" w:cs="Arial"/>
        </w:rPr>
        <w:tab/>
        <w:t>For the reasons discussed above, the Commission should find that the Stipulation is reasonable.  Additionally, the Commission should reject the relief sought by OPAE and AEP-Ohio because the relief they seek is unlawful and unreasonable.</w:t>
      </w:r>
    </w:p>
    <w:p w:rsidR="00F05C4B" w:rsidRDefault="00F05C4B">
      <w:pPr>
        <w:spacing w:line="480" w:lineRule="auto"/>
        <w:jc w:val="both"/>
        <w:rPr>
          <w:rFonts w:ascii="Arial" w:hAnsi="Arial" w:cs="Arial"/>
        </w:rPr>
      </w:pPr>
    </w:p>
    <w:p w:rsidR="00F05C4B" w:rsidRDefault="00537CB4">
      <w:pPr>
        <w:tabs>
          <w:tab w:val="left" w:pos="4320"/>
          <w:tab w:val="right" w:pos="8640"/>
        </w:tabs>
        <w:ind w:left="4320"/>
        <w:jc w:val="both"/>
        <w:rPr>
          <w:rFonts w:ascii="Arial" w:hAnsi="Arial" w:cs="Arial"/>
        </w:rPr>
      </w:pPr>
      <w:r>
        <w:rPr>
          <w:rFonts w:ascii="Arial" w:hAnsi="Arial" w:cs="Arial"/>
        </w:rPr>
        <w:t>Respectfully submitted,</w:t>
      </w:r>
    </w:p>
    <w:p w:rsidR="00F05C4B" w:rsidRDefault="00F05C4B">
      <w:pPr>
        <w:tabs>
          <w:tab w:val="left" w:pos="4320"/>
          <w:tab w:val="right" w:pos="8640"/>
        </w:tabs>
        <w:ind w:left="4320"/>
        <w:jc w:val="both"/>
        <w:rPr>
          <w:rFonts w:ascii="Arial" w:hAnsi="Arial" w:cs="Arial"/>
        </w:rPr>
      </w:pPr>
    </w:p>
    <w:p w:rsidR="00F05C4B" w:rsidRDefault="00537CB4">
      <w:pPr>
        <w:tabs>
          <w:tab w:val="left" w:pos="4320"/>
          <w:tab w:val="right" w:pos="8640"/>
        </w:tabs>
        <w:ind w:left="4320"/>
        <w:jc w:val="both"/>
        <w:rPr>
          <w:rFonts w:ascii="Arial" w:hAnsi="Arial" w:cs="Arial"/>
          <w:i/>
        </w:rPr>
      </w:pPr>
      <w:r>
        <w:rPr>
          <w:rFonts w:ascii="Arial" w:hAnsi="Arial" w:cs="Arial"/>
          <w:i/>
          <w:u w:val="single"/>
        </w:rPr>
        <w:t>/s/ Matthew R. Pritchard</w:t>
      </w:r>
      <w:r>
        <w:rPr>
          <w:rFonts w:ascii="Arial" w:hAnsi="Arial" w:cs="Arial"/>
          <w:i/>
          <w:u w:val="single"/>
        </w:rPr>
        <w:tab/>
      </w:r>
    </w:p>
    <w:p w:rsidR="00F05C4B" w:rsidRDefault="00537CB4">
      <w:pPr>
        <w:pStyle w:val="BodyText3"/>
        <w:widowControl w:val="0"/>
        <w:ind w:left="4320"/>
        <w:jc w:val="both"/>
        <w:rPr>
          <w:rFonts w:ascii="Arial" w:hAnsi="Arial" w:cs="Arial"/>
          <w:b w:val="0"/>
          <w:bCs/>
        </w:rPr>
      </w:pPr>
      <w:r>
        <w:rPr>
          <w:rFonts w:ascii="Arial" w:hAnsi="Arial" w:cs="Arial"/>
          <w:b w:val="0"/>
          <w:bCs/>
        </w:rPr>
        <w:t>Frank P. Darr (Reg. No. 0025469)</w:t>
      </w:r>
    </w:p>
    <w:p w:rsidR="00F05C4B" w:rsidRDefault="00537CB4">
      <w:pPr>
        <w:tabs>
          <w:tab w:val="right" w:pos="8640"/>
        </w:tabs>
        <w:ind w:left="4320"/>
        <w:jc w:val="both"/>
        <w:rPr>
          <w:rFonts w:ascii="Arial" w:hAnsi="Arial" w:cs="Arial"/>
        </w:rPr>
      </w:pPr>
      <w:r>
        <w:rPr>
          <w:rFonts w:ascii="Arial" w:hAnsi="Arial" w:cs="Arial"/>
        </w:rPr>
        <w:t>(Counsel of Record)</w:t>
      </w:r>
    </w:p>
    <w:p w:rsidR="00F05C4B" w:rsidRDefault="00537CB4">
      <w:pPr>
        <w:pStyle w:val="BodyText3"/>
        <w:widowControl w:val="0"/>
        <w:ind w:left="4320"/>
        <w:jc w:val="both"/>
        <w:rPr>
          <w:rFonts w:ascii="Arial" w:hAnsi="Arial" w:cs="Arial"/>
          <w:b w:val="0"/>
          <w:bCs/>
        </w:rPr>
      </w:pPr>
      <w:r>
        <w:rPr>
          <w:rFonts w:ascii="Arial" w:hAnsi="Arial" w:cs="Arial"/>
          <w:b w:val="0"/>
          <w:bCs/>
        </w:rPr>
        <w:t>Matthew R. Pritchard (Reg. No. 0088070)</w:t>
      </w:r>
    </w:p>
    <w:p w:rsidR="00F05C4B" w:rsidRDefault="00537CB4">
      <w:pPr>
        <w:pStyle w:val="BodyText3"/>
        <w:widowControl w:val="0"/>
        <w:ind w:left="4320"/>
        <w:jc w:val="both"/>
        <w:rPr>
          <w:rFonts w:ascii="Arial" w:hAnsi="Arial" w:cs="Arial"/>
          <w:b w:val="0"/>
          <w:bCs/>
          <w:smallCaps/>
          <w:szCs w:val="24"/>
        </w:rPr>
      </w:pPr>
      <w:r>
        <w:rPr>
          <w:rFonts w:ascii="Arial" w:hAnsi="Arial" w:cs="Arial"/>
          <w:b w:val="0"/>
          <w:bCs/>
          <w:smallCaps/>
          <w:szCs w:val="24"/>
        </w:rPr>
        <w:t>McNees Wallace &amp; Nurick LLC</w:t>
      </w:r>
    </w:p>
    <w:p w:rsidR="00F05C4B" w:rsidRDefault="00537CB4">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F05C4B" w:rsidRDefault="00537CB4">
      <w:pPr>
        <w:pStyle w:val="BodyText"/>
        <w:ind w:left="4320"/>
      </w:pPr>
      <w:r>
        <w:t>Columbus, OH  43215</w:t>
      </w:r>
    </w:p>
    <w:p w:rsidR="00F05C4B" w:rsidRDefault="00537CB4">
      <w:pPr>
        <w:pStyle w:val="BodyText"/>
        <w:ind w:left="4320"/>
      </w:pPr>
      <w:r>
        <w:t>Telephone:  (614) 469-8000</w:t>
      </w:r>
    </w:p>
    <w:p w:rsidR="00F05C4B" w:rsidRDefault="00537CB4">
      <w:pPr>
        <w:pStyle w:val="BodyText"/>
        <w:ind w:left="4320"/>
      </w:pPr>
      <w:r>
        <w:t>Telecopier:  (614) 469-4653</w:t>
      </w:r>
    </w:p>
    <w:p w:rsidR="00F05C4B" w:rsidRDefault="00537CB4">
      <w:pPr>
        <w:pStyle w:val="BodyText"/>
        <w:ind w:left="4320"/>
      </w:pPr>
      <w:r>
        <w:t>fdarr@mwncmh.com</w:t>
      </w:r>
    </w:p>
    <w:p w:rsidR="00F05C4B" w:rsidRDefault="00537CB4">
      <w:pPr>
        <w:pStyle w:val="BodyText"/>
        <w:ind w:left="4320"/>
      </w:pPr>
      <w:r>
        <w:t>mpritchard@mwncmh.com</w:t>
      </w:r>
    </w:p>
    <w:p w:rsidR="00F05C4B" w:rsidRDefault="00F05C4B">
      <w:pPr>
        <w:tabs>
          <w:tab w:val="left" w:pos="4320"/>
          <w:tab w:val="right" w:pos="8640"/>
        </w:tabs>
        <w:jc w:val="both"/>
        <w:rPr>
          <w:rFonts w:ascii="Arial" w:hAnsi="Arial" w:cs="Arial"/>
        </w:rPr>
      </w:pPr>
    </w:p>
    <w:p w:rsidR="00F05C4B" w:rsidRDefault="00537CB4">
      <w:pPr>
        <w:pStyle w:val="Title"/>
        <w:tabs>
          <w:tab w:val="left" w:pos="4320"/>
        </w:tabs>
        <w:jc w:val="left"/>
        <w:rPr>
          <w:smallCaps w:val="0"/>
          <w:sz w:val="24"/>
        </w:rPr>
      </w:pPr>
      <w:r>
        <w:rPr>
          <w:smallCaps w:val="0"/>
          <w:sz w:val="24"/>
        </w:rPr>
        <w:tab/>
        <w:t>Attorneys for Industrial Energy Users-Ohio</w:t>
      </w:r>
    </w:p>
    <w:p w:rsidR="00F05C4B" w:rsidRDefault="00F05C4B">
      <w:pPr>
        <w:rPr>
          <w:rFonts w:ascii="Arial" w:hAnsi="Arial" w:cs="Arial"/>
        </w:rPr>
        <w:sectPr w:rsidR="00F05C4B" w:rsidSect="00E567BD">
          <w:pgSz w:w="12240" w:h="15840" w:code="1"/>
          <w:pgMar w:top="1440" w:right="1440" w:bottom="1440" w:left="1440" w:header="720" w:footer="720" w:gutter="0"/>
          <w:pgNumType w:start="1"/>
          <w:cols w:space="720"/>
          <w:titlePg/>
          <w:docGrid w:linePitch="360"/>
        </w:sectPr>
      </w:pPr>
    </w:p>
    <w:p w:rsidR="00F05C4B" w:rsidRDefault="00537CB4">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F05C4B" w:rsidRDefault="00F05C4B">
      <w:pPr>
        <w:rPr>
          <w:rFonts w:ascii="Arial" w:hAnsi="Arial" w:cs="Arial"/>
        </w:rPr>
      </w:pPr>
    </w:p>
    <w:p w:rsidR="00F05C4B" w:rsidRDefault="00537CB4">
      <w:pPr>
        <w:pStyle w:val="BodyText"/>
        <w:spacing w:line="480" w:lineRule="auto"/>
        <w:ind w:firstLine="720"/>
      </w:pPr>
      <w:r>
        <w:t xml:space="preserve">In accordance with Rule 4901-1-05, Ohio Administrative Code, the PUCO's e-filing system will electronically serve notice of the filing of this document upon the following parties.  In addition, I hereby certify that a service copy of the foregoing </w:t>
      </w:r>
      <w:r>
        <w:rPr>
          <w:i/>
        </w:rPr>
        <w:t xml:space="preserve">Reply Brief of Industrial Energy Users-Ohio </w:t>
      </w:r>
      <w:r>
        <w:t>was sent by, or on behalf of, the undersigned counsel for IEU-Ohio to the following parties of record this 9</w:t>
      </w:r>
      <w:r w:rsidRPr="00E567BD">
        <w:rPr>
          <w:vertAlign w:val="superscript"/>
        </w:rPr>
        <w:t>th</w:t>
      </w:r>
      <w:r>
        <w:t xml:space="preserve"> day of September 2015, </w:t>
      </w:r>
      <w:r>
        <w:rPr>
          <w:i/>
        </w:rPr>
        <w:t>via</w:t>
      </w:r>
      <w:r>
        <w:t xml:space="preserve"> electronic transmission. </w:t>
      </w:r>
    </w:p>
    <w:p w:rsidR="00F05C4B" w:rsidRDefault="00537CB4">
      <w:pPr>
        <w:tabs>
          <w:tab w:val="center" w:pos="7200"/>
          <w:tab w:val="right" w:pos="9360"/>
        </w:tabs>
        <w:ind w:left="5040"/>
        <w:rPr>
          <w:rFonts w:ascii="Arial" w:hAnsi="Arial" w:cs="Arial"/>
          <w:i/>
          <w:u w:val="single"/>
        </w:rPr>
      </w:pPr>
      <w:r>
        <w:rPr>
          <w:rFonts w:ascii="Arial" w:hAnsi="Arial" w:cs="Arial"/>
          <w:i/>
          <w:u w:val="single"/>
        </w:rPr>
        <w:t>/s/ Matthew R. Pritchard</w:t>
      </w:r>
      <w:r>
        <w:rPr>
          <w:rFonts w:ascii="Arial" w:hAnsi="Arial" w:cs="Arial"/>
          <w:i/>
          <w:u w:val="single"/>
        </w:rPr>
        <w:tab/>
      </w:r>
    </w:p>
    <w:p w:rsidR="00F05C4B" w:rsidRDefault="00537CB4">
      <w:pPr>
        <w:tabs>
          <w:tab w:val="center" w:pos="7200"/>
          <w:tab w:val="right" w:pos="9360"/>
        </w:tabs>
        <w:ind w:left="5760"/>
        <w:rPr>
          <w:rFonts w:ascii="Arial" w:hAnsi="Arial" w:cs="Arial"/>
          <w:u w:val="single"/>
        </w:rPr>
      </w:pPr>
      <w:r>
        <w:rPr>
          <w:rFonts w:ascii="Arial" w:hAnsi="Arial" w:cs="Arial"/>
        </w:rPr>
        <w:t>Matthew R. Pritchard</w:t>
      </w:r>
    </w:p>
    <w:p w:rsidR="00F05C4B" w:rsidRDefault="00F05C4B">
      <w:pPr>
        <w:tabs>
          <w:tab w:val="left" w:pos="2160"/>
          <w:tab w:val="left" w:pos="2280"/>
        </w:tabs>
        <w:rPr>
          <w:rFonts w:ascii="Arial" w:hAnsi="Arial" w:cs="Arial"/>
        </w:rPr>
      </w:pPr>
    </w:p>
    <w:p w:rsidR="00F05C4B" w:rsidRDefault="00F05C4B">
      <w:pPr>
        <w:autoSpaceDE w:val="0"/>
        <w:autoSpaceDN w:val="0"/>
        <w:adjustRightInd w:val="0"/>
        <w:rPr>
          <w:rFonts w:ascii="Arial" w:eastAsiaTheme="minorHAnsi" w:hAnsi="Arial" w:cs="Arial"/>
        </w:rPr>
        <w:sectPr w:rsidR="00F05C4B">
          <w:pgSz w:w="12240" w:h="15840" w:code="1"/>
          <w:pgMar w:top="1440" w:right="1440" w:bottom="1141" w:left="1440" w:header="720" w:footer="720" w:gutter="0"/>
          <w:pgNumType w:start="1"/>
          <w:cols w:space="720"/>
          <w:titlePg/>
          <w:docGrid w:linePitch="326"/>
        </w:sectPr>
      </w:pPr>
    </w:p>
    <w:p w:rsidR="00F05C4B" w:rsidRDefault="00537CB4">
      <w:pPr>
        <w:autoSpaceDE w:val="0"/>
        <w:autoSpaceDN w:val="0"/>
        <w:adjustRightInd w:val="0"/>
        <w:rPr>
          <w:rFonts w:ascii="Arial" w:eastAsiaTheme="minorHAnsi" w:hAnsi="Arial" w:cs="Arial"/>
          <w:sz w:val="20"/>
          <w:szCs w:val="20"/>
        </w:rPr>
      </w:pPr>
      <w:r>
        <w:rPr>
          <w:rFonts w:ascii="Arial" w:eastAsiaTheme="minorHAnsi" w:hAnsi="Arial" w:cs="Arial"/>
          <w:sz w:val="20"/>
          <w:szCs w:val="20"/>
        </w:rPr>
        <w:lastRenderedPageBreak/>
        <w:t>Dane Stinson</w:t>
      </w:r>
    </w:p>
    <w:p w:rsidR="00F05C4B" w:rsidRDefault="00537CB4">
      <w:pPr>
        <w:autoSpaceDE w:val="0"/>
        <w:autoSpaceDN w:val="0"/>
        <w:adjustRightInd w:val="0"/>
        <w:rPr>
          <w:rFonts w:ascii="Arial" w:eastAsiaTheme="minorHAnsi" w:hAnsi="Arial" w:cs="Arial"/>
          <w:sz w:val="20"/>
          <w:szCs w:val="20"/>
        </w:rPr>
      </w:pPr>
      <w:r>
        <w:rPr>
          <w:rFonts w:ascii="Arial" w:eastAsiaTheme="minorHAnsi" w:hAnsi="Arial" w:cs="Arial"/>
          <w:sz w:val="20"/>
          <w:szCs w:val="20"/>
        </w:rPr>
        <w:t>BRICKER &amp; ECKLER LLP</w:t>
      </w:r>
    </w:p>
    <w:p w:rsidR="00F05C4B" w:rsidRDefault="00537CB4">
      <w:pPr>
        <w:autoSpaceDE w:val="0"/>
        <w:autoSpaceDN w:val="0"/>
        <w:adjustRightInd w:val="0"/>
        <w:rPr>
          <w:rFonts w:ascii="Arial" w:eastAsiaTheme="minorHAnsi" w:hAnsi="Arial" w:cs="Arial"/>
          <w:sz w:val="20"/>
          <w:szCs w:val="20"/>
        </w:rPr>
      </w:pPr>
      <w:r>
        <w:rPr>
          <w:rFonts w:ascii="Arial" w:eastAsiaTheme="minorHAnsi" w:hAnsi="Arial" w:cs="Arial"/>
          <w:sz w:val="20"/>
          <w:szCs w:val="20"/>
        </w:rPr>
        <w:t>100 S. Third Street</w:t>
      </w:r>
    </w:p>
    <w:p w:rsidR="00F05C4B" w:rsidRDefault="00537CB4">
      <w:pPr>
        <w:autoSpaceDE w:val="0"/>
        <w:autoSpaceDN w:val="0"/>
        <w:adjustRightInd w:val="0"/>
        <w:rPr>
          <w:rFonts w:ascii="Arial" w:eastAsiaTheme="minorHAnsi" w:hAnsi="Arial" w:cs="Arial"/>
          <w:sz w:val="20"/>
          <w:szCs w:val="20"/>
        </w:rPr>
      </w:pPr>
      <w:r>
        <w:rPr>
          <w:rFonts w:ascii="Arial" w:eastAsiaTheme="minorHAnsi" w:hAnsi="Arial" w:cs="Arial"/>
          <w:sz w:val="20"/>
          <w:szCs w:val="20"/>
        </w:rPr>
        <w:t>Columbus, OH 43215-4291</w:t>
      </w:r>
    </w:p>
    <w:p w:rsidR="00F05C4B" w:rsidRDefault="00537CB4">
      <w:pPr>
        <w:autoSpaceDE w:val="0"/>
        <w:autoSpaceDN w:val="0"/>
        <w:adjustRightInd w:val="0"/>
        <w:rPr>
          <w:rFonts w:ascii="Arial" w:eastAsiaTheme="minorHAnsi" w:hAnsi="Arial" w:cs="Arial"/>
          <w:sz w:val="20"/>
          <w:szCs w:val="20"/>
        </w:rPr>
      </w:pPr>
      <w:r>
        <w:rPr>
          <w:rFonts w:ascii="Arial" w:eastAsiaTheme="minorHAnsi" w:hAnsi="Arial" w:cs="Arial"/>
          <w:sz w:val="20"/>
          <w:szCs w:val="20"/>
        </w:rPr>
        <w:t>dstinson@bricker.com</w:t>
      </w:r>
    </w:p>
    <w:p w:rsidR="00F05C4B" w:rsidRDefault="00F05C4B">
      <w:pPr>
        <w:tabs>
          <w:tab w:val="left" w:pos="2160"/>
          <w:tab w:val="left" w:pos="2280"/>
        </w:tabs>
        <w:rPr>
          <w:rFonts w:ascii="Arial" w:eastAsiaTheme="minorHAnsi" w:hAnsi="Arial" w:cs="Arial"/>
          <w:sz w:val="20"/>
          <w:szCs w:val="20"/>
        </w:rPr>
      </w:pPr>
    </w:p>
    <w:p w:rsidR="00F05C4B" w:rsidRDefault="00537CB4">
      <w:pPr>
        <w:tabs>
          <w:tab w:val="left" w:pos="2160"/>
          <w:tab w:val="left" w:pos="2280"/>
        </w:tabs>
        <w:rPr>
          <w:rFonts w:ascii="Arial Bold" w:hAnsi="Arial Bold" w:cs="Arial"/>
          <w:b/>
          <w:smallCaps/>
          <w:sz w:val="20"/>
          <w:szCs w:val="20"/>
        </w:rPr>
      </w:pPr>
      <w:r>
        <w:rPr>
          <w:rFonts w:ascii="Arial Bold" w:eastAsiaTheme="minorHAnsi" w:hAnsi="Arial Bold" w:cs="Arial"/>
          <w:b/>
          <w:smallCaps/>
          <w:sz w:val="20"/>
          <w:szCs w:val="20"/>
        </w:rPr>
        <w:t>On Behalf of Ohio Development Services Agency</w:t>
      </w:r>
    </w:p>
    <w:p w:rsidR="00F05C4B" w:rsidRDefault="00F05C4B">
      <w:pPr>
        <w:autoSpaceDE w:val="0"/>
        <w:autoSpaceDN w:val="0"/>
        <w:adjustRightInd w:val="0"/>
        <w:rPr>
          <w:rFonts w:ascii="Arial" w:hAnsi="Arial" w:cs="Arial"/>
          <w:sz w:val="20"/>
          <w:szCs w:val="20"/>
        </w:rPr>
      </w:pPr>
    </w:p>
    <w:p w:rsidR="00F05C4B" w:rsidRDefault="00537CB4">
      <w:pPr>
        <w:autoSpaceDE w:val="0"/>
        <w:autoSpaceDN w:val="0"/>
        <w:adjustRightInd w:val="0"/>
        <w:rPr>
          <w:rFonts w:ascii="Arial" w:hAnsi="Arial" w:cs="Arial"/>
          <w:sz w:val="20"/>
          <w:szCs w:val="20"/>
        </w:rPr>
      </w:pPr>
      <w:r>
        <w:rPr>
          <w:rFonts w:ascii="Arial" w:hAnsi="Arial" w:cs="Arial"/>
          <w:sz w:val="20"/>
          <w:szCs w:val="20"/>
        </w:rPr>
        <w:t>Matthew J. Satterwhite (Counsel of Record)</w:t>
      </w:r>
    </w:p>
    <w:p w:rsidR="00F05C4B" w:rsidRDefault="00537CB4">
      <w:pPr>
        <w:autoSpaceDE w:val="0"/>
        <w:autoSpaceDN w:val="0"/>
        <w:adjustRightInd w:val="0"/>
        <w:rPr>
          <w:rFonts w:ascii="Arial" w:hAnsi="Arial" w:cs="Arial"/>
          <w:sz w:val="20"/>
          <w:szCs w:val="20"/>
        </w:rPr>
      </w:pPr>
      <w:r>
        <w:rPr>
          <w:rFonts w:ascii="Arial" w:hAnsi="Arial" w:cs="Arial"/>
          <w:sz w:val="20"/>
          <w:szCs w:val="20"/>
        </w:rPr>
        <w:t>Hector Garcia</w:t>
      </w:r>
    </w:p>
    <w:p w:rsidR="00F05C4B" w:rsidRDefault="00537CB4">
      <w:pPr>
        <w:autoSpaceDE w:val="0"/>
        <w:autoSpaceDN w:val="0"/>
        <w:adjustRightInd w:val="0"/>
        <w:rPr>
          <w:rFonts w:ascii="Arial" w:hAnsi="Arial" w:cs="Arial"/>
          <w:sz w:val="20"/>
          <w:szCs w:val="20"/>
        </w:rPr>
      </w:pPr>
      <w:r>
        <w:rPr>
          <w:rFonts w:ascii="Arial" w:hAnsi="Arial" w:cs="Arial"/>
          <w:sz w:val="20"/>
          <w:szCs w:val="20"/>
        </w:rPr>
        <w:t>American Electric Power Corporation</w:t>
      </w:r>
    </w:p>
    <w:p w:rsidR="00F05C4B" w:rsidRDefault="00537CB4">
      <w:pPr>
        <w:autoSpaceDE w:val="0"/>
        <w:autoSpaceDN w:val="0"/>
        <w:adjustRightInd w:val="0"/>
        <w:rPr>
          <w:rFonts w:ascii="Arial" w:hAnsi="Arial" w:cs="Arial"/>
          <w:sz w:val="20"/>
          <w:szCs w:val="20"/>
        </w:rPr>
      </w:pPr>
      <w:r>
        <w:rPr>
          <w:rFonts w:ascii="Arial" w:hAnsi="Arial" w:cs="Arial"/>
          <w:sz w:val="20"/>
          <w:szCs w:val="20"/>
        </w:rPr>
        <w:t>1 Riverside Plaza, 29th Floor</w:t>
      </w:r>
    </w:p>
    <w:p w:rsidR="00F05C4B" w:rsidRDefault="00537CB4">
      <w:pPr>
        <w:autoSpaceDE w:val="0"/>
        <w:autoSpaceDN w:val="0"/>
        <w:adjustRightInd w:val="0"/>
        <w:rPr>
          <w:rFonts w:ascii="Arial" w:hAnsi="Arial" w:cs="Arial"/>
          <w:sz w:val="20"/>
          <w:szCs w:val="20"/>
        </w:rPr>
      </w:pPr>
      <w:r>
        <w:rPr>
          <w:rFonts w:ascii="Arial" w:hAnsi="Arial" w:cs="Arial"/>
          <w:sz w:val="20"/>
          <w:szCs w:val="20"/>
        </w:rPr>
        <w:t>Columbus, Ohio 43215</w:t>
      </w:r>
    </w:p>
    <w:p w:rsidR="00F05C4B" w:rsidRDefault="00537CB4">
      <w:pPr>
        <w:autoSpaceDE w:val="0"/>
        <w:autoSpaceDN w:val="0"/>
        <w:adjustRightInd w:val="0"/>
        <w:rPr>
          <w:rFonts w:ascii="Arial" w:hAnsi="Arial" w:cs="Arial"/>
          <w:sz w:val="20"/>
          <w:szCs w:val="20"/>
        </w:rPr>
      </w:pPr>
      <w:r>
        <w:rPr>
          <w:rFonts w:ascii="Arial" w:hAnsi="Arial" w:cs="Arial"/>
          <w:sz w:val="20"/>
          <w:szCs w:val="20"/>
        </w:rPr>
        <w:t>mjsatterwhite@aep.com</w:t>
      </w:r>
    </w:p>
    <w:p w:rsidR="00F05C4B" w:rsidRDefault="00537CB4">
      <w:pPr>
        <w:autoSpaceDE w:val="0"/>
        <w:autoSpaceDN w:val="0"/>
        <w:adjustRightInd w:val="0"/>
        <w:rPr>
          <w:rFonts w:ascii="Arial" w:hAnsi="Arial" w:cs="Arial"/>
          <w:sz w:val="20"/>
          <w:szCs w:val="20"/>
        </w:rPr>
      </w:pPr>
      <w:r>
        <w:rPr>
          <w:rFonts w:ascii="Arial" w:hAnsi="Arial" w:cs="Arial"/>
          <w:sz w:val="20"/>
          <w:szCs w:val="20"/>
        </w:rPr>
        <w:t>hgarcia1@aep.com</w:t>
      </w:r>
    </w:p>
    <w:p w:rsidR="00F05C4B" w:rsidRDefault="00F05C4B">
      <w:pPr>
        <w:autoSpaceDE w:val="0"/>
        <w:autoSpaceDN w:val="0"/>
        <w:adjustRightInd w:val="0"/>
        <w:rPr>
          <w:rFonts w:ascii="Arial" w:hAnsi="Arial" w:cs="Arial"/>
          <w:sz w:val="20"/>
          <w:szCs w:val="20"/>
        </w:rPr>
      </w:pPr>
    </w:p>
    <w:p w:rsidR="00F05C4B" w:rsidRDefault="00537CB4">
      <w:pPr>
        <w:autoSpaceDE w:val="0"/>
        <w:autoSpaceDN w:val="0"/>
        <w:adjustRightInd w:val="0"/>
        <w:rPr>
          <w:rFonts w:ascii="Arial Bold" w:hAnsi="Arial Bold" w:cs="Arial"/>
          <w:b/>
          <w:smallCaps/>
          <w:sz w:val="20"/>
          <w:szCs w:val="20"/>
        </w:rPr>
      </w:pPr>
      <w:r>
        <w:rPr>
          <w:rFonts w:ascii="Arial Bold" w:hAnsi="Arial Bold" w:cs="Arial"/>
          <w:b/>
          <w:smallCaps/>
          <w:sz w:val="20"/>
          <w:szCs w:val="20"/>
        </w:rPr>
        <w:t>On Behalf of Ohio Power Company</w:t>
      </w:r>
    </w:p>
    <w:p w:rsidR="00F05C4B" w:rsidRDefault="00F05C4B">
      <w:pPr>
        <w:autoSpaceDE w:val="0"/>
        <w:autoSpaceDN w:val="0"/>
        <w:adjustRightInd w:val="0"/>
        <w:rPr>
          <w:rFonts w:ascii="Arial" w:hAnsi="Arial" w:cs="Arial"/>
          <w:sz w:val="20"/>
          <w:szCs w:val="20"/>
        </w:rPr>
      </w:pPr>
    </w:p>
    <w:p w:rsidR="00F05C4B" w:rsidRDefault="00537CB4">
      <w:pPr>
        <w:autoSpaceDE w:val="0"/>
        <w:autoSpaceDN w:val="0"/>
        <w:adjustRightInd w:val="0"/>
        <w:rPr>
          <w:rFonts w:ascii="Arial" w:hAnsi="Arial" w:cs="Arial"/>
          <w:sz w:val="20"/>
          <w:szCs w:val="20"/>
        </w:rPr>
      </w:pPr>
      <w:r>
        <w:rPr>
          <w:rFonts w:ascii="Arial" w:hAnsi="Arial" w:cs="Arial"/>
          <w:sz w:val="20"/>
          <w:szCs w:val="20"/>
        </w:rPr>
        <w:t>Elizabeth H. Watts</w:t>
      </w:r>
    </w:p>
    <w:p w:rsidR="00F05C4B" w:rsidRDefault="00537CB4">
      <w:pPr>
        <w:autoSpaceDE w:val="0"/>
        <w:autoSpaceDN w:val="0"/>
        <w:adjustRightInd w:val="0"/>
        <w:rPr>
          <w:rFonts w:ascii="Arial" w:hAnsi="Arial" w:cs="Arial"/>
          <w:sz w:val="20"/>
          <w:szCs w:val="20"/>
        </w:rPr>
      </w:pPr>
      <w:r>
        <w:rPr>
          <w:rFonts w:ascii="Arial" w:hAnsi="Arial" w:cs="Arial"/>
          <w:sz w:val="20"/>
          <w:szCs w:val="20"/>
        </w:rPr>
        <w:t>Duke Energy Ohio, Inc.</w:t>
      </w:r>
    </w:p>
    <w:p w:rsidR="00F05C4B" w:rsidRDefault="00537CB4">
      <w:pPr>
        <w:autoSpaceDE w:val="0"/>
        <w:autoSpaceDN w:val="0"/>
        <w:adjustRightInd w:val="0"/>
        <w:rPr>
          <w:rFonts w:ascii="Arial" w:hAnsi="Arial" w:cs="Arial"/>
          <w:sz w:val="20"/>
          <w:szCs w:val="20"/>
        </w:rPr>
      </w:pPr>
      <w:r>
        <w:rPr>
          <w:rFonts w:ascii="Arial" w:hAnsi="Arial" w:cs="Arial"/>
          <w:sz w:val="20"/>
          <w:szCs w:val="20"/>
        </w:rPr>
        <w:t>155 East Broad Street</w:t>
      </w:r>
    </w:p>
    <w:p w:rsidR="00F05C4B" w:rsidRDefault="00537CB4">
      <w:pPr>
        <w:autoSpaceDE w:val="0"/>
        <w:autoSpaceDN w:val="0"/>
        <w:adjustRightInd w:val="0"/>
        <w:rPr>
          <w:rFonts w:ascii="Arial" w:hAnsi="Arial" w:cs="Arial"/>
          <w:sz w:val="20"/>
          <w:szCs w:val="20"/>
        </w:rPr>
      </w:pPr>
      <w:r>
        <w:rPr>
          <w:rFonts w:ascii="Arial" w:hAnsi="Arial" w:cs="Arial"/>
          <w:sz w:val="20"/>
          <w:szCs w:val="20"/>
        </w:rPr>
        <w:t>Columbus, OH 43215</w:t>
      </w:r>
    </w:p>
    <w:p w:rsidR="00F05C4B" w:rsidRDefault="00537CB4">
      <w:pPr>
        <w:autoSpaceDE w:val="0"/>
        <w:autoSpaceDN w:val="0"/>
        <w:adjustRightInd w:val="0"/>
        <w:rPr>
          <w:rFonts w:ascii="Arial" w:hAnsi="Arial" w:cs="Arial"/>
          <w:sz w:val="20"/>
          <w:szCs w:val="20"/>
        </w:rPr>
      </w:pPr>
      <w:r>
        <w:rPr>
          <w:rFonts w:ascii="Arial" w:hAnsi="Arial" w:cs="Arial"/>
          <w:sz w:val="20"/>
          <w:szCs w:val="20"/>
        </w:rPr>
        <w:t>Elizabeth.watts@duke-energy.com</w:t>
      </w:r>
    </w:p>
    <w:p w:rsidR="00F05C4B" w:rsidRDefault="00F05C4B">
      <w:pPr>
        <w:autoSpaceDE w:val="0"/>
        <w:autoSpaceDN w:val="0"/>
        <w:adjustRightInd w:val="0"/>
        <w:rPr>
          <w:rFonts w:ascii="Arial" w:hAnsi="Arial" w:cs="Arial"/>
          <w:sz w:val="20"/>
          <w:szCs w:val="20"/>
        </w:rPr>
      </w:pPr>
    </w:p>
    <w:p w:rsidR="00F05C4B" w:rsidRDefault="00537CB4">
      <w:pPr>
        <w:autoSpaceDE w:val="0"/>
        <w:autoSpaceDN w:val="0"/>
        <w:adjustRightInd w:val="0"/>
        <w:rPr>
          <w:rFonts w:ascii="Arial Bold" w:hAnsi="Arial Bold" w:cs="Arial"/>
          <w:b/>
          <w:smallCaps/>
          <w:sz w:val="20"/>
          <w:szCs w:val="20"/>
        </w:rPr>
      </w:pPr>
      <w:r>
        <w:rPr>
          <w:rFonts w:ascii="Arial Bold" w:hAnsi="Arial Bold" w:cs="Arial"/>
          <w:b/>
          <w:smallCaps/>
          <w:sz w:val="20"/>
          <w:szCs w:val="20"/>
        </w:rPr>
        <w:t>On Behalf of Duke Energy Ohio, Inc.</w:t>
      </w:r>
    </w:p>
    <w:p w:rsidR="00F05C4B" w:rsidRDefault="00F05C4B">
      <w:pPr>
        <w:autoSpaceDE w:val="0"/>
        <w:autoSpaceDN w:val="0"/>
        <w:adjustRightInd w:val="0"/>
        <w:rPr>
          <w:rFonts w:ascii="Arial" w:hAnsi="Arial" w:cs="Arial"/>
          <w:sz w:val="20"/>
          <w:szCs w:val="20"/>
        </w:rPr>
      </w:pPr>
    </w:p>
    <w:p w:rsidR="00F05C4B" w:rsidRDefault="00537CB4">
      <w:pPr>
        <w:autoSpaceDE w:val="0"/>
        <w:autoSpaceDN w:val="0"/>
        <w:adjustRightInd w:val="0"/>
        <w:rPr>
          <w:rFonts w:ascii="Arial" w:hAnsi="Arial" w:cs="Arial"/>
          <w:sz w:val="20"/>
          <w:szCs w:val="20"/>
        </w:rPr>
      </w:pPr>
      <w:r>
        <w:rPr>
          <w:rFonts w:ascii="Arial" w:hAnsi="Arial" w:cs="Arial"/>
          <w:sz w:val="20"/>
          <w:szCs w:val="20"/>
        </w:rPr>
        <w:t>Carrie Dunn</w:t>
      </w:r>
    </w:p>
    <w:p w:rsidR="00F05C4B" w:rsidRDefault="00537CB4">
      <w:pPr>
        <w:autoSpaceDE w:val="0"/>
        <w:autoSpaceDN w:val="0"/>
        <w:adjustRightInd w:val="0"/>
        <w:rPr>
          <w:rFonts w:ascii="Arial" w:hAnsi="Arial" w:cs="Arial"/>
          <w:sz w:val="20"/>
          <w:szCs w:val="20"/>
        </w:rPr>
      </w:pPr>
      <w:r>
        <w:rPr>
          <w:rFonts w:ascii="Arial" w:hAnsi="Arial" w:cs="Arial"/>
          <w:sz w:val="20"/>
          <w:szCs w:val="20"/>
        </w:rPr>
        <w:t>FirstEnergy Corp.</w:t>
      </w:r>
    </w:p>
    <w:p w:rsidR="00F05C4B" w:rsidRDefault="00537CB4">
      <w:pPr>
        <w:autoSpaceDE w:val="0"/>
        <w:autoSpaceDN w:val="0"/>
        <w:adjustRightInd w:val="0"/>
        <w:rPr>
          <w:rFonts w:ascii="Arial" w:hAnsi="Arial" w:cs="Arial"/>
          <w:sz w:val="20"/>
          <w:szCs w:val="20"/>
        </w:rPr>
      </w:pPr>
      <w:r>
        <w:rPr>
          <w:rFonts w:ascii="Arial" w:hAnsi="Arial" w:cs="Arial"/>
          <w:sz w:val="20"/>
          <w:szCs w:val="20"/>
        </w:rPr>
        <w:t>76 South Main Street</w:t>
      </w:r>
    </w:p>
    <w:p w:rsidR="00F05C4B" w:rsidRDefault="00537CB4">
      <w:pPr>
        <w:autoSpaceDE w:val="0"/>
        <w:autoSpaceDN w:val="0"/>
        <w:adjustRightInd w:val="0"/>
        <w:rPr>
          <w:rFonts w:ascii="Arial" w:hAnsi="Arial" w:cs="Arial"/>
          <w:sz w:val="20"/>
          <w:szCs w:val="20"/>
        </w:rPr>
      </w:pPr>
      <w:r>
        <w:rPr>
          <w:rFonts w:ascii="Arial" w:hAnsi="Arial" w:cs="Arial"/>
          <w:sz w:val="20"/>
          <w:szCs w:val="20"/>
        </w:rPr>
        <w:t>Akron, Ohio 44308</w:t>
      </w:r>
    </w:p>
    <w:p w:rsidR="00F05C4B" w:rsidRDefault="00537CB4">
      <w:pPr>
        <w:autoSpaceDE w:val="0"/>
        <w:autoSpaceDN w:val="0"/>
        <w:adjustRightInd w:val="0"/>
        <w:rPr>
          <w:rFonts w:ascii="Arial" w:hAnsi="Arial" w:cs="Arial"/>
          <w:sz w:val="20"/>
          <w:szCs w:val="20"/>
        </w:rPr>
      </w:pPr>
      <w:r>
        <w:rPr>
          <w:rFonts w:ascii="Arial" w:hAnsi="Arial" w:cs="Arial"/>
          <w:sz w:val="20"/>
          <w:szCs w:val="20"/>
        </w:rPr>
        <w:t>cdunn@firstenergycorp.com</w:t>
      </w:r>
    </w:p>
    <w:p w:rsidR="00F05C4B" w:rsidRDefault="00F05C4B">
      <w:pPr>
        <w:autoSpaceDE w:val="0"/>
        <w:autoSpaceDN w:val="0"/>
        <w:adjustRightInd w:val="0"/>
        <w:rPr>
          <w:rFonts w:ascii="Arial" w:hAnsi="Arial" w:cs="Arial"/>
          <w:sz w:val="20"/>
          <w:szCs w:val="20"/>
        </w:rPr>
      </w:pPr>
    </w:p>
    <w:p w:rsidR="00F05C4B" w:rsidRDefault="00537CB4">
      <w:pPr>
        <w:autoSpaceDE w:val="0"/>
        <w:autoSpaceDN w:val="0"/>
        <w:adjustRightInd w:val="0"/>
        <w:rPr>
          <w:rFonts w:ascii="Arial Bold" w:hAnsi="Arial Bold" w:cs="Arial"/>
          <w:b/>
          <w:smallCaps/>
          <w:sz w:val="20"/>
          <w:szCs w:val="20"/>
        </w:rPr>
      </w:pPr>
      <w:r>
        <w:rPr>
          <w:rFonts w:ascii="Arial Bold" w:hAnsi="Arial Bold" w:cs="Arial"/>
          <w:b/>
          <w:smallCaps/>
          <w:sz w:val="20"/>
          <w:szCs w:val="20"/>
        </w:rPr>
        <w:t>On Behalf of FirstEnergy Corp.</w:t>
      </w:r>
    </w:p>
    <w:p w:rsidR="00F05C4B" w:rsidRDefault="00537CB4">
      <w:pPr>
        <w:autoSpaceDE w:val="0"/>
        <w:autoSpaceDN w:val="0"/>
        <w:adjustRightInd w:val="0"/>
        <w:rPr>
          <w:rFonts w:ascii="Arial" w:hAnsi="Arial" w:cs="Arial"/>
          <w:sz w:val="20"/>
          <w:szCs w:val="20"/>
        </w:rPr>
      </w:pPr>
      <w:r>
        <w:rPr>
          <w:rFonts w:ascii="Arial" w:hAnsi="Arial" w:cs="Arial"/>
          <w:sz w:val="20"/>
          <w:szCs w:val="20"/>
        </w:rPr>
        <w:br w:type="column"/>
      </w:r>
      <w:r>
        <w:rPr>
          <w:rFonts w:ascii="Arial" w:hAnsi="Arial" w:cs="Arial"/>
          <w:sz w:val="20"/>
          <w:szCs w:val="20"/>
        </w:rPr>
        <w:lastRenderedPageBreak/>
        <w:t>Randall V. Griffin</w:t>
      </w:r>
    </w:p>
    <w:p w:rsidR="00F05C4B" w:rsidRDefault="00537CB4">
      <w:pPr>
        <w:autoSpaceDE w:val="0"/>
        <w:autoSpaceDN w:val="0"/>
        <w:adjustRightInd w:val="0"/>
        <w:rPr>
          <w:rFonts w:ascii="Arial" w:hAnsi="Arial" w:cs="Arial"/>
          <w:sz w:val="20"/>
          <w:szCs w:val="20"/>
        </w:rPr>
      </w:pPr>
      <w:r>
        <w:rPr>
          <w:rFonts w:ascii="Arial" w:hAnsi="Arial" w:cs="Arial"/>
          <w:sz w:val="20"/>
          <w:szCs w:val="20"/>
        </w:rPr>
        <w:t>Judi L. Sobecki</w:t>
      </w:r>
    </w:p>
    <w:p w:rsidR="00F05C4B" w:rsidRDefault="00537CB4">
      <w:pPr>
        <w:autoSpaceDE w:val="0"/>
        <w:autoSpaceDN w:val="0"/>
        <w:adjustRightInd w:val="0"/>
        <w:rPr>
          <w:rFonts w:ascii="Arial" w:hAnsi="Arial" w:cs="Arial"/>
          <w:sz w:val="20"/>
          <w:szCs w:val="20"/>
        </w:rPr>
      </w:pPr>
      <w:r>
        <w:rPr>
          <w:rFonts w:ascii="Arial" w:hAnsi="Arial" w:cs="Arial"/>
          <w:sz w:val="20"/>
          <w:szCs w:val="20"/>
        </w:rPr>
        <w:t>The Dayton Power &amp; Light Company</w:t>
      </w:r>
    </w:p>
    <w:p w:rsidR="00F05C4B" w:rsidRDefault="00537CB4">
      <w:pPr>
        <w:autoSpaceDE w:val="0"/>
        <w:autoSpaceDN w:val="0"/>
        <w:adjustRightInd w:val="0"/>
        <w:rPr>
          <w:rFonts w:ascii="Arial" w:hAnsi="Arial" w:cs="Arial"/>
          <w:sz w:val="20"/>
          <w:szCs w:val="20"/>
        </w:rPr>
      </w:pPr>
      <w:r>
        <w:rPr>
          <w:rFonts w:ascii="Arial" w:hAnsi="Arial" w:cs="Arial"/>
          <w:sz w:val="20"/>
          <w:szCs w:val="20"/>
        </w:rPr>
        <w:t>MacGregor Park</w:t>
      </w:r>
    </w:p>
    <w:p w:rsidR="00F05C4B" w:rsidRDefault="00537CB4">
      <w:pPr>
        <w:autoSpaceDE w:val="0"/>
        <w:autoSpaceDN w:val="0"/>
        <w:adjustRightInd w:val="0"/>
        <w:rPr>
          <w:rFonts w:ascii="Arial" w:hAnsi="Arial" w:cs="Arial"/>
          <w:sz w:val="20"/>
          <w:szCs w:val="20"/>
        </w:rPr>
      </w:pPr>
      <w:r>
        <w:rPr>
          <w:rFonts w:ascii="Arial" w:hAnsi="Arial" w:cs="Arial"/>
          <w:sz w:val="20"/>
          <w:szCs w:val="20"/>
        </w:rPr>
        <w:t>1065 Woodman Avenue</w:t>
      </w:r>
    </w:p>
    <w:p w:rsidR="00F05C4B" w:rsidRDefault="00537CB4">
      <w:pPr>
        <w:autoSpaceDE w:val="0"/>
        <w:autoSpaceDN w:val="0"/>
        <w:adjustRightInd w:val="0"/>
        <w:rPr>
          <w:rFonts w:ascii="Arial" w:hAnsi="Arial" w:cs="Arial"/>
          <w:sz w:val="20"/>
          <w:szCs w:val="20"/>
        </w:rPr>
      </w:pPr>
      <w:r>
        <w:rPr>
          <w:rFonts w:ascii="Arial" w:hAnsi="Arial" w:cs="Arial"/>
          <w:sz w:val="20"/>
          <w:szCs w:val="20"/>
        </w:rPr>
        <w:t>Dayton, Ohio 45432</w:t>
      </w:r>
    </w:p>
    <w:p w:rsidR="00F05C4B" w:rsidRDefault="00537CB4">
      <w:pPr>
        <w:autoSpaceDE w:val="0"/>
        <w:autoSpaceDN w:val="0"/>
        <w:adjustRightInd w:val="0"/>
        <w:rPr>
          <w:rFonts w:ascii="Arial" w:hAnsi="Arial" w:cs="Arial"/>
          <w:sz w:val="20"/>
          <w:szCs w:val="20"/>
        </w:rPr>
      </w:pPr>
      <w:r>
        <w:rPr>
          <w:rFonts w:ascii="Arial" w:hAnsi="Arial" w:cs="Arial"/>
          <w:sz w:val="20"/>
          <w:szCs w:val="20"/>
        </w:rPr>
        <w:t>randall.griffin@dplinc.com</w:t>
      </w:r>
    </w:p>
    <w:p w:rsidR="00F05C4B" w:rsidRDefault="00537CB4">
      <w:pPr>
        <w:autoSpaceDE w:val="0"/>
        <w:autoSpaceDN w:val="0"/>
        <w:adjustRightInd w:val="0"/>
        <w:rPr>
          <w:rFonts w:ascii="Arial" w:hAnsi="Arial" w:cs="Arial"/>
          <w:sz w:val="20"/>
          <w:szCs w:val="20"/>
        </w:rPr>
      </w:pPr>
      <w:r>
        <w:rPr>
          <w:rFonts w:ascii="Arial" w:hAnsi="Arial" w:cs="Arial"/>
          <w:sz w:val="20"/>
          <w:szCs w:val="20"/>
        </w:rPr>
        <w:t>judi.sobecki@dplinc.com</w:t>
      </w:r>
    </w:p>
    <w:p w:rsidR="00F05C4B" w:rsidRDefault="00F05C4B">
      <w:pPr>
        <w:autoSpaceDE w:val="0"/>
        <w:autoSpaceDN w:val="0"/>
        <w:adjustRightInd w:val="0"/>
        <w:rPr>
          <w:rFonts w:ascii="Arial" w:hAnsi="Arial" w:cs="Arial"/>
          <w:sz w:val="20"/>
          <w:szCs w:val="20"/>
        </w:rPr>
      </w:pPr>
    </w:p>
    <w:p w:rsidR="00F05C4B" w:rsidRDefault="00537CB4">
      <w:pPr>
        <w:autoSpaceDE w:val="0"/>
        <w:autoSpaceDN w:val="0"/>
        <w:adjustRightInd w:val="0"/>
        <w:rPr>
          <w:rFonts w:ascii="Arial Bold" w:hAnsi="Arial Bold" w:cs="Arial"/>
          <w:b/>
          <w:smallCaps/>
          <w:sz w:val="20"/>
          <w:szCs w:val="20"/>
        </w:rPr>
      </w:pPr>
      <w:r>
        <w:rPr>
          <w:rFonts w:ascii="Arial Bold" w:hAnsi="Arial Bold" w:cs="Arial"/>
          <w:b/>
          <w:smallCaps/>
          <w:sz w:val="20"/>
          <w:szCs w:val="20"/>
        </w:rPr>
        <w:t>On Behalf of The Dayton Power &amp; Light Company</w:t>
      </w:r>
    </w:p>
    <w:p w:rsidR="00F05C4B" w:rsidRDefault="00F05C4B">
      <w:pPr>
        <w:autoSpaceDE w:val="0"/>
        <w:autoSpaceDN w:val="0"/>
        <w:adjustRightInd w:val="0"/>
        <w:rPr>
          <w:rFonts w:ascii="Arial" w:hAnsi="Arial" w:cs="Arial"/>
          <w:sz w:val="20"/>
          <w:szCs w:val="20"/>
        </w:rPr>
      </w:pPr>
    </w:p>
    <w:p w:rsidR="00F05C4B" w:rsidRDefault="00537CB4">
      <w:pPr>
        <w:tabs>
          <w:tab w:val="left" w:pos="2160"/>
          <w:tab w:val="left" w:pos="2280"/>
        </w:tabs>
        <w:rPr>
          <w:rFonts w:ascii="Arial" w:hAnsi="Arial" w:cs="Arial"/>
          <w:sz w:val="20"/>
          <w:szCs w:val="20"/>
        </w:rPr>
      </w:pPr>
      <w:r>
        <w:rPr>
          <w:rFonts w:ascii="Arial" w:hAnsi="Arial" w:cs="Arial"/>
          <w:sz w:val="20"/>
          <w:szCs w:val="20"/>
        </w:rPr>
        <w:t>Colleen L. Mooney (Reg. No. 0015668)</w:t>
      </w:r>
    </w:p>
    <w:p w:rsidR="00F05C4B" w:rsidRDefault="00537CB4">
      <w:pPr>
        <w:tabs>
          <w:tab w:val="left" w:pos="2160"/>
          <w:tab w:val="left" w:pos="2280"/>
        </w:tabs>
        <w:rPr>
          <w:rFonts w:ascii="Arial" w:hAnsi="Arial" w:cs="Arial"/>
          <w:sz w:val="20"/>
          <w:szCs w:val="20"/>
        </w:rPr>
      </w:pPr>
      <w:r>
        <w:rPr>
          <w:rFonts w:ascii="Arial" w:hAnsi="Arial" w:cs="Arial"/>
          <w:sz w:val="20"/>
          <w:szCs w:val="20"/>
        </w:rPr>
        <w:t>Ohio Partners for Affordable Energy</w:t>
      </w:r>
    </w:p>
    <w:p w:rsidR="00F05C4B" w:rsidRDefault="00537CB4">
      <w:pPr>
        <w:tabs>
          <w:tab w:val="left" w:pos="2160"/>
          <w:tab w:val="left" w:pos="2280"/>
        </w:tabs>
        <w:rPr>
          <w:rFonts w:ascii="Arial" w:hAnsi="Arial" w:cs="Arial"/>
          <w:sz w:val="20"/>
          <w:szCs w:val="20"/>
        </w:rPr>
      </w:pPr>
      <w:r>
        <w:rPr>
          <w:rFonts w:ascii="Arial" w:hAnsi="Arial" w:cs="Arial"/>
          <w:sz w:val="20"/>
          <w:szCs w:val="20"/>
        </w:rPr>
        <w:t>231 West Lima Street</w:t>
      </w:r>
    </w:p>
    <w:p w:rsidR="00F05C4B" w:rsidRDefault="00537CB4">
      <w:pPr>
        <w:tabs>
          <w:tab w:val="left" w:pos="2160"/>
          <w:tab w:val="left" w:pos="2280"/>
        </w:tabs>
        <w:rPr>
          <w:rFonts w:ascii="Arial" w:hAnsi="Arial" w:cs="Arial"/>
          <w:sz w:val="20"/>
          <w:szCs w:val="20"/>
        </w:rPr>
      </w:pPr>
      <w:r>
        <w:rPr>
          <w:rFonts w:ascii="Arial" w:hAnsi="Arial" w:cs="Arial"/>
          <w:sz w:val="20"/>
          <w:szCs w:val="20"/>
        </w:rPr>
        <w:t>PO Box 1793</w:t>
      </w:r>
    </w:p>
    <w:p w:rsidR="00F05C4B" w:rsidRDefault="00537CB4">
      <w:pPr>
        <w:tabs>
          <w:tab w:val="left" w:pos="2160"/>
          <w:tab w:val="left" w:pos="2280"/>
        </w:tabs>
        <w:rPr>
          <w:rFonts w:ascii="Arial" w:hAnsi="Arial" w:cs="Arial"/>
          <w:sz w:val="20"/>
          <w:szCs w:val="20"/>
        </w:rPr>
      </w:pPr>
      <w:r>
        <w:rPr>
          <w:rFonts w:ascii="Arial" w:hAnsi="Arial" w:cs="Arial"/>
          <w:sz w:val="20"/>
          <w:szCs w:val="20"/>
        </w:rPr>
        <w:t>Findlay, OH  45839-1793</w:t>
      </w:r>
    </w:p>
    <w:p w:rsidR="00F05C4B" w:rsidRDefault="00537CB4">
      <w:pPr>
        <w:tabs>
          <w:tab w:val="left" w:pos="2160"/>
          <w:tab w:val="left" w:pos="2280"/>
        </w:tabs>
        <w:rPr>
          <w:rFonts w:ascii="Arial" w:hAnsi="Arial" w:cs="Arial"/>
          <w:sz w:val="20"/>
          <w:szCs w:val="20"/>
        </w:rPr>
      </w:pPr>
      <w:r>
        <w:rPr>
          <w:rFonts w:ascii="Arial" w:hAnsi="Arial" w:cs="Arial"/>
          <w:sz w:val="20"/>
          <w:szCs w:val="20"/>
        </w:rPr>
        <w:t>cmooney@ohiopartners.org</w:t>
      </w:r>
    </w:p>
    <w:p w:rsidR="00F05C4B" w:rsidRDefault="00F05C4B">
      <w:pPr>
        <w:tabs>
          <w:tab w:val="left" w:pos="2160"/>
          <w:tab w:val="left" w:pos="2280"/>
        </w:tabs>
        <w:rPr>
          <w:rFonts w:ascii="Arial" w:hAnsi="Arial" w:cs="Arial"/>
          <w:sz w:val="20"/>
          <w:szCs w:val="20"/>
        </w:rPr>
      </w:pPr>
    </w:p>
    <w:p w:rsidR="00F05C4B" w:rsidRDefault="00537CB4">
      <w:pPr>
        <w:autoSpaceDE w:val="0"/>
        <w:autoSpaceDN w:val="0"/>
        <w:adjustRightInd w:val="0"/>
        <w:rPr>
          <w:rFonts w:ascii="Arial Bold" w:hAnsi="Arial Bold" w:cs="Arial"/>
          <w:b/>
          <w:smallCaps/>
          <w:sz w:val="20"/>
          <w:szCs w:val="20"/>
        </w:rPr>
      </w:pPr>
      <w:r>
        <w:rPr>
          <w:rFonts w:ascii="Arial Bold" w:hAnsi="Arial Bold" w:cs="Arial"/>
          <w:b/>
          <w:smallCaps/>
          <w:sz w:val="20"/>
          <w:szCs w:val="20"/>
        </w:rPr>
        <w:t>On Behalf of Ohio Partners for Affordable Energy</w:t>
      </w:r>
    </w:p>
    <w:p w:rsidR="00F05C4B" w:rsidRDefault="00F05C4B">
      <w:pPr>
        <w:tabs>
          <w:tab w:val="left" w:pos="2160"/>
          <w:tab w:val="left" w:pos="2280"/>
        </w:tabs>
        <w:rPr>
          <w:rFonts w:ascii="Arial" w:hAnsi="Arial" w:cs="Arial"/>
          <w:sz w:val="20"/>
          <w:szCs w:val="20"/>
        </w:rPr>
      </w:pPr>
    </w:p>
    <w:p w:rsidR="00F05C4B" w:rsidRDefault="00537CB4">
      <w:pPr>
        <w:tabs>
          <w:tab w:val="left" w:pos="2160"/>
          <w:tab w:val="left" w:pos="2280"/>
        </w:tabs>
        <w:rPr>
          <w:rFonts w:ascii="Arial" w:hAnsi="Arial" w:cs="Arial"/>
          <w:sz w:val="20"/>
          <w:szCs w:val="20"/>
        </w:rPr>
      </w:pPr>
      <w:r>
        <w:rPr>
          <w:rFonts w:ascii="Arial" w:hAnsi="Arial" w:cs="Arial"/>
          <w:sz w:val="20"/>
          <w:szCs w:val="20"/>
        </w:rPr>
        <w:t>BRUCE J. WESTON</w:t>
      </w:r>
    </w:p>
    <w:p w:rsidR="00F05C4B" w:rsidRDefault="00537CB4">
      <w:pPr>
        <w:tabs>
          <w:tab w:val="left" w:pos="2160"/>
          <w:tab w:val="left" w:pos="2280"/>
        </w:tabs>
        <w:rPr>
          <w:rFonts w:ascii="Arial" w:hAnsi="Arial" w:cs="Arial"/>
          <w:sz w:val="20"/>
          <w:szCs w:val="20"/>
        </w:rPr>
      </w:pPr>
      <w:r>
        <w:rPr>
          <w:rFonts w:ascii="Arial" w:hAnsi="Arial" w:cs="Arial"/>
          <w:sz w:val="20"/>
          <w:szCs w:val="20"/>
        </w:rPr>
        <w:t>OHIO CONSUMERS’ COUNSEL</w:t>
      </w:r>
    </w:p>
    <w:p w:rsidR="00F05C4B" w:rsidRDefault="00F05C4B">
      <w:pPr>
        <w:tabs>
          <w:tab w:val="left" w:pos="2160"/>
          <w:tab w:val="left" w:pos="2280"/>
        </w:tabs>
        <w:rPr>
          <w:rFonts w:ascii="Arial" w:hAnsi="Arial" w:cs="Arial"/>
          <w:sz w:val="20"/>
          <w:szCs w:val="20"/>
        </w:rPr>
      </w:pPr>
    </w:p>
    <w:p w:rsidR="00F05C4B" w:rsidRDefault="00537CB4">
      <w:pPr>
        <w:tabs>
          <w:tab w:val="left" w:pos="2160"/>
          <w:tab w:val="left" w:pos="2280"/>
        </w:tabs>
        <w:rPr>
          <w:rFonts w:ascii="Arial" w:hAnsi="Arial" w:cs="Arial"/>
          <w:sz w:val="20"/>
          <w:szCs w:val="20"/>
        </w:rPr>
      </w:pPr>
      <w:r>
        <w:rPr>
          <w:rFonts w:ascii="Arial" w:hAnsi="Arial" w:cs="Arial"/>
          <w:sz w:val="20"/>
          <w:szCs w:val="20"/>
        </w:rPr>
        <w:t>Joseph P. Serio (Reg. No. 0036959)</w:t>
      </w:r>
    </w:p>
    <w:p w:rsidR="00F05C4B" w:rsidRDefault="00537CB4">
      <w:pPr>
        <w:tabs>
          <w:tab w:val="left" w:pos="2160"/>
          <w:tab w:val="left" w:pos="2280"/>
        </w:tabs>
        <w:rPr>
          <w:rFonts w:ascii="Arial" w:hAnsi="Arial" w:cs="Arial"/>
          <w:sz w:val="20"/>
          <w:szCs w:val="20"/>
        </w:rPr>
      </w:pPr>
      <w:r>
        <w:rPr>
          <w:rFonts w:ascii="Arial" w:hAnsi="Arial" w:cs="Arial"/>
          <w:sz w:val="20"/>
          <w:szCs w:val="20"/>
        </w:rPr>
        <w:t>(Counsel of Record)</w:t>
      </w:r>
    </w:p>
    <w:p w:rsidR="00F05C4B" w:rsidRDefault="00537CB4">
      <w:pPr>
        <w:tabs>
          <w:tab w:val="left" w:pos="2160"/>
          <w:tab w:val="left" w:pos="2280"/>
        </w:tabs>
        <w:rPr>
          <w:rFonts w:ascii="Arial" w:hAnsi="Arial" w:cs="Arial"/>
          <w:sz w:val="20"/>
          <w:szCs w:val="20"/>
        </w:rPr>
      </w:pPr>
      <w:r>
        <w:rPr>
          <w:rFonts w:ascii="Arial" w:hAnsi="Arial" w:cs="Arial"/>
          <w:sz w:val="20"/>
          <w:szCs w:val="20"/>
        </w:rPr>
        <w:t>Assistant Consumers’ Counsel</w:t>
      </w:r>
    </w:p>
    <w:p w:rsidR="00F05C4B" w:rsidRDefault="00537CB4">
      <w:pPr>
        <w:tabs>
          <w:tab w:val="left" w:pos="2160"/>
          <w:tab w:val="left" w:pos="2280"/>
        </w:tabs>
        <w:rPr>
          <w:rFonts w:ascii="Arial" w:hAnsi="Arial" w:cs="Arial"/>
          <w:sz w:val="20"/>
          <w:szCs w:val="20"/>
        </w:rPr>
      </w:pPr>
      <w:r>
        <w:rPr>
          <w:rFonts w:ascii="Arial" w:hAnsi="Arial" w:cs="Arial"/>
          <w:sz w:val="20"/>
          <w:szCs w:val="20"/>
        </w:rPr>
        <w:t>Office of the Ohio Consumers’ Counsel</w:t>
      </w:r>
    </w:p>
    <w:p w:rsidR="00F05C4B" w:rsidRDefault="00537CB4">
      <w:pPr>
        <w:tabs>
          <w:tab w:val="left" w:pos="2160"/>
          <w:tab w:val="left" w:pos="2280"/>
        </w:tabs>
        <w:rPr>
          <w:rFonts w:ascii="Arial" w:hAnsi="Arial" w:cs="Arial"/>
          <w:sz w:val="20"/>
          <w:szCs w:val="20"/>
        </w:rPr>
      </w:pPr>
      <w:r>
        <w:rPr>
          <w:rFonts w:ascii="Arial" w:hAnsi="Arial" w:cs="Arial"/>
          <w:sz w:val="20"/>
          <w:szCs w:val="20"/>
        </w:rPr>
        <w:t>10 West Broad Street, Suite 1800</w:t>
      </w:r>
    </w:p>
    <w:p w:rsidR="00F05C4B" w:rsidRDefault="00537CB4">
      <w:pPr>
        <w:tabs>
          <w:tab w:val="left" w:pos="2160"/>
          <w:tab w:val="left" w:pos="2280"/>
        </w:tabs>
        <w:rPr>
          <w:rFonts w:ascii="Arial" w:hAnsi="Arial" w:cs="Arial"/>
          <w:sz w:val="20"/>
          <w:szCs w:val="20"/>
        </w:rPr>
      </w:pPr>
      <w:r>
        <w:rPr>
          <w:rFonts w:ascii="Arial" w:hAnsi="Arial" w:cs="Arial"/>
          <w:sz w:val="20"/>
          <w:szCs w:val="20"/>
        </w:rPr>
        <w:t>Columbus, OH  43215-3485</w:t>
      </w:r>
    </w:p>
    <w:p w:rsidR="00F05C4B" w:rsidRDefault="00537CB4">
      <w:pPr>
        <w:tabs>
          <w:tab w:val="left" w:pos="2160"/>
          <w:tab w:val="left" w:pos="2280"/>
        </w:tabs>
        <w:rPr>
          <w:rFonts w:ascii="Arial" w:hAnsi="Arial" w:cs="Arial"/>
          <w:sz w:val="20"/>
          <w:szCs w:val="20"/>
        </w:rPr>
      </w:pPr>
      <w:r>
        <w:rPr>
          <w:rFonts w:ascii="Arial" w:hAnsi="Arial" w:cs="Arial"/>
          <w:sz w:val="20"/>
          <w:szCs w:val="20"/>
        </w:rPr>
        <w:t>Joseph.serio@occ.ohio.gov</w:t>
      </w:r>
    </w:p>
    <w:p w:rsidR="00F05C4B" w:rsidRDefault="00F05C4B">
      <w:pPr>
        <w:tabs>
          <w:tab w:val="left" w:pos="2160"/>
          <w:tab w:val="left" w:pos="2280"/>
        </w:tabs>
        <w:rPr>
          <w:rFonts w:ascii="Arial" w:hAnsi="Arial" w:cs="Arial"/>
          <w:sz w:val="20"/>
          <w:szCs w:val="20"/>
        </w:rPr>
      </w:pPr>
    </w:p>
    <w:p w:rsidR="00F05C4B" w:rsidRDefault="00537CB4">
      <w:pPr>
        <w:autoSpaceDE w:val="0"/>
        <w:autoSpaceDN w:val="0"/>
        <w:adjustRightInd w:val="0"/>
        <w:rPr>
          <w:rFonts w:ascii="Arial Bold" w:hAnsi="Arial Bold" w:cs="Arial"/>
          <w:b/>
          <w:smallCaps/>
          <w:sz w:val="20"/>
          <w:szCs w:val="20"/>
        </w:rPr>
      </w:pPr>
      <w:r>
        <w:rPr>
          <w:rFonts w:ascii="Arial Bold" w:hAnsi="Arial Bold" w:cs="Arial"/>
          <w:b/>
          <w:smallCaps/>
          <w:sz w:val="20"/>
          <w:szCs w:val="20"/>
        </w:rPr>
        <w:t>On Behalf of the Office of the Ohio Consumers’ Counsel</w:t>
      </w:r>
    </w:p>
    <w:p w:rsidR="00F05C4B" w:rsidRDefault="00F05C4B">
      <w:pPr>
        <w:tabs>
          <w:tab w:val="left" w:pos="2160"/>
          <w:tab w:val="left" w:pos="2280"/>
        </w:tabs>
        <w:rPr>
          <w:rFonts w:ascii="Arial" w:hAnsi="Arial" w:cs="Arial"/>
          <w:sz w:val="20"/>
          <w:szCs w:val="20"/>
        </w:rPr>
      </w:pPr>
    </w:p>
    <w:p w:rsidR="00F05C4B" w:rsidRDefault="00F05C4B">
      <w:pPr>
        <w:tabs>
          <w:tab w:val="left" w:pos="2160"/>
          <w:tab w:val="left" w:pos="2280"/>
        </w:tabs>
        <w:rPr>
          <w:rFonts w:ascii="Arial" w:hAnsi="Arial" w:cs="Arial"/>
          <w:sz w:val="20"/>
          <w:szCs w:val="20"/>
        </w:rPr>
        <w:sectPr w:rsidR="00F05C4B">
          <w:type w:val="continuous"/>
          <w:pgSz w:w="12240" w:h="15840" w:code="1"/>
          <w:pgMar w:top="1440" w:right="1440" w:bottom="1141" w:left="1440" w:header="720" w:footer="720" w:gutter="0"/>
          <w:pgNumType w:start="1"/>
          <w:cols w:num="2" w:space="720"/>
          <w:titlePg/>
          <w:docGrid w:linePitch="326"/>
        </w:sectPr>
      </w:pPr>
    </w:p>
    <w:p w:rsidR="00F05C4B" w:rsidRDefault="00537CB4">
      <w:pPr>
        <w:tabs>
          <w:tab w:val="left" w:pos="2160"/>
          <w:tab w:val="left" w:pos="2280"/>
        </w:tabs>
        <w:rPr>
          <w:rFonts w:ascii="Arial" w:hAnsi="Arial" w:cs="Arial"/>
          <w:sz w:val="20"/>
          <w:szCs w:val="20"/>
        </w:rPr>
      </w:pPr>
      <w:r>
        <w:rPr>
          <w:rFonts w:ascii="Arial" w:hAnsi="Arial" w:cs="Arial"/>
          <w:sz w:val="20"/>
          <w:szCs w:val="20"/>
        </w:rPr>
        <w:lastRenderedPageBreak/>
        <w:t>Thomas McNamee</w:t>
      </w:r>
    </w:p>
    <w:p w:rsidR="00F05C4B" w:rsidRDefault="00537CB4">
      <w:pPr>
        <w:tabs>
          <w:tab w:val="left" w:pos="2160"/>
          <w:tab w:val="left" w:pos="2280"/>
        </w:tabs>
        <w:rPr>
          <w:rFonts w:ascii="Arial" w:hAnsi="Arial" w:cs="Arial"/>
          <w:sz w:val="20"/>
          <w:szCs w:val="20"/>
        </w:rPr>
      </w:pPr>
      <w:r>
        <w:rPr>
          <w:rFonts w:ascii="Arial" w:hAnsi="Arial" w:cs="Arial"/>
          <w:sz w:val="20"/>
          <w:szCs w:val="20"/>
        </w:rPr>
        <w:t xml:space="preserve">Assistant Attorney General </w:t>
      </w:r>
    </w:p>
    <w:p w:rsidR="00F05C4B" w:rsidRDefault="00537CB4">
      <w:pPr>
        <w:tabs>
          <w:tab w:val="left" w:pos="2160"/>
          <w:tab w:val="left" w:pos="2280"/>
        </w:tabs>
        <w:rPr>
          <w:rFonts w:ascii="Arial" w:hAnsi="Arial" w:cs="Arial"/>
          <w:sz w:val="20"/>
          <w:szCs w:val="20"/>
        </w:rPr>
      </w:pPr>
      <w:r>
        <w:rPr>
          <w:rFonts w:ascii="Arial" w:hAnsi="Arial" w:cs="Arial"/>
          <w:sz w:val="20"/>
          <w:szCs w:val="20"/>
        </w:rPr>
        <w:t>Public Utilities Section</w:t>
      </w:r>
    </w:p>
    <w:p w:rsidR="00F05C4B" w:rsidRDefault="00537CB4">
      <w:pPr>
        <w:tabs>
          <w:tab w:val="left" w:pos="2160"/>
          <w:tab w:val="left" w:pos="2280"/>
        </w:tabs>
        <w:rPr>
          <w:rFonts w:ascii="Arial" w:hAnsi="Arial" w:cs="Arial"/>
          <w:sz w:val="20"/>
          <w:szCs w:val="20"/>
        </w:rPr>
      </w:pPr>
      <w:r>
        <w:rPr>
          <w:rFonts w:ascii="Arial" w:hAnsi="Arial" w:cs="Arial"/>
          <w:sz w:val="20"/>
          <w:szCs w:val="20"/>
        </w:rPr>
        <w:t>180 East Broad Street</w:t>
      </w:r>
    </w:p>
    <w:p w:rsidR="00F05C4B" w:rsidRDefault="00537CB4">
      <w:pPr>
        <w:tabs>
          <w:tab w:val="left" w:pos="2160"/>
          <w:tab w:val="left" w:pos="2280"/>
        </w:tabs>
        <w:rPr>
          <w:rFonts w:ascii="Arial" w:hAnsi="Arial" w:cs="Arial"/>
          <w:sz w:val="20"/>
          <w:szCs w:val="20"/>
        </w:rPr>
      </w:pPr>
      <w:r>
        <w:rPr>
          <w:rFonts w:ascii="Arial" w:hAnsi="Arial" w:cs="Arial"/>
          <w:sz w:val="20"/>
          <w:szCs w:val="20"/>
        </w:rPr>
        <w:t>Columbus, OH  43215</w:t>
      </w:r>
    </w:p>
    <w:p w:rsidR="00F05C4B" w:rsidRDefault="00537CB4">
      <w:pPr>
        <w:tabs>
          <w:tab w:val="left" w:pos="2160"/>
          <w:tab w:val="left" w:pos="2280"/>
        </w:tabs>
        <w:rPr>
          <w:rFonts w:ascii="Arial" w:hAnsi="Arial" w:cs="Arial"/>
          <w:sz w:val="20"/>
          <w:szCs w:val="20"/>
        </w:rPr>
      </w:pPr>
      <w:r>
        <w:rPr>
          <w:rFonts w:ascii="Arial" w:hAnsi="Arial" w:cs="Arial"/>
          <w:sz w:val="20"/>
          <w:szCs w:val="20"/>
        </w:rPr>
        <w:t>thomas.mcnamee@puc.state.oh.us</w:t>
      </w:r>
    </w:p>
    <w:p w:rsidR="00F05C4B" w:rsidRDefault="00F05C4B">
      <w:pPr>
        <w:autoSpaceDE w:val="0"/>
        <w:autoSpaceDN w:val="0"/>
        <w:adjustRightInd w:val="0"/>
        <w:rPr>
          <w:rFonts w:ascii="Arial Bold" w:hAnsi="Arial Bold" w:cs="Arial"/>
          <w:b/>
          <w:smallCaps/>
          <w:sz w:val="20"/>
          <w:szCs w:val="20"/>
        </w:rPr>
      </w:pPr>
    </w:p>
    <w:p w:rsidR="00F05C4B" w:rsidRDefault="00537CB4">
      <w:pPr>
        <w:autoSpaceDE w:val="0"/>
        <w:autoSpaceDN w:val="0"/>
        <w:adjustRightInd w:val="0"/>
        <w:rPr>
          <w:rFonts w:ascii="Arial Bold" w:hAnsi="Arial Bold" w:cs="Arial"/>
          <w:b/>
          <w:smallCaps/>
          <w:sz w:val="20"/>
          <w:szCs w:val="20"/>
        </w:rPr>
      </w:pPr>
      <w:r>
        <w:rPr>
          <w:rFonts w:ascii="Arial Bold" w:hAnsi="Arial Bold" w:cs="Arial"/>
          <w:b/>
          <w:smallCaps/>
          <w:sz w:val="20"/>
          <w:szCs w:val="20"/>
        </w:rPr>
        <w:t>On Behalf of the Staff of the Public Utilities Commission of Ohio</w:t>
      </w:r>
    </w:p>
    <w:p w:rsidR="00F05C4B" w:rsidRDefault="00F05C4B">
      <w:pPr>
        <w:autoSpaceDE w:val="0"/>
        <w:autoSpaceDN w:val="0"/>
        <w:adjustRightInd w:val="0"/>
        <w:rPr>
          <w:rFonts w:ascii="Arial Bold" w:hAnsi="Arial Bold" w:cs="Arial"/>
          <w:b/>
          <w:smallCaps/>
          <w:sz w:val="20"/>
          <w:szCs w:val="20"/>
        </w:rPr>
      </w:pPr>
    </w:p>
    <w:p w:rsidR="00F05C4B" w:rsidRDefault="00537CB4">
      <w:pPr>
        <w:autoSpaceDE w:val="0"/>
        <w:autoSpaceDN w:val="0"/>
        <w:adjustRightInd w:val="0"/>
        <w:rPr>
          <w:rFonts w:ascii="Arial" w:hAnsi="Arial" w:cs="Arial"/>
          <w:sz w:val="20"/>
          <w:szCs w:val="20"/>
        </w:rPr>
      </w:pPr>
      <w:r>
        <w:rPr>
          <w:rFonts w:ascii="Arial" w:hAnsi="Arial" w:cs="Arial"/>
          <w:sz w:val="20"/>
          <w:szCs w:val="20"/>
        </w:rPr>
        <w:t>Greta See</w:t>
      </w:r>
    </w:p>
    <w:p w:rsidR="00F05C4B" w:rsidRDefault="00537CB4">
      <w:pPr>
        <w:autoSpaceDE w:val="0"/>
        <w:autoSpaceDN w:val="0"/>
        <w:adjustRightInd w:val="0"/>
        <w:rPr>
          <w:rFonts w:ascii="Arial" w:hAnsi="Arial" w:cs="Arial"/>
          <w:sz w:val="20"/>
          <w:szCs w:val="20"/>
        </w:rPr>
      </w:pPr>
      <w:r>
        <w:rPr>
          <w:rFonts w:ascii="Arial" w:hAnsi="Arial" w:cs="Arial"/>
          <w:sz w:val="20"/>
          <w:szCs w:val="20"/>
        </w:rPr>
        <w:t>Public Utilities Commission of Ohio</w:t>
      </w:r>
    </w:p>
    <w:p w:rsidR="00F05C4B" w:rsidRDefault="00537CB4">
      <w:pPr>
        <w:autoSpaceDE w:val="0"/>
        <w:autoSpaceDN w:val="0"/>
        <w:adjustRightInd w:val="0"/>
        <w:rPr>
          <w:rFonts w:ascii="Arial" w:hAnsi="Arial" w:cs="Arial"/>
          <w:sz w:val="20"/>
          <w:szCs w:val="20"/>
        </w:rPr>
      </w:pPr>
      <w:r>
        <w:rPr>
          <w:rFonts w:ascii="Arial" w:hAnsi="Arial" w:cs="Arial"/>
          <w:sz w:val="20"/>
          <w:szCs w:val="20"/>
        </w:rPr>
        <w:t>180 East Broad Street</w:t>
      </w:r>
    </w:p>
    <w:p w:rsidR="00F05C4B" w:rsidRDefault="00537CB4">
      <w:pPr>
        <w:autoSpaceDE w:val="0"/>
        <w:autoSpaceDN w:val="0"/>
        <w:adjustRightInd w:val="0"/>
        <w:rPr>
          <w:rFonts w:ascii="Arial" w:hAnsi="Arial" w:cs="Arial"/>
          <w:sz w:val="20"/>
          <w:szCs w:val="20"/>
        </w:rPr>
      </w:pPr>
      <w:r>
        <w:rPr>
          <w:rFonts w:ascii="Arial" w:hAnsi="Arial" w:cs="Arial"/>
          <w:sz w:val="20"/>
          <w:szCs w:val="20"/>
        </w:rPr>
        <w:t>Columbus, OH  43215</w:t>
      </w:r>
    </w:p>
    <w:p w:rsidR="00F05C4B" w:rsidRDefault="00537CB4">
      <w:pPr>
        <w:autoSpaceDE w:val="0"/>
        <w:autoSpaceDN w:val="0"/>
        <w:adjustRightInd w:val="0"/>
        <w:rPr>
          <w:rFonts w:ascii="Arial" w:hAnsi="Arial" w:cs="Arial"/>
          <w:sz w:val="20"/>
          <w:szCs w:val="20"/>
        </w:rPr>
      </w:pPr>
      <w:r>
        <w:rPr>
          <w:rFonts w:ascii="Arial" w:hAnsi="Arial" w:cs="Arial"/>
          <w:sz w:val="20"/>
          <w:szCs w:val="20"/>
        </w:rPr>
        <w:t>Greta.See@puc.state.oh.us</w:t>
      </w:r>
    </w:p>
    <w:p w:rsidR="00F05C4B" w:rsidRDefault="00F05C4B">
      <w:pPr>
        <w:autoSpaceDE w:val="0"/>
        <w:autoSpaceDN w:val="0"/>
        <w:adjustRightInd w:val="0"/>
        <w:rPr>
          <w:rFonts w:ascii="Arial" w:hAnsi="Arial" w:cs="Arial"/>
          <w:sz w:val="20"/>
          <w:szCs w:val="20"/>
        </w:rPr>
      </w:pPr>
    </w:p>
    <w:p w:rsidR="00F05C4B" w:rsidRDefault="00537CB4">
      <w:pPr>
        <w:autoSpaceDE w:val="0"/>
        <w:autoSpaceDN w:val="0"/>
        <w:adjustRightInd w:val="0"/>
        <w:rPr>
          <w:rFonts w:ascii="Arial Bold" w:hAnsi="Arial Bold" w:cs="Arial"/>
          <w:b/>
          <w:smallCaps/>
          <w:sz w:val="20"/>
          <w:szCs w:val="20"/>
        </w:rPr>
      </w:pPr>
      <w:r>
        <w:rPr>
          <w:rFonts w:ascii="Arial Bold" w:hAnsi="Arial Bold" w:cs="Arial"/>
          <w:b/>
          <w:smallCaps/>
          <w:sz w:val="20"/>
          <w:szCs w:val="20"/>
        </w:rPr>
        <w:t>Attorney Examiner</w:t>
      </w:r>
    </w:p>
    <w:p w:rsidR="00F05C4B" w:rsidRDefault="00F05C4B">
      <w:pPr>
        <w:rPr>
          <w:rFonts w:ascii="Arial" w:hAnsi="Arial" w:cs="Arial"/>
        </w:rPr>
      </w:pPr>
    </w:p>
    <w:p w:rsidR="00F05C4B" w:rsidRDefault="00F05C4B">
      <w:pPr>
        <w:spacing w:line="480" w:lineRule="auto"/>
        <w:jc w:val="both"/>
        <w:rPr>
          <w:rFonts w:ascii="Arial" w:hAnsi="Arial" w:cs="Arial"/>
        </w:rPr>
      </w:pPr>
    </w:p>
    <w:sectPr w:rsidR="00F05C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4B" w:rsidRDefault="00537CB4">
      <w:r>
        <w:separator/>
      </w:r>
    </w:p>
  </w:endnote>
  <w:endnote w:type="continuationSeparator" w:id="0">
    <w:p w:rsidR="00F05C4B" w:rsidRDefault="0053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4B" w:rsidRDefault="00537CB4">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5C4B" w:rsidRDefault="00F05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4B" w:rsidRDefault="00537CB4">
    <w:pPr>
      <w:pStyle w:val="Footer"/>
      <w:framePr w:wrap="around" w:vAnchor="text" w:hAnchor="margin" w:xAlign="center" w:y="1"/>
      <w:rPr>
        <w:rStyle w:val="PageNumber"/>
        <w:rFonts w:ascii="Arial" w:hAnsi="Arial" w:cs="Arial"/>
        <w:noProof/>
        <w:sz w:val="22"/>
        <w:szCs w:val="22"/>
      </w:rPr>
    </w:pPr>
    <w:r>
      <w:rPr>
        <w:rStyle w:val="PageNumber"/>
        <w:rFonts w:ascii="Arial" w:hAnsi="Arial" w:cs="Arial"/>
        <w:noProof/>
        <w:sz w:val="22"/>
        <w:szCs w:val="22"/>
      </w:rPr>
      <w:fldChar w:fldCharType="begin"/>
    </w:r>
    <w:r>
      <w:rPr>
        <w:rStyle w:val="PageNumber"/>
        <w:rFonts w:ascii="Arial" w:hAnsi="Arial" w:cs="Arial"/>
        <w:noProof/>
        <w:sz w:val="22"/>
        <w:szCs w:val="22"/>
      </w:rPr>
      <w:instrText xml:space="preserve">PAGE  </w:instrText>
    </w:r>
    <w:r>
      <w:rPr>
        <w:rStyle w:val="PageNumber"/>
        <w:rFonts w:ascii="Arial" w:hAnsi="Arial" w:cs="Arial"/>
        <w:noProof/>
        <w:sz w:val="22"/>
        <w:szCs w:val="22"/>
      </w:rPr>
      <w:fldChar w:fldCharType="separate"/>
    </w:r>
    <w:r w:rsidR="00035F37">
      <w:rPr>
        <w:rStyle w:val="PageNumber"/>
        <w:rFonts w:ascii="Arial" w:hAnsi="Arial" w:cs="Arial"/>
        <w:noProof/>
        <w:sz w:val="22"/>
        <w:szCs w:val="22"/>
      </w:rPr>
      <w:t>i</w:t>
    </w:r>
    <w:r>
      <w:rPr>
        <w:rStyle w:val="PageNumber"/>
        <w:rFonts w:ascii="Arial" w:hAnsi="Arial" w:cs="Arial"/>
        <w:noProof/>
        <w:sz w:val="22"/>
        <w:szCs w:val="22"/>
      </w:rPr>
      <w:fldChar w:fldCharType="end"/>
    </w:r>
  </w:p>
  <w:p w:rsidR="00F05C4B" w:rsidRDefault="00D54AF4">
    <w:pPr>
      <w:pStyle w:val="Footer"/>
      <w:rPr>
        <w:rFonts w:ascii="Arial" w:hAnsi="Arial" w:cs="Arial"/>
      </w:rPr>
    </w:pPr>
    <w:r w:rsidRPr="00D54AF4">
      <w:rPr>
        <w:rFonts w:ascii="Arial" w:hAnsi="Arial" w:cs="Arial"/>
        <w:sz w:val="16"/>
      </w:rPr>
      <w:t>{</w:t>
    </w:r>
    <w:proofErr w:type="gramStart"/>
    <w:r w:rsidRPr="00D54AF4">
      <w:rPr>
        <w:rFonts w:ascii="Arial" w:hAnsi="Arial" w:cs="Arial"/>
        <w:sz w:val="16"/>
      </w:rPr>
      <w:t>C48190:2 }</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4B" w:rsidRDefault="00D54AF4">
    <w:pPr>
      <w:pStyle w:val="Footer"/>
      <w:tabs>
        <w:tab w:val="clear" w:pos="4320"/>
        <w:tab w:val="center" w:pos="4680"/>
      </w:tabs>
      <w:rPr>
        <w:rFonts w:ascii="Arial" w:hAnsi="Arial" w:cs="Arial"/>
      </w:rPr>
    </w:pPr>
    <w:r w:rsidRPr="00D54AF4">
      <w:rPr>
        <w:rFonts w:ascii="Arial" w:hAnsi="Arial" w:cs="Arial"/>
        <w:noProof/>
        <w:sz w:val="16"/>
      </w:rPr>
      <w:t>{C48190:2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4B" w:rsidRDefault="00537CB4">
      <w:pPr>
        <w:rPr>
          <w:noProof/>
        </w:rPr>
      </w:pPr>
      <w:r>
        <w:rPr>
          <w:noProof/>
        </w:rPr>
        <w:separator/>
      </w:r>
    </w:p>
  </w:footnote>
  <w:footnote w:type="continuationSeparator" w:id="0">
    <w:p w:rsidR="00F05C4B" w:rsidRDefault="00537CB4">
      <w:r>
        <w:continuationSeparator/>
      </w:r>
    </w:p>
  </w:footnote>
  <w:footnote w:id="1">
    <w:p w:rsidR="00F05C4B" w:rsidRDefault="00537CB4">
      <w:pPr>
        <w:pStyle w:val="FootnoteText"/>
      </w:pPr>
      <w:r>
        <w:rPr>
          <w:rStyle w:val="FootnoteReference"/>
        </w:rPr>
        <w:footnoteRef/>
      </w:r>
      <w:r>
        <w:t xml:space="preserve"> IEU-Ohio’s Initial Brief at 4-5.</w:t>
      </w:r>
    </w:p>
  </w:footnote>
  <w:footnote w:id="2">
    <w:p w:rsidR="00F05C4B" w:rsidRDefault="00537CB4">
      <w:pPr>
        <w:pStyle w:val="FootnoteText"/>
      </w:pPr>
      <w:r>
        <w:rPr>
          <w:rStyle w:val="FootnoteReference"/>
        </w:rPr>
        <w:footnoteRef/>
      </w:r>
      <w:r>
        <w:t xml:space="preserve"> OPAE Initial Brief at 15.</w:t>
      </w:r>
    </w:p>
  </w:footnote>
  <w:footnote w:id="3">
    <w:p w:rsidR="00F05C4B" w:rsidRDefault="00537CB4">
      <w:pPr>
        <w:pStyle w:val="FootnoteText"/>
      </w:pPr>
      <w:r>
        <w:rPr>
          <w:rStyle w:val="FootnoteReference"/>
        </w:rPr>
        <w:footnoteRef/>
      </w:r>
      <w:r>
        <w:t xml:space="preserve"> R.C. 4928.52(B).</w:t>
      </w:r>
    </w:p>
  </w:footnote>
  <w:footnote w:id="4">
    <w:p w:rsidR="00F05C4B" w:rsidRDefault="00537CB4">
      <w:pPr>
        <w:pStyle w:val="FootnoteText"/>
      </w:pPr>
      <w:r>
        <w:rPr>
          <w:rStyle w:val="FootnoteReference"/>
        </w:rPr>
        <w:footnoteRef/>
      </w:r>
      <w:r>
        <w:t xml:space="preserve"> AEP-Ohio Initial Brief at 1, 10-11.</w:t>
      </w:r>
    </w:p>
  </w:footnote>
  <w:footnote w:id="5">
    <w:p w:rsidR="00F05C4B" w:rsidRDefault="00537CB4">
      <w:pPr>
        <w:pStyle w:val="FootnoteText"/>
      </w:pPr>
      <w:r>
        <w:rPr>
          <w:rStyle w:val="FootnoteReference"/>
        </w:rPr>
        <w:footnoteRef/>
      </w:r>
      <w:r>
        <w:t xml:space="preserve"> Tr. at 151, 153. 194-196.</w:t>
      </w:r>
    </w:p>
  </w:footnote>
  <w:footnote w:id="6">
    <w:p w:rsidR="00F05C4B" w:rsidRDefault="00537CB4">
      <w:pPr>
        <w:pStyle w:val="FootnoteText"/>
      </w:pPr>
      <w:r>
        <w:rPr>
          <w:rStyle w:val="FootnoteReference"/>
        </w:rPr>
        <w:footnoteRef/>
      </w:r>
      <w:r>
        <w:t xml:space="preserve"> Tr. at 62, 67-68.</w:t>
      </w:r>
    </w:p>
  </w:footnote>
  <w:footnote w:id="7">
    <w:p w:rsidR="00F05C4B" w:rsidRDefault="00537CB4">
      <w:pPr>
        <w:pStyle w:val="FootnoteText"/>
      </w:pPr>
      <w:r>
        <w:rPr>
          <w:rStyle w:val="FootnoteReference"/>
        </w:rPr>
        <w:footnoteRef/>
      </w:r>
      <w:r>
        <w:t xml:space="preserve"> </w:t>
      </w:r>
      <w:r>
        <w:rPr>
          <w:i/>
        </w:rPr>
        <w:t xml:space="preserve">See </w:t>
      </w:r>
      <w:r>
        <w:t>IEU-Ohio Initial Brief at 6 (</w:t>
      </w:r>
      <w:r>
        <w:rPr>
          <w:i/>
        </w:rPr>
        <w:t>citing</w:t>
      </w:r>
      <w:r>
        <w:t xml:space="preserve"> Tr. at 103-104).</w:t>
      </w:r>
    </w:p>
  </w:footnote>
  <w:footnote w:id="8">
    <w:p w:rsidR="00F05C4B" w:rsidRDefault="00537CB4">
      <w:pPr>
        <w:pStyle w:val="FootnoteText"/>
      </w:pPr>
      <w:r>
        <w:rPr>
          <w:rStyle w:val="FootnoteReference"/>
        </w:rPr>
        <w:footnoteRef/>
      </w:r>
      <w:r>
        <w:t xml:space="preserve"> OPAE Ex. 3 at 7, 10, Attachment DCR-1.</w:t>
      </w:r>
    </w:p>
  </w:footnote>
  <w:footnote w:id="9">
    <w:p w:rsidR="00F05C4B" w:rsidRDefault="00537CB4">
      <w:pPr>
        <w:pStyle w:val="FootnoteText"/>
      </w:pPr>
      <w:r>
        <w:rPr>
          <w:rStyle w:val="FootnoteReference"/>
        </w:rPr>
        <w:footnoteRef/>
      </w:r>
      <w:r>
        <w:t xml:space="preserve"> R.C. 4928.52(B).</w:t>
      </w:r>
    </w:p>
  </w:footnote>
  <w:footnote w:id="10">
    <w:p w:rsidR="00F05C4B" w:rsidRDefault="00537CB4">
      <w:pPr>
        <w:pStyle w:val="FootnoteText"/>
      </w:pPr>
      <w:r>
        <w:rPr>
          <w:rStyle w:val="FootnoteReference"/>
        </w:rPr>
        <w:footnoteRef/>
      </w:r>
      <w:r>
        <w:t xml:space="preserve"> OPAE Initial Brief at 15.</w:t>
      </w:r>
    </w:p>
  </w:footnote>
  <w:footnote w:id="11">
    <w:p w:rsidR="00F05C4B" w:rsidRDefault="00537CB4">
      <w:pPr>
        <w:pStyle w:val="FootnoteText"/>
      </w:pPr>
      <w:r>
        <w:rPr>
          <w:rStyle w:val="FootnoteReference"/>
        </w:rPr>
        <w:footnoteRef/>
      </w:r>
      <w:r>
        <w:t xml:space="preserve"> IEU-Ohio Initial Brief at 6</w:t>
      </w:r>
      <w:r>
        <w:rPr>
          <w:i/>
        </w:rPr>
        <w:t xml:space="preserve"> </w:t>
      </w:r>
      <w:r>
        <w:t>(</w:t>
      </w:r>
      <w:r>
        <w:rPr>
          <w:i/>
        </w:rPr>
        <w:t xml:space="preserve">citing </w:t>
      </w:r>
      <w:r>
        <w:t>Tr. at 103-104).</w:t>
      </w:r>
    </w:p>
  </w:footnote>
  <w:footnote w:id="12">
    <w:p w:rsidR="00F05C4B" w:rsidRDefault="00537CB4">
      <w:pPr>
        <w:pStyle w:val="FootnoteText"/>
      </w:pPr>
      <w:r>
        <w:rPr>
          <w:rStyle w:val="FootnoteReference"/>
        </w:rPr>
        <w:footnoteRef/>
      </w:r>
      <w:r>
        <w:t xml:space="preserve"> </w:t>
      </w:r>
      <w:r>
        <w:rPr>
          <w:i/>
        </w:rPr>
        <w:t>Id.</w:t>
      </w:r>
      <w:r>
        <w:t xml:space="preserve"> at 9-10.</w:t>
      </w:r>
    </w:p>
  </w:footnote>
  <w:footnote w:id="13">
    <w:p w:rsidR="00F05C4B" w:rsidRDefault="00537CB4">
      <w:pPr>
        <w:pStyle w:val="FootnoteText"/>
        <w:rPr>
          <w:i/>
        </w:rPr>
      </w:pPr>
      <w:r>
        <w:rPr>
          <w:rStyle w:val="FootnoteReference"/>
        </w:rPr>
        <w:footnoteRef/>
      </w:r>
      <w:r>
        <w:t xml:space="preserve"> </w:t>
      </w:r>
      <w:r>
        <w:rPr>
          <w:i/>
        </w:rPr>
        <w:t>Id.</w:t>
      </w:r>
    </w:p>
  </w:footnote>
  <w:footnote w:id="14">
    <w:p w:rsidR="00F05C4B" w:rsidRDefault="00537CB4">
      <w:pPr>
        <w:pStyle w:val="FootnoteText"/>
      </w:pPr>
      <w:r>
        <w:rPr>
          <w:rStyle w:val="FootnoteReference"/>
        </w:rPr>
        <w:footnoteRef/>
      </w:r>
      <w:r>
        <w:t xml:space="preserve"> </w:t>
      </w:r>
      <w:r>
        <w:rPr>
          <w:i/>
        </w:rPr>
        <w:t xml:space="preserve">Id. </w:t>
      </w:r>
      <w:r>
        <w:t>at 6-8.</w:t>
      </w:r>
    </w:p>
  </w:footnote>
  <w:footnote w:id="15">
    <w:p w:rsidR="00F05C4B" w:rsidRDefault="00537CB4">
      <w:pPr>
        <w:pStyle w:val="FootnoteText"/>
      </w:pPr>
      <w:r>
        <w:rPr>
          <w:rStyle w:val="FootnoteReference"/>
        </w:rPr>
        <w:footnoteRef/>
      </w:r>
      <w:r>
        <w:t xml:space="preserve"> OPAE Initial Brief at 4-6.</w:t>
      </w:r>
    </w:p>
  </w:footnote>
  <w:footnote w:id="16">
    <w:p w:rsidR="00F05C4B" w:rsidRDefault="00537CB4">
      <w:pPr>
        <w:pStyle w:val="FootnoteText"/>
      </w:pPr>
      <w:r>
        <w:rPr>
          <w:rStyle w:val="FootnoteReference"/>
        </w:rPr>
        <w:footnoteRef/>
      </w:r>
      <w:r>
        <w:t xml:space="preserve"> </w:t>
      </w:r>
      <w:r>
        <w:rPr>
          <w:i/>
        </w:rPr>
        <w:t>In the Matter of the Application of the Ohio Development Services Agency for an Order Approving Adjustments to the Universal Service Fund Riders of Jurisdictional Ohio Electric Distribution Utilities</w:t>
      </w:r>
      <w:r>
        <w:t>, Case No. 14-1002-EL-USF, Opinion and Order at 10 (Dec. 10, 2014) (“</w:t>
      </w:r>
      <w:r>
        <w:rPr>
          <w:i/>
        </w:rPr>
        <w:t>2014 USF Case</w:t>
      </w:r>
      <w:r>
        <w:t>”).</w:t>
      </w:r>
    </w:p>
  </w:footnote>
  <w:footnote w:id="17">
    <w:p w:rsidR="00F05C4B" w:rsidRDefault="00537CB4">
      <w:pPr>
        <w:pStyle w:val="FootnoteText"/>
      </w:pPr>
      <w:r>
        <w:rPr>
          <w:rStyle w:val="FootnoteReference"/>
        </w:rPr>
        <w:footnoteRef/>
      </w:r>
      <w:r>
        <w:t xml:space="preserve"> OPAE Initial Brief at 8.</w:t>
      </w:r>
    </w:p>
  </w:footnote>
  <w:footnote w:id="18">
    <w:p w:rsidR="00F05C4B" w:rsidRDefault="00537CB4">
      <w:pPr>
        <w:pStyle w:val="FootnoteText"/>
        <w:rPr>
          <w:i/>
        </w:rPr>
      </w:pPr>
      <w:r>
        <w:rPr>
          <w:rStyle w:val="FootnoteReference"/>
        </w:rPr>
        <w:footnoteRef/>
      </w:r>
      <w:r>
        <w:t xml:space="preserve"> </w:t>
      </w:r>
      <w:r>
        <w:rPr>
          <w:i/>
        </w:rPr>
        <w:t>Id.</w:t>
      </w:r>
    </w:p>
  </w:footnote>
  <w:footnote w:id="19">
    <w:p w:rsidR="00F05C4B" w:rsidRDefault="00537CB4">
      <w:pPr>
        <w:pStyle w:val="FootnoteText"/>
      </w:pPr>
      <w:r>
        <w:rPr>
          <w:rStyle w:val="FootnoteReference"/>
        </w:rPr>
        <w:footnoteRef/>
      </w:r>
      <w:r>
        <w:t xml:space="preserve"> OPAE Initial Brief at 7; ODSA Ex. 2 at 5.   </w:t>
      </w:r>
    </w:p>
  </w:footnote>
  <w:footnote w:id="20">
    <w:p w:rsidR="00F05C4B" w:rsidRDefault="00537CB4">
      <w:pPr>
        <w:pStyle w:val="FootnoteText"/>
      </w:pPr>
      <w:r>
        <w:rPr>
          <w:rStyle w:val="FootnoteReference"/>
        </w:rPr>
        <w:footnoteRef/>
      </w:r>
      <w:r>
        <w:t xml:space="preserve"> Tr. at 160-169.</w:t>
      </w:r>
    </w:p>
  </w:footnote>
  <w:footnote w:id="21">
    <w:p w:rsidR="00F05C4B" w:rsidRDefault="00537CB4">
      <w:pPr>
        <w:pStyle w:val="FootnoteText"/>
      </w:pPr>
      <w:r>
        <w:rPr>
          <w:rStyle w:val="FootnoteReference"/>
        </w:rPr>
        <w:footnoteRef/>
      </w:r>
      <w:r>
        <w:t xml:space="preserve"> Joint Expedited Motion to Adopt Stipulated Facts and Process in Lieu of Pre-Filed Testimony and Hearing at 4-5 (Aug. 24, 2015); </w:t>
      </w:r>
      <w:r>
        <w:rPr>
          <w:i/>
        </w:rPr>
        <w:t>see also</w:t>
      </w:r>
      <w:r>
        <w:t xml:space="preserve"> Tr. at 160-167.</w:t>
      </w:r>
    </w:p>
  </w:footnote>
  <w:footnote w:id="22">
    <w:p w:rsidR="00F05C4B" w:rsidRDefault="00537CB4">
      <w:pPr>
        <w:pStyle w:val="FootnoteText"/>
      </w:pPr>
      <w:r>
        <w:rPr>
          <w:rStyle w:val="FootnoteReference"/>
        </w:rPr>
        <w:footnoteRef/>
      </w:r>
      <w:r>
        <w:t xml:space="preserve"> Tr. at 105-107; Tr. at 114-116; OPAE Ex. 3 at 5-7; </w:t>
      </w:r>
      <w:r>
        <w:rPr>
          <w:i/>
        </w:rPr>
        <w:t xml:space="preserve">see also </w:t>
      </w:r>
      <w:r>
        <w:t>OPAE Initial Brief at 2-3.</w:t>
      </w:r>
    </w:p>
  </w:footnote>
  <w:footnote w:id="23">
    <w:p w:rsidR="00F05C4B" w:rsidRDefault="00537CB4">
      <w:pPr>
        <w:pStyle w:val="FootnoteText"/>
      </w:pPr>
      <w:r>
        <w:rPr>
          <w:rStyle w:val="FootnoteReference"/>
        </w:rPr>
        <w:footnoteRef/>
      </w:r>
      <w:r>
        <w:t xml:space="preserve"> </w:t>
      </w:r>
      <w:r>
        <w:rPr>
          <w:i/>
        </w:rPr>
        <w:t>See, e.g.</w:t>
      </w:r>
      <w:r>
        <w:t xml:space="preserve">, </w:t>
      </w:r>
      <w:r>
        <w:rPr>
          <w:i/>
        </w:rPr>
        <w:t>In the Matter of the Application of the Ohio Development Services Agency for an Order Approving Adjustments to the Universal Service Fund Riders of Jurisdictional Ohio Electric Distribution Utilities</w:t>
      </w:r>
      <w:r>
        <w:t xml:space="preserve">, Case No. 13-1296-EL-USF.  </w:t>
      </w:r>
    </w:p>
  </w:footnote>
  <w:footnote w:id="24">
    <w:p w:rsidR="00F05C4B" w:rsidRDefault="00537CB4">
      <w:pPr>
        <w:pStyle w:val="FootnoteText"/>
      </w:pPr>
      <w:r>
        <w:rPr>
          <w:rStyle w:val="FootnoteReference"/>
        </w:rPr>
        <w:footnoteRef/>
      </w:r>
      <w:r>
        <w:t xml:space="preserve"> </w:t>
      </w:r>
      <w:r>
        <w:rPr>
          <w:i/>
        </w:rPr>
        <w:t xml:space="preserve">See </w:t>
      </w:r>
      <w:r>
        <w:t>IEU-Ohio Initial Brief at 6 (</w:t>
      </w:r>
      <w:r>
        <w:rPr>
          <w:i/>
        </w:rPr>
        <w:t>citing</w:t>
      </w:r>
      <w:r>
        <w:t xml:space="preserve"> Tr. at 103-104, 119).</w:t>
      </w:r>
    </w:p>
  </w:footnote>
  <w:footnote w:id="25">
    <w:p w:rsidR="00F05C4B" w:rsidRDefault="00537CB4">
      <w:pPr>
        <w:pStyle w:val="FootnoteText"/>
      </w:pPr>
      <w:r>
        <w:rPr>
          <w:rStyle w:val="FootnoteReference"/>
        </w:rPr>
        <w:footnoteRef/>
      </w:r>
      <w:r>
        <w:t xml:space="preserve"> AEP-Ohio Initial Brief at 1, 10-11.</w:t>
      </w:r>
    </w:p>
  </w:footnote>
  <w:footnote w:id="26">
    <w:p w:rsidR="00F05C4B" w:rsidRDefault="00537CB4">
      <w:pPr>
        <w:pStyle w:val="FootnoteText"/>
      </w:pPr>
      <w:r w:rsidRPr="00E567BD">
        <w:rPr>
          <w:rStyle w:val="FootnoteReference"/>
        </w:rPr>
        <w:footnoteRef/>
      </w:r>
      <w:r w:rsidRPr="00E567BD">
        <w:t xml:space="preserve"> Tr. at 193-197.</w:t>
      </w:r>
    </w:p>
  </w:footnote>
  <w:footnote w:id="27">
    <w:p w:rsidR="00F05C4B" w:rsidRDefault="00537CB4">
      <w:pPr>
        <w:pStyle w:val="FootnoteText"/>
      </w:pPr>
      <w:r>
        <w:rPr>
          <w:rStyle w:val="FootnoteReference"/>
        </w:rPr>
        <w:footnoteRef/>
      </w:r>
      <w:r>
        <w:t xml:space="preserve"> Tr. at 62, 67-68. </w:t>
      </w:r>
    </w:p>
  </w:footnote>
  <w:footnote w:id="28">
    <w:p w:rsidR="00F05C4B" w:rsidRDefault="00537CB4">
      <w:pPr>
        <w:pStyle w:val="FootnoteText"/>
      </w:pPr>
      <w:r>
        <w:rPr>
          <w:rStyle w:val="FootnoteReference"/>
        </w:rPr>
        <w:footnoteRef/>
      </w:r>
      <w:r>
        <w:t xml:space="preserve"> </w:t>
      </w:r>
      <w:r>
        <w:rPr>
          <w:i/>
        </w:rPr>
        <w:t>See e.g.</w:t>
      </w:r>
      <w:r>
        <w:t>, Tr. at 133-135.</w:t>
      </w:r>
    </w:p>
  </w:footnote>
  <w:footnote w:id="29">
    <w:p w:rsidR="00F05C4B" w:rsidRDefault="00537CB4">
      <w:pPr>
        <w:pStyle w:val="FootnoteText"/>
      </w:pPr>
      <w:r>
        <w:rPr>
          <w:rStyle w:val="FootnoteReference"/>
        </w:rPr>
        <w:footnoteRef/>
      </w:r>
      <w:r>
        <w:t xml:space="preserve"> Tr. at 133; </w:t>
      </w:r>
      <w:r>
        <w:rPr>
          <w:i/>
        </w:rPr>
        <w:t>see also</w:t>
      </w:r>
      <w:r>
        <w:t xml:space="preserve"> Tr. at 181,183.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F4" w:rsidRDefault="00D54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F4" w:rsidRDefault="00D54A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F4" w:rsidRDefault="00D54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9B4"/>
    <w:multiLevelType w:val="multilevel"/>
    <w:tmpl w:val="D23A815C"/>
    <w:name w:val="IEU Basic-PUCO"/>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5C4B"/>
    <w:rsid w:val="00005EDC"/>
    <w:rsid w:val="00035F37"/>
    <w:rsid w:val="000A368C"/>
    <w:rsid w:val="00537CB4"/>
    <w:rsid w:val="00D54AF4"/>
    <w:rsid w:val="00E567BD"/>
    <w:rsid w:val="00E663DA"/>
    <w:rsid w:val="00F05C4B"/>
    <w:rsid w:val="00F7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rPr>
      <w:rFonts w:ascii="Times New Roman" w:eastAsia="Times New Roman" w:hAnsi="Times New Roman"/>
    </w:rPr>
  </w:style>
  <w:style w:type="paragraph" w:styleId="Heading1">
    <w:name w:val="heading 1"/>
    <w:basedOn w:val="Normal"/>
    <w:next w:val="Normal"/>
    <w:link w:val="Heading1Char"/>
    <w:uiPriority w:val="9"/>
    <w:qFormat/>
    <w:pPr>
      <w:numPr>
        <w:numId w:val="1"/>
      </w:numPr>
      <w:spacing w:before="240" w:after="240"/>
      <w:jc w:val="both"/>
      <w:outlineLvl w:val="0"/>
    </w:pPr>
    <w:rPr>
      <w:rFonts w:ascii="Arial" w:eastAsiaTheme="majorEastAsia" w:hAnsi="Arial" w:cs="Arial"/>
      <w:b/>
      <w:bCs/>
      <w:caps/>
      <w:szCs w:val="28"/>
      <w:u w:val="single"/>
    </w:rPr>
  </w:style>
  <w:style w:type="paragraph" w:styleId="Heading2">
    <w:name w:val="heading 2"/>
    <w:basedOn w:val="Normal"/>
    <w:next w:val="Normal"/>
    <w:link w:val="Heading2Char"/>
    <w:uiPriority w:val="9"/>
    <w:unhideWhenUsed/>
    <w:qFormat/>
    <w:pPr>
      <w:numPr>
        <w:ilvl w:val="1"/>
        <w:numId w:val="1"/>
      </w:numPr>
      <w:spacing w:after="240"/>
      <w:jc w:val="both"/>
      <w:outlineLvl w:val="1"/>
    </w:pPr>
    <w:rPr>
      <w:rFonts w:ascii="Arial" w:eastAsiaTheme="majorEastAsia" w:hAnsi="Arial" w:cs="Arial"/>
      <w:b/>
      <w:bCs/>
      <w:szCs w:val="26"/>
    </w:rPr>
  </w:style>
  <w:style w:type="paragraph" w:styleId="Heading3">
    <w:name w:val="heading 3"/>
    <w:basedOn w:val="Normal"/>
    <w:next w:val="Normal"/>
    <w:link w:val="Heading3Char"/>
    <w:uiPriority w:val="9"/>
    <w:semiHidden/>
    <w:unhideWhenUsed/>
    <w:qFormat/>
    <w:pPr>
      <w:numPr>
        <w:ilvl w:val="2"/>
        <w:numId w:val="1"/>
      </w:numPr>
      <w:spacing w:after="240"/>
      <w:jc w:val="both"/>
      <w:outlineLvl w:val="2"/>
    </w:pPr>
    <w:rPr>
      <w:rFonts w:eastAsiaTheme="majorEastAsia"/>
      <w:b/>
      <w:bCs/>
    </w:rPr>
  </w:style>
  <w:style w:type="paragraph" w:styleId="Heading4">
    <w:name w:val="heading 4"/>
    <w:basedOn w:val="Normal"/>
    <w:next w:val="Normal"/>
    <w:link w:val="Heading4Char"/>
    <w:uiPriority w:val="9"/>
    <w:semiHidden/>
    <w:unhideWhenUsed/>
    <w:qFormat/>
    <w:pPr>
      <w:numPr>
        <w:ilvl w:val="3"/>
        <w:numId w:val="1"/>
      </w:numPr>
      <w:spacing w:after="240"/>
      <w:jc w:val="both"/>
      <w:outlineLvl w:val="3"/>
    </w:pPr>
    <w:rPr>
      <w:rFonts w:eastAsiaTheme="majorEastAsia"/>
      <w:b/>
      <w:bCs/>
      <w:i/>
      <w:iCs/>
    </w:rPr>
  </w:style>
  <w:style w:type="paragraph" w:styleId="Heading5">
    <w:name w:val="heading 5"/>
    <w:basedOn w:val="Normal"/>
    <w:next w:val="Normal"/>
    <w:link w:val="Heading5Char"/>
    <w:uiPriority w:val="9"/>
    <w:semiHidden/>
    <w:unhideWhenUsed/>
    <w:qFormat/>
    <w:pPr>
      <w:numPr>
        <w:ilvl w:val="4"/>
        <w:numId w:val="1"/>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pPr>
      <w:numPr>
        <w:ilvl w:val="5"/>
        <w:numId w:val="1"/>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pPr>
      <w:numPr>
        <w:ilvl w:val="6"/>
        <w:numId w:val="1"/>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pPr>
      <w:numPr>
        <w:ilvl w:val="7"/>
        <w:numId w:val="1"/>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pPr>
      <w:numPr>
        <w:ilvl w:val="8"/>
        <w:numId w:val="1"/>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jc w:val="both"/>
    </w:pPr>
    <w:rPr>
      <w:rFonts w:ascii="Arial" w:eastAsiaTheme="majorEastAsia" w:hAnsi="Arial" w:cstheme="majorBidi"/>
    </w:rPr>
  </w:style>
  <w:style w:type="paragraph" w:styleId="EnvelopeReturn">
    <w:name w:val="envelope return"/>
    <w:basedOn w:val="Normal"/>
    <w:uiPriority w:val="99"/>
    <w:semiHidden/>
    <w:unhideWhenUsed/>
    <w:pPr>
      <w:jc w:val="both"/>
    </w:pPr>
    <w:rPr>
      <w:rFonts w:ascii="Arial" w:eastAsiaTheme="majorEastAsia" w:hAnsi="Arial" w:cstheme="majorBidi"/>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eastAsia="Times New Roman" w:cs="Arial"/>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b/>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eastAsia="Times New Roman" w:cs="Arial"/>
      <w:b/>
      <w:smallCaps/>
      <w:sz w:val="3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rPr>
  </w:style>
  <w:style w:type="character" w:customStyle="1" w:styleId="Heading1Char">
    <w:name w:val="Heading 1 Char"/>
    <w:basedOn w:val="DefaultParagraphFont"/>
    <w:link w:val="Heading1"/>
    <w:uiPriority w:val="9"/>
    <w:rPr>
      <w:rFonts w:eastAsiaTheme="majorEastAsia" w:cs="Arial"/>
      <w:b/>
      <w:bCs/>
      <w:caps/>
      <w:szCs w:val="28"/>
      <w:u w:val="single"/>
    </w:rPr>
  </w:style>
  <w:style w:type="paragraph" w:styleId="TOCHeading">
    <w:name w:val="TOC Heading"/>
    <w:basedOn w:val="Heading1"/>
    <w:next w:val="Normal"/>
    <w:uiPriority w:val="39"/>
    <w:semiHidden/>
    <w:unhideWhenUsed/>
    <w:qFormat/>
    <w:pPr>
      <w:spacing w:line="276" w:lineRule="auto"/>
      <w:outlineLvl w:val="9"/>
    </w:pPr>
    <w:rPr>
      <w:lang w:eastAsia="ja-JP"/>
    </w:rPr>
  </w:style>
  <w:style w:type="paragraph" w:styleId="TOC1">
    <w:name w:val="toc 1"/>
    <w:basedOn w:val="Normal"/>
    <w:next w:val="Normal"/>
    <w:autoRedefine/>
    <w:uiPriority w:val="39"/>
    <w:unhideWhenUsed/>
    <w:rsid w:val="00E567BD"/>
    <w:pPr>
      <w:tabs>
        <w:tab w:val="right" w:leader="dot" w:pos="9360"/>
      </w:tabs>
      <w:spacing w:after="240"/>
      <w:ind w:left="720" w:right="720" w:hanging="720"/>
    </w:pPr>
  </w:style>
  <w:style w:type="paragraph" w:styleId="TOC2">
    <w:name w:val="toc 2"/>
    <w:basedOn w:val="Normal"/>
    <w:next w:val="Normal"/>
    <w:autoRedefine/>
    <w:uiPriority w:val="39"/>
    <w:unhideWhenUsed/>
    <w:rsid w:val="00E567BD"/>
    <w:pPr>
      <w:tabs>
        <w:tab w:val="left" w:pos="1440"/>
        <w:tab w:val="right" w:leader="dot" w:pos="9360"/>
      </w:tabs>
      <w:spacing w:after="180"/>
      <w:ind w:left="1440" w:right="720" w:hanging="720"/>
      <w:jc w:val="both"/>
    </w:pPr>
    <w:rPr>
      <w:rFonts w:ascii="Arial" w:hAnsi="Arial" w:cs="Arial"/>
      <w:noProof/>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rPr>
      <w:rFonts w:eastAsiaTheme="majorEastAsia" w:cs="Arial"/>
      <w:b/>
      <w:bCs/>
      <w:szCs w:val="26"/>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jc w:val="both"/>
    </w:pPr>
    <w:rPr>
      <w:rFonts w:ascii="Arial" w:eastAsia="Calibri" w:hAnsi="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eastAsia="Calibri"/>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semiHidden/>
    <w:rPr>
      <w:rFonts w:ascii="Times New Roman" w:eastAsiaTheme="majorEastAsia" w:hAnsi="Times New Roman"/>
      <w:b/>
      <w:bCs/>
    </w:rPr>
  </w:style>
  <w:style w:type="character" w:customStyle="1" w:styleId="Heading4Char">
    <w:name w:val="Heading 4 Char"/>
    <w:basedOn w:val="DefaultParagraphFont"/>
    <w:link w:val="Heading4"/>
    <w:uiPriority w:val="9"/>
    <w:semiHidden/>
    <w:rPr>
      <w:rFonts w:ascii="Times New Roman" w:eastAsiaTheme="majorEastAsia" w:hAnsi="Times New Roman"/>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olor w:val="404040" w:themeColor="text1" w:themeTint="BF"/>
      <w:szCs w:val="20"/>
    </w:rPr>
  </w:style>
  <w:style w:type="character" w:customStyle="1" w:styleId="Heading9Char">
    <w:name w:val="Heading 9 Char"/>
    <w:basedOn w:val="DefaultParagraphFont"/>
    <w:link w:val="Heading9"/>
    <w:uiPriority w:val="9"/>
    <w:semiHidden/>
    <w:rPr>
      <w:rFonts w:asciiTheme="majorHAnsi" w:eastAsiaTheme="majorEastAsia" w:hAnsiTheme="majorHAnsi"/>
      <w:iCs/>
      <w:color w:val="404040" w:themeColor="text1" w:themeTint="B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95"/>
    <w:pPr>
      <w:jc w:val="left"/>
    </w:pPr>
    <w:rPr>
      <w:rFonts w:ascii="Times New Roman" w:eastAsia="Times New Roman" w:hAnsi="Times New Roman"/>
    </w:rPr>
  </w:style>
  <w:style w:type="paragraph" w:styleId="Heading1">
    <w:name w:val="heading 1"/>
    <w:basedOn w:val="Normal"/>
    <w:next w:val="Normal"/>
    <w:link w:val="Heading1Char"/>
    <w:uiPriority w:val="9"/>
    <w:qFormat/>
    <w:rsid w:val="00F76E95"/>
    <w:pPr>
      <w:numPr>
        <w:numId w:val="1"/>
      </w:numPr>
      <w:spacing w:before="240" w:after="240"/>
      <w:jc w:val="both"/>
      <w:outlineLvl w:val="0"/>
    </w:pPr>
    <w:rPr>
      <w:rFonts w:ascii="Arial" w:eastAsiaTheme="majorEastAsia" w:hAnsi="Arial" w:cs="Arial"/>
      <w:b/>
      <w:bCs/>
      <w:caps/>
      <w:szCs w:val="28"/>
      <w:u w:val="single"/>
    </w:rPr>
  </w:style>
  <w:style w:type="paragraph" w:styleId="Heading2">
    <w:name w:val="heading 2"/>
    <w:basedOn w:val="Normal"/>
    <w:next w:val="Normal"/>
    <w:link w:val="Heading2Char"/>
    <w:uiPriority w:val="9"/>
    <w:unhideWhenUsed/>
    <w:qFormat/>
    <w:rsid w:val="00F76E95"/>
    <w:pPr>
      <w:numPr>
        <w:ilvl w:val="1"/>
        <w:numId w:val="1"/>
      </w:numPr>
      <w:spacing w:after="240"/>
      <w:jc w:val="both"/>
      <w:outlineLvl w:val="1"/>
    </w:pPr>
    <w:rPr>
      <w:rFonts w:ascii="Arial" w:eastAsiaTheme="majorEastAsia" w:hAnsi="Arial" w:cs="Arial"/>
      <w:b/>
      <w:bCs/>
      <w:szCs w:val="26"/>
    </w:rPr>
  </w:style>
  <w:style w:type="paragraph" w:styleId="Heading3">
    <w:name w:val="heading 3"/>
    <w:basedOn w:val="Normal"/>
    <w:next w:val="Normal"/>
    <w:link w:val="Heading3Char"/>
    <w:uiPriority w:val="9"/>
    <w:semiHidden/>
    <w:unhideWhenUsed/>
    <w:qFormat/>
    <w:rsid w:val="00F76E95"/>
    <w:pPr>
      <w:numPr>
        <w:ilvl w:val="2"/>
        <w:numId w:val="1"/>
      </w:numPr>
      <w:spacing w:after="240"/>
      <w:jc w:val="both"/>
      <w:outlineLvl w:val="2"/>
    </w:pPr>
    <w:rPr>
      <w:rFonts w:eastAsiaTheme="majorEastAsia"/>
      <w:b/>
      <w:bCs/>
    </w:rPr>
  </w:style>
  <w:style w:type="paragraph" w:styleId="Heading4">
    <w:name w:val="heading 4"/>
    <w:basedOn w:val="Normal"/>
    <w:next w:val="Normal"/>
    <w:link w:val="Heading4Char"/>
    <w:uiPriority w:val="9"/>
    <w:semiHidden/>
    <w:unhideWhenUsed/>
    <w:qFormat/>
    <w:rsid w:val="00F76E95"/>
    <w:pPr>
      <w:numPr>
        <w:ilvl w:val="3"/>
        <w:numId w:val="1"/>
      </w:numPr>
      <w:spacing w:after="240"/>
      <w:jc w:val="both"/>
      <w:outlineLvl w:val="3"/>
    </w:pPr>
    <w:rPr>
      <w:rFonts w:eastAsiaTheme="majorEastAsia"/>
      <w:b/>
      <w:bCs/>
      <w:i/>
      <w:iCs/>
    </w:rPr>
  </w:style>
  <w:style w:type="paragraph" w:styleId="Heading5">
    <w:name w:val="heading 5"/>
    <w:basedOn w:val="Normal"/>
    <w:next w:val="Normal"/>
    <w:link w:val="Heading5Char"/>
    <w:uiPriority w:val="9"/>
    <w:semiHidden/>
    <w:unhideWhenUsed/>
    <w:qFormat/>
    <w:rsid w:val="00F76E95"/>
    <w:pPr>
      <w:numPr>
        <w:ilvl w:val="4"/>
        <w:numId w:val="1"/>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76E95"/>
    <w:pPr>
      <w:numPr>
        <w:ilvl w:val="5"/>
        <w:numId w:val="1"/>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rsid w:val="00F76E95"/>
    <w:pPr>
      <w:numPr>
        <w:ilvl w:val="6"/>
        <w:numId w:val="1"/>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rsid w:val="00F76E95"/>
    <w:pPr>
      <w:numPr>
        <w:ilvl w:val="7"/>
        <w:numId w:val="1"/>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rsid w:val="00F76E95"/>
    <w:pPr>
      <w:numPr>
        <w:ilvl w:val="8"/>
        <w:numId w:val="1"/>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0499"/>
    <w:pPr>
      <w:framePr w:w="7920" w:h="1980" w:hRule="exact" w:hSpace="180" w:wrap="auto" w:hAnchor="page" w:xAlign="center" w:yAlign="bottom"/>
      <w:ind w:left="2880"/>
      <w:jc w:val="both"/>
    </w:pPr>
    <w:rPr>
      <w:rFonts w:ascii="Arial" w:eastAsiaTheme="majorEastAsia" w:hAnsi="Arial" w:cstheme="majorBidi"/>
    </w:rPr>
  </w:style>
  <w:style w:type="paragraph" w:styleId="EnvelopeReturn">
    <w:name w:val="envelope return"/>
    <w:basedOn w:val="Normal"/>
    <w:uiPriority w:val="99"/>
    <w:semiHidden/>
    <w:unhideWhenUsed/>
    <w:rsid w:val="00140499"/>
    <w:pPr>
      <w:jc w:val="both"/>
    </w:pPr>
    <w:rPr>
      <w:rFonts w:ascii="Arial" w:eastAsiaTheme="majorEastAsia" w:hAnsi="Arial" w:cstheme="majorBidi"/>
      <w:sz w:val="20"/>
      <w:szCs w:val="20"/>
    </w:rPr>
  </w:style>
  <w:style w:type="paragraph" w:styleId="Footer">
    <w:name w:val="footer"/>
    <w:basedOn w:val="Normal"/>
    <w:link w:val="FooterChar"/>
    <w:rsid w:val="00F76E95"/>
    <w:pPr>
      <w:tabs>
        <w:tab w:val="center" w:pos="4320"/>
        <w:tab w:val="right" w:pos="8640"/>
      </w:tabs>
    </w:pPr>
  </w:style>
  <w:style w:type="character" w:customStyle="1" w:styleId="FooterChar">
    <w:name w:val="Footer Char"/>
    <w:basedOn w:val="DefaultParagraphFont"/>
    <w:link w:val="Footer"/>
    <w:rsid w:val="00F76E95"/>
    <w:rPr>
      <w:rFonts w:ascii="Times New Roman" w:eastAsia="Times New Roman" w:hAnsi="Times New Roman"/>
    </w:rPr>
  </w:style>
  <w:style w:type="paragraph" w:styleId="BodyText">
    <w:name w:val="Body Text"/>
    <w:basedOn w:val="Normal"/>
    <w:link w:val="BodyTextChar"/>
    <w:rsid w:val="00F76E95"/>
    <w:pPr>
      <w:jc w:val="both"/>
    </w:pPr>
    <w:rPr>
      <w:rFonts w:ascii="Arial" w:hAnsi="Arial" w:cs="Arial"/>
    </w:rPr>
  </w:style>
  <w:style w:type="character" w:customStyle="1" w:styleId="BodyTextChar">
    <w:name w:val="Body Text Char"/>
    <w:basedOn w:val="DefaultParagraphFont"/>
    <w:link w:val="BodyText"/>
    <w:rsid w:val="00F76E95"/>
    <w:rPr>
      <w:rFonts w:eastAsia="Times New Roman" w:cs="Arial"/>
    </w:rPr>
  </w:style>
  <w:style w:type="character" w:styleId="PageNumber">
    <w:name w:val="page number"/>
    <w:basedOn w:val="DefaultParagraphFont"/>
    <w:rsid w:val="00F76E95"/>
  </w:style>
  <w:style w:type="paragraph" w:styleId="BodyText3">
    <w:name w:val="Body Text 3"/>
    <w:basedOn w:val="Normal"/>
    <w:link w:val="BodyText3Char"/>
    <w:rsid w:val="00F76E95"/>
    <w:rPr>
      <w:b/>
      <w:szCs w:val="20"/>
    </w:rPr>
  </w:style>
  <w:style w:type="character" w:customStyle="1" w:styleId="BodyText3Char">
    <w:name w:val="Body Text 3 Char"/>
    <w:basedOn w:val="DefaultParagraphFont"/>
    <w:link w:val="BodyText3"/>
    <w:rsid w:val="00F76E95"/>
    <w:rPr>
      <w:rFonts w:ascii="Times New Roman" w:eastAsia="Times New Roman" w:hAnsi="Times New Roman"/>
      <w:b/>
      <w:szCs w:val="20"/>
    </w:rPr>
  </w:style>
  <w:style w:type="paragraph" w:styleId="Title">
    <w:name w:val="Title"/>
    <w:basedOn w:val="Normal"/>
    <w:link w:val="TitleChar"/>
    <w:qFormat/>
    <w:rsid w:val="00F76E95"/>
    <w:pPr>
      <w:jc w:val="center"/>
    </w:pPr>
    <w:rPr>
      <w:rFonts w:ascii="Arial" w:hAnsi="Arial" w:cs="Arial"/>
      <w:b/>
      <w:smallCaps/>
      <w:sz w:val="32"/>
    </w:rPr>
  </w:style>
  <w:style w:type="character" w:customStyle="1" w:styleId="TitleChar">
    <w:name w:val="Title Char"/>
    <w:basedOn w:val="DefaultParagraphFont"/>
    <w:link w:val="Title"/>
    <w:rsid w:val="00F76E95"/>
    <w:rPr>
      <w:rFonts w:eastAsia="Times New Roman" w:cs="Arial"/>
      <w:b/>
      <w:smallCaps/>
      <w:sz w:val="32"/>
    </w:rPr>
  </w:style>
  <w:style w:type="paragraph" w:styleId="Header">
    <w:name w:val="header"/>
    <w:basedOn w:val="Normal"/>
    <w:link w:val="HeaderChar"/>
    <w:rsid w:val="00F76E95"/>
    <w:pPr>
      <w:tabs>
        <w:tab w:val="center" w:pos="4320"/>
        <w:tab w:val="right" w:pos="8640"/>
      </w:tabs>
    </w:pPr>
  </w:style>
  <w:style w:type="character" w:customStyle="1" w:styleId="HeaderChar">
    <w:name w:val="Header Char"/>
    <w:basedOn w:val="DefaultParagraphFont"/>
    <w:link w:val="Header"/>
    <w:rsid w:val="00F76E95"/>
    <w:rPr>
      <w:rFonts w:ascii="Times New Roman" w:eastAsia="Times New Roman" w:hAnsi="Times New Roman"/>
    </w:rPr>
  </w:style>
  <w:style w:type="character" w:customStyle="1" w:styleId="Heading1Char">
    <w:name w:val="Heading 1 Char"/>
    <w:basedOn w:val="DefaultParagraphFont"/>
    <w:link w:val="Heading1"/>
    <w:uiPriority w:val="9"/>
    <w:rsid w:val="00F76E95"/>
    <w:rPr>
      <w:rFonts w:eastAsiaTheme="majorEastAsia" w:cs="Arial"/>
      <w:b/>
      <w:bCs/>
      <w:caps/>
      <w:szCs w:val="28"/>
      <w:u w:val="single"/>
    </w:rPr>
  </w:style>
  <w:style w:type="paragraph" w:styleId="TOCHeading">
    <w:name w:val="TOC Heading"/>
    <w:basedOn w:val="Heading1"/>
    <w:next w:val="Normal"/>
    <w:uiPriority w:val="39"/>
    <w:semiHidden/>
    <w:unhideWhenUsed/>
    <w:qFormat/>
    <w:rsid w:val="00F76E95"/>
    <w:pPr>
      <w:spacing w:line="276" w:lineRule="auto"/>
      <w:outlineLvl w:val="9"/>
    </w:pPr>
    <w:rPr>
      <w:lang w:eastAsia="ja-JP"/>
    </w:rPr>
  </w:style>
  <w:style w:type="paragraph" w:styleId="TOC1">
    <w:name w:val="toc 1"/>
    <w:basedOn w:val="Normal"/>
    <w:next w:val="Normal"/>
    <w:autoRedefine/>
    <w:uiPriority w:val="39"/>
    <w:unhideWhenUsed/>
    <w:rsid w:val="00F76E95"/>
    <w:pPr>
      <w:tabs>
        <w:tab w:val="right" w:leader="dot" w:pos="9360"/>
      </w:tabs>
      <w:spacing w:after="100"/>
      <w:ind w:left="720" w:right="720" w:hanging="720"/>
    </w:pPr>
  </w:style>
  <w:style w:type="paragraph" w:styleId="TOC2">
    <w:name w:val="toc 2"/>
    <w:basedOn w:val="Normal"/>
    <w:next w:val="Normal"/>
    <w:autoRedefine/>
    <w:uiPriority w:val="39"/>
    <w:unhideWhenUsed/>
    <w:rsid w:val="00F76E95"/>
    <w:pPr>
      <w:tabs>
        <w:tab w:val="right" w:leader="dot" w:pos="9360"/>
      </w:tabs>
      <w:spacing w:after="100"/>
      <w:ind w:left="1440" w:right="720" w:hanging="720"/>
      <w:jc w:val="both"/>
    </w:pPr>
  </w:style>
  <w:style w:type="character" w:styleId="Hyperlink">
    <w:name w:val="Hyperlink"/>
    <w:basedOn w:val="DefaultParagraphFont"/>
    <w:uiPriority w:val="99"/>
    <w:unhideWhenUsed/>
    <w:rsid w:val="00F76E95"/>
    <w:rPr>
      <w:color w:val="0000FF" w:themeColor="hyperlink"/>
      <w:u w:val="single"/>
    </w:rPr>
  </w:style>
  <w:style w:type="paragraph" w:styleId="BalloonText">
    <w:name w:val="Balloon Text"/>
    <w:basedOn w:val="Normal"/>
    <w:link w:val="BalloonTextChar"/>
    <w:uiPriority w:val="99"/>
    <w:semiHidden/>
    <w:unhideWhenUsed/>
    <w:rsid w:val="00F76E95"/>
    <w:rPr>
      <w:rFonts w:ascii="Tahoma" w:hAnsi="Tahoma" w:cs="Tahoma"/>
      <w:sz w:val="16"/>
      <w:szCs w:val="16"/>
    </w:rPr>
  </w:style>
  <w:style w:type="character" w:customStyle="1" w:styleId="BalloonTextChar">
    <w:name w:val="Balloon Text Char"/>
    <w:basedOn w:val="DefaultParagraphFont"/>
    <w:link w:val="BalloonText"/>
    <w:uiPriority w:val="99"/>
    <w:semiHidden/>
    <w:rsid w:val="00F76E95"/>
    <w:rPr>
      <w:rFonts w:ascii="Tahoma" w:eastAsia="Times New Roman" w:hAnsi="Tahoma" w:cs="Tahoma"/>
      <w:sz w:val="16"/>
      <w:szCs w:val="16"/>
    </w:rPr>
  </w:style>
  <w:style w:type="character" w:customStyle="1" w:styleId="Heading2Char">
    <w:name w:val="Heading 2 Char"/>
    <w:basedOn w:val="DefaultParagraphFont"/>
    <w:link w:val="Heading2"/>
    <w:uiPriority w:val="9"/>
    <w:rsid w:val="00F76E95"/>
    <w:rPr>
      <w:rFonts w:eastAsiaTheme="majorEastAsia" w:cs="Arial"/>
      <w:b/>
      <w:bCs/>
      <w:szCs w:val="26"/>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rsid w:val="00F76E95"/>
    <w:pPr>
      <w:spacing w:after="120"/>
      <w:jc w:val="both"/>
    </w:pPr>
    <w:rPr>
      <w:rFonts w:ascii="Arial" w:eastAsia="Calibri" w:hAnsi="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F76E95"/>
    <w:rPr>
      <w:rFonts w:eastAsia="Calibri"/>
      <w:sz w:val="20"/>
      <w:szCs w:val="20"/>
    </w:rPr>
  </w:style>
  <w:style w:type="character" w:styleId="FootnoteReference">
    <w:name w:val="footnote reference"/>
    <w:basedOn w:val="DefaultParagraphFont"/>
    <w:uiPriority w:val="99"/>
    <w:semiHidden/>
    <w:unhideWhenUsed/>
    <w:rsid w:val="00F76E95"/>
    <w:rPr>
      <w:vertAlign w:val="superscript"/>
    </w:rPr>
  </w:style>
  <w:style w:type="character" w:customStyle="1" w:styleId="Heading3Char">
    <w:name w:val="Heading 3 Char"/>
    <w:basedOn w:val="DefaultParagraphFont"/>
    <w:link w:val="Heading3"/>
    <w:uiPriority w:val="9"/>
    <w:semiHidden/>
    <w:rsid w:val="00F76E95"/>
    <w:rPr>
      <w:rFonts w:ascii="Times New Roman" w:eastAsiaTheme="majorEastAsia" w:hAnsi="Times New Roman"/>
      <w:b/>
      <w:bCs/>
    </w:rPr>
  </w:style>
  <w:style w:type="character" w:customStyle="1" w:styleId="Heading4Char">
    <w:name w:val="Heading 4 Char"/>
    <w:basedOn w:val="DefaultParagraphFont"/>
    <w:link w:val="Heading4"/>
    <w:uiPriority w:val="9"/>
    <w:semiHidden/>
    <w:rsid w:val="00F76E95"/>
    <w:rPr>
      <w:rFonts w:ascii="Times New Roman" w:eastAsiaTheme="majorEastAsia" w:hAnsi="Times New Roman"/>
      <w:b/>
      <w:bCs/>
      <w:i/>
      <w:iCs/>
    </w:rPr>
  </w:style>
  <w:style w:type="character" w:customStyle="1" w:styleId="Heading5Char">
    <w:name w:val="Heading 5 Char"/>
    <w:basedOn w:val="DefaultParagraphFont"/>
    <w:link w:val="Heading5"/>
    <w:uiPriority w:val="9"/>
    <w:semiHidden/>
    <w:rsid w:val="00F76E95"/>
    <w:rPr>
      <w:rFonts w:asciiTheme="majorHAnsi" w:eastAsiaTheme="majorEastAsia" w:hAnsiTheme="majorHAnsi"/>
      <w:color w:val="243F60" w:themeColor="accent1" w:themeShade="7F"/>
    </w:rPr>
  </w:style>
  <w:style w:type="character" w:customStyle="1" w:styleId="Heading6Char">
    <w:name w:val="Heading 6 Char"/>
    <w:basedOn w:val="DefaultParagraphFont"/>
    <w:link w:val="Heading6"/>
    <w:uiPriority w:val="9"/>
    <w:semiHidden/>
    <w:rsid w:val="00F76E95"/>
    <w:rPr>
      <w:rFonts w:asciiTheme="majorHAnsi" w:eastAsiaTheme="majorEastAsia" w:hAnsiTheme="majorHAnsi"/>
      <w:iCs/>
      <w:color w:val="243F60" w:themeColor="accent1" w:themeShade="7F"/>
    </w:rPr>
  </w:style>
  <w:style w:type="character" w:customStyle="1" w:styleId="Heading7Char">
    <w:name w:val="Heading 7 Char"/>
    <w:basedOn w:val="DefaultParagraphFont"/>
    <w:link w:val="Heading7"/>
    <w:uiPriority w:val="9"/>
    <w:semiHidden/>
    <w:rsid w:val="00F76E95"/>
    <w:rPr>
      <w:rFonts w:asciiTheme="majorHAnsi" w:eastAsiaTheme="majorEastAsia" w:hAnsiTheme="majorHAnsi"/>
      <w:iCs/>
      <w:color w:val="404040" w:themeColor="text1" w:themeTint="BF"/>
    </w:rPr>
  </w:style>
  <w:style w:type="character" w:customStyle="1" w:styleId="Heading8Char">
    <w:name w:val="Heading 8 Char"/>
    <w:basedOn w:val="DefaultParagraphFont"/>
    <w:link w:val="Heading8"/>
    <w:uiPriority w:val="9"/>
    <w:semiHidden/>
    <w:rsid w:val="00F76E95"/>
    <w:rPr>
      <w:rFonts w:asciiTheme="majorHAnsi" w:eastAsiaTheme="majorEastAsia" w:hAnsiTheme="majorHAnsi"/>
      <w:color w:val="404040" w:themeColor="text1" w:themeTint="BF"/>
      <w:szCs w:val="20"/>
    </w:rPr>
  </w:style>
  <w:style w:type="character" w:customStyle="1" w:styleId="Heading9Char">
    <w:name w:val="Heading 9 Char"/>
    <w:basedOn w:val="DefaultParagraphFont"/>
    <w:link w:val="Heading9"/>
    <w:uiPriority w:val="9"/>
    <w:semiHidden/>
    <w:rsid w:val="00F76E95"/>
    <w:rPr>
      <w:rFonts w:asciiTheme="majorHAnsi" w:eastAsiaTheme="majorEastAsia" w:hAnsiTheme="majorHAns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8FE2-92E7-4702-97AC-33982810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2436</Words>
  <Characters>13567</Characters>
  <Application>Microsoft Office Word</Application>
  <DocSecurity>0</DocSecurity>
  <PresentationFormat>12|.DOCX</PresentationFormat>
  <Lines>348</Lines>
  <Paragraphs>143</Paragraphs>
  <ScaleCrop>false</ScaleCrop>
  <HeadingPairs>
    <vt:vector size="2" baseType="variant">
      <vt:variant>
        <vt:lpstr>Title</vt:lpstr>
      </vt:variant>
      <vt:variant>
        <vt:i4>1</vt:i4>
      </vt:variant>
    </vt:vector>
  </HeadingPairs>
  <TitlesOfParts>
    <vt:vector size="1" baseType="lpstr">
      <vt:lpstr>15-1046-EL-USF IEU-Ohio Reply Brief (Final) (C48190-2).DOCX</vt:lpstr>
    </vt:vector>
  </TitlesOfParts>
  <Company>Some Company, Inc.</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15-1046-EL-USF IEU-Ohio Reply Brief (Final) (C48190-2).DOCX</dc:title>
  <dc:subject>C48190:2 /font=8</dc:subject>
  <dc:creator>Debbie Ryan</dc:creator>
  <cp:lastModifiedBy>Debbie Ryan</cp:lastModifiedBy>
  <cp:revision>3</cp:revision>
  <cp:lastPrinted>2015-09-09T16:30:00Z</cp:lastPrinted>
  <dcterms:created xsi:type="dcterms:W3CDTF">2015-09-09T16:31:00Z</dcterms:created>
  <dcterms:modified xsi:type="dcterms:W3CDTF">2015-09-09T16:31:00Z</dcterms:modified>
</cp:coreProperties>
</file>