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396BAE">
      <w:pPr>
        <w:pStyle w:val="HTMLPreformatted"/>
        <w:jc w:val="center"/>
        <w:rPr>
          <w:rFonts w:ascii="Times New Roman" w:hAnsi="Times New Roman"/>
          <w:sz w:val="24"/>
        </w:rPr>
      </w:pPr>
    </w:p>
    <w:tbl>
      <w:tblPr>
        <w:tblW w:w="9998" w:type="dxa"/>
        <w:tblInd w:w="0" w:type="dxa"/>
        <w:tblCellMar>
          <w:top w:w="0" w:type="dxa"/>
          <w:left w:w="108" w:type="dxa"/>
          <w:bottom w:w="0" w:type="dxa"/>
          <w:right w:w="108" w:type="dxa"/>
        </w:tblCellMar>
        <w:tblLook w:val="01E0"/>
      </w:tblPr>
      <w:tblGrid>
        <w:gridCol w:w="5148"/>
        <w:gridCol w:w="450"/>
        <w:gridCol w:w="4400"/>
      </w:tblGrid>
      <w:tr w:rsidTr="001D05D5">
        <w:tblPrEx>
          <w:tblW w:w="9998" w:type="dxa"/>
          <w:tblInd w:w="0" w:type="dxa"/>
          <w:tblCellMar>
            <w:top w:w="0" w:type="dxa"/>
            <w:left w:w="108" w:type="dxa"/>
            <w:bottom w:w="0" w:type="dxa"/>
            <w:right w:w="108" w:type="dxa"/>
          </w:tblCellMar>
          <w:tblLook w:val="01E0"/>
        </w:tblPrEx>
        <w:trPr>
          <w:trHeight w:val="807"/>
        </w:trPr>
        <w:tc>
          <w:tcPr>
            <w:tcW w:w="5148" w:type="dxa"/>
            <w:shd w:val="clear" w:color="auto" w:fill="auto"/>
          </w:tcPr>
          <w:p w:rsidR="006B6011" w:rsidRPr="0081041A" w:rsidP="00B828ED">
            <w:pPr>
              <w:autoSpaceDE w:val="0"/>
              <w:autoSpaceDN w:val="0"/>
              <w:adjustRightInd w:val="0"/>
              <w:rPr>
                <w:rStyle w:val="DefaultParagraphFont"/>
                <w:sz w:val="24"/>
                <w:szCs w:val="24"/>
                <w:lang w:val="en-US" w:eastAsia="en-US" w:bidi="ar-SA"/>
              </w:rPr>
            </w:pPr>
            <w:r w:rsidRPr="0081041A">
              <w:rPr>
                <w:sz w:val="24"/>
                <w:szCs w:val="24"/>
                <w:lang w:val="en-US" w:eastAsia="en-US" w:bidi="ar-SA"/>
              </w:rPr>
              <w:t xml:space="preserve">In the Matter of the Review of the Delivery Capital Recovery Rider Contained in the Tariffs of Ohio Edison Company, Cleveland Electric Illuminating Company, and the Toledo Edison Company.  </w:t>
            </w:r>
          </w:p>
        </w:tc>
        <w:tc>
          <w:tcPr>
            <w:tcW w:w="450" w:type="dxa"/>
            <w:shd w:val="clear" w:color="auto" w:fill="auto"/>
          </w:tcPr>
          <w:p w:rsidR="006B6011" w:rsidRPr="0081041A" w:rsidP="00B8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81041A">
              <w:rPr>
                <w:rFonts w:eastAsia="Courier New"/>
                <w:sz w:val="24"/>
                <w:szCs w:val="24"/>
                <w:lang w:val="en-US" w:eastAsia="en-US" w:bidi="ar-SA"/>
              </w:rPr>
              <w:t>)</w:t>
            </w:r>
          </w:p>
          <w:p w:rsidR="006B6011" w:rsidRPr="0081041A" w:rsidP="00B8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81041A">
              <w:rPr>
                <w:rFonts w:eastAsia="Courier New"/>
                <w:sz w:val="24"/>
                <w:szCs w:val="24"/>
                <w:lang w:val="en-US" w:eastAsia="en-US" w:bidi="ar-SA"/>
              </w:rPr>
              <w:t>)</w:t>
            </w:r>
          </w:p>
          <w:p w:rsidR="006B6011" w:rsidRPr="0081041A" w:rsidP="00B8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81041A">
              <w:rPr>
                <w:rFonts w:eastAsia="Courier New"/>
                <w:sz w:val="24"/>
                <w:szCs w:val="24"/>
                <w:lang w:val="en-US" w:eastAsia="en-US" w:bidi="ar-SA"/>
              </w:rPr>
              <w:t>)</w:t>
            </w:r>
          </w:p>
          <w:p w:rsidR="006B6011" w:rsidRPr="0081041A" w:rsidP="00B8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81041A">
              <w:rPr>
                <w:rFonts w:eastAsia="Courier New"/>
                <w:sz w:val="24"/>
                <w:szCs w:val="24"/>
                <w:lang w:val="en-US" w:eastAsia="en-US" w:bidi="ar-SA"/>
              </w:rPr>
              <w:t>)</w:t>
            </w:r>
          </w:p>
        </w:tc>
        <w:tc>
          <w:tcPr>
            <w:tcW w:w="4400" w:type="dxa"/>
            <w:shd w:val="clear" w:color="auto" w:fill="auto"/>
          </w:tcPr>
          <w:p w:rsidR="006B6011" w:rsidRPr="0081041A" w:rsidP="00B8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p>
          <w:p w:rsidR="006B6011" w:rsidRPr="0081041A" w:rsidP="00B8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eastAsia="Courier New"/>
                <w:sz w:val="24"/>
                <w:szCs w:val="24"/>
                <w:lang w:val="en-US" w:eastAsia="en-US" w:bidi="ar-SA"/>
              </w:rPr>
            </w:pPr>
            <w:r w:rsidRPr="0081041A">
              <w:rPr>
                <w:rFonts w:eastAsia="Courier New"/>
                <w:sz w:val="24"/>
                <w:szCs w:val="24"/>
                <w:lang w:val="en-US" w:eastAsia="en-US" w:bidi="ar-SA"/>
              </w:rPr>
              <w:t>Case No. 15-1739-EL-RDR</w:t>
            </w:r>
          </w:p>
        </w:tc>
      </w:tr>
    </w:tbl>
    <w:p w:rsidR="000F18EF" w:rsidP="002242E0">
      <w:pPr>
        <w:pStyle w:val="HTMLPreformatted"/>
        <w:rPr>
          <w:rFonts w:ascii="Times New Roman" w:hAnsi="Times New Roman"/>
          <w:sz w:val="24"/>
        </w:rPr>
      </w:pPr>
    </w:p>
    <w:p w:rsidR="00A044B5" w:rsidRPr="00D62B78">
      <w:pPr>
        <w:pStyle w:val="HTMLPreformatted"/>
        <w:pBdr>
          <w:top w:val="single" w:sz="12" w:space="1" w:color="auto"/>
        </w:pBdr>
        <w:rPr>
          <w:rFonts w:ascii="Times New Roman" w:hAnsi="Times New Roman"/>
          <w:sz w:val="16"/>
          <w:szCs w:val="16"/>
        </w:rPr>
      </w:pPr>
    </w:p>
    <w:p w:rsidR="00F969D7">
      <w:pPr>
        <w:jc w:val="center"/>
        <w:rPr>
          <w:rFonts w:ascii="Times New Roman Bold" w:hAnsi="Times New Roman Bold"/>
          <w:b/>
          <w:bCs/>
          <w:caps/>
        </w:rPr>
      </w:pPr>
      <w:r>
        <w:rPr>
          <w:rFonts w:ascii="Times New Roman Bold" w:hAnsi="Times New Roman Bold"/>
          <w:b/>
          <w:bCs/>
          <w:caps/>
        </w:rPr>
        <w:t xml:space="preserve">REPLY </w:t>
      </w:r>
      <w:r w:rsidRPr="00B666A6">
        <w:rPr>
          <w:rFonts w:ascii="Times New Roman Bold" w:hAnsi="Times New Roman Bold"/>
          <w:b/>
          <w:bCs/>
          <w:caps/>
        </w:rPr>
        <w:t xml:space="preserve">COMMENTS </w:t>
      </w:r>
    </w:p>
    <w:p w:rsidR="00A044B5" w:rsidRPr="00B666A6">
      <w:pPr>
        <w:jc w:val="center"/>
        <w:rPr>
          <w:b/>
          <w:bCs/>
          <w:caps/>
        </w:rPr>
      </w:pPr>
      <w:r w:rsidRPr="00B666A6">
        <w:rPr>
          <w:b/>
          <w:bCs/>
          <w:caps/>
        </w:rPr>
        <w:t>BY</w:t>
      </w:r>
    </w:p>
    <w:p w:rsidR="00A044B5" w:rsidRPr="00B666A6">
      <w:pPr>
        <w:jc w:val="center"/>
        <w:rPr>
          <w:b/>
          <w:bCs/>
          <w:caps/>
        </w:rPr>
      </w:pPr>
      <w:r w:rsidRPr="00B666A6">
        <w:rPr>
          <w:b/>
          <w:bCs/>
          <w:caps/>
        </w:rPr>
        <w:t>THE OFFICE OF THE OHIO CONSUMERS</w:t>
      </w:r>
      <w:r>
        <w:rPr>
          <w:b/>
          <w:bCs/>
          <w:caps/>
        </w:rPr>
        <w:t>'</w:t>
      </w:r>
      <w:r w:rsidRPr="00B666A6">
        <w:rPr>
          <w:b/>
          <w:bCs/>
          <w:caps/>
        </w:rPr>
        <w:t xml:space="preserve"> COUNSEL</w:t>
      </w:r>
      <w:r>
        <w:rPr>
          <w:b/>
          <w:bCs/>
          <w:caps/>
        </w:rPr>
        <w:t xml:space="preserve"> </w:t>
      </w:r>
    </w:p>
    <w:p w:rsidR="00A044B5" w:rsidRPr="00D62B78">
      <w:pPr>
        <w:pBdr>
          <w:bottom w:val="single" w:sz="12" w:space="1" w:color="auto"/>
        </w:pBdr>
        <w:tabs>
          <w:tab w:val="left" w:pos="4320"/>
        </w:tabs>
        <w:rPr>
          <w:sz w:val="16"/>
          <w:szCs w:val="16"/>
        </w:rPr>
      </w:pPr>
    </w:p>
    <w:p w:rsidR="003052D2" w:rsidP="003052D2">
      <w:pPr>
        <w:ind w:firstLine="720"/>
        <w:rPr>
          <w:szCs w:val="24"/>
        </w:rPr>
      </w:pPr>
    </w:p>
    <w:p w:rsidR="00AE44A1" w:rsidP="00CE2321">
      <w:pPr>
        <w:spacing w:line="480" w:lineRule="auto"/>
        <w:ind w:firstLine="720"/>
        <w:rPr>
          <w:szCs w:val="24"/>
        </w:rPr>
      </w:pPr>
      <w:r>
        <w:rPr>
          <w:szCs w:val="24"/>
        </w:rPr>
        <w:t>This case is about ensuring that costs charged to FirstEnergy's customers through its Delivery Capital Recovery Rider ("DCR")</w:t>
      </w:r>
      <w:r>
        <w:rPr>
          <w:rStyle w:val="FootnoteReference"/>
          <w:szCs w:val="24"/>
        </w:rPr>
        <w:footnoteReference w:id="3"/>
      </w:r>
      <w:r>
        <w:rPr>
          <w:szCs w:val="24"/>
        </w:rPr>
        <w:t xml:space="preserve"> are just and reasonable. In this regard, the OCC in its Initial comments raised concerns regarding FirstEnergy's </w:t>
      </w:r>
      <w:r w:rsidRPr="003052D2">
        <w:rPr>
          <w:szCs w:val="24"/>
        </w:rPr>
        <w:t>project planning process for non IT- related projects</w:t>
      </w:r>
      <w:r>
        <w:rPr>
          <w:szCs w:val="24"/>
        </w:rPr>
        <w:t>.</w:t>
      </w:r>
      <w:r>
        <w:rPr>
          <w:rStyle w:val="FootnoteReference"/>
          <w:szCs w:val="24"/>
        </w:rPr>
        <w:footnoteReference w:id="4"/>
      </w:r>
      <w:r>
        <w:rPr>
          <w:szCs w:val="24"/>
        </w:rPr>
        <w:t xml:space="preserve"> OCC's concerns stemmed from reviewing the Auditor's findings on a sample of work orders where approximately 27% of the work orders were over-budget by over 15%.</w:t>
      </w:r>
      <w:r>
        <w:rPr>
          <w:rStyle w:val="FootnoteReference"/>
          <w:szCs w:val="24"/>
        </w:rPr>
        <w:footnoteReference w:id="5"/>
      </w:r>
      <w:r>
        <w:rPr>
          <w:szCs w:val="24"/>
        </w:rPr>
        <w:t xml:space="preserve"> </w:t>
      </w:r>
    </w:p>
    <w:p w:rsidR="003052D2" w:rsidP="003052D2">
      <w:pPr>
        <w:spacing w:line="480" w:lineRule="auto"/>
        <w:ind w:firstLine="720"/>
        <w:rPr>
          <w:szCs w:val="24"/>
        </w:rPr>
      </w:pPr>
      <w:r>
        <w:rPr>
          <w:szCs w:val="24"/>
        </w:rPr>
        <w:t>In their initial comments, the Staff of the PUCO raised this same concern:</w:t>
      </w:r>
    </w:p>
    <w:p w:rsidR="00E34033" w:rsidP="001D05D5">
      <w:pPr>
        <w:ind w:left="1440" w:right="720"/>
        <w:rPr>
          <w:szCs w:val="24"/>
        </w:rPr>
      </w:pPr>
      <w:r w:rsidRPr="00E34033">
        <w:rPr>
          <w:szCs w:val="24"/>
        </w:rPr>
        <w:t>Blue Ridge expressed concern regarding the project planning process related to non-IT related projects. Blue Ridge recommended that the</w:t>
      </w:r>
      <w:r>
        <w:rPr>
          <w:szCs w:val="24"/>
        </w:rPr>
        <w:t xml:space="preserve"> </w:t>
      </w:r>
      <w:r w:rsidRPr="00E34033">
        <w:rPr>
          <w:szCs w:val="24"/>
        </w:rPr>
        <w:t>FirstEnergy</w:t>
      </w:r>
      <w:r>
        <w:rPr>
          <w:szCs w:val="24"/>
        </w:rPr>
        <w:t xml:space="preserve"> </w:t>
      </w:r>
      <w:r w:rsidRPr="00E34033">
        <w:rPr>
          <w:szCs w:val="24"/>
        </w:rPr>
        <w:t>be directed to review the planning process related to non-IT-related projects to ensure that the methodology ensures that projects are fully scoped prior to execution.  Staff concurs with Blue Ridge’s recommendation and notes that this was also a finding and recommendation made by Blue Ridge in Case No.</w:t>
      </w:r>
      <w:r>
        <w:rPr>
          <w:szCs w:val="24"/>
        </w:rPr>
        <w:t xml:space="preserve"> </w:t>
      </w:r>
      <w:r w:rsidRPr="00E34033">
        <w:rPr>
          <w:szCs w:val="24"/>
        </w:rPr>
        <w:t>16-2041-EL-RDR, the 2016 FirstEnergy Annual Rider DCR Compliance Audit.  As this concern and recommendation has been known to</w:t>
      </w:r>
      <w:r>
        <w:rPr>
          <w:szCs w:val="24"/>
        </w:rPr>
        <w:t xml:space="preserve"> </w:t>
      </w:r>
      <w:r w:rsidRPr="00E34033">
        <w:rPr>
          <w:szCs w:val="24"/>
        </w:rPr>
        <w:t xml:space="preserve">FirstEnergy, Staff </w:t>
      </w:r>
      <w:r w:rsidRPr="00E34033">
        <w:rPr>
          <w:szCs w:val="24"/>
        </w:rPr>
        <w:t>recommends that the 2017 FirstEnergy Annual Compliance Audit not only ascertain that such a review by the Companies has occurred but also assess the sufficiency of the changes.</w:t>
      </w:r>
      <w:r>
        <w:rPr>
          <w:rStyle w:val="FootnoteReference"/>
          <w:szCs w:val="24"/>
        </w:rPr>
        <w:footnoteReference w:id="6"/>
      </w:r>
    </w:p>
    <w:p w:rsidR="002E6EBA" w:rsidP="002E6EBA">
      <w:pPr>
        <w:rPr>
          <w:szCs w:val="24"/>
        </w:rPr>
      </w:pPr>
    </w:p>
    <w:p w:rsidR="001D40BE" w:rsidP="004A1C4E">
      <w:pPr>
        <w:spacing w:line="480" w:lineRule="auto"/>
        <w:rPr>
          <w:szCs w:val="24"/>
        </w:rPr>
      </w:pPr>
      <w:r>
        <w:rPr>
          <w:szCs w:val="24"/>
        </w:rPr>
        <w:tab/>
        <w:t>Although the PUCO Staff has recommended that FirstEnergy review its planning process for non-IT related projects and report on the sufficiency of the changes, the PUCO Staff's recommendation stops short of protecting customers from paying for project costs that may not be just and reasonable. OCC urges the PUCO to go further.</w:t>
      </w:r>
    </w:p>
    <w:p w:rsidR="00CE2321" w:rsidP="004A1C4E">
      <w:pPr>
        <w:spacing w:line="480" w:lineRule="auto"/>
        <w:rPr>
          <w:szCs w:val="24"/>
        </w:rPr>
      </w:pPr>
      <w:r>
        <w:rPr>
          <w:szCs w:val="24"/>
        </w:rPr>
        <w:tab/>
        <w:t xml:space="preserve">Issues with the scoping and budgeting of projects are not new; in fact, similar issues were raised regarding IT projects in 2013. Since this constitutes an ongoing issue, OCC recommended that FirstEnergy </w:t>
      </w:r>
      <w:r w:rsidRPr="002E6EBA">
        <w:rPr>
          <w:szCs w:val="24"/>
        </w:rPr>
        <w:t>provide the independent auditor with all work orders over $1 million that have exceeded their scoped budget by 15%.</w:t>
      </w:r>
      <w:r>
        <w:rPr>
          <w:rStyle w:val="FootnoteReference"/>
          <w:szCs w:val="24"/>
        </w:rPr>
        <w:footnoteReference w:id="7"/>
      </w:r>
      <w:r>
        <w:rPr>
          <w:szCs w:val="24"/>
        </w:rPr>
        <w:t xml:space="preserve"> This would enable the PUCO to more accurately judge the scope and severity of the over-budgeting issue.  </w:t>
      </w:r>
    </w:p>
    <w:p w:rsidR="001D40BE" w:rsidP="004A1C4E">
      <w:pPr>
        <w:spacing w:line="480" w:lineRule="auto"/>
        <w:rPr>
          <w:szCs w:val="24"/>
        </w:rPr>
      </w:pPr>
      <w:r>
        <w:rPr>
          <w:szCs w:val="24"/>
        </w:rPr>
        <w:tab/>
        <w:t xml:space="preserve">Additionally, OCC </w:t>
      </w:r>
      <w:r w:rsidR="003167F3">
        <w:rPr>
          <w:szCs w:val="24"/>
        </w:rPr>
        <w:t xml:space="preserve">is recommending </w:t>
      </w:r>
      <w:r w:rsidR="00AE3877">
        <w:rPr>
          <w:szCs w:val="24"/>
        </w:rPr>
        <w:t xml:space="preserve">a rebuttable presumption that cost overruns of </w:t>
      </w:r>
      <w:r>
        <w:rPr>
          <w:szCs w:val="24"/>
        </w:rPr>
        <w:t xml:space="preserve">30% </w:t>
      </w:r>
      <w:r w:rsidR="00AE3877">
        <w:rPr>
          <w:szCs w:val="24"/>
        </w:rPr>
        <w:t xml:space="preserve">or more </w:t>
      </w:r>
      <w:r>
        <w:rPr>
          <w:szCs w:val="24"/>
        </w:rPr>
        <w:t xml:space="preserve">over </w:t>
      </w:r>
      <w:r w:rsidR="00AE3877">
        <w:rPr>
          <w:szCs w:val="24"/>
        </w:rPr>
        <w:t>budget, a</w:t>
      </w:r>
      <w:r>
        <w:rPr>
          <w:szCs w:val="24"/>
        </w:rPr>
        <w:t>re imprudent</w:t>
      </w:r>
      <w:r w:rsidR="00AE3877">
        <w:rPr>
          <w:szCs w:val="24"/>
        </w:rPr>
        <w:t xml:space="preserve"> and should not be charged to customers</w:t>
      </w:r>
      <w:r>
        <w:rPr>
          <w:szCs w:val="24"/>
        </w:rPr>
        <w:t>.</w:t>
      </w:r>
      <w:r>
        <w:rPr>
          <w:rStyle w:val="FootnoteReference"/>
          <w:szCs w:val="24"/>
        </w:rPr>
        <w:footnoteReference w:id="8"/>
      </w:r>
      <w:r>
        <w:rPr>
          <w:szCs w:val="24"/>
        </w:rPr>
        <w:t xml:space="preserve"> As OCC commented s</w:t>
      </w:r>
      <w:r w:rsidRPr="00D70C91">
        <w:rPr>
          <w:szCs w:val="24"/>
        </w:rPr>
        <w:t xml:space="preserve">uch a standard would </w:t>
      </w:r>
      <w:r>
        <w:rPr>
          <w:szCs w:val="24"/>
        </w:rPr>
        <w:t>protect</w:t>
      </w:r>
      <w:r w:rsidRPr="00D70C91">
        <w:rPr>
          <w:szCs w:val="24"/>
        </w:rPr>
        <w:t xml:space="preserve"> customers and would create an incentive for FirstEnergy to </w:t>
      </w:r>
      <w:r>
        <w:rPr>
          <w:szCs w:val="24"/>
        </w:rPr>
        <w:t>manage and control</w:t>
      </w:r>
      <w:r w:rsidRPr="00D70C91">
        <w:rPr>
          <w:szCs w:val="24"/>
        </w:rPr>
        <w:t xml:space="preserve"> </w:t>
      </w:r>
      <w:r>
        <w:rPr>
          <w:szCs w:val="24"/>
        </w:rPr>
        <w:t xml:space="preserve">the </w:t>
      </w:r>
      <w:r w:rsidRPr="00D70C91">
        <w:rPr>
          <w:szCs w:val="24"/>
        </w:rPr>
        <w:t xml:space="preserve">costs </w:t>
      </w:r>
      <w:r>
        <w:rPr>
          <w:szCs w:val="24"/>
        </w:rPr>
        <w:t xml:space="preserve">being </w:t>
      </w:r>
      <w:r w:rsidRPr="00D70C91">
        <w:rPr>
          <w:szCs w:val="24"/>
        </w:rPr>
        <w:t>charged to customers under Rider DCR.</w:t>
      </w:r>
      <w:r>
        <w:rPr>
          <w:rStyle w:val="FootnoteReference"/>
          <w:szCs w:val="24"/>
        </w:rPr>
        <w:footnoteReference w:id="9"/>
      </w:r>
      <w:r>
        <w:rPr>
          <w:szCs w:val="24"/>
        </w:rPr>
        <w:t xml:space="preserve"> </w:t>
      </w:r>
    </w:p>
    <w:p w:rsidR="002E6EBA" w:rsidP="004A1C4E">
      <w:pPr>
        <w:spacing w:line="480" w:lineRule="auto"/>
        <w:rPr>
          <w:szCs w:val="24"/>
        </w:rPr>
      </w:pPr>
      <w:r>
        <w:rPr>
          <w:szCs w:val="24"/>
        </w:rPr>
        <w:tab/>
        <w:t xml:space="preserve">The PUCO should act upon the concerns of its Staff and OCC regarding the significant cost overruns for capital projects that have been included in FirstEnergy's DCR Rider. This would be a step toward protecting customers from paying unjust and unreasonable rates under Rider DCR.  </w:t>
      </w:r>
    </w:p>
    <w:p w:rsidR="002E6EBA" w:rsidRPr="0081041A" w:rsidP="002E6EBA">
      <w:pPr>
        <w:tabs>
          <w:tab w:val="left" w:pos="4320"/>
        </w:tabs>
        <w:rPr>
          <w:szCs w:val="24"/>
        </w:rPr>
      </w:pPr>
      <w:r>
        <w:rPr>
          <w:szCs w:val="24"/>
        </w:rPr>
        <w:tab/>
      </w:r>
      <w:r w:rsidRPr="0081041A">
        <w:rPr>
          <w:szCs w:val="24"/>
        </w:rPr>
        <w:t>Respectfully submitted,</w:t>
      </w:r>
    </w:p>
    <w:p w:rsidR="002E6EBA" w:rsidRPr="0081041A" w:rsidP="002E6EBA">
      <w:pPr>
        <w:tabs>
          <w:tab w:val="left" w:pos="4320"/>
        </w:tabs>
        <w:rPr>
          <w:szCs w:val="24"/>
        </w:rPr>
      </w:pPr>
    </w:p>
    <w:p w:rsidR="002E6EBA" w:rsidRPr="0081041A" w:rsidP="002E6EBA">
      <w:pPr>
        <w:tabs>
          <w:tab w:val="left" w:pos="4320"/>
        </w:tabs>
        <w:rPr>
          <w:szCs w:val="24"/>
        </w:rPr>
      </w:pPr>
      <w:r>
        <w:rPr>
          <w:szCs w:val="24"/>
        </w:rPr>
        <w:tab/>
        <w:t xml:space="preserve">BRUCE </w:t>
      </w:r>
      <w:r w:rsidRPr="0081041A">
        <w:rPr>
          <w:szCs w:val="24"/>
        </w:rPr>
        <w:t>WESTON (0016973)</w:t>
      </w:r>
    </w:p>
    <w:p w:rsidR="002E6EBA" w:rsidRPr="0081041A" w:rsidP="002E6EBA">
      <w:pPr>
        <w:tabs>
          <w:tab w:val="left" w:pos="4320"/>
        </w:tabs>
        <w:rPr>
          <w:szCs w:val="24"/>
        </w:rPr>
      </w:pPr>
      <w:r w:rsidRPr="0081041A">
        <w:rPr>
          <w:szCs w:val="24"/>
        </w:rPr>
        <w:tab/>
        <w:t>OHIO CONSUMERS’ COUNSEL</w:t>
      </w:r>
    </w:p>
    <w:p w:rsidR="002E6EBA" w:rsidRPr="0081041A" w:rsidP="002E6EBA">
      <w:pPr>
        <w:tabs>
          <w:tab w:val="left" w:pos="4320"/>
        </w:tabs>
        <w:rPr>
          <w:szCs w:val="24"/>
        </w:rPr>
      </w:pPr>
    </w:p>
    <w:p w:rsidR="002E6EBA" w:rsidRPr="0081041A" w:rsidP="002E6EBA">
      <w:pPr>
        <w:tabs>
          <w:tab w:val="left" w:pos="4320"/>
        </w:tabs>
        <w:rPr>
          <w:i/>
          <w:szCs w:val="24"/>
          <w:u w:val="single"/>
        </w:rPr>
      </w:pPr>
      <w:r w:rsidRPr="0081041A">
        <w:rPr>
          <w:i/>
          <w:szCs w:val="24"/>
        </w:rPr>
        <w:tab/>
      </w:r>
      <w:r w:rsidRPr="0081041A">
        <w:rPr>
          <w:i/>
          <w:szCs w:val="24"/>
          <w:u w:val="single"/>
        </w:rPr>
        <w:t> /s/ Jodi Bair                   </w:t>
      </w:r>
    </w:p>
    <w:p w:rsidR="002E6EBA" w:rsidRPr="0081041A" w:rsidP="002E6EBA">
      <w:pPr>
        <w:ind w:left="4320" w:right="-378"/>
        <w:rPr>
          <w:szCs w:val="24"/>
        </w:rPr>
      </w:pPr>
      <w:r w:rsidRPr="0081041A">
        <w:rPr>
          <w:szCs w:val="24"/>
        </w:rPr>
        <w:t>Jodi J. Bair (0062921)</w:t>
      </w:r>
    </w:p>
    <w:p w:rsidR="002E6EBA" w:rsidRPr="0081041A" w:rsidP="002E6EBA">
      <w:pPr>
        <w:ind w:left="4320"/>
      </w:pPr>
      <w:r w:rsidRPr="0081041A">
        <w:rPr>
          <w:szCs w:val="24"/>
        </w:rPr>
        <w:t>Counsel of Record</w:t>
      </w:r>
      <w:r w:rsidRPr="0081041A">
        <w:t xml:space="preserve"> </w:t>
      </w:r>
    </w:p>
    <w:p w:rsidR="002E6EBA" w:rsidRPr="0081041A" w:rsidP="002E6EBA">
      <w:pPr>
        <w:ind w:left="4320"/>
      </w:pPr>
      <w:r w:rsidRPr="0081041A">
        <w:t>Ajay K. Kumar (0092208)</w:t>
      </w:r>
    </w:p>
    <w:p w:rsidR="002E6EBA" w:rsidRPr="0081041A" w:rsidP="002E6EBA">
      <w:pPr>
        <w:ind w:left="4320"/>
      </w:pPr>
      <w:r w:rsidRPr="0081041A">
        <w:t>Assistant Consumers’ Counsel</w:t>
      </w:r>
    </w:p>
    <w:p w:rsidR="002E6EBA" w:rsidRPr="0081041A" w:rsidP="002E6EBA">
      <w:pPr>
        <w:ind w:left="4320" w:right="-180"/>
        <w:rPr>
          <w:b/>
        </w:rPr>
      </w:pPr>
    </w:p>
    <w:p w:rsidR="002E6EBA" w:rsidRPr="0081041A" w:rsidP="002E6EBA">
      <w:pPr>
        <w:ind w:left="4320" w:right="-180"/>
      </w:pPr>
      <w:r w:rsidRPr="0081041A">
        <w:rPr>
          <w:b/>
        </w:rPr>
        <w:t>Office of the Ohio Consumers’ Counsel</w:t>
      </w:r>
    </w:p>
    <w:p w:rsidR="002E6EBA" w:rsidRPr="0081041A" w:rsidP="002E6EBA">
      <w:pPr>
        <w:ind w:left="4320"/>
      </w:pPr>
      <w:r w:rsidRPr="0081041A">
        <w:t>10 West Broad Street, Suite 1800</w:t>
      </w:r>
    </w:p>
    <w:p w:rsidR="002E6EBA" w:rsidRPr="0081041A" w:rsidP="002E6EBA">
      <w:pPr>
        <w:ind w:left="4320"/>
      </w:pPr>
      <w:r w:rsidRPr="0081041A">
        <w:t>Columbus, Ohio 43215-3485</w:t>
      </w:r>
    </w:p>
    <w:p w:rsidR="002E6EBA" w:rsidRPr="0081041A" w:rsidP="002E6EBA">
      <w:r w:rsidRPr="0081041A">
        <w:tab/>
      </w:r>
      <w:r w:rsidRPr="0081041A">
        <w:tab/>
      </w:r>
      <w:r w:rsidRPr="0081041A">
        <w:tab/>
      </w:r>
      <w:r w:rsidRPr="0081041A">
        <w:tab/>
      </w:r>
      <w:r w:rsidRPr="0081041A">
        <w:tab/>
      </w:r>
      <w:r w:rsidRPr="0081041A">
        <w:tab/>
        <w:t>(614) 466-9559 – Bair Direct</w:t>
      </w:r>
    </w:p>
    <w:p w:rsidR="002E6EBA" w:rsidRPr="0081041A" w:rsidP="002E6EBA">
      <w:r w:rsidRPr="0081041A">
        <w:tab/>
      </w:r>
      <w:r w:rsidRPr="0081041A">
        <w:tab/>
      </w:r>
      <w:r w:rsidRPr="0081041A">
        <w:tab/>
      </w:r>
      <w:r w:rsidRPr="0081041A">
        <w:tab/>
      </w:r>
      <w:r w:rsidRPr="0081041A">
        <w:tab/>
      </w:r>
      <w:r w:rsidRPr="0081041A">
        <w:tab/>
        <w:t>(614) 466-1292 – Kumar Direct</w:t>
      </w:r>
    </w:p>
    <w:p w:rsidR="002E6EBA" w:rsidRPr="0081041A" w:rsidP="002E6EBA">
      <w:r w:rsidRPr="0081041A">
        <w:tab/>
      </w:r>
      <w:r w:rsidRPr="0081041A">
        <w:tab/>
      </w:r>
      <w:r w:rsidRPr="0081041A">
        <w:tab/>
      </w:r>
      <w:r w:rsidRPr="0081041A">
        <w:tab/>
      </w:r>
      <w:r w:rsidRPr="0081041A">
        <w:tab/>
      </w:r>
      <w:r w:rsidRPr="0081041A">
        <w:tab/>
      </w:r>
      <w:r>
        <w:fldChar w:fldCharType="begin"/>
      </w:r>
      <w:r>
        <w:instrText xml:space="preserve"> HYPERLINK "mailto:Jodi.bair@occ.ohio.gov" </w:instrText>
      </w:r>
      <w:r>
        <w:fldChar w:fldCharType="separate"/>
      </w:r>
      <w:r w:rsidRPr="0081041A">
        <w:rPr>
          <w:color w:val="0000FF"/>
          <w:u w:val="single"/>
        </w:rPr>
        <w:t>Jodi.bair@occ.ohio.gov</w:t>
      </w:r>
      <w:r>
        <w:fldChar w:fldCharType="end"/>
      </w:r>
    </w:p>
    <w:p w:rsidR="002E6EBA" w:rsidRPr="0081041A" w:rsidP="002E6EBA">
      <w:r w:rsidRPr="0081041A">
        <w:tab/>
      </w:r>
      <w:r w:rsidRPr="0081041A">
        <w:tab/>
      </w:r>
      <w:r w:rsidRPr="0081041A">
        <w:tab/>
      </w:r>
      <w:r w:rsidRPr="0081041A">
        <w:tab/>
      </w:r>
      <w:r w:rsidRPr="0081041A">
        <w:tab/>
      </w:r>
      <w:r w:rsidRPr="0081041A">
        <w:tab/>
      </w:r>
      <w:r>
        <w:fldChar w:fldCharType="begin"/>
      </w:r>
      <w:r>
        <w:instrText xml:space="preserve"> HYPERLINK "mailto:Ajay.kumar@occ.ohio.gov" </w:instrText>
      </w:r>
      <w:r>
        <w:fldChar w:fldCharType="separate"/>
      </w:r>
      <w:r w:rsidRPr="0081041A">
        <w:rPr>
          <w:color w:val="0000FF"/>
          <w:u w:val="single"/>
        </w:rPr>
        <w:t>Ajay.kumar@occ.ohio.gov</w:t>
      </w:r>
      <w:r>
        <w:fldChar w:fldCharType="end"/>
      </w:r>
    </w:p>
    <w:p w:rsidR="002E6EBA" w:rsidRPr="0081041A" w:rsidP="002E6EBA">
      <w:r w:rsidRPr="0081041A">
        <w:tab/>
      </w:r>
      <w:r w:rsidRPr="0081041A">
        <w:tab/>
      </w:r>
      <w:r w:rsidRPr="0081041A">
        <w:tab/>
      </w:r>
      <w:r w:rsidRPr="0081041A">
        <w:tab/>
      </w:r>
      <w:r w:rsidRPr="0081041A">
        <w:tab/>
      </w:r>
      <w:r w:rsidRPr="0081041A">
        <w:tab/>
        <w:t>(Both will accept service via email)</w:t>
      </w:r>
    </w:p>
    <w:p w:rsidR="00383A45" w:rsidP="00C743BC">
      <w:pPr>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pPr>
    </w:p>
    <w:p w:rsidR="000F18EF" w:rsidRPr="000F18EF" w:rsidP="00C743BC">
      <w:pPr>
        <w:ind w:left="1440" w:firstLine="720"/>
        <w:rPr>
          <w:b/>
          <w:bCs/>
          <w:szCs w:val="24"/>
          <w:u w:val="single"/>
        </w:rPr>
      </w:pPr>
      <w:r w:rsidRPr="000F18EF">
        <w:rPr>
          <w:b/>
          <w:bCs/>
          <w:szCs w:val="24"/>
          <w:u w:val="single"/>
        </w:rPr>
        <w:t>CERTIFICATE OF SERVICE</w:t>
      </w:r>
    </w:p>
    <w:p w:rsidR="000F18EF" w:rsidRPr="000F18EF" w:rsidP="000F18EF">
      <w:pPr>
        <w:spacing w:line="480" w:lineRule="atLeast"/>
        <w:ind w:firstLine="720"/>
        <w:rPr>
          <w:szCs w:val="24"/>
        </w:rPr>
      </w:pPr>
      <w:r w:rsidRPr="000F18EF">
        <w:rPr>
          <w:szCs w:val="24"/>
        </w:rPr>
        <w:t xml:space="preserve">I hereby certify that a copy of these </w:t>
      </w:r>
      <w:r>
        <w:rPr>
          <w:szCs w:val="24"/>
        </w:rPr>
        <w:t xml:space="preserve">Reply </w:t>
      </w:r>
      <w:r w:rsidRPr="000F18EF">
        <w:rPr>
          <w:szCs w:val="24"/>
        </w:rPr>
        <w:t xml:space="preserve">Comments was served on the persons stated below via </w:t>
      </w:r>
      <w:r>
        <w:rPr>
          <w:szCs w:val="24"/>
        </w:rPr>
        <w:t>electronic transmission, this 24</w:t>
      </w:r>
      <w:r w:rsidRPr="00B41DD6">
        <w:rPr>
          <w:szCs w:val="24"/>
          <w:vertAlign w:val="superscript"/>
        </w:rPr>
        <w:t>th</w:t>
      </w:r>
      <w:r>
        <w:rPr>
          <w:szCs w:val="24"/>
        </w:rPr>
        <w:t xml:space="preserve"> day of July,</w:t>
      </w:r>
      <w:r w:rsidRPr="000F18EF">
        <w:rPr>
          <w:szCs w:val="24"/>
        </w:rPr>
        <w:t xml:space="preserve"> 2017.</w:t>
      </w:r>
    </w:p>
    <w:p w:rsidR="000F18EF" w:rsidRPr="000F18EF" w:rsidP="000F18EF">
      <w:pPr>
        <w:spacing w:line="480" w:lineRule="atLeast"/>
        <w:rPr>
          <w:szCs w:val="24"/>
        </w:rPr>
      </w:pPr>
    </w:p>
    <w:p w:rsidR="000F18EF" w:rsidRPr="000F18EF" w:rsidP="000F18EF">
      <w:pPr>
        <w:tabs>
          <w:tab w:val="left" w:pos="4320"/>
        </w:tabs>
        <w:rPr>
          <w:szCs w:val="24"/>
          <w:u w:val="single"/>
        </w:rPr>
      </w:pPr>
      <w:r w:rsidRPr="000F18EF">
        <w:rPr>
          <w:szCs w:val="24"/>
        </w:rPr>
        <w:tab/>
      </w:r>
      <w:r w:rsidRPr="000F18EF">
        <w:rPr>
          <w:i/>
          <w:szCs w:val="24"/>
          <w:u w:val="single"/>
        </w:rPr>
        <w:t xml:space="preserve">/s/ </w:t>
      </w:r>
      <w:r>
        <w:rPr>
          <w:i/>
          <w:szCs w:val="24"/>
          <w:u w:val="single"/>
        </w:rPr>
        <w:t>Jodi Bair</w:t>
      </w:r>
      <w:r w:rsidRPr="000F18EF">
        <w:rPr>
          <w:szCs w:val="24"/>
          <w:u w:val="single"/>
        </w:rPr>
        <w:t>                     </w:t>
      </w:r>
    </w:p>
    <w:p w:rsidR="00C743BC" w:rsidP="000F18EF">
      <w:pPr>
        <w:tabs>
          <w:tab w:val="left" w:pos="4320"/>
        </w:tabs>
        <w:ind w:left="4320"/>
        <w:rPr>
          <w:szCs w:val="24"/>
        </w:rPr>
      </w:pPr>
      <w:r>
        <w:rPr>
          <w:szCs w:val="24"/>
        </w:rPr>
        <w:t>Jodi Bair</w:t>
      </w:r>
    </w:p>
    <w:p w:rsidR="000F18EF" w:rsidRPr="000F18EF" w:rsidP="000F18EF">
      <w:pPr>
        <w:tabs>
          <w:tab w:val="left" w:pos="4320"/>
        </w:tabs>
        <w:ind w:left="4320"/>
        <w:rPr>
          <w:szCs w:val="24"/>
        </w:rPr>
      </w:pPr>
      <w:r w:rsidRPr="000F18EF">
        <w:rPr>
          <w:szCs w:val="24"/>
        </w:rPr>
        <w:t>Assistant Consumers’ Counsel</w:t>
      </w:r>
    </w:p>
    <w:p w:rsidR="000F18EF" w:rsidRPr="000F18EF" w:rsidP="000F18EF"/>
    <w:p w:rsidR="000F18EF" w:rsidRPr="000F18EF" w:rsidP="000F18EF">
      <w:pPr>
        <w:rPr>
          <w:szCs w:val="24"/>
        </w:rPr>
      </w:pPr>
    </w:p>
    <w:p w:rsidR="000F18EF" w:rsidP="000F18EF">
      <w:pPr>
        <w:jc w:val="center"/>
        <w:rPr>
          <w:b/>
          <w:szCs w:val="24"/>
          <w:u w:val="single"/>
        </w:rPr>
      </w:pPr>
      <w:r w:rsidRPr="000F18EF">
        <w:rPr>
          <w:b/>
          <w:szCs w:val="24"/>
          <w:u w:val="single"/>
        </w:rPr>
        <w:t>SERVICE LIST</w:t>
      </w:r>
    </w:p>
    <w:p w:rsidR="001D05D5" w:rsidRPr="000F18EF" w:rsidP="000F18EF">
      <w:pPr>
        <w:jc w:val="center"/>
        <w:rPr>
          <w:b/>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1D05D5">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1D05D5" w:rsidP="000F18EF">
            <w:pPr>
              <w:jc w:val="both"/>
              <w:rPr>
                <w:rStyle w:val="DefaultParagraphFont"/>
                <w:b/>
                <w:bCs/>
                <w:sz w:val="24"/>
                <w:lang w:val="en-US" w:eastAsia="en-US" w:bidi="ar-SA"/>
              </w:rPr>
            </w:pPr>
            <w:r>
              <w:fldChar w:fldCharType="begin"/>
            </w:r>
            <w:r>
              <w:rPr>
                <w:sz w:val="24"/>
                <w:lang w:val="en-US" w:eastAsia="en-US" w:bidi="ar-SA"/>
              </w:rPr>
              <w:instrText xml:space="preserve"> HYPERLINK "mailto:steven.beeler@ohioattorneygeneral.gov" </w:instrText>
            </w:r>
            <w:r>
              <w:fldChar w:fldCharType="separate"/>
            </w:r>
            <w:r w:rsidRPr="003C71C9" w:rsidR="009A0B67">
              <w:rPr>
                <w:rStyle w:val="Hyperlink"/>
                <w:color w:val="0000FF"/>
                <w:sz w:val="24"/>
                <w:u w:val="single"/>
                <w:lang w:val="en-US" w:eastAsia="en-US" w:bidi="ar-SA"/>
              </w:rPr>
              <w:t>steven.beeler@ohioattorneygeneral.gov</w:t>
            </w:r>
            <w:r>
              <w:fldChar w:fldCharType="end"/>
            </w:r>
            <w:r w:rsidR="009A0B67">
              <w:rPr>
                <w:b/>
                <w:bCs/>
                <w:sz w:val="24"/>
                <w:lang w:val="en-US" w:eastAsia="en-US" w:bidi="ar-SA"/>
              </w:rPr>
              <w:t xml:space="preserve">  </w:t>
            </w:r>
          </w:p>
          <w:p w:rsidR="001D05D5" w:rsidP="000F18EF">
            <w:pPr>
              <w:jc w:val="both"/>
              <w:rPr>
                <w:rStyle w:val="DefaultParagraphFont"/>
                <w:b/>
                <w:bCs/>
                <w:sz w:val="24"/>
                <w:lang w:val="en-US" w:eastAsia="en-US" w:bidi="ar-SA"/>
              </w:rPr>
            </w:pPr>
          </w:p>
          <w:p w:rsidR="001D05D5" w:rsidP="000F18EF">
            <w:pPr>
              <w:jc w:val="both"/>
              <w:rPr>
                <w:rStyle w:val="DefaultParagraphFont"/>
                <w:b/>
                <w:bCs/>
                <w:sz w:val="24"/>
                <w:lang w:val="en-US" w:eastAsia="en-US" w:bidi="ar-SA"/>
              </w:rPr>
            </w:pPr>
          </w:p>
          <w:p w:rsidR="001D05D5" w:rsidP="000F18EF">
            <w:pPr>
              <w:jc w:val="both"/>
              <w:rPr>
                <w:rStyle w:val="DefaultParagraphFont"/>
                <w:b/>
                <w:bCs/>
                <w:sz w:val="24"/>
                <w:lang w:val="en-US" w:eastAsia="en-US" w:bidi="ar-SA"/>
              </w:rPr>
            </w:pPr>
          </w:p>
          <w:p w:rsidR="001D05D5" w:rsidP="000F18EF">
            <w:pPr>
              <w:jc w:val="both"/>
              <w:rPr>
                <w:rStyle w:val="DefaultParagraphFont"/>
                <w:b/>
                <w:bCs/>
                <w:sz w:val="24"/>
                <w:lang w:val="en-US" w:eastAsia="en-US" w:bidi="ar-SA"/>
              </w:rPr>
            </w:pPr>
            <w:r>
              <w:rPr>
                <w:b/>
                <w:bCs/>
                <w:sz w:val="24"/>
                <w:lang w:val="en-US" w:eastAsia="en-US" w:bidi="ar-SA"/>
              </w:rPr>
              <w:t>Attorney Examiner:</w:t>
            </w:r>
          </w:p>
          <w:p w:rsidR="006F26FA" w:rsidP="000F18EF">
            <w:pPr>
              <w:jc w:val="both"/>
              <w:rPr>
                <w:rStyle w:val="DefaultParagraphFont"/>
                <w:b/>
                <w:bCs/>
                <w:sz w:val="24"/>
                <w:lang w:val="en-US" w:eastAsia="en-US" w:bidi="ar-SA"/>
              </w:rPr>
            </w:pPr>
          </w:p>
          <w:p w:rsidR="001D05D5" w:rsidP="000F18EF">
            <w:pPr>
              <w:jc w:val="both"/>
              <w:rPr>
                <w:rStyle w:val="DefaultParagraphFont"/>
                <w:b/>
                <w:bCs/>
                <w:sz w:val="24"/>
                <w:lang w:val="en-US" w:eastAsia="en-US" w:bidi="ar-SA"/>
              </w:rPr>
            </w:pPr>
            <w:r>
              <w:fldChar w:fldCharType="begin"/>
            </w:r>
            <w:r>
              <w:rPr>
                <w:sz w:val="24"/>
                <w:lang w:val="en-US" w:eastAsia="en-US" w:bidi="ar-SA"/>
              </w:rPr>
              <w:instrText xml:space="preserve"> HYPERLINK "mailto:Gregory.price@puc.state.oh.us" </w:instrText>
            </w:r>
            <w:r>
              <w:fldChar w:fldCharType="separate"/>
            </w:r>
            <w:r w:rsidRPr="003C71C9" w:rsidR="009A0B67">
              <w:rPr>
                <w:rStyle w:val="Hyperlink"/>
                <w:color w:val="0000FF"/>
                <w:sz w:val="24"/>
                <w:u w:val="single"/>
                <w:lang w:val="en-US" w:eastAsia="en-US" w:bidi="ar-SA"/>
              </w:rPr>
              <w:t>Gregory.price@puc.state.oh.us</w:t>
            </w:r>
            <w:r>
              <w:fldChar w:fldCharType="end"/>
            </w:r>
            <w:r w:rsidR="009A0B67">
              <w:rPr>
                <w:b/>
                <w:bCs/>
                <w:sz w:val="24"/>
                <w:lang w:val="en-US" w:eastAsia="en-US" w:bidi="ar-SA"/>
              </w:rPr>
              <w:t xml:space="preserve"> </w:t>
            </w:r>
          </w:p>
          <w:p w:rsidR="001D05D5" w:rsidP="000F18EF">
            <w:pPr>
              <w:jc w:val="both"/>
              <w:rPr>
                <w:rStyle w:val="DefaultParagraphFont"/>
                <w:b/>
                <w:bCs/>
                <w:sz w:val="24"/>
                <w:lang w:val="en-US" w:eastAsia="en-US" w:bidi="ar-SA"/>
              </w:rPr>
            </w:pPr>
            <w:r>
              <w:fldChar w:fldCharType="begin"/>
            </w:r>
            <w:r>
              <w:rPr>
                <w:sz w:val="24"/>
                <w:lang w:val="en-US" w:eastAsia="en-US" w:bidi="ar-SA"/>
              </w:rPr>
              <w:instrText xml:space="preserve"> HYPERLINK "mailto:Mandy.willey@puc.state.oh.us" </w:instrText>
            </w:r>
            <w:r>
              <w:fldChar w:fldCharType="separate"/>
            </w:r>
            <w:r w:rsidRPr="003C71C9" w:rsidR="009A0B67">
              <w:rPr>
                <w:rStyle w:val="Hyperlink"/>
                <w:color w:val="0000FF"/>
                <w:sz w:val="24"/>
                <w:u w:val="single"/>
                <w:lang w:val="en-US" w:eastAsia="en-US" w:bidi="ar-SA"/>
              </w:rPr>
              <w:t>Mandy.willey@puc.state.oh.us</w:t>
            </w:r>
            <w:r>
              <w:fldChar w:fldCharType="end"/>
            </w:r>
            <w:r w:rsidR="009A0B67">
              <w:rPr>
                <w:b/>
                <w:bCs/>
                <w:sz w:val="24"/>
                <w:lang w:val="en-US" w:eastAsia="en-US" w:bidi="ar-SA"/>
              </w:rPr>
              <w:t xml:space="preserve"> </w:t>
            </w:r>
          </w:p>
        </w:tc>
        <w:tc>
          <w:tcPr>
            <w:tcW w:w="4428" w:type="dxa"/>
          </w:tcPr>
          <w:p w:rsidR="001D05D5" w:rsidP="000F18EF">
            <w:pPr>
              <w:jc w:val="both"/>
              <w:rPr>
                <w:rStyle w:val="DefaultParagraphFont"/>
                <w:b/>
                <w:bCs/>
                <w:sz w:val="24"/>
                <w:lang w:val="en-US" w:eastAsia="en-US" w:bidi="ar-SA"/>
              </w:rPr>
            </w:pPr>
            <w:r>
              <w:fldChar w:fldCharType="begin"/>
            </w:r>
            <w:r>
              <w:rPr>
                <w:sz w:val="24"/>
                <w:lang w:val="en-US" w:eastAsia="en-US" w:bidi="ar-SA"/>
              </w:rPr>
              <w:instrText xml:space="preserve"> HYPERLINK "mailto:cdunn@firstenergycorp.com" </w:instrText>
            </w:r>
            <w:r>
              <w:fldChar w:fldCharType="separate"/>
            </w:r>
            <w:r w:rsidRPr="003C71C9" w:rsidR="009A0B67">
              <w:rPr>
                <w:rStyle w:val="Hyperlink"/>
                <w:color w:val="0000FF"/>
                <w:sz w:val="24"/>
                <w:u w:val="single"/>
                <w:lang w:val="en-US" w:eastAsia="en-US" w:bidi="ar-SA"/>
              </w:rPr>
              <w:t>cdunn@firstenergycorp.com</w:t>
            </w:r>
            <w:r>
              <w:fldChar w:fldCharType="end"/>
            </w:r>
            <w:r w:rsidR="009A0B67">
              <w:rPr>
                <w:b/>
                <w:bCs/>
                <w:sz w:val="24"/>
                <w:lang w:val="en-US" w:eastAsia="en-US" w:bidi="ar-SA"/>
              </w:rPr>
              <w:t xml:space="preserve"> </w:t>
            </w:r>
          </w:p>
          <w:p w:rsidR="001D05D5" w:rsidP="000F18EF">
            <w:pPr>
              <w:jc w:val="both"/>
              <w:rPr>
                <w:rStyle w:val="DefaultParagraphFont"/>
                <w:b/>
                <w:bCs/>
                <w:sz w:val="24"/>
                <w:lang w:val="en-US" w:eastAsia="en-US" w:bidi="ar-SA"/>
              </w:rPr>
            </w:pPr>
            <w:r>
              <w:fldChar w:fldCharType="begin"/>
            </w:r>
            <w:r>
              <w:rPr>
                <w:sz w:val="24"/>
                <w:lang w:val="en-US" w:eastAsia="en-US" w:bidi="ar-SA"/>
              </w:rPr>
              <w:instrText xml:space="preserve"> HYPERLINK "mailto:rendris@firstenergycorp.com" </w:instrText>
            </w:r>
            <w:r>
              <w:fldChar w:fldCharType="separate"/>
            </w:r>
            <w:r w:rsidRPr="003C71C9" w:rsidR="009A0B67">
              <w:rPr>
                <w:rStyle w:val="Hyperlink"/>
                <w:color w:val="0000FF"/>
                <w:sz w:val="24"/>
                <w:u w:val="single"/>
                <w:lang w:val="en-US" w:eastAsia="en-US" w:bidi="ar-SA"/>
              </w:rPr>
              <w:t>rendris@firstenergycorp.com</w:t>
            </w:r>
            <w:r>
              <w:fldChar w:fldCharType="end"/>
            </w:r>
            <w:r w:rsidR="009A0B67">
              <w:rPr>
                <w:b/>
                <w:bCs/>
                <w:sz w:val="24"/>
                <w:lang w:val="en-US" w:eastAsia="en-US" w:bidi="ar-SA"/>
              </w:rPr>
              <w:t xml:space="preserve"> </w:t>
            </w:r>
          </w:p>
          <w:p w:rsidR="001D05D5" w:rsidP="001D05D5">
            <w:pPr>
              <w:autoSpaceDE w:val="0"/>
              <w:autoSpaceDN w:val="0"/>
              <w:adjustRightInd w:val="0"/>
              <w:rPr>
                <w:rStyle w:val="DefaultParagraphFont"/>
                <w:color w:val="0000FF"/>
                <w:sz w:val="24"/>
                <w:szCs w:val="24"/>
                <w:lang w:val="en-US" w:eastAsia="en-US" w:bidi="ar-SA"/>
              </w:rPr>
            </w:pPr>
            <w:r>
              <w:fldChar w:fldCharType="begin"/>
            </w:r>
            <w:r>
              <w:rPr>
                <w:sz w:val="24"/>
                <w:lang w:val="en-US" w:eastAsia="en-US" w:bidi="ar-SA"/>
              </w:rPr>
              <w:instrText xml:space="preserve"> HYPERLINK "mailto:dhasbrook@ralaw.com" </w:instrText>
            </w:r>
            <w:r>
              <w:fldChar w:fldCharType="separate"/>
            </w:r>
            <w:r w:rsidRPr="003C71C9" w:rsidR="009A0B67">
              <w:rPr>
                <w:rStyle w:val="Hyperlink"/>
                <w:color w:val="0000FF"/>
                <w:sz w:val="24"/>
                <w:szCs w:val="24"/>
                <w:u w:val="single"/>
                <w:lang w:val="en-US" w:eastAsia="en-US" w:bidi="ar-SA"/>
              </w:rPr>
              <w:t>dhasbrook@ralaw.com</w:t>
            </w:r>
            <w:r>
              <w:fldChar w:fldCharType="end"/>
            </w:r>
            <w:r w:rsidR="009A0B67">
              <w:rPr>
                <w:color w:val="0000FF"/>
                <w:sz w:val="24"/>
                <w:szCs w:val="24"/>
                <w:lang w:val="en-US" w:eastAsia="en-US" w:bidi="ar-SA"/>
              </w:rPr>
              <w:t xml:space="preserve"> </w:t>
            </w:r>
          </w:p>
          <w:p w:rsidR="001D05D5" w:rsidP="001D05D5">
            <w:pPr>
              <w:jc w:val="both"/>
              <w:rPr>
                <w:rStyle w:val="DefaultParagraphFont"/>
                <w:b/>
                <w:bCs/>
                <w:sz w:val="24"/>
                <w:lang w:val="en-US" w:eastAsia="en-US" w:bidi="ar-SA"/>
              </w:rPr>
            </w:pPr>
            <w:r>
              <w:fldChar w:fldCharType="begin"/>
            </w:r>
            <w:r>
              <w:rPr>
                <w:sz w:val="24"/>
                <w:lang w:val="en-US" w:eastAsia="en-US" w:bidi="ar-SA"/>
              </w:rPr>
              <w:instrText xml:space="preserve"> HYPERLINK "mailto:ewilcheck@ralaw.com" </w:instrText>
            </w:r>
            <w:r>
              <w:fldChar w:fldCharType="separate"/>
            </w:r>
            <w:r w:rsidRPr="003C71C9" w:rsidR="009A0B67">
              <w:rPr>
                <w:rStyle w:val="Hyperlink"/>
                <w:color w:val="0000FF"/>
                <w:sz w:val="24"/>
                <w:szCs w:val="24"/>
                <w:u w:val="single"/>
                <w:lang w:val="en-US" w:eastAsia="en-US" w:bidi="ar-SA"/>
              </w:rPr>
              <w:t>ewilcheck@ralaw.com</w:t>
            </w:r>
            <w:r>
              <w:fldChar w:fldCharType="end"/>
            </w:r>
            <w:r w:rsidR="009A0B67">
              <w:rPr>
                <w:color w:val="0000FF"/>
                <w:sz w:val="24"/>
                <w:szCs w:val="24"/>
                <w:lang w:val="en-US" w:eastAsia="en-US" w:bidi="ar-SA"/>
              </w:rPr>
              <w:t xml:space="preserve"> </w:t>
            </w:r>
          </w:p>
        </w:tc>
      </w:tr>
    </w:tbl>
    <w:p w:rsidR="000F18EF" w:rsidRPr="000F18EF" w:rsidP="000F18EF">
      <w:pPr>
        <w:jc w:val="both"/>
        <w:rPr>
          <w:b/>
          <w:bCs/>
        </w:rPr>
      </w:pPr>
    </w:p>
    <w:p w:rsidR="000F18EF" w:rsidRPr="000F18EF" w:rsidP="003547B0">
      <w:pPr>
        <w:spacing w:line="480" w:lineRule="auto"/>
        <w:rPr>
          <w:szCs w:val="24"/>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195" w:rsidRPr="004A1C4E">
    <w:pPr>
      <w:pStyle w:val="Footer"/>
      <w:framePr w:wrap="around" w:vAnchor="text" w:hAnchor="margin" w:xAlign="center" w:y="1"/>
      <w:jc w:val="center"/>
      <w:rPr>
        <w:rStyle w:val="PageNumber"/>
        <w:sz w:val="24"/>
        <w:szCs w:val="24"/>
      </w:rPr>
    </w:pPr>
    <w:r w:rsidRPr="004A1C4E">
      <w:rPr>
        <w:rStyle w:val="PageNumber"/>
        <w:sz w:val="24"/>
        <w:szCs w:val="24"/>
      </w:rPr>
      <w:fldChar w:fldCharType="begin"/>
    </w:r>
    <w:r w:rsidRPr="004A1C4E">
      <w:rPr>
        <w:rStyle w:val="PageNumber"/>
        <w:sz w:val="24"/>
        <w:szCs w:val="24"/>
      </w:rPr>
      <w:instrText xml:space="preserve">PAGE  </w:instrText>
    </w:r>
    <w:r w:rsidRPr="004A1C4E">
      <w:rPr>
        <w:rStyle w:val="PageNumber"/>
        <w:sz w:val="24"/>
        <w:szCs w:val="24"/>
      </w:rPr>
      <w:fldChar w:fldCharType="separate"/>
    </w:r>
    <w:r w:rsidR="00AE3877">
      <w:rPr>
        <w:rStyle w:val="PageNumber"/>
        <w:noProof/>
        <w:sz w:val="24"/>
        <w:szCs w:val="24"/>
      </w:rPr>
      <w:t>2</w:t>
    </w:r>
    <w:r w:rsidRPr="004A1C4E">
      <w:rPr>
        <w:rStyle w:val="PageNumber"/>
        <w:sz w:val="24"/>
        <w:szCs w:val="24"/>
      </w:rPr>
      <w:fldChar w:fldCharType="end"/>
    </w:r>
  </w:p>
  <w:p w:rsidR="006B7195" w:rsidRPr="004A1C4E">
    <w:pPr>
      <w:pStyle w:val="Footer"/>
      <w:framePr w:wrap="around" w:vAnchor="text" w:hAnchor="margin" w:xAlign="center" w:y="1"/>
      <w:rPr>
        <w:rStyle w:val="PageNumber"/>
      </w:rPr>
    </w:pPr>
  </w:p>
  <w:p w:rsidR="006B7195" w:rsidRPr="004A1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4050">
      <w:r>
        <w:separator/>
      </w:r>
    </w:p>
  </w:footnote>
  <w:footnote w:type="continuationSeparator" w:id="1">
    <w:p w:rsidR="00EA4050">
      <w:r>
        <w:continuationSeparator/>
      </w:r>
    </w:p>
  </w:footnote>
  <w:footnote w:type="continuationNotice" w:id="2">
    <w:p w:rsidR="00EA4050"/>
  </w:footnote>
  <w:footnote w:id="3">
    <w:p w:rsidR="00CE2321" w:rsidRPr="004A1C4E" w:rsidP="002D1A4E">
      <w:pPr>
        <w:pStyle w:val="FootnoteText"/>
        <w:spacing w:before="0" w:after="120"/>
      </w:pPr>
      <w:r>
        <w:rPr>
          <w:rStyle w:val="FootnoteReference"/>
        </w:rPr>
        <w:footnoteRef/>
      </w:r>
      <w:r>
        <w:t xml:space="preserve"> </w:t>
      </w:r>
      <w:r w:rsidRPr="00D70C91">
        <w:rPr>
          <w:szCs w:val="24"/>
        </w:rPr>
        <w:t xml:space="preserve">Rider DCR provides recovery of property taxes, commercial activity tax, and associated income taxes, and the opportunity to earn a return on and of plant-in-service associated with distribution, subtransmission, and general and intangible </w:t>
      </w:r>
      <w:r w:rsidRPr="004A1C4E">
        <w:rPr>
          <w:szCs w:val="24"/>
        </w:rPr>
        <w:t>plant.</w:t>
      </w:r>
      <w:r w:rsidRPr="004A1C4E">
        <w:rPr>
          <w:rStyle w:val="FootnoteReference"/>
          <w:szCs w:val="24"/>
        </w:rPr>
        <w:t xml:space="preserve"> </w:t>
      </w:r>
      <w:r w:rsidRPr="004A1C4E">
        <w:rPr>
          <w:szCs w:val="24"/>
        </w:rPr>
        <w:t>Compliance</w:t>
      </w:r>
      <w:r>
        <w:rPr>
          <w:szCs w:val="24"/>
        </w:rPr>
        <w:t xml:space="preserve"> Audit of the 2015 Delivery Capital Riders of Ohio Edison Company, The Cleveland Electric Illuminating Company, and The Toledo Edison Company at 9 (April 22, 2016) </w:t>
      </w:r>
      <w:r>
        <w:rPr>
          <w:i/>
          <w:szCs w:val="24"/>
        </w:rPr>
        <w:t>hereinafter</w:t>
      </w:r>
      <w:r>
        <w:rPr>
          <w:szCs w:val="24"/>
        </w:rPr>
        <w:t xml:space="preserve"> “Audit Report”.</w:t>
      </w:r>
    </w:p>
  </w:footnote>
  <w:footnote w:id="4">
    <w:p w:rsidR="00AE44A1" w:rsidP="002D1A4E">
      <w:pPr>
        <w:pStyle w:val="FootnoteText"/>
        <w:spacing w:before="0" w:after="120"/>
      </w:pPr>
      <w:r>
        <w:rPr>
          <w:rStyle w:val="FootnoteReference"/>
        </w:rPr>
        <w:footnoteRef/>
      </w:r>
      <w:r>
        <w:t xml:space="preserve"> OCC Initial Comments at 1-6 (June 23, 2017). </w:t>
      </w:r>
    </w:p>
  </w:footnote>
  <w:footnote w:id="5">
    <w:p w:rsidR="00E34033" w:rsidP="002D1A4E">
      <w:pPr>
        <w:pStyle w:val="FootnoteText"/>
        <w:spacing w:before="0" w:after="120"/>
      </w:pPr>
      <w:r>
        <w:rPr>
          <w:rStyle w:val="FootnoteReference"/>
        </w:rPr>
        <w:footnoteRef/>
      </w:r>
      <w:r>
        <w:t xml:space="preserve"> </w:t>
      </w:r>
      <w:r w:rsidRPr="00E34033">
        <w:t>Audit Report at 60.</w:t>
      </w:r>
    </w:p>
  </w:footnote>
  <w:footnote w:id="6">
    <w:p w:rsidR="002E6EBA" w:rsidP="002D1A4E">
      <w:pPr>
        <w:pStyle w:val="FootnoteText"/>
        <w:spacing w:before="0" w:after="120"/>
      </w:pPr>
      <w:r>
        <w:rPr>
          <w:rStyle w:val="FootnoteReference"/>
        </w:rPr>
        <w:footnoteRef/>
      </w:r>
      <w:r>
        <w:t xml:space="preserve"> PUCO Staff’s Initial Comments at 5 (June 23, 2017).</w:t>
      </w:r>
    </w:p>
  </w:footnote>
  <w:footnote w:id="7">
    <w:p w:rsidR="002E6EBA" w:rsidP="002D1A4E">
      <w:pPr>
        <w:pStyle w:val="FootnoteText"/>
        <w:spacing w:before="0" w:after="120"/>
      </w:pPr>
      <w:r>
        <w:rPr>
          <w:rStyle w:val="FootnoteReference"/>
        </w:rPr>
        <w:footnoteRef/>
      </w:r>
      <w:r>
        <w:t xml:space="preserve"> OCC Initial Comments at 5. </w:t>
      </w:r>
    </w:p>
  </w:footnote>
  <w:footnote w:id="8">
    <w:p w:rsidR="002E6EBA" w:rsidP="002D1A4E">
      <w:pPr>
        <w:pStyle w:val="FootnoteText"/>
        <w:spacing w:before="0" w:after="120"/>
      </w:pPr>
      <w:r>
        <w:rPr>
          <w:rStyle w:val="FootnoteReference"/>
        </w:rPr>
        <w:footnoteRef/>
      </w:r>
      <w:r>
        <w:t xml:space="preserve"> Id. </w:t>
      </w:r>
    </w:p>
  </w:footnote>
  <w:footnote w:id="9">
    <w:p w:rsidR="00267EE6" w:rsidP="002D1A4E">
      <w:pPr>
        <w:pStyle w:val="FootnoteText"/>
        <w:spacing w:before="0" w:after="120"/>
      </w:pPr>
      <w:r>
        <w:rPr>
          <w:rStyle w:val="FootnoteReference"/>
        </w:rPr>
        <w:footnoteRef/>
      </w:r>
      <w:r>
        <w:t xml:space="preserve"> Id. at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797268B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75C02"/>
    <w:multiLevelType w:val="hybridMultilevel"/>
    <w:tmpl w:val="68AC13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861E96"/>
    <w:multiLevelType w:val="hybridMultilevel"/>
    <w:tmpl w:val="1EB4570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7107C68"/>
    <w:multiLevelType w:val="hybridMultilevel"/>
    <w:tmpl w:val="32847FF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0A6962"/>
    <w:multiLevelType w:val="hybridMultilevel"/>
    <w:tmpl w:val="A9907A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D9F07D3"/>
    <w:multiLevelType w:val="hybridMultilevel"/>
    <w:tmpl w:val="EF483A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DE36EB"/>
    <w:multiLevelType w:val="hybridMultilevel"/>
    <w:tmpl w:val="35FC76C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41905F4"/>
    <w:multiLevelType w:val="hybridMultilevel"/>
    <w:tmpl w:val="D5F4950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97C2BDD"/>
    <w:multiLevelType w:val="hybridMultilevel"/>
    <w:tmpl w:val="5C1E82B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DD74DD0"/>
    <w:multiLevelType w:val="hybridMultilevel"/>
    <w:tmpl w:val="7C30C3E8"/>
    <w:lvl w:ilvl="0">
      <w:start w:val="4"/>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BDA58BD"/>
    <w:multiLevelType w:val="hybridMultilevel"/>
    <w:tmpl w:val="A91E72A4"/>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51922FD"/>
    <w:multiLevelType w:val="hybridMultilevel"/>
    <w:tmpl w:val="0B287154"/>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20550B0"/>
    <w:multiLevelType w:val="hybridMultilevel"/>
    <w:tmpl w:val="89EA52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5C8B197D"/>
    <w:multiLevelType w:val="hybridMultilevel"/>
    <w:tmpl w:val="E9C85CAA"/>
    <w:lvl w:ilvl="0">
      <w:start w:val="1"/>
      <w:numFmt w:val="upperLetter"/>
      <w:pStyle w:val="Heading2"/>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7">
    <w:nsid w:val="5E2C7CE8"/>
    <w:multiLevelType w:val="hybridMultilevel"/>
    <w:tmpl w:val="A9907A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5"/>
  </w:num>
  <w:num w:numId="2">
    <w:abstractNumId w:val="14"/>
  </w:num>
  <w:num w:numId="3">
    <w:abstractNumId w:val="19"/>
  </w:num>
  <w:num w:numId="4">
    <w:abstractNumId w:val="18"/>
  </w:num>
  <w:num w:numId="5">
    <w:abstractNumId w:val="3"/>
  </w:num>
  <w:num w:numId="6">
    <w:abstractNumId w:val="20"/>
  </w:num>
  <w:num w:numId="7">
    <w:abstractNumId w:val="11"/>
  </w:num>
  <w:num w:numId="8">
    <w:abstractNumId w:val="2"/>
  </w:num>
  <w:num w:numId="9">
    <w:abstractNumId w:val="12"/>
  </w:num>
  <w:num w:numId="10">
    <w:abstractNumId w:val="4"/>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1"/>
  </w:num>
  <w:num w:numId="16">
    <w:abstractNumId w:val="6"/>
  </w:num>
  <w:num w:numId="17">
    <w:abstractNumId w:val="9"/>
  </w:num>
  <w:num w:numId="18">
    <w:abstractNumId w:val="13"/>
  </w:num>
  <w:num w:numId="19">
    <w:abstractNumId w:val="7"/>
  </w:num>
  <w:num w:numId="20">
    <w:abstractNumId w:val="10"/>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59"/>
    <w:rPr>
      <w:sz w:val="24"/>
    </w:rPr>
  </w:style>
  <w:style w:type="paragraph" w:styleId="Heading1">
    <w:name w:val="heading 1"/>
    <w:basedOn w:val="Normal"/>
    <w:next w:val="Normal"/>
    <w:link w:val="Heading1Char"/>
    <w:autoRedefine/>
    <w:qFormat/>
    <w:rsid w:val="00600FF5"/>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BA60E8"/>
    <w:pPr>
      <w:keepNext/>
      <w:numPr>
        <w:numId w:val="22"/>
      </w:numPr>
      <w:spacing w:after="240"/>
      <w:ind w:left="1440" w:right="720" w:hanging="720"/>
      <w:outlineLvl w:val="1"/>
    </w:pPr>
    <w:rPr>
      <w:b/>
    </w:rPr>
  </w:style>
  <w:style w:type="paragraph" w:styleId="Heading3">
    <w:name w:val="heading 3"/>
    <w:basedOn w:val="Normal"/>
    <w:next w:val="Normal"/>
    <w:autoRedefine/>
    <w:qFormat/>
    <w:rsid w:val="00383A45"/>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fn"/>
    <w:basedOn w:val="Normal"/>
    <w:link w:val="FootnoteTextChar"/>
    <w:rsid w:val="00DA7746"/>
    <w:pPr>
      <w:spacing w:before="120"/>
    </w:pPr>
    <w:rPr>
      <w:sz w:val="20"/>
    </w:rPr>
  </w:style>
  <w:style w:type="character" w:styleId="FootnoteReference">
    <w:name w:val="footnote reference"/>
    <w:aliases w:val="(NECG) Footnote Reference,Appel note de bas de p,Style 12,Style 124,Style 13,Style 3,fr,o"/>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uiPriority w:val="99"/>
    <w:rPr>
      <w:sz w:val="18"/>
    </w:rPr>
  </w:style>
  <w:style w:type="paragraph" w:styleId="CommentText">
    <w:name w:val="annotation text"/>
    <w:basedOn w:val="Normal"/>
    <w:link w:val="CommentTextChar"/>
    <w:uiPriority w:val="99"/>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aliases w:val="ALTS FOOTNOTE Char,Footnote Text Char Char Char Char Char1,Footnote Text Char Char Char1,Footnote Text Char1 Char Char1 Char Char Char Char1,Footnote Text Char1 Char Char1 Char1,Footnote Text Char1 Char1,fn Char1"/>
    <w:link w:val="FootnoteText"/>
    <w:locked/>
    <w:rsid w:val="00DA7746"/>
  </w:style>
  <w:style w:type="character" w:customStyle="1" w:styleId="StyleFooter12ptChar">
    <w:name w:val="Style Footer + 12 pt Char"/>
    <w:link w:val="StyleFooter12pt"/>
    <w:locked/>
    <w:rsid w:val="00E31276"/>
    <w:rPr>
      <w:sz w:val="24"/>
    </w:rPr>
  </w:style>
  <w:style w:type="character" w:customStyle="1" w:styleId="BodyTextChar">
    <w:name w:val="Body Text Char"/>
    <w:link w:val="BodyText"/>
    <w:rsid w:val="00DA7746"/>
    <w:rPr>
      <w:sz w:val="24"/>
    </w:rPr>
  </w:style>
  <w:style w:type="character" w:customStyle="1" w:styleId="BodyTextIndentChar">
    <w:name w:val="Body Text Indent Char"/>
    <w:link w:val="BodyTextIndent"/>
    <w:rsid w:val="00DA7746"/>
    <w:rPr>
      <w:sz w:val="24"/>
    </w:rPr>
  </w:style>
  <w:style w:type="paragraph" w:customStyle="1" w:styleId="StyleFooter12pt">
    <w:name w:val="Style Footer + 12 pt"/>
    <w:basedOn w:val="Footer"/>
    <w:link w:val="StyleFooter12ptChar"/>
    <w:rsid w:val="00E31276"/>
    <w:pPr>
      <w:framePr w:wrap="around" w:vAnchor="text" w:hAnchor="text" w:y="1"/>
      <w:widowControl w:val="0"/>
    </w:pPr>
    <w:rPr>
      <w:sz w:val="24"/>
    </w:rPr>
  </w:style>
  <w:style w:type="character" w:customStyle="1" w:styleId="HeaderChar">
    <w:name w:val="Header Char"/>
    <w:link w:val="Header"/>
    <w:rsid w:val="00E37EE1"/>
    <w:rPr>
      <w:sz w:val="24"/>
    </w:rPr>
  </w:style>
  <w:style w:type="character" w:customStyle="1" w:styleId="Heading1Char">
    <w:name w:val="Heading 1 Char"/>
    <w:link w:val="Heading1"/>
    <w:rsid w:val="00600FF5"/>
    <w:rPr>
      <w:rFonts w:ascii="Times New Roman Bold" w:hAnsi="Times New Roman Bold"/>
      <w:b/>
      <w:caps/>
      <w:sz w:val="24"/>
      <w:szCs w:val="24"/>
    </w:rPr>
  </w:style>
  <w:style w:type="character" w:customStyle="1" w:styleId="FooterChar">
    <w:name w:val="Footer Char"/>
    <w:link w:val="Footer"/>
    <w:rsid w:val="002242E0"/>
  </w:style>
  <w:style w:type="character" w:customStyle="1" w:styleId="BodyTextIndent3Char">
    <w:name w:val="Body Text Indent 3 Char"/>
    <w:link w:val="BodyTextIndent3"/>
    <w:rsid w:val="002242E0"/>
    <w:rPr>
      <w:sz w:val="24"/>
    </w:rPr>
  </w:style>
  <w:style w:type="paragraph" w:styleId="NormalWeb">
    <w:name w:val="Normal (Web)"/>
    <w:basedOn w:val="Normal"/>
    <w:uiPriority w:val="99"/>
    <w:unhideWhenUsed/>
    <w:rsid w:val="008F2600"/>
    <w:pPr>
      <w:spacing w:before="100" w:beforeAutospacing="1" w:after="100" w:afterAutospacing="1"/>
    </w:pPr>
    <w:rPr>
      <w:szCs w:val="24"/>
    </w:rPr>
  </w:style>
  <w:style w:type="paragraph" w:customStyle="1" w:styleId="ColorfulList-Accent11">
    <w:name w:val="Colorful List - Accent 11"/>
    <w:basedOn w:val="Normal"/>
    <w:uiPriority w:val="34"/>
    <w:qFormat/>
    <w:rsid w:val="008F2600"/>
    <w:pPr>
      <w:spacing w:after="200" w:line="276" w:lineRule="auto"/>
      <w:ind w:left="720"/>
      <w:contextualSpacing/>
    </w:pPr>
    <w:rPr>
      <w:rFonts w:ascii="Calibri" w:eastAsia="Calibri" w:hAnsi="Calibri"/>
      <w:sz w:val="22"/>
      <w:szCs w:val="22"/>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uiPriority w:val="99"/>
    <w:locked/>
    <w:rsid w:val="00FE744A"/>
    <w:rPr>
      <w:lang w:val="en-US" w:eastAsia="en-US" w:bidi="ar-SA"/>
    </w:rPr>
  </w:style>
  <w:style w:type="character" w:customStyle="1" w:styleId="CommentTextChar">
    <w:name w:val="Comment Text Char"/>
    <w:link w:val="CommentText"/>
    <w:uiPriority w:val="99"/>
    <w:rsid w:val="00FE744A"/>
    <w:rPr>
      <w:sz w:val="24"/>
      <w:szCs w:val="24"/>
    </w:rPr>
  </w:style>
  <w:style w:type="paragraph" w:styleId="ListParagraph">
    <w:name w:val="List Paragraph"/>
    <w:basedOn w:val="Normal"/>
    <w:uiPriority w:val="34"/>
    <w:qFormat/>
    <w:rsid w:val="006D5706"/>
    <w:pPr>
      <w:spacing w:after="200" w:line="276" w:lineRule="auto"/>
      <w:ind w:left="720"/>
      <w:contextualSpacing/>
    </w:pPr>
    <w:rPr>
      <w:rFonts w:asciiTheme="minorHAnsi" w:eastAsiaTheme="minorHAnsi" w:hAnsiTheme="minorHAnsi" w:cstheme="minorBidi"/>
      <w:sz w:val="22"/>
      <w:szCs w:val="22"/>
    </w:rPr>
  </w:style>
  <w:style w:type="character" w:customStyle="1" w:styleId="HTMLPreformattedChar">
    <w:name w:val="HTML Preformatted Char"/>
    <w:basedOn w:val="DefaultParagraphFont"/>
    <w:link w:val="HTMLPreformatted"/>
    <w:rsid w:val="00D62B78"/>
    <w:rPr>
      <w:rFonts w:ascii="Courier New" w:eastAsia="Courier New" w:hAnsi="Courier New" w:cs="Courier New"/>
    </w:rPr>
  </w:style>
  <w:style w:type="character" w:customStyle="1" w:styleId="ssleftalign">
    <w:name w:val="ss_leftalign"/>
    <w:basedOn w:val="DefaultParagraphFont"/>
    <w:rsid w:val="000A7B09"/>
  </w:style>
  <w:style w:type="character" w:customStyle="1" w:styleId="sssh">
    <w:name w:val="ss_sh"/>
    <w:basedOn w:val="DefaultParagraphFont"/>
    <w:rsid w:val="000A7B09"/>
  </w:style>
  <w:style w:type="paragraph" w:styleId="Revision">
    <w:name w:val="Revision"/>
    <w:hidden/>
    <w:uiPriority w:val="99"/>
    <w:semiHidden/>
    <w:rsid w:val="00FE1B4B"/>
    <w:rPr>
      <w:sz w:val="24"/>
    </w:rPr>
  </w:style>
  <w:style w:type="character" w:customStyle="1" w:styleId="Mention">
    <w:name w:val="Mention"/>
    <w:basedOn w:val="DefaultParagraphFont"/>
    <w:uiPriority w:val="99"/>
    <w:semiHidden/>
    <w:unhideWhenUsed/>
    <w:rsid w:val="001D05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2017-07-24T21:07:57Z</dcterms:created>
  <dcterms:modified xsi:type="dcterms:W3CDTF">2017-07-24T21:07:57Z</dcterms:modified>
</cp:coreProperties>
</file>