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85D48" w:rsidP="00992A50" w14:paraId="2472529F" w14:textId="77777777">
      <w:pPr>
        <w:pStyle w:val="HTMLPreformatted"/>
        <w:ind w:right="720"/>
        <w:jc w:val="center"/>
        <w:rPr>
          <w:rFonts w:ascii="Times New Roman" w:hAnsi="Times New Roman"/>
          <w:b/>
          <w:bCs/>
          <w:sz w:val="24"/>
        </w:rPr>
      </w:pPr>
      <w:bookmarkStart w:id="0" w:name="_GoBack"/>
      <w:bookmarkEnd w:id="0"/>
      <w:r>
        <w:rPr>
          <w:rFonts w:ascii="Times New Roman" w:hAnsi="Times New Roman"/>
          <w:b/>
          <w:bCs/>
          <w:sz w:val="24"/>
        </w:rPr>
        <w:t>BEFORE</w:t>
      </w:r>
    </w:p>
    <w:p w:rsidR="00385D48" w:rsidP="00385D48" w14:paraId="50D86A6A" w14:textId="77777777">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0C12B4" w:rsidP="00385D48" w14:paraId="19773762" w14:textId="77777777">
      <w:pPr>
        <w:pStyle w:val="HTMLPreformatted"/>
        <w:jc w:val="center"/>
        <w:rPr>
          <w:rFonts w:ascii="Times New Roman" w:hAnsi="Times New Roman"/>
          <w:sz w:val="24"/>
        </w:rPr>
      </w:pPr>
    </w:p>
    <w:tbl>
      <w:tblPr>
        <w:tblW w:w="8730" w:type="dxa"/>
        <w:tblLook w:val="01E0"/>
      </w:tblPr>
      <w:tblGrid>
        <w:gridCol w:w="4608"/>
        <w:gridCol w:w="360"/>
        <w:gridCol w:w="3762"/>
      </w:tblGrid>
      <w:tr w14:paraId="5DEF4F6D" w14:textId="77777777" w:rsidTr="00FA395C">
        <w:tblPrEx>
          <w:tblW w:w="8730" w:type="dxa"/>
          <w:tblLook w:val="01E0"/>
        </w:tblPrEx>
        <w:trPr>
          <w:trHeight w:val="807"/>
        </w:trPr>
        <w:tc>
          <w:tcPr>
            <w:tcW w:w="4608" w:type="dxa"/>
            <w:shd w:val="clear" w:color="auto" w:fill="auto"/>
          </w:tcPr>
          <w:p w:rsidR="000C12B4" w:rsidP="003D1898" w14:paraId="0D945A09"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Verde Energy USA Ohio, LLC for Certification as a Competitive Retail Electric Supplier.</w:t>
            </w:r>
          </w:p>
          <w:p w:rsidR="000C12B4" w:rsidP="003D1898" w14:paraId="0F4EBDED" w14:textId="77777777">
            <w:pPr>
              <w:pStyle w:val="HTMLPreformatted"/>
              <w:rPr>
                <w:rFonts w:ascii="Times New Roman" w:hAnsi="Times New Roman" w:cs="Times New Roman"/>
                <w:sz w:val="24"/>
                <w:szCs w:val="24"/>
              </w:rPr>
            </w:pPr>
          </w:p>
          <w:p w:rsidR="000C12B4" w:rsidP="003D1898" w14:paraId="5AD8D87B"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Renewal </w:t>
            </w:r>
            <w:r w:rsidRPr="00B65A3A">
              <w:rPr>
                <w:rFonts w:ascii="Times New Roman" w:hAnsi="Times New Roman" w:cs="Times New Roman"/>
                <w:sz w:val="24"/>
                <w:szCs w:val="24"/>
              </w:rPr>
              <w:t xml:space="preserve">Application of </w:t>
            </w:r>
            <w:r>
              <w:rPr>
                <w:rFonts w:ascii="Times New Roman" w:hAnsi="Times New Roman" w:cs="Times New Roman"/>
                <w:sz w:val="24"/>
                <w:szCs w:val="24"/>
              </w:rPr>
              <w:t>Verde Energy USA Ohio, LLC for Certification as a Retail Natural Gas Marketer.</w:t>
            </w:r>
          </w:p>
          <w:p w:rsidR="000C12B4" w:rsidRPr="00A044B5" w:rsidP="003D1898" w14:paraId="4BF5C70A" w14:textId="77777777">
            <w:pPr>
              <w:pStyle w:val="HTMLPreformatted"/>
              <w:rPr>
                <w:rFonts w:ascii="Times New Roman" w:hAnsi="Times New Roman"/>
                <w:sz w:val="24"/>
                <w:szCs w:val="24"/>
              </w:rPr>
            </w:pPr>
          </w:p>
        </w:tc>
        <w:tc>
          <w:tcPr>
            <w:tcW w:w="360" w:type="dxa"/>
            <w:shd w:val="clear" w:color="auto" w:fill="auto"/>
          </w:tcPr>
          <w:p w:rsidR="000C12B4" w:rsidRPr="00A044B5" w:rsidP="003D1898" w14:paraId="2EE1BB1A" w14:textId="77777777">
            <w:pPr>
              <w:pStyle w:val="HTMLPreformatted"/>
              <w:rPr>
                <w:rFonts w:ascii="Times New Roman" w:hAnsi="Times New Roman"/>
                <w:sz w:val="24"/>
              </w:rPr>
            </w:pPr>
            <w:r w:rsidRPr="00A044B5">
              <w:rPr>
                <w:rFonts w:ascii="Times New Roman" w:hAnsi="Times New Roman"/>
                <w:sz w:val="24"/>
              </w:rPr>
              <w:t>)</w:t>
            </w:r>
          </w:p>
          <w:p w:rsidR="000C12B4" w:rsidRPr="00A044B5" w:rsidP="003D1898" w14:paraId="24D3A093" w14:textId="77777777">
            <w:pPr>
              <w:pStyle w:val="HTMLPreformatted"/>
              <w:rPr>
                <w:rFonts w:ascii="Times New Roman" w:hAnsi="Times New Roman"/>
                <w:sz w:val="24"/>
              </w:rPr>
            </w:pPr>
            <w:r w:rsidRPr="00A044B5">
              <w:rPr>
                <w:rFonts w:ascii="Times New Roman" w:hAnsi="Times New Roman"/>
                <w:sz w:val="24"/>
              </w:rPr>
              <w:t>)</w:t>
            </w:r>
          </w:p>
          <w:p w:rsidR="000C12B4" w:rsidRPr="00A044B5" w:rsidP="003D1898" w14:paraId="65C3EFDB" w14:textId="77777777">
            <w:pPr>
              <w:pStyle w:val="HTMLPreformatted"/>
              <w:rPr>
                <w:rFonts w:ascii="Times New Roman" w:hAnsi="Times New Roman"/>
                <w:sz w:val="24"/>
              </w:rPr>
            </w:pPr>
            <w:r w:rsidRPr="00A044B5">
              <w:rPr>
                <w:rFonts w:ascii="Times New Roman" w:hAnsi="Times New Roman"/>
                <w:sz w:val="24"/>
              </w:rPr>
              <w:t>)</w:t>
            </w:r>
          </w:p>
          <w:p w:rsidR="000C12B4" w:rsidP="003D1898" w14:paraId="28D59733" w14:textId="77777777">
            <w:pPr>
              <w:pStyle w:val="HTMLPreformatted"/>
              <w:rPr>
                <w:rFonts w:ascii="Times New Roman" w:hAnsi="Times New Roman"/>
                <w:sz w:val="24"/>
              </w:rPr>
            </w:pPr>
          </w:p>
          <w:p w:rsidR="000C12B4" w:rsidP="003D1898" w14:paraId="251655EC" w14:textId="77777777">
            <w:pPr>
              <w:pStyle w:val="HTMLPreformatted"/>
              <w:rPr>
                <w:rFonts w:ascii="Times New Roman" w:hAnsi="Times New Roman"/>
                <w:sz w:val="24"/>
              </w:rPr>
            </w:pPr>
            <w:r>
              <w:rPr>
                <w:rFonts w:ascii="Times New Roman" w:hAnsi="Times New Roman"/>
                <w:sz w:val="24"/>
              </w:rPr>
              <w:t>)</w:t>
            </w:r>
          </w:p>
          <w:p w:rsidR="000C12B4" w:rsidP="003D1898" w14:paraId="64EB02C4" w14:textId="77777777">
            <w:pPr>
              <w:pStyle w:val="HTMLPreformatted"/>
              <w:rPr>
                <w:rFonts w:ascii="Times New Roman" w:hAnsi="Times New Roman"/>
                <w:sz w:val="24"/>
              </w:rPr>
            </w:pPr>
            <w:r>
              <w:rPr>
                <w:rFonts w:ascii="Times New Roman" w:hAnsi="Times New Roman"/>
                <w:sz w:val="24"/>
              </w:rPr>
              <w:t>)</w:t>
            </w:r>
          </w:p>
          <w:p w:rsidR="000C12B4" w:rsidP="003D1898" w14:paraId="26D616B6" w14:textId="77777777">
            <w:pPr>
              <w:pStyle w:val="HTMLPreformatted"/>
              <w:rPr>
                <w:rFonts w:ascii="Times New Roman" w:hAnsi="Times New Roman"/>
                <w:sz w:val="24"/>
              </w:rPr>
            </w:pPr>
            <w:r>
              <w:rPr>
                <w:rFonts w:ascii="Times New Roman" w:hAnsi="Times New Roman"/>
                <w:sz w:val="24"/>
              </w:rPr>
              <w:t>)</w:t>
            </w:r>
          </w:p>
          <w:p w:rsidR="000C12B4" w:rsidRPr="00A044B5" w:rsidP="003D1898" w14:paraId="7E32011B" w14:textId="77777777">
            <w:pPr>
              <w:pStyle w:val="HTMLPreformatted"/>
              <w:rPr>
                <w:rFonts w:ascii="Times New Roman" w:hAnsi="Times New Roman"/>
                <w:sz w:val="24"/>
              </w:rPr>
            </w:pPr>
            <w:r>
              <w:rPr>
                <w:rFonts w:ascii="Times New Roman" w:hAnsi="Times New Roman"/>
                <w:sz w:val="24"/>
              </w:rPr>
              <w:t>)</w:t>
            </w:r>
          </w:p>
        </w:tc>
        <w:tc>
          <w:tcPr>
            <w:tcW w:w="3762" w:type="dxa"/>
            <w:shd w:val="clear" w:color="auto" w:fill="auto"/>
          </w:tcPr>
          <w:p w:rsidR="000C12B4" w:rsidRPr="00A044B5" w:rsidP="003D1898" w14:paraId="5F616377" w14:textId="77777777">
            <w:pPr>
              <w:pStyle w:val="HTMLPreformatted"/>
              <w:rPr>
                <w:rFonts w:ascii="Times New Roman" w:hAnsi="Times New Roman"/>
                <w:sz w:val="24"/>
              </w:rPr>
            </w:pPr>
          </w:p>
          <w:p w:rsidR="000C12B4" w:rsidP="003D1898" w14:paraId="3631B368" w14:textId="77777777">
            <w:pPr>
              <w:pStyle w:val="HTMLPreformatted"/>
              <w:rPr>
                <w:rFonts w:ascii="Times New Roman" w:hAnsi="Times New Roman"/>
                <w:sz w:val="24"/>
              </w:rPr>
            </w:pPr>
            <w:r>
              <w:rPr>
                <w:rFonts w:ascii="Times New Roman" w:hAnsi="Times New Roman"/>
                <w:sz w:val="24"/>
              </w:rPr>
              <w:t>Case No. 11-5886-EL-CRS</w:t>
            </w:r>
          </w:p>
          <w:p w:rsidR="000C12B4" w:rsidP="003D1898" w14:paraId="2BBC7B31" w14:textId="77777777">
            <w:pPr>
              <w:pStyle w:val="HTMLPreformatted"/>
              <w:rPr>
                <w:rFonts w:ascii="Times New Roman" w:hAnsi="Times New Roman"/>
                <w:sz w:val="24"/>
              </w:rPr>
            </w:pPr>
          </w:p>
          <w:p w:rsidR="000C12B4" w:rsidP="003D1898" w14:paraId="78CEDB8B" w14:textId="77777777">
            <w:pPr>
              <w:pStyle w:val="HTMLPreformatted"/>
              <w:rPr>
                <w:rFonts w:ascii="Times New Roman" w:hAnsi="Times New Roman"/>
                <w:sz w:val="24"/>
              </w:rPr>
            </w:pPr>
          </w:p>
          <w:p w:rsidR="000C12B4" w:rsidP="003D1898" w14:paraId="32C94E0C" w14:textId="77777777">
            <w:pPr>
              <w:pStyle w:val="HTMLPreformatted"/>
              <w:rPr>
                <w:rFonts w:ascii="Times New Roman" w:hAnsi="Times New Roman"/>
                <w:sz w:val="24"/>
              </w:rPr>
            </w:pPr>
          </w:p>
          <w:p w:rsidR="000C12B4" w:rsidRPr="00A044B5" w:rsidP="003D1898" w14:paraId="6FC3E139"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cs="Times New Roman"/>
                <w:sz w:val="24"/>
                <w:szCs w:val="24"/>
              </w:rPr>
              <w:t>13-2164-GA-CRS</w:t>
            </w:r>
          </w:p>
          <w:p w:rsidR="000C12B4" w:rsidRPr="00A044B5" w:rsidP="003D1898" w14:paraId="48A430C2" w14:textId="77777777">
            <w:pPr>
              <w:pStyle w:val="HTMLPreformatted"/>
              <w:rPr>
                <w:rFonts w:ascii="Times New Roman" w:hAnsi="Times New Roman"/>
                <w:sz w:val="24"/>
              </w:rPr>
            </w:pPr>
          </w:p>
        </w:tc>
      </w:tr>
    </w:tbl>
    <w:p w:rsidR="000C12B4" w:rsidP="00992A50" w14:paraId="40C6F758" w14:textId="77777777">
      <w:pPr>
        <w:pStyle w:val="HTMLPreformatted"/>
        <w:pBdr>
          <w:top w:val="single" w:sz="12" w:space="1" w:color="auto"/>
        </w:pBdr>
        <w:rPr>
          <w:rFonts w:ascii="Times New Roman" w:hAnsi="Times New Roman"/>
          <w:sz w:val="24"/>
        </w:rPr>
      </w:pPr>
    </w:p>
    <w:p w:rsidR="000C12B4" w:rsidP="000C12B4" w14:paraId="2C0BB047" w14:textId="77777777">
      <w:pPr>
        <w:jc w:val="center"/>
        <w:rPr>
          <w:b/>
          <w:bCs/>
        </w:rPr>
      </w:pPr>
      <w:r>
        <w:rPr>
          <w:b/>
          <w:bCs/>
        </w:rPr>
        <w:t>REPLY TO VERDE’S MEMO CONTRA OCC’S MOTION TO INTERVENE</w:t>
      </w:r>
    </w:p>
    <w:p w:rsidR="000C12B4" w:rsidP="000C12B4" w14:paraId="57766E4E" w14:textId="77777777">
      <w:pPr>
        <w:jc w:val="center"/>
        <w:rPr>
          <w:b/>
          <w:bCs/>
        </w:rPr>
      </w:pPr>
      <w:r>
        <w:rPr>
          <w:b/>
          <w:bCs/>
        </w:rPr>
        <w:t>BY</w:t>
      </w:r>
    </w:p>
    <w:p w:rsidR="000C12B4" w:rsidP="000C12B4" w14:paraId="7572905B" w14:textId="77777777">
      <w:pPr>
        <w:jc w:val="center"/>
        <w:rPr>
          <w:b/>
          <w:bCs/>
        </w:rPr>
      </w:pPr>
      <w:r>
        <w:rPr>
          <w:b/>
          <w:bCs/>
        </w:rPr>
        <w:t>THE OFFICE OF THE OHIO CONSUMERS’ COUNSEL</w:t>
      </w:r>
    </w:p>
    <w:p w:rsidR="000C12B4" w:rsidP="00992A50" w14:paraId="4718F416" w14:textId="77777777">
      <w:pPr>
        <w:pBdr>
          <w:bottom w:val="single" w:sz="12" w:space="1" w:color="auto"/>
        </w:pBdr>
        <w:tabs>
          <w:tab w:val="left" w:pos="4320"/>
        </w:tabs>
      </w:pPr>
    </w:p>
    <w:p w:rsidR="00385D48" w14:paraId="2358C1BE" w14:textId="77777777">
      <w:pPr>
        <w:pStyle w:val="HTMLPreformatted"/>
        <w:jc w:val="center"/>
        <w:rPr>
          <w:rFonts w:ascii="Times New Roman" w:hAnsi="Times New Roman"/>
          <w:b/>
          <w:bCs/>
          <w:sz w:val="24"/>
        </w:rPr>
      </w:pPr>
    </w:p>
    <w:p w:rsidR="00385D48" w:rsidP="00385D48" w14:paraId="1F0D5005" w14:textId="77777777">
      <w:pPr>
        <w:pStyle w:val="Footer"/>
        <w:tabs>
          <w:tab w:val="left" w:pos="4320"/>
          <w:tab w:val="clear" w:pos="8640"/>
        </w:tabs>
        <w:spacing w:before="240"/>
        <w:rPr>
          <w:sz w:val="24"/>
          <w:szCs w:val="24"/>
        </w:rPr>
      </w:pPr>
      <w:r>
        <w:rPr>
          <w:sz w:val="24"/>
          <w:szCs w:val="24"/>
        </w:rPr>
        <w:tab/>
        <w:t>Bruce Weston (#0016973)</w:t>
      </w:r>
    </w:p>
    <w:p w:rsidR="00385D48" w:rsidP="00385D48" w14:paraId="5CC399EB" w14:textId="77777777">
      <w:pPr>
        <w:tabs>
          <w:tab w:val="left" w:pos="4320"/>
        </w:tabs>
        <w:rPr>
          <w:szCs w:val="24"/>
        </w:rPr>
      </w:pPr>
      <w:r>
        <w:rPr>
          <w:szCs w:val="24"/>
        </w:rPr>
        <w:tab/>
        <w:t>Ohio Consumers’ Counsel</w:t>
      </w:r>
    </w:p>
    <w:p w:rsidR="00385D48" w:rsidP="00385D48" w14:paraId="56F4BEDC" w14:textId="77777777">
      <w:pPr>
        <w:tabs>
          <w:tab w:val="left" w:pos="4320"/>
        </w:tabs>
        <w:rPr>
          <w:szCs w:val="24"/>
        </w:rPr>
      </w:pPr>
      <w:r>
        <w:rPr>
          <w:szCs w:val="24"/>
        </w:rPr>
        <w:tab/>
      </w:r>
    </w:p>
    <w:p w:rsidR="00385D48" w:rsidP="00385D48" w14:paraId="064AECBF" w14:textId="77777777">
      <w:pPr>
        <w:tabs>
          <w:tab w:val="left" w:pos="4320"/>
        </w:tabs>
        <w:rPr>
          <w:szCs w:val="24"/>
        </w:rPr>
      </w:pPr>
      <w:r>
        <w:rPr>
          <w:szCs w:val="24"/>
        </w:rPr>
        <w:tab/>
        <w:t>Christopher Healey (0086027)</w:t>
      </w:r>
    </w:p>
    <w:p w:rsidR="00385D48" w:rsidP="00385D48" w14:paraId="0369014E" w14:textId="77777777">
      <w:pPr>
        <w:tabs>
          <w:tab w:val="left" w:pos="4320"/>
        </w:tabs>
        <w:rPr>
          <w:szCs w:val="24"/>
        </w:rPr>
      </w:pPr>
      <w:r>
        <w:rPr>
          <w:szCs w:val="24"/>
        </w:rPr>
        <w:tab/>
        <w:t>Counsel of Record</w:t>
      </w:r>
    </w:p>
    <w:p w:rsidR="00385D48" w:rsidP="00385D48" w14:paraId="6E63BD5D" w14:textId="77777777">
      <w:pPr>
        <w:tabs>
          <w:tab w:val="left" w:pos="4320"/>
        </w:tabs>
        <w:rPr>
          <w:szCs w:val="24"/>
        </w:rPr>
      </w:pPr>
      <w:r>
        <w:rPr>
          <w:szCs w:val="24"/>
        </w:rPr>
        <w:tab/>
        <w:t>Angela D. O’Brien (0097579)</w:t>
      </w:r>
    </w:p>
    <w:p w:rsidR="00385D48" w:rsidP="00385D48" w14:paraId="03648330" w14:textId="77777777">
      <w:pPr>
        <w:tabs>
          <w:tab w:val="left" w:pos="4320"/>
        </w:tabs>
        <w:rPr>
          <w:szCs w:val="24"/>
        </w:rPr>
      </w:pPr>
      <w:r>
        <w:rPr>
          <w:szCs w:val="24"/>
        </w:rPr>
        <w:tab/>
        <w:t>Assistant Consumers’ Counsel</w:t>
      </w:r>
    </w:p>
    <w:p w:rsidR="00385D48" w:rsidRPr="00822971" w:rsidP="00822971" w14:paraId="42097937" w14:textId="77777777">
      <w:pPr>
        <w:rPr>
          <w:b/>
          <w:bCs/>
        </w:rPr>
      </w:pPr>
      <w:r>
        <w:tab/>
      </w:r>
      <w:r w:rsidR="00822971">
        <w:tab/>
      </w:r>
      <w:r w:rsidR="00822971">
        <w:tab/>
      </w:r>
      <w:r w:rsidR="00822971">
        <w:tab/>
      </w:r>
      <w:r w:rsidR="00822971">
        <w:tab/>
      </w:r>
      <w:r w:rsidR="00822971">
        <w:tab/>
      </w:r>
      <w:r w:rsidRPr="00822971">
        <w:rPr>
          <w:b/>
          <w:bCs/>
        </w:rPr>
        <w:t>Office of the Ohio Consumers’ Counsel</w:t>
      </w:r>
    </w:p>
    <w:p w:rsidR="00385D48" w:rsidP="00922300" w14:paraId="007C1657" w14:textId="77777777">
      <w:pPr>
        <w:rPr>
          <w:b/>
        </w:rPr>
      </w:pPr>
      <w:r>
        <w:tab/>
      </w:r>
      <w:r>
        <w:tab/>
      </w:r>
      <w:r>
        <w:tab/>
      </w:r>
      <w:r>
        <w:tab/>
      </w:r>
      <w:r>
        <w:tab/>
      </w:r>
      <w:r>
        <w:tab/>
        <w:t>65 East State Street, 7th Floor</w:t>
      </w:r>
    </w:p>
    <w:p w:rsidR="00385D48" w:rsidP="00922300" w14:paraId="3371B58A" w14:textId="77777777">
      <w:pPr>
        <w:rPr>
          <w:b/>
        </w:rPr>
      </w:pPr>
      <w:r>
        <w:tab/>
      </w:r>
      <w:r w:rsidR="00922300">
        <w:tab/>
      </w:r>
      <w:r w:rsidR="00922300">
        <w:tab/>
      </w:r>
      <w:r w:rsidR="00922300">
        <w:tab/>
      </w:r>
      <w:r w:rsidR="00922300">
        <w:tab/>
      </w:r>
      <w:r w:rsidR="00922300">
        <w:tab/>
      </w:r>
      <w:r>
        <w:t>Columbus, Ohio 43215</w:t>
      </w:r>
    </w:p>
    <w:p w:rsidR="00385D48" w:rsidP="00385D48" w14:paraId="2C4E2FE0" w14:textId="77777777">
      <w:pPr>
        <w:autoSpaceDE w:val="0"/>
        <w:autoSpaceDN w:val="0"/>
        <w:adjustRightInd w:val="0"/>
        <w:ind w:left="3600" w:firstLine="720"/>
        <w:rPr>
          <w:szCs w:val="24"/>
        </w:rPr>
      </w:pPr>
      <w:r>
        <w:rPr>
          <w:szCs w:val="24"/>
        </w:rPr>
        <w:t>Telephone [Healey]: (614) 466-9571</w:t>
      </w:r>
    </w:p>
    <w:p w:rsidR="00385D48" w:rsidP="00385D48" w14:paraId="4E8F60F4" w14:textId="77777777">
      <w:pPr>
        <w:autoSpaceDE w:val="0"/>
        <w:autoSpaceDN w:val="0"/>
        <w:adjustRightInd w:val="0"/>
        <w:ind w:left="3600" w:firstLine="720"/>
        <w:rPr>
          <w:szCs w:val="24"/>
        </w:rPr>
      </w:pPr>
      <w:r>
        <w:rPr>
          <w:szCs w:val="24"/>
        </w:rPr>
        <w:t>Telephone [O’Brien]: (614) 466-9531</w:t>
      </w:r>
    </w:p>
    <w:p w:rsidR="00385D48" w:rsidP="00385D48" w14:paraId="6D875827"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5E1404">
          <w:rPr>
            <w:rStyle w:val="Hyperlink"/>
            <w:szCs w:val="24"/>
          </w:rPr>
          <w:t>christopher.healey@occ.ohio.gov</w:t>
        </w:r>
      </w:hyperlink>
      <w:r>
        <w:rPr>
          <w:szCs w:val="24"/>
        </w:rPr>
        <w:t xml:space="preserve"> </w:t>
      </w:r>
    </w:p>
    <w:p w:rsidR="00385D48" w:rsidP="00385D48" w14:paraId="7C4DBAB6" w14:textId="77777777">
      <w:pPr>
        <w:rPr>
          <w:szCs w:val="24"/>
        </w:rPr>
      </w:pPr>
      <w:r>
        <w:rPr>
          <w:szCs w:val="24"/>
        </w:rPr>
        <w:tab/>
      </w:r>
      <w:r>
        <w:rPr>
          <w:szCs w:val="24"/>
        </w:rPr>
        <w:tab/>
      </w:r>
      <w:r>
        <w:rPr>
          <w:szCs w:val="24"/>
        </w:rPr>
        <w:tab/>
      </w:r>
      <w:r>
        <w:rPr>
          <w:szCs w:val="24"/>
        </w:rPr>
        <w:tab/>
      </w:r>
      <w:r>
        <w:rPr>
          <w:szCs w:val="24"/>
        </w:rPr>
        <w:tab/>
      </w:r>
      <w:r>
        <w:rPr>
          <w:szCs w:val="24"/>
        </w:rPr>
        <w:tab/>
      </w:r>
      <w:hyperlink r:id="rId7" w:history="1">
        <w:r w:rsidRPr="005E1404">
          <w:rPr>
            <w:rStyle w:val="Hyperlink"/>
            <w:szCs w:val="24"/>
          </w:rPr>
          <w:t>angela.obrien@occ.ohio.gov</w:t>
        </w:r>
      </w:hyperlink>
      <w:r>
        <w:rPr>
          <w:szCs w:val="24"/>
        </w:rPr>
        <w:t xml:space="preserve"> </w:t>
      </w:r>
    </w:p>
    <w:p w:rsidR="00385D48" w:rsidP="00385D48" w14:paraId="4D00E3B5"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via e-mail)</w:t>
      </w:r>
    </w:p>
    <w:p w:rsidR="00385D48" w:rsidP="00385D48" w14:paraId="362C7FE1" w14:textId="77777777">
      <w:pPr>
        <w:ind w:firstLine="4320"/>
        <w:rPr>
          <w:szCs w:val="24"/>
        </w:rPr>
      </w:pPr>
    </w:p>
    <w:p w:rsidR="00385D48" w:rsidP="00385D48" w14:paraId="6432AE82" w14:textId="77777777">
      <w:pPr>
        <w:ind w:firstLine="4320"/>
        <w:rPr>
          <w:szCs w:val="24"/>
        </w:rPr>
      </w:pPr>
      <w:r>
        <w:rPr>
          <w:szCs w:val="24"/>
        </w:rPr>
        <w:t>Kimberly W. Bojko (0069402)</w:t>
      </w:r>
    </w:p>
    <w:p w:rsidR="00385D48" w:rsidP="00385D48" w14:paraId="075D8DEB" w14:textId="77777777">
      <w:pPr>
        <w:ind w:firstLine="4320"/>
        <w:rPr>
          <w:szCs w:val="24"/>
        </w:rPr>
      </w:pPr>
      <w:r>
        <w:rPr>
          <w:szCs w:val="24"/>
        </w:rPr>
        <w:t>Carpenter Lipps &amp; Leland LLP</w:t>
      </w:r>
    </w:p>
    <w:p w:rsidR="00385D48" w:rsidP="00385D48" w14:paraId="2B1A17EF" w14:textId="77777777">
      <w:pPr>
        <w:ind w:firstLine="4320"/>
        <w:rPr>
          <w:szCs w:val="24"/>
        </w:rPr>
      </w:pPr>
      <w:r>
        <w:rPr>
          <w:szCs w:val="24"/>
        </w:rPr>
        <w:t>280 Plaza, Suite 1300</w:t>
      </w:r>
    </w:p>
    <w:p w:rsidR="00385D48" w:rsidP="00385D48" w14:paraId="23150212" w14:textId="77777777">
      <w:pPr>
        <w:ind w:firstLine="4320"/>
        <w:rPr>
          <w:szCs w:val="24"/>
        </w:rPr>
      </w:pPr>
      <w:r>
        <w:rPr>
          <w:szCs w:val="24"/>
        </w:rPr>
        <w:t>280 North High Street</w:t>
      </w:r>
    </w:p>
    <w:p w:rsidR="00385D48" w:rsidP="00385D48" w14:paraId="77FD22A2" w14:textId="77777777">
      <w:pPr>
        <w:ind w:firstLine="4320"/>
        <w:rPr>
          <w:szCs w:val="24"/>
        </w:rPr>
      </w:pPr>
      <w:r>
        <w:rPr>
          <w:szCs w:val="24"/>
        </w:rPr>
        <w:t>Columbus, OH 43215</w:t>
      </w:r>
    </w:p>
    <w:p w:rsidR="00D87315" w:rsidRPr="007E2879" w:rsidP="00D87315" w14:paraId="4526A699" w14:textId="77777777">
      <w:pPr>
        <w:ind w:left="3600" w:firstLine="720"/>
        <w:rPr>
          <w:szCs w:val="24"/>
        </w:rPr>
      </w:pPr>
      <w:r>
        <w:rPr>
          <w:szCs w:val="24"/>
        </w:rPr>
        <w:t>Telephone: (614) 365-4100</w:t>
      </w:r>
    </w:p>
    <w:p w:rsidR="00385D48" w:rsidP="00385D48" w14:paraId="76D21E42" w14:textId="77777777">
      <w:pPr>
        <w:ind w:firstLine="4320"/>
        <w:rPr>
          <w:szCs w:val="24"/>
        </w:rPr>
      </w:pPr>
      <w:hyperlink r:id="rId8" w:history="1">
        <w:r w:rsidRPr="0027012A">
          <w:rPr>
            <w:rStyle w:val="Hyperlink"/>
            <w:szCs w:val="24"/>
          </w:rPr>
          <w:t>bojko@carpenterlipps.com</w:t>
        </w:r>
      </w:hyperlink>
      <w:r>
        <w:rPr>
          <w:szCs w:val="24"/>
        </w:rPr>
        <w:t xml:space="preserve"> </w:t>
      </w:r>
    </w:p>
    <w:p w:rsidR="00385D48" w:rsidP="00385D48" w14:paraId="75DFD2A5" w14:textId="77777777">
      <w:pPr>
        <w:ind w:firstLine="4320"/>
        <w:rPr>
          <w:szCs w:val="24"/>
        </w:rPr>
      </w:pPr>
      <w:r>
        <w:rPr>
          <w:szCs w:val="24"/>
        </w:rPr>
        <w:t>(willing to accept service via e-mail)</w:t>
      </w:r>
    </w:p>
    <w:p w:rsidR="00C46BCB" w:rsidP="00385D48" w14:paraId="26A0E9C5" w14:textId="77777777">
      <w:pPr>
        <w:ind w:firstLine="4320"/>
        <w:rPr>
          <w:szCs w:val="24"/>
        </w:rPr>
      </w:pPr>
    </w:p>
    <w:p w:rsidR="001324B2" w:rsidP="00C46BCB" w14:paraId="0634FEB7" w14:textId="77777777">
      <w:pPr>
        <w:ind w:firstLine="4320"/>
        <w:rPr>
          <w:i/>
          <w:iCs/>
          <w:szCs w:val="24"/>
        </w:rPr>
      </w:pPr>
      <w:r>
        <w:rPr>
          <w:i/>
          <w:iCs/>
          <w:szCs w:val="24"/>
        </w:rPr>
        <w:t xml:space="preserve">Special Counsel for the Office of the Ohio </w:t>
      </w:r>
    </w:p>
    <w:p w:rsidR="00385D48" w:rsidP="001324B2" w14:paraId="3A1C6548" w14:textId="77777777">
      <w:pPr>
        <w:rPr>
          <w:i/>
          <w:iCs/>
          <w:szCs w:val="24"/>
        </w:rPr>
      </w:pPr>
      <w:r w:rsidRPr="00C46BCB">
        <w:rPr>
          <w:szCs w:val="24"/>
        </w:rPr>
        <w:t>March 30, 2020</w:t>
      </w:r>
      <w:r>
        <w:rPr>
          <w:i/>
          <w:iCs/>
          <w:szCs w:val="24"/>
        </w:rPr>
        <w:tab/>
      </w:r>
      <w:r>
        <w:rPr>
          <w:i/>
          <w:iCs/>
          <w:szCs w:val="24"/>
        </w:rPr>
        <w:tab/>
      </w:r>
      <w:r w:rsidR="001324B2">
        <w:rPr>
          <w:i/>
          <w:iCs/>
          <w:szCs w:val="24"/>
        </w:rPr>
        <w:tab/>
      </w:r>
      <w:r w:rsidR="001324B2">
        <w:rPr>
          <w:i/>
          <w:iCs/>
          <w:szCs w:val="24"/>
        </w:rPr>
        <w:tab/>
      </w:r>
      <w:r>
        <w:rPr>
          <w:i/>
          <w:iCs/>
          <w:szCs w:val="24"/>
        </w:rPr>
        <w:t>Consumers’ Counsel</w:t>
      </w:r>
    </w:p>
    <w:p w:rsidR="00385D48" w14:paraId="6E665AD6" w14:textId="77777777">
      <w:pPr>
        <w:pStyle w:val="HTMLPreformatted"/>
        <w:jc w:val="center"/>
        <w:rPr>
          <w:rFonts w:ascii="Times New Roman" w:hAnsi="Times New Roman"/>
          <w:b/>
          <w:bCs/>
          <w:sz w:val="24"/>
        </w:rPr>
        <w:sectPr w:rsidSect="001936DF">
          <w:footerReference w:type="default" r:id="rId9"/>
          <w:footerReference w:type="first" r:id="rId10"/>
          <w:pgSz w:w="12240" w:h="15840"/>
          <w:pgMar w:top="1440" w:right="1440" w:bottom="1440" w:left="1440" w:header="720" w:footer="720" w:gutter="0"/>
          <w:pgNumType w:start="2"/>
          <w:cols w:space="720"/>
          <w:titlePg/>
          <w:docGrid w:linePitch="326"/>
        </w:sectPr>
      </w:pPr>
    </w:p>
    <w:p w:rsidR="007F34CF" w14:paraId="67B7C238" w14:textId="77777777">
      <w:pPr>
        <w:pStyle w:val="HTMLPreformatted"/>
        <w:jc w:val="center"/>
        <w:rPr>
          <w:rFonts w:ascii="Times New Roman" w:hAnsi="Times New Roman"/>
          <w:b/>
          <w:bCs/>
          <w:sz w:val="24"/>
          <w:u w:val="single"/>
        </w:rPr>
      </w:pPr>
      <w:r w:rsidRPr="007749C4">
        <w:rPr>
          <w:rFonts w:ascii="Times New Roman" w:hAnsi="Times New Roman"/>
          <w:b/>
          <w:bCs/>
          <w:sz w:val="24"/>
          <w:u w:val="single"/>
        </w:rPr>
        <w:t>TABLE OF CONTENTS</w:t>
      </w:r>
    </w:p>
    <w:p w:rsidR="007749C4" w14:paraId="0FA2CF90" w14:textId="77777777">
      <w:pPr>
        <w:pStyle w:val="HTMLPreformatted"/>
        <w:jc w:val="center"/>
        <w:rPr>
          <w:rFonts w:ascii="Times New Roman" w:hAnsi="Times New Roman"/>
          <w:b/>
          <w:bCs/>
          <w:sz w:val="24"/>
          <w:u w:val="single"/>
        </w:rPr>
      </w:pPr>
    </w:p>
    <w:p w:rsidR="007749C4" w:rsidP="007749C4" w14:paraId="74018C65" w14:textId="77777777">
      <w:pPr>
        <w:pStyle w:val="HTMLPreformatted"/>
        <w:jc w:val="right"/>
        <w:rPr>
          <w:rFonts w:ascii="Times New Roman" w:hAnsi="Times New Roman"/>
          <w:b/>
          <w:bCs/>
          <w:sz w:val="24"/>
        </w:rPr>
      </w:pPr>
      <w:r>
        <w:rPr>
          <w:rFonts w:ascii="Times New Roman" w:hAnsi="Times New Roman"/>
          <w:b/>
          <w:bCs/>
          <w:sz w:val="24"/>
        </w:rPr>
        <w:t>PAGE</w:t>
      </w:r>
    </w:p>
    <w:p w:rsidR="00C62FAB" w:rsidP="007749C4" w14:paraId="7A73EAA9" w14:textId="77777777">
      <w:pPr>
        <w:pStyle w:val="HTMLPreformatted"/>
        <w:jc w:val="right"/>
        <w:rPr>
          <w:rFonts w:ascii="Times New Roman" w:hAnsi="Times New Roman"/>
          <w:b/>
          <w:bCs/>
          <w:sz w:val="24"/>
        </w:rPr>
      </w:pPr>
    </w:p>
    <w:p w:rsidR="00992A50" w14:paraId="4C5CD7F8" w14:textId="34ED51F5">
      <w:pPr>
        <w:pStyle w:val="TOC1"/>
        <w:rPr>
          <w:rFonts w:asciiTheme="minorHAnsi" w:eastAsiaTheme="minorEastAsia" w:hAnsiTheme="minorHAnsi" w:cstheme="minorBidi"/>
          <w:noProof/>
          <w:sz w:val="22"/>
          <w:szCs w:val="22"/>
        </w:rPr>
      </w:pPr>
      <w:r>
        <w:rPr>
          <w:b/>
          <w:bCs/>
        </w:rPr>
        <w:fldChar w:fldCharType="begin"/>
      </w:r>
      <w:r w:rsidR="00922300">
        <w:rPr>
          <w:b/>
          <w:bCs/>
        </w:rPr>
        <w:instrText xml:space="preserve"> TOC \o "1-3" \h \z \u </w:instrText>
      </w:r>
      <w:r>
        <w:rPr>
          <w:b/>
          <w:bCs/>
        </w:rPr>
        <w:fldChar w:fldCharType="separate"/>
      </w:r>
      <w:hyperlink w:anchor="_Toc36479693" w:history="1">
        <w:r w:rsidRPr="00881C3F">
          <w:rPr>
            <w:rStyle w:val="Hyperlink"/>
            <w:noProof/>
          </w:rPr>
          <w:t>I.</w:t>
        </w:r>
        <w:r>
          <w:rPr>
            <w:rFonts w:asciiTheme="minorHAnsi" w:eastAsiaTheme="minorEastAsia" w:hAnsiTheme="minorHAnsi" w:cstheme="minorBidi"/>
            <w:noProof/>
            <w:sz w:val="22"/>
            <w:szCs w:val="22"/>
          </w:rPr>
          <w:tab/>
        </w:r>
        <w:r w:rsidRPr="00881C3F">
          <w:rPr>
            <w:rStyle w:val="Hyperlink"/>
            <w:noProof/>
          </w:rPr>
          <w:t>INTRODUCTION</w:t>
        </w:r>
        <w:r>
          <w:rPr>
            <w:noProof/>
            <w:webHidden/>
          </w:rPr>
          <w:tab/>
        </w:r>
        <w:r>
          <w:rPr>
            <w:noProof/>
            <w:webHidden/>
          </w:rPr>
          <w:fldChar w:fldCharType="begin"/>
        </w:r>
        <w:r>
          <w:rPr>
            <w:noProof/>
            <w:webHidden/>
          </w:rPr>
          <w:instrText xml:space="preserve"> PAGEREF _Toc36479693 \h </w:instrText>
        </w:r>
        <w:r>
          <w:rPr>
            <w:noProof/>
            <w:webHidden/>
          </w:rPr>
          <w:fldChar w:fldCharType="separate"/>
        </w:r>
        <w:r w:rsidR="00A30722">
          <w:rPr>
            <w:noProof/>
            <w:webHidden/>
          </w:rPr>
          <w:t>1</w:t>
        </w:r>
        <w:r>
          <w:rPr>
            <w:noProof/>
            <w:webHidden/>
          </w:rPr>
          <w:fldChar w:fldCharType="end"/>
        </w:r>
      </w:hyperlink>
    </w:p>
    <w:p w:rsidR="00992A50" w14:paraId="20D624B4" w14:textId="07EFAD52">
      <w:pPr>
        <w:pStyle w:val="TOC1"/>
        <w:rPr>
          <w:rFonts w:asciiTheme="minorHAnsi" w:eastAsiaTheme="minorEastAsia" w:hAnsiTheme="minorHAnsi" w:cstheme="minorBidi"/>
          <w:noProof/>
          <w:sz w:val="22"/>
          <w:szCs w:val="22"/>
        </w:rPr>
      </w:pPr>
      <w:hyperlink w:anchor="_Toc36479694" w:history="1">
        <w:r w:rsidRPr="00881C3F">
          <w:rPr>
            <w:rStyle w:val="Hyperlink"/>
            <w:noProof/>
          </w:rPr>
          <w:t>II.</w:t>
        </w:r>
        <w:r>
          <w:rPr>
            <w:rFonts w:asciiTheme="minorHAnsi" w:eastAsiaTheme="minorEastAsia" w:hAnsiTheme="minorHAnsi" w:cstheme="minorBidi"/>
            <w:noProof/>
            <w:sz w:val="22"/>
            <w:szCs w:val="22"/>
          </w:rPr>
          <w:tab/>
        </w:r>
        <w:r w:rsidRPr="00881C3F">
          <w:rPr>
            <w:rStyle w:val="Hyperlink"/>
            <w:noProof/>
          </w:rPr>
          <w:t>REPLY</w:t>
        </w:r>
        <w:r>
          <w:rPr>
            <w:noProof/>
            <w:webHidden/>
          </w:rPr>
          <w:tab/>
        </w:r>
        <w:r>
          <w:rPr>
            <w:noProof/>
            <w:webHidden/>
          </w:rPr>
          <w:fldChar w:fldCharType="begin"/>
        </w:r>
        <w:r>
          <w:rPr>
            <w:noProof/>
            <w:webHidden/>
          </w:rPr>
          <w:instrText xml:space="preserve"> PAGEREF _Toc36479694 \h </w:instrText>
        </w:r>
        <w:r>
          <w:rPr>
            <w:noProof/>
            <w:webHidden/>
          </w:rPr>
          <w:fldChar w:fldCharType="separate"/>
        </w:r>
        <w:r w:rsidR="00A30722">
          <w:rPr>
            <w:noProof/>
            <w:webHidden/>
          </w:rPr>
          <w:t>4</w:t>
        </w:r>
        <w:r>
          <w:rPr>
            <w:noProof/>
            <w:webHidden/>
          </w:rPr>
          <w:fldChar w:fldCharType="end"/>
        </w:r>
      </w:hyperlink>
    </w:p>
    <w:p w:rsidR="00992A50" w14:paraId="524ADE8A" w14:textId="0EF21AB4">
      <w:pPr>
        <w:pStyle w:val="TOC2"/>
        <w:tabs>
          <w:tab w:val="left" w:pos="1440"/>
        </w:tabs>
        <w:rPr>
          <w:rFonts w:asciiTheme="minorHAnsi" w:eastAsiaTheme="minorEastAsia" w:hAnsiTheme="minorHAnsi" w:cstheme="minorBidi"/>
          <w:noProof/>
          <w:sz w:val="22"/>
          <w:szCs w:val="22"/>
        </w:rPr>
      </w:pPr>
      <w:hyperlink w:anchor="_Toc36479695" w:history="1">
        <w:r w:rsidRPr="00881C3F">
          <w:rPr>
            <w:rStyle w:val="Hyperlink"/>
            <w:noProof/>
          </w:rPr>
          <w:t>A.</w:t>
        </w:r>
        <w:r>
          <w:rPr>
            <w:rFonts w:asciiTheme="minorHAnsi" w:eastAsiaTheme="minorEastAsia" w:hAnsiTheme="minorHAnsi" w:cstheme="minorBidi"/>
            <w:noProof/>
            <w:sz w:val="22"/>
            <w:szCs w:val="22"/>
          </w:rPr>
          <w:tab/>
        </w:r>
        <w:r w:rsidRPr="00881C3F">
          <w:rPr>
            <w:rStyle w:val="Hyperlink"/>
            <w:noProof/>
          </w:rPr>
          <w:t xml:space="preserve">The Ohio Consumers’ Counsel is the statutory representative of </w:t>
        </w:r>
        <w:r w:rsidR="00A30722">
          <w:rPr>
            <w:rStyle w:val="Hyperlink"/>
            <w:noProof/>
          </w:rPr>
          <w:br/>
        </w:r>
        <w:r w:rsidRPr="00881C3F">
          <w:rPr>
            <w:rStyle w:val="Hyperlink"/>
            <w:noProof/>
          </w:rPr>
          <w:t xml:space="preserve">Ohio’s residential consumers, and no other party represents that </w:t>
        </w:r>
        <w:r w:rsidR="00A30722">
          <w:rPr>
            <w:rStyle w:val="Hyperlink"/>
            <w:noProof/>
          </w:rPr>
          <w:br/>
        </w:r>
        <w:r w:rsidRPr="00881C3F">
          <w:rPr>
            <w:rStyle w:val="Hyperlink"/>
            <w:noProof/>
          </w:rPr>
          <w:t>interest.</w:t>
        </w:r>
        <w:r>
          <w:rPr>
            <w:noProof/>
            <w:webHidden/>
          </w:rPr>
          <w:tab/>
        </w:r>
        <w:r>
          <w:rPr>
            <w:noProof/>
            <w:webHidden/>
          </w:rPr>
          <w:fldChar w:fldCharType="begin"/>
        </w:r>
        <w:r>
          <w:rPr>
            <w:noProof/>
            <w:webHidden/>
          </w:rPr>
          <w:instrText xml:space="preserve"> PAGEREF _Toc36479695 \h </w:instrText>
        </w:r>
        <w:r>
          <w:rPr>
            <w:noProof/>
            <w:webHidden/>
          </w:rPr>
          <w:fldChar w:fldCharType="separate"/>
        </w:r>
        <w:r w:rsidR="00A30722">
          <w:rPr>
            <w:noProof/>
            <w:webHidden/>
          </w:rPr>
          <w:t>4</w:t>
        </w:r>
        <w:r>
          <w:rPr>
            <w:noProof/>
            <w:webHidden/>
          </w:rPr>
          <w:fldChar w:fldCharType="end"/>
        </w:r>
      </w:hyperlink>
    </w:p>
    <w:p w:rsidR="00992A50" w14:paraId="1D48231C" w14:textId="78F73544">
      <w:pPr>
        <w:pStyle w:val="TOC3"/>
        <w:tabs>
          <w:tab w:val="left" w:pos="2160"/>
        </w:tabs>
        <w:rPr>
          <w:rFonts w:asciiTheme="minorHAnsi" w:eastAsiaTheme="minorEastAsia" w:hAnsiTheme="minorHAnsi" w:cstheme="minorBidi"/>
          <w:noProof/>
          <w:sz w:val="22"/>
          <w:szCs w:val="22"/>
        </w:rPr>
      </w:pPr>
      <w:hyperlink w:anchor="_Toc36479696" w:history="1">
        <w:r w:rsidRPr="00881C3F">
          <w:rPr>
            <w:rStyle w:val="Hyperlink"/>
            <w:noProof/>
          </w:rPr>
          <w:t>1.</w:t>
        </w:r>
        <w:r>
          <w:rPr>
            <w:rFonts w:asciiTheme="minorHAnsi" w:eastAsiaTheme="minorEastAsia" w:hAnsiTheme="minorHAnsi" w:cstheme="minorBidi"/>
            <w:noProof/>
            <w:sz w:val="22"/>
            <w:szCs w:val="22"/>
          </w:rPr>
          <w:tab/>
        </w:r>
        <w:r w:rsidRPr="00881C3F">
          <w:rPr>
            <w:rStyle w:val="Hyperlink"/>
            <w:noProof/>
          </w:rPr>
          <w:t xml:space="preserve">The PUCO Staff cannot be substituted for OCC as the </w:t>
        </w:r>
        <w:r w:rsidR="00A30722">
          <w:rPr>
            <w:rStyle w:val="Hyperlink"/>
            <w:noProof/>
          </w:rPr>
          <w:br/>
        </w:r>
        <w:r w:rsidRPr="00881C3F">
          <w:rPr>
            <w:rStyle w:val="Hyperlink"/>
            <w:noProof/>
          </w:rPr>
          <w:t>consumer advocate.</w:t>
        </w:r>
        <w:r>
          <w:rPr>
            <w:noProof/>
            <w:webHidden/>
          </w:rPr>
          <w:tab/>
        </w:r>
        <w:r>
          <w:rPr>
            <w:noProof/>
            <w:webHidden/>
          </w:rPr>
          <w:fldChar w:fldCharType="begin"/>
        </w:r>
        <w:r>
          <w:rPr>
            <w:noProof/>
            <w:webHidden/>
          </w:rPr>
          <w:instrText xml:space="preserve"> PAGEREF _Toc36479696 \h </w:instrText>
        </w:r>
        <w:r>
          <w:rPr>
            <w:noProof/>
            <w:webHidden/>
          </w:rPr>
          <w:fldChar w:fldCharType="separate"/>
        </w:r>
        <w:r w:rsidR="00A30722">
          <w:rPr>
            <w:noProof/>
            <w:webHidden/>
          </w:rPr>
          <w:t>4</w:t>
        </w:r>
        <w:r>
          <w:rPr>
            <w:noProof/>
            <w:webHidden/>
          </w:rPr>
          <w:fldChar w:fldCharType="end"/>
        </w:r>
      </w:hyperlink>
    </w:p>
    <w:p w:rsidR="00992A50" w14:paraId="7377ADE1" w14:textId="6B855C8F">
      <w:pPr>
        <w:pStyle w:val="TOC3"/>
        <w:tabs>
          <w:tab w:val="left" w:pos="2160"/>
        </w:tabs>
        <w:rPr>
          <w:rFonts w:asciiTheme="minorHAnsi" w:eastAsiaTheme="minorEastAsia" w:hAnsiTheme="minorHAnsi" w:cstheme="minorBidi"/>
          <w:noProof/>
          <w:sz w:val="22"/>
          <w:szCs w:val="22"/>
        </w:rPr>
      </w:pPr>
      <w:hyperlink w:anchor="_Toc36479697" w:history="1">
        <w:r w:rsidRPr="00881C3F">
          <w:rPr>
            <w:rStyle w:val="Hyperlink"/>
            <w:noProof/>
          </w:rPr>
          <w:t>2.</w:t>
        </w:r>
        <w:r>
          <w:rPr>
            <w:rFonts w:asciiTheme="minorHAnsi" w:eastAsiaTheme="minorEastAsia" w:hAnsiTheme="minorHAnsi" w:cstheme="minorBidi"/>
            <w:noProof/>
            <w:sz w:val="22"/>
            <w:szCs w:val="22"/>
          </w:rPr>
          <w:tab/>
        </w:r>
        <w:r w:rsidRPr="00881C3F">
          <w:rPr>
            <w:rStyle w:val="Hyperlink"/>
            <w:noProof/>
          </w:rPr>
          <w:t xml:space="preserve">The intervention statute does not permit the PUCO to </w:t>
        </w:r>
        <w:r w:rsidR="00A30722">
          <w:rPr>
            <w:rStyle w:val="Hyperlink"/>
            <w:noProof/>
          </w:rPr>
          <w:br/>
        </w:r>
        <w:r w:rsidRPr="00881C3F">
          <w:rPr>
            <w:rStyle w:val="Hyperlink"/>
            <w:noProof/>
          </w:rPr>
          <w:t xml:space="preserve">deny intervention based on an allegation that one party’s </w:t>
        </w:r>
        <w:r w:rsidR="00A30722">
          <w:rPr>
            <w:rStyle w:val="Hyperlink"/>
            <w:noProof/>
          </w:rPr>
          <w:br/>
        </w:r>
        <w:r w:rsidRPr="00881C3F">
          <w:rPr>
            <w:rStyle w:val="Hyperlink"/>
            <w:noProof/>
          </w:rPr>
          <w:t>interest is represented by another party.</w:t>
        </w:r>
        <w:r>
          <w:rPr>
            <w:noProof/>
            <w:webHidden/>
          </w:rPr>
          <w:tab/>
        </w:r>
        <w:r>
          <w:rPr>
            <w:noProof/>
            <w:webHidden/>
          </w:rPr>
          <w:fldChar w:fldCharType="begin"/>
        </w:r>
        <w:r>
          <w:rPr>
            <w:noProof/>
            <w:webHidden/>
          </w:rPr>
          <w:instrText xml:space="preserve"> PAGEREF _Toc36479697 \h </w:instrText>
        </w:r>
        <w:r>
          <w:rPr>
            <w:noProof/>
            <w:webHidden/>
          </w:rPr>
          <w:fldChar w:fldCharType="separate"/>
        </w:r>
        <w:r w:rsidR="00A30722">
          <w:rPr>
            <w:noProof/>
            <w:webHidden/>
          </w:rPr>
          <w:t>5</w:t>
        </w:r>
        <w:r>
          <w:rPr>
            <w:noProof/>
            <w:webHidden/>
          </w:rPr>
          <w:fldChar w:fldCharType="end"/>
        </w:r>
      </w:hyperlink>
    </w:p>
    <w:p w:rsidR="00992A50" w14:paraId="5156803B" w14:textId="1661C92A">
      <w:pPr>
        <w:pStyle w:val="TOC3"/>
        <w:tabs>
          <w:tab w:val="left" w:pos="2160"/>
        </w:tabs>
        <w:rPr>
          <w:rFonts w:asciiTheme="minorHAnsi" w:eastAsiaTheme="minorEastAsia" w:hAnsiTheme="minorHAnsi" w:cstheme="minorBidi"/>
          <w:noProof/>
          <w:sz w:val="22"/>
          <w:szCs w:val="22"/>
        </w:rPr>
      </w:pPr>
      <w:hyperlink w:anchor="_Toc36479698" w:history="1">
        <w:r w:rsidRPr="00881C3F">
          <w:rPr>
            <w:rStyle w:val="Hyperlink"/>
            <w:noProof/>
          </w:rPr>
          <w:t>3.</w:t>
        </w:r>
        <w:r>
          <w:rPr>
            <w:rFonts w:asciiTheme="minorHAnsi" w:eastAsiaTheme="minorEastAsia" w:hAnsiTheme="minorHAnsi" w:cstheme="minorBidi"/>
            <w:noProof/>
            <w:sz w:val="22"/>
            <w:szCs w:val="22"/>
          </w:rPr>
          <w:tab/>
        </w:r>
        <w:r w:rsidRPr="00881C3F">
          <w:rPr>
            <w:rStyle w:val="Hyperlink"/>
            <w:noProof/>
          </w:rPr>
          <w:t xml:space="preserve">The Supreme Court of Ohio has ruled that intervention </w:t>
        </w:r>
        <w:r w:rsidR="00A30722">
          <w:rPr>
            <w:rStyle w:val="Hyperlink"/>
            <w:noProof/>
          </w:rPr>
          <w:br/>
        </w:r>
        <w:r w:rsidRPr="00881C3F">
          <w:rPr>
            <w:rStyle w:val="Hyperlink"/>
            <w:noProof/>
          </w:rPr>
          <w:t xml:space="preserve">is to be liberally allowed, and that applies to OCC’s </w:t>
        </w:r>
        <w:r w:rsidR="00A30722">
          <w:rPr>
            <w:rStyle w:val="Hyperlink"/>
            <w:noProof/>
          </w:rPr>
          <w:br/>
        </w:r>
        <w:r w:rsidRPr="00881C3F">
          <w:rPr>
            <w:rStyle w:val="Hyperlink"/>
            <w:noProof/>
          </w:rPr>
          <w:t>intervention in these cases on behalf of consumers.</w:t>
        </w:r>
        <w:r>
          <w:rPr>
            <w:noProof/>
            <w:webHidden/>
          </w:rPr>
          <w:tab/>
        </w:r>
        <w:r>
          <w:rPr>
            <w:noProof/>
            <w:webHidden/>
          </w:rPr>
          <w:fldChar w:fldCharType="begin"/>
        </w:r>
        <w:r>
          <w:rPr>
            <w:noProof/>
            <w:webHidden/>
          </w:rPr>
          <w:instrText xml:space="preserve"> PAGEREF _Toc36479698 \h </w:instrText>
        </w:r>
        <w:r>
          <w:rPr>
            <w:noProof/>
            <w:webHidden/>
          </w:rPr>
          <w:fldChar w:fldCharType="separate"/>
        </w:r>
        <w:r w:rsidR="00A30722">
          <w:rPr>
            <w:noProof/>
            <w:webHidden/>
          </w:rPr>
          <w:t>6</w:t>
        </w:r>
        <w:r>
          <w:rPr>
            <w:noProof/>
            <w:webHidden/>
          </w:rPr>
          <w:fldChar w:fldCharType="end"/>
        </w:r>
      </w:hyperlink>
    </w:p>
    <w:p w:rsidR="00992A50" w14:paraId="7E823C0F" w14:textId="406F05D5">
      <w:pPr>
        <w:pStyle w:val="TOC2"/>
        <w:tabs>
          <w:tab w:val="left" w:pos="1440"/>
        </w:tabs>
        <w:rPr>
          <w:rFonts w:asciiTheme="minorHAnsi" w:eastAsiaTheme="minorEastAsia" w:hAnsiTheme="minorHAnsi" w:cstheme="minorBidi"/>
          <w:noProof/>
          <w:sz w:val="22"/>
          <w:szCs w:val="22"/>
        </w:rPr>
      </w:pPr>
      <w:hyperlink w:anchor="_Toc36479699" w:history="1">
        <w:r w:rsidRPr="00881C3F">
          <w:rPr>
            <w:rStyle w:val="Hyperlink"/>
            <w:noProof/>
          </w:rPr>
          <w:t>B.</w:t>
        </w:r>
        <w:r>
          <w:rPr>
            <w:rFonts w:asciiTheme="minorHAnsi" w:eastAsiaTheme="minorEastAsia" w:hAnsiTheme="minorHAnsi" w:cstheme="minorBidi"/>
            <w:noProof/>
            <w:sz w:val="22"/>
            <w:szCs w:val="22"/>
          </w:rPr>
          <w:tab/>
        </w:r>
        <w:r w:rsidRPr="00881C3F">
          <w:rPr>
            <w:rStyle w:val="Hyperlink"/>
            <w:noProof/>
          </w:rPr>
          <w:t xml:space="preserve">Verde’s complaints about OCC’s discovery requests are both </w:t>
        </w:r>
        <w:r w:rsidR="00A30722">
          <w:rPr>
            <w:rStyle w:val="Hyperlink"/>
            <w:noProof/>
          </w:rPr>
          <w:br/>
        </w:r>
        <w:r w:rsidRPr="00881C3F">
          <w:rPr>
            <w:rStyle w:val="Hyperlink"/>
            <w:noProof/>
          </w:rPr>
          <w:t>inaccurate and irrelevant.</w:t>
        </w:r>
        <w:r>
          <w:rPr>
            <w:noProof/>
            <w:webHidden/>
          </w:rPr>
          <w:tab/>
        </w:r>
        <w:r>
          <w:rPr>
            <w:noProof/>
            <w:webHidden/>
          </w:rPr>
          <w:fldChar w:fldCharType="begin"/>
        </w:r>
        <w:r>
          <w:rPr>
            <w:noProof/>
            <w:webHidden/>
          </w:rPr>
          <w:instrText xml:space="preserve"> PAGEREF _Toc36479699 \h </w:instrText>
        </w:r>
        <w:r>
          <w:rPr>
            <w:noProof/>
            <w:webHidden/>
          </w:rPr>
          <w:fldChar w:fldCharType="separate"/>
        </w:r>
        <w:r w:rsidR="00A30722">
          <w:rPr>
            <w:noProof/>
            <w:webHidden/>
          </w:rPr>
          <w:t>9</w:t>
        </w:r>
        <w:r>
          <w:rPr>
            <w:noProof/>
            <w:webHidden/>
          </w:rPr>
          <w:fldChar w:fldCharType="end"/>
        </w:r>
      </w:hyperlink>
    </w:p>
    <w:p w:rsidR="00992A50" w14:paraId="6547097A" w14:textId="6AB16C69">
      <w:pPr>
        <w:pStyle w:val="TOC1"/>
        <w:rPr>
          <w:rFonts w:asciiTheme="minorHAnsi" w:eastAsiaTheme="minorEastAsia" w:hAnsiTheme="minorHAnsi" w:cstheme="minorBidi"/>
          <w:noProof/>
          <w:sz w:val="22"/>
          <w:szCs w:val="22"/>
        </w:rPr>
      </w:pPr>
      <w:hyperlink w:anchor="_Toc36479700" w:history="1">
        <w:r w:rsidRPr="00881C3F">
          <w:rPr>
            <w:rStyle w:val="Hyperlink"/>
            <w:noProof/>
          </w:rPr>
          <w:t>III.</w:t>
        </w:r>
        <w:r>
          <w:rPr>
            <w:rFonts w:asciiTheme="minorHAnsi" w:eastAsiaTheme="minorEastAsia" w:hAnsiTheme="minorHAnsi" w:cstheme="minorBidi"/>
            <w:noProof/>
            <w:sz w:val="22"/>
            <w:szCs w:val="22"/>
          </w:rPr>
          <w:tab/>
        </w:r>
        <w:r w:rsidRPr="00881C3F">
          <w:rPr>
            <w:rStyle w:val="Hyperlink"/>
            <w:noProof/>
          </w:rPr>
          <w:t>CONCLUSION</w:t>
        </w:r>
        <w:r>
          <w:rPr>
            <w:noProof/>
            <w:webHidden/>
          </w:rPr>
          <w:tab/>
        </w:r>
        <w:r>
          <w:rPr>
            <w:noProof/>
            <w:webHidden/>
          </w:rPr>
          <w:fldChar w:fldCharType="begin"/>
        </w:r>
        <w:r>
          <w:rPr>
            <w:noProof/>
            <w:webHidden/>
          </w:rPr>
          <w:instrText xml:space="preserve"> PAGEREF _Toc36479700 \h </w:instrText>
        </w:r>
        <w:r>
          <w:rPr>
            <w:noProof/>
            <w:webHidden/>
          </w:rPr>
          <w:fldChar w:fldCharType="separate"/>
        </w:r>
        <w:r w:rsidR="00A30722">
          <w:rPr>
            <w:noProof/>
            <w:webHidden/>
          </w:rPr>
          <w:t>10</w:t>
        </w:r>
        <w:r>
          <w:rPr>
            <w:noProof/>
            <w:webHidden/>
          </w:rPr>
          <w:fldChar w:fldCharType="end"/>
        </w:r>
      </w:hyperlink>
    </w:p>
    <w:p w:rsidR="007749C4" w:rsidRPr="007749C4" w:rsidP="007749C4" w14:paraId="7B2AB725" w14:textId="5A6AC037">
      <w:pPr>
        <w:pStyle w:val="HTMLPreformatted"/>
        <w:jc w:val="right"/>
        <w:rPr>
          <w:rFonts w:ascii="Times New Roman" w:hAnsi="Times New Roman"/>
          <w:b/>
          <w:bCs/>
          <w:sz w:val="24"/>
        </w:rPr>
      </w:pPr>
      <w:r>
        <w:rPr>
          <w:rFonts w:ascii="Times New Roman" w:hAnsi="Times New Roman"/>
          <w:b/>
          <w:bCs/>
          <w:sz w:val="24"/>
        </w:rPr>
        <w:fldChar w:fldCharType="end"/>
      </w:r>
    </w:p>
    <w:p w:rsidR="007F34CF" w14:paraId="30C10752" w14:textId="77777777">
      <w:pPr>
        <w:pStyle w:val="HTMLPreformatted"/>
        <w:jc w:val="center"/>
        <w:rPr>
          <w:rFonts w:ascii="Times New Roman" w:hAnsi="Times New Roman"/>
          <w:b/>
          <w:bCs/>
          <w:sz w:val="24"/>
        </w:rPr>
      </w:pPr>
    </w:p>
    <w:p w:rsidR="007F34CF" w14:paraId="78429872" w14:textId="77777777">
      <w:pPr>
        <w:pStyle w:val="HTMLPreformatted"/>
        <w:jc w:val="center"/>
        <w:rPr>
          <w:rFonts w:ascii="Times New Roman" w:hAnsi="Times New Roman"/>
          <w:b/>
          <w:bCs/>
          <w:sz w:val="24"/>
        </w:rPr>
        <w:sectPr w:rsidSect="00E10673">
          <w:footerReference w:type="first" r:id="rId11"/>
          <w:pgSz w:w="12240" w:h="15840"/>
          <w:pgMar w:top="1440" w:right="1800" w:bottom="1440" w:left="1800" w:header="720" w:footer="720" w:gutter="0"/>
          <w:pgNumType w:fmt="lowerRoman" w:start="1"/>
          <w:cols w:space="720"/>
          <w:titlePg/>
          <w:docGrid w:linePitch="65"/>
        </w:sectPr>
      </w:pPr>
    </w:p>
    <w:p w:rsidR="00B52F65" w14:paraId="2DDF4E71" w14:textId="77777777">
      <w:pPr>
        <w:pStyle w:val="HTMLPreformatted"/>
        <w:jc w:val="center"/>
        <w:rPr>
          <w:rFonts w:ascii="Times New Roman" w:hAnsi="Times New Roman"/>
          <w:b/>
          <w:bCs/>
          <w:sz w:val="24"/>
        </w:rPr>
      </w:pPr>
      <w:r>
        <w:rPr>
          <w:rFonts w:ascii="Times New Roman" w:hAnsi="Times New Roman"/>
          <w:b/>
          <w:bCs/>
          <w:sz w:val="24"/>
        </w:rPr>
        <w:t>BEFORE</w:t>
      </w:r>
    </w:p>
    <w:p w:rsidR="00B52F65" w14:paraId="6AD116CC"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B52F65" w14:paraId="72647077" w14:textId="77777777">
      <w:pPr>
        <w:pStyle w:val="HTMLPreformatted"/>
        <w:rPr>
          <w:rFonts w:ascii="Times New Roman" w:hAnsi="Times New Roman"/>
          <w:sz w:val="24"/>
        </w:rPr>
      </w:pPr>
    </w:p>
    <w:tbl>
      <w:tblPr>
        <w:tblW w:w="8730" w:type="dxa"/>
        <w:tblLook w:val="01E0"/>
      </w:tblPr>
      <w:tblGrid>
        <w:gridCol w:w="4230"/>
        <w:gridCol w:w="468"/>
        <w:gridCol w:w="4032"/>
      </w:tblGrid>
      <w:tr w14:paraId="2AC8DEA0" w14:textId="77777777" w:rsidTr="00A46FA3">
        <w:tblPrEx>
          <w:tblW w:w="8730" w:type="dxa"/>
          <w:tblLook w:val="01E0"/>
        </w:tblPrEx>
        <w:trPr>
          <w:trHeight w:val="807"/>
        </w:trPr>
        <w:tc>
          <w:tcPr>
            <w:tcW w:w="4230" w:type="dxa"/>
            <w:shd w:val="clear" w:color="auto" w:fill="auto"/>
          </w:tcPr>
          <w:p w:rsidR="00E833B2" w:rsidP="0060598B" w14:paraId="123B75DA"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Verde Energy USA Ohio, LLC for Certification as a Competitive Retail Electric Supplier.</w:t>
            </w:r>
          </w:p>
          <w:p w:rsidR="00E833B2" w:rsidP="0060598B" w14:paraId="0E24DFF9" w14:textId="77777777">
            <w:pPr>
              <w:pStyle w:val="HTMLPreformatted"/>
              <w:rPr>
                <w:rFonts w:ascii="Times New Roman" w:hAnsi="Times New Roman" w:cs="Times New Roman"/>
                <w:sz w:val="24"/>
                <w:szCs w:val="24"/>
              </w:rPr>
            </w:pPr>
          </w:p>
          <w:p w:rsidR="00B52F65" w:rsidP="0060598B" w14:paraId="37B11AA4"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9178AF">
              <w:rPr>
                <w:rFonts w:ascii="Times New Roman" w:hAnsi="Times New Roman" w:cs="Times New Roman"/>
                <w:sz w:val="24"/>
                <w:szCs w:val="24"/>
              </w:rPr>
              <w:t xml:space="preserve">Renewal </w:t>
            </w:r>
            <w:r w:rsidRPr="00B65A3A">
              <w:rPr>
                <w:rFonts w:ascii="Times New Roman" w:hAnsi="Times New Roman" w:cs="Times New Roman"/>
                <w:sz w:val="24"/>
                <w:szCs w:val="24"/>
              </w:rPr>
              <w:t xml:space="preserve">Application of </w:t>
            </w:r>
            <w:r w:rsidR="009178AF">
              <w:rPr>
                <w:rFonts w:ascii="Times New Roman" w:hAnsi="Times New Roman" w:cs="Times New Roman"/>
                <w:sz w:val="24"/>
                <w:szCs w:val="24"/>
              </w:rPr>
              <w:t>Verde Energy USA Ohio</w:t>
            </w:r>
            <w:r>
              <w:rPr>
                <w:rFonts w:ascii="Times New Roman" w:hAnsi="Times New Roman" w:cs="Times New Roman"/>
                <w:sz w:val="24"/>
                <w:szCs w:val="24"/>
              </w:rPr>
              <w:t>, LLC for Certification as a</w:t>
            </w:r>
            <w:r w:rsidR="009178AF">
              <w:rPr>
                <w:rFonts w:ascii="Times New Roman" w:hAnsi="Times New Roman" w:cs="Times New Roman"/>
                <w:sz w:val="24"/>
                <w:szCs w:val="24"/>
              </w:rPr>
              <w:t xml:space="preserve"> Retail Natural Gas Marketer</w:t>
            </w:r>
            <w:r>
              <w:rPr>
                <w:rFonts w:ascii="Times New Roman" w:hAnsi="Times New Roman" w:cs="Times New Roman"/>
                <w:sz w:val="24"/>
                <w:szCs w:val="24"/>
              </w:rPr>
              <w:t>.</w:t>
            </w:r>
          </w:p>
          <w:p w:rsidR="0060598B" w:rsidRPr="00A044B5" w:rsidP="0060598B" w14:paraId="2057CE7C" w14:textId="77777777">
            <w:pPr>
              <w:pStyle w:val="HTMLPreformatted"/>
              <w:rPr>
                <w:rFonts w:ascii="Times New Roman" w:hAnsi="Times New Roman"/>
                <w:sz w:val="24"/>
                <w:szCs w:val="24"/>
              </w:rPr>
            </w:pPr>
          </w:p>
        </w:tc>
        <w:tc>
          <w:tcPr>
            <w:tcW w:w="468" w:type="dxa"/>
            <w:shd w:val="clear" w:color="auto" w:fill="auto"/>
          </w:tcPr>
          <w:p w:rsidR="00B52F65" w:rsidRPr="00A044B5" w14:paraId="63993AC5" w14:textId="77777777">
            <w:pPr>
              <w:pStyle w:val="HTMLPreformatted"/>
              <w:rPr>
                <w:rFonts w:ascii="Times New Roman" w:hAnsi="Times New Roman"/>
                <w:sz w:val="24"/>
              </w:rPr>
            </w:pPr>
            <w:r w:rsidRPr="00A044B5">
              <w:rPr>
                <w:rFonts w:ascii="Times New Roman" w:hAnsi="Times New Roman"/>
                <w:sz w:val="24"/>
              </w:rPr>
              <w:t>)</w:t>
            </w:r>
          </w:p>
          <w:p w:rsidR="00B52F65" w:rsidRPr="00A044B5" w14:paraId="08707B99" w14:textId="77777777">
            <w:pPr>
              <w:pStyle w:val="HTMLPreformatted"/>
              <w:rPr>
                <w:rFonts w:ascii="Times New Roman" w:hAnsi="Times New Roman"/>
                <w:sz w:val="24"/>
              </w:rPr>
            </w:pPr>
            <w:r w:rsidRPr="00A044B5">
              <w:rPr>
                <w:rFonts w:ascii="Times New Roman" w:hAnsi="Times New Roman"/>
                <w:sz w:val="24"/>
              </w:rPr>
              <w:t>)</w:t>
            </w:r>
          </w:p>
          <w:p w:rsidR="00B52F65" w:rsidRPr="00A044B5" w14:paraId="5E4262DD" w14:textId="77777777">
            <w:pPr>
              <w:pStyle w:val="HTMLPreformatted"/>
              <w:rPr>
                <w:rFonts w:ascii="Times New Roman" w:hAnsi="Times New Roman"/>
                <w:sz w:val="24"/>
              </w:rPr>
            </w:pPr>
            <w:r w:rsidRPr="00A044B5">
              <w:rPr>
                <w:rFonts w:ascii="Times New Roman" w:hAnsi="Times New Roman"/>
                <w:sz w:val="24"/>
              </w:rPr>
              <w:t>)</w:t>
            </w:r>
          </w:p>
          <w:p w:rsidR="00B52F65" w14:paraId="33D7A0A9" w14:textId="77777777">
            <w:pPr>
              <w:pStyle w:val="HTMLPreformatted"/>
              <w:rPr>
                <w:rFonts w:ascii="Times New Roman" w:hAnsi="Times New Roman"/>
                <w:sz w:val="24"/>
              </w:rPr>
            </w:pPr>
          </w:p>
          <w:p w:rsidR="00E833B2" w14:paraId="723B4E34" w14:textId="77777777">
            <w:pPr>
              <w:pStyle w:val="HTMLPreformatted"/>
              <w:rPr>
                <w:rFonts w:ascii="Times New Roman" w:hAnsi="Times New Roman"/>
                <w:sz w:val="24"/>
              </w:rPr>
            </w:pPr>
            <w:r>
              <w:rPr>
                <w:rFonts w:ascii="Times New Roman" w:hAnsi="Times New Roman"/>
                <w:sz w:val="24"/>
              </w:rPr>
              <w:t>)</w:t>
            </w:r>
          </w:p>
          <w:p w:rsidR="00E833B2" w14:paraId="683426C9" w14:textId="77777777">
            <w:pPr>
              <w:pStyle w:val="HTMLPreformatted"/>
              <w:rPr>
                <w:rFonts w:ascii="Times New Roman" w:hAnsi="Times New Roman"/>
                <w:sz w:val="24"/>
              </w:rPr>
            </w:pPr>
            <w:r>
              <w:rPr>
                <w:rFonts w:ascii="Times New Roman" w:hAnsi="Times New Roman"/>
                <w:sz w:val="24"/>
              </w:rPr>
              <w:t>)</w:t>
            </w:r>
          </w:p>
          <w:p w:rsidR="00E833B2" w14:paraId="33C0DDA3" w14:textId="77777777">
            <w:pPr>
              <w:pStyle w:val="HTMLPreformatted"/>
              <w:rPr>
                <w:rFonts w:ascii="Times New Roman" w:hAnsi="Times New Roman"/>
                <w:sz w:val="24"/>
              </w:rPr>
            </w:pPr>
            <w:r>
              <w:rPr>
                <w:rFonts w:ascii="Times New Roman" w:hAnsi="Times New Roman"/>
                <w:sz w:val="24"/>
              </w:rPr>
              <w:t>)</w:t>
            </w:r>
          </w:p>
          <w:p w:rsidR="00E833B2" w:rsidRPr="00A044B5" w14:paraId="09039048" w14:textId="77777777">
            <w:pPr>
              <w:pStyle w:val="HTMLPreformatted"/>
              <w:rPr>
                <w:rFonts w:ascii="Times New Roman" w:hAnsi="Times New Roman"/>
                <w:sz w:val="24"/>
              </w:rPr>
            </w:pPr>
            <w:r>
              <w:rPr>
                <w:rFonts w:ascii="Times New Roman" w:hAnsi="Times New Roman"/>
                <w:sz w:val="24"/>
              </w:rPr>
              <w:t>)</w:t>
            </w:r>
          </w:p>
        </w:tc>
        <w:tc>
          <w:tcPr>
            <w:tcW w:w="4032" w:type="dxa"/>
            <w:shd w:val="clear" w:color="auto" w:fill="auto"/>
          </w:tcPr>
          <w:p w:rsidR="00B52F65" w:rsidRPr="00A044B5" w14:paraId="68C2DA5E" w14:textId="77777777">
            <w:pPr>
              <w:pStyle w:val="HTMLPreformatted"/>
              <w:rPr>
                <w:rFonts w:ascii="Times New Roman" w:hAnsi="Times New Roman"/>
                <w:sz w:val="24"/>
              </w:rPr>
            </w:pPr>
          </w:p>
          <w:p w:rsidR="00E833B2" w14:paraId="16403B8A" w14:textId="77777777">
            <w:pPr>
              <w:pStyle w:val="HTMLPreformatted"/>
              <w:rPr>
                <w:rFonts w:ascii="Times New Roman" w:hAnsi="Times New Roman"/>
                <w:sz w:val="24"/>
              </w:rPr>
            </w:pPr>
            <w:r>
              <w:rPr>
                <w:rFonts w:ascii="Times New Roman" w:hAnsi="Times New Roman"/>
                <w:sz w:val="24"/>
              </w:rPr>
              <w:t>Case No. 11-5886-EL-CRS</w:t>
            </w:r>
          </w:p>
          <w:p w:rsidR="00E833B2" w14:paraId="3938EC7C" w14:textId="77777777">
            <w:pPr>
              <w:pStyle w:val="HTMLPreformatted"/>
              <w:rPr>
                <w:rFonts w:ascii="Times New Roman" w:hAnsi="Times New Roman"/>
                <w:sz w:val="24"/>
              </w:rPr>
            </w:pPr>
          </w:p>
          <w:p w:rsidR="00E833B2" w14:paraId="57D5123C" w14:textId="77777777">
            <w:pPr>
              <w:pStyle w:val="HTMLPreformatted"/>
              <w:rPr>
                <w:rFonts w:ascii="Times New Roman" w:hAnsi="Times New Roman"/>
                <w:sz w:val="24"/>
              </w:rPr>
            </w:pPr>
          </w:p>
          <w:p w:rsidR="00E833B2" w14:paraId="242962B0" w14:textId="77777777">
            <w:pPr>
              <w:pStyle w:val="HTMLPreformatted"/>
              <w:rPr>
                <w:rFonts w:ascii="Times New Roman" w:hAnsi="Times New Roman"/>
                <w:sz w:val="24"/>
              </w:rPr>
            </w:pPr>
          </w:p>
          <w:p w:rsidR="00B52F65" w:rsidRPr="00A044B5" w14:paraId="62BBBA13"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cs="Times New Roman"/>
                <w:sz w:val="24"/>
                <w:szCs w:val="24"/>
              </w:rPr>
              <w:t>1</w:t>
            </w:r>
            <w:r w:rsidR="009178AF">
              <w:rPr>
                <w:rFonts w:ascii="Times New Roman" w:hAnsi="Times New Roman" w:cs="Times New Roman"/>
                <w:sz w:val="24"/>
                <w:szCs w:val="24"/>
              </w:rPr>
              <w:t>3</w:t>
            </w:r>
            <w:r>
              <w:rPr>
                <w:rFonts w:ascii="Times New Roman" w:hAnsi="Times New Roman" w:cs="Times New Roman"/>
                <w:sz w:val="24"/>
                <w:szCs w:val="24"/>
              </w:rPr>
              <w:t>-</w:t>
            </w:r>
            <w:r w:rsidR="009178AF">
              <w:rPr>
                <w:rFonts w:ascii="Times New Roman" w:hAnsi="Times New Roman" w:cs="Times New Roman"/>
                <w:sz w:val="24"/>
                <w:szCs w:val="24"/>
              </w:rPr>
              <w:t>2164</w:t>
            </w:r>
            <w:r>
              <w:rPr>
                <w:rFonts w:ascii="Times New Roman" w:hAnsi="Times New Roman" w:cs="Times New Roman"/>
                <w:sz w:val="24"/>
                <w:szCs w:val="24"/>
              </w:rPr>
              <w:t>-</w:t>
            </w:r>
            <w:r w:rsidR="009178AF">
              <w:rPr>
                <w:rFonts w:ascii="Times New Roman" w:hAnsi="Times New Roman" w:cs="Times New Roman"/>
                <w:sz w:val="24"/>
                <w:szCs w:val="24"/>
              </w:rPr>
              <w:t>GA</w:t>
            </w:r>
            <w:r>
              <w:rPr>
                <w:rFonts w:ascii="Times New Roman" w:hAnsi="Times New Roman" w:cs="Times New Roman"/>
                <w:sz w:val="24"/>
                <w:szCs w:val="24"/>
              </w:rPr>
              <w:t>-CRS</w:t>
            </w:r>
            <w:r w:rsidRPr="00A044B5">
              <w:rPr>
                <w:rFonts w:ascii="Times New Roman" w:hAnsi="Times New Roman"/>
                <w:sz w:val="24"/>
              </w:rPr>
              <w:t xml:space="preserve"> </w:t>
            </w:r>
          </w:p>
          <w:p w:rsidR="00B52F65" w:rsidRPr="00A044B5" w14:paraId="56DE5753" w14:textId="77777777">
            <w:pPr>
              <w:pStyle w:val="HTMLPreformatted"/>
              <w:rPr>
                <w:rFonts w:ascii="Times New Roman" w:hAnsi="Times New Roman"/>
                <w:sz w:val="24"/>
              </w:rPr>
            </w:pPr>
          </w:p>
        </w:tc>
      </w:tr>
    </w:tbl>
    <w:p w:rsidR="00B52F65" w14:paraId="771160EF" w14:textId="77777777">
      <w:pPr>
        <w:pStyle w:val="HTMLPreformatted"/>
        <w:pBdr>
          <w:top w:val="single" w:sz="12" w:space="1" w:color="auto"/>
        </w:pBdr>
        <w:rPr>
          <w:rFonts w:ascii="Times New Roman" w:hAnsi="Times New Roman"/>
          <w:sz w:val="24"/>
        </w:rPr>
      </w:pPr>
    </w:p>
    <w:p w:rsidR="0034156F" w:rsidP="0034156F" w14:paraId="70C0B598" w14:textId="77777777">
      <w:pPr>
        <w:jc w:val="center"/>
        <w:rPr>
          <w:b/>
          <w:bCs/>
        </w:rPr>
      </w:pPr>
      <w:r>
        <w:rPr>
          <w:b/>
          <w:bCs/>
        </w:rPr>
        <w:t>REPLY</w:t>
      </w:r>
      <w:r w:rsidR="00D33FB3">
        <w:rPr>
          <w:b/>
          <w:bCs/>
        </w:rPr>
        <w:t xml:space="preserve"> </w:t>
      </w:r>
      <w:r w:rsidR="00786590">
        <w:rPr>
          <w:b/>
          <w:bCs/>
        </w:rPr>
        <w:t>TO VERDE’S MEMO CONTRA OCC’S MOTION TO INTERVENE</w:t>
      </w:r>
    </w:p>
    <w:p w:rsidR="0034156F" w:rsidP="0034156F" w14:paraId="2C038354" w14:textId="77777777">
      <w:pPr>
        <w:jc w:val="center"/>
        <w:rPr>
          <w:b/>
          <w:bCs/>
        </w:rPr>
      </w:pPr>
      <w:r>
        <w:rPr>
          <w:b/>
          <w:bCs/>
        </w:rPr>
        <w:t>BY</w:t>
      </w:r>
    </w:p>
    <w:p w:rsidR="0034156F" w:rsidP="0034156F" w14:paraId="1DD1F1C7" w14:textId="77777777">
      <w:pPr>
        <w:jc w:val="center"/>
        <w:rPr>
          <w:b/>
          <w:bCs/>
        </w:rPr>
      </w:pPr>
      <w:r>
        <w:rPr>
          <w:b/>
          <w:bCs/>
        </w:rPr>
        <w:t>THE OFFICE OF THE OHIO CONSUMERS’ COUNSEL</w:t>
      </w:r>
    </w:p>
    <w:p w:rsidR="00B52F65" w14:paraId="1A3524FB" w14:textId="77777777">
      <w:pPr>
        <w:pBdr>
          <w:bottom w:val="single" w:sz="12" w:space="1" w:color="auto"/>
        </w:pBdr>
        <w:tabs>
          <w:tab w:val="left" w:pos="4320"/>
        </w:tabs>
      </w:pPr>
    </w:p>
    <w:p w:rsidR="0060598B" w:rsidP="00D971A3" w14:paraId="03D861D1" w14:textId="77777777">
      <w:pPr>
        <w:pStyle w:val="BodyTextIndent3"/>
        <w:widowControl w:val="0"/>
        <w:spacing w:line="240" w:lineRule="auto"/>
        <w:ind w:right="-312" w:firstLine="0"/>
      </w:pPr>
    </w:p>
    <w:p w:rsidR="00FD35F6" w:rsidRPr="00B01B51" w:rsidP="00352F05" w14:paraId="1F2D3DFC" w14:textId="77777777">
      <w:pPr>
        <w:pStyle w:val="Heading1"/>
      </w:pPr>
      <w:bookmarkStart w:id="1" w:name="_Toc36479693"/>
      <w:r>
        <w:t>I.</w:t>
      </w:r>
      <w:r>
        <w:tab/>
      </w:r>
      <w:r w:rsidRPr="00B01B51" w:rsidR="00200CAA">
        <w:t>INTRODUCTION</w:t>
      </w:r>
      <w:bookmarkEnd w:id="1"/>
    </w:p>
    <w:p w:rsidR="00612919" w:rsidP="00E833B2" w14:paraId="25AFA2B9" w14:textId="34073867">
      <w:pPr>
        <w:pStyle w:val="BodyTextIndent3"/>
        <w:widowControl w:val="0"/>
        <w:spacing w:line="480" w:lineRule="auto"/>
        <w:ind w:right="-312"/>
      </w:pPr>
      <w:r>
        <w:t>Verde</w:t>
      </w:r>
      <w:r>
        <w:t xml:space="preserve"> is a rip-off artist that</w:t>
      </w:r>
      <w:r>
        <w:t xml:space="preserve"> has </w:t>
      </w:r>
      <w:r w:rsidR="009C7F6C">
        <w:t>hurt Ohioans</w:t>
      </w:r>
      <w:r>
        <w:t xml:space="preserve"> and thus it apparently makes sense in Verde’s fractured reality that OCC, the voice of the Ohio consumers that Verde has harmed, should be denied participation in this case. But four decades of law and rulings about OCC’s standing to represent consumers show that it is vexatious Verde that has nothing to stand on for denying the consumer advocate’s intervention.</w:t>
      </w:r>
      <w:r w:rsidR="00FA395C">
        <w:t xml:space="preserve"> </w:t>
      </w:r>
    </w:p>
    <w:p w:rsidR="00FA395C" w:rsidP="00E833B2" w14:paraId="40598E0F" w14:textId="77777777">
      <w:pPr>
        <w:pStyle w:val="BodyTextIndent3"/>
        <w:widowControl w:val="0"/>
        <w:spacing w:line="480" w:lineRule="auto"/>
        <w:ind w:right="-312"/>
      </w:pPr>
      <w:r>
        <w:t xml:space="preserve">Indeed, Verde’s sordid history of bad acts precedes it, reflecting that OCC meets the statutory standards for intervention. </w:t>
      </w:r>
      <w:r w:rsidR="00E833B2">
        <w:t>The PUCO found that Verde violated PUCO rules</w:t>
      </w:r>
      <w:r w:rsidR="002C3971">
        <w:t xml:space="preserve"> to the detriment of consumers</w:t>
      </w:r>
      <w:r w:rsidR="00E833B2">
        <w:t xml:space="preserve"> at least 17 times in a span of seven months</w:t>
      </w:r>
      <w:r w:rsidR="00200CAA">
        <w:t xml:space="preserve"> from October1, 2018 to April 12, 2019</w:t>
      </w:r>
      <w:r w:rsidR="00E833B2">
        <w:t>.</w:t>
      </w:r>
      <w:r>
        <w:rPr>
          <w:rStyle w:val="FootnoteReference"/>
        </w:rPr>
        <w:footnoteReference w:id="2"/>
      </w:r>
      <w:r w:rsidR="00E833B2">
        <w:t xml:space="preserve"> </w:t>
      </w:r>
      <w:r w:rsidR="00200CAA">
        <w:t xml:space="preserve">Indeed, as the PUCO </w:t>
      </w:r>
      <w:r w:rsidR="00130E3D">
        <w:t xml:space="preserve">also </w:t>
      </w:r>
      <w:r w:rsidR="00200CAA">
        <w:t>found, Verde did not dispute the violations set forth in the PUCO Staff’s report filed in the PUCO’s investigation of Verde.</w:t>
      </w:r>
      <w:r>
        <w:rPr>
          <w:rStyle w:val="FootnoteReference"/>
        </w:rPr>
        <w:footnoteReference w:id="3"/>
      </w:r>
      <w:r w:rsidR="00200CAA">
        <w:t xml:space="preserve"> </w:t>
      </w:r>
      <w:r w:rsidR="00E833B2">
        <w:t>And th</w:t>
      </w:r>
      <w:r w:rsidR="009E4EA5">
        <w:t>ese are</w:t>
      </w:r>
      <w:r w:rsidR="00E833B2">
        <w:t xml:space="preserve"> </w:t>
      </w:r>
    </w:p>
    <w:p w:rsidR="00FA395C" w14:paraId="45A3E235" w14:textId="77777777">
      <w:r>
        <w:br w:type="page"/>
      </w:r>
    </w:p>
    <w:p w:rsidR="00200CAA" w:rsidP="00FA395C" w14:paraId="5E025332" w14:textId="46ABBDF9">
      <w:pPr>
        <w:pStyle w:val="BodyTextIndent3"/>
        <w:widowControl w:val="0"/>
        <w:spacing w:line="480" w:lineRule="auto"/>
        <w:ind w:right="-312" w:firstLine="0"/>
      </w:pPr>
      <w:r>
        <w:t xml:space="preserve">just the violations that the </w:t>
      </w:r>
      <w:r w:rsidR="00261223">
        <w:t xml:space="preserve">PUCO </w:t>
      </w:r>
      <w:r w:rsidR="009E4EA5">
        <w:t xml:space="preserve">Staff listed in its Report and the </w:t>
      </w:r>
      <w:r>
        <w:t>PUCO</w:t>
      </w:r>
      <w:r w:rsidR="009E4EA5">
        <w:t xml:space="preserve"> conclusively</w:t>
      </w:r>
      <w:r>
        <w:t xml:space="preserve"> found were proven by a preponderance of the evidence during t</w:t>
      </w:r>
      <w:r w:rsidR="000F7ABF">
        <w:t>hat limited seven-month period</w:t>
      </w:r>
      <w:r w:rsidR="00FA395C">
        <w:t>.</w:t>
      </w:r>
    </w:p>
    <w:p w:rsidR="003D1898" w:rsidP="00FA395C" w14:paraId="1A3E83A7" w14:textId="4DF1BD88">
      <w:pPr>
        <w:pStyle w:val="BodyTextIndent3"/>
        <w:widowControl w:val="0"/>
        <w:spacing w:line="480" w:lineRule="auto"/>
        <w:ind w:right="-312"/>
      </w:pPr>
      <w:r>
        <w:t xml:space="preserve">The 17 proven violations are not </w:t>
      </w:r>
      <w:r w:rsidR="0059137E">
        <w:t>anomalous</w:t>
      </w:r>
      <w:r w:rsidR="00261223">
        <w:t>.</w:t>
      </w:r>
      <w:r>
        <w:rPr>
          <w:rStyle w:val="FootnoteReference"/>
        </w:rPr>
        <w:footnoteReference w:id="4"/>
      </w:r>
      <w:r w:rsidR="0059137E">
        <w:t xml:space="preserve"> They are merely representative of what common sense tells us is a concerted effort</w:t>
      </w:r>
      <w:r w:rsidR="002F6486">
        <w:t xml:space="preserve"> by Verde</w:t>
      </w:r>
      <w:r w:rsidR="0059137E">
        <w:t xml:space="preserve"> to</w:t>
      </w:r>
      <w:r w:rsidR="002F6486">
        <w:t xml:space="preserve"> mislead customers and a failure to reform its</w:t>
      </w:r>
      <w:r w:rsidR="0059137E">
        <w:t xml:space="preserve"> pattern of bad behavior</w:t>
      </w:r>
      <w:r w:rsidR="004D6A85">
        <w:t xml:space="preserve">. And given the numerous investigations going on in other service territories where Verde does business, that concerted effort </w:t>
      </w:r>
      <w:r w:rsidR="00261223">
        <w:t xml:space="preserve">appears to be Verde’s </w:t>
      </w:r>
      <w:r w:rsidR="004D6A85">
        <w:t>business model.</w:t>
      </w:r>
      <w:r>
        <w:rPr>
          <w:rStyle w:val="FootnoteReference"/>
        </w:rPr>
        <w:footnoteReference w:id="5"/>
      </w:r>
    </w:p>
    <w:p w:rsidR="00130E3D" w:rsidP="00E833B2" w14:paraId="6B4D5304" w14:textId="1A703298">
      <w:pPr>
        <w:pStyle w:val="BodyTextIndent3"/>
        <w:widowControl w:val="0"/>
        <w:spacing w:line="480" w:lineRule="auto"/>
        <w:ind w:right="-312"/>
      </w:pPr>
      <w:r>
        <w:t>In the PUCO’s investigation of Verde, the PUCO approved a settlement that allowed Verde to continue serving its current customers but could not market to new customers for an 18-month period ending October 30, 2020.</w:t>
      </w:r>
      <w:r>
        <w:rPr>
          <w:rStyle w:val="FootnoteReference"/>
        </w:rPr>
        <w:footnoteReference w:id="6"/>
      </w:r>
      <w:r w:rsidR="00FA395C">
        <w:t xml:space="preserve"> </w:t>
      </w:r>
      <w:r w:rsidR="00261223">
        <w:t xml:space="preserve">Neither the settlement nor the PUCO order approving the settlement addressed </w:t>
      </w:r>
      <w:r>
        <w:t xml:space="preserve">what happens </w:t>
      </w:r>
      <w:r w:rsidRPr="00921ED7">
        <w:t>after</w:t>
      </w:r>
      <w:r>
        <w:t xml:space="preserve"> October 30, 2020. The PUCO did not rule that Verde could market to customers after October 30, 2020. The PUCO did not rule that Verde could keep serving its current customers after October 30, 2020. And the PUCO did not rule that Verde’s natural gas and electric certificates would be extended beyond October 30, 2020.</w:t>
      </w:r>
    </w:p>
    <w:p w:rsidR="00261223" w:rsidP="00E833B2" w14:paraId="1076A6E2" w14:textId="23278FCF">
      <w:pPr>
        <w:pStyle w:val="BodyTextIndent3"/>
        <w:widowControl w:val="0"/>
        <w:spacing w:line="480" w:lineRule="auto"/>
        <w:ind w:right="-312"/>
      </w:pPr>
      <w:r>
        <w:t xml:space="preserve">To the contrary, the status of Verde’s ability to continue </w:t>
      </w:r>
      <w:r w:rsidR="004D6A85">
        <w:t>serving electric and natural gas</w:t>
      </w:r>
      <w:r>
        <w:t xml:space="preserve"> customers after October 30, 2020 will be decided in </w:t>
      </w:r>
      <w:r w:rsidR="001936DF">
        <w:t>the current cases</w:t>
      </w:r>
      <w:r>
        <w:t>.</w:t>
      </w:r>
      <w:r w:rsidR="00FA395C">
        <w:t xml:space="preserve"> </w:t>
      </w:r>
      <w:r>
        <w:t>Verde’s electric certificate was set to expire March 29, 2020.</w:t>
      </w:r>
      <w:r>
        <w:rPr>
          <w:rStyle w:val="FootnoteReference"/>
        </w:rPr>
        <w:footnoteReference w:id="7"/>
      </w:r>
      <w:r>
        <w:t xml:space="preserve"> Verde’s natural gas certificate was set to expire December 6, 2019.</w:t>
      </w:r>
      <w:r>
        <w:rPr>
          <w:rStyle w:val="FootnoteReference"/>
        </w:rPr>
        <w:footnoteReference w:id="8"/>
      </w:r>
      <w:r>
        <w:t xml:space="preserve"> The PUCO extended those certificates to November 1, 2020 for the limited purpose of allowing Verde to continue serving its current customers, consistent with the approved settlement from the investigation case</w:t>
      </w:r>
      <w:r w:rsidR="009E4EA5">
        <w:t>, during the pendency of these cases</w:t>
      </w:r>
      <w:r>
        <w:t>.</w:t>
      </w:r>
      <w:r>
        <w:rPr>
          <w:rStyle w:val="FootnoteReference"/>
        </w:rPr>
        <w:footnoteReference w:id="9"/>
      </w:r>
      <w:r>
        <w:t xml:space="preserve"> </w:t>
      </w:r>
    </w:p>
    <w:p w:rsidR="0039353D" w:rsidP="00E833B2" w14:paraId="32ECEB44" w14:textId="78BE2936">
      <w:pPr>
        <w:pStyle w:val="BodyTextIndent3"/>
        <w:widowControl w:val="0"/>
        <w:spacing w:line="480" w:lineRule="auto"/>
        <w:ind w:right="-312"/>
      </w:pPr>
      <w:r>
        <w:t>The Office of the Ohio Consumers’ Counsel (“OCC”) seeks to intervene in these cases to pro</w:t>
      </w:r>
      <w:r w:rsidR="004D05CB">
        <w:t>tect customers and pro</w:t>
      </w:r>
      <w:r>
        <w:t xml:space="preserve">vide the consumer perspective on </w:t>
      </w:r>
      <w:r w:rsidR="004D05CB">
        <w:t>the next steps the PUCO should take to prevent Verde from harming customers again.</w:t>
      </w:r>
      <w:r w:rsidR="00FA395C">
        <w:t xml:space="preserve"> </w:t>
      </w:r>
      <w:r>
        <w:t xml:space="preserve"> OCC seeks to participate in the regulatory process on behalf of Ohio’s residential consumers, as OCC </w:t>
      </w:r>
      <w:r w:rsidR="004A107B">
        <w:t xml:space="preserve">has </w:t>
      </w:r>
      <w:r>
        <w:t>do</w:t>
      </w:r>
      <w:r w:rsidR="004A107B">
        <w:t>ne</w:t>
      </w:r>
      <w:r w:rsidR="00385D48">
        <w:t xml:space="preserve"> </w:t>
      </w:r>
      <w:r w:rsidR="004A107B">
        <w:t>in</w:t>
      </w:r>
      <w:r>
        <w:t xml:space="preserve"> countless other cases, year after year, for the past 44 years. </w:t>
      </w:r>
    </w:p>
    <w:p w:rsidR="00200CAA" w:rsidP="00E833B2" w14:paraId="460A6E43" w14:textId="4B53102D">
      <w:pPr>
        <w:pStyle w:val="BodyTextIndent3"/>
        <w:widowControl w:val="0"/>
        <w:spacing w:line="480" w:lineRule="auto"/>
        <w:ind w:right="-312"/>
      </w:pPr>
      <w:r>
        <w:t>F</w:t>
      </w:r>
      <w:r>
        <w:t>or the second time,</w:t>
      </w:r>
      <w:r>
        <w:rPr>
          <w:rStyle w:val="FootnoteReference"/>
        </w:rPr>
        <w:footnoteReference w:id="10"/>
      </w:r>
      <w:r>
        <w:t xml:space="preserve"> </w:t>
      </w:r>
      <w:r>
        <w:t xml:space="preserve">however, </w:t>
      </w:r>
      <w:r>
        <w:t xml:space="preserve">Verde opposes </w:t>
      </w:r>
      <w:r w:rsidR="000E7254">
        <w:t>OCC</w:t>
      </w:r>
      <w:r>
        <w:t xml:space="preserve"> participation in a case involving Verde’s request to continue serving Ohio consumers. The gist of Verde’s opposition to OCC’s intervention is this: Verde doesn’t like that OCC represents th</w:t>
      </w:r>
      <w:r w:rsidR="002C3971">
        <w:t xml:space="preserve">e customers that Verde deceived, doesn’t like that OCC is shedding light on Verde’s behavior by serving relevant discovery, and </w:t>
      </w:r>
      <w:r>
        <w:t xml:space="preserve">doesn’t like that OCC publicly calls out Verde for its </w:t>
      </w:r>
      <w:r w:rsidR="004D6A85">
        <w:t xml:space="preserve">deceptive </w:t>
      </w:r>
      <w:r>
        <w:t>behavior</w:t>
      </w:r>
      <w:r w:rsidR="004D05CB">
        <w:t xml:space="preserve">. </w:t>
      </w:r>
      <w:r w:rsidR="00992A50">
        <w:t>So,</w:t>
      </w:r>
      <w:r w:rsidR="001936DF">
        <w:t xml:space="preserve"> </w:t>
      </w:r>
      <w:r w:rsidR="004D05CB">
        <w:t xml:space="preserve">Verde’s response is to ask the PUCO to </w:t>
      </w:r>
      <w:r>
        <w:t xml:space="preserve">silence </w:t>
      </w:r>
      <w:r w:rsidR="00B33818">
        <w:t xml:space="preserve">the voice of consumers (OCC) </w:t>
      </w:r>
      <w:r>
        <w:t xml:space="preserve">by denying them a </w:t>
      </w:r>
      <w:r w:rsidR="00660DB0">
        <w:t>voice in this regulatory process</w:t>
      </w:r>
      <w:r>
        <w:t>.</w:t>
      </w:r>
    </w:p>
    <w:p w:rsidR="000F7ABF" w:rsidRPr="000F7ABF" w:rsidP="00E833B2" w14:paraId="1934E306" w14:textId="77777777">
      <w:pPr>
        <w:pStyle w:val="BodyTextIndent3"/>
        <w:widowControl w:val="0"/>
        <w:spacing w:line="480" w:lineRule="auto"/>
        <w:ind w:right="-312"/>
      </w:pPr>
      <w:r>
        <w:t xml:space="preserve">Unfortunately for Verde, our legal and regulatory system </w:t>
      </w:r>
      <w:r>
        <w:t xml:space="preserve">allows both sides of the story to be told. Verde gets a chance to </w:t>
      </w:r>
      <w:r w:rsidR="00EB68A6">
        <w:t>say its part</w:t>
      </w:r>
      <w:r>
        <w:t xml:space="preserve">. And OCC gets a chance to explain why consumer protection requires Verde to be denied the </w:t>
      </w:r>
      <w:r w:rsidRPr="000F7ABF">
        <w:t>opportunity</w:t>
      </w:r>
      <w:r>
        <w:t>—and indeed, it is an opportunity, and not a right—to serve Ohio customers.</w:t>
      </w:r>
    </w:p>
    <w:p w:rsidR="0073422D" w:rsidP="000F7ABF" w14:paraId="1CF61920" w14:textId="77777777">
      <w:pPr>
        <w:pStyle w:val="BodyTextIndent3"/>
        <w:widowControl w:val="0"/>
        <w:spacing w:line="480" w:lineRule="auto"/>
        <w:ind w:right="-312"/>
      </w:pPr>
      <w:r>
        <w:t>The PUCO should grant OCC’s motion to intervene and reject Verde’s self-serving motion to limit the public’s voice in this proceeding.</w:t>
      </w:r>
    </w:p>
    <w:p w:rsidR="00B46444" w:rsidP="00B46444" w14:paraId="282EA017" w14:textId="77777777">
      <w:pPr>
        <w:pStyle w:val="BodyTextIndent3"/>
        <w:widowControl w:val="0"/>
        <w:spacing w:line="240" w:lineRule="auto"/>
        <w:ind w:right="-312"/>
      </w:pPr>
    </w:p>
    <w:p w:rsidR="005F1B61" w:rsidRPr="002A4452" w:rsidP="005F1B61" w14:paraId="1FC0666D" w14:textId="77777777">
      <w:pPr>
        <w:pStyle w:val="Heading1"/>
      </w:pPr>
      <w:bookmarkStart w:id="2" w:name="_Toc24990819"/>
      <w:bookmarkStart w:id="3" w:name="_Toc25220735"/>
      <w:bookmarkStart w:id="4" w:name="_Toc36479694"/>
      <w:r>
        <w:t>I</w:t>
      </w:r>
      <w:r w:rsidR="00413A2B">
        <w:t>I</w:t>
      </w:r>
      <w:r w:rsidR="00EB68A6">
        <w:t>.</w:t>
      </w:r>
      <w:r>
        <w:tab/>
      </w:r>
      <w:bookmarkEnd w:id="2"/>
      <w:bookmarkEnd w:id="3"/>
      <w:r w:rsidR="000E7254">
        <w:t>REPLY</w:t>
      </w:r>
      <w:bookmarkEnd w:id="4"/>
    </w:p>
    <w:p w:rsidR="000E7254" w:rsidRPr="000E7254" w:rsidP="000E7254" w14:paraId="332635CC" w14:textId="3056C5EF">
      <w:pPr>
        <w:pStyle w:val="BodyTextIndent3"/>
        <w:keepNext/>
        <w:keepLines/>
        <w:spacing w:after="240" w:line="240" w:lineRule="auto"/>
        <w:ind w:left="1440" w:right="-317" w:hanging="720"/>
        <w:rPr>
          <w:b/>
          <w:szCs w:val="24"/>
        </w:rPr>
      </w:pPr>
      <w:bookmarkStart w:id="5" w:name="_Toc36479695"/>
      <w:r w:rsidRPr="00B46444">
        <w:rPr>
          <w:rStyle w:val="Heading2Char"/>
        </w:rPr>
        <w:t>A.</w:t>
      </w:r>
      <w:r w:rsidRPr="00B46444">
        <w:rPr>
          <w:rStyle w:val="Heading2Char"/>
        </w:rPr>
        <w:tab/>
        <w:t>The</w:t>
      </w:r>
      <w:r w:rsidR="002C4ECD">
        <w:rPr>
          <w:rStyle w:val="Heading2Char"/>
        </w:rPr>
        <w:t xml:space="preserve"> </w:t>
      </w:r>
      <w:r w:rsidRPr="00B46444" w:rsidR="000110F7">
        <w:rPr>
          <w:rStyle w:val="Heading2Char"/>
        </w:rPr>
        <w:t>Ohio Consumers’ Counsel is the statutory representative of Ohio’s residential consumers, and no other party represents that interest.</w:t>
      </w:r>
      <w:bookmarkEnd w:id="5"/>
    </w:p>
    <w:p w:rsidR="00E24E94" w:rsidRPr="00E24E94" w:rsidP="00B46444" w14:paraId="5BEA908D" w14:textId="77777777">
      <w:pPr>
        <w:pStyle w:val="Heading3"/>
        <w:rPr>
          <w:i/>
        </w:rPr>
      </w:pPr>
      <w:bookmarkStart w:id="6" w:name="_Toc36479696"/>
      <w:r>
        <w:t>1.</w:t>
      </w:r>
      <w:r>
        <w:tab/>
        <w:t xml:space="preserve">The PUCO Staff cannot be substituted for OCC as the </w:t>
      </w:r>
      <w:r w:rsidRPr="00B46444">
        <w:t>consumer advocate.</w:t>
      </w:r>
      <w:bookmarkEnd w:id="6"/>
    </w:p>
    <w:p w:rsidR="000110F7" w:rsidP="00C35C7E" w14:paraId="50B848F7" w14:textId="77777777">
      <w:pPr>
        <w:pStyle w:val="BodyTextIndent3"/>
        <w:widowControl w:val="0"/>
        <w:spacing w:line="480" w:lineRule="auto"/>
        <w:ind w:right="-312"/>
        <w:rPr>
          <w:szCs w:val="24"/>
        </w:rPr>
      </w:pPr>
      <w:r>
        <w:rPr>
          <w:szCs w:val="24"/>
        </w:rPr>
        <w:t>Verde argues that OCC should be denied intervention in this case because “Staff adequately represents the public interest.”</w:t>
      </w:r>
      <w:r>
        <w:rPr>
          <w:rStyle w:val="FootnoteReference"/>
          <w:szCs w:val="24"/>
        </w:rPr>
        <w:footnoteReference w:id="11"/>
      </w:r>
      <w:r>
        <w:rPr>
          <w:szCs w:val="24"/>
        </w:rPr>
        <w:t xml:space="preserve"> This argument is meritless, and it demonstrates Verde’s misinte</w:t>
      </w:r>
      <w:r w:rsidR="002131AE">
        <w:rPr>
          <w:szCs w:val="24"/>
        </w:rPr>
        <w:t>rpretation of relevant statutes, rules, and PUCO precedent.</w:t>
      </w:r>
    </w:p>
    <w:p w:rsidR="002131AE" w:rsidRPr="002131AE" w:rsidP="00C35C7E" w14:paraId="48D3FA1B" w14:textId="75431725">
      <w:pPr>
        <w:pStyle w:val="BodyTextIndent3"/>
        <w:widowControl w:val="0"/>
        <w:spacing w:line="480" w:lineRule="auto"/>
        <w:ind w:right="-312"/>
        <w:rPr>
          <w:szCs w:val="24"/>
        </w:rPr>
      </w:pPr>
      <w:r>
        <w:rPr>
          <w:szCs w:val="24"/>
        </w:rPr>
        <w:t>First, even if we accept Verde’s proposition that the PUCO Staff adequately represents the public interest</w:t>
      </w:r>
      <w:r w:rsidR="00B33818">
        <w:rPr>
          <w:szCs w:val="24"/>
        </w:rPr>
        <w:t xml:space="preserve"> (which the General Assembly did not accept in creating OCC)</w:t>
      </w:r>
      <w:r>
        <w:rPr>
          <w:szCs w:val="24"/>
        </w:rPr>
        <w:t xml:space="preserve">, that alone does not eliminate OCC’s role as </w:t>
      </w:r>
      <w:r w:rsidR="00FB5F37">
        <w:rPr>
          <w:szCs w:val="24"/>
        </w:rPr>
        <w:t xml:space="preserve">the residential </w:t>
      </w:r>
      <w:r>
        <w:rPr>
          <w:szCs w:val="24"/>
        </w:rPr>
        <w:t xml:space="preserve">consumer advocate. The interests of consumers and the public interest often intersect, but they are not </w:t>
      </w:r>
      <w:r w:rsidR="00E24E94">
        <w:rPr>
          <w:szCs w:val="24"/>
        </w:rPr>
        <w:t>synonymous</w:t>
      </w:r>
      <w:r>
        <w:rPr>
          <w:szCs w:val="24"/>
        </w:rPr>
        <w:t xml:space="preserve">. The PUCO’s own settlement standard makes this clear: the second prong of the PUCO’s three-prong test for </w:t>
      </w:r>
      <w:r w:rsidR="00660DB0">
        <w:rPr>
          <w:szCs w:val="24"/>
        </w:rPr>
        <w:t xml:space="preserve">evaluating </w:t>
      </w:r>
      <w:r>
        <w:rPr>
          <w:szCs w:val="24"/>
        </w:rPr>
        <w:t xml:space="preserve">settlements is whether a settlement benefits customers </w:t>
      </w:r>
      <w:r>
        <w:rPr>
          <w:i/>
          <w:szCs w:val="24"/>
        </w:rPr>
        <w:t>and</w:t>
      </w:r>
      <w:r>
        <w:rPr>
          <w:szCs w:val="24"/>
        </w:rPr>
        <w:t xml:space="preserve"> the public interest.</w:t>
      </w:r>
      <w:r>
        <w:rPr>
          <w:rStyle w:val="FootnoteReference"/>
          <w:szCs w:val="24"/>
        </w:rPr>
        <w:footnoteReference w:id="12"/>
      </w:r>
    </w:p>
    <w:p w:rsidR="00B33818" w:rsidP="001B1C52" w14:paraId="755CCBFA" w14:textId="64B3CD13">
      <w:pPr>
        <w:pStyle w:val="BodyTextIndent3"/>
        <w:spacing w:line="480" w:lineRule="auto"/>
        <w:ind w:right="-317"/>
        <w:rPr>
          <w:szCs w:val="24"/>
        </w:rPr>
      </w:pPr>
      <w:r>
        <w:rPr>
          <w:szCs w:val="24"/>
        </w:rPr>
        <w:t xml:space="preserve">Second, </w:t>
      </w:r>
      <w:r w:rsidR="00166520">
        <w:rPr>
          <w:szCs w:val="24"/>
        </w:rPr>
        <w:t xml:space="preserve">the PUCO Staff and OCC </w:t>
      </w:r>
      <w:r w:rsidR="00E0739F">
        <w:rPr>
          <w:szCs w:val="24"/>
        </w:rPr>
        <w:t>are distinct entities, serving</w:t>
      </w:r>
      <w:r w:rsidR="00166520">
        <w:rPr>
          <w:szCs w:val="24"/>
        </w:rPr>
        <w:t xml:space="preserve"> distinct purposes. OCC is the statutory representative of </w:t>
      </w:r>
      <w:r w:rsidR="001936DF">
        <w:rPr>
          <w:szCs w:val="24"/>
        </w:rPr>
        <w:t>more than</w:t>
      </w:r>
      <w:r w:rsidR="002C4ECD">
        <w:rPr>
          <w:szCs w:val="24"/>
        </w:rPr>
        <w:t xml:space="preserve"> </w:t>
      </w:r>
      <w:r w:rsidR="00E0739F">
        <w:rPr>
          <w:szCs w:val="24"/>
        </w:rPr>
        <w:t>four</w:t>
      </w:r>
      <w:r w:rsidR="00166520">
        <w:rPr>
          <w:szCs w:val="24"/>
        </w:rPr>
        <w:t xml:space="preserve"> million residential consumers throughout the State of Ohio. </w:t>
      </w:r>
      <w:r w:rsidR="004D05CB">
        <w:rPr>
          <w:szCs w:val="24"/>
        </w:rPr>
        <w:t>Ohio law (</w:t>
      </w:r>
      <w:r w:rsidR="00166520">
        <w:rPr>
          <w:szCs w:val="24"/>
        </w:rPr>
        <w:t>R.C. 4911.02</w:t>
      </w:r>
      <w:r w:rsidR="004D05CB">
        <w:rPr>
          <w:szCs w:val="24"/>
        </w:rPr>
        <w:t>)</w:t>
      </w:r>
      <w:r w:rsidR="00166520">
        <w:rPr>
          <w:szCs w:val="24"/>
        </w:rPr>
        <w:t xml:space="preserve"> provides that OCC is authorized to “participate in proceedings in both state and federal courts and administrative agencies on behalf of the residential consumers.”</w:t>
      </w:r>
      <w:r>
        <w:rPr>
          <w:rStyle w:val="FootnoteReference"/>
          <w:szCs w:val="24"/>
        </w:rPr>
        <w:footnoteReference w:id="13"/>
      </w:r>
      <w:r w:rsidR="00E0739F">
        <w:rPr>
          <w:szCs w:val="24"/>
        </w:rPr>
        <w:t xml:space="preserve"> </w:t>
      </w:r>
      <w:r w:rsidR="004D05CB">
        <w:rPr>
          <w:szCs w:val="24"/>
        </w:rPr>
        <w:t xml:space="preserve">The PUCO </w:t>
      </w:r>
      <w:r>
        <w:rPr>
          <w:szCs w:val="24"/>
        </w:rPr>
        <w:t xml:space="preserve">Staff does not </w:t>
      </w:r>
      <w:r w:rsidRPr="00E24E94">
        <w:rPr>
          <w:i/>
          <w:szCs w:val="24"/>
        </w:rPr>
        <w:t>represent</w:t>
      </w:r>
      <w:r>
        <w:rPr>
          <w:szCs w:val="24"/>
        </w:rPr>
        <w:t xml:space="preserve"> residential consumers</w:t>
      </w:r>
      <w:r w:rsidR="00D26DC9">
        <w:rPr>
          <w:szCs w:val="24"/>
        </w:rPr>
        <w:t>, as Verde claims</w:t>
      </w:r>
      <w:r>
        <w:rPr>
          <w:szCs w:val="24"/>
        </w:rPr>
        <w:t>.</w:t>
      </w:r>
      <w:r>
        <w:rPr>
          <w:rStyle w:val="FootnoteReference"/>
          <w:szCs w:val="24"/>
        </w:rPr>
        <w:footnoteReference w:id="14"/>
      </w:r>
      <w:r>
        <w:rPr>
          <w:szCs w:val="24"/>
        </w:rPr>
        <w:t xml:space="preserve"> </w:t>
      </w:r>
      <w:r w:rsidR="004D05CB">
        <w:rPr>
          <w:szCs w:val="24"/>
        </w:rPr>
        <w:t xml:space="preserve">The PUCO </w:t>
      </w:r>
      <w:r>
        <w:rPr>
          <w:szCs w:val="24"/>
        </w:rPr>
        <w:t xml:space="preserve">Staff </w:t>
      </w:r>
      <w:r w:rsidR="00E24E94">
        <w:rPr>
          <w:szCs w:val="24"/>
        </w:rPr>
        <w:t>might</w:t>
      </w:r>
      <w:r>
        <w:rPr>
          <w:szCs w:val="24"/>
        </w:rPr>
        <w:t xml:space="preserve"> </w:t>
      </w:r>
      <w:r>
        <w:rPr>
          <w:i/>
          <w:szCs w:val="24"/>
        </w:rPr>
        <w:t>consider</w:t>
      </w:r>
      <w:r>
        <w:rPr>
          <w:szCs w:val="24"/>
        </w:rPr>
        <w:t xml:space="preserve"> the interests of residential consumers when taking a position, but </w:t>
      </w:r>
      <w:r w:rsidR="004D05CB">
        <w:rPr>
          <w:szCs w:val="24"/>
        </w:rPr>
        <w:t>it</w:t>
      </w:r>
      <w:r>
        <w:rPr>
          <w:szCs w:val="24"/>
        </w:rPr>
        <w:t xml:space="preserve"> </w:t>
      </w:r>
      <w:r w:rsidR="00E24E94">
        <w:rPr>
          <w:szCs w:val="24"/>
        </w:rPr>
        <w:t>might</w:t>
      </w:r>
      <w:r>
        <w:rPr>
          <w:szCs w:val="24"/>
        </w:rPr>
        <w:t xml:space="preserve"> also </w:t>
      </w:r>
      <w:r w:rsidRPr="00D26DC9">
        <w:rPr>
          <w:szCs w:val="24"/>
        </w:rPr>
        <w:t>consider</w:t>
      </w:r>
      <w:r>
        <w:rPr>
          <w:szCs w:val="24"/>
        </w:rPr>
        <w:t xml:space="preserve"> numerous other </w:t>
      </w:r>
      <w:r w:rsidR="00E24E94">
        <w:rPr>
          <w:szCs w:val="24"/>
        </w:rPr>
        <w:t xml:space="preserve">interests, including </w:t>
      </w:r>
      <w:r w:rsidR="00D26DC9">
        <w:rPr>
          <w:szCs w:val="24"/>
        </w:rPr>
        <w:t xml:space="preserve">those of </w:t>
      </w:r>
      <w:r>
        <w:rPr>
          <w:szCs w:val="24"/>
        </w:rPr>
        <w:t>nonresidentia</w:t>
      </w:r>
      <w:r w:rsidR="00E24E94">
        <w:rPr>
          <w:szCs w:val="24"/>
        </w:rPr>
        <w:t xml:space="preserve">l customers, utilities, </w:t>
      </w:r>
      <w:r w:rsidR="00D26DC9">
        <w:rPr>
          <w:szCs w:val="24"/>
        </w:rPr>
        <w:t xml:space="preserve">marketers, </w:t>
      </w:r>
      <w:r w:rsidR="00E24E94">
        <w:rPr>
          <w:szCs w:val="24"/>
        </w:rPr>
        <w:t>environmental</w:t>
      </w:r>
      <w:r w:rsidR="00FB5F37">
        <w:rPr>
          <w:szCs w:val="24"/>
        </w:rPr>
        <w:t xml:space="preserve"> advocates</w:t>
      </w:r>
      <w:r w:rsidR="00E24E94">
        <w:rPr>
          <w:szCs w:val="24"/>
        </w:rPr>
        <w:t xml:space="preserve">, , and the public interest more generally. </w:t>
      </w:r>
    </w:p>
    <w:p w:rsidR="002131AE" w:rsidP="001B1C52" w14:paraId="072EB780" w14:textId="60CF2D3D">
      <w:pPr>
        <w:pStyle w:val="BodyTextIndent3"/>
        <w:spacing w:line="480" w:lineRule="auto"/>
        <w:ind w:right="-317"/>
        <w:rPr>
          <w:szCs w:val="24"/>
        </w:rPr>
      </w:pPr>
      <w:r>
        <w:rPr>
          <w:szCs w:val="24"/>
        </w:rPr>
        <w:t xml:space="preserve">If, </w:t>
      </w:r>
      <w:r w:rsidR="00D26DC9">
        <w:rPr>
          <w:szCs w:val="24"/>
        </w:rPr>
        <w:t xml:space="preserve">as Verde claims, </w:t>
      </w:r>
      <w:r w:rsidR="004D05CB">
        <w:rPr>
          <w:szCs w:val="24"/>
        </w:rPr>
        <w:t xml:space="preserve">the PUCO </w:t>
      </w:r>
      <w:r>
        <w:rPr>
          <w:szCs w:val="24"/>
        </w:rPr>
        <w:t xml:space="preserve">Staff represents OCC’s interests, then </w:t>
      </w:r>
      <w:r w:rsidR="004D05CB">
        <w:rPr>
          <w:szCs w:val="24"/>
        </w:rPr>
        <w:t>they</w:t>
      </w:r>
      <w:r>
        <w:rPr>
          <w:szCs w:val="24"/>
        </w:rPr>
        <w:t xml:space="preserve"> would also represent Verde’s interests</w:t>
      </w:r>
      <w:r w:rsidR="00D26DC9">
        <w:rPr>
          <w:szCs w:val="24"/>
        </w:rPr>
        <w:t xml:space="preserve">, and </w:t>
      </w:r>
      <w:r>
        <w:rPr>
          <w:szCs w:val="24"/>
        </w:rPr>
        <w:t>there</w:t>
      </w:r>
      <w:r w:rsidR="00D26DC9">
        <w:rPr>
          <w:szCs w:val="24"/>
        </w:rPr>
        <w:t xml:space="preserve"> </w:t>
      </w:r>
      <w:r>
        <w:rPr>
          <w:szCs w:val="24"/>
        </w:rPr>
        <w:t xml:space="preserve">would be no need for Verde to participate in these cases either. Surely Verde is not willing to step aside and simply defer to </w:t>
      </w:r>
      <w:r w:rsidR="004D05CB">
        <w:rPr>
          <w:szCs w:val="24"/>
        </w:rPr>
        <w:t xml:space="preserve">the PUCO </w:t>
      </w:r>
      <w:r>
        <w:rPr>
          <w:szCs w:val="24"/>
        </w:rPr>
        <w:t>Staff when it comes to advocating Verde’s position.</w:t>
      </w:r>
      <w:r w:rsidR="00D26DC9">
        <w:rPr>
          <w:szCs w:val="24"/>
        </w:rPr>
        <w:t xml:space="preserve"> Nor should OCC’s consumer advocacy be ignored on account of </w:t>
      </w:r>
      <w:r w:rsidR="004D05CB">
        <w:rPr>
          <w:szCs w:val="24"/>
        </w:rPr>
        <w:t>the PUCO</w:t>
      </w:r>
      <w:r w:rsidR="00783692">
        <w:rPr>
          <w:szCs w:val="24"/>
        </w:rPr>
        <w:t xml:space="preserve"> </w:t>
      </w:r>
      <w:r w:rsidR="00D26DC9">
        <w:rPr>
          <w:szCs w:val="24"/>
        </w:rPr>
        <w:t>Staff participating in the case.</w:t>
      </w:r>
    </w:p>
    <w:p w:rsidR="00B46444" w:rsidP="00B46444" w14:paraId="26426D3D" w14:textId="77777777">
      <w:pPr>
        <w:pStyle w:val="Heading3"/>
      </w:pPr>
      <w:bookmarkStart w:id="7" w:name="_Toc36479697"/>
      <w:r>
        <w:t>2.</w:t>
      </w:r>
      <w:r>
        <w:tab/>
      </w:r>
      <w:r w:rsidRPr="00B46444">
        <w:t xml:space="preserve">The intervention statute does not permit the PUCO to deny intervention based on </w:t>
      </w:r>
      <w:r w:rsidRPr="00B46444" w:rsidR="00D26DC9">
        <w:t>an allegation that one party’s interest is represented by another party.</w:t>
      </w:r>
      <w:bookmarkEnd w:id="7"/>
    </w:p>
    <w:p w:rsidR="000110F7" w:rsidP="00166520" w14:paraId="5D65786D" w14:textId="420B70DE">
      <w:pPr>
        <w:pStyle w:val="BodyTextIndent3"/>
        <w:widowControl w:val="0"/>
        <w:spacing w:line="480" w:lineRule="auto"/>
        <w:ind w:right="-312"/>
        <w:rPr>
          <w:szCs w:val="24"/>
        </w:rPr>
      </w:pPr>
      <w:r>
        <w:rPr>
          <w:szCs w:val="24"/>
        </w:rPr>
        <w:t xml:space="preserve">As explained above, </w:t>
      </w:r>
      <w:r w:rsidR="009A3789">
        <w:rPr>
          <w:szCs w:val="24"/>
        </w:rPr>
        <w:t>the PUCO Staff’s role is not to represent residential consumers—that is OCC’s role, by statute</w:t>
      </w:r>
      <w:r>
        <w:rPr>
          <w:szCs w:val="24"/>
        </w:rPr>
        <w:t xml:space="preserve">. But even if it were, that still </w:t>
      </w:r>
      <w:r w:rsidR="001936DF">
        <w:rPr>
          <w:szCs w:val="24"/>
        </w:rPr>
        <w:t>w</w:t>
      </w:r>
      <w:r>
        <w:rPr>
          <w:szCs w:val="24"/>
        </w:rPr>
        <w:t>ould not allo</w:t>
      </w:r>
      <w:r w:rsidR="009A3789">
        <w:rPr>
          <w:szCs w:val="24"/>
        </w:rPr>
        <w:t>w the PUCO to deny intervention.</w:t>
      </w:r>
    </w:p>
    <w:p w:rsidR="009A3789" w:rsidP="00166520" w14:paraId="18C9E171" w14:textId="77777777">
      <w:pPr>
        <w:pStyle w:val="BodyTextIndent3"/>
        <w:widowControl w:val="0"/>
        <w:spacing w:line="480" w:lineRule="auto"/>
        <w:ind w:right="-312"/>
        <w:rPr>
          <w:szCs w:val="24"/>
        </w:rPr>
      </w:pPr>
      <w:r>
        <w:rPr>
          <w:szCs w:val="24"/>
        </w:rPr>
        <w:t xml:space="preserve">Verde cites </w:t>
      </w:r>
      <w:r>
        <w:rPr>
          <w:i/>
          <w:szCs w:val="24"/>
        </w:rPr>
        <w:t>Consumers’ Counsel v. PUCO</w:t>
      </w:r>
      <w:r>
        <w:rPr>
          <w:szCs w:val="24"/>
        </w:rPr>
        <w:t>, 64 Ohio St.3d 123 (1992), claiming that under this authority, the PUCO was only required to grant OCC’s intervention in that case because the PUCO Staff did not participate.</w:t>
      </w:r>
      <w:r>
        <w:rPr>
          <w:rStyle w:val="FootnoteReference"/>
          <w:szCs w:val="24"/>
        </w:rPr>
        <w:footnoteReference w:id="15"/>
      </w:r>
      <w:r>
        <w:rPr>
          <w:szCs w:val="24"/>
        </w:rPr>
        <w:t xml:space="preserve"> But that is not the law.</w:t>
      </w:r>
    </w:p>
    <w:p w:rsidR="009A3789" w:rsidP="00166520" w14:paraId="13DA587C" w14:textId="4BF5CA5E">
      <w:pPr>
        <w:pStyle w:val="BodyTextIndent3"/>
        <w:widowControl w:val="0"/>
        <w:spacing w:line="480" w:lineRule="auto"/>
        <w:ind w:right="-312"/>
        <w:rPr>
          <w:szCs w:val="24"/>
        </w:rPr>
      </w:pPr>
      <w:r>
        <w:rPr>
          <w:szCs w:val="24"/>
        </w:rPr>
        <w:t xml:space="preserve">The law sets standards for intervention. </w:t>
      </w:r>
      <w:r w:rsidR="00431C23">
        <w:rPr>
          <w:szCs w:val="24"/>
        </w:rPr>
        <w:t>Under R.C. 4903.221, the PUCO, “in ruling upon applications to intervene in its proceedings, shall consider the following criteria: (1) The nature and extent of the prospective intervenor’s interest; (2) The legal position advanced by the prospective intervenor and its probably relation to the merits of the case; (3) Whether the intervention by the prospective intervenor will unduly prolong or delay the proceedings; (4) Whether the prospective intervenor will significantly contribute to full development and equitable res</w:t>
      </w:r>
      <w:r>
        <w:rPr>
          <w:szCs w:val="24"/>
        </w:rPr>
        <w:t xml:space="preserve">olution of the factual issues.” As explained in its motion to intervene, OCC easily satisfies these criteria. And notably, the statute does </w:t>
      </w:r>
      <w:r w:rsidRPr="009A3789">
        <w:rPr>
          <w:szCs w:val="24"/>
        </w:rPr>
        <w:t>not</w:t>
      </w:r>
      <w:r>
        <w:rPr>
          <w:szCs w:val="24"/>
        </w:rPr>
        <w:t xml:space="preserve"> allow the PUCO to deny a party intervention based on an allegation that some other party to the case has a similar interest.</w:t>
      </w:r>
    </w:p>
    <w:p w:rsidR="009A3789" w:rsidP="00166520" w14:paraId="3A815BDF" w14:textId="2F614A32">
      <w:pPr>
        <w:pStyle w:val="BodyTextIndent3"/>
        <w:widowControl w:val="0"/>
        <w:spacing w:line="480" w:lineRule="auto"/>
        <w:ind w:right="-312"/>
        <w:rPr>
          <w:szCs w:val="24"/>
        </w:rPr>
      </w:pPr>
      <w:r>
        <w:rPr>
          <w:szCs w:val="24"/>
        </w:rPr>
        <w:t xml:space="preserve">Further, even if the statute did allow that—and it doesn’t—the PUCO Staff is not a “party” for purposes of intervention. As the PUCO’s rules </w:t>
      </w:r>
      <w:r w:rsidR="001B1C52">
        <w:rPr>
          <w:szCs w:val="24"/>
        </w:rPr>
        <w:t>state</w:t>
      </w:r>
      <w:r>
        <w:rPr>
          <w:szCs w:val="24"/>
        </w:rPr>
        <w:t xml:space="preserve"> “the commission staff shall not be considered a party to any proceeding,” except for purposes of specific, enumerated rules.</w:t>
      </w:r>
      <w:r>
        <w:rPr>
          <w:rStyle w:val="FootnoteReference"/>
          <w:szCs w:val="24"/>
        </w:rPr>
        <w:footnoteReference w:id="16"/>
      </w:r>
      <w:r>
        <w:rPr>
          <w:szCs w:val="24"/>
        </w:rPr>
        <w:t xml:space="preserve"> And those specific, enumerated rules do not include the intervention rule 4901-1-11.</w:t>
      </w:r>
    </w:p>
    <w:p w:rsidR="009A3789" w:rsidRPr="009A3789" w:rsidP="00166520" w14:paraId="0FAE5727" w14:textId="77777777">
      <w:pPr>
        <w:pStyle w:val="BodyTextIndent3"/>
        <w:widowControl w:val="0"/>
        <w:spacing w:line="480" w:lineRule="auto"/>
        <w:ind w:right="-312"/>
        <w:rPr>
          <w:szCs w:val="24"/>
        </w:rPr>
      </w:pPr>
      <w:r>
        <w:rPr>
          <w:szCs w:val="24"/>
        </w:rPr>
        <w:t xml:space="preserve">In sum, Verde’s arguments regarding OCC and the PUCO Staff fail at every turn. They fail first because </w:t>
      </w:r>
      <w:r w:rsidR="004D05CB">
        <w:rPr>
          <w:szCs w:val="24"/>
        </w:rPr>
        <w:t xml:space="preserve">the PUCO </w:t>
      </w:r>
      <w:r>
        <w:rPr>
          <w:szCs w:val="24"/>
        </w:rPr>
        <w:t>Staff and OCC do not represent the same interests. They fail because the law does not allow the PUCO to deny a party intervention simply because another party represents a similar interest. And they fail because the PUCO Staff is not a “party” for purposes of intervention.</w:t>
      </w:r>
    </w:p>
    <w:p w:rsidR="000110F7" w:rsidRPr="009A3789" w:rsidP="00B46444" w14:paraId="2E521E2E" w14:textId="77777777">
      <w:pPr>
        <w:pStyle w:val="Heading3"/>
      </w:pPr>
      <w:bookmarkStart w:id="8" w:name="_Toc36479698"/>
      <w:r>
        <w:t>3.</w:t>
      </w:r>
      <w:r>
        <w:tab/>
        <w:t xml:space="preserve">The </w:t>
      </w:r>
      <w:r w:rsidRPr="00B46444">
        <w:t>Supreme Court of Ohio has ruled that intervention is to be liberally allowed, and that applies to OCC’s intervention in these cases on behalf of consumers.</w:t>
      </w:r>
      <w:bookmarkEnd w:id="8"/>
    </w:p>
    <w:p w:rsidR="00C35C7E" w:rsidP="009A3789" w14:paraId="1F5C883B" w14:textId="42683608">
      <w:pPr>
        <w:pStyle w:val="BodyTextIndent3"/>
        <w:widowControl w:val="0"/>
        <w:spacing w:line="480" w:lineRule="auto"/>
        <w:ind w:right="-312"/>
        <w:rPr>
          <w:szCs w:val="24"/>
        </w:rPr>
      </w:pPr>
      <w:r>
        <w:rPr>
          <w:szCs w:val="24"/>
        </w:rPr>
        <w:t xml:space="preserve">In its memorandum contra OCC’s motion to intervene, Verde cites </w:t>
      </w:r>
      <w:r>
        <w:rPr>
          <w:i/>
          <w:szCs w:val="24"/>
        </w:rPr>
        <w:t>Ohio Consumers’ Counsel v. PUCO</w:t>
      </w:r>
      <w:r>
        <w:rPr>
          <w:szCs w:val="24"/>
        </w:rPr>
        <w:t>, 111 Ohio St.3d 384 (2016), claiming that the case supports Verde’s opposition to OCC’s motion to intervene.</w:t>
      </w:r>
      <w:r>
        <w:rPr>
          <w:rStyle w:val="FootnoteReference"/>
          <w:szCs w:val="24"/>
        </w:rPr>
        <w:footnoteReference w:id="17"/>
      </w:r>
      <w:r>
        <w:rPr>
          <w:szCs w:val="24"/>
        </w:rPr>
        <w:t xml:space="preserve"> Verde, however, conveniently omits the most relevant portions of that decision. In that case, t</w:t>
      </w:r>
      <w:r w:rsidR="00200CAA">
        <w:rPr>
          <w:szCs w:val="24"/>
        </w:rPr>
        <w:t xml:space="preserve">he Supreme Court of Ohio held that </w:t>
      </w:r>
      <w:r w:rsidRPr="003A42F4" w:rsidR="00200CAA">
        <w:rPr>
          <w:szCs w:val="24"/>
        </w:rPr>
        <w:t xml:space="preserve">“intervention ought to be </w:t>
      </w:r>
      <w:r w:rsidRPr="00C35C7E" w:rsidR="00200CAA">
        <w:rPr>
          <w:bCs/>
          <w:i/>
          <w:iCs/>
          <w:szCs w:val="24"/>
        </w:rPr>
        <w:t>liberally allowed</w:t>
      </w:r>
      <w:r w:rsidRPr="003A42F4" w:rsidR="00200CAA">
        <w:rPr>
          <w:szCs w:val="24"/>
        </w:rPr>
        <w:t xml:space="preserve"> so that the positions of all persons with a real and substantial interest in the proceedings can be considered by the PUCO.”</w:t>
      </w:r>
      <w:r>
        <w:rPr>
          <w:rStyle w:val="FootnoteReference"/>
          <w:szCs w:val="24"/>
        </w:rPr>
        <w:footnoteReference w:id="18"/>
      </w:r>
    </w:p>
    <w:p w:rsidR="0098629F" w:rsidP="00C94C4B" w14:paraId="3BE2F7C8" w14:textId="77777777">
      <w:pPr>
        <w:spacing w:line="480" w:lineRule="auto"/>
        <w:ind w:firstLine="720"/>
        <w:rPr>
          <w:szCs w:val="24"/>
        </w:rPr>
      </w:pPr>
      <w:r>
        <w:rPr>
          <w:szCs w:val="24"/>
        </w:rPr>
        <w:t xml:space="preserve">As explained, </w:t>
      </w:r>
      <w:r w:rsidR="00200CAA">
        <w:rPr>
          <w:szCs w:val="24"/>
        </w:rPr>
        <w:t>OCC meets the criteria set forth in R.C. 4903.221, Ohio Adm. Code 4901-1-11, and the precedent established by the Supreme Court of Ohio for intervention.</w:t>
      </w:r>
      <w:r w:rsidR="0086369F">
        <w:rPr>
          <w:szCs w:val="24"/>
        </w:rPr>
        <w:t xml:space="preserve"> Verde does not, and cannot, demonstrate otherwise.</w:t>
      </w:r>
      <w:r w:rsidR="00200CAA">
        <w:rPr>
          <w:szCs w:val="24"/>
        </w:rPr>
        <w:t xml:space="preserve"> </w:t>
      </w:r>
      <w:r w:rsidR="00BE3175">
        <w:rPr>
          <w:szCs w:val="24"/>
        </w:rPr>
        <w:t>For these reasons alone</w:t>
      </w:r>
      <w:r w:rsidR="00200CAA">
        <w:rPr>
          <w:szCs w:val="24"/>
        </w:rPr>
        <w:t>, the PUCO should grant OCC’s Motion to Intervene.</w:t>
      </w:r>
      <w:r w:rsidRPr="004317F7" w:rsidR="00200CAA">
        <w:rPr>
          <w:szCs w:val="24"/>
        </w:rPr>
        <w:t xml:space="preserve"> </w:t>
      </w:r>
    </w:p>
    <w:p w:rsidR="008C52F2" w:rsidP="005F1B61" w14:paraId="0D487DEA" w14:textId="77777777">
      <w:pPr>
        <w:pStyle w:val="BodyTextIndent3"/>
        <w:widowControl w:val="0"/>
        <w:spacing w:line="480" w:lineRule="auto"/>
        <w:ind w:right="-24"/>
        <w:rPr>
          <w:szCs w:val="24"/>
        </w:rPr>
      </w:pPr>
      <w:r>
        <w:rPr>
          <w:szCs w:val="24"/>
        </w:rPr>
        <w:t>Verde argues</w:t>
      </w:r>
      <w:r w:rsidR="00C35C7E">
        <w:rPr>
          <w:szCs w:val="24"/>
        </w:rPr>
        <w:t xml:space="preserve"> that</w:t>
      </w:r>
      <w:r>
        <w:rPr>
          <w:szCs w:val="24"/>
        </w:rPr>
        <w:t xml:space="preserve"> the PUCO should deny OCC’s </w:t>
      </w:r>
      <w:r w:rsidR="009D18B3">
        <w:rPr>
          <w:szCs w:val="24"/>
        </w:rPr>
        <w:t>M</w:t>
      </w:r>
      <w:r>
        <w:rPr>
          <w:szCs w:val="24"/>
        </w:rPr>
        <w:t xml:space="preserve">otion to </w:t>
      </w:r>
      <w:r w:rsidR="009D18B3">
        <w:rPr>
          <w:szCs w:val="24"/>
        </w:rPr>
        <w:t>I</w:t>
      </w:r>
      <w:r>
        <w:rPr>
          <w:szCs w:val="24"/>
        </w:rPr>
        <w:t>ntervene</w:t>
      </w:r>
      <w:r w:rsidR="0049214A">
        <w:rPr>
          <w:szCs w:val="24"/>
        </w:rPr>
        <w:t xml:space="preserve"> because</w:t>
      </w:r>
      <w:r>
        <w:rPr>
          <w:szCs w:val="24"/>
        </w:rPr>
        <w:t xml:space="preserve"> OCC </w:t>
      </w:r>
      <w:r w:rsidR="00936654">
        <w:rPr>
          <w:szCs w:val="24"/>
        </w:rPr>
        <w:t xml:space="preserve">has </w:t>
      </w:r>
      <w:r>
        <w:rPr>
          <w:szCs w:val="24"/>
        </w:rPr>
        <w:t xml:space="preserve">already had an opportunity to litigate the issues </w:t>
      </w:r>
      <w:r w:rsidR="00FC554D">
        <w:rPr>
          <w:szCs w:val="24"/>
        </w:rPr>
        <w:t xml:space="preserve">arising </w:t>
      </w:r>
      <w:r w:rsidR="00936654">
        <w:rPr>
          <w:szCs w:val="24"/>
        </w:rPr>
        <w:t>in this case.</w:t>
      </w:r>
      <w:r>
        <w:rPr>
          <w:rStyle w:val="FootnoteReference"/>
          <w:szCs w:val="24"/>
        </w:rPr>
        <w:footnoteReference w:id="19"/>
      </w:r>
      <w:r w:rsidR="00C65EDA">
        <w:rPr>
          <w:szCs w:val="24"/>
        </w:rPr>
        <w:t xml:space="preserve"> </w:t>
      </w:r>
      <w:r w:rsidR="009A3789">
        <w:rPr>
          <w:szCs w:val="24"/>
        </w:rPr>
        <w:t xml:space="preserve">Verde is wrong. </w:t>
      </w:r>
    </w:p>
    <w:p w:rsidR="00B55677" w:rsidP="005F1B61" w14:paraId="31132DB6" w14:textId="5C87EDF6">
      <w:pPr>
        <w:pStyle w:val="BodyTextIndent3"/>
        <w:widowControl w:val="0"/>
        <w:spacing w:line="480" w:lineRule="auto"/>
        <w:ind w:right="-24"/>
        <w:rPr>
          <w:szCs w:val="24"/>
        </w:rPr>
      </w:pPr>
      <w:r>
        <w:rPr>
          <w:szCs w:val="24"/>
        </w:rPr>
        <w:t xml:space="preserve">First, Ohio law does not preclude a party from presenting similar facts in different cases involving different legal issues, as is the situation here. Nor should that be a criterion for the PUCO to consider when ruling upon a motion to intervene involving consumer protection. </w:t>
      </w:r>
      <w:r w:rsidR="00480C5F">
        <w:rPr>
          <w:szCs w:val="24"/>
        </w:rPr>
        <w:t>Such an approach does not square with</w:t>
      </w:r>
      <w:r w:rsidR="00FA395C">
        <w:rPr>
          <w:szCs w:val="24"/>
        </w:rPr>
        <w:t xml:space="preserve"> </w:t>
      </w:r>
      <w:r>
        <w:rPr>
          <w:szCs w:val="24"/>
        </w:rPr>
        <w:t xml:space="preserve">the </w:t>
      </w:r>
      <w:r w:rsidR="00480C5F">
        <w:rPr>
          <w:szCs w:val="24"/>
        </w:rPr>
        <w:t xml:space="preserve">Court’s </w:t>
      </w:r>
      <w:r>
        <w:rPr>
          <w:szCs w:val="24"/>
        </w:rPr>
        <w:t>admonish</w:t>
      </w:r>
      <w:r w:rsidR="00480C5F">
        <w:rPr>
          <w:szCs w:val="24"/>
        </w:rPr>
        <w:t>ment to</w:t>
      </w:r>
      <w:r>
        <w:rPr>
          <w:szCs w:val="24"/>
        </w:rPr>
        <w:t xml:space="preserve"> the PUCO that intervention is to be “</w:t>
      </w:r>
      <w:r w:rsidRPr="00B01B51">
        <w:rPr>
          <w:i/>
          <w:iCs/>
          <w:szCs w:val="24"/>
        </w:rPr>
        <w:t>liberally</w:t>
      </w:r>
      <w:r w:rsidRPr="00E97B5E">
        <w:rPr>
          <w:bCs/>
          <w:i/>
          <w:iCs/>
          <w:szCs w:val="24"/>
        </w:rPr>
        <w:t xml:space="preserve"> allowed</w:t>
      </w:r>
      <w:r w:rsidRPr="003A42F4">
        <w:rPr>
          <w:szCs w:val="24"/>
        </w:rPr>
        <w:t xml:space="preserve"> so that the positions of all persons with a real and substantial interest in the proceedings can be considered by the PUCO.”</w:t>
      </w:r>
      <w:r>
        <w:rPr>
          <w:rStyle w:val="FootnoteReference"/>
          <w:szCs w:val="24"/>
        </w:rPr>
        <w:footnoteReference w:id="20"/>
      </w:r>
    </w:p>
    <w:p w:rsidR="00F3546D" w:rsidP="00F3546D" w14:paraId="47CD5F55" w14:textId="12F489E4">
      <w:pPr>
        <w:pStyle w:val="BodyTextIndent3"/>
        <w:widowControl w:val="0"/>
        <w:spacing w:line="480" w:lineRule="auto"/>
        <w:ind w:right="-24"/>
        <w:rPr>
          <w:szCs w:val="24"/>
        </w:rPr>
      </w:pPr>
      <w:r>
        <w:rPr>
          <w:szCs w:val="24"/>
        </w:rPr>
        <w:t xml:space="preserve">Second, Verde’s argument that this case will “serve only to allow OCC to reargue the underlying facts of the COI” is inaccurate. Verde filed its electric renewal application on February 27, 2020—after the PUCO had already ruled in the investigation case. </w:t>
      </w:r>
      <w:r>
        <w:rPr>
          <w:szCs w:val="24"/>
        </w:rPr>
        <w:t xml:space="preserve">The investigation case focused primarily on a </w:t>
      </w:r>
      <w:r w:rsidR="00352F05">
        <w:rPr>
          <w:szCs w:val="24"/>
        </w:rPr>
        <w:t>seven-month</w:t>
      </w:r>
      <w:r>
        <w:rPr>
          <w:szCs w:val="24"/>
        </w:rPr>
        <w:t xml:space="preserve"> period (</w:t>
      </w:r>
      <w:r>
        <w:t>October1, 2018 to April 12, 2019)</w:t>
      </w:r>
      <w:r>
        <w:rPr>
          <w:szCs w:val="24"/>
        </w:rPr>
        <w:t xml:space="preserve"> during which the PUCO’s call center was flooded with calls and complaints about Verde’s marketing practices. The current cases are about whether Verde should be allowed to continue serving Ohioans after October 30, 2020, including, but not limited to, an evaluation of Verde’s managerial fitness. OCC and others are entitled to explore Verde’s managerial fitness (including during periods outside the October 1, 2018 to April 12, 2019 period examined in the investigation case) and to explore Verde’s ability to adhere to the PUCO’s rules </w:t>
      </w:r>
      <w:r w:rsidR="00480C5F">
        <w:rPr>
          <w:szCs w:val="24"/>
        </w:rPr>
        <w:t>an</w:t>
      </w:r>
      <w:r w:rsidR="001936DF">
        <w:rPr>
          <w:szCs w:val="24"/>
        </w:rPr>
        <w:t>d</w:t>
      </w:r>
      <w:r w:rsidR="00480C5F">
        <w:rPr>
          <w:szCs w:val="24"/>
        </w:rPr>
        <w:t xml:space="preserve"> Ohio law </w:t>
      </w:r>
      <w:r>
        <w:rPr>
          <w:szCs w:val="24"/>
        </w:rPr>
        <w:t xml:space="preserve">on a going-forward basis. At no point in the investigation case did the PUCO conclude that Verde was managerially fit to serve customers beyond October 30, 2020. </w:t>
      </w:r>
    </w:p>
    <w:p w:rsidR="00F3546D" w:rsidP="00F3546D" w14:paraId="2CCF0CE8" w14:textId="4A5ABA28">
      <w:pPr>
        <w:pStyle w:val="BodyTextIndent3"/>
        <w:widowControl w:val="0"/>
        <w:spacing w:line="480" w:lineRule="auto"/>
        <w:ind w:right="-24"/>
        <w:rPr>
          <w:szCs w:val="24"/>
        </w:rPr>
      </w:pPr>
      <w:r>
        <w:rPr>
          <w:szCs w:val="24"/>
        </w:rPr>
        <w:t xml:space="preserve">In short, Verde attempts to conflate these renewal cases with the investigation case, while overlooking that (i) the cases involve different legal standards and (ii) the underlying facts that justify rejection of Verde’s renewal applications are far broader than the facts </w:t>
      </w:r>
      <w:r w:rsidR="00480C5F">
        <w:rPr>
          <w:szCs w:val="24"/>
        </w:rPr>
        <w:t xml:space="preserve">at </w:t>
      </w:r>
      <w:r>
        <w:rPr>
          <w:szCs w:val="24"/>
        </w:rPr>
        <w:t>issue in the investigation case</w:t>
      </w:r>
      <w:r w:rsidR="00FB5F37">
        <w:rPr>
          <w:szCs w:val="24"/>
        </w:rPr>
        <w:t xml:space="preserve"> regarding hundreds of </w:t>
      </w:r>
      <w:r w:rsidR="00480C5F">
        <w:rPr>
          <w:szCs w:val="24"/>
        </w:rPr>
        <w:t xml:space="preserve">customer </w:t>
      </w:r>
      <w:r w:rsidR="00FB5F37">
        <w:rPr>
          <w:szCs w:val="24"/>
        </w:rPr>
        <w:t>complaints received during a specific, limited period of time</w:t>
      </w:r>
      <w:r w:rsidR="003D1898">
        <w:rPr>
          <w:szCs w:val="24"/>
        </w:rPr>
        <w:t>.</w:t>
      </w:r>
    </w:p>
    <w:p w:rsidR="003D1898" w:rsidRPr="003D1898" w:rsidP="003D1898" w14:paraId="1E2EEFA2" w14:textId="77777777">
      <w:pPr>
        <w:pStyle w:val="BodyTextIndent3"/>
        <w:keepNext/>
        <w:keepLines/>
        <w:spacing w:after="240" w:line="240" w:lineRule="auto"/>
        <w:ind w:left="2160" w:right="-29" w:hanging="720"/>
        <w:rPr>
          <w:b/>
          <w:szCs w:val="24"/>
        </w:rPr>
      </w:pPr>
      <w:r>
        <w:rPr>
          <w:b/>
          <w:szCs w:val="24"/>
        </w:rPr>
        <w:t>4.</w:t>
      </w:r>
      <w:r>
        <w:rPr>
          <w:b/>
          <w:szCs w:val="24"/>
        </w:rPr>
        <w:tab/>
        <w:t>Verde’s opposition to OCC’s intervention in these cases serves no purpose other than to delay the case</w:t>
      </w:r>
      <w:r w:rsidR="005E5539">
        <w:rPr>
          <w:b/>
          <w:szCs w:val="24"/>
        </w:rPr>
        <w:t>, waste resources,</w:t>
      </w:r>
      <w:r>
        <w:rPr>
          <w:b/>
          <w:szCs w:val="24"/>
        </w:rPr>
        <w:t xml:space="preserve"> and </w:t>
      </w:r>
      <w:r w:rsidR="00905BCA">
        <w:rPr>
          <w:b/>
          <w:szCs w:val="24"/>
        </w:rPr>
        <w:t xml:space="preserve">self-servingly </w:t>
      </w:r>
      <w:r>
        <w:rPr>
          <w:b/>
          <w:szCs w:val="24"/>
        </w:rPr>
        <w:t>hinder OCC’s ability to represent Ohio’s residential consumers</w:t>
      </w:r>
      <w:r w:rsidR="005E5539">
        <w:rPr>
          <w:b/>
          <w:szCs w:val="24"/>
        </w:rPr>
        <w:t>.</w:t>
      </w:r>
      <w:r>
        <w:rPr>
          <w:b/>
          <w:szCs w:val="24"/>
        </w:rPr>
        <w:t xml:space="preserve"> </w:t>
      </w:r>
    </w:p>
    <w:p w:rsidR="00FA395C" w:rsidP="00F3546D" w14:paraId="50E4DFC9" w14:textId="77777777">
      <w:pPr>
        <w:pStyle w:val="BodyTextIndent3"/>
        <w:widowControl w:val="0"/>
        <w:spacing w:line="480" w:lineRule="auto"/>
        <w:ind w:right="-24"/>
        <w:rPr>
          <w:szCs w:val="24"/>
        </w:rPr>
      </w:pPr>
      <w:r>
        <w:rPr>
          <w:szCs w:val="24"/>
        </w:rPr>
        <w:t>Verde cites no</w:t>
      </w:r>
      <w:r w:rsidR="005E5539">
        <w:rPr>
          <w:szCs w:val="24"/>
        </w:rPr>
        <w:t xml:space="preserve">t a single case where </w:t>
      </w:r>
      <w:r>
        <w:rPr>
          <w:szCs w:val="24"/>
        </w:rPr>
        <w:t xml:space="preserve">the PUCO </w:t>
      </w:r>
      <w:r w:rsidR="005E5539">
        <w:rPr>
          <w:szCs w:val="24"/>
        </w:rPr>
        <w:t>has denied</w:t>
      </w:r>
      <w:r>
        <w:rPr>
          <w:szCs w:val="24"/>
        </w:rPr>
        <w:t xml:space="preserve"> OCC intervention simply because the PUCO Staff is also participating in the case. </w:t>
      </w:r>
      <w:r w:rsidR="00905BCA">
        <w:rPr>
          <w:szCs w:val="24"/>
        </w:rPr>
        <w:t xml:space="preserve">This is because, as explained above, any such ruling would be unlawful. </w:t>
      </w:r>
      <w:r>
        <w:rPr>
          <w:szCs w:val="24"/>
        </w:rPr>
        <w:t>Verde’s continued opposition to OCC’s participation in these cases, despite OCC’s clear statutory authority to represent residential consumers</w:t>
      </w:r>
      <w:r w:rsidR="005E5539">
        <w:rPr>
          <w:szCs w:val="24"/>
        </w:rPr>
        <w:t xml:space="preserve"> under R.C. Chapter 4911</w:t>
      </w:r>
      <w:r>
        <w:rPr>
          <w:szCs w:val="24"/>
        </w:rPr>
        <w:t>, serves no purpose other than to delay</w:t>
      </w:r>
      <w:r w:rsidR="005E5539">
        <w:rPr>
          <w:szCs w:val="24"/>
        </w:rPr>
        <w:t xml:space="preserve"> the case and hinder OCC’s ability to develop a record</w:t>
      </w:r>
      <w:r>
        <w:rPr>
          <w:szCs w:val="24"/>
        </w:rPr>
        <w:t xml:space="preserve">. It is akin to a vexatious litigator who </w:t>
      </w:r>
    </w:p>
    <w:p w:rsidR="00FA395C" w14:paraId="3B9ECE2D" w14:textId="77777777">
      <w:pPr>
        <w:rPr>
          <w:szCs w:val="24"/>
        </w:rPr>
      </w:pPr>
      <w:r>
        <w:rPr>
          <w:szCs w:val="24"/>
        </w:rPr>
        <w:br w:type="page"/>
      </w:r>
    </w:p>
    <w:p w:rsidR="003D1898" w:rsidP="00FA395C" w14:paraId="09ABDB0B" w14:textId="776A146F">
      <w:pPr>
        <w:pStyle w:val="BodyTextIndent3"/>
        <w:widowControl w:val="0"/>
        <w:spacing w:line="480" w:lineRule="auto"/>
        <w:ind w:right="-24" w:firstLine="0"/>
        <w:rPr>
          <w:szCs w:val="24"/>
        </w:rPr>
      </w:pPr>
      <w:r>
        <w:rPr>
          <w:szCs w:val="24"/>
        </w:rPr>
        <w:t xml:space="preserve">attempts to achieve a self-serving result through </w:t>
      </w:r>
      <w:r w:rsidRPr="005E5539">
        <w:rPr>
          <w:i/>
          <w:szCs w:val="24"/>
        </w:rPr>
        <w:t>process</w:t>
      </w:r>
      <w:r>
        <w:rPr>
          <w:szCs w:val="24"/>
        </w:rPr>
        <w:t xml:space="preserve">, rather than </w:t>
      </w:r>
      <w:r w:rsidRPr="005E5539">
        <w:rPr>
          <w:i/>
          <w:szCs w:val="24"/>
        </w:rPr>
        <w:t>substance</w:t>
      </w:r>
      <w:r>
        <w:rPr>
          <w:szCs w:val="24"/>
        </w:rPr>
        <w:t xml:space="preserve">, </w:t>
      </w:r>
      <w:r>
        <w:rPr>
          <w:szCs w:val="24"/>
        </w:rPr>
        <w:t>by frustrating parties and wasting</w:t>
      </w:r>
      <w:r>
        <w:rPr>
          <w:szCs w:val="24"/>
        </w:rPr>
        <w:t xml:space="preserve"> judicial and administrative resources.</w:t>
      </w:r>
    </w:p>
    <w:p w:rsidR="00F3546D" w:rsidRPr="00F3546D" w:rsidP="00F3546D" w14:paraId="20FEE986" w14:textId="77777777">
      <w:pPr>
        <w:pStyle w:val="BodyTextIndent3"/>
        <w:keepNext/>
        <w:keepLines/>
        <w:spacing w:after="240" w:line="240" w:lineRule="auto"/>
        <w:ind w:left="1440" w:right="-29" w:hanging="720"/>
        <w:rPr>
          <w:b/>
          <w:szCs w:val="24"/>
        </w:rPr>
      </w:pPr>
      <w:bookmarkStart w:id="9" w:name="_Toc36479699"/>
      <w:r w:rsidRPr="00B46444">
        <w:rPr>
          <w:rStyle w:val="Heading2Char"/>
        </w:rPr>
        <w:t>B.</w:t>
      </w:r>
      <w:r w:rsidRPr="00B46444">
        <w:rPr>
          <w:rStyle w:val="Heading2Char"/>
        </w:rPr>
        <w:tab/>
        <w:t>Verde’s complaints about OCC’s discovery requests are both inaccurate and irrelevant.</w:t>
      </w:r>
      <w:bookmarkEnd w:id="9"/>
    </w:p>
    <w:p w:rsidR="00B55677" w:rsidP="006E0A5C" w14:paraId="6E5179D1" w14:textId="77777777">
      <w:pPr>
        <w:pStyle w:val="BodyTextIndent3"/>
        <w:spacing w:line="480" w:lineRule="auto"/>
        <w:ind w:right="-29"/>
        <w:rPr>
          <w:szCs w:val="24"/>
        </w:rPr>
      </w:pPr>
      <w:r>
        <w:rPr>
          <w:szCs w:val="24"/>
        </w:rPr>
        <w:t xml:space="preserve">Verde also argues that OCC’s intervention should be denied because Verde does not </w:t>
      </w:r>
      <w:r w:rsidR="00B726E4">
        <w:rPr>
          <w:szCs w:val="24"/>
        </w:rPr>
        <w:t>like</w:t>
      </w:r>
      <w:r>
        <w:rPr>
          <w:szCs w:val="24"/>
        </w:rPr>
        <w:t xml:space="preserve"> respond</w:t>
      </w:r>
      <w:r w:rsidR="00B726E4">
        <w:rPr>
          <w:szCs w:val="24"/>
        </w:rPr>
        <w:t>ing</w:t>
      </w:r>
      <w:r>
        <w:rPr>
          <w:szCs w:val="24"/>
        </w:rPr>
        <w:t xml:space="preserve"> to OCC’s discovery requests.</w:t>
      </w:r>
      <w:r>
        <w:rPr>
          <w:rStyle w:val="FootnoteReference"/>
          <w:szCs w:val="24"/>
        </w:rPr>
        <w:footnoteReference w:id="21"/>
      </w:r>
      <w:r>
        <w:rPr>
          <w:szCs w:val="24"/>
        </w:rPr>
        <w:t xml:space="preserve"> The PUCO should give this argument no weight.</w:t>
      </w:r>
    </w:p>
    <w:p w:rsidR="005C72C2" w:rsidP="00F3546D" w14:paraId="46BB3359" w14:textId="77777777">
      <w:pPr>
        <w:pStyle w:val="BodyTextIndent3"/>
        <w:widowControl w:val="0"/>
        <w:spacing w:line="480" w:lineRule="auto"/>
        <w:ind w:right="-24"/>
        <w:rPr>
          <w:szCs w:val="24"/>
        </w:rPr>
      </w:pPr>
      <w:r>
        <w:rPr>
          <w:szCs w:val="24"/>
        </w:rPr>
        <w:t>First, if Verde has concerns regarding the scope of OCC’s discovery, the proper forum for those concerns is through objections to discovery or a motion for protective order, not opposition to a motion to intervene.</w:t>
      </w:r>
    </w:p>
    <w:p w:rsidR="005C72C2" w:rsidP="00F3546D" w14:paraId="16ADB0E1" w14:textId="77777777">
      <w:pPr>
        <w:pStyle w:val="BodyTextIndent3"/>
        <w:widowControl w:val="0"/>
        <w:spacing w:line="480" w:lineRule="auto"/>
        <w:ind w:right="-24"/>
        <w:rPr>
          <w:szCs w:val="24"/>
        </w:rPr>
      </w:pPr>
      <w:r>
        <w:rPr>
          <w:szCs w:val="24"/>
        </w:rPr>
        <w:t>Second, Verde’s attempt to draw a parallel between the PUCO’s rules and the Ohio Civil Rules fails. As Verde correctly notes, in civil cases, a party may serve up to 40 interrogatories in a case without leave of court.</w:t>
      </w:r>
      <w:r>
        <w:rPr>
          <w:rStyle w:val="FootnoteReference"/>
          <w:szCs w:val="24"/>
        </w:rPr>
        <w:footnoteReference w:id="22"/>
      </w:r>
      <w:r>
        <w:rPr>
          <w:szCs w:val="24"/>
        </w:rPr>
        <w:t xml:space="preserve"> But as Verde readily admits, there is no such limit in the PUCO’s rules. And Verde cites not one case in which the PUCO has adopted the Civil Rules’ 40-interrogatory limit.</w:t>
      </w:r>
    </w:p>
    <w:p w:rsidR="00FA395C" w:rsidP="00F3546D" w14:paraId="18238926" w14:textId="77777777">
      <w:pPr>
        <w:pStyle w:val="BodyTextIndent3"/>
        <w:widowControl w:val="0"/>
        <w:spacing w:line="480" w:lineRule="auto"/>
        <w:ind w:right="-24"/>
        <w:rPr>
          <w:szCs w:val="24"/>
        </w:rPr>
      </w:pPr>
      <w:r>
        <w:rPr>
          <w:szCs w:val="24"/>
        </w:rPr>
        <w:t xml:space="preserve">Third, </w:t>
      </w:r>
      <w:r w:rsidR="00B726E4">
        <w:rPr>
          <w:szCs w:val="24"/>
        </w:rPr>
        <w:t>Verde seems to want it both ways. In the investigation case, Verde complained that OCC supposedly waited until the last minute to serve discovery when OCC could have served it earlier.</w:t>
      </w:r>
      <w:r>
        <w:rPr>
          <w:rStyle w:val="FootnoteReference"/>
          <w:szCs w:val="24"/>
        </w:rPr>
        <w:footnoteReference w:id="23"/>
      </w:r>
      <w:r w:rsidR="00B726E4">
        <w:rPr>
          <w:szCs w:val="24"/>
        </w:rPr>
        <w:t xml:space="preserve"> Now, when OCC endeavored to serve its discovery early (for example, by serving discovery in the electric case seven days after Verde’s renewal application and in the natural gas case three weeks after Verde’s renewal </w:t>
      </w:r>
    </w:p>
    <w:p w:rsidR="00FA395C" w14:paraId="14960966" w14:textId="77777777">
      <w:pPr>
        <w:rPr>
          <w:szCs w:val="24"/>
        </w:rPr>
      </w:pPr>
      <w:r>
        <w:rPr>
          <w:szCs w:val="24"/>
        </w:rPr>
        <w:br w:type="page"/>
      </w:r>
    </w:p>
    <w:p w:rsidR="005C72C2" w:rsidP="00FA395C" w14:paraId="20676F86" w14:textId="2651361F">
      <w:pPr>
        <w:pStyle w:val="BodyTextIndent3"/>
        <w:widowControl w:val="0"/>
        <w:spacing w:line="480" w:lineRule="auto"/>
        <w:ind w:right="-24" w:firstLine="0"/>
        <w:rPr>
          <w:szCs w:val="24"/>
        </w:rPr>
      </w:pPr>
      <w:r>
        <w:rPr>
          <w:szCs w:val="24"/>
        </w:rPr>
        <w:t>application), Verde complains that OCC is serving too much discovery early when the discovery cutoff is months away.</w:t>
      </w:r>
      <w:r>
        <w:rPr>
          <w:rStyle w:val="FootnoteReference"/>
          <w:szCs w:val="24"/>
        </w:rPr>
        <w:footnoteReference w:id="24"/>
      </w:r>
      <w:r>
        <w:rPr>
          <w:szCs w:val="24"/>
        </w:rPr>
        <w:t xml:space="preserve"> </w:t>
      </w:r>
    </w:p>
    <w:p w:rsidR="005C72C2" w:rsidRPr="006B6492" w:rsidP="006B6492" w14:paraId="3B2E1B9B" w14:textId="12689AED">
      <w:pPr>
        <w:pStyle w:val="BodyTextIndent3"/>
        <w:spacing w:line="480" w:lineRule="auto"/>
        <w:ind w:right="-29"/>
        <w:rPr>
          <w:szCs w:val="24"/>
        </w:rPr>
      </w:pPr>
      <w:r>
        <w:rPr>
          <w:szCs w:val="24"/>
        </w:rPr>
        <w:t xml:space="preserve">Fourth, </w:t>
      </w:r>
      <w:r w:rsidR="006B6492">
        <w:rPr>
          <w:szCs w:val="24"/>
        </w:rPr>
        <w:t xml:space="preserve">OCC took great pains to </w:t>
      </w:r>
      <w:r w:rsidR="001936DF">
        <w:rPr>
          <w:szCs w:val="24"/>
        </w:rPr>
        <w:t>ensure</w:t>
      </w:r>
      <w:r w:rsidR="00484245">
        <w:rPr>
          <w:szCs w:val="24"/>
        </w:rPr>
        <w:t xml:space="preserve"> </w:t>
      </w:r>
      <w:r w:rsidR="006B6492">
        <w:rPr>
          <w:szCs w:val="24"/>
        </w:rPr>
        <w:t xml:space="preserve">that its written discovery in this case to date was as narrowly focused as possible while still providing information that is essential to prove that Verde’s certificates should not be renewed. For example, in many of its interrogatories, OCC limited its requests to the time </w:t>
      </w:r>
      <w:r w:rsidR="00CB0BBC">
        <w:rPr>
          <w:szCs w:val="24"/>
        </w:rPr>
        <w:t>period after April 12</w:t>
      </w:r>
      <w:r w:rsidR="006B6492">
        <w:rPr>
          <w:szCs w:val="24"/>
        </w:rPr>
        <w:t xml:space="preserve">, 2019, </w:t>
      </w:r>
      <w:r w:rsidR="006B6492">
        <w:rPr>
          <w:i/>
          <w:szCs w:val="24"/>
        </w:rPr>
        <w:t>i.e.</w:t>
      </w:r>
      <w:r w:rsidR="006B6492">
        <w:rPr>
          <w:szCs w:val="24"/>
        </w:rPr>
        <w:t xml:space="preserve">, the end of the period investigated by Staff in the investigation case </w:t>
      </w:r>
      <w:r w:rsidR="00DD3535">
        <w:rPr>
          <w:szCs w:val="24"/>
        </w:rPr>
        <w:t xml:space="preserve">to avoid duplication with the investigation case. In </w:t>
      </w:r>
      <w:r w:rsidR="00CB0BBC">
        <w:rPr>
          <w:szCs w:val="24"/>
        </w:rPr>
        <w:t>most</w:t>
      </w:r>
      <w:r w:rsidR="00DD3535">
        <w:rPr>
          <w:szCs w:val="24"/>
        </w:rPr>
        <w:t xml:space="preserve"> other instances, OCC limited its requests to facts and events that have occurred since Verde’s certificates were last renewed (December 11, 2017 for natural gas and March 29, 2018 for na</w:t>
      </w:r>
      <w:r w:rsidR="00CB0BBC">
        <w:rPr>
          <w:szCs w:val="24"/>
        </w:rPr>
        <w:t>tural gas) to keep its factual investigation within the proper scope of these cases</w:t>
      </w:r>
      <w:r w:rsidR="00DD3535">
        <w:rPr>
          <w:szCs w:val="24"/>
        </w:rPr>
        <w:t>.</w:t>
      </w:r>
    </w:p>
    <w:p w:rsidR="006E0A5C" w:rsidP="00F3546D" w14:paraId="72E5DE6D" w14:textId="630EFEC3">
      <w:pPr>
        <w:pStyle w:val="BodyTextIndent3"/>
        <w:widowControl w:val="0"/>
        <w:spacing w:line="480" w:lineRule="auto"/>
        <w:ind w:right="-24"/>
        <w:rPr>
          <w:szCs w:val="24"/>
        </w:rPr>
      </w:pPr>
      <w:r>
        <w:rPr>
          <w:szCs w:val="24"/>
        </w:rPr>
        <w:t>Fifth, OCC had no choice but to serve detailed and comprehensive discovery on Verde in early March because of the procedural schedule in this case. Verde filed its electric renewal application on February 27, 2020. On March 3, 2020, the PUCO set a procedural schedule with comments due April 2. In response to that Entry, OCC immediately intervened in the case and served discovery. Had OCC waited any longer, it would not have been able to receive discovery responses</w:t>
      </w:r>
      <w:r w:rsidR="001B1C52">
        <w:rPr>
          <w:szCs w:val="24"/>
        </w:rPr>
        <w:t xml:space="preserve"> (under the typical 20-day turnaround)</w:t>
      </w:r>
      <w:r>
        <w:rPr>
          <w:szCs w:val="24"/>
        </w:rPr>
        <w:t xml:space="preserve"> before comments were due. </w:t>
      </w:r>
    </w:p>
    <w:p w:rsidR="00B46444" w:rsidP="00B46444" w14:paraId="590CE4AC" w14:textId="0EE5BF5E">
      <w:pPr>
        <w:pStyle w:val="BodyTextIndent3"/>
        <w:spacing w:line="240" w:lineRule="auto"/>
        <w:ind w:right="-29"/>
        <w:rPr>
          <w:szCs w:val="24"/>
        </w:rPr>
      </w:pPr>
    </w:p>
    <w:p w:rsidR="00BB5292" w:rsidP="00B46444" w14:paraId="5EAD7E83" w14:textId="77777777">
      <w:pPr>
        <w:pStyle w:val="Heading1"/>
      </w:pPr>
      <w:bookmarkStart w:id="10" w:name="_Toc36479700"/>
      <w:r>
        <w:t>I</w:t>
      </w:r>
      <w:r w:rsidR="00CB0BBC">
        <w:t>II</w:t>
      </w:r>
      <w:r w:rsidRPr="0034156F" w:rsidR="00F25517">
        <w:t>.</w:t>
      </w:r>
      <w:r w:rsidRPr="0034156F" w:rsidR="00F25517">
        <w:tab/>
        <w:t>CONCLUSION</w:t>
      </w:r>
      <w:bookmarkEnd w:id="10"/>
    </w:p>
    <w:p w:rsidR="000C49E0" w:rsidP="0045416D" w14:paraId="40DB543C" w14:textId="61066B5D">
      <w:pPr>
        <w:spacing w:line="480" w:lineRule="auto"/>
        <w:ind w:firstLine="720"/>
      </w:pPr>
      <w:r>
        <w:t xml:space="preserve">OCC’s Motion to Intervene should be granted. </w:t>
      </w:r>
      <w:r w:rsidR="00362EB8">
        <w:t xml:space="preserve">OCC </w:t>
      </w:r>
      <w:r w:rsidR="00362EB8">
        <w:rPr>
          <w:szCs w:val="24"/>
        </w:rPr>
        <w:t xml:space="preserve">meets the criteria set forth in R.C. 4903.221, Ohio Adm. Code 4901-1-11, and the precedent established by the Supreme Court of Ohio for intervention. </w:t>
      </w:r>
      <w:r>
        <w:rPr>
          <w:szCs w:val="24"/>
        </w:rPr>
        <w:t xml:space="preserve">That is all that is required for intervention. </w:t>
      </w:r>
      <w:r w:rsidR="0045416D">
        <w:t xml:space="preserve">OCC should </w:t>
      </w:r>
      <w:r w:rsidR="00CB0BBC">
        <w:t xml:space="preserve">not </w:t>
      </w:r>
      <w:r w:rsidR="0045416D">
        <w:t xml:space="preserve">be </w:t>
      </w:r>
      <w:r w:rsidR="00CB0BBC">
        <w:t xml:space="preserve">silenced simply because </w:t>
      </w:r>
      <w:r w:rsidR="00147D0C">
        <w:t xml:space="preserve">vexatious </w:t>
      </w:r>
      <w:r w:rsidR="00CB0BBC">
        <w:t>Verde, in pursuit of its own self-interest, is tired of being reminded of the many ways in which it has harmed the Ohio consumers that OCC represent</w:t>
      </w:r>
      <w:r w:rsidR="001B1C52">
        <w:t>s</w:t>
      </w:r>
      <w:r w:rsidR="00362EB8">
        <w:t xml:space="preserve">. </w:t>
      </w:r>
    </w:p>
    <w:p w:rsidR="0059137E" w:rsidP="0059137E" w14:paraId="371015A5" w14:textId="77777777">
      <w:pPr>
        <w:pStyle w:val="BodyTextIndent3"/>
        <w:widowControl w:val="0"/>
        <w:ind w:left="3600" w:right="-672"/>
        <w:rPr>
          <w:szCs w:val="24"/>
        </w:rPr>
      </w:pPr>
      <w:r>
        <w:rPr>
          <w:szCs w:val="24"/>
        </w:rPr>
        <w:t>Respectfully submitted,</w:t>
      </w:r>
    </w:p>
    <w:p w:rsidR="0059137E" w:rsidP="0059137E" w14:paraId="7F1B251E" w14:textId="77777777">
      <w:pPr>
        <w:pStyle w:val="Footer"/>
        <w:tabs>
          <w:tab w:val="left" w:pos="4320"/>
          <w:tab w:val="clear" w:pos="8640"/>
        </w:tabs>
        <w:spacing w:before="240"/>
        <w:rPr>
          <w:sz w:val="24"/>
          <w:szCs w:val="24"/>
        </w:rPr>
      </w:pPr>
      <w:r>
        <w:rPr>
          <w:sz w:val="24"/>
          <w:szCs w:val="24"/>
        </w:rPr>
        <w:tab/>
        <w:t>Bruce Weston (#0016973)</w:t>
      </w:r>
    </w:p>
    <w:p w:rsidR="0059137E" w:rsidP="0059137E" w14:paraId="4F6BE95B" w14:textId="77777777">
      <w:pPr>
        <w:tabs>
          <w:tab w:val="left" w:pos="4320"/>
        </w:tabs>
        <w:rPr>
          <w:szCs w:val="24"/>
        </w:rPr>
      </w:pPr>
      <w:r>
        <w:rPr>
          <w:szCs w:val="24"/>
        </w:rPr>
        <w:tab/>
        <w:t>Ohio Consumers’ Counsel</w:t>
      </w:r>
    </w:p>
    <w:p w:rsidR="0059137E" w:rsidP="0059137E" w14:paraId="79E432D4" w14:textId="77777777">
      <w:pPr>
        <w:tabs>
          <w:tab w:val="left" w:pos="4320"/>
        </w:tabs>
        <w:rPr>
          <w:szCs w:val="24"/>
        </w:rPr>
      </w:pPr>
      <w:r>
        <w:rPr>
          <w:szCs w:val="24"/>
        </w:rPr>
        <w:tab/>
      </w:r>
    </w:p>
    <w:p w:rsidR="0059137E" w:rsidRPr="003750C9" w:rsidP="0059137E" w14:paraId="427EE900" w14:textId="77777777">
      <w:pPr>
        <w:tabs>
          <w:tab w:val="left" w:pos="4320"/>
        </w:tabs>
        <w:rPr>
          <w:i/>
          <w:iCs/>
          <w:szCs w:val="24"/>
          <w:u w:val="single"/>
        </w:rPr>
      </w:pPr>
      <w:r>
        <w:rPr>
          <w:szCs w:val="24"/>
        </w:rPr>
        <w:tab/>
      </w:r>
      <w:r>
        <w:rPr>
          <w:i/>
          <w:iCs/>
          <w:szCs w:val="24"/>
          <w:u w:val="single"/>
        </w:rPr>
        <w:t>/s/ Christopher Healey</w:t>
      </w:r>
      <w:r>
        <w:rPr>
          <w:i/>
          <w:iCs/>
          <w:szCs w:val="24"/>
          <w:u w:val="single"/>
        </w:rPr>
        <w:tab/>
      </w:r>
      <w:r>
        <w:rPr>
          <w:i/>
          <w:iCs/>
          <w:szCs w:val="24"/>
          <w:u w:val="single"/>
        </w:rPr>
        <w:tab/>
      </w:r>
      <w:r>
        <w:rPr>
          <w:i/>
          <w:iCs/>
          <w:szCs w:val="24"/>
          <w:u w:val="single"/>
        </w:rPr>
        <w:tab/>
      </w:r>
    </w:p>
    <w:p w:rsidR="0059137E" w:rsidP="0059137E" w14:paraId="19BD73C1" w14:textId="77777777">
      <w:pPr>
        <w:tabs>
          <w:tab w:val="left" w:pos="4320"/>
        </w:tabs>
        <w:rPr>
          <w:szCs w:val="24"/>
        </w:rPr>
      </w:pPr>
      <w:r>
        <w:rPr>
          <w:szCs w:val="24"/>
        </w:rPr>
        <w:tab/>
        <w:t>Christopher Healey (0086027)</w:t>
      </w:r>
    </w:p>
    <w:p w:rsidR="0059137E" w:rsidP="0059137E" w14:paraId="140E62EC" w14:textId="77777777">
      <w:pPr>
        <w:tabs>
          <w:tab w:val="left" w:pos="4320"/>
        </w:tabs>
        <w:rPr>
          <w:szCs w:val="24"/>
        </w:rPr>
      </w:pPr>
      <w:r>
        <w:rPr>
          <w:szCs w:val="24"/>
        </w:rPr>
        <w:tab/>
        <w:t>Counsel of Record</w:t>
      </w:r>
    </w:p>
    <w:p w:rsidR="0059137E" w:rsidP="0059137E" w14:paraId="06F5A6DE" w14:textId="77777777">
      <w:pPr>
        <w:tabs>
          <w:tab w:val="left" w:pos="4320"/>
        </w:tabs>
        <w:rPr>
          <w:szCs w:val="24"/>
        </w:rPr>
      </w:pPr>
      <w:r>
        <w:rPr>
          <w:szCs w:val="24"/>
        </w:rPr>
        <w:tab/>
        <w:t>Angela D. O’Brien (0097579)</w:t>
      </w:r>
    </w:p>
    <w:p w:rsidR="0059137E" w:rsidP="0059137E" w14:paraId="190F4FCB" w14:textId="77777777">
      <w:pPr>
        <w:tabs>
          <w:tab w:val="left" w:pos="4320"/>
        </w:tabs>
        <w:rPr>
          <w:szCs w:val="24"/>
        </w:rPr>
      </w:pPr>
      <w:r>
        <w:rPr>
          <w:szCs w:val="24"/>
        </w:rPr>
        <w:tab/>
        <w:t>Assistant Consumers’ Counsel</w:t>
      </w:r>
    </w:p>
    <w:p w:rsidR="0059137E" w:rsidP="0059137E" w14:paraId="7B74DA9C" w14:textId="77777777">
      <w:pPr>
        <w:pStyle w:val="Heading1"/>
        <w:keepNext w:val="0"/>
        <w:spacing w:after="0"/>
        <w:ind w:left="3240" w:right="-648" w:firstLine="720"/>
      </w:pPr>
      <w:r>
        <w:tab/>
      </w:r>
    </w:p>
    <w:p w:rsidR="0059137E" w:rsidRPr="00922300" w:rsidP="00922300" w14:paraId="4CF397E5" w14:textId="77777777">
      <w:pPr>
        <w:rPr>
          <w:b/>
          <w:bCs/>
        </w:rPr>
      </w:pPr>
      <w:r>
        <w:tab/>
      </w:r>
      <w:r w:rsidR="00922300">
        <w:tab/>
      </w:r>
      <w:r w:rsidR="00922300">
        <w:tab/>
      </w:r>
      <w:r w:rsidR="00922300">
        <w:tab/>
      </w:r>
      <w:r w:rsidR="00922300">
        <w:tab/>
      </w:r>
      <w:r w:rsidR="00922300">
        <w:tab/>
      </w:r>
      <w:r w:rsidRPr="00922300">
        <w:rPr>
          <w:b/>
          <w:bCs/>
        </w:rPr>
        <w:t>Office of the Ohio Consumers’ Counsel</w:t>
      </w:r>
    </w:p>
    <w:p w:rsidR="0059137E" w:rsidP="00922300" w14:paraId="38170488" w14:textId="77777777">
      <w:pPr>
        <w:rPr>
          <w:b/>
        </w:rPr>
      </w:pPr>
      <w:r>
        <w:tab/>
      </w:r>
      <w:r w:rsidR="00922300">
        <w:tab/>
      </w:r>
      <w:r w:rsidR="00922300">
        <w:tab/>
      </w:r>
      <w:r w:rsidR="00922300">
        <w:tab/>
      </w:r>
      <w:r w:rsidR="00922300">
        <w:tab/>
      </w:r>
      <w:r w:rsidR="00922300">
        <w:tab/>
      </w:r>
      <w:r>
        <w:t>65 East State Street, 7th Floor</w:t>
      </w:r>
    </w:p>
    <w:p w:rsidR="0059137E" w:rsidP="00922300" w14:paraId="6615B52A" w14:textId="77777777">
      <w:pPr>
        <w:rPr>
          <w:b/>
        </w:rPr>
      </w:pPr>
      <w:r>
        <w:tab/>
      </w:r>
      <w:r w:rsidR="00922300">
        <w:tab/>
      </w:r>
      <w:r w:rsidR="00922300">
        <w:tab/>
      </w:r>
      <w:r w:rsidR="00922300">
        <w:tab/>
      </w:r>
      <w:r w:rsidR="00922300">
        <w:tab/>
      </w:r>
      <w:r w:rsidR="00922300">
        <w:tab/>
      </w:r>
      <w:r>
        <w:t>Columbus, Ohio 43215</w:t>
      </w:r>
    </w:p>
    <w:p w:rsidR="0059137E" w:rsidP="0059137E" w14:paraId="69D3EB57" w14:textId="77777777">
      <w:pPr>
        <w:autoSpaceDE w:val="0"/>
        <w:autoSpaceDN w:val="0"/>
        <w:adjustRightInd w:val="0"/>
        <w:ind w:left="3600" w:firstLine="720"/>
        <w:rPr>
          <w:szCs w:val="24"/>
        </w:rPr>
      </w:pPr>
      <w:r>
        <w:rPr>
          <w:szCs w:val="24"/>
        </w:rPr>
        <w:t>Telephone [Healey]: (614) 466-9571</w:t>
      </w:r>
    </w:p>
    <w:p w:rsidR="0059137E" w:rsidP="0059137E" w14:paraId="01F855B5" w14:textId="77777777">
      <w:pPr>
        <w:autoSpaceDE w:val="0"/>
        <w:autoSpaceDN w:val="0"/>
        <w:adjustRightInd w:val="0"/>
        <w:ind w:left="3600" w:firstLine="720"/>
        <w:rPr>
          <w:szCs w:val="24"/>
        </w:rPr>
      </w:pPr>
      <w:r>
        <w:rPr>
          <w:szCs w:val="24"/>
        </w:rPr>
        <w:t>Telephone [O’Brien]: (614) 466-9531</w:t>
      </w:r>
    </w:p>
    <w:p w:rsidR="0059137E" w:rsidP="0059137E" w14:paraId="2EFC9FDA" w14:textId="77777777">
      <w:pPr>
        <w:rPr>
          <w:szCs w:val="24"/>
        </w:rPr>
      </w:pPr>
      <w:r>
        <w:rPr>
          <w:szCs w:val="24"/>
        </w:rPr>
        <w:tab/>
      </w:r>
      <w:r>
        <w:rPr>
          <w:szCs w:val="24"/>
        </w:rPr>
        <w:tab/>
      </w:r>
      <w:r>
        <w:rPr>
          <w:szCs w:val="24"/>
        </w:rPr>
        <w:tab/>
      </w:r>
      <w:r>
        <w:rPr>
          <w:szCs w:val="24"/>
        </w:rPr>
        <w:tab/>
      </w:r>
      <w:r>
        <w:rPr>
          <w:szCs w:val="24"/>
        </w:rPr>
        <w:tab/>
      </w:r>
      <w:r>
        <w:rPr>
          <w:szCs w:val="24"/>
        </w:rPr>
        <w:tab/>
      </w:r>
      <w:hyperlink r:id="rId6" w:history="1">
        <w:r w:rsidRPr="005E1404">
          <w:rPr>
            <w:rStyle w:val="Hyperlink"/>
            <w:szCs w:val="24"/>
          </w:rPr>
          <w:t>christopher.healey@occ.ohio.gov</w:t>
        </w:r>
      </w:hyperlink>
      <w:r>
        <w:rPr>
          <w:szCs w:val="24"/>
        </w:rPr>
        <w:t xml:space="preserve"> </w:t>
      </w:r>
    </w:p>
    <w:p w:rsidR="0059137E" w:rsidP="0059137E" w14:paraId="2C8D3049" w14:textId="77777777">
      <w:pPr>
        <w:rPr>
          <w:szCs w:val="24"/>
        </w:rPr>
      </w:pPr>
      <w:r>
        <w:rPr>
          <w:szCs w:val="24"/>
        </w:rPr>
        <w:tab/>
      </w:r>
      <w:r>
        <w:rPr>
          <w:szCs w:val="24"/>
        </w:rPr>
        <w:tab/>
      </w:r>
      <w:r>
        <w:rPr>
          <w:szCs w:val="24"/>
        </w:rPr>
        <w:tab/>
      </w:r>
      <w:r>
        <w:rPr>
          <w:szCs w:val="24"/>
        </w:rPr>
        <w:tab/>
      </w:r>
      <w:r>
        <w:rPr>
          <w:szCs w:val="24"/>
        </w:rPr>
        <w:tab/>
      </w:r>
      <w:r>
        <w:rPr>
          <w:szCs w:val="24"/>
        </w:rPr>
        <w:tab/>
      </w:r>
      <w:hyperlink r:id="rId7" w:history="1">
        <w:r w:rsidRPr="005E1404">
          <w:rPr>
            <w:rStyle w:val="Hyperlink"/>
            <w:szCs w:val="24"/>
          </w:rPr>
          <w:t>angela.obrien@occ.ohio.gov</w:t>
        </w:r>
      </w:hyperlink>
      <w:r>
        <w:rPr>
          <w:szCs w:val="24"/>
        </w:rPr>
        <w:t xml:space="preserve"> </w:t>
      </w:r>
    </w:p>
    <w:p w:rsidR="0059137E" w:rsidP="0059137E" w14:paraId="3F8232F1" w14:textId="77777777">
      <w:pPr>
        <w:rPr>
          <w:szCs w:val="24"/>
        </w:rPr>
      </w:pPr>
      <w:r>
        <w:rPr>
          <w:szCs w:val="24"/>
        </w:rPr>
        <w:tab/>
      </w:r>
      <w:r>
        <w:rPr>
          <w:szCs w:val="24"/>
        </w:rPr>
        <w:tab/>
      </w:r>
      <w:r>
        <w:rPr>
          <w:szCs w:val="24"/>
        </w:rPr>
        <w:tab/>
      </w:r>
      <w:r>
        <w:rPr>
          <w:szCs w:val="24"/>
        </w:rPr>
        <w:tab/>
      </w:r>
      <w:r>
        <w:rPr>
          <w:szCs w:val="24"/>
        </w:rPr>
        <w:tab/>
      </w:r>
      <w:r>
        <w:rPr>
          <w:szCs w:val="24"/>
        </w:rPr>
        <w:tab/>
        <w:t>(willing to accept service via e-mail)</w:t>
      </w:r>
    </w:p>
    <w:p w:rsidR="0059137E" w:rsidP="0059137E" w14:paraId="00E919E7" w14:textId="77777777">
      <w:pPr>
        <w:rPr>
          <w:szCs w:val="24"/>
        </w:rPr>
      </w:pPr>
    </w:p>
    <w:p w:rsidR="0059137E" w:rsidP="0059137E" w14:paraId="099357F0" w14:textId="77777777">
      <w:pPr>
        <w:ind w:firstLine="4320"/>
        <w:rPr>
          <w:szCs w:val="24"/>
        </w:rPr>
      </w:pPr>
      <w:r>
        <w:rPr>
          <w:szCs w:val="24"/>
        </w:rPr>
        <w:t>Kimberly W. Bojko (0069402)</w:t>
      </w:r>
    </w:p>
    <w:p w:rsidR="0059137E" w:rsidP="0059137E" w14:paraId="74A13B52" w14:textId="77777777">
      <w:pPr>
        <w:ind w:firstLine="4320"/>
        <w:rPr>
          <w:szCs w:val="24"/>
        </w:rPr>
      </w:pPr>
      <w:r>
        <w:rPr>
          <w:szCs w:val="24"/>
        </w:rPr>
        <w:t>Carpenter Lipps &amp; Leland LLP</w:t>
      </w:r>
    </w:p>
    <w:p w:rsidR="0059137E" w:rsidP="0059137E" w14:paraId="686DB9C7" w14:textId="77777777">
      <w:pPr>
        <w:ind w:firstLine="4320"/>
        <w:rPr>
          <w:szCs w:val="24"/>
        </w:rPr>
      </w:pPr>
      <w:r>
        <w:rPr>
          <w:szCs w:val="24"/>
        </w:rPr>
        <w:t>280 Plaza, Suite 1300</w:t>
      </w:r>
    </w:p>
    <w:p w:rsidR="0059137E" w:rsidP="0059137E" w14:paraId="547CE8A0" w14:textId="77777777">
      <w:pPr>
        <w:ind w:firstLine="4320"/>
        <w:rPr>
          <w:szCs w:val="24"/>
        </w:rPr>
      </w:pPr>
      <w:r>
        <w:rPr>
          <w:szCs w:val="24"/>
        </w:rPr>
        <w:t>280 North High Street</w:t>
      </w:r>
    </w:p>
    <w:p w:rsidR="0059137E" w:rsidP="0059137E" w14:paraId="56F51A17" w14:textId="77777777">
      <w:pPr>
        <w:ind w:firstLine="4320"/>
        <w:rPr>
          <w:szCs w:val="24"/>
        </w:rPr>
      </w:pPr>
      <w:r>
        <w:rPr>
          <w:szCs w:val="24"/>
        </w:rPr>
        <w:t>Columbus, OH 43215</w:t>
      </w:r>
    </w:p>
    <w:p w:rsidR="00385D48" w:rsidRPr="007E2879" w:rsidP="00385D48" w14:paraId="13F6C7A3" w14:textId="77777777">
      <w:pPr>
        <w:ind w:left="3600" w:firstLine="720"/>
        <w:rPr>
          <w:szCs w:val="24"/>
        </w:rPr>
      </w:pPr>
      <w:r>
        <w:rPr>
          <w:szCs w:val="24"/>
        </w:rPr>
        <w:t>Telephone: (614) 365-4100</w:t>
      </w:r>
    </w:p>
    <w:p w:rsidR="0059137E" w:rsidP="0059137E" w14:paraId="7D55858A" w14:textId="77777777">
      <w:pPr>
        <w:ind w:firstLine="4320"/>
        <w:rPr>
          <w:szCs w:val="24"/>
        </w:rPr>
      </w:pPr>
      <w:hyperlink r:id="rId8" w:history="1">
        <w:r w:rsidRPr="0027012A">
          <w:rPr>
            <w:rStyle w:val="Hyperlink"/>
            <w:szCs w:val="24"/>
          </w:rPr>
          <w:t>bojko@carpenterlipps.com</w:t>
        </w:r>
      </w:hyperlink>
      <w:r>
        <w:rPr>
          <w:szCs w:val="24"/>
        </w:rPr>
        <w:t xml:space="preserve"> </w:t>
      </w:r>
    </w:p>
    <w:p w:rsidR="0059137E" w:rsidP="0059137E" w14:paraId="54F0EA5B" w14:textId="77777777">
      <w:pPr>
        <w:ind w:firstLine="4320"/>
        <w:rPr>
          <w:szCs w:val="24"/>
        </w:rPr>
      </w:pPr>
      <w:r>
        <w:rPr>
          <w:szCs w:val="24"/>
        </w:rPr>
        <w:t>(willing to accept service via e-mail)</w:t>
      </w:r>
    </w:p>
    <w:p w:rsidR="0059137E" w:rsidP="0059137E" w14:paraId="395B7C33" w14:textId="77777777">
      <w:pPr>
        <w:ind w:firstLine="4320"/>
        <w:rPr>
          <w:szCs w:val="24"/>
        </w:rPr>
      </w:pPr>
    </w:p>
    <w:p w:rsidR="00731B26" w:rsidP="0059137E" w14:paraId="05B893E3" w14:textId="77777777">
      <w:pPr>
        <w:ind w:left="4320"/>
        <w:rPr>
          <w:i/>
          <w:iCs/>
          <w:szCs w:val="24"/>
        </w:rPr>
      </w:pPr>
      <w:r>
        <w:rPr>
          <w:i/>
          <w:iCs/>
          <w:szCs w:val="24"/>
        </w:rPr>
        <w:t>Special Counsel for the Office of the Ohio Consumers’ Counsel</w:t>
      </w:r>
    </w:p>
    <w:p w:rsidR="00731B26" w:rsidP="00B52F65" w14:paraId="150E1966" w14:textId="77777777">
      <w:pPr>
        <w:tabs>
          <w:tab w:val="left" w:pos="4320"/>
        </w:tabs>
        <w:ind w:left="3600"/>
        <w:rPr>
          <w:szCs w:val="24"/>
        </w:rPr>
      </w:pPr>
    </w:p>
    <w:p w:rsidR="00B52F65" w:rsidP="00B52F65" w14:paraId="58F11ECB" w14:textId="77777777">
      <w:pPr>
        <w:rPr>
          <w:szCs w:val="24"/>
        </w:rPr>
      </w:pPr>
    </w:p>
    <w:p w:rsidR="0089543E" w14:paraId="35372930" w14:textId="77777777">
      <w:pPr>
        <w:rPr>
          <w:szCs w:val="24"/>
        </w:rPr>
      </w:pPr>
      <w:r>
        <w:rPr>
          <w:szCs w:val="24"/>
        </w:rPr>
        <w:br w:type="page"/>
      </w:r>
    </w:p>
    <w:p w:rsidR="00B52F65" w:rsidP="00F90B18" w14:paraId="2033EF4E" w14:textId="77777777">
      <w:pPr>
        <w:jc w:val="center"/>
        <w:rPr>
          <w:b/>
          <w:bCs/>
          <w:u w:val="single"/>
        </w:rPr>
      </w:pPr>
      <w:r>
        <w:rPr>
          <w:b/>
          <w:bCs/>
          <w:u w:val="single"/>
        </w:rPr>
        <w:t>CERTIFICATE OF SERVICE</w:t>
      </w:r>
    </w:p>
    <w:p w:rsidR="00731B26" w:rsidP="00731B26" w14:paraId="03704726" w14:textId="77777777">
      <w:pPr>
        <w:jc w:val="center"/>
      </w:pPr>
    </w:p>
    <w:p w:rsidR="00B52F65" w:rsidRPr="00641FA9" w:rsidP="0059283C" w14:paraId="05663F0C" w14:textId="77777777">
      <w:pPr>
        <w:spacing w:line="480" w:lineRule="auto"/>
        <w:ind w:firstLine="720"/>
        <w:rPr>
          <w:i/>
          <w:iCs/>
        </w:rPr>
      </w:pPr>
      <w:r>
        <w:t>I hereby certify that a copy of this</w:t>
      </w:r>
      <w:r w:rsidR="00731B26">
        <w:t xml:space="preserve"> </w:t>
      </w:r>
      <w:r w:rsidRPr="0059283C" w:rsidR="0059283C">
        <w:t>Reply To Verde’s Memo Contra O</w:t>
      </w:r>
      <w:r w:rsidR="0059283C">
        <w:t>CC</w:t>
      </w:r>
      <w:r w:rsidRPr="0059283C" w:rsidR="0059283C">
        <w:t>’s Motion T</w:t>
      </w:r>
      <w:r w:rsidR="0059283C">
        <w:t xml:space="preserve">o </w:t>
      </w:r>
      <w:r w:rsidRPr="0059283C" w:rsidR="0059283C">
        <w:t>Intervene</w:t>
      </w:r>
      <w:r w:rsidR="0059283C">
        <w:t xml:space="preserve"> </w:t>
      </w:r>
      <w:r w:rsidRPr="0060598B" w:rsidR="00641FA9">
        <w:t>by the Office of the Ohio Consumers’ Counsel</w:t>
      </w:r>
      <w:r w:rsidR="00641FA9">
        <w:rPr>
          <w:b/>
          <w:bCs/>
        </w:rPr>
        <w:t xml:space="preserve"> </w:t>
      </w:r>
      <w:r>
        <w:t xml:space="preserve">was served on the persons stated below </w:t>
      </w:r>
      <w:r w:rsidRPr="0049109A">
        <w:t>via</w:t>
      </w:r>
      <w:r>
        <w:t xml:space="preserve"> electronic transmission, this </w:t>
      </w:r>
      <w:r w:rsidR="004D049D">
        <w:t>30th</w:t>
      </w:r>
      <w:r w:rsidR="00D107F1">
        <w:t xml:space="preserve"> </w:t>
      </w:r>
      <w:r>
        <w:t>day of</w:t>
      </w:r>
      <w:r w:rsidR="00A10E45">
        <w:t xml:space="preserve"> </w:t>
      </w:r>
      <w:r w:rsidR="0059137E">
        <w:t>March 2020</w:t>
      </w:r>
      <w:r>
        <w:t>.</w:t>
      </w:r>
    </w:p>
    <w:p w:rsidR="00B52F65" w14:paraId="3E8D525A" w14:textId="77777777">
      <w:pPr>
        <w:spacing w:line="480" w:lineRule="atLeast"/>
      </w:pPr>
    </w:p>
    <w:p w:rsidR="00B52F65" w14:paraId="4E9D19DD" w14:textId="77777777">
      <w:pPr>
        <w:tabs>
          <w:tab w:val="left" w:pos="4320"/>
        </w:tabs>
        <w:rPr>
          <w:i/>
          <w:u w:val="single"/>
        </w:rPr>
      </w:pPr>
      <w:r>
        <w:tab/>
      </w:r>
      <w:r w:rsidRPr="00503056">
        <w:rPr>
          <w:i/>
          <w:iCs/>
          <w:u w:val="single"/>
        </w:rPr>
        <w:t>/s/</w:t>
      </w:r>
      <w:r w:rsidRPr="004535A2">
        <w:rPr>
          <w:u w:val="single"/>
        </w:rPr>
        <w:t xml:space="preserve"> </w:t>
      </w:r>
      <w:r w:rsidR="0059137E">
        <w:rPr>
          <w:i/>
          <w:u w:val="single"/>
        </w:rPr>
        <w:t>Christopher Healey</w:t>
      </w:r>
      <w:r>
        <w:rPr>
          <w:i/>
          <w:u w:val="single"/>
        </w:rPr>
        <w:tab/>
      </w:r>
      <w:r>
        <w:rPr>
          <w:i/>
          <w:u w:val="single"/>
        </w:rPr>
        <w:tab/>
      </w:r>
    </w:p>
    <w:p w:rsidR="00B52F65" w14:paraId="7BF624F3" w14:textId="77777777">
      <w:pPr>
        <w:tabs>
          <w:tab w:val="left" w:pos="4320"/>
        </w:tabs>
      </w:pPr>
      <w:r>
        <w:tab/>
      </w:r>
      <w:r w:rsidR="0059137E">
        <w:t>Christopher Healey</w:t>
      </w:r>
    </w:p>
    <w:p w:rsidR="00B52F65" w14:paraId="2CF46D2C" w14:textId="77777777">
      <w:pPr>
        <w:tabs>
          <w:tab w:val="left" w:pos="4320"/>
        </w:tabs>
      </w:pPr>
      <w:r>
        <w:tab/>
        <w:t>Assistant Consumers’ Counsel</w:t>
      </w:r>
    </w:p>
    <w:p w:rsidR="0000110D" w14:paraId="380D043B" w14:textId="77777777">
      <w:pPr>
        <w:tabs>
          <w:tab w:val="left" w:pos="4320"/>
        </w:tabs>
      </w:pPr>
    </w:p>
    <w:p w:rsidR="00B52F65" w14:paraId="66681DB4" w14:textId="77777777">
      <w:pPr>
        <w:pStyle w:val="CommentSubject"/>
      </w:pPr>
    </w:p>
    <w:p w:rsidR="00385D48" w:rsidP="00385D48" w14:paraId="43486D2A" w14:textId="77777777">
      <w:r>
        <w:t>The PUCO’s e-filing system will electronically serve notice of the filing of this document on the following parties:</w:t>
      </w:r>
    </w:p>
    <w:p w:rsidR="00385D48" w:rsidP="00385D48" w14:paraId="4C90B7E1" w14:textId="77777777">
      <w:pPr>
        <w:pStyle w:val="CommentText"/>
      </w:pPr>
    </w:p>
    <w:p w:rsidR="00385D48" w:rsidP="00385D48" w14:paraId="66EB017C" w14:textId="77777777">
      <w:pPr>
        <w:pStyle w:val="CommentText"/>
        <w:jc w:val="center"/>
        <w:rPr>
          <w:b/>
          <w:u w:val="single"/>
        </w:rPr>
      </w:pPr>
      <w:r>
        <w:rPr>
          <w:b/>
          <w:u w:val="single"/>
        </w:rPr>
        <w:t>SERVICE LIST</w:t>
      </w:r>
    </w:p>
    <w:p w:rsidR="00385D48" w:rsidP="00385D48" w14:paraId="60A4EE93" w14:textId="77777777">
      <w:pPr>
        <w:pStyle w:val="CommentText"/>
        <w:jc w:val="center"/>
        <w:rPr>
          <w:b/>
          <w:u w:val="single"/>
        </w:rPr>
      </w:pPr>
    </w:p>
    <w:p w:rsidR="00385D48" w:rsidP="00385D48" w14:paraId="32617943"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491CD12A" w14:textId="77777777" w:rsidTr="003D189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385D48" w:rsidP="003D1898" w14:paraId="6075BC7B" w14:textId="77777777">
            <w:pPr>
              <w:pStyle w:val="BodyText"/>
              <w:rPr>
                <w:bCs/>
              </w:rPr>
            </w:pPr>
            <w:hyperlink r:id="rId12" w:history="1">
              <w:r w:rsidRPr="00D75E84">
                <w:rPr>
                  <w:rStyle w:val="Hyperlink"/>
                  <w:bCs/>
                </w:rPr>
                <w:t>John.jones@ohioattorneygeneral.gov</w:t>
              </w:r>
            </w:hyperlink>
          </w:p>
          <w:p w:rsidR="00385D48" w:rsidP="003D1898" w14:paraId="1FCC9CEB" w14:textId="77777777">
            <w:pPr>
              <w:pStyle w:val="BodyText"/>
              <w:rPr>
                <w:bCs/>
              </w:rPr>
            </w:pPr>
          </w:p>
          <w:p w:rsidR="00385D48" w:rsidP="003D1898" w14:paraId="07AC9BDF" w14:textId="77777777">
            <w:pPr>
              <w:pStyle w:val="BodyText"/>
              <w:rPr>
                <w:bCs/>
              </w:rPr>
            </w:pPr>
            <w:r>
              <w:rPr>
                <w:bCs/>
              </w:rPr>
              <w:t>Attorney Examiner:</w:t>
            </w:r>
          </w:p>
          <w:p w:rsidR="00385D48" w:rsidP="003D1898" w14:paraId="03E46BD8" w14:textId="77777777">
            <w:pPr>
              <w:pStyle w:val="BodyText"/>
              <w:rPr>
                <w:bCs/>
              </w:rPr>
            </w:pPr>
          </w:p>
          <w:p w:rsidR="00385D48" w:rsidP="003D1898" w14:paraId="6D09E8ED" w14:textId="77777777">
            <w:pPr>
              <w:pStyle w:val="BodyText"/>
              <w:rPr>
                <w:bCs/>
              </w:rPr>
            </w:pPr>
            <w:hyperlink r:id="rId13" w:history="1">
              <w:r w:rsidRPr="00463957">
                <w:rPr>
                  <w:rStyle w:val="Hyperlink"/>
                  <w:bCs/>
                </w:rPr>
                <w:t>Dan.fullin@puco.ohio.gov</w:t>
              </w:r>
            </w:hyperlink>
          </w:p>
          <w:p w:rsidR="00385D48" w:rsidRPr="0091434C" w:rsidP="003D1898" w14:paraId="3039B36D" w14:textId="77777777">
            <w:pPr>
              <w:pStyle w:val="BodyText"/>
              <w:rPr>
                <w:bCs/>
              </w:rPr>
            </w:pPr>
          </w:p>
        </w:tc>
        <w:tc>
          <w:tcPr>
            <w:tcW w:w="4315" w:type="dxa"/>
          </w:tcPr>
          <w:p w:rsidR="00385D48" w:rsidP="003D1898" w14:paraId="30A522A8" w14:textId="77777777">
            <w:pPr>
              <w:pStyle w:val="BodyText"/>
              <w:rPr>
                <w:bCs/>
              </w:rPr>
            </w:pPr>
            <w:hyperlink r:id="rId14" w:history="1">
              <w:r w:rsidRPr="00D75E84">
                <w:rPr>
                  <w:rStyle w:val="Hyperlink"/>
                  <w:bCs/>
                </w:rPr>
                <w:t>kwhite@sparkenergy.com</w:t>
              </w:r>
            </w:hyperlink>
          </w:p>
          <w:p w:rsidR="00385D48" w:rsidRPr="00C50C5C" w:rsidP="003D1898" w14:paraId="4A2F5A80" w14:textId="77777777">
            <w:pPr>
              <w:pStyle w:val="BodyText"/>
              <w:rPr>
                <w:rStyle w:val="Hyperlink"/>
              </w:rPr>
            </w:pPr>
            <w:r w:rsidRPr="00C50C5C">
              <w:rPr>
                <w:rStyle w:val="Hyperlink"/>
              </w:rPr>
              <w:t>mleclerc@sparkenergy.com</w:t>
            </w:r>
          </w:p>
          <w:p w:rsidR="00385D48" w:rsidRPr="00E30D7C" w:rsidP="003D1898" w14:paraId="15AFC7AE" w14:textId="77777777">
            <w:pPr>
              <w:pStyle w:val="BodyText"/>
              <w:rPr>
                <w:rStyle w:val="Hyperlink"/>
              </w:rPr>
            </w:pPr>
            <w:r w:rsidRPr="00E30D7C">
              <w:rPr>
                <w:rStyle w:val="Hyperlink"/>
              </w:rPr>
              <w:t>dproano@bakerlaw.com</w:t>
            </w:r>
          </w:p>
          <w:p w:rsidR="00385D48" w:rsidRPr="00E30D7C" w:rsidP="003D1898" w14:paraId="138C1643" w14:textId="77777777">
            <w:pPr>
              <w:pStyle w:val="BodyText"/>
              <w:rPr>
                <w:rStyle w:val="Hyperlink"/>
              </w:rPr>
            </w:pPr>
            <w:r w:rsidRPr="00E30D7C">
              <w:rPr>
                <w:rStyle w:val="Hyperlink"/>
              </w:rPr>
              <w:t>kkash@bakerlaw.com</w:t>
            </w:r>
          </w:p>
          <w:p w:rsidR="00385D48" w:rsidRPr="00E30D7C" w:rsidP="003D1898" w14:paraId="003EB6BA" w14:textId="77777777">
            <w:pPr>
              <w:pStyle w:val="BodyText"/>
              <w:rPr>
                <w:rStyle w:val="Hyperlink"/>
              </w:rPr>
            </w:pPr>
            <w:r w:rsidRPr="00E30D7C">
              <w:rPr>
                <w:rStyle w:val="Hyperlink"/>
              </w:rPr>
              <w:t>dlemon@bakerlaw.com</w:t>
            </w:r>
          </w:p>
          <w:p w:rsidR="00385D48" w:rsidRPr="00E30D7C" w:rsidP="003D1898" w14:paraId="00F49B65" w14:textId="77777777">
            <w:pPr>
              <w:pStyle w:val="BodyText"/>
              <w:rPr>
                <w:rStyle w:val="Hyperlink"/>
              </w:rPr>
            </w:pPr>
            <w:r w:rsidRPr="00E30D7C">
              <w:rPr>
                <w:rStyle w:val="Hyperlink"/>
              </w:rPr>
              <w:t>tathompson@bakerlaw.com</w:t>
            </w:r>
          </w:p>
          <w:p w:rsidR="00385D48" w:rsidRPr="007B2C72" w:rsidP="003D1898" w14:paraId="42FA3068" w14:textId="77777777">
            <w:pPr>
              <w:rPr>
                <w:rStyle w:val="Hyperlink"/>
              </w:rPr>
            </w:pPr>
            <w:hyperlink r:id="rId15" w:history="1">
              <w:r w:rsidRPr="007B2C72">
                <w:rPr>
                  <w:rStyle w:val="Hyperlink"/>
                </w:rPr>
                <w:t>bclay@sparkenergy.com</w:t>
              </w:r>
            </w:hyperlink>
          </w:p>
          <w:p w:rsidR="00385D48" w:rsidRPr="007B2C72" w:rsidP="003D1898" w14:paraId="131FEF45" w14:textId="77777777">
            <w:pPr>
              <w:rPr>
                <w:rStyle w:val="Hyperlink"/>
              </w:rPr>
            </w:pPr>
            <w:hyperlink r:id="rId16" w:history="1">
              <w:r w:rsidRPr="007B2C72">
                <w:rPr>
                  <w:rStyle w:val="Hyperlink"/>
                </w:rPr>
                <w:t>mlundstrom@sparkenergy.com</w:t>
              </w:r>
            </w:hyperlink>
          </w:p>
          <w:p w:rsidR="00385D48" w:rsidRPr="0091434C" w:rsidP="003D1898" w14:paraId="4B2AEEED" w14:textId="77777777">
            <w:pPr>
              <w:pStyle w:val="BodyText"/>
              <w:rPr>
                <w:bCs/>
              </w:rPr>
            </w:pPr>
          </w:p>
        </w:tc>
      </w:tr>
    </w:tbl>
    <w:p w:rsidR="00385D48" w:rsidP="00385D48" w14:paraId="719114A4" w14:textId="77777777">
      <w:pPr>
        <w:pStyle w:val="BodyText"/>
        <w:rPr>
          <w:b/>
          <w:bCs/>
        </w:rPr>
      </w:pPr>
    </w:p>
    <w:p w:rsidR="00B52F65" w14:paraId="65D1D65B" w14:textId="77777777">
      <w:pPr>
        <w:pStyle w:val="BodyText"/>
        <w:rPr>
          <w:b/>
          <w:bCs/>
        </w:rPr>
      </w:pPr>
    </w:p>
    <w:sectPr w:rsidSect="00E10673">
      <w:footerReference w:type="first" r:id="rId17"/>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0074016"/>
      <w:docPartObj>
        <w:docPartGallery w:val="Page Numbers (Bottom of Page)"/>
        <w:docPartUnique/>
      </w:docPartObj>
    </w:sdtPr>
    <w:sdtEndPr>
      <w:rPr>
        <w:sz w:val="24"/>
        <w:szCs w:val="24"/>
      </w:rPr>
    </w:sdtEndPr>
    <w:sdtContent>
      <w:p w:rsidR="003D1898" w:rsidRPr="00753244" w14:paraId="0E73E697" w14:textId="77777777">
        <w:pPr>
          <w:pStyle w:val="Footer"/>
          <w:jc w:val="center"/>
          <w:rPr>
            <w:sz w:val="24"/>
            <w:szCs w:val="24"/>
          </w:rPr>
        </w:pPr>
        <w:r w:rsidRPr="00753244">
          <w:rPr>
            <w:sz w:val="24"/>
            <w:szCs w:val="24"/>
          </w:rPr>
          <w:fldChar w:fldCharType="begin"/>
        </w:r>
        <w:r w:rsidRPr="00753244">
          <w:rPr>
            <w:sz w:val="24"/>
            <w:szCs w:val="24"/>
          </w:rPr>
          <w:instrText xml:space="preserve"> PAGE   \* MERGEFORMAT </w:instrText>
        </w:r>
        <w:r w:rsidRPr="00753244">
          <w:rPr>
            <w:sz w:val="24"/>
            <w:szCs w:val="24"/>
          </w:rPr>
          <w:fldChar w:fldCharType="separate"/>
        </w:r>
        <w:r w:rsidR="00905BCA">
          <w:rPr>
            <w:noProof/>
            <w:sz w:val="24"/>
            <w:szCs w:val="24"/>
          </w:rPr>
          <w:t>10</w:t>
        </w:r>
        <w:r w:rsidRPr="00753244">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1898" w14:paraId="2EF23706"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6916890"/>
      <w:docPartObj>
        <w:docPartGallery w:val="Page Numbers (Bottom of Page)"/>
        <w:docPartUnique/>
      </w:docPartObj>
    </w:sdtPr>
    <w:sdtEndPr>
      <w:rPr>
        <w:noProof/>
        <w:sz w:val="24"/>
        <w:szCs w:val="24"/>
      </w:rPr>
    </w:sdtEndPr>
    <w:sdtContent>
      <w:p w:rsidR="003D1898" w:rsidRPr="00E10673" w14:paraId="2DD0C8F8" w14:textId="77777777">
        <w:pPr>
          <w:pStyle w:val="Footer"/>
          <w:jc w:val="center"/>
          <w:rPr>
            <w:sz w:val="24"/>
            <w:szCs w:val="24"/>
          </w:rPr>
        </w:pPr>
        <w:r w:rsidRPr="00E10673">
          <w:rPr>
            <w:sz w:val="24"/>
            <w:szCs w:val="24"/>
          </w:rPr>
          <w:fldChar w:fldCharType="begin"/>
        </w:r>
        <w:r w:rsidRPr="00E10673">
          <w:rPr>
            <w:sz w:val="24"/>
            <w:szCs w:val="24"/>
          </w:rPr>
          <w:instrText xml:space="preserve"> PAGE   \* MERGEFORMAT </w:instrText>
        </w:r>
        <w:r w:rsidRPr="00E10673">
          <w:rPr>
            <w:sz w:val="24"/>
            <w:szCs w:val="24"/>
          </w:rPr>
          <w:fldChar w:fldCharType="separate"/>
        </w:r>
        <w:r>
          <w:rPr>
            <w:noProof/>
            <w:sz w:val="24"/>
            <w:szCs w:val="24"/>
          </w:rPr>
          <w:t>i</w:t>
        </w:r>
        <w:r w:rsidRPr="00E10673">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670213"/>
      <w:docPartObj>
        <w:docPartGallery w:val="Page Numbers (Bottom of Page)"/>
        <w:docPartUnique/>
      </w:docPartObj>
    </w:sdtPr>
    <w:sdtEndPr>
      <w:rPr>
        <w:noProof/>
        <w:sz w:val="24"/>
        <w:szCs w:val="24"/>
      </w:rPr>
    </w:sdtEndPr>
    <w:sdtContent>
      <w:p w:rsidR="003D1898" w:rsidRPr="00E10673" w14:paraId="3B26BB3C" w14:textId="77777777">
        <w:pPr>
          <w:pStyle w:val="Footer"/>
          <w:jc w:val="center"/>
          <w:rPr>
            <w:sz w:val="24"/>
            <w:szCs w:val="24"/>
          </w:rPr>
        </w:pPr>
        <w:r w:rsidRPr="00E10673">
          <w:rPr>
            <w:sz w:val="24"/>
            <w:szCs w:val="24"/>
          </w:rPr>
          <w:fldChar w:fldCharType="begin"/>
        </w:r>
        <w:r w:rsidRPr="00E10673">
          <w:rPr>
            <w:sz w:val="24"/>
            <w:szCs w:val="24"/>
          </w:rPr>
          <w:instrText xml:space="preserve"> PAGE   \* MERGEFORMAT </w:instrText>
        </w:r>
        <w:r w:rsidRPr="00E10673">
          <w:rPr>
            <w:sz w:val="24"/>
            <w:szCs w:val="24"/>
          </w:rPr>
          <w:fldChar w:fldCharType="separate"/>
        </w:r>
        <w:r>
          <w:rPr>
            <w:noProof/>
            <w:sz w:val="24"/>
            <w:szCs w:val="24"/>
          </w:rPr>
          <w:t>1</w:t>
        </w:r>
        <w:r w:rsidRPr="00E1067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2616" w14:paraId="4CC90800" w14:textId="77777777">
      <w:r>
        <w:separator/>
      </w:r>
    </w:p>
  </w:footnote>
  <w:footnote w:type="continuationSeparator" w:id="1">
    <w:p w:rsidR="003F2616" w14:paraId="06C404A4" w14:textId="77777777">
      <w:r>
        <w:continuationSeparator/>
      </w:r>
    </w:p>
  </w:footnote>
  <w:footnote w:id="2">
    <w:p w:rsidR="003D1898" w:rsidRPr="00E833B2" w:rsidP="00992A50" w14:paraId="57406B63" w14:textId="77777777">
      <w:pPr>
        <w:pStyle w:val="FootnoteText"/>
        <w:spacing w:after="120"/>
      </w:pPr>
      <w:r>
        <w:rPr>
          <w:rStyle w:val="FootnoteReference"/>
        </w:rPr>
        <w:footnoteRef/>
      </w:r>
      <w:r>
        <w:t xml:space="preserve"> </w:t>
      </w:r>
      <w:r>
        <w:rPr>
          <w:i/>
        </w:rPr>
        <w:t>In re the Commission’s Investigation into Verde Energy USA Ohio, LLC’s Compliance with the Ohio Administrative Code and Potential Remedial Actions for Non-Compliance</w:t>
      </w:r>
      <w:r>
        <w:t>, Case No. 19-958-GE-COI, Opinion &amp; Order ¶ 60 (Feb. 26, 2020).</w:t>
      </w:r>
    </w:p>
  </w:footnote>
  <w:footnote w:id="3">
    <w:p w:rsidR="003D1898" w:rsidRPr="00200CAA" w:rsidP="00992A50" w14:paraId="5D64A2E2" w14:textId="77777777">
      <w:pPr>
        <w:pStyle w:val="FootnoteText"/>
        <w:spacing w:after="120"/>
      </w:pPr>
      <w:r>
        <w:rPr>
          <w:rStyle w:val="FootnoteReference"/>
        </w:rPr>
        <w:footnoteRef/>
      </w:r>
      <w:r>
        <w:t xml:space="preserve"> </w:t>
      </w:r>
      <w:r>
        <w:rPr>
          <w:i/>
        </w:rPr>
        <w:t>Id.</w:t>
      </w:r>
      <w:r>
        <w:t xml:space="preserve"> </w:t>
      </w:r>
    </w:p>
  </w:footnote>
  <w:footnote w:id="4">
    <w:p w:rsidR="003D1898" w:rsidP="00992A50" w14:paraId="6A9F9D50" w14:textId="676B6143">
      <w:pPr>
        <w:pStyle w:val="FootnoteText"/>
        <w:spacing w:after="120"/>
      </w:pPr>
      <w:r>
        <w:rPr>
          <w:rStyle w:val="FootnoteReference"/>
        </w:rPr>
        <w:footnoteRef/>
      </w:r>
      <w:r>
        <w:t>During that same period, the PUCO Staff received 481 calls about Verde, 231 of which were related to “enrollment disputes, misleading information, and false representations where Verde allegedly purported to be another utility.”</w:t>
      </w:r>
      <w:r w:rsidR="00FA395C">
        <w:t xml:space="preserve"> </w:t>
      </w:r>
      <w:r>
        <w:t>Id.</w:t>
      </w:r>
      <w:r w:rsidR="00FA395C">
        <w:t xml:space="preserve"> </w:t>
      </w:r>
      <w:r>
        <w:t xml:space="preserve">¶7. </w:t>
      </w:r>
    </w:p>
  </w:footnote>
  <w:footnote w:id="5">
    <w:p w:rsidR="003D1898" w:rsidRPr="001936DF" w:rsidP="00992A50" w14:paraId="0862EC0B" w14:textId="77777777">
      <w:pPr>
        <w:pStyle w:val="FootnoteText"/>
        <w:spacing w:after="120"/>
      </w:pPr>
      <w:r>
        <w:rPr>
          <w:rStyle w:val="FootnoteReference"/>
        </w:rPr>
        <w:footnoteRef/>
      </w:r>
      <w:r>
        <w:t xml:space="preserve"> </w:t>
      </w:r>
      <w:r>
        <w:rPr>
          <w:i/>
        </w:rPr>
        <w:t>See, e.g., Pennsylvania PUC, Bureau of Investig. &amp; Enforcement v. Verde Energy USA, Inc.</w:t>
      </w:r>
      <w:r>
        <w:t>, Docket No. C-2020, Formal Complaint (Jan. 30, 2020).</w:t>
      </w:r>
    </w:p>
  </w:footnote>
  <w:footnote w:id="6">
    <w:p w:rsidR="003D1898" w:rsidRPr="00130E3D" w:rsidP="00992A50" w14:paraId="56061DA3" w14:textId="77777777">
      <w:pPr>
        <w:pStyle w:val="FootnoteText"/>
        <w:spacing w:after="120"/>
      </w:pPr>
      <w:r>
        <w:rPr>
          <w:rStyle w:val="FootnoteReference"/>
        </w:rPr>
        <w:footnoteRef/>
      </w:r>
      <w:r>
        <w:t xml:space="preserve"> </w:t>
      </w:r>
      <w:r>
        <w:rPr>
          <w:i/>
        </w:rPr>
        <w:t>Id.</w:t>
      </w:r>
      <w:r>
        <w:t xml:space="preserve"> ¶ 18.</w:t>
      </w:r>
    </w:p>
  </w:footnote>
  <w:footnote w:id="7">
    <w:p w:rsidR="003D1898" w:rsidRPr="00921ED7" w:rsidP="00992A50" w14:paraId="43ABE688" w14:textId="77777777">
      <w:pPr>
        <w:pStyle w:val="FootnoteText"/>
        <w:spacing w:after="120"/>
      </w:pPr>
      <w:r>
        <w:rPr>
          <w:rStyle w:val="FootnoteReference"/>
        </w:rPr>
        <w:footnoteRef/>
      </w:r>
      <w:r>
        <w:t xml:space="preserve"> </w:t>
      </w:r>
      <w:r>
        <w:rPr>
          <w:i/>
        </w:rPr>
        <w:t>See</w:t>
      </w:r>
      <w:r>
        <w:t xml:space="preserve"> Renewal Certificate, </w:t>
      </w:r>
      <w:r>
        <w:rPr>
          <w:i/>
        </w:rPr>
        <w:t>available at</w:t>
      </w:r>
      <w:r>
        <w:t xml:space="preserve"> </w:t>
      </w:r>
      <w:hyperlink r:id="rId1" w:history="1">
        <w:r>
          <w:rPr>
            <w:rStyle w:val="Hyperlink"/>
          </w:rPr>
          <w:t>http://dis.puc.state.oh.us/DocumentRecord.aspx?DocID=830d58fe-2871-4537-ae15-f4bab5542d5a</w:t>
        </w:r>
      </w:hyperlink>
      <w:r>
        <w:t>.</w:t>
      </w:r>
    </w:p>
  </w:footnote>
  <w:footnote w:id="8">
    <w:p w:rsidR="003D1898" w:rsidRPr="00921ED7" w:rsidP="00992A50" w14:paraId="34B7D3F6" w14:textId="77777777">
      <w:pPr>
        <w:pStyle w:val="FootnoteText"/>
        <w:spacing w:after="120"/>
      </w:pPr>
      <w:r>
        <w:rPr>
          <w:rStyle w:val="FootnoteReference"/>
        </w:rPr>
        <w:footnoteRef/>
      </w:r>
      <w:r>
        <w:t xml:space="preserve"> </w:t>
      </w:r>
      <w:r>
        <w:rPr>
          <w:i/>
        </w:rPr>
        <w:t>See</w:t>
      </w:r>
      <w:r>
        <w:t xml:space="preserve"> Renewal Certificate</w:t>
      </w:r>
      <w:r>
        <w:rPr>
          <w:i/>
        </w:rPr>
        <w:t>, available at</w:t>
      </w:r>
      <w:r>
        <w:t xml:space="preserve"> </w:t>
      </w:r>
      <w:hyperlink r:id="rId2" w:history="1">
        <w:r>
          <w:rPr>
            <w:rStyle w:val="Hyperlink"/>
          </w:rPr>
          <w:t>http://dis.puc.state.oh.us/DocumentRecord.aspx?DocID=5c7c5c38-fb21-44f3-a39b-f77a086bf0fb</w:t>
        </w:r>
      </w:hyperlink>
      <w:r>
        <w:t>.</w:t>
      </w:r>
    </w:p>
  </w:footnote>
  <w:footnote w:id="9">
    <w:p w:rsidR="003D1898" w:rsidP="00992A50" w14:paraId="0B4B5512" w14:textId="77777777">
      <w:pPr>
        <w:pStyle w:val="FootnoteText"/>
        <w:spacing w:after="120"/>
      </w:pPr>
      <w:r>
        <w:rPr>
          <w:rStyle w:val="FootnoteReference"/>
        </w:rPr>
        <w:footnoteRef/>
      </w:r>
      <w:r>
        <w:t xml:space="preserve"> Entry ¶ 9 (Mar. 3, 2020).</w:t>
      </w:r>
    </w:p>
  </w:footnote>
  <w:footnote w:id="10">
    <w:p w:rsidR="003D1898" w:rsidP="00992A50" w14:paraId="640B38B4" w14:textId="77777777">
      <w:pPr>
        <w:pStyle w:val="FootnoteText"/>
        <w:spacing w:after="120"/>
      </w:pPr>
      <w:r>
        <w:rPr>
          <w:rStyle w:val="FootnoteReference"/>
        </w:rPr>
        <w:footnoteRef/>
      </w:r>
      <w:r>
        <w:t xml:space="preserve"> This reply pertains to OCC’s motion to intervene in Verde’s electric certificate, Case No. 11-5886-EL-CRS. OCC and Verde have already filed their respective papers regarding OCC’s motion to intervene in Verde’s natural gas certificate in Case No. 13-2164-GA-CRS.</w:t>
      </w:r>
    </w:p>
  </w:footnote>
  <w:footnote w:id="11">
    <w:p w:rsidR="003D1898" w:rsidP="00992A50" w14:paraId="1D8B2ED4" w14:textId="77777777">
      <w:pPr>
        <w:pStyle w:val="FootnoteText"/>
        <w:spacing w:after="120"/>
      </w:pPr>
      <w:r>
        <w:rPr>
          <w:rStyle w:val="FootnoteReference"/>
        </w:rPr>
        <w:footnoteRef/>
      </w:r>
      <w:r>
        <w:t xml:space="preserve"> Verde Memorandum Contra at 2.</w:t>
      </w:r>
    </w:p>
  </w:footnote>
  <w:footnote w:id="12">
    <w:p w:rsidR="003D1898" w:rsidRPr="00E24E94" w:rsidP="00992A50" w14:paraId="7F9041E5" w14:textId="77777777">
      <w:pPr>
        <w:pStyle w:val="FootnoteText"/>
        <w:spacing w:after="120"/>
      </w:pPr>
      <w:r>
        <w:rPr>
          <w:rStyle w:val="FootnoteReference"/>
        </w:rPr>
        <w:footnoteRef/>
      </w:r>
      <w:r>
        <w:t xml:space="preserve"> </w:t>
      </w:r>
      <w:r>
        <w:rPr>
          <w:i/>
        </w:rPr>
        <w:t>Consumers’ Counsel v. PUCO</w:t>
      </w:r>
      <w:r>
        <w:t>, 64 Ohio St.3d 123, 126 (1992).</w:t>
      </w:r>
    </w:p>
  </w:footnote>
  <w:footnote w:id="13">
    <w:p w:rsidR="003D1898" w:rsidP="00992A50" w14:paraId="5C3CE7F3" w14:textId="77777777">
      <w:pPr>
        <w:pStyle w:val="FootnoteText"/>
        <w:spacing w:after="120"/>
      </w:pPr>
      <w:r>
        <w:rPr>
          <w:rStyle w:val="FootnoteReference"/>
        </w:rPr>
        <w:footnoteRef/>
      </w:r>
      <w:r>
        <w:t xml:space="preserve"> R.C. 4911.02(B)(2)(c).</w:t>
      </w:r>
    </w:p>
  </w:footnote>
  <w:footnote w:id="14">
    <w:p w:rsidR="003D1898" w:rsidRPr="00D26DC9" w:rsidP="00992A50" w14:paraId="279B3590" w14:textId="77777777">
      <w:pPr>
        <w:pStyle w:val="FootnoteText"/>
        <w:spacing w:after="120"/>
      </w:pPr>
      <w:r>
        <w:rPr>
          <w:rStyle w:val="FootnoteReference"/>
        </w:rPr>
        <w:footnoteRef/>
      </w:r>
      <w:r>
        <w:t xml:space="preserve"> </w:t>
      </w:r>
      <w:r>
        <w:rPr>
          <w:i/>
        </w:rPr>
        <w:t>See</w:t>
      </w:r>
      <w:r>
        <w:t xml:space="preserve"> Verde Memo Contra at 4 (“Staff will capably represent the interests of residential consumers in this case.”).</w:t>
      </w:r>
    </w:p>
  </w:footnote>
  <w:footnote w:id="15">
    <w:p w:rsidR="003D1898" w:rsidP="00992A50" w14:paraId="08629874" w14:textId="77777777">
      <w:pPr>
        <w:pStyle w:val="FootnoteText"/>
        <w:spacing w:after="120"/>
      </w:pPr>
      <w:r>
        <w:rPr>
          <w:rStyle w:val="FootnoteReference"/>
        </w:rPr>
        <w:footnoteRef/>
      </w:r>
      <w:r>
        <w:t xml:space="preserve"> Verde Memo Contra at 3-4.</w:t>
      </w:r>
    </w:p>
  </w:footnote>
  <w:footnote w:id="16">
    <w:p w:rsidR="003D1898" w:rsidP="00992A50" w14:paraId="497F4406" w14:textId="77777777">
      <w:pPr>
        <w:pStyle w:val="FootnoteText"/>
        <w:spacing w:after="120"/>
      </w:pPr>
      <w:r>
        <w:rPr>
          <w:rStyle w:val="FootnoteReference"/>
        </w:rPr>
        <w:footnoteRef/>
      </w:r>
      <w:r>
        <w:t xml:space="preserve"> Ohio Adm. Code 4901-1-10(C).</w:t>
      </w:r>
    </w:p>
  </w:footnote>
  <w:footnote w:id="17">
    <w:p w:rsidR="003D1898" w:rsidRPr="009A3789" w:rsidP="00992A50" w14:paraId="326188A0" w14:textId="77777777">
      <w:pPr>
        <w:pStyle w:val="FootnoteText"/>
        <w:spacing w:after="120"/>
      </w:pPr>
      <w:r>
        <w:rPr>
          <w:rStyle w:val="FootnoteReference"/>
        </w:rPr>
        <w:footnoteRef/>
      </w:r>
      <w:r>
        <w:t xml:space="preserve"> Verde Memo Contra at 3.</w:t>
      </w:r>
    </w:p>
  </w:footnote>
  <w:footnote w:id="18">
    <w:p w:rsidR="003D1898" w:rsidP="00992A50" w14:paraId="62C331EC" w14:textId="77777777">
      <w:pPr>
        <w:pStyle w:val="FootnoteText"/>
        <w:spacing w:after="120"/>
      </w:pPr>
      <w:r>
        <w:rPr>
          <w:rStyle w:val="FootnoteReference"/>
        </w:rPr>
        <w:footnoteRef/>
      </w:r>
      <w:r>
        <w:t xml:space="preserve"> </w:t>
      </w:r>
      <w:r>
        <w:rPr>
          <w:i/>
        </w:rPr>
        <w:t>Ohio Consumers’ Counsel v. Pub. Util. Comm</w:t>
      </w:r>
      <w:r>
        <w:t>., 111 Ohio St.3d 384, 2006-Ohio-5853, ¶20 (2006) (emphasis added).</w:t>
      </w:r>
    </w:p>
  </w:footnote>
  <w:footnote w:id="19">
    <w:p w:rsidR="003D1898" w:rsidP="00992A50" w14:paraId="755F15BB" w14:textId="77777777">
      <w:pPr>
        <w:pStyle w:val="FootnoteText"/>
        <w:spacing w:after="120"/>
      </w:pPr>
      <w:r>
        <w:rPr>
          <w:rStyle w:val="FootnoteReference"/>
        </w:rPr>
        <w:footnoteRef/>
      </w:r>
      <w:r>
        <w:t xml:space="preserve"> Verde Memo Contra at 2-3.</w:t>
      </w:r>
    </w:p>
  </w:footnote>
  <w:footnote w:id="20">
    <w:p w:rsidR="003D1898" w:rsidP="00992A50" w14:paraId="5BD18F75" w14:textId="77777777">
      <w:pPr>
        <w:pStyle w:val="FootnoteText"/>
        <w:spacing w:after="120"/>
      </w:pPr>
      <w:r>
        <w:rPr>
          <w:rStyle w:val="FootnoteReference"/>
        </w:rPr>
        <w:footnoteRef/>
      </w:r>
      <w:r>
        <w:t xml:space="preserve"> </w:t>
      </w:r>
      <w:r>
        <w:rPr>
          <w:i/>
        </w:rPr>
        <w:t>Ohio Consumers’ Counsel v. Pub. Util. Comm</w:t>
      </w:r>
      <w:r>
        <w:t>., 111 Ohio St.3d 384, 2006-Ohio-5853, ¶20 (2006) (emphasis added).</w:t>
      </w:r>
    </w:p>
  </w:footnote>
  <w:footnote w:id="21">
    <w:p w:rsidR="003D1898" w:rsidP="00992A50" w14:paraId="11796455" w14:textId="77777777">
      <w:pPr>
        <w:pStyle w:val="FootnoteText"/>
        <w:spacing w:after="120"/>
      </w:pPr>
      <w:r>
        <w:rPr>
          <w:rStyle w:val="FootnoteReference"/>
        </w:rPr>
        <w:footnoteRef/>
      </w:r>
      <w:r>
        <w:t xml:space="preserve"> Verde Memo Contra at 4-5.</w:t>
      </w:r>
    </w:p>
  </w:footnote>
  <w:footnote w:id="22">
    <w:p w:rsidR="003D1898" w:rsidP="00992A50" w14:paraId="790AC8C6" w14:textId="77777777">
      <w:pPr>
        <w:pStyle w:val="FootnoteText"/>
        <w:spacing w:after="120"/>
      </w:pPr>
      <w:r>
        <w:rPr>
          <w:rStyle w:val="FootnoteReference"/>
        </w:rPr>
        <w:footnoteRef/>
      </w:r>
      <w:r>
        <w:t xml:space="preserve"> Verde Memo Contra at 5.</w:t>
      </w:r>
    </w:p>
  </w:footnote>
  <w:footnote w:id="23">
    <w:p w:rsidR="003D1898" w:rsidP="00992A50" w14:paraId="2DC5411A" w14:textId="77777777">
      <w:pPr>
        <w:pStyle w:val="FootnoteText"/>
        <w:spacing w:after="120"/>
      </w:pPr>
      <w:r>
        <w:rPr>
          <w:rStyle w:val="FootnoteReference"/>
        </w:rPr>
        <w:footnoteRef/>
      </w:r>
      <w:r>
        <w:t xml:space="preserve"> Case No. 19-958-GE-COI, Verde Energy USA Ohio, LLC’s Motion for Protective Order (Sept. 19, 2019).</w:t>
      </w:r>
    </w:p>
  </w:footnote>
  <w:footnote w:id="24">
    <w:p w:rsidR="003D1898" w:rsidP="00992A50" w14:paraId="035F4EF3" w14:textId="77777777">
      <w:pPr>
        <w:pStyle w:val="FootnoteText"/>
        <w:spacing w:after="120"/>
      </w:pPr>
      <w:r>
        <w:rPr>
          <w:rStyle w:val="FootnoteReference"/>
        </w:rPr>
        <w:footnoteRef/>
      </w:r>
      <w:r>
        <w:t xml:space="preserve"> Verde Memo Contra at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13817"/>
    <w:multiLevelType w:val="hybridMultilevel"/>
    <w:tmpl w:val="453EDB8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946555C"/>
    <w:multiLevelType w:val="hybridMultilevel"/>
    <w:tmpl w:val="610EBC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4046284"/>
    <w:multiLevelType w:val="hybridMultilevel"/>
    <w:tmpl w:val="4C5E3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F0B67DB"/>
    <w:multiLevelType w:val="hybridMultilevel"/>
    <w:tmpl w:val="7EA640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8"/>
  </w:num>
  <w:num w:numId="4">
    <w:abstractNumId w:val="7"/>
  </w:num>
  <w:num w:numId="5">
    <w:abstractNumId w:val="1"/>
  </w:num>
  <w:num w:numId="6">
    <w:abstractNumId w:val="9"/>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09"/>
    <w:rsid w:val="0000110D"/>
    <w:rsid w:val="000039FF"/>
    <w:rsid w:val="000110F7"/>
    <w:rsid w:val="00016647"/>
    <w:rsid w:val="000202BF"/>
    <w:rsid w:val="00027501"/>
    <w:rsid w:val="00034CD8"/>
    <w:rsid w:val="00057382"/>
    <w:rsid w:val="000578A2"/>
    <w:rsid w:val="000635F2"/>
    <w:rsid w:val="0006609A"/>
    <w:rsid w:val="00066CF9"/>
    <w:rsid w:val="00091BC7"/>
    <w:rsid w:val="000925F8"/>
    <w:rsid w:val="000A3CAF"/>
    <w:rsid w:val="000A4A82"/>
    <w:rsid w:val="000B1BB1"/>
    <w:rsid w:val="000B7ED7"/>
    <w:rsid w:val="000C12B4"/>
    <w:rsid w:val="000C49E0"/>
    <w:rsid w:val="000E3CF4"/>
    <w:rsid w:val="000E6C64"/>
    <w:rsid w:val="000E7254"/>
    <w:rsid w:val="000F0366"/>
    <w:rsid w:val="000F389B"/>
    <w:rsid w:val="000F5572"/>
    <w:rsid w:val="000F7ABF"/>
    <w:rsid w:val="00106466"/>
    <w:rsid w:val="001077B5"/>
    <w:rsid w:val="00107DE7"/>
    <w:rsid w:val="00110037"/>
    <w:rsid w:val="001101EE"/>
    <w:rsid w:val="001151B9"/>
    <w:rsid w:val="001239CE"/>
    <w:rsid w:val="00130E3D"/>
    <w:rsid w:val="00131AF0"/>
    <w:rsid w:val="00131EDB"/>
    <w:rsid w:val="001324B2"/>
    <w:rsid w:val="00147D0C"/>
    <w:rsid w:val="00151C2D"/>
    <w:rsid w:val="00160EA7"/>
    <w:rsid w:val="00162941"/>
    <w:rsid w:val="00163C30"/>
    <w:rsid w:val="00165BE8"/>
    <w:rsid w:val="00166520"/>
    <w:rsid w:val="00170460"/>
    <w:rsid w:val="001936DF"/>
    <w:rsid w:val="001941E0"/>
    <w:rsid w:val="001A7091"/>
    <w:rsid w:val="001A7452"/>
    <w:rsid w:val="001B177B"/>
    <w:rsid w:val="001B1C52"/>
    <w:rsid w:val="001B2ADD"/>
    <w:rsid w:val="001F1626"/>
    <w:rsid w:val="001F372C"/>
    <w:rsid w:val="00200CAA"/>
    <w:rsid w:val="0020516E"/>
    <w:rsid w:val="00210D25"/>
    <w:rsid w:val="002131AE"/>
    <w:rsid w:val="00216EDE"/>
    <w:rsid w:val="00220D3F"/>
    <w:rsid w:val="00231BA4"/>
    <w:rsid w:val="00240621"/>
    <w:rsid w:val="002422D0"/>
    <w:rsid w:val="00247F58"/>
    <w:rsid w:val="00261223"/>
    <w:rsid w:val="002622B5"/>
    <w:rsid w:val="00262528"/>
    <w:rsid w:val="00263991"/>
    <w:rsid w:val="0027012A"/>
    <w:rsid w:val="002803A7"/>
    <w:rsid w:val="00294557"/>
    <w:rsid w:val="00295113"/>
    <w:rsid w:val="002957C4"/>
    <w:rsid w:val="002A2129"/>
    <w:rsid w:val="002A4452"/>
    <w:rsid w:val="002B7444"/>
    <w:rsid w:val="002C2434"/>
    <w:rsid w:val="002C3971"/>
    <w:rsid w:val="002C40AA"/>
    <w:rsid w:val="002C4ECD"/>
    <w:rsid w:val="002D185D"/>
    <w:rsid w:val="002E1127"/>
    <w:rsid w:val="002E4553"/>
    <w:rsid w:val="002E6880"/>
    <w:rsid w:val="002F3162"/>
    <w:rsid w:val="002F5E90"/>
    <w:rsid w:val="002F6486"/>
    <w:rsid w:val="003122E4"/>
    <w:rsid w:val="003346CD"/>
    <w:rsid w:val="00337645"/>
    <w:rsid w:val="00337FD0"/>
    <w:rsid w:val="00340F51"/>
    <w:rsid w:val="0034156F"/>
    <w:rsid w:val="00344050"/>
    <w:rsid w:val="0035237D"/>
    <w:rsid w:val="00352F05"/>
    <w:rsid w:val="00362EB8"/>
    <w:rsid w:val="00365412"/>
    <w:rsid w:val="003750C9"/>
    <w:rsid w:val="003826F6"/>
    <w:rsid w:val="003837A6"/>
    <w:rsid w:val="00385D48"/>
    <w:rsid w:val="00391638"/>
    <w:rsid w:val="0039353D"/>
    <w:rsid w:val="00397F54"/>
    <w:rsid w:val="003A42F4"/>
    <w:rsid w:val="003A5F98"/>
    <w:rsid w:val="003B1A4B"/>
    <w:rsid w:val="003C2D23"/>
    <w:rsid w:val="003C67FD"/>
    <w:rsid w:val="003D1898"/>
    <w:rsid w:val="003D4126"/>
    <w:rsid w:val="003D715D"/>
    <w:rsid w:val="003E2634"/>
    <w:rsid w:val="003E6478"/>
    <w:rsid w:val="003F1EB8"/>
    <w:rsid w:val="003F2616"/>
    <w:rsid w:val="003F4844"/>
    <w:rsid w:val="003F7530"/>
    <w:rsid w:val="00400B5C"/>
    <w:rsid w:val="00413A2B"/>
    <w:rsid w:val="0041483E"/>
    <w:rsid w:val="00417BBC"/>
    <w:rsid w:val="004317F7"/>
    <w:rsid w:val="00431C23"/>
    <w:rsid w:val="00432CDD"/>
    <w:rsid w:val="004535A2"/>
    <w:rsid w:val="0045416D"/>
    <w:rsid w:val="00463957"/>
    <w:rsid w:val="004719C4"/>
    <w:rsid w:val="00473351"/>
    <w:rsid w:val="00480C5F"/>
    <w:rsid w:val="00484245"/>
    <w:rsid w:val="0049109A"/>
    <w:rsid w:val="0049214A"/>
    <w:rsid w:val="004A107B"/>
    <w:rsid w:val="004A22C8"/>
    <w:rsid w:val="004A3D04"/>
    <w:rsid w:val="004A66B6"/>
    <w:rsid w:val="004A6984"/>
    <w:rsid w:val="004A6EE2"/>
    <w:rsid w:val="004B1662"/>
    <w:rsid w:val="004B69AE"/>
    <w:rsid w:val="004B7901"/>
    <w:rsid w:val="004D049D"/>
    <w:rsid w:val="004D05CB"/>
    <w:rsid w:val="004D4C9B"/>
    <w:rsid w:val="004D6A85"/>
    <w:rsid w:val="004E1D79"/>
    <w:rsid w:val="004E44F4"/>
    <w:rsid w:val="004E7041"/>
    <w:rsid w:val="004E7DFC"/>
    <w:rsid w:val="004F36F7"/>
    <w:rsid w:val="004F495C"/>
    <w:rsid w:val="00500B79"/>
    <w:rsid w:val="00501992"/>
    <w:rsid w:val="00503056"/>
    <w:rsid w:val="005356D7"/>
    <w:rsid w:val="00542E1F"/>
    <w:rsid w:val="00543D32"/>
    <w:rsid w:val="00544F0C"/>
    <w:rsid w:val="0054563D"/>
    <w:rsid w:val="00553AEB"/>
    <w:rsid w:val="0056206C"/>
    <w:rsid w:val="005637DC"/>
    <w:rsid w:val="00566CF1"/>
    <w:rsid w:val="00577318"/>
    <w:rsid w:val="00584BC7"/>
    <w:rsid w:val="00586ED4"/>
    <w:rsid w:val="00587C4D"/>
    <w:rsid w:val="0059137E"/>
    <w:rsid w:val="0059231F"/>
    <w:rsid w:val="0059283C"/>
    <w:rsid w:val="00593F41"/>
    <w:rsid w:val="00594E90"/>
    <w:rsid w:val="005B331B"/>
    <w:rsid w:val="005B4C84"/>
    <w:rsid w:val="005B6B86"/>
    <w:rsid w:val="005C72C2"/>
    <w:rsid w:val="005D3F48"/>
    <w:rsid w:val="005D4737"/>
    <w:rsid w:val="005E1404"/>
    <w:rsid w:val="005E5539"/>
    <w:rsid w:val="005F1B61"/>
    <w:rsid w:val="005F2298"/>
    <w:rsid w:val="0060598B"/>
    <w:rsid w:val="00606D17"/>
    <w:rsid w:val="00611649"/>
    <w:rsid w:val="00612919"/>
    <w:rsid w:val="00614F1F"/>
    <w:rsid w:val="006309C5"/>
    <w:rsid w:val="006416B6"/>
    <w:rsid w:val="00641FA9"/>
    <w:rsid w:val="00646111"/>
    <w:rsid w:val="006511C0"/>
    <w:rsid w:val="0065689A"/>
    <w:rsid w:val="00660DB0"/>
    <w:rsid w:val="006629C4"/>
    <w:rsid w:val="00665C0A"/>
    <w:rsid w:val="006672FD"/>
    <w:rsid w:val="00670895"/>
    <w:rsid w:val="00683224"/>
    <w:rsid w:val="006859F7"/>
    <w:rsid w:val="00687438"/>
    <w:rsid w:val="006917C6"/>
    <w:rsid w:val="006A1716"/>
    <w:rsid w:val="006A37D6"/>
    <w:rsid w:val="006B450E"/>
    <w:rsid w:val="006B6492"/>
    <w:rsid w:val="006B764D"/>
    <w:rsid w:val="006C2ACB"/>
    <w:rsid w:val="006C47B8"/>
    <w:rsid w:val="006D3179"/>
    <w:rsid w:val="006D4759"/>
    <w:rsid w:val="006D5580"/>
    <w:rsid w:val="006E0A5C"/>
    <w:rsid w:val="006E569F"/>
    <w:rsid w:val="006E7F90"/>
    <w:rsid w:val="006F29E2"/>
    <w:rsid w:val="006F5E38"/>
    <w:rsid w:val="00700FB1"/>
    <w:rsid w:val="0070178C"/>
    <w:rsid w:val="007115BE"/>
    <w:rsid w:val="00711BAE"/>
    <w:rsid w:val="00716257"/>
    <w:rsid w:val="00731B26"/>
    <w:rsid w:val="007320F8"/>
    <w:rsid w:val="0073422D"/>
    <w:rsid w:val="0073453E"/>
    <w:rsid w:val="00753244"/>
    <w:rsid w:val="00756A9E"/>
    <w:rsid w:val="007677B3"/>
    <w:rsid w:val="007749C4"/>
    <w:rsid w:val="00775A93"/>
    <w:rsid w:val="00783692"/>
    <w:rsid w:val="00785146"/>
    <w:rsid w:val="00786590"/>
    <w:rsid w:val="00791135"/>
    <w:rsid w:val="00791807"/>
    <w:rsid w:val="007A0D0E"/>
    <w:rsid w:val="007A7105"/>
    <w:rsid w:val="007B068C"/>
    <w:rsid w:val="007B2C72"/>
    <w:rsid w:val="007B390B"/>
    <w:rsid w:val="007C14AA"/>
    <w:rsid w:val="007C560A"/>
    <w:rsid w:val="007D50EA"/>
    <w:rsid w:val="007D5AE5"/>
    <w:rsid w:val="007E2879"/>
    <w:rsid w:val="007E4AE3"/>
    <w:rsid w:val="007F08CC"/>
    <w:rsid w:val="007F2CC1"/>
    <w:rsid w:val="007F34CF"/>
    <w:rsid w:val="007F48D4"/>
    <w:rsid w:val="00804E49"/>
    <w:rsid w:val="00807AD7"/>
    <w:rsid w:val="00810BAE"/>
    <w:rsid w:val="00813CC3"/>
    <w:rsid w:val="00814057"/>
    <w:rsid w:val="008141BB"/>
    <w:rsid w:val="00822971"/>
    <w:rsid w:val="008310ED"/>
    <w:rsid w:val="0083591F"/>
    <w:rsid w:val="00850DC1"/>
    <w:rsid w:val="00851376"/>
    <w:rsid w:val="00854068"/>
    <w:rsid w:val="008610A8"/>
    <w:rsid w:val="00861214"/>
    <w:rsid w:val="0086369F"/>
    <w:rsid w:val="00864D76"/>
    <w:rsid w:val="00865ACA"/>
    <w:rsid w:val="008673F7"/>
    <w:rsid w:val="008766C2"/>
    <w:rsid w:val="00881C3F"/>
    <w:rsid w:val="00887AF3"/>
    <w:rsid w:val="00891815"/>
    <w:rsid w:val="0089369B"/>
    <w:rsid w:val="00894375"/>
    <w:rsid w:val="0089543E"/>
    <w:rsid w:val="00897771"/>
    <w:rsid w:val="008A5565"/>
    <w:rsid w:val="008C52F2"/>
    <w:rsid w:val="008C6A81"/>
    <w:rsid w:val="008D33BD"/>
    <w:rsid w:val="008D5052"/>
    <w:rsid w:val="008F7E3B"/>
    <w:rsid w:val="00901A32"/>
    <w:rsid w:val="00903CA0"/>
    <w:rsid w:val="00905BCA"/>
    <w:rsid w:val="0091434C"/>
    <w:rsid w:val="009151CC"/>
    <w:rsid w:val="009178AF"/>
    <w:rsid w:val="00921ED7"/>
    <w:rsid w:val="00922300"/>
    <w:rsid w:val="00926762"/>
    <w:rsid w:val="009300A9"/>
    <w:rsid w:val="00936654"/>
    <w:rsid w:val="009472C8"/>
    <w:rsid w:val="00952D50"/>
    <w:rsid w:val="00973CAE"/>
    <w:rsid w:val="00975160"/>
    <w:rsid w:val="0097615C"/>
    <w:rsid w:val="0098629F"/>
    <w:rsid w:val="0099289D"/>
    <w:rsid w:val="00992A50"/>
    <w:rsid w:val="009A3789"/>
    <w:rsid w:val="009A4FA3"/>
    <w:rsid w:val="009B4E2A"/>
    <w:rsid w:val="009C7F6C"/>
    <w:rsid w:val="009D084F"/>
    <w:rsid w:val="009D18B3"/>
    <w:rsid w:val="009D274E"/>
    <w:rsid w:val="009D2D53"/>
    <w:rsid w:val="009E09EC"/>
    <w:rsid w:val="009E4EA5"/>
    <w:rsid w:val="00A001C4"/>
    <w:rsid w:val="00A044B5"/>
    <w:rsid w:val="00A1018F"/>
    <w:rsid w:val="00A10E45"/>
    <w:rsid w:val="00A15EEC"/>
    <w:rsid w:val="00A1707B"/>
    <w:rsid w:val="00A23E08"/>
    <w:rsid w:val="00A267FA"/>
    <w:rsid w:val="00A30722"/>
    <w:rsid w:val="00A31B5F"/>
    <w:rsid w:val="00A359A7"/>
    <w:rsid w:val="00A46FA3"/>
    <w:rsid w:val="00A53528"/>
    <w:rsid w:val="00A53900"/>
    <w:rsid w:val="00A567AB"/>
    <w:rsid w:val="00A571F3"/>
    <w:rsid w:val="00A65C52"/>
    <w:rsid w:val="00A7519A"/>
    <w:rsid w:val="00A76714"/>
    <w:rsid w:val="00A802D6"/>
    <w:rsid w:val="00A82729"/>
    <w:rsid w:val="00A94909"/>
    <w:rsid w:val="00AA31FB"/>
    <w:rsid w:val="00AA7BFC"/>
    <w:rsid w:val="00AB4CFB"/>
    <w:rsid w:val="00AC1DB5"/>
    <w:rsid w:val="00AC4753"/>
    <w:rsid w:val="00AC71FF"/>
    <w:rsid w:val="00AD45A5"/>
    <w:rsid w:val="00AD5DC4"/>
    <w:rsid w:val="00AE551A"/>
    <w:rsid w:val="00AF107E"/>
    <w:rsid w:val="00AF1EB7"/>
    <w:rsid w:val="00AF2BFD"/>
    <w:rsid w:val="00AF2D1E"/>
    <w:rsid w:val="00AF31F0"/>
    <w:rsid w:val="00B01B51"/>
    <w:rsid w:val="00B05B8A"/>
    <w:rsid w:val="00B160ED"/>
    <w:rsid w:val="00B33818"/>
    <w:rsid w:val="00B379B2"/>
    <w:rsid w:val="00B37C73"/>
    <w:rsid w:val="00B42956"/>
    <w:rsid w:val="00B44311"/>
    <w:rsid w:val="00B46444"/>
    <w:rsid w:val="00B52F65"/>
    <w:rsid w:val="00B530FD"/>
    <w:rsid w:val="00B55677"/>
    <w:rsid w:val="00B559AA"/>
    <w:rsid w:val="00B610EB"/>
    <w:rsid w:val="00B6528E"/>
    <w:rsid w:val="00B65A3A"/>
    <w:rsid w:val="00B720BD"/>
    <w:rsid w:val="00B726E4"/>
    <w:rsid w:val="00B76797"/>
    <w:rsid w:val="00B8388D"/>
    <w:rsid w:val="00B86E90"/>
    <w:rsid w:val="00B93564"/>
    <w:rsid w:val="00B958B3"/>
    <w:rsid w:val="00BA2A56"/>
    <w:rsid w:val="00BB5292"/>
    <w:rsid w:val="00BB6F7A"/>
    <w:rsid w:val="00BB7CC7"/>
    <w:rsid w:val="00BC300C"/>
    <w:rsid w:val="00BC5B2C"/>
    <w:rsid w:val="00BC7D43"/>
    <w:rsid w:val="00BE3175"/>
    <w:rsid w:val="00BE7BD8"/>
    <w:rsid w:val="00BF33A8"/>
    <w:rsid w:val="00BF3703"/>
    <w:rsid w:val="00C00484"/>
    <w:rsid w:val="00C004D0"/>
    <w:rsid w:val="00C12096"/>
    <w:rsid w:val="00C20A2A"/>
    <w:rsid w:val="00C35C7E"/>
    <w:rsid w:val="00C46BCB"/>
    <w:rsid w:val="00C50C5C"/>
    <w:rsid w:val="00C50CDA"/>
    <w:rsid w:val="00C616A6"/>
    <w:rsid w:val="00C62FAB"/>
    <w:rsid w:val="00C635CD"/>
    <w:rsid w:val="00C65EDA"/>
    <w:rsid w:val="00C82B81"/>
    <w:rsid w:val="00C87E9D"/>
    <w:rsid w:val="00C91487"/>
    <w:rsid w:val="00C9264C"/>
    <w:rsid w:val="00C94986"/>
    <w:rsid w:val="00C94C4B"/>
    <w:rsid w:val="00C95C1A"/>
    <w:rsid w:val="00CA48DC"/>
    <w:rsid w:val="00CA6832"/>
    <w:rsid w:val="00CB0BBC"/>
    <w:rsid w:val="00CD615E"/>
    <w:rsid w:val="00CE436B"/>
    <w:rsid w:val="00CE7CA5"/>
    <w:rsid w:val="00D03BB2"/>
    <w:rsid w:val="00D107F1"/>
    <w:rsid w:val="00D124EB"/>
    <w:rsid w:val="00D25518"/>
    <w:rsid w:val="00D26DC9"/>
    <w:rsid w:val="00D30B26"/>
    <w:rsid w:val="00D3334C"/>
    <w:rsid w:val="00D33FB3"/>
    <w:rsid w:val="00D43A89"/>
    <w:rsid w:val="00D55AE1"/>
    <w:rsid w:val="00D57EC3"/>
    <w:rsid w:val="00D676C0"/>
    <w:rsid w:val="00D730F0"/>
    <w:rsid w:val="00D75E84"/>
    <w:rsid w:val="00D81FCA"/>
    <w:rsid w:val="00D8459E"/>
    <w:rsid w:val="00D86024"/>
    <w:rsid w:val="00D87315"/>
    <w:rsid w:val="00D87DDD"/>
    <w:rsid w:val="00D971A3"/>
    <w:rsid w:val="00DA3795"/>
    <w:rsid w:val="00DB1705"/>
    <w:rsid w:val="00DB184A"/>
    <w:rsid w:val="00DB2B65"/>
    <w:rsid w:val="00DB5F23"/>
    <w:rsid w:val="00DB6309"/>
    <w:rsid w:val="00DC6D4F"/>
    <w:rsid w:val="00DD1844"/>
    <w:rsid w:val="00DD3535"/>
    <w:rsid w:val="00DE1752"/>
    <w:rsid w:val="00DE6A2C"/>
    <w:rsid w:val="00E06BA8"/>
    <w:rsid w:val="00E0739F"/>
    <w:rsid w:val="00E10673"/>
    <w:rsid w:val="00E17410"/>
    <w:rsid w:val="00E2159F"/>
    <w:rsid w:val="00E24E94"/>
    <w:rsid w:val="00E30D7C"/>
    <w:rsid w:val="00E30EE1"/>
    <w:rsid w:val="00E37730"/>
    <w:rsid w:val="00E42488"/>
    <w:rsid w:val="00E43E57"/>
    <w:rsid w:val="00E46092"/>
    <w:rsid w:val="00E523E3"/>
    <w:rsid w:val="00E6143F"/>
    <w:rsid w:val="00E6570A"/>
    <w:rsid w:val="00E66563"/>
    <w:rsid w:val="00E677AC"/>
    <w:rsid w:val="00E70DD9"/>
    <w:rsid w:val="00E76A2E"/>
    <w:rsid w:val="00E801AD"/>
    <w:rsid w:val="00E81D7C"/>
    <w:rsid w:val="00E833B2"/>
    <w:rsid w:val="00E87065"/>
    <w:rsid w:val="00E87E9F"/>
    <w:rsid w:val="00E91CFF"/>
    <w:rsid w:val="00E94024"/>
    <w:rsid w:val="00E94132"/>
    <w:rsid w:val="00E97B5E"/>
    <w:rsid w:val="00EB1762"/>
    <w:rsid w:val="00EB5DBE"/>
    <w:rsid w:val="00EB68A6"/>
    <w:rsid w:val="00ED358A"/>
    <w:rsid w:val="00ED3B89"/>
    <w:rsid w:val="00ED5E6B"/>
    <w:rsid w:val="00EF0788"/>
    <w:rsid w:val="00F00D8C"/>
    <w:rsid w:val="00F011FA"/>
    <w:rsid w:val="00F02AFA"/>
    <w:rsid w:val="00F1618B"/>
    <w:rsid w:val="00F22F03"/>
    <w:rsid w:val="00F25517"/>
    <w:rsid w:val="00F26293"/>
    <w:rsid w:val="00F3546D"/>
    <w:rsid w:val="00F363B6"/>
    <w:rsid w:val="00F44221"/>
    <w:rsid w:val="00F472C0"/>
    <w:rsid w:val="00F51777"/>
    <w:rsid w:val="00F55C88"/>
    <w:rsid w:val="00F70A0D"/>
    <w:rsid w:val="00F71EC7"/>
    <w:rsid w:val="00F82A93"/>
    <w:rsid w:val="00F84EA6"/>
    <w:rsid w:val="00F90B18"/>
    <w:rsid w:val="00F90D4B"/>
    <w:rsid w:val="00F95497"/>
    <w:rsid w:val="00FA01A4"/>
    <w:rsid w:val="00FA395C"/>
    <w:rsid w:val="00FB24E3"/>
    <w:rsid w:val="00FB4AE9"/>
    <w:rsid w:val="00FB5F37"/>
    <w:rsid w:val="00FC12A1"/>
    <w:rsid w:val="00FC554D"/>
    <w:rsid w:val="00FD0DAE"/>
    <w:rsid w:val="00FD22D2"/>
    <w:rsid w:val="00FD2EE5"/>
    <w:rsid w:val="00FD35F6"/>
    <w:rsid w:val="00FD466F"/>
    <w:rsid w:val="00FD573C"/>
    <w:rsid w:val="00FD7B83"/>
    <w:rsid w:val="00FE0569"/>
    <w:rsid w:val="00FE1341"/>
    <w:rsid w:val="00FE26E6"/>
    <w:rsid w:val="00FF35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2B4"/>
    <w:rPr>
      <w:sz w:val="24"/>
    </w:rPr>
  </w:style>
  <w:style w:type="paragraph" w:styleId="Heading1">
    <w:name w:val="heading 1"/>
    <w:basedOn w:val="Normal"/>
    <w:next w:val="Normal"/>
    <w:link w:val="Heading1Char"/>
    <w:qFormat/>
    <w:rsid w:val="00352F05"/>
    <w:pPr>
      <w:keepNext/>
      <w:spacing w:after="240"/>
      <w:ind w:left="720" w:hanging="720"/>
      <w:outlineLvl w:val="0"/>
    </w:pPr>
    <w:rPr>
      <w:b/>
      <w:szCs w:val="24"/>
    </w:rPr>
  </w:style>
  <w:style w:type="paragraph" w:styleId="Heading2">
    <w:name w:val="heading 2"/>
    <w:basedOn w:val="Normal"/>
    <w:next w:val="Normal"/>
    <w:link w:val="Heading2Char"/>
    <w:qFormat/>
    <w:rsid w:val="00B46444"/>
    <w:pPr>
      <w:keepNext/>
      <w:tabs>
        <w:tab w:val="left" w:pos="4320"/>
      </w:tabs>
      <w:spacing w:after="240"/>
      <w:ind w:left="5040" w:hanging="4320"/>
      <w:outlineLvl w:val="1"/>
    </w:pPr>
    <w:rPr>
      <w:b/>
    </w:rPr>
  </w:style>
  <w:style w:type="paragraph" w:styleId="Heading3">
    <w:name w:val="heading 3"/>
    <w:basedOn w:val="Normal"/>
    <w:next w:val="Normal"/>
    <w:qFormat/>
    <w:rsid w:val="00B46444"/>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76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B76797"/>
    <w:pPr>
      <w:tabs>
        <w:tab w:val="center" w:pos="4320"/>
        <w:tab w:val="right" w:pos="8640"/>
      </w:tabs>
    </w:pPr>
    <w:rPr>
      <w:sz w:val="20"/>
    </w:rPr>
  </w:style>
  <w:style w:type="character" w:styleId="Hyperlink">
    <w:name w:val="Hyperlink"/>
    <w:uiPriority w:val="99"/>
    <w:rsid w:val="00B76797"/>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sid w:val="00B76797"/>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B76797"/>
    <w:rPr>
      <w:vertAlign w:val="superscript"/>
    </w:rPr>
  </w:style>
  <w:style w:type="paragraph" w:styleId="BodyTextIndent">
    <w:name w:val="Body Text Indent"/>
    <w:basedOn w:val="Normal"/>
    <w:rsid w:val="00B76797"/>
    <w:pPr>
      <w:spacing w:line="480" w:lineRule="auto"/>
      <w:ind w:firstLine="720"/>
    </w:pPr>
  </w:style>
  <w:style w:type="paragraph" w:styleId="BodyTextIndent3">
    <w:name w:val="Body Text Indent 3"/>
    <w:basedOn w:val="Normal"/>
    <w:link w:val="BodyTextIndent3Char"/>
    <w:rsid w:val="00B76797"/>
    <w:pPr>
      <w:spacing w:line="480" w:lineRule="atLeast"/>
      <w:ind w:firstLine="720"/>
    </w:pPr>
  </w:style>
  <w:style w:type="paragraph" w:styleId="BodyTextIndent2">
    <w:name w:val="Body Text Indent 2"/>
    <w:basedOn w:val="Normal"/>
    <w:rsid w:val="00B76797"/>
    <w:pPr>
      <w:tabs>
        <w:tab w:val="left" w:pos="720"/>
      </w:tabs>
      <w:spacing w:before="240" w:after="240"/>
      <w:ind w:left="1464" w:hanging="744"/>
    </w:pPr>
  </w:style>
  <w:style w:type="character" w:styleId="PageNumber">
    <w:name w:val="page number"/>
    <w:basedOn w:val="DefaultParagraphFont"/>
    <w:rsid w:val="00B76797"/>
  </w:style>
  <w:style w:type="paragraph" w:styleId="BodyText">
    <w:name w:val="Body Text"/>
    <w:basedOn w:val="Normal"/>
    <w:link w:val="BodyTextChar"/>
    <w:rsid w:val="00B76797"/>
    <w:pPr>
      <w:jc w:val="both"/>
    </w:pPr>
  </w:style>
  <w:style w:type="paragraph" w:styleId="BlockText">
    <w:name w:val="Block Text"/>
    <w:basedOn w:val="Normal"/>
    <w:rsid w:val="00B76797"/>
    <w:pPr>
      <w:ind w:left="1440" w:right="720"/>
    </w:pPr>
  </w:style>
  <w:style w:type="paragraph" w:styleId="EndnoteText">
    <w:name w:val="endnote text"/>
    <w:basedOn w:val="Normal"/>
    <w:semiHidden/>
    <w:rsid w:val="00B76797"/>
    <w:rPr>
      <w:sz w:val="20"/>
    </w:rPr>
  </w:style>
  <w:style w:type="character" w:styleId="EndnoteReference">
    <w:name w:val="endnote reference"/>
    <w:semiHidden/>
    <w:rsid w:val="00B76797"/>
    <w:rPr>
      <w:vertAlign w:val="superscript"/>
    </w:rPr>
  </w:style>
  <w:style w:type="paragraph" w:styleId="BodyText2">
    <w:name w:val="Body Text 2"/>
    <w:basedOn w:val="Normal"/>
    <w:rsid w:val="00B76797"/>
    <w:pPr>
      <w:spacing w:line="480" w:lineRule="auto"/>
      <w:ind w:right="1440"/>
    </w:pPr>
  </w:style>
  <w:style w:type="paragraph" w:styleId="Header">
    <w:name w:val="header"/>
    <w:basedOn w:val="Normal"/>
    <w:link w:val="HeaderChar"/>
    <w:uiPriority w:val="99"/>
    <w:rsid w:val="00B76797"/>
    <w:pPr>
      <w:tabs>
        <w:tab w:val="center" w:pos="4320"/>
        <w:tab w:val="right" w:pos="8640"/>
      </w:tabs>
    </w:pPr>
  </w:style>
  <w:style w:type="paragraph" w:styleId="BalloonText">
    <w:name w:val="Balloon Text"/>
    <w:basedOn w:val="Normal"/>
    <w:semiHidden/>
    <w:rsid w:val="00B76797"/>
    <w:rPr>
      <w:rFonts w:ascii="Lucida Grande" w:hAnsi="Lucida Grande"/>
      <w:sz w:val="18"/>
      <w:szCs w:val="18"/>
    </w:rPr>
  </w:style>
  <w:style w:type="character" w:styleId="CommentReference">
    <w:name w:val="annotation reference"/>
    <w:semiHidden/>
    <w:rsid w:val="00B76797"/>
    <w:rPr>
      <w:sz w:val="18"/>
    </w:rPr>
  </w:style>
  <w:style w:type="paragraph" w:styleId="CommentText">
    <w:name w:val="annotation text"/>
    <w:basedOn w:val="Normal"/>
    <w:link w:val="CommentTextChar"/>
    <w:semiHidden/>
    <w:rsid w:val="00B76797"/>
    <w:rPr>
      <w:szCs w:val="24"/>
    </w:rPr>
  </w:style>
  <w:style w:type="paragraph" w:styleId="CommentSubject">
    <w:name w:val="annotation subject"/>
    <w:basedOn w:val="CommentText"/>
    <w:next w:val="CommentText"/>
    <w:semiHidden/>
    <w:rsid w:val="00B76797"/>
    <w:rPr>
      <w:szCs w:val="20"/>
    </w:rPr>
  </w:style>
  <w:style w:type="character" w:styleId="FollowedHyperlink">
    <w:name w:val="FollowedHyperlink"/>
    <w:rsid w:val="00B76797"/>
    <w:rPr>
      <w:color w:val="800080"/>
      <w:u w:val="single"/>
    </w:rPr>
  </w:style>
  <w:style w:type="character" w:customStyle="1" w:styleId="term1">
    <w:name w:val="term1"/>
    <w:rsid w:val="00B76797"/>
    <w:rPr>
      <w:b/>
      <w:bCs/>
    </w:rPr>
  </w:style>
  <w:style w:type="table" w:styleId="TableGrid">
    <w:name w:val="Table Grid"/>
    <w:basedOn w:val="TableNormal"/>
    <w:rsid w:val="00B7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76797"/>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UnresolvedMention2">
    <w:name w:val="Unresolved Mention2"/>
    <w:basedOn w:val="DefaultParagraphFont"/>
    <w:rsid w:val="006511C0"/>
    <w:rPr>
      <w:color w:val="605E5C"/>
      <w:shd w:val="clear" w:color="auto" w:fill="E1DFDD"/>
    </w:rPr>
  </w:style>
  <w:style w:type="character" w:customStyle="1" w:styleId="HeaderChar">
    <w:name w:val="Header Char"/>
    <w:basedOn w:val="DefaultParagraphFont"/>
    <w:link w:val="Header"/>
    <w:uiPriority w:val="99"/>
    <w:rsid w:val="006859F7"/>
    <w:rPr>
      <w:sz w:val="24"/>
    </w:rPr>
  </w:style>
  <w:style w:type="paragraph" w:styleId="ListParagraph">
    <w:name w:val="List Paragraph"/>
    <w:basedOn w:val="Normal"/>
    <w:uiPriority w:val="34"/>
    <w:qFormat/>
    <w:rsid w:val="006859F7"/>
    <w:pPr>
      <w:ind w:left="720"/>
      <w:contextualSpacing/>
    </w:pPr>
    <w:rPr>
      <w:szCs w:val="24"/>
      <w:lang w:bidi="en-US"/>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6859F7"/>
  </w:style>
  <w:style w:type="character" w:customStyle="1" w:styleId="HTMLPreformattedChar">
    <w:name w:val="HTML Preformatted Char"/>
    <w:basedOn w:val="DefaultParagraphFont"/>
    <w:link w:val="HTMLPreformatted"/>
    <w:rsid w:val="000F0366"/>
    <w:rPr>
      <w:rFonts w:ascii="Courier New" w:eastAsia="Courier New" w:hAnsi="Courier New" w:cs="Courier New"/>
    </w:rPr>
  </w:style>
  <w:style w:type="character" w:customStyle="1" w:styleId="Heading1Char">
    <w:name w:val="Heading 1 Char"/>
    <w:basedOn w:val="DefaultParagraphFont"/>
    <w:link w:val="Heading1"/>
    <w:rsid w:val="00352F05"/>
    <w:rPr>
      <w:b/>
      <w:sz w:val="24"/>
      <w:szCs w:val="24"/>
    </w:rPr>
  </w:style>
  <w:style w:type="paragraph" w:styleId="TOC2">
    <w:name w:val="toc 2"/>
    <w:basedOn w:val="Normal"/>
    <w:next w:val="Normal"/>
    <w:autoRedefine/>
    <w:uiPriority w:val="39"/>
    <w:rsid w:val="00922300"/>
    <w:pPr>
      <w:tabs>
        <w:tab w:val="decimal" w:leader="dot" w:pos="8640"/>
      </w:tabs>
      <w:spacing w:after="240"/>
      <w:ind w:left="1440" w:hanging="720"/>
    </w:pPr>
  </w:style>
  <w:style w:type="paragraph" w:styleId="TOC1">
    <w:name w:val="toc 1"/>
    <w:basedOn w:val="Normal"/>
    <w:next w:val="Normal"/>
    <w:autoRedefine/>
    <w:uiPriority w:val="39"/>
    <w:rsid w:val="00922300"/>
    <w:pPr>
      <w:tabs>
        <w:tab w:val="decimal" w:leader="dot" w:pos="8640"/>
      </w:tabs>
      <w:spacing w:after="240"/>
      <w:ind w:left="720" w:hanging="720"/>
    </w:pPr>
  </w:style>
  <w:style w:type="character" w:customStyle="1" w:styleId="Heading2Char">
    <w:name w:val="Heading 2 Char"/>
    <w:basedOn w:val="DefaultParagraphFont"/>
    <w:link w:val="Heading2"/>
    <w:rsid w:val="00B46444"/>
    <w:rPr>
      <w:b/>
      <w:sz w:val="24"/>
    </w:rPr>
  </w:style>
  <w:style w:type="character" w:customStyle="1" w:styleId="BodyTextIndent3Char">
    <w:name w:val="Body Text Indent 3 Char"/>
    <w:basedOn w:val="DefaultParagraphFont"/>
    <w:link w:val="BodyTextIndent3"/>
    <w:rsid w:val="00385D48"/>
    <w:rPr>
      <w:sz w:val="24"/>
    </w:rPr>
  </w:style>
  <w:style w:type="character" w:customStyle="1" w:styleId="BodyTextChar">
    <w:name w:val="Body Text Char"/>
    <w:basedOn w:val="DefaultParagraphFont"/>
    <w:link w:val="BodyText"/>
    <w:rsid w:val="00385D48"/>
    <w:rPr>
      <w:sz w:val="24"/>
    </w:rPr>
  </w:style>
  <w:style w:type="character" w:customStyle="1" w:styleId="CommentTextChar">
    <w:name w:val="Comment Text Char"/>
    <w:basedOn w:val="DefaultParagraphFont"/>
    <w:link w:val="CommentText"/>
    <w:semiHidden/>
    <w:rsid w:val="00385D48"/>
    <w:rPr>
      <w:sz w:val="24"/>
      <w:szCs w:val="24"/>
    </w:rPr>
  </w:style>
  <w:style w:type="paragraph" w:styleId="TOC3">
    <w:name w:val="toc 3"/>
    <w:basedOn w:val="Normal"/>
    <w:next w:val="Normal"/>
    <w:autoRedefine/>
    <w:uiPriority w:val="39"/>
    <w:unhideWhenUsed/>
    <w:rsid w:val="00922300"/>
    <w:pPr>
      <w:tabs>
        <w:tab w:val="decimal" w:leader="dot" w:pos="864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yperlink" Target="mailto:John.jones@ohioattorneygeneral.gov" TargetMode="External" /><Relationship Id="rId13" Type="http://schemas.openxmlformats.org/officeDocument/2006/relationships/hyperlink" Target="mailto:Dan.fullin@puco.ohio.gov" TargetMode="External" /><Relationship Id="rId14" Type="http://schemas.openxmlformats.org/officeDocument/2006/relationships/hyperlink" Target="mailto:kwhite@sparkenergy.com" TargetMode="External" /><Relationship Id="rId15" Type="http://schemas.openxmlformats.org/officeDocument/2006/relationships/hyperlink" Target="mailto:bclay@sparkenergy.com" TargetMode="External" /><Relationship Id="rId16" Type="http://schemas.openxmlformats.org/officeDocument/2006/relationships/hyperlink" Target="mailto:mlundstrom@sparkenergy.com" TargetMode="Externa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ngela.obrien@occ.ohio.gov" TargetMode="External" /><Relationship Id="rId8" Type="http://schemas.openxmlformats.org/officeDocument/2006/relationships/hyperlink" Target="mailto:bojko@carpenterlipps.com"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dis.puc.state.oh.us/DocumentRecord.aspx?DocID=830d58fe-2871-4537-ae15-f4bab5542d5a" TargetMode="External" /><Relationship Id="rId2" Type="http://schemas.openxmlformats.org/officeDocument/2006/relationships/hyperlink" Target="http://dis.puc.state.oh.us/DocumentRecord.aspx?DocID=5c7c5c38-fb21-44f3-a39b-f77a086bf0f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61F4-3880-4E6C-B688-C59E42B9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Verde 11-5886 - OCC Reply to MC MTI w/ka.ls.mrw.dfs  (00143121.DOCX;1)</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2020-03-30T20:58:59Z</dcterms:created>
  <dcterms:modified xsi:type="dcterms:W3CDTF">2020-03-30T20:58:59Z</dcterms:modified>
</cp:coreProperties>
</file>