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B52F65" w:rsidRPr="00E804A5" w14:paraId="2174E089" w14:textId="68C976B0">
      <w:pPr>
        <w:pStyle w:val="HTMLPreformatted"/>
        <w:jc w:val="center"/>
        <w:rPr>
          <w:rFonts w:ascii="Times New Roman" w:hAnsi="Times New Roman" w:cs="Times New Roman"/>
          <w:b/>
          <w:bCs/>
          <w:sz w:val="24"/>
          <w:szCs w:val="24"/>
        </w:rPr>
      </w:pPr>
      <w:r w:rsidRPr="00E804A5">
        <w:rPr>
          <w:rFonts w:ascii="Times New Roman" w:hAnsi="Times New Roman" w:cs="Times New Roman"/>
          <w:b/>
          <w:bCs/>
          <w:sz w:val="24"/>
          <w:szCs w:val="24"/>
        </w:rPr>
        <w:t>BEFORE</w:t>
      </w:r>
    </w:p>
    <w:p w:rsidR="00B52F65" w:rsidRPr="00E804A5" w14:paraId="1BD69D0C" w14:textId="77777777">
      <w:pPr>
        <w:pStyle w:val="HTMLPreformatted"/>
        <w:jc w:val="center"/>
        <w:rPr>
          <w:rFonts w:ascii="Times New Roman" w:hAnsi="Times New Roman" w:cs="Times New Roman"/>
          <w:sz w:val="24"/>
          <w:szCs w:val="24"/>
        </w:rPr>
      </w:pPr>
      <w:r w:rsidRPr="00E804A5">
        <w:rPr>
          <w:rFonts w:ascii="Times New Roman" w:hAnsi="Times New Roman" w:cs="Times New Roman"/>
          <w:b/>
          <w:bCs/>
          <w:sz w:val="24"/>
          <w:szCs w:val="24"/>
        </w:rPr>
        <w:t>THE PUBLIC UTILITIES COMMISSION OF OHIO</w:t>
      </w:r>
    </w:p>
    <w:p w:rsidR="00B52F65" w:rsidRPr="00E804A5" w14:paraId="13538E75" w14:textId="77777777">
      <w:pPr>
        <w:pStyle w:val="HTMLPreformatted"/>
        <w:rPr>
          <w:rFonts w:ascii="Times New Roman" w:hAnsi="Times New Roman" w:cs="Times New Roman"/>
          <w:sz w:val="24"/>
          <w:szCs w:val="24"/>
        </w:rPr>
      </w:pPr>
    </w:p>
    <w:tbl>
      <w:tblPr>
        <w:tblW w:w="8730" w:type="dxa"/>
        <w:tblInd w:w="0" w:type="dxa"/>
        <w:tblCellMar>
          <w:top w:w="0" w:type="dxa"/>
          <w:left w:w="108" w:type="dxa"/>
          <w:bottom w:w="0" w:type="dxa"/>
          <w:right w:w="108" w:type="dxa"/>
        </w:tblCellMar>
        <w:tblLook w:val="01E0"/>
      </w:tblPr>
      <w:tblGrid>
        <w:gridCol w:w="4230"/>
        <w:gridCol w:w="468"/>
        <w:gridCol w:w="4032"/>
      </w:tblGrid>
      <w:tr w14:paraId="49E4A012" w14:textId="77777777" w:rsidTr="00A46FA3">
        <w:tblPrEx>
          <w:tblW w:w="8730" w:type="dxa"/>
          <w:tblInd w:w="0" w:type="dxa"/>
          <w:tblCellMar>
            <w:top w:w="0" w:type="dxa"/>
            <w:left w:w="108" w:type="dxa"/>
            <w:bottom w:w="0" w:type="dxa"/>
            <w:right w:w="108" w:type="dxa"/>
          </w:tblCellMar>
          <w:tblLook w:val="01E0"/>
        </w:tblPrEx>
        <w:trPr>
          <w:trHeight w:val="807"/>
        </w:trPr>
        <w:tc>
          <w:tcPr>
            <w:tcW w:w="4230" w:type="dxa"/>
            <w:shd w:val="clear" w:color="auto" w:fill="auto"/>
          </w:tcPr>
          <w:p w:rsidR="0060598B" w:rsidRPr="00E804A5" w:rsidP="0060598B" w14:paraId="5F40D936" w14:textId="6835DF2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 xml:space="preserve">In the Matter of the Commission’s </w:t>
            </w:r>
          </w:p>
          <w:p w:rsidR="00C926BE" w:rsidRPr="00E804A5" w:rsidP="0060598B" w14:paraId="75BDC502" w14:textId="32DAF3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 xml:space="preserve">Investigation of RPA Energy, Inc.’s Compliance with the Ohio Administrative Code </w:t>
            </w:r>
            <w:r w:rsidRPr="00E804A5" w:rsidR="00FE302C">
              <w:rPr>
                <w:rFonts w:ascii="Times New Roman" w:eastAsia="Courier New" w:hAnsi="Times New Roman" w:cs="Times New Roman"/>
                <w:sz w:val="24"/>
                <w:szCs w:val="24"/>
                <w:lang w:val="en-US" w:eastAsia="en-US" w:bidi="ar-SA"/>
              </w:rPr>
              <w:t>and Potential Remedial Actions for Non-Compliance</w:t>
            </w:r>
            <w:r w:rsidRPr="00E804A5" w:rsidR="000B1E2E">
              <w:rPr>
                <w:rFonts w:ascii="Times New Roman" w:eastAsia="Courier New" w:hAnsi="Times New Roman" w:cs="Times New Roman"/>
                <w:sz w:val="24"/>
                <w:szCs w:val="24"/>
                <w:lang w:val="en-US" w:eastAsia="en-US" w:bidi="ar-SA"/>
              </w:rPr>
              <w:t>.</w:t>
            </w:r>
          </w:p>
          <w:p w:rsidR="00C926BE" w:rsidRPr="00E804A5" w:rsidP="0060598B" w14:paraId="42BC00B2" w14:textId="152FA10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68" w:type="dxa"/>
            <w:shd w:val="clear" w:color="auto" w:fill="auto"/>
          </w:tcPr>
          <w:p w:rsidR="00B52F65" w:rsidRPr="00E804A5" w14:paraId="417396F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w:t>
            </w:r>
          </w:p>
          <w:p w:rsidR="00B52F65" w:rsidRPr="00E804A5" w14:paraId="0A74381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w:t>
            </w:r>
          </w:p>
          <w:p w:rsidR="00B52F65" w:rsidRPr="00E804A5" w14:paraId="2798651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w:t>
            </w:r>
          </w:p>
          <w:p w:rsidR="00B52F65" w:rsidRPr="00E804A5" w14:paraId="21E3B54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w:t>
            </w:r>
          </w:p>
          <w:p w:rsidR="00C83423" w:rsidRPr="00E804A5" w14:paraId="47B609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w:t>
            </w:r>
          </w:p>
          <w:p w:rsidR="00C83423" w:rsidRPr="00E804A5" w14:paraId="1C6B90BB" w14:textId="5FC61B5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032" w:type="dxa"/>
            <w:shd w:val="clear" w:color="auto" w:fill="auto"/>
          </w:tcPr>
          <w:p w:rsidR="00B52F65" w:rsidRPr="00E804A5" w14:paraId="659C1A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52F65" w:rsidRPr="00E804A5" w:rsidP="00C83423" w14:paraId="1AF9340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3423" w:rsidRPr="00E804A5" w:rsidP="00C83423" w14:paraId="79226C2D" w14:textId="1F63A5C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804A5">
              <w:rPr>
                <w:rFonts w:ascii="Times New Roman" w:eastAsia="Courier New" w:hAnsi="Times New Roman" w:cs="Times New Roman"/>
                <w:sz w:val="24"/>
                <w:szCs w:val="24"/>
                <w:lang w:val="en-US" w:eastAsia="en-US" w:bidi="ar-SA"/>
              </w:rPr>
              <w:t xml:space="preserve">Case No. </w:t>
            </w:r>
            <w:r w:rsidRPr="00E804A5" w:rsidR="00F55F19">
              <w:rPr>
                <w:rFonts w:ascii="Times New Roman" w:eastAsia="Courier New" w:hAnsi="Times New Roman" w:cs="Times New Roman"/>
                <w:sz w:val="24"/>
                <w:szCs w:val="24"/>
                <w:lang w:val="en-US" w:eastAsia="en-US" w:bidi="ar-SA"/>
              </w:rPr>
              <w:t>22</w:t>
            </w:r>
            <w:r w:rsidRPr="00E804A5">
              <w:rPr>
                <w:rFonts w:ascii="Times New Roman" w:eastAsia="Courier New" w:hAnsi="Times New Roman" w:cs="Times New Roman"/>
                <w:sz w:val="24"/>
                <w:szCs w:val="24"/>
                <w:lang w:val="en-US" w:eastAsia="en-US" w:bidi="ar-SA"/>
              </w:rPr>
              <w:t>-</w:t>
            </w:r>
            <w:r w:rsidRPr="00E804A5" w:rsidR="00F55F19">
              <w:rPr>
                <w:rFonts w:ascii="Times New Roman" w:eastAsia="Courier New" w:hAnsi="Times New Roman" w:cs="Times New Roman"/>
                <w:sz w:val="24"/>
                <w:szCs w:val="24"/>
                <w:lang w:val="en-US" w:eastAsia="en-US" w:bidi="ar-SA"/>
              </w:rPr>
              <w:t>44</w:t>
            </w:r>
            <w:r w:rsidRPr="00E804A5" w:rsidR="00BD68D3">
              <w:rPr>
                <w:rFonts w:ascii="Times New Roman" w:eastAsia="Courier New" w:hAnsi="Times New Roman" w:cs="Times New Roman"/>
                <w:sz w:val="24"/>
                <w:szCs w:val="24"/>
                <w:lang w:val="en-US" w:eastAsia="en-US" w:bidi="ar-SA"/>
              </w:rPr>
              <w:t>1</w:t>
            </w:r>
            <w:r w:rsidRPr="00E804A5">
              <w:rPr>
                <w:rFonts w:ascii="Times New Roman" w:eastAsia="Courier New" w:hAnsi="Times New Roman" w:cs="Times New Roman"/>
                <w:sz w:val="24"/>
                <w:szCs w:val="24"/>
                <w:lang w:val="en-US" w:eastAsia="en-US" w:bidi="ar-SA"/>
              </w:rPr>
              <w:t>-GE-COI</w:t>
            </w:r>
          </w:p>
          <w:p w:rsidR="00C83423" w:rsidRPr="00E804A5" w:rsidP="00C83423" w14:paraId="389D033E" w14:textId="149624F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3423" w:rsidRPr="00E804A5" w:rsidP="00C83423" w14:paraId="603E1CD2" w14:textId="654DEA4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B52F65" w:rsidRPr="00E804A5" w14:paraId="62DDAF13" w14:textId="77777777">
      <w:pPr>
        <w:pStyle w:val="HTMLPreformatted"/>
        <w:pBdr>
          <w:top w:val="single" w:sz="12" w:space="1" w:color="auto"/>
        </w:pBdr>
        <w:rPr>
          <w:rFonts w:ascii="Times New Roman" w:hAnsi="Times New Roman" w:cs="Times New Roman"/>
          <w:sz w:val="24"/>
          <w:szCs w:val="24"/>
        </w:rPr>
      </w:pPr>
    </w:p>
    <w:p w:rsidR="00222E02" w:rsidRPr="00E804A5" w:rsidP="0034156F" w14:paraId="38AFF656" w14:textId="396E59F9">
      <w:pPr>
        <w:jc w:val="center"/>
        <w:rPr>
          <w:b/>
          <w:bCs/>
          <w:szCs w:val="24"/>
        </w:rPr>
      </w:pPr>
      <w:r w:rsidRPr="00E804A5">
        <w:rPr>
          <w:b/>
          <w:bCs/>
          <w:szCs w:val="24"/>
        </w:rPr>
        <w:t>MEMO</w:t>
      </w:r>
      <w:r w:rsidRPr="00E804A5" w:rsidR="00962A84">
        <w:rPr>
          <w:b/>
          <w:bCs/>
          <w:szCs w:val="24"/>
        </w:rPr>
        <w:t>RANDUM</w:t>
      </w:r>
      <w:r w:rsidRPr="00E804A5">
        <w:rPr>
          <w:b/>
          <w:bCs/>
          <w:szCs w:val="24"/>
        </w:rPr>
        <w:t xml:space="preserve"> CONTRA</w:t>
      </w:r>
      <w:r w:rsidR="00646494">
        <w:rPr>
          <w:b/>
          <w:bCs/>
          <w:szCs w:val="24"/>
        </w:rPr>
        <w:t xml:space="preserve"> </w:t>
      </w:r>
      <w:r w:rsidRPr="00E804A5">
        <w:rPr>
          <w:b/>
          <w:bCs/>
          <w:szCs w:val="24"/>
        </w:rPr>
        <w:t>GREEN CHOICE’S APPLICATION FOR REHEARING</w:t>
      </w:r>
    </w:p>
    <w:p w:rsidR="0034156F" w:rsidRPr="00E804A5" w:rsidP="0034156F" w14:paraId="5C2A8478" w14:textId="77777777">
      <w:pPr>
        <w:jc w:val="center"/>
        <w:rPr>
          <w:b/>
          <w:bCs/>
          <w:szCs w:val="24"/>
        </w:rPr>
      </w:pPr>
      <w:r w:rsidRPr="00E804A5">
        <w:rPr>
          <w:b/>
          <w:bCs/>
          <w:szCs w:val="24"/>
        </w:rPr>
        <w:t>BY</w:t>
      </w:r>
    </w:p>
    <w:p w:rsidR="0034156F" w:rsidRPr="00E804A5" w:rsidP="0034156F" w14:paraId="6628D1BF" w14:textId="56C1BDA3">
      <w:pPr>
        <w:jc w:val="center"/>
        <w:rPr>
          <w:b/>
          <w:bCs/>
          <w:szCs w:val="24"/>
        </w:rPr>
      </w:pPr>
      <w:r w:rsidRPr="00E804A5">
        <w:rPr>
          <w:b/>
          <w:bCs/>
          <w:szCs w:val="24"/>
        </w:rPr>
        <w:t>OFFICE OF THE OHIO CONSUMERS’ COUNSEL</w:t>
      </w:r>
    </w:p>
    <w:p w:rsidR="00B52F65" w:rsidRPr="00E804A5" w14:paraId="4AEA3A0B" w14:textId="77777777">
      <w:pPr>
        <w:pBdr>
          <w:bottom w:val="single" w:sz="12" w:space="1" w:color="auto"/>
        </w:pBdr>
        <w:tabs>
          <w:tab w:val="left" w:pos="4320"/>
        </w:tabs>
        <w:rPr>
          <w:szCs w:val="24"/>
        </w:rPr>
      </w:pPr>
    </w:p>
    <w:p w:rsidR="0060598B" w:rsidRPr="00E804A5" w:rsidP="00D971A3" w14:paraId="15933385" w14:textId="77777777">
      <w:pPr>
        <w:pStyle w:val="BodyTextIndent3"/>
        <w:widowControl w:val="0"/>
        <w:spacing w:line="240" w:lineRule="auto"/>
        <w:ind w:right="-312" w:firstLine="0"/>
        <w:rPr>
          <w:szCs w:val="24"/>
        </w:rPr>
      </w:pPr>
    </w:p>
    <w:p w:rsidR="00FD35F6" w:rsidRPr="00E804A5" w:rsidP="00DD02C2" w14:paraId="39CFA1C6" w14:textId="1EFB2413">
      <w:pPr>
        <w:pStyle w:val="Heading1"/>
        <w:numPr>
          <w:ilvl w:val="0"/>
          <w:numId w:val="15"/>
        </w:numPr>
        <w:ind w:left="720"/>
      </w:pPr>
      <w:bookmarkStart w:id="0" w:name="_Toc30075653"/>
      <w:bookmarkStart w:id="1" w:name="_Toc151985187"/>
      <w:r w:rsidRPr="00E804A5">
        <w:t>INTRODUCTION</w:t>
      </w:r>
      <w:bookmarkEnd w:id="0"/>
      <w:bookmarkEnd w:id="1"/>
    </w:p>
    <w:p w:rsidR="001A0D03" w:rsidRPr="00E804A5" w:rsidP="003B0DB0" w14:paraId="754CB058" w14:textId="4BADFA3C">
      <w:pPr>
        <w:pStyle w:val="BodyTextIndent3"/>
        <w:widowControl w:val="0"/>
        <w:spacing w:line="480" w:lineRule="auto"/>
        <w:rPr>
          <w:szCs w:val="24"/>
        </w:rPr>
      </w:pPr>
      <w:r w:rsidRPr="00E804A5">
        <w:rPr>
          <w:szCs w:val="24"/>
        </w:rPr>
        <w:t xml:space="preserve">Green Choice seeks rehearing of the PUCO’s </w:t>
      </w:r>
      <w:r w:rsidRPr="00E804A5" w:rsidR="00420151">
        <w:rPr>
          <w:szCs w:val="24"/>
        </w:rPr>
        <w:t>October 18, 2023 Order</w:t>
      </w:r>
      <w:r w:rsidRPr="00E804A5">
        <w:rPr>
          <w:szCs w:val="24"/>
        </w:rPr>
        <w:t xml:space="preserve"> where</w:t>
      </w:r>
      <w:r w:rsidRPr="00E804A5" w:rsidR="00420151">
        <w:rPr>
          <w:szCs w:val="24"/>
        </w:rPr>
        <w:t xml:space="preserve"> t</w:t>
      </w:r>
      <w:r w:rsidRPr="00E804A5" w:rsidR="001C6C07">
        <w:rPr>
          <w:szCs w:val="24"/>
        </w:rPr>
        <w:t xml:space="preserve">he PUCO </w:t>
      </w:r>
      <w:r w:rsidRPr="00E804A5">
        <w:rPr>
          <w:szCs w:val="24"/>
        </w:rPr>
        <w:t xml:space="preserve">found that </w:t>
      </w:r>
      <w:r w:rsidRPr="00E804A5" w:rsidR="001C6C07">
        <w:rPr>
          <w:szCs w:val="24"/>
        </w:rPr>
        <w:t>Green Choice misled and deceived Ohioans when soliciting and enrolling them in natural gas and electric service. The PUCO found that Green Choice falsified third-party verification (“TPV”) calls and altered sales calls.</w:t>
      </w:r>
      <w:r>
        <w:rPr>
          <w:rStyle w:val="FootnoteReference"/>
          <w:szCs w:val="24"/>
        </w:rPr>
        <w:footnoteReference w:id="2"/>
      </w:r>
      <w:r w:rsidRPr="00E804A5" w:rsidR="001C6C07">
        <w:rPr>
          <w:szCs w:val="24"/>
        </w:rPr>
        <w:t xml:space="preserve"> Green Choice falsified enrollment contracts.</w:t>
      </w:r>
      <w:r>
        <w:rPr>
          <w:rStyle w:val="FootnoteReference"/>
          <w:szCs w:val="24"/>
        </w:rPr>
        <w:footnoteReference w:id="3"/>
      </w:r>
      <w:r w:rsidRPr="00E804A5" w:rsidR="001C6C07">
        <w:rPr>
          <w:szCs w:val="24"/>
        </w:rPr>
        <w:t xml:space="preserve"> Green Choice also misled consumers about variable rates for service.</w:t>
      </w:r>
      <w:r>
        <w:rPr>
          <w:rStyle w:val="FootnoteReference"/>
          <w:szCs w:val="24"/>
        </w:rPr>
        <w:footnoteReference w:id="4"/>
      </w:r>
      <w:r w:rsidRPr="00E804A5" w:rsidR="001C6C07">
        <w:rPr>
          <w:szCs w:val="24"/>
        </w:rPr>
        <w:t xml:space="preserve"> Green Choice “spoofed” (faked) Caller ID so that consumers believed that someone other than Green Choice was calling them.</w:t>
      </w:r>
      <w:r>
        <w:rPr>
          <w:rStyle w:val="FootnoteReference"/>
          <w:szCs w:val="24"/>
        </w:rPr>
        <w:footnoteReference w:id="5"/>
      </w:r>
      <w:r w:rsidRPr="00E804A5">
        <w:rPr>
          <w:szCs w:val="24"/>
        </w:rPr>
        <w:t xml:space="preserve"> There is no basis for Green Choice’s </w:t>
      </w:r>
      <w:r w:rsidRPr="00E804A5" w:rsidR="00A76351">
        <w:rPr>
          <w:szCs w:val="24"/>
        </w:rPr>
        <w:t>A</w:t>
      </w:r>
      <w:r w:rsidRPr="00E804A5">
        <w:rPr>
          <w:szCs w:val="24"/>
        </w:rPr>
        <w:t xml:space="preserve">pplication for </w:t>
      </w:r>
      <w:r w:rsidRPr="00E804A5" w:rsidR="003B0DB0">
        <w:rPr>
          <w:szCs w:val="24"/>
        </w:rPr>
        <w:t>Rehearing,</w:t>
      </w:r>
      <w:r w:rsidRPr="00E804A5">
        <w:rPr>
          <w:szCs w:val="24"/>
        </w:rPr>
        <w:t xml:space="preserve"> and it should be denied.</w:t>
      </w:r>
    </w:p>
    <w:p w:rsidR="008E782F" w:rsidRPr="00E804A5" w:rsidP="001C6C07" w14:paraId="578C28C8" w14:textId="754913A0">
      <w:pPr>
        <w:pStyle w:val="BodyTextIndent3"/>
        <w:widowControl w:val="0"/>
        <w:spacing w:line="480" w:lineRule="auto"/>
        <w:rPr>
          <w:rFonts w:eastAsiaTheme="minorHAnsi"/>
          <w:szCs w:val="24"/>
        </w:rPr>
      </w:pPr>
      <w:r w:rsidRPr="00E804A5">
        <w:rPr>
          <w:rFonts w:eastAsiaTheme="minorHAnsi"/>
          <w:szCs w:val="24"/>
        </w:rPr>
        <w:t xml:space="preserve"> </w:t>
      </w:r>
      <w:r w:rsidRPr="00E804A5" w:rsidR="00987A77">
        <w:rPr>
          <w:rFonts w:eastAsiaTheme="minorHAnsi"/>
          <w:szCs w:val="24"/>
        </w:rPr>
        <w:t xml:space="preserve">The evidence showed </w:t>
      </w:r>
      <w:r w:rsidRPr="00E804A5">
        <w:rPr>
          <w:rFonts w:eastAsiaTheme="minorHAnsi"/>
          <w:szCs w:val="24"/>
        </w:rPr>
        <w:t xml:space="preserve">that Green Choice “committed numerous violations of the [PUCO’s] rules and regulations prohibiting deceptive and misleading practices in </w:t>
      </w:r>
      <w:r w:rsidRPr="00E804A5">
        <w:rPr>
          <w:rFonts w:eastAsiaTheme="minorHAnsi"/>
          <w:szCs w:val="24"/>
        </w:rPr>
        <w:t>marketing, soliciting, selling, and providing [natural gas and electric service].”</w:t>
      </w:r>
      <w:r>
        <w:rPr>
          <w:rFonts w:eastAsiaTheme="minorHAnsi"/>
          <w:szCs w:val="24"/>
          <w:vertAlign w:val="superscript"/>
        </w:rPr>
        <w:footnoteReference w:id="6"/>
      </w:r>
      <w:r w:rsidRPr="00E804A5">
        <w:rPr>
          <w:rFonts w:eastAsiaTheme="minorHAnsi"/>
          <w:b/>
          <w:bCs/>
          <w:szCs w:val="24"/>
        </w:rPr>
        <w:t xml:space="preserve"> </w:t>
      </w:r>
      <w:r w:rsidRPr="00E804A5">
        <w:rPr>
          <w:rFonts w:eastAsiaTheme="minorHAnsi"/>
          <w:szCs w:val="24"/>
        </w:rPr>
        <w:t>The PUCO concluded that Green Choice “lacks managerial capability to provide [natural gas and electric service],” and directed Green Choice to “cease” marketing and providing service in Ohio.</w:t>
      </w:r>
      <w:r>
        <w:rPr>
          <w:rFonts w:eastAsiaTheme="minorHAnsi"/>
          <w:szCs w:val="24"/>
          <w:vertAlign w:val="superscript"/>
        </w:rPr>
        <w:footnoteReference w:id="7"/>
      </w:r>
      <w:r w:rsidRPr="00E804A5" w:rsidR="00845200">
        <w:rPr>
          <w:rFonts w:eastAsiaTheme="minorHAnsi"/>
          <w:szCs w:val="24"/>
        </w:rPr>
        <w:t xml:space="preserve"> The PUCO also ordered Green Choice to re-rate consumers and to pay $1 million (toward a total $1.44 million) forfeiture.</w:t>
      </w:r>
      <w:r>
        <w:rPr>
          <w:rFonts w:eastAsiaTheme="minorHAnsi"/>
          <w:szCs w:val="24"/>
          <w:vertAlign w:val="superscript"/>
        </w:rPr>
        <w:footnoteReference w:id="8"/>
      </w:r>
      <w:r w:rsidRPr="00E804A5" w:rsidR="00A73D86">
        <w:rPr>
          <w:rFonts w:eastAsiaTheme="minorHAnsi"/>
          <w:szCs w:val="24"/>
        </w:rPr>
        <w:t xml:space="preserve"> </w:t>
      </w:r>
    </w:p>
    <w:p w:rsidR="0060598B" w:rsidRPr="00E804A5" w:rsidP="00A73D86" w14:paraId="7B1F8325" w14:textId="62243EDF">
      <w:pPr>
        <w:pStyle w:val="BodyTextIndent3"/>
        <w:widowControl w:val="0"/>
        <w:spacing w:line="480" w:lineRule="auto"/>
        <w:rPr>
          <w:rFonts w:eastAsiaTheme="minorHAnsi"/>
          <w:szCs w:val="24"/>
        </w:rPr>
      </w:pPr>
      <w:r w:rsidRPr="00E804A5">
        <w:rPr>
          <w:rFonts w:eastAsiaTheme="minorHAnsi"/>
          <w:szCs w:val="24"/>
        </w:rPr>
        <w:t xml:space="preserve">There is ample evidence to support the PUCO’s Order, and Green Choice’s due process rights were not violated. </w:t>
      </w:r>
      <w:r w:rsidRPr="00E804A5" w:rsidR="00EE7840">
        <w:rPr>
          <w:rFonts w:eastAsiaTheme="minorHAnsi"/>
          <w:szCs w:val="24"/>
        </w:rPr>
        <w:t xml:space="preserve">Green Choice’s Application for Rehearing </w:t>
      </w:r>
      <w:r w:rsidRPr="00E804A5" w:rsidR="00A73D86">
        <w:rPr>
          <w:rFonts w:eastAsiaTheme="minorHAnsi"/>
          <w:szCs w:val="24"/>
        </w:rPr>
        <w:t>should be denied</w:t>
      </w:r>
      <w:r w:rsidRPr="00E804A5" w:rsidR="00EE7840">
        <w:rPr>
          <w:rFonts w:eastAsiaTheme="minorHAnsi"/>
          <w:szCs w:val="24"/>
        </w:rPr>
        <w:t>.</w:t>
      </w:r>
    </w:p>
    <w:p w:rsidR="001A0D03" w:rsidRPr="00E804A5" w:rsidP="001A0D03" w14:paraId="59F4B6BC" w14:textId="77777777">
      <w:pPr>
        <w:pStyle w:val="BodyTextIndent3"/>
        <w:widowControl w:val="0"/>
        <w:spacing w:line="240" w:lineRule="auto"/>
        <w:rPr>
          <w:szCs w:val="24"/>
        </w:rPr>
      </w:pPr>
    </w:p>
    <w:p w:rsidR="00364D85" w:rsidRPr="00E804A5" w:rsidP="001A0D03" w14:paraId="2D30989B" w14:textId="4B3904F6">
      <w:pPr>
        <w:pStyle w:val="Heading1"/>
        <w:numPr>
          <w:ilvl w:val="0"/>
          <w:numId w:val="15"/>
        </w:numPr>
        <w:ind w:left="720"/>
      </w:pPr>
      <w:bookmarkStart w:id="2" w:name="_Toc24990819"/>
      <w:bookmarkStart w:id="3" w:name="_Toc25220735"/>
      <w:bookmarkStart w:id="4" w:name="_Toc30075654"/>
      <w:bookmarkStart w:id="5" w:name="_Toc151985188"/>
      <w:r w:rsidRPr="00E804A5">
        <w:t>ARGUMENT</w:t>
      </w:r>
      <w:bookmarkEnd w:id="2"/>
      <w:bookmarkEnd w:id="3"/>
      <w:bookmarkEnd w:id="4"/>
      <w:bookmarkEnd w:id="5"/>
    </w:p>
    <w:p w:rsidR="00DC04C5" w:rsidRPr="00E804A5" w:rsidP="001A0D03" w14:paraId="15833EC0" w14:textId="77B5BFA3">
      <w:pPr>
        <w:pStyle w:val="Heading2"/>
        <w:rPr>
          <w:szCs w:val="24"/>
        </w:rPr>
      </w:pPr>
      <w:bookmarkStart w:id="6" w:name="_Toc151985189"/>
      <w:bookmarkStart w:id="7" w:name="_Toc30075655"/>
      <w:r w:rsidRPr="00E804A5">
        <w:rPr>
          <w:szCs w:val="24"/>
        </w:rPr>
        <w:t>The PUCO properly exercised its authority under R.C. 4929.08</w:t>
      </w:r>
      <w:r w:rsidRPr="00E804A5" w:rsidR="00563D99">
        <w:rPr>
          <w:szCs w:val="24"/>
        </w:rPr>
        <w:t>,</w:t>
      </w:r>
      <w:r w:rsidRPr="00E804A5">
        <w:rPr>
          <w:szCs w:val="24"/>
        </w:rPr>
        <w:t xml:space="preserve"> R.C. 4929.20</w:t>
      </w:r>
      <w:r w:rsidRPr="00E804A5" w:rsidR="00563D99">
        <w:rPr>
          <w:szCs w:val="24"/>
        </w:rPr>
        <w:t>, and R.C. 4905.54,</w:t>
      </w:r>
      <w:r w:rsidRPr="00E804A5">
        <w:rPr>
          <w:szCs w:val="24"/>
        </w:rPr>
        <w:t xml:space="preserve"> and Green Choice’s claims that </w:t>
      </w:r>
      <w:r w:rsidRPr="00E804A5" w:rsidR="00C97AB9">
        <w:rPr>
          <w:szCs w:val="24"/>
        </w:rPr>
        <w:t xml:space="preserve">its due process rights were violated </w:t>
      </w:r>
      <w:r w:rsidRPr="00E804A5" w:rsidR="00A73D86">
        <w:rPr>
          <w:szCs w:val="24"/>
        </w:rPr>
        <w:t>have no</w:t>
      </w:r>
      <w:r w:rsidRPr="00E804A5" w:rsidR="00C97AB9">
        <w:rPr>
          <w:szCs w:val="24"/>
        </w:rPr>
        <w:t xml:space="preserve"> merit.</w:t>
      </w:r>
      <w:bookmarkEnd w:id="6"/>
    </w:p>
    <w:p w:rsidR="000C52D2" w:rsidRPr="00E804A5" w:rsidP="00EE7840" w14:paraId="5E5A49DA" w14:textId="72E2EA80">
      <w:pPr>
        <w:spacing w:line="480" w:lineRule="auto"/>
        <w:ind w:firstLine="720"/>
        <w:rPr>
          <w:szCs w:val="24"/>
        </w:rPr>
      </w:pPr>
      <w:bookmarkStart w:id="8" w:name="_Hlk151732508"/>
      <w:bookmarkStart w:id="9" w:name="_Hlk151722035"/>
      <w:r w:rsidRPr="00E804A5">
        <w:rPr>
          <w:szCs w:val="24"/>
        </w:rPr>
        <w:t>Green Choice</w:t>
      </w:r>
      <w:r w:rsidRPr="00E804A5" w:rsidR="008E782F">
        <w:rPr>
          <w:szCs w:val="24"/>
        </w:rPr>
        <w:t>’s Application for Rehearing</w:t>
      </w:r>
      <w:r w:rsidRPr="00E804A5">
        <w:rPr>
          <w:szCs w:val="24"/>
        </w:rPr>
        <w:t xml:space="preserve"> rehashes</w:t>
      </w:r>
      <w:r w:rsidRPr="00E804A5" w:rsidR="00A73D86">
        <w:rPr>
          <w:szCs w:val="24"/>
        </w:rPr>
        <w:t xml:space="preserve"> its</w:t>
      </w:r>
      <w:r w:rsidRPr="00E804A5">
        <w:rPr>
          <w:szCs w:val="24"/>
        </w:rPr>
        <w:t xml:space="preserve"> previous </w:t>
      </w:r>
      <w:r w:rsidRPr="00E804A5" w:rsidR="00A73D86">
        <w:rPr>
          <w:szCs w:val="24"/>
        </w:rPr>
        <w:t>arguments</w:t>
      </w:r>
      <w:r w:rsidRPr="00E804A5">
        <w:rPr>
          <w:szCs w:val="24"/>
        </w:rPr>
        <w:t xml:space="preserve"> that it </w:t>
      </w:r>
      <w:r w:rsidRPr="00E804A5" w:rsidR="0028646F">
        <w:rPr>
          <w:szCs w:val="24"/>
        </w:rPr>
        <w:t>has been</w:t>
      </w:r>
      <w:r w:rsidRPr="00E804A5" w:rsidR="00A73D86">
        <w:rPr>
          <w:szCs w:val="24"/>
        </w:rPr>
        <w:t xml:space="preserve"> denied </w:t>
      </w:r>
      <w:r w:rsidRPr="00E804A5">
        <w:rPr>
          <w:szCs w:val="24"/>
        </w:rPr>
        <w:t>due process.</w:t>
      </w:r>
      <w:r>
        <w:rPr>
          <w:rStyle w:val="FootnoteReference"/>
          <w:szCs w:val="24"/>
        </w:rPr>
        <w:footnoteReference w:id="9"/>
      </w:r>
      <w:r w:rsidRPr="00E804A5">
        <w:rPr>
          <w:szCs w:val="24"/>
        </w:rPr>
        <w:t xml:space="preserve"> Nothing could be further from the truth.</w:t>
      </w:r>
      <w:r w:rsidRPr="00E804A5" w:rsidR="00A73D86">
        <w:rPr>
          <w:szCs w:val="24"/>
        </w:rPr>
        <w:t xml:space="preserve"> </w:t>
      </w:r>
    </w:p>
    <w:p w:rsidR="00EE7840" w:rsidRPr="00E804A5" w:rsidP="00EE7840" w14:paraId="129CB9AB" w14:textId="03672CA3">
      <w:pPr>
        <w:spacing w:line="480" w:lineRule="auto"/>
        <w:ind w:firstLine="720"/>
        <w:rPr>
          <w:szCs w:val="24"/>
        </w:rPr>
      </w:pPr>
      <w:r w:rsidRPr="00E804A5">
        <w:rPr>
          <w:szCs w:val="24"/>
        </w:rPr>
        <w:t xml:space="preserve">OCC thoroughly </w:t>
      </w:r>
      <w:r w:rsidRPr="00E804A5" w:rsidR="0028646F">
        <w:rPr>
          <w:szCs w:val="24"/>
        </w:rPr>
        <w:t>rebutted</w:t>
      </w:r>
      <w:r w:rsidRPr="00E804A5">
        <w:rPr>
          <w:szCs w:val="24"/>
        </w:rPr>
        <w:t xml:space="preserve"> Green Choice’s due process arguments in post-hearing briefs</w:t>
      </w:r>
      <w:r w:rsidRPr="00E804A5" w:rsidR="0028646F">
        <w:rPr>
          <w:szCs w:val="24"/>
        </w:rPr>
        <w:t>.</w:t>
      </w:r>
      <w:r>
        <w:rPr>
          <w:rStyle w:val="FootnoteReference"/>
          <w:szCs w:val="24"/>
        </w:rPr>
        <w:footnoteReference w:id="10"/>
      </w:r>
      <w:r w:rsidRPr="00E804A5" w:rsidR="0028646F">
        <w:rPr>
          <w:szCs w:val="24"/>
        </w:rPr>
        <w:t xml:space="preserve"> OCC also addressed Green Choice’s arguments that the PUCO </w:t>
      </w:r>
      <w:r w:rsidRPr="00E804A5" w:rsidR="008F062F">
        <w:rPr>
          <w:szCs w:val="24"/>
        </w:rPr>
        <w:t>d</w:t>
      </w:r>
      <w:r w:rsidRPr="00E804A5" w:rsidR="0028646F">
        <w:rPr>
          <w:szCs w:val="24"/>
        </w:rPr>
        <w:t xml:space="preserve">isregarded </w:t>
      </w:r>
      <w:r w:rsidRPr="00E804A5" w:rsidR="008F062F">
        <w:rPr>
          <w:szCs w:val="24"/>
        </w:rPr>
        <w:t>prior</w:t>
      </w:r>
      <w:r w:rsidRPr="00E804A5" w:rsidR="0028646F">
        <w:rPr>
          <w:szCs w:val="24"/>
        </w:rPr>
        <w:t xml:space="preserve"> decisions in the PALMco and Verde marketer investigations.</w:t>
      </w:r>
      <w:r>
        <w:rPr>
          <w:rStyle w:val="FootnoteReference"/>
          <w:szCs w:val="24"/>
        </w:rPr>
        <w:footnoteReference w:id="11"/>
      </w:r>
      <w:r w:rsidRPr="00E804A5" w:rsidR="0028646F">
        <w:rPr>
          <w:szCs w:val="24"/>
        </w:rPr>
        <w:t xml:space="preserve"> </w:t>
      </w:r>
      <w:r w:rsidRPr="00E804A5" w:rsidR="008F062F">
        <w:rPr>
          <w:szCs w:val="24"/>
        </w:rPr>
        <w:t>OCC will not</w:t>
      </w:r>
      <w:r w:rsidRPr="00E804A5" w:rsidR="0028646F">
        <w:rPr>
          <w:szCs w:val="24"/>
        </w:rPr>
        <w:t xml:space="preserve"> repeat those arguments here. Suffice to say, m</w:t>
      </w:r>
      <w:r w:rsidRPr="00E804A5" w:rsidR="00A73D86">
        <w:rPr>
          <w:szCs w:val="24"/>
        </w:rPr>
        <w:t xml:space="preserve">arketing electric and natural gas service to Ohioans </w:t>
      </w:r>
      <w:r w:rsidRPr="00E804A5" w:rsidR="00A73D86">
        <w:rPr>
          <w:b/>
          <w:bCs/>
          <w:i/>
          <w:iCs/>
          <w:szCs w:val="24"/>
        </w:rPr>
        <w:t>is a privilege – not a right</w:t>
      </w:r>
      <w:r w:rsidRPr="00E804A5" w:rsidR="00A73D86">
        <w:rPr>
          <w:szCs w:val="24"/>
        </w:rPr>
        <w:t>.</w:t>
      </w:r>
      <w:r w:rsidRPr="00E804A5" w:rsidR="008F062F">
        <w:rPr>
          <w:szCs w:val="24"/>
        </w:rPr>
        <w:t xml:space="preserve"> </w:t>
      </w:r>
      <w:r w:rsidRPr="00E804A5" w:rsidR="002161DF">
        <w:rPr>
          <w:szCs w:val="24"/>
        </w:rPr>
        <w:t>And t</w:t>
      </w:r>
      <w:r w:rsidRPr="00E804A5">
        <w:rPr>
          <w:szCs w:val="24"/>
        </w:rPr>
        <w:t xml:space="preserve">he </w:t>
      </w:r>
      <w:r w:rsidRPr="00E804A5" w:rsidR="008F062F">
        <w:rPr>
          <w:szCs w:val="24"/>
        </w:rPr>
        <w:t>PUCO afforded Green Choice</w:t>
      </w:r>
      <w:r w:rsidRPr="00E804A5">
        <w:rPr>
          <w:szCs w:val="24"/>
        </w:rPr>
        <w:t xml:space="preserve"> </w:t>
      </w:r>
      <w:r w:rsidRPr="00E804A5" w:rsidR="00A73D86">
        <w:rPr>
          <w:szCs w:val="24"/>
        </w:rPr>
        <w:t xml:space="preserve">ample </w:t>
      </w:r>
      <w:r w:rsidRPr="00E804A5">
        <w:rPr>
          <w:szCs w:val="24"/>
        </w:rPr>
        <w:t>due process</w:t>
      </w:r>
      <w:r w:rsidRPr="00E804A5" w:rsidR="00A73D86">
        <w:rPr>
          <w:szCs w:val="24"/>
        </w:rPr>
        <w:t xml:space="preserve"> </w:t>
      </w:r>
      <w:r w:rsidRPr="00E804A5" w:rsidR="008F062F">
        <w:rPr>
          <w:szCs w:val="24"/>
        </w:rPr>
        <w:t xml:space="preserve">in this case </w:t>
      </w:r>
      <w:r w:rsidRPr="00E804A5" w:rsidR="00A73D86">
        <w:rPr>
          <w:szCs w:val="24"/>
        </w:rPr>
        <w:t>as required by Ohio law</w:t>
      </w:r>
      <w:r w:rsidRPr="00E804A5" w:rsidR="002161DF">
        <w:rPr>
          <w:szCs w:val="24"/>
        </w:rPr>
        <w:t>.</w:t>
      </w:r>
      <w:r w:rsidRPr="00E804A5" w:rsidR="008F062F">
        <w:rPr>
          <w:szCs w:val="24"/>
        </w:rPr>
        <w:t xml:space="preserve"> Green Choice’s Application for Rehearing should be denied.</w:t>
      </w:r>
    </w:p>
    <w:p w:rsidR="00253497" w:rsidRPr="00E804A5" w:rsidP="002410A3" w14:paraId="3CA2AE86" w14:textId="3E6A5624">
      <w:pPr>
        <w:pStyle w:val="BodyTextIndent3"/>
        <w:widowControl w:val="0"/>
        <w:spacing w:line="480" w:lineRule="auto"/>
        <w:rPr>
          <w:szCs w:val="24"/>
        </w:rPr>
      </w:pPr>
      <w:r w:rsidRPr="00E804A5">
        <w:rPr>
          <w:szCs w:val="24"/>
        </w:rPr>
        <w:t>R.C. 4928.08(D) and R.C. 4929.20(C)(1)</w:t>
      </w:r>
      <w:bookmarkEnd w:id="8"/>
      <w:r w:rsidRPr="00E804A5" w:rsidR="00A73D86">
        <w:rPr>
          <w:szCs w:val="24"/>
        </w:rPr>
        <w:t xml:space="preserve"> plainly state</w:t>
      </w:r>
      <w:r w:rsidRPr="00E804A5">
        <w:rPr>
          <w:szCs w:val="24"/>
        </w:rPr>
        <w:t xml:space="preserve"> that the PUCO may “suspend, rescind, or conditionally rescind” the certification of an electric or natural gas marketer if the PUCO determines after an opportunity for hearing that the marketer “has failed to comply with any applicable certification standards or has engaged in anticompetitive or unfair, deceptive, or unconscionable acts or practices in this state.”</w:t>
      </w:r>
      <w:r>
        <w:rPr>
          <w:rStyle w:val="FootnoteReference"/>
          <w:szCs w:val="24"/>
        </w:rPr>
        <w:footnoteReference w:id="12"/>
      </w:r>
      <w:r w:rsidRPr="00E804A5">
        <w:rPr>
          <w:szCs w:val="24"/>
        </w:rPr>
        <w:t xml:space="preserve"> The PUCO may also suspend, rescind, or conditionally rescind a marketer’s certificate if the PUCO finds that the marketer has violated any PUCO order or rule.</w:t>
      </w:r>
      <w:r>
        <w:rPr>
          <w:rStyle w:val="FootnoteReference"/>
          <w:szCs w:val="24"/>
        </w:rPr>
        <w:footnoteReference w:id="13"/>
      </w:r>
      <w:r w:rsidRPr="00E804A5" w:rsidR="00F22614">
        <w:rPr>
          <w:szCs w:val="24"/>
        </w:rPr>
        <w:t xml:space="preserve"> In addition, the PUCO is authorized under R.C. 4905.</w:t>
      </w:r>
      <w:r w:rsidRPr="00E804A5" w:rsidR="00882CCE">
        <w:rPr>
          <w:szCs w:val="24"/>
        </w:rPr>
        <w:t>54 to assess forfeitures against marketers for violations of PUCO orders or rules.</w:t>
      </w:r>
      <w:r w:rsidRPr="00E804A5" w:rsidR="002161DF">
        <w:rPr>
          <w:szCs w:val="24"/>
        </w:rPr>
        <w:t xml:space="preserve"> There is overwhelming evidence of Green Choice’s bad acts and rule violations.</w:t>
      </w:r>
      <w:r>
        <w:rPr>
          <w:rStyle w:val="FootnoteReference"/>
          <w:szCs w:val="24"/>
        </w:rPr>
        <w:footnoteReference w:id="14"/>
      </w:r>
    </w:p>
    <w:bookmarkEnd w:id="9"/>
    <w:p w:rsidR="008B32A6" w:rsidRPr="00E804A5" w:rsidP="008B32A6" w14:paraId="33FF8362" w14:textId="06459D01">
      <w:pPr>
        <w:spacing w:line="480" w:lineRule="auto"/>
        <w:rPr>
          <w:szCs w:val="24"/>
        </w:rPr>
      </w:pPr>
      <w:r w:rsidRPr="00E804A5">
        <w:rPr>
          <w:szCs w:val="24"/>
        </w:rPr>
        <w:tab/>
        <w:t xml:space="preserve">A </w:t>
      </w:r>
      <w:r w:rsidRPr="00E804A5" w:rsidR="00E8624D">
        <w:rPr>
          <w:szCs w:val="24"/>
        </w:rPr>
        <w:t>PUCO</w:t>
      </w:r>
      <w:r w:rsidRPr="00E804A5" w:rsidR="00A73D86">
        <w:rPr>
          <w:szCs w:val="24"/>
        </w:rPr>
        <w:t xml:space="preserve"> investigation into</w:t>
      </w:r>
      <w:r w:rsidRPr="00E804A5">
        <w:rPr>
          <w:szCs w:val="24"/>
        </w:rPr>
        <w:t xml:space="preserve"> a </w:t>
      </w:r>
      <w:r w:rsidRPr="00E804A5" w:rsidR="00A73D86">
        <w:rPr>
          <w:szCs w:val="24"/>
        </w:rPr>
        <w:t xml:space="preserve">marketer’s practice </w:t>
      </w:r>
      <w:r w:rsidRPr="00E804A5">
        <w:rPr>
          <w:szCs w:val="24"/>
        </w:rPr>
        <w:t>can be initiated with or without a</w:t>
      </w:r>
      <w:r w:rsidRPr="00E804A5" w:rsidR="001A0D03">
        <w:rPr>
          <w:szCs w:val="24"/>
        </w:rPr>
        <w:t xml:space="preserve"> </w:t>
      </w:r>
      <w:r w:rsidRPr="00E804A5">
        <w:rPr>
          <w:szCs w:val="24"/>
        </w:rPr>
        <w:t>notice</w:t>
      </w:r>
      <w:r w:rsidRPr="00E804A5" w:rsidR="001B1591">
        <w:rPr>
          <w:szCs w:val="24"/>
        </w:rPr>
        <w:t xml:space="preserve"> of probable non-compliance</w:t>
      </w:r>
      <w:r w:rsidRPr="00E804A5">
        <w:rPr>
          <w:szCs w:val="24"/>
        </w:rPr>
        <w:t xml:space="preserve"> being issued by </w:t>
      </w:r>
      <w:r w:rsidRPr="00E804A5" w:rsidR="00E8624D">
        <w:rPr>
          <w:szCs w:val="24"/>
        </w:rPr>
        <w:t xml:space="preserve">the PUCO </w:t>
      </w:r>
      <w:r w:rsidRPr="00E804A5">
        <w:rPr>
          <w:szCs w:val="24"/>
        </w:rPr>
        <w:t>Staff.</w:t>
      </w:r>
      <w:r>
        <w:rPr>
          <w:rStyle w:val="FootnoteReference"/>
          <w:szCs w:val="24"/>
        </w:rPr>
        <w:footnoteReference w:id="15"/>
      </w:r>
      <w:r w:rsidRPr="00E804A5">
        <w:rPr>
          <w:szCs w:val="24"/>
        </w:rPr>
        <w:t xml:space="preserve"> Unless otherwise ordered by the attorney examiner or </w:t>
      </w:r>
      <w:r w:rsidRPr="00E804A5" w:rsidR="00E8624D">
        <w:rPr>
          <w:szCs w:val="24"/>
        </w:rPr>
        <w:t>PUCO</w:t>
      </w:r>
      <w:r w:rsidRPr="00E804A5">
        <w:rPr>
          <w:szCs w:val="24"/>
        </w:rPr>
        <w:t xml:space="preserve">, forty-five days after the complaint proceeding is initiated the </w:t>
      </w:r>
      <w:r w:rsidRPr="00E804A5" w:rsidR="006A767A">
        <w:rPr>
          <w:szCs w:val="24"/>
        </w:rPr>
        <w:t xml:space="preserve">PUCO </w:t>
      </w:r>
      <w:r w:rsidRPr="00E804A5">
        <w:rPr>
          <w:szCs w:val="24"/>
        </w:rPr>
        <w:t>Staff must file an investigative report (Staff Report).</w:t>
      </w:r>
      <w:r>
        <w:rPr>
          <w:rStyle w:val="FootnoteReference"/>
          <w:szCs w:val="24"/>
        </w:rPr>
        <w:footnoteReference w:id="16"/>
      </w:r>
      <w:r w:rsidRPr="00E804A5">
        <w:rPr>
          <w:szCs w:val="24"/>
        </w:rPr>
        <w:t xml:space="preserve"> The Staff Report is required to include </w:t>
      </w:r>
      <w:r w:rsidRPr="00E804A5" w:rsidR="006A767A">
        <w:rPr>
          <w:szCs w:val="24"/>
        </w:rPr>
        <w:t xml:space="preserve">the PUCO </w:t>
      </w:r>
      <w:r w:rsidRPr="00E804A5">
        <w:rPr>
          <w:szCs w:val="24"/>
        </w:rPr>
        <w:t xml:space="preserve">Staff’s findings regarding violations and </w:t>
      </w:r>
      <w:r w:rsidRPr="00E804A5" w:rsidR="006A767A">
        <w:rPr>
          <w:szCs w:val="24"/>
        </w:rPr>
        <w:t xml:space="preserve">its </w:t>
      </w:r>
      <w:r w:rsidRPr="00E804A5">
        <w:rPr>
          <w:szCs w:val="24"/>
        </w:rPr>
        <w:t>recommendations.</w:t>
      </w:r>
      <w:r>
        <w:rPr>
          <w:rStyle w:val="FootnoteReference"/>
          <w:szCs w:val="24"/>
        </w:rPr>
        <w:footnoteReference w:id="17"/>
      </w:r>
      <w:r w:rsidRPr="00E804A5">
        <w:rPr>
          <w:szCs w:val="24"/>
        </w:rPr>
        <w:t xml:space="preserve"> </w:t>
      </w:r>
      <w:r w:rsidRPr="00E804A5" w:rsidR="0047407C">
        <w:rPr>
          <w:szCs w:val="24"/>
        </w:rPr>
        <w:t>And</w:t>
      </w:r>
      <w:r w:rsidRPr="00E804A5" w:rsidR="005F6550">
        <w:rPr>
          <w:szCs w:val="24"/>
        </w:rPr>
        <w:t>,</w:t>
      </w:r>
      <w:r w:rsidRPr="00E804A5" w:rsidR="0047407C">
        <w:rPr>
          <w:szCs w:val="24"/>
        </w:rPr>
        <w:t xml:space="preserve"> contrary to Green Choice’s claims,</w:t>
      </w:r>
      <w:r>
        <w:rPr>
          <w:rStyle w:val="FootnoteReference"/>
          <w:szCs w:val="24"/>
        </w:rPr>
        <w:footnoteReference w:id="18"/>
      </w:r>
      <w:r w:rsidRPr="00E804A5" w:rsidR="0047407C">
        <w:rPr>
          <w:szCs w:val="24"/>
        </w:rPr>
        <w:t xml:space="preserve"> the PUCO</w:t>
      </w:r>
      <w:r w:rsidRPr="00E804A5" w:rsidR="006A767A">
        <w:rPr>
          <w:szCs w:val="24"/>
        </w:rPr>
        <w:t xml:space="preserve"> </w:t>
      </w:r>
      <w:r w:rsidRPr="00E804A5">
        <w:rPr>
          <w:szCs w:val="24"/>
        </w:rPr>
        <w:t xml:space="preserve">Staff </w:t>
      </w:r>
      <w:r w:rsidRPr="00E804A5" w:rsidR="0047407C">
        <w:rPr>
          <w:szCs w:val="24"/>
        </w:rPr>
        <w:t xml:space="preserve">is permitted to </w:t>
      </w:r>
      <w:r w:rsidRPr="00E804A5">
        <w:rPr>
          <w:szCs w:val="24"/>
        </w:rPr>
        <w:t>amend its Staff Report.</w:t>
      </w:r>
      <w:r>
        <w:rPr>
          <w:rStyle w:val="FootnoteReference"/>
          <w:szCs w:val="24"/>
        </w:rPr>
        <w:footnoteReference w:id="19"/>
      </w:r>
      <w:r w:rsidRPr="00E804A5" w:rsidR="001B1591">
        <w:rPr>
          <w:szCs w:val="24"/>
        </w:rPr>
        <w:t xml:space="preserve"> </w:t>
      </w:r>
      <w:r w:rsidRPr="00E804A5" w:rsidR="00BC54E4">
        <w:rPr>
          <w:szCs w:val="24"/>
        </w:rPr>
        <w:t>T</w:t>
      </w:r>
      <w:r w:rsidRPr="00E804A5" w:rsidR="001B1591">
        <w:rPr>
          <w:szCs w:val="24"/>
        </w:rPr>
        <w:t>he procedure was proper in this case against Green Choice.</w:t>
      </w:r>
    </w:p>
    <w:p w:rsidR="008B32A6" w:rsidRPr="00E804A5" w:rsidP="00F533E4" w14:paraId="6C60187F" w14:textId="7F0956E3">
      <w:pPr>
        <w:spacing w:line="480" w:lineRule="auto"/>
        <w:ind w:firstLine="720"/>
        <w:rPr>
          <w:szCs w:val="24"/>
        </w:rPr>
      </w:pPr>
      <w:r w:rsidRPr="00E804A5">
        <w:rPr>
          <w:szCs w:val="24"/>
        </w:rPr>
        <w:t>Moreover, if a proceeding is initiated in response to a</w:t>
      </w:r>
      <w:r w:rsidRPr="00E804A5" w:rsidR="001B1591">
        <w:rPr>
          <w:szCs w:val="24"/>
        </w:rPr>
        <w:t xml:space="preserve"> </w:t>
      </w:r>
      <w:r w:rsidRPr="00E804A5">
        <w:rPr>
          <w:szCs w:val="24"/>
        </w:rPr>
        <w:t>notice</w:t>
      </w:r>
      <w:r w:rsidRPr="00E804A5" w:rsidR="001B1591">
        <w:rPr>
          <w:szCs w:val="24"/>
        </w:rPr>
        <w:t xml:space="preserve"> of probable non-compliance</w:t>
      </w:r>
      <w:r w:rsidRPr="00E804A5">
        <w:rPr>
          <w:szCs w:val="24"/>
        </w:rPr>
        <w:t xml:space="preserve">, violations not included in </w:t>
      </w:r>
      <w:r w:rsidRPr="00E804A5" w:rsidR="001B1591">
        <w:rPr>
          <w:szCs w:val="24"/>
        </w:rPr>
        <w:t>the</w:t>
      </w:r>
      <w:r w:rsidRPr="00E804A5">
        <w:rPr>
          <w:szCs w:val="24"/>
        </w:rPr>
        <w:t xml:space="preserve"> notice may be included in the Staff Report provided that such additional violations </w:t>
      </w:r>
      <w:r w:rsidRPr="00E804A5" w:rsidR="00777AEF">
        <w:rPr>
          <w:szCs w:val="24"/>
        </w:rPr>
        <w:t>“</w:t>
      </w:r>
      <w:r w:rsidRPr="00E804A5">
        <w:rPr>
          <w:szCs w:val="24"/>
        </w:rPr>
        <w:t>relate to</w:t>
      </w:r>
      <w:r w:rsidRPr="00E804A5" w:rsidR="00777AEF">
        <w:rPr>
          <w:szCs w:val="24"/>
        </w:rPr>
        <w:t>”</w:t>
      </w:r>
      <w:r w:rsidRPr="00E804A5">
        <w:rPr>
          <w:szCs w:val="24"/>
        </w:rPr>
        <w:t xml:space="preserve"> the same investigation referenced in the notice.</w:t>
      </w:r>
      <w:r>
        <w:rPr>
          <w:rStyle w:val="FootnoteReference"/>
          <w:szCs w:val="24"/>
        </w:rPr>
        <w:footnoteReference w:id="20"/>
      </w:r>
      <w:r w:rsidRPr="00E804A5">
        <w:rPr>
          <w:szCs w:val="24"/>
        </w:rPr>
        <w:t xml:space="preserve"> In other words, when the proceedings are initiated by the notice of probable non-compliance - the investigation parameters described in the notice define the scope of the proceedings before the </w:t>
      </w:r>
      <w:r w:rsidRPr="00E804A5" w:rsidR="006A767A">
        <w:rPr>
          <w:szCs w:val="24"/>
        </w:rPr>
        <w:t>PUCO</w:t>
      </w:r>
      <w:r w:rsidRPr="00E804A5">
        <w:rPr>
          <w:szCs w:val="24"/>
        </w:rPr>
        <w:t>.</w:t>
      </w:r>
      <w:r>
        <w:rPr>
          <w:rStyle w:val="FootnoteReference"/>
          <w:szCs w:val="24"/>
        </w:rPr>
        <w:footnoteReference w:id="21"/>
      </w:r>
      <w:r w:rsidRPr="00E804A5">
        <w:rPr>
          <w:szCs w:val="24"/>
        </w:rPr>
        <w:t xml:space="preserve"> Any additional violations introduced via the Staff Report (or an amendment to the Staff Report)</w:t>
      </w:r>
      <w:r w:rsidRPr="00E804A5" w:rsidR="00D653FD">
        <w:rPr>
          <w:szCs w:val="24"/>
        </w:rPr>
        <w:t xml:space="preserve"> </w:t>
      </w:r>
      <w:r w:rsidRPr="00E804A5">
        <w:rPr>
          <w:szCs w:val="24"/>
        </w:rPr>
        <w:t xml:space="preserve">during the </w:t>
      </w:r>
      <w:r w:rsidRPr="00E804A5" w:rsidR="006A767A">
        <w:rPr>
          <w:szCs w:val="24"/>
        </w:rPr>
        <w:t>investigation</w:t>
      </w:r>
      <w:r w:rsidRPr="00E804A5">
        <w:rPr>
          <w:szCs w:val="24"/>
        </w:rPr>
        <w:t xml:space="preserve"> merely have to “relate to” the investigation.</w:t>
      </w:r>
      <w:r>
        <w:rPr>
          <w:rStyle w:val="FootnoteReference"/>
          <w:szCs w:val="24"/>
        </w:rPr>
        <w:footnoteReference w:id="22"/>
      </w:r>
    </w:p>
    <w:p w:rsidR="008B32A6" w:rsidRPr="00E804A5" w:rsidP="00D653FD" w14:paraId="2DC50FBA" w14:textId="548B9CB5">
      <w:pPr>
        <w:spacing w:line="480" w:lineRule="auto"/>
        <w:ind w:firstLine="720"/>
        <w:rPr>
          <w:szCs w:val="24"/>
        </w:rPr>
      </w:pPr>
      <w:r w:rsidRPr="00E804A5">
        <w:rPr>
          <w:szCs w:val="24"/>
        </w:rPr>
        <w:t xml:space="preserve">Green Choice also argues that </w:t>
      </w:r>
      <w:r w:rsidRPr="00E804A5" w:rsidR="002E44B7">
        <w:rPr>
          <w:szCs w:val="24"/>
        </w:rPr>
        <w:t>the evidence does not support the forfeiture ordered by the PUCO.</w:t>
      </w:r>
      <w:r>
        <w:rPr>
          <w:rStyle w:val="FootnoteReference"/>
          <w:szCs w:val="24"/>
        </w:rPr>
        <w:footnoteReference w:id="23"/>
      </w:r>
      <w:r w:rsidRPr="00E804A5" w:rsidR="002E44B7">
        <w:rPr>
          <w:szCs w:val="24"/>
        </w:rPr>
        <w:t xml:space="preserve"> However, in post-hearing briefs, </w:t>
      </w:r>
      <w:r w:rsidRPr="00E804A5" w:rsidR="00BC54E4">
        <w:rPr>
          <w:szCs w:val="24"/>
        </w:rPr>
        <w:t xml:space="preserve">the </w:t>
      </w:r>
      <w:r w:rsidRPr="00E804A5" w:rsidR="002E44B7">
        <w:rPr>
          <w:szCs w:val="24"/>
        </w:rPr>
        <w:t xml:space="preserve">PUCO Staff </w:t>
      </w:r>
      <w:r w:rsidRPr="00E804A5" w:rsidR="00BC54E4">
        <w:rPr>
          <w:szCs w:val="24"/>
        </w:rPr>
        <w:t xml:space="preserve">and OCC </w:t>
      </w:r>
      <w:r w:rsidRPr="00E804A5" w:rsidR="002E44B7">
        <w:rPr>
          <w:szCs w:val="24"/>
        </w:rPr>
        <w:t xml:space="preserve">explained how the evidence supports </w:t>
      </w:r>
      <w:r w:rsidRPr="00E804A5" w:rsidR="00BC54E4">
        <w:rPr>
          <w:i/>
          <w:iCs/>
          <w:szCs w:val="24"/>
        </w:rPr>
        <w:t xml:space="preserve">more </w:t>
      </w:r>
      <w:r w:rsidRPr="00E804A5" w:rsidR="00BC54E4">
        <w:rPr>
          <w:szCs w:val="24"/>
        </w:rPr>
        <w:t xml:space="preserve">than </w:t>
      </w:r>
      <w:r w:rsidRPr="00E804A5" w:rsidR="002E44B7">
        <w:rPr>
          <w:szCs w:val="24"/>
        </w:rPr>
        <w:t xml:space="preserve">the forfeiture </w:t>
      </w:r>
      <w:r w:rsidRPr="00E804A5" w:rsidR="00BC54E4">
        <w:rPr>
          <w:szCs w:val="24"/>
        </w:rPr>
        <w:t xml:space="preserve">ordered </w:t>
      </w:r>
      <w:r w:rsidRPr="00E804A5" w:rsidR="002E44B7">
        <w:rPr>
          <w:szCs w:val="24"/>
        </w:rPr>
        <w:t>in this case.</w:t>
      </w:r>
      <w:r>
        <w:rPr>
          <w:rStyle w:val="FootnoteReference"/>
          <w:szCs w:val="24"/>
        </w:rPr>
        <w:footnoteReference w:id="24"/>
      </w:r>
    </w:p>
    <w:p w:rsidR="002410A3" w:rsidRPr="00E804A5" w:rsidP="00BC54E4" w14:paraId="4BD3F058" w14:textId="63B151FE">
      <w:pPr>
        <w:spacing w:line="480" w:lineRule="auto"/>
        <w:ind w:firstLine="720"/>
        <w:rPr>
          <w:szCs w:val="24"/>
        </w:rPr>
      </w:pPr>
      <w:r w:rsidRPr="00E804A5">
        <w:rPr>
          <w:szCs w:val="24"/>
        </w:rPr>
        <w:t>In short, t</w:t>
      </w:r>
      <w:r w:rsidRPr="00E804A5" w:rsidR="001F40DB">
        <w:rPr>
          <w:szCs w:val="24"/>
        </w:rPr>
        <w:t>here were no enforcement or due process concerns i</w:t>
      </w:r>
      <w:r w:rsidRPr="00E804A5" w:rsidR="008B32A6">
        <w:rPr>
          <w:szCs w:val="24"/>
        </w:rPr>
        <w:t>n the</w:t>
      </w:r>
      <w:r w:rsidRPr="00E804A5" w:rsidR="00226259">
        <w:rPr>
          <w:szCs w:val="24"/>
        </w:rPr>
        <w:t>se</w:t>
      </w:r>
      <w:r w:rsidRPr="00E804A5" w:rsidR="008B32A6">
        <w:rPr>
          <w:szCs w:val="24"/>
        </w:rPr>
        <w:t xml:space="preserve"> proceedings</w:t>
      </w:r>
      <w:r w:rsidRPr="00E804A5" w:rsidR="00226259">
        <w:rPr>
          <w:szCs w:val="24"/>
        </w:rPr>
        <w:t xml:space="preserve">. </w:t>
      </w:r>
      <w:r w:rsidRPr="00E804A5" w:rsidR="00777AEF">
        <w:rPr>
          <w:szCs w:val="24"/>
        </w:rPr>
        <w:t xml:space="preserve">Green Choice had notice of the PUCO’s investigation. </w:t>
      </w:r>
      <w:r w:rsidRPr="00E804A5" w:rsidR="00226259">
        <w:rPr>
          <w:szCs w:val="24"/>
        </w:rPr>
        <w:t xml:space="preserve">The PUCO </w:t>
      </w:r>
      <w:r w:rsidRPr="00E804A5" w:rsidR="008B32A6">
        <w:rPr>
          <w:szCs w:val="24"/>
        </w:rPr>
        <w:t xml:space="preserve">Staff amended its Staff Report as allowed by the rules to include additional violations that occurred after its original filing. </w:t>
      </w:r>
      <w:r w:rsidRPr="00E804A5" w:rsidR="00226259">
        <w:rPr>
          <w:szCs w:val="24"/>
        </w:rPr>
        <w:t>Green Choice</w:t>
      </w:r>
      <w:r w:rsidRPr="00E804A5" w:rsidR="008B32A6">
        <w:rPr>
          <w:szCs w:val="24"/>
        </w:rPr>
        <w:t xml:space="preserve"> was provided with the Amended Staff Report </w:t>
      </w:r>
      <w:r w:rsidRPr="00E804A5" w:rsidR="00226259">
        <w:rPr>
          <w:szCs w:val="24"/>
        </w:rPr>
        <w:t xml:space="preserve">about </w:t>
      </w:r>
      <w:r w:rsidRPr="00E804A5" w:rsidR="008B32A6">
        <w:rPr>
          <w:szCs w:val="24"/>
        </w:rPr>
        <w:t>three months before hearing</w:t>
      </w:r>
      <w:r>
        <w:rPr>
          <w:rStyle w:val="FootnoteReference"/>
          <w:szCs w:val="24"/>
        </w:rPr>
        <w:footnoteReference w:id="25"/>
      </w:r>
      <w:r w:rsidRPr="00E804A5" w:rsidR="008B32A6">
        <w:rPr>
          <w:szCs w:val="24"/>
        </w:rPr>
        <w:t xml:space="preserve"> and with </w:t>
      </w:r>
      <w:r w:rsidRPr="00E804A5" w:rsidR="00226259">
        <w:rPr>
          <w:szCs w:val="24"/>
        </w:rPr>
        <w:t>the PUCO Staff testimony</w:t>
      </w:r>
      <w:r w:rsidRPr="00E804A5" w:rsidR="008B32A6">
        <w:rPr>
          <w:szCs w:val="24"/>
        </w:rPr>
        <w:t xml:space="preserve"> </w:t>
      </w:r>
      <w:r w:rsidRPr="00E804A5" w:rsidR="0034083C">
        <w:rPr>
          <w:szCs w:val="24"/>
        </w:rPr>
        <w:t>within several weeks of the hearing</w:t>
      </w:r>
      <w:r w:rsidRPr="00E804A5" w:rsidR="008B32A6">
        <w:rPr>
          <w:szCs w:val="24"/>
        </w:rPr>
        <w:t>.</w:t>
      </w:r>
      <w:r w:rsidRPr="00E804A5" w:rsidR="0034083C">
        <w:rPr>
          <w:rStyle w:val="FootnoteReference"/>
          <w:szCs w:val="24"/>
        </w:rPr>
        <w:t xml:space="preserve"> </w:t>
      </w:r>
      <w:r>
        <w:rPr>
          <w:rStyle w:val="FootnoteReference"/>
          <w:szCs w:val="24"/>
        </w:rPr>
        <w:footnoteReference w:id="26"/>
      </w:r>
      <w:r w:rsidRPr="00E804A5" w:rsidR="008B32A6">
        <w:rPr>
          <w:szCs w:val="24"/>
        </w:rPr>
        <w:t xml:space="preserve"> The Amended </w:t>
      </w:r>
      <w:r w:rsidRPr="00E804A5" w:rsidR="00226259">
        <w:rPr>
          <w:szCs w:val="24"/>
        </w:rPr>
        <w:t xml:space="preserve">PUCO </w:t>
      </w:r>
      <w:r w:rsidRPr="00E804A5" w:rsidR="008B32A6">
        <w:rPr>
          <w:szCs w:val="24"/>
        </w:rPr>
        <w:t xml:space="preserve">Staff Report and </w:t>
      </w:r>
      <w:r w:rsidRPr="00E804A5" w:rsidR="008D02F3">
        <w:rPr>
          <w:szCs w:val="24"/>
        </w:rPr>
        <w:t xml:space="preserve">the </w:t>
      </w:r>
      <w:r w:rsidRPr="00E804A5" w:rsidR="00226259">
        <w:rPr>
          <w:szCs w:val="24"/>
        </w:rPr>
        <w:t xml:space="preserve">PUCO </w:t>
      </w:r>
      <w:r w:rsidRPr="00E804A5" w:rsidR="008B32A6">
        <w:rPr>
          <w:szCs w:val="24"/>
        </w:rPr>
        <w:t>Staff Testimony w</w:t>
      </w:r>
      <w:r w:rsidRPr="00E804A5" w:rsidR="00226259">
        <w:rPr>
          <w:szCs w:val="24"/>
        </w:rPr>
        <w:t>ere</w:t>
      </w:r>
      <w:r w:rsidRPr="00E804A5" w:rsidR="008B32A6">
        <w:rPr>
          <w:szCs w:val="24"/>
        </w:rPr>
        <w:t xml:space="preserve"> admitted without objection.</w:t>
      </w:r>
      <w:r>
        <w:rPr>
          <w:rStyle w:val="FootnoteReference"/>
          <w:szCs w:val="24"/>
        </w:rPr>
        <w:footnoteReference w:id="27"/>
      </w:r>
      <w:r w:rsidRPr="00E804A5" w:rsidR="008B32A6">
        <w:rPr>
          <w:szCs w:val="24"/>
        </w:rPr>
        <w:t xml:space="preserve"> The </w:t>
      </w:r>
      <w:r w:rsidRPr="00E804A5" w:rsidR="00226259">
        <w:rPr>
          <w:szCs w:val="24"/>
        </w:rPr>
        <w:t>PUCO</w:t>
      </w:r>
      <w:r w:rsidRPr="00E804A5" w:rsidR="008B32A6">
        <w:rPr>
          <w:szCs w:val="24"/>
        </w:rPr>
        <w:t xml:space="preserve"> was generous with </w:t>
      </w:r>
      <w:r w:rsidRPr="00E804A5" w:rsidR="00226259">
        <w:rPr>
          <w:szCs w:val="24"/>
        </w:rPr>
        <w:t xml:space="preserve">the </w:t>
      </w:r>
      <w:r w:rsidRPr="00E804A5" w:rsidR="008B32A6">
        <w:rPr>
          <w:szCs w:val="24"/>
        </w:rPr>
        <w:t xml:space="preserve">hearing date extension to </w:t>
      </w:r>
      <w:r w:rsidRPr="00E804A5" w:rsidR="00226259">
        <w:rPr>
          <w:szCs w:val="24"/>
        </w:rPr>
        <w:t>ensure</w:t>
      </w:r>
      <w:r w:rsidRPr="00E804A5" w:rsidR="008B32A6">
        <w:rPr>
          <w:szCs w:val="24"/>
        </w:rPr>
        <w:t xml:space="preserve"> all parties had enough time to prepare for the hearing. All parties were able to and did present direct testimony and cross examine witnesses at the hearing. </w:t>
      </w:r>
      <w:r w:rsidRPr="00E804A5" w:rsidR="00226259">
        <w:rPr>
          <w:szCs w:val="24"/>
        </w:rPr>
        <w:t>O</w:t>
      </w:r>
      <w:r w:rsidRPr="00E804A5" w:rsidR="008B32A6">
        <w:rPr>
          <w:szCs w:val="24"/>
        </w:rPr>
        <w:t xml:space="preserve">ther than </w:t>
      </w:r>
      <w:r w:rsidRPr="00E804A5" w:rsidR="00E8624D">
        <w:rPr>
          <w:szCs w:val="24"/>
        </w:rPr>
        <w:t xml:space="preserve">the PUCO </w:t>
      </w:r>
      <w:r w:rsidRPr="00E804A5" w:rsidR="008B32A6">
        <w:rPr>
          <w:szCs w:val="24"/>
        </w:rPr>
        <w:t xml:space="preserve">Staff, no party motioned to strike the prefiled direct testimony of any other party at the hearing. The </w:t>
      </w:r>
      <w:r w:rsidRPr="00E804A5" w:rsidR="000B5134">
        <w:rPr>
          <w:szCs w:val="24"/>
        </w:rPr>
        <w:t>PUCO</w:t>
      </w:r>
      <w:r w:rsidRPr="00E804A5" w:rsidR="008B32A6">
        <w:rPr>
          <w:szCs w:val="24"/>
        </w:rPr>
        <w:t xml:space="preserve"> also allowed plenty of time for the parties to prepare their initial and reply briefs.</w:t>
      </w:r>
    </w:p>
    <w:p w:rsidR="00DC50F5" w:rsidRPr="00E804A5" w:rsidP="00AA1406" w14:paraId="52814E5C" w14:textId="1C158EBC">
      <w:pPr>
        <w:spacing w:line="480" w:lineRule="auto"/>
        <w:ind w:firstLine="720"/>
        <w:rPr>
          <w:szCs w:val="24"/>
        </w:rPr>
      </w:pPr>
      <w:r w:rsidRPr="00E804A5">
        <w:rPr>
          <w:szCs w:val="24"/>
        </w:rPr>
        <w:t>Green Choice received all the process it was due</w:t>
      </w:r>
      <w:r w:rsidRPr="00E804A5" w:rsidR="009C71D9">
        <w:rPr>
          <w:szCs w:val="24"/>
        </w:rPr>
        <w:t xml:space="preserve"> under Ohio law</w:t>
      </w:r>
      <w:r w:rsidRPr="00E804A5">
        <w:rPr>
          <w:szCs w:val="24"/>
        </w:rPr>
        <w:t xml:space="preserve">, and more. The PUCO should </w:t>
      </w:r>
      <w:r w:rsidRPr="00E804A5" w:rsidR="000B5134">
        <w:rPr>
          <w:szCs w:val="24"/>
        </w:rPr>
        <w:t>deny Green Choice</w:t>
      </w:r>
      <w:r w:rsidRPr="00E804A5" w:rsidR="00F2792D">
        <w:rPr>
          <w:szCs w:val="24"/>
        </w:rPr>
        <w:t>’s</w:t>
      </w:r>
      <w:r w:rsidRPr="00E804A5" w:rsidR="000B5134">
        <w:rPr>
          <w:szCs w:val="24"/>
        </w:rPr>
        <w:t xml:space="preserve"> Application for Rehearing.</w:t>
      </w:r>
    </w:p>
    <w:p w:rsidR="00C97AB9" w:rsidRPr="00E804A5" w:rsidP="001A0D03" w14:paraId="0F7F8BFE" w14:textId="426C8A6B">
      <w:pPr>
        <w:pStyle w:val="Heading2"/>
        <w:rPr>
          <w:szCs w:val="24"/>
        </w:rPr>
      </w:pPr>
      <w:bookmarkStart w:id="10" w:name="_Toc151985190"/>
      <w:r w:rsidRPr="00E804A5">
        <w:rPr>
          <w:szCs w:val="24"/>
        </w:rPr>
        <w:t>Green Choice’s claim that OCC ha</w:t>
      </w:r>
      <w:r w:rsidRPr="00E804A5" w:rsidR="00262AA6">
        <w:rPr>
          <w:szCs w:val="24"/>
        </w:rPr>
        <w:t>d</w:t>
      </w:r>
      <w:r w:rsidRPr="00E804A5">
        <w:rPr>
          <w:szCs w:val="24"/>
        </w:rPr>
        <w:t xml:space="preserve"> no legal authority to intervene in this proceeding to protect consumers has no merit. </w:t>
      </w:r>
      <w:r w:rsidRPr="00E804A5" w:rsidR="006D20C5">
        <w:rPr>
          <w:szCs w:val="24"/>
        </w:rPr>
        <w:t>The</w:t>
      </w:r>
      <w:r w:rsidRPr="00E804A5" w:rsidR="00F919BD">
        <w:rPr>
          <w:szCs w:val="24"/>
        </w:rPr>
        <w:t xml:space="preserve"> law gives OCC the authority to protect Ohio consumers from Green Choice. The</w:t>
      </w:r>
      <w:r w:rsidRPr="00E804A5" w:rsidR="006D20C5">
        <w:rPr>
          <w:szCs w:val="24"/>
        </w:rPr>
        <w:t xml:space="preserve"> PUCO has </w:t>
      </w:r>
      <w:r w:rsidRPr="00E804A5" w:rsidR="00F919BD">
        <w:rPr>
          <w:szCs w:val="24"/>
        </w:rPr>
        <w:t xml:space="preserve">granted </w:t>
      </w:r>
      <w:r w:rsidRPr="00E804A5" w:rsidR="006D20C5">
        <w:rPr>
          <w:szCs w:val="24"/>
        </w:rPr>
        <w:t>OCC</w:t>
      </w:r>
      <w:r w:rsidRPr="00E804A5" w:rsidR="00F919BD">
        <w:rPr>
          <w:szCs w:val="24"/>
        </w:rPr>
        <w:t>’s</w:t>
      </w:r>
      <w:r w:rsidRPr="00E804A5" w:rsidR="006D20C5">
        <w:rPr>
          <w:szCs w:val="24"/>
        </w:rPr>
        <w:t xml:space="preserve"> interven</w:t>
      </w:r>
      <w:r w:rsidRPr="00E804A5" w:rsidR="00F919BD">
        <w:rPr>
          <w:szCs w:val="24"/>
        </w:rPr>
        <w:t>tion</w:t>
      </w:r>
      <w:r w:rsidRPr="00E804A5" w:rsidR="006D20C5">
        <w:rPr>
          <w:szCs w:val="24"/>
        </w:rPr>
        <w:t xml:space="preserve"> to protect consumers</w:t>
      </w:r>
      <w:r w:rsidRPr="00E804A5" w:rsidR="00A90ACA">
        <w:rPr>
          <w:szCs w:val="24"/>
        </w:rPr>
        <w:t xml:space="preserve"> in PUCO investigations</w:t>
      </w:r>
      <w:r w:rsidRPr="00E804A5" w:rsidR="00F919BD">
        <w:rPr>
          <w:szCs w:val="24"/>
        </w:rPr>
        <w:t xml:space="preserve"> </w:t>
      </w:r>
      <w:r w:rsidRPr="00E804A5" w:rsidR="002B3086">
        <w:rPr>
          <w:szCs w:val="24"/>
        </w:rPr>
        <w:t>of</w:t>
      </w:r>
      <w:r w:rsidRPr="00E804A5" w:rsidR="00F919BD">
        <w:rPr>
          <w:szCs w:val="24"/>
        </w:rPr>
        <w:t xml:space="preserve"> marketers</w:t>
      </w:r>
      <w:r w:rsidRPr="00E804A5" w:rsidR="00A90ACA">
        <w:rPr>
          <w:szCs w:val="24"/>
        </w:rPr>
        <w:t>, even where the marketer opposed OCC’s intervention</w:t>
      </w:r>
      <w:r w:rsidRPr="00E804A5" w:rsidR="00685CF7">
        <w:rPr>
          <w:szCs w:val="24"/>
        </w:rPr>
        <w:t>.</w:t>
      </w:r>
      <w:bookmarkEnd w:id="7"/>
      <w:bookmarkEnd w:id="10"/>
    </w:p>
    <w:p w:rsidR="000B1E2E" w:rsidRPr="00E804A5" w:rsidP="00EC1D5F" w14:paraId="70ED6384" w14:textId="2B3C62E0">
      <w:pPr>
        <w:pStyle w:val="BodyTextIndent3"/>
        <w:spacing w:line="480" w:lineRule="auto"/>
        <w:rPr>
          <w:szCs w:val="24"/>
        </w:rPr>
      </w:pPr>
      <w:r w:rsidRPr="00E804A5">
        <w:rPr>
          <w:szCs w:val="24"/>
        </w:rPr>
        <w:t xml:space="preserve">Green Choice asserts that </w:t>
      </w:r>
      <w:r w:rsidRPr="00E804A5" w:rsidR="00010D7D">
        <w:rPr>
          <w:szCs w:val="24"/>
        </w:rPr>
        <w:t>R.C. 4911</w:t>
      </w:r>
      <w:r w:rsidRPr="00E804A5">
        <w:rPr>
          <w:szCs w:val="24"/>
        </w:rPr>
        <w:t xml:space="preserve"> does not</w:t>
      </w:r>
      <w:r w:rsidRPr="00E804A5" w:rsidR="0099227B">
        <w:rPr>
          <w:szCs w:val="24"/>
        </w:rPr>
        <w:t xml:space="preserve"> </w:t>
      </w:r>
      <w:r w:rsidRPr="00E804A5" w:rsidR="00C258C5">
        <w:rPr>
          <w:szCs w:val="24"/>
        </w:rPr>
        <w:t xml:space="preserve">expressly </w:t>
      </w:r>
      <w:r w:rsidRPr="00E804A5" w:rsidR="00010D7D">
        <w:rPr>
          <w:szCs w:val="24"/>
        </w:rPr>
        <w:t>authorize</w:t>
      </w:r>
      <w:r w:rsidRPr="00E804A5">
        <w:rPr>
          <w:szCs w:val="24"/>
        </w:rPr>
        <w:t xml:space="preserve"> OCC’s</w:t>
      </w:r>
      <w:r w:rsidRPr="00E804A5" w:rsidR="00C258C5">
        <w:rPr>
          <w:szCs w:val="24"/>
        </w:rPr>
        <w:t xml:space="preserve"> intervention in enforcement proceedings</w:t>
      </w:r>
      <w:r w:rsidRPr="00E804A5" w:rsidR="004E2A2C">
        <w:rPr>
          <w:szCs w:val="24"/>
        </w:rPr>
        <w:t xml:space="preserve"> concerning the services and charges of electric and natural gas marketers</w:t>
      </w:r>
      <w:r w:rsidRPr="00E804A5" w:rsidR="00010D7D">
        <w:rPr>
          <w:szCs w:val="24"/>
        </w:rPr>
        <w:t xml:space="preserve">, </w:t>
      </w:r>
      <w:r w:rsidRPr="00E804A5" w:rsidR="00A72403">
        <w:rPr>
          <w:szCs w:val="24"/>
        </w:rPr>
        <w:t xml:space="preserve">and OCC </w:t>
      </w:r>
      <w:r w:rsidRPr="00E804A5" w:rsidR="00010D7D">
        <w:rPr>
          <w:szCs w:val="24"/>
        </w:rPr>
        <w:t>should have been denied intervention in this case</w:t>
      </w:r>
      <w:r w:rsidRPr="00E804A5" w:rsidR="00C258C5">
        <w:rPr>
          <w:szCs w:val="24"/>
        </w:rPr>
        <w:t>.</w:t>
      </w:r>
      <w:r>
        <w:rPr>
          <w:rStyle w:val="FootnoteReference"/>
          <w:szCs w:val="24"/>
        </w:rPr>
        <w:footnoteReference w:id="28"/>
      </w:r>
      <w:r w:rsidRPr="00E804A5" w:rsidR="00C258C5">
        <w:rPr>
          <w:szCs w:val="24"/>
        </w:rPr>
        <w:t xml:space="preserve"> </w:t>
      </w:r>
    </w:p>
    <w:p w:rsidR="000412B5" w:rsidRPr="00E804A5" w:rsidP="000B1E2E" w14:paraId="52256501" w14:textId="6BB74560">
      <w:pPr>
        <w:pStyle w:val="BodyTextIndent3"/>
        <w:spacing w:line="480" w:lineRule="auto"/>
        <w:ind w:firstLine="0"/>
        <w:rPr>
          <w:szCs w:val="24"/>
        </w:rPr>
      </w:pPr>
      <w:r w:rsidRPr="00E804A5">
        <w:rPr>
          <w:szCs w:val="24"/>
        </w:rPr>
        <w:t>Green Choice is wrong.</w:t>
      </w:r>
      <w:r w:rsidRPr="00E804A5" w:rsidR="009479FB">
        <w:rPr>
          <w:szCs w:val="24"/>
        </w:rPr>
        <w:t xml:space="preserve"> Green Choice ignores precedent where the PUCO granted OCC intervention, rejecting </w:t>
      </w:r>
      <w:r w:rsidRPr="00E804A5" w:rsidR="00A72403">
        <w:rPr>
          <w:szCs w:val="24"/>
        </w:rPr>
        <w:t xml:space="preserve">the same arguments made </w:t>
      </w:r>
      <w:r w:rsidRPr="00E804A5" w:rsidR="009479FB">
        <w:rPr>
          <w:szCs w:val="24"/>
        </w:rPr>
        <w:t>by other marketers.</w:t>
      </w:r>
      <w:r>
        <w:rPr>
          <w:rStyle w:val="FootnoteReference"/>
          <w:szCs w:val="24"/>
        </w:rPr>
        <w:footnoteReference w:id="29"/>
      </w:r>
    </w:p>
    <w:p w:rsidR="00DD2181" w:rsidRPr="00E804A5" w:rsidP="003A2BAC" w14:paraId="2E0488FC" w14:textId="3AB9F224">
      <w:pPr>
        <w:pStyle w:val="BodyTextIndent3"/>
        <w:spacing w:line="480" w:lineRule="auto"/>
        <w:rPr>
          <w:szCs w:val="24"/>
        </w:rPr>
      </w:pPr>
      <w:r w:rsidRPr="00E804A5">
        <w:rPr>
          <w:szCs w:val="24"/>
        </w:rPr>
        <w:t xml:space="preserve">The General Assembly wrote into R.C. 4911.02(B)(2) that the Consumers’ Counsel has rights to protect consumers </w:t>
      </w:r>
      <w:r w:rsidRPr="00E804A5">
        <w:rPr>
          <w:i/>
          <w:iCs/>
          <w:szCs w:val="24"/>
        </w:rPr>
        <w:t>“Without limitation because of enumeration….”</w:t>
      </w:r>
      <w:r w:rsidRPr="00E804A5">
        <w:rPr>
          <w:szCs w:val="24"/>
        </w:rPr>
        <w:t xml:space="preserve"> (Emphasis added.) Green Choice </w:t>
      </w:r>
      <w:r w:rsidRPr="00E804A5" w:rsidR="003E3545">
        <w:rPr>
          <w:szCs w:val="24"/>
        </w:rPr>
        <w:t>continues to ignore</w:t>
      </w:r>
      <w:r w:rsidRPr="00E804A5">
        <w:rPr>
          <w:szCs w:val="24"/>
        </w:rPr>
        <w:t xml:space="preserve"> </w:t>
      </w:r>
      <w:r w:rsidRPr="00E804A5" w:rsidR="00A80E1B">
        <w:rPr>
          <w:szCs w:val="24"/>
        </w:rPr>
        <w:t>these</w:t>
      </w:r>
      <w:r w:rsidRPr="00E804A5">
        <w:rPr>
          <w:szCs w:val="24"/>
        </w:rPr>
        <w:t xml:space="preserve"> important words and </w:t>
      </w:r>
      <w:r w:rsidRPr="00E804A5" w:rsidR="00262AA6">
        <w:rPr>
          <w:szCs w:val="24"/>
        </w:rPr>
        <w:t>persists</w:t>
      </w:r>
      <w:r w:rsidRPr="00E804A5">
        <w:rPr>
          <w:szCs w:val="24"/>
        </w:rPr>
        <w:t xml:space="preserve"> </w:t>
      </w:r>
      <w:r w:rsidRPr="00E804A5" w:rsidR="00262AA6">
        <w:rPr>
          <w:szCs w:val="24"/>
        </w:rPr>
        <w:t>in arguing</w:t>
      </w:r>
      <w:r w:rsidRPr="00E804A5">
        <w:rPr>
          <w:szCs w:val="24"/>
        </w:rPr>
        <w:t xml:space="preserve"> OCC cannot intervene in an enforcement action because it is not enumerated in the law. Even what is enumerated in the law, such as R.C. 4911.02(B)(2)(b), allows OCC to intervene. But again, the law has no “limitation because of enumeration.” And the PUCO has found that [t]his language conveys the intent of the legislature that the provisions of Section 4911.02 should be construed </w:t>
      </w:r>
      <w:r w:rsidRPr="00E804A5">
        <w:rPr>
          <w:i/>
          <w:iCs/>
          <w:szCs w:val="24"/>
        </w:rPr>
        <w:t>as broadly as possible</w:t>
      </w:r>
      <w:r w:rsidRPr="00E804A5">
        <w:rPr>
          <w:szCs w:val="24"/>
        </w:rPr>
        <w:t>.”</w:t>
      </w:r>
      <w:r>
        <w:rPr>
          <w:rStyle w:val="FootnoteReference"/>
          <w:szCs w:val="24"/>
        </w:rPr>
        <w:footnoteReference w:id="30"/>
      </w:r>
    </w:p>
    <w:p w:rsidR="00EE2ACE" w:rsidRPr="00E804A5" w:rsidP="003A2BAC" w14:paraId="120C2F6E" w14:textId="6DCB13F5">
      <w:pPr>
        <w:pStyle w:val="BodyTextIndent3"/>
        <w:spacing w:line="480" w:lineRule="auto"/>
        <w:rPr>
          <w:szCs w:val="24"/>
        </w:rPr>
      </w:pPr>
      <w:r w:rsidRPr="00E804A5">
        <w:rPr>
          <w:szCs w:val="24"/>
        </w:rPr>
        <w:t>The PUCO rejected t</w:t>
      </w:r>
      <w:r w:rsidRPr="00E804A5" w:rsidR="006E6802">
        <w:rPr>
          <w:szCs w:val="24"/>
        </w:rPr>
        <w:t>his</w:t>
      </w:r>
      <w:r w:rsidRPr="00E804A5" w:rsidR="00BA0F80">
        <w:rPr>
          <w:szCs w:val="24"/>
        </w:rPr>
        <w:t xml:space="preserve"> same</w:t>
      </w:r>
      <w:r w:rsidRPr="00E804A5">
        <w:rPr>
          <w:szCs w:val="24"/>
        </w:rPr>
        <w:t xml:space="preserve"> argument </w:t>
      </w:r>
      <w:r w:rsidRPr="00E804A5" w:rsidR="009C4CD3">
        <w:rPr>
          <w:szCs w:val="24"/>
        </w:rPr>
        <w:t xml:space="preserve">in the PALMco 2 Investigation when </w:t>
      </w:r>
      <w:r w:rsidRPr="00E804A5" w:rsidR="00BA0F80">
        <w:rPr>
          <w:szCs w:val="24"/>
        </w:rPr>
        <w:t xml:space="preserve">marketer </w:t>
      </w:r>
      <w:r w:rsidRPr="00E804A5" w:rsidR="009C4CD3">
        <w:rPr>
          <w:szCs w:val="24"/>
        </w:rPr>
        <w:t>PALMco</w:t>
      </w:r>
      <w:r w:rsidRPr="00E804A5" w:rsidR="000F0B9D">
        <w:rPr>
          <w:szCs w:val="24"/>
        </w:rPr>
        <w:t xml:space="preserve"> </w:t>
      </w:r>
      <w:r w:rsidRPr="00E804A5" w:rsidR="009C4CD3">
        <w:rPr>
          <w:szCs w:val="24"/>
        </w:rPr>
        <w:t xml:space="preserve">opposed OCC’s intervention in that </w:t>
      </w:r>
      <w:r w:rsidRPr="00E804A5" w:rsidR="00895DC9">
        <w:rPr>
          <w:szCs w:val="24"/>
        </w:rPr>
        <w:t xml:space="preserve">PUCO initiated </w:t>
      </w:r>
      <w:r w:rsidRPr="00E804A5" w:rsidR="009C4CD3">
        <w:rPr>
          <w:szCs w:val="24"/>
        </w:rPr>
        <w:t>enforcement proceeding</w:t>
      </w:r>
      <w:r w:rsidRPr="00E804A5" w:rsidR="008C237A">
        <w:rPr>
          <w:szCs w:val="24"/>
        </w:rPr>
        <w:t>.</w:t>
      </w:r>
      <w:r>
        <w:rPr>
          <w:rStyle w:val="FootnoteReference"/>
          <w:szCs w:val="24"/>
        </w:rPr>
        <w:footnoteReference w:id="31"/>
      </w:r>
      <w:r w:rsidRPr="00E804A5" w:rsidR="008C237A">
        <w:rPr>
          <w:szCs w:val="24"/>
        </w:rPr>
        <w:t xml:space="preserve"> The PUCO granted OCC’s intervention</w:t>
      </w:r>
      <w:r w:rsidRPr="00E804A5" w:rsidR="00BA0F80">
        <w:rPr>
          <w:szCs w:val="24"/>
        </w:rPr>
        <w:t xml:space="preserve"> in PALMco 2</w:t>
      </w:r>
      <w:r w:rsidRPr="00E804A5" w:rsidR="008C237A">
        <w:rPr>
          <w:szCs w:val="24"/>
        </w:rPr>
        <w:t xml:space="preserve"> stating: “Upon consideration of OCC’s motion to intervene in this proceeding, the attorney examiner finds that OCC’s motion is supported by statute, the </w:t>
      </w:r>
      <w:r w:rsidRPr="00E804A5" w:rsidR="00E8624D">
        <w:rPr>
          <w:szCs w:val="24"/>
        </w:rPr>
        <w:t>PUCO</w:t>
      </w:r>
      <w:r w:rsidRPr="00E804A5" w:rsidR="008C237A">
        <w:rPr>
          <w:szCs w:val="24"/>
        </w:rPr>
        <w:t xml:space="preserve">’s intervention rule, and prior </w:t>
      </w:r>
      <w:r w:rsidRPr="00E804A5" w:rsidR="00E8624D">
        <w:rPr>
          <w:szCs w:val="24"/>
        </w:rPr>
        <w:t>PUCO</w:t>
      </w:r>
      <w:r w:rsidRPr="00E804A5" w:rsidR="008C237A">
        <w:rPr>
          <w:szCs w:val="24"/>
        </w:rPr>
        <w:t xml:space="preserve"> precedent, and should be granted.”</w:t>
      </w:r>
      <w:r>
        <w:rPr>
          <w:rStyle w:val="FootnoteReference"/>
          <w:szCs w:val="24"/>
        </w:rPr>
        <w:footnoteReference w:id="32"/>
      </w:r>
      <w:r w:rsidRPr="00E804A5" w:rsidR="008C237A">
        <w:rPr>
          <w:szCs w:val="24"/>
        </w:rPr>
        <w:t xml:space="preserve"> </w:t>
      </w:r>
    </w:p>
    <w:p w:rsidR="00EE2ACE" w:rsidRPr="00E804A5" w:rsidP="005B3E5C" w14:paraId="74CAFE07" w14:textId="1ADE020A">
      <w:pPr>
        <w:pStyle w:val="BodyTextIndent3"/>
        <w:spacing w:line="480" w:lineRule="auto"/>
        <w:rPr>
          <w:szCs w:val="24"/>
        </w:rPr>
      </w:pPr>
      <w:r w:rsidRPr="00E804A5">
        <w:rPr>
          <w:szCs w:val="24"/>
        </w:rPr>
        <w:t xml:space="preserve">The PUCO </w:t>
      </w:r>
      <w:r w:rsidRPr="00E804A5" w:rsidR="00BA0F80">
        <w:rPr>
          <w:szCs w:val="24"/>
        </w:rPr>
        <w:t xml:space="preserve">also </w:t>
      </w:r>
      <w:r w:rsidRPr="00E804A5">
        <w:rPr>
          <w:szCs w:val="24"/>
        </w:rPr>
        <w:t xml:space="preserve">rejected similar arguments by marketer </w:t>
      </w:r>
      <w:r w:rsidRPr="00E804A5" w:rsidR="00BA0F80">
        <w:rPr>
          <w:szCs w:val="24"/>
        </w:rPr>
        <w:t xml:space="preserve">SFE </w:t>
      </w:r>
      <w:r w:rsidRPr="00E804A5">
        <w:rPr>
          <w:szCs w:val="24"/>
        </w:rPr>
        <w:t xml:space="preserve">in the SFE Investigation when it opposed OCC’s </w:t>
      </w:r>
      <w:r w:rsidRPr="00E804A5" w:rsidR="00AF3C91">
        <w:rPr>
          <w:szCs w:val="24"/>
        </w:rPr>
        <w:t xml:space="preserve">motion to </w:t>
      </w:r>
      <w:r w:rsidRPr="00E804A5">
        <w:rPr>
          <w:szCs w:val="24"/>
        </w:rPr>
        <w:t>interven</w:t>
      </w:r>
      <w:r w:rsidRPr="00E804A5" w:rsidR="00AF3C91">
        <w:rPr>
          <w:szCs w:val="24"/>
        </w:rPr>
        <w:t>e</w:t>
      </w:r>
      <w:r w:rsidRPr="00E804A5">
        <w:rPr>
          <w:szCs w:val="24"/>
        </w:rPr>
        <w:t xml:space="preserve"> in that case.</w:t>
      </w:r>
      <w:r>
        <w:rPr>
          <w:rStyle w:val="FootnoteReference"/>
          <w:szCs w:val="24"/>
        </w:rPr>
        <w:footnoteReference w:id="33"/>
      </w:r>
      <w:r w:rsidRPr="00E804A5" w:rsidR="00952E38">
        <w:rPr>
          <w:szCs w:val="24"/>
        </w:rPr>
        <w:t xml:space="preserve"> </w:t>
      </w:r>
      <w:r w:rsidRPr="00E804A5" w:rsidR="00E90C03">
        <w:rPr>
          <w:szCs w:val="24"/>
        </w:rPr>
        <w:t xml:space="preserve">There, </w:t>
      </w:r>
      <w:r w:rsidRPr="00E804A5" w:rsidR="00AF3C91">
        <w:rPr>
          <w:szCs w:val="24"/>
        </w:rPr>
        <w:t>not only did the</w:t>
      </w:r>
      <w:r w:rsidRPr="00E804A5" w:rsidR="00E90C03">
        <w:rPr>
          <w:szCs w:val="24"/>
        </w:rPr>
        <w:t xml:space="preserve"> PUCO grant OCC’s motion to intervene</w:t>
      </w:r>
      <w:r w:rsidRPr="00E804A5" w:rsidR="00AF3C91">
        <w:rPr>
          <w:szCs w:val="24"/>
        </w:rPr>
        <w:t xml:space="preserve">, </w:t>
      </w:r>
      <w:r w:rsidRPr="00E804A5" w:rsidR="00DD4AB6">
        <w:rPr>
          <w:szCs w:val="24"/>
        </w:rPr>
        <w:t>but it</w:t>
      </w:r>
      <w:r w:rsidRPr="00E804A5" w:rsidR="00AF3C91">
        <w:rPr>
          <w:szCs w:val="24"/>
        </w:rPr>
        <w:t xml:space="preserve"> also </w:t>
      </w:r>
      <w:r w:rsidRPr="00E804A5" w:rsidR="00E90C03">
        <w:rPr>
          <w:szCs w:val="24"/>
        </w:rPr>
        <w:t>denied SFE’s request to limit OCC’s participation</w:t>
      </w:r>
      <w:r w:rsidRPr="00E804A5" w:rsidR="004677E5">
        <w:rPr>
          <w:szCs w:val="24"/>
        </w:rPr>
        <w:t xml:space="preserve"> in discovery</w:t>
      </w:r>
      <w:r w:rsidRPr="00E804A5" w:rsidR="00E90C03">
        <w:rPr>
          <w:szCs w:val="24"/>
        </w:rPr>
        <w:t>.</w:t>
      </w:r>
      <w:r>
        <w:rPr>
          <w:rStyle w:val="FootnoteReference"/>
          <w:szCs w:val="24"/>
        </w:rPr>
        <w:footnoteReference w:id="34"/>
      </w:r>
    </w:p>
    <w:p w:rsidR="005B3E5C" w:rsidRPr="00E804A5" w:rsidP="00CF1DA3" w14:paraId="0921F683" w14:textId="77777777">
      <w:pPr>
        <w:pStyle w:val="BodyTextIndent3"/>
        <w:spacing w:line="480" w:lineRule="auto"/>
        <w:rPr>
          <w:szCs w:val="24"/>
        </w:rPr>
      </w:pPr>
      <w:r w:rsidRPr="00E804A5">
        <w:rPr>
          <w:i/>
          <w:iCs/>
          <w:szCs w:val="24"/>
        </w:rPr>
        <w:t>In the Matter of the Complaint of Jeffrey Pitzer v. Duke Energy Ohio, Inc.</w:t>
      </w:r>
      <w:r w:rsidRPr="00E804A5">
        <w:rPr>
          <w:szCs w:val="24"/>
        </w:rPr>
        <w:t xml:space="preserve">, Case No. 15-298-GE-CSS, </w:t>
      </w:r>
      <w:r w:rsidRPr="00E804A5" w:rsidR="00E70F0F">
        <w:rPr>
          <w:szCs w:val="24"/>
        </w:rPr>
        <w:t xml:space="preserve">an investigation into a utility’s misdeeds, </w:t>
      </w:r>
      <w:r w:rsidRPr="00E804A5">
        <w:rPr>
          <w:szCs w:val="24"/>
        </w:rPr>
        <w:t xml:space="preserve">the PUCO granted OCC’s </w:t>
      </w:r>
      <w:r w:rsidRPr="00E804A5" w:rsidR="00687B8B">
        <w:rPr>
          <w:szCs w:val="24"/>
        </w:rPr>
        <w:t>m</w:t>
      </w:r>
      <w:r w:rsidRPr="00E804A5">
        <w:rPr>
          <w:szCs w:val="24"/>
        </w:rPr>
        <w:t xml:space="preserve">otion to </w:t>
      </w:r>
      <w:r w:rsidRPr="00E804A5" w:rsidR="00687B8B">
        <w:rPr>
          <w:szCs w:val="24"/>
        </w:rPr>
        <w:t>i</w:t>
      </w:r>
      <w:r w:rsidRPr="00E804A5">
        <w:rPr>
          <w:szCs w:val="24"/>
        </w:rPr>
        <w:t>ntervene over Duke</w:t>
      </w:r>
      <w:r w:rsidRPr="00E804A5" w:rsidR="0024468E">
        <w:rPr>
          <w:szCs w:val="24"/>
        </w:rPr>
        <w:t>’s</w:t>
      </w:r>
      <w:r w:rsidRPr="00E804A5">
        <w:rPr>
          <w:szCs w:val="24"/>
        </w:rPr>
        <w:t xml:space="preserve"> opposition</w:t>
      </w:r>
      <w:r w:rsidRPr="00E804A5" w:rsidR="00E70F0F">
        <w:rPr>
          <w:szCs w:val="24"/>
        </w:rPr>
        <w:t xml:space="preserve">. The PUCO </w:t>
      </w:r>
      <w:r w:rsidRPr="00E804A5">
        <w:rPr>
          <w:szCs w:val="24"/>
        </w:rPr>
        <w:t>reject</w:t>
      </w:r>
      <w:r w:rsidRPr="00E804A5" w:rsidR="00E70F0F">
        <w:rPr>
          <w:szCs w:val="24"/>
        </w:rPr>
        <w:t>ed</w:t>
      </w:r>
      <w:r w:rsidRPr="00E804A5">
        <w:rPr>
          <w:szCs w:val="24"/>
        </w:rPr>
        <w:t xml:space="preserve"> Duke’s argument that OCC was precluded from intervening in matters not specifically </w:t>
      </w:r>
      <w:r w:rsidRPr="00E804A5" w:rsidR="00E70F0F">
        <w:rPr>
          <w:szCs w:val="24"/>
        </w:rPr>
        <w:t xml:space="preserve">enumerated </w:t>
      </w:r>
      <w:r w:rsidRPr="00E804A5">
        <w:rPr>
          <w:szCs w:val="24"/>
        </w:rPr>
        <w:t>in R.C. 4911.02.</w:t>
      </w:r>
      <w:r>
        <w:rPr>
          <w:rStyle w:val="FootnoteReference"/>
          <w:szCs w:val="24"/>
        </w:rPr>
        <w:footnoteReference w:id="35"/>
      </w:r>
      <w:r w:rsidRPr="00E804A5" w:rsidR="00E72AE7">
        <w:rPr>
          <w:szCs w:val="24"/>
        </w:rPr>
        <w:t xml:space="preserve"> OCC has authority </w:t>
      </w:r>
      <w:r w:rsidRPr="00E804A5" w:rsidR="000354AA">
        <w:rPr>
          <w:szCs w:val="24"/>
        </w:rPr>
        <w:t xml:space="preserve">under Ohio law </w:t>
      </w:r>
      <w:r w:rsidRPr="00E804A5" w:rsidR="00E72AE7">
        <w:rPr>
          <w:szCs w:val="24"/>
        </w:rPr>
        <w:t xml:space="preserve">to </w:t>
      </w:r>
      <w:r w:rsidRPr="00E804A5" w:rsidR="000354AA">
        <w:rPr>
          <w:szCs w:val="24"/>
        </w:rPr>
        <w:t xml:space="preserve">intervene </w:t>
      </w:r>
      <w:r w:rsidRPr="00E804A5" w:rsidR="00E72AE7">
        <w:rPr>
          <w:szCs w:val="24"/>
        </w:rPr>
        <w:t>in this case to represent the interests of residential utility consumers.</w:t>
      </w:r>
      <w:r>
        <w:rPr>
          <w:rStyle w:val="FootnoteReference"/>
          <w:szCs w:val="24"/>
        </w:rPr>
        <w:footnoteReference w:id="36"/>
      </w:r>
    </w:p>
    <w:p w:rsidR="005B3E5C" w:rsidRPr="00E804A5" w:rsidP="005B3E5C" w14:paraId="487BAE23" w14:textId="11F5D9FB">
      <w:pPr>
        <w:pStyle w:val="BodyTextIndent3"/>
        <w:spacing w:line="480" w:lineRule="auto"/>
        <w:rPr>
          <w:szCs w:val="24"/>
        </w:rPr>
      </w:pPr>
      <w:r w:rsidRPr="00E804A5">
        <w:rPr>
          <w:szCs w:val="24"/>
        </w:rPr>
        <w:t>Green Choice argues that OCC should have been denied intervention because residential consumers’ interests are already adequately represented by the PUCO Staff.</w:t>
      </w:r>
      <w:r>
        <w:rPr>
          <w:rStyle w:val="FootnoteReference"/>
          <w:szCs w:val="24"/>
        </w:rPr>
        <w:footnoteReference w:id="37"/>
      </w:r>
      <w:r w:rsidRPr="00E804A5">
        <w:rPr>
          <w:szCs w:val="24"/>
        </w:rPr>
        <w:t xml:space="preserve"> But the PUCO previously rejected that argument in the PALMco 2 and SFE Investigations as well.</w:t>
      </w:r>
      <w:r>
        <w:rPr>
          <w:rStyle w:val="FootnoteReference"/>
          <w:szCs w:val="24"/>
        </w:rPr>
        <w:footnoteReference w:id="38"/>
      </w:r>
      <w:r w:rsidRPr="00E804A5">
        <w:rPr>
          <w:szCs w:val="24"/>
        </w:rPr>
        <w:t xml:space="preserve"> The PUCO Staff considers the interests of all consumers </w:t>
      </w:r>
      <w:r w:rsidRPr="00E804A5">
        <w:rPr>
          <w:i/>
          <w:iCs/>
          <w:szCs w:val="24"/>
        </w:rPr>
        <w:t xml:space="preserve">and </w:t>
      </w:r>
      <w:r w:rsidRPr="00E804A5">
        <w:rPr>
          <w:szCs w:val="24"/>
        </w:rPr>
        <w:t>marketers in this PUCO investigation. Only OCC, as the statutory representative of Ohio’s residential utility consumers, is in the unique position of representing the interests of the residential consumers harmed by Green Choice.</w:t>
      </w:r>
      <w:r w:rsidRPr="00E804A5" w:rsidR="001A0D03">
        <w:rPr>
          <w:szCs w:val="24"/>
        </w:rPr>
        <w:t xml:space="preserve"> </w:t>
      </w:r>
    </w:p>
    <w:p w:rsidR="00195E0E" w:rsidRPr="00E804A5" w:rsidP="005B3E5C" w14:paraId="38C11277" w14:textId="5DEDE53C">
      <w:pPr>
        <w:pStyle w:val="BodyTextIndent3"/>
        <w:spacing w:line="480" w:lineRule="auto"/>
        <w:rPr>
          <w:szCs w:val="24"/>
        </w:rPr>
      </w:pPr>
      <w:r w:rsidRPr="00E804A5">
        <w:rPr>
          <w:szCs w:val="24"/>
        </w:rPr>
        <w:t>Green Choice</w:t>
      </w:r>
      <w:r w:rsidRPr="00E804A5" w:rsidR="00451DF0">
        <w:rPr>
          <w:szCs w:val="24"/>
        </w:rPr>
        <w:t>’s c</w:t>
      </w:r>
      <w:r w:rsidRPr="00E804A5">
        <w:rPr>
          <w:szCs w:val="24"/>
        </w:rPr>
        <w:t xml:space="preserve">laim that </w:t>
      </w:r>
      <w:r w:rsidRPr="00E804A5" w:rsidR="00451DF0">
        <w:rPr>
          <w:szCs w:val="24"/>
        </w:rPr>
        <w:t>OCC</w:t>
      </w:r>
      <w:r w:rsidRPr="00E804A5">
        <w:rPr>
          <w:szCs w:val="24"/>
        </w:rPr>
        <w:t xml:space="preserve"> ha</w:t>
      </w:r>
      <w:r w:rsidRPr="00E804A5" w:rsidR="00451DF0">
        <w:rPr>
          <w:szCs w:val="24"/>
        </w:rPr>
        <w:t>s</w:t>
      </w:r>
      <w:r w:rsidRPr="00E804A5">
        <w:rPr>
          <w:szCs w:val="24"/>
        </w:rPr>
        <w:t xml:space="preserve"> no</w:t>
      </w:r>
      <w:r w:rsidRPr="00E804A5" w:rsidR="00451DF0">
        <w:rPr>
          <w:szCs w:val="24"/>
        </w:rPr>
        <w:t xml:space="preserve"> authority to intervene </w:t>
      </w:r>
      <w:r w:rsidRPr="00E804A5">
        <w:rPr>
          <w:szCs w:val="24"/>
        </w:rPr>
        <w:t xml:space="preserve">in “an enforcement proceeding” </w:t>
      </w:r>
      <w:r w:rsidRPr="00E804A5" w:rsidR="00451DF0">
        <w:rPr>
          <w:szCs w:val="24"/>
        </w:rPr>
        <w:t xml:space="preserve">also ignores the plain language of R.C. 4903.221, which provides “[a]ny other person who may be adversely affected by a public utilities commission </w:t>
      </w:r>
      <w:r w:rsidRPr="00E804A5" w:rsidR="00451DF0">
        <w:rPr>
          <w:i/>
          <w:iCs/>
          <w:szCs w:val="24"/>
        </w:rPr>
        <w:t>proceeding</w:t>
      </w:r>
      <w:r w:rsidRPr="00E804A5" w:rsidR="00451DF0">
        <w:rPr>
          <w:szCs w:val="24"/>
        </w:rPr>
        <w:t xml:space="preserve"> may intervene in such </w:t>
      </w:r>
      <w:r w:rsidRPr="00E804A5" w:rsidR="00451DF0">
        <w:rPr>
          <w:i/>
          <w:iCs/>
          <w:szCs w:val="24"/>
        </w:rPr>
        <w:t>proceeding</w:t>
      </w:r>
      <w:r w:rsidRPr="00E804A5" w:rsidR="00451DF0">
        <w:rPr>
          <w:szCs w:val="24"/>
        </w:rPr>
        <w:t xml:space="preserve"> </w:t>
      </w:r>
      <w:r w:rsidRPr="00E804A5" w:rsidR="00DD4AB6">
        <w:rPr>
          <w:szCs w:val="24"/>
        </w:rPr>
        <w:t>***</w:t>
      </w:r>
      <w:r w:rsidRPr="00E804A5" w:rsidR="00451DF0">
        <w:rPr>
          <w:szCs w:val="24"/>
        </w:rPr>
        <w:t>.” (</w:t>
      </w:r>
      <w:r w:rsidRPr="00E804A5" w:rsidR="000354AA">
        <w:rPr>
          <w:szCs w:val="24"/>
        </w:rPr>
        <w:t>E</w:t>
      </w:r>
      <w:r w:rsidRPr="00E804A5" w:rsidR="00451DF0">
        <w:rPr>
          <w:szCs w:val="24"/>
        </w:rPr>
        <w:t xml:space="preserve">mphasis added). </w:t>
      </w:r>
      <w:r w:rsidRPr="00E804A5" w:rsidR="00577C6E">
        <w:rPr>
          <w:szCs w:val="24"/>
        </w:rPr>
        <w:t xml:space="preserve">R.C. 4903.221 </w:t>
      </w:r>
      <w:r w:rsidRPr="00E804A5">
        <w:rPr>
          <w:szCs w:val="24"/>
        </w:rPr>
        <w:t xml:space="preserve">makes </w:t>
      </w:r>
      <w:r w:rsidRPr="00E804A5" w:rsidR="00CA021D">
        <w:rPr>
          <w:szCs w:val="24"/>
        </w:rPr>
        <w:t xml:space="preserve">no distinction between an enforcement or </w:t>
      </w:r>
      <w:r w:rsidRPr="00E804A5" w:rsidR="000354AA">
        <w:rPr>
          <w:szCs w:val="24"/>
        </w:rPr>
        <w:t xml:space="preserve">any </w:t>
      </w:r>
      <w:r w:rsidRPr="00E804A5" w:rsidR="00CA021D">
        <w:rPr>
          <w:szCs w:val="24"/>
        </w:rPr>
        <w:t>other type of PUCO proceeding.</w:t>
      </w:r>
      <w:r w:rsidRPr="00E804A5" w:rsidR="00A25065">
        <w:rPr>
          <w:szCs w:val="24"/>
        </w:rPr>
        <w:t xml:space="preserve"> </w:t>
      </w:r>
      <w:r w:rsidRPr="00E804A5" w:rsidR="000354AA">
        <w:rPr>
          <w:szCs w:val="24"/>
        </w:rPr>
        <w:t xml:space="preserve">OCC regularly </w:t>
      </w:r>
      <w:r w:rsidRPr="00E804A5" w:rsidR="00451DF0">
        <w:rPr>
          <w:szCs w:val="24"/>
        </w:rPr>
        <w:t>intervene</w:t>
      </w:r>
      <w:r w:rsidRPr="00E804A5" w:rsidR="000354AA">
        <w:rPr>
          <w:szCs w:val="24"/>
        </w:rPr>
        <w:t>s</w:t>
      </w:r>
      <w:r w:rsidRPr="00E804A5" w:rsidR="00451DF0">
        <w:rPr>
          <w:szCs w:val="24"/>
        </w:rPr>
        <w:t xml:space="preserve"> in proceedings concerning </w:t>
      </w:r>
      <w:r w:rsidRPr="00E804A5" w:rsidR="00E30BFC">
        <w:rPr>
          <w:szCs w:val="24"/>
        </w:rPr>
        <w:t>bad acts</w:t>
      </w:r>
      <w:r w:rsidRPr="00E804A5" w:rsidR="00451DF0">
        <w:rPr>
          <w:szCs w:val="24"/>
        </w:rPr>
        <w:t xml:space="preserve"> </w:t>
      </w:r>
      <w:r w:rsidRPr="00E804A5" w:rsidR="00882B26">
        <w:rPr>
          <w:szCs w:val="24"/>
        </w:rPr>
        <w:t>such as those the PUCO</w:t>
      </w:r>
      <w:r w:rsidRPr="00E804A5" w:rsidR="00E30BFC">
        <w:rPr>
          <w:szCs w:val="24"/>
        </w:rPr>
        <w:t xml:space="preserve"> Staff alleges </w:t>
      </w:r>
      <w:r w:rsidRPr="00E804A5">
        <w:rPr>
          <w:szCs w:val="24"/>
        </w:rPr>
        <w:t xml:space="preserve">concerning </w:t>
      </w:r>
      <w:r w:rsidRPr="00E804A5" w:rsidR="00451DF0">
        <w:rPr>
          <w:szCs w:val="24"/>
        </w:rPr>
        <w:t>Green Choice. A</w:t>
      </w:r>
      <w:r w:rsidRPr="00E804A5" w:rsidR="005B3E5C">
        <w:rPr>
          <w:szCs w:val="24"/>
        </w:rPr>
        <w:t>s noted,</w:t>
      </w:r>
      <w:r w:rsidRPr="00E804A5" w:rsidR="00451DF0">
        <w:rPr>
          <w:szCs w:val="24"/>
        </w:rPr>
        <w:t xml:space="preserve"> </w:t>
      </w:r>
      <w:r w:rsidRPr="00E804A5" w:rsidR="00CA021D">
        <w:rPr>
          <w:szCs w:val="24"/>
        </w:rPr>
        <w:t xml:space="preserve">the </w:t>
      </w:r>
      <w:r w:rsidRPr="00E804A5" w:rsidR="00451DF0">
        <w:rPr>
          <w:szCs w:val="24"/>
        </w:rPr>
        <w:t>PUCO has granted OCC intervention even when the marketer has</w:t>
      </w:r>
      <w:r w:rsidRPr="00E804A5" w:rsidR="000354AA">
        <w:rPr>
          <w:szCs w:val="24"/>
        </w:rPr>
        <w:t xml:space="preserve"> opposed</w:t>
      </w:r>
      <w:r w:rsidRPr="00E804A5" w:rsidR="00451DF0">
        <w:rPr>
          <w:szCs w:val="24"/>
        </w:rPr>
        <w:t xml:space="preserve"> OCC’s participation.</w:t>
      </w:r>
    </w:p>
    <w:p w:rsidR="00FC6BF3" w:rsidRPr="00E804A5" w:rsidP="00023E4B" w14:paraId="4E6EE1F6" w14:textId="070FDB8D">
      <w:pPr>
        <w:pStyle w:val="BodyTextIndent3"/>
        <w:spacing w:line="480" w:lineRule="auto"/>
        <w:ind w:firstLine="0"/>
        <w:rPr>
          <w:szCs w:val="24"/>
        </w:rPr>
      </w:pPr>
      <w:r w:rsidRPr="00E804A5">
        <w:rPr>
          <w:szCs w:val="24"/>
        </w:rPr>
        <w:tab/>
        <w:t>Lastly, Green Choice complains that OCC’s participation has “</w:t>
      </w:r>
      <w:r w:rsidRPr="00E804A5" w:rsidR="007D6389">
        <w:rPr>
          <w:szCs w:val="24"/>
        </w:rPr>
        <w:t>unquestionably</w:t>
      </w:r>
      <w:r w:rsidRPr="00E804A5">
        <w:rPr>
          <w:szCs w:val="24"/>
        </w:rPr>
        <w:t>” increased its costs in these proceedings.</w:t>
      </w:r>
      <w:r>
        <w:rPr>
          <w:rStyle w:val="FootnoteReference"/>
          <w:szCs w:val="24"/>
        </w:rPr>
        <w:footnoteReference w:id="39"/>
      </w:r>
      <w:r w:rsidRPr="00E804A5">
        <w:rPr>
          <w:szCs w:val="24"/>
        </w:rPr>
        <w:t xml:space="preserve"> </w:t>
      </w:r>
      <w:r w:rsidRPr="00E804A5" w:rsidR="007D6389">
        <w:rPr>
          <w:szCs w:val="24"/>
        </w:rPr>
        <w:t>However, t</w:t>
      </w:r>
      <w:r w:rsidRPr="00E804A5" w:rsidR="00023E4B">
        <w:rPr>
          <w:szCs w:val="24"/>
        </w:rPr>
        <w:t xml:space="preserve">he only </w:t>
      </w:r>
      <w:r w:rsidRPr="00E804A5" w:rsidR="007D6389">
        <w:rPr>
          <w:szCs w:val="24"/>
        </w:rPr>
        <w:t xml:space="preserve">things </w:t>
      </w:r>
      <w:r w:rsidRPr="00E804A5" w:rsidR="00023E4B">
        <w:rPr>
          <w:szCs w:val="24"/>
        </w:rPr>
        <w:t>“</w:t>
      </w:r>
      <w:r w:rsidRPr="00E804A5" w:rsidR="007D6389">
        <w:rPr>
          <w:szCs w:val="24"/>
        </w:rPr>
        <w:t>unquestionable</w:t>
      </w:r>
      <w:r w:rsidRPr="00E804A5" w:rsidR="00023E4B">
        <w:rPr>
          <w:szCs w:val="24"/>
        </w:rPr>
        <w:t>” in these proceedings are Green Choice’s bad acts</w:t>
      </w:r>
      <w:r w:rsidRPr="00E804A5" w:rsidR="001823CD">
        <w:rPr>
          <w:szCs w:val="24"/>
        </w:rPr>
        <w:t>.</w:t>
      </w:r>
      <w:r w:rsidRPr="00E804A5" w:rsidR="00195E0E">
        <w:rPr>
          <w:szCs w:val="24"/>
        </w:rPr>
        <w:t xml:space="preserve"> </w:t>
      </w:r>
      <w:r w:rsidRPr="00E804A5" w:rsidR="00CA021D">
        <w:rPr>
          <w:szCs w:val="24"/>
        </w:rPr>
        <w:t xml:space="preserve">The PUCO </w:t>
      </w:r>
      <w:r w:rsidRPr="00E804A5" w:rsidR="00195E0E">
        <w:rPr>
          <w:szCs w:val="24"/>
        </w:rPr>
        <w:t>should deny Green Choice’s Application for Rehearing</w:t>
      </w:r>
      <w:r w:rsidRPr="00E804A5" w:rsidR="00CA021D">
        <w:rPr>
          <w:szCs w:val="24"/>
        </w:rPr>
        <w:t>.</w:t>
      </w:r>
      <w:r w:rsidRPr="00E804A5">
        <w:rPr>
          <w:szCs w:val="24"/>
        </w:rPr>
        <w:t xml:space="preserve"> </w:t>
      </w:r>
    </w:p>
    <w:p w:rsidR="0098629F" w:rsidRPr="00E804A5" w:rsidP="0098629F" w14:paraId="578109A3" w14:textId="77777777">
      <w:pPr>
        <w:pStyle w:val="BodyTextIndent3"/>
        <w:widowControl w:val="0"/>
        <w:spacing w:line="240" w:lineRule="auto"/>
        <w:ind w:right="-24"/>
        <w:rPr>
          <w:szCs w:val="24"/>
        </w:rPr>
      </w:pPr>
    </w:p>
    <w:p w:rsidR="00BB5292" w:rsidRPr="00E804A5" w:rsidP="00DD02C2" w14:paraId="4F5D8D4D" w14:textId="6FAB93EA">
      <w:pPr>
        <w:pStyle w:val="Heading1"/>
      </w:pPr>
      <w:bookmarkStart w:id="11" w:name="_Toc30075659"/>
      <w:bookmarkStart w:id="12" w:name="_Toc151985191"/>
      <w:r w:rsidRPr="00E804A5">
        <w:t>I</w:t>
      </w:r>
      <w:r w:rsidRPr="00E804A5" w:rsidR="0092611D">
        <w:t>II</w:t>
      </w:r>
      <w:r w:rsidRPr="00E804A5" w:rsidR="00F25517">
        <w:t>.</w:t>
      </w:r>
      <w:r w:rsidRPr="00E804A5" w:rsidR="00F25517">
        <w:tab/>
        <w:t>CONCLUSION</w:t>
      </w:r>
      <w:bookmarkEnd w:id="11"/>
      <w:bookmarkEnd w:id="12"/>
    </w:p>
    <w:p w:rsidR="0013499B" w:rsidRPr="00E804A5" w:rsidP="0013499B" w14:paraId="2E7EBF5A" w14:textId="653D4908">
      <w:pPr>
        <w:spacing w:line="480" w:lineRule="auto"/>
        <w:ind w:firstLine="720"/>
        <w:rPr>
          <w:szCs w:val="24"/>
        </w:rPr>
      </w:pPr>
      <w:r w:rsidRPr="00E804A5">
        <w:rPr>
          <w:szCs w:val="24"/>
        </w:rPr>
        <w:t>T</w:t>
      </w:r>
      <w:r w:rsidRPr="00E804A5" w:rsidR="00FB149E">
        <w:rPr>
          <w:szCs w:val="24"/>
        </w:rPr>
        <w:t>here is no merit to Green Choice’s claims that it was denied due process</w:t>
      </w:r>
      <w:r w:rsidRPr="00E804A5">
        <w:rPr>
          <w:szCs w:val="24"/>
        </w:rPr>
        <w:t xml:space="preserve"> in this case and that there is no evidence to support the PUCO’s Order</w:t>
      </w:r>
      <w:r w:rsidRPr="00E804A5" w:rsidR="00FB149E">
        <w:rPr>
          <w:szCs w:val="24"/>
        </w:rPr>
        <w:t>.</w:t>
      </w:r>
      <w:r w:rsidRPr="00E804A5">
        <w:rPr>
          <w:szCs w:val="24"/>
        </w:rPr>
        <w:t xml:space="preserve"> OCC’s intervention in this case was also lawful and consistent with prior PUCO precedent.</w:t>
      </w:r>
      <w:r w:rsidRPr="00E804A5" w:rsidR="00FB149E">
        <w:rPr>
          <w:szCs w:val="24"/>
        </w:rPr>
        <w:t xml:space="preserve"> </w:t>
      </w:r>
      <w:r w:rsidRPr="00E804A5">
        <w:rPr>
          <w:szCs w:val="24"/>
        </w:rPr>
        <w:t>For the reasons explained above, t</w:t>
      </w:r>
      <w:r w:rsidRPr="00E804A5" w:rsidR="00FB149E">
        <w:rPr>
          <w:szCs w:val="24"/>
        </w:rPr>
        <w:t xml:space="preserve">he PUCO </w:t>
      </w:r>
      <w:r w:rsidRPr="00E804A5" w:rsidR="00023E4B">
        <w:rPr>
          <w:szCs w:val="24"/>
        </w:rPr>
        <w:t>should deny Green Choice’s Application for Rehearing.</w:t>
      </w:r>
    </w:p>
    <w:p w:rsidR="0013499B" w:rsidRPr="00E804A5" w:rsidP="0013499B" w14:paraId="7E6AF98A" w14:textId="77777777">
      <w:pPr>
        <w:pStyle w:val="BodyTextIndent3"/>
        <w:widowControl w:val="0"/>
        <w:spacing w:line="480" w:lineRule="auto"/>
        <w:ind w:left="3600" w:right="-312"/>
        <w:rPr>
          <w:szCs w:val="24"/>
        </w:rPr>
      </w:pPr>
      <w:r w:rsidRPr="00E804A5">
        <w:rPr>
          <w:szCs w:val="24"/>
        </w:rPr>
        <w:t>Respectfully submitted,</w:t>
      </w:r>
    </w:p>
    <w:p w:rsidR="0013499B" w:rsidRPr="00E804A5" w:rsidP="0013499B" w14:paraId="68F41A0B" w14:textId="70621FEC">
      <w:pPr>
        <w:rPr>
          <w:szCs w:val="24"/>
        </w:rPr>
      </w:pPr>
      <w:r w:rsidRPr="00E804A5">
        <w:rPr>
          <w:szCs w:val="24"/>
        </w:rPr>
        <w:tab/>
      </w:r>
      <w:r w:rsidRPr="00E804A5">
        <w:rPr>
          <w:szCs w:val="24"/>
        </w:rPr>
        <w:tab/>
      </w:r>
      <w:r w:rsidRPr="00E804A5">
        <w:rPr>
          <w:szCs w:val="24"/>
        </w:rPr>
        <w:tab/>
      </w:r>
      <w:r w:rsidRPr="00E804A5">
        <w:rPr>
          <w:szCs w:val="24"/>
        </w:rPr>
        <w:tab/>
      </w:r>
      <w:r w:rsidRPr="00E804A5">
        <w:rPr>
          <w:szCs w:val="24"/>
        </w:rPr>
        <w:tab/>
      </w:r>
      <w:r w:rsidRPr="00E804A5">
        <w:rPr>
          <w:szCs w:val="24"/>
        </w:rPr>
        <w:tab/>
      </w:r>
      <w:r w:rsidRPr="00E804A5" w:rsidR="00262AA6">
        <w:rPr>
          <w:szCs w:val="24"/>
        </w:rPr>
        <w:t>Maureen R. Willis (0020847)</w:t>
      </w:r>
    </w:p>
    <w:p w:rsidR="0013499B" w:rsidRPr="00E804A5" w:rsidP="0013499B" w14:paraId="7797FC06" w14:textId="77777777">
      <w:pPr>
        <w:tabs>
          <w:tab w:val="left" w:pos="4320"/>
        </w:tabs>
        <w:ind w:left="4320" w:hanging="450"/>
        <w:rPr>
          <w:szCs w:val="24"/>
        </w:rPr>
      </w:pPr>
      <w:r w:rsidRPr="00E804A5">
        <w:rPr>
          <w:szCs w:val="24"/>
        </w:rPr>
        <w:tab/>
        <w:t>Ohio Consumers’ Counsel</w:t>
      </w:r>
    </w:p>
    <w:p w:rsidR="0013499B" w:rsidRPr="00E804A5" w:rsidP="0013499B" w14:paraId="1CAC5ED4" w14:textId="77777777">
      <w:pPr>
        <w:tabs>
          <w:tab w:val="left" w:pos="4320"/>
        </w:tabs>
        <w:ind w:left="4320"/>
        <w:rPr>
          <w:szCs w:val="24"/>
        </w:rPr>
      </w:pPr>
    </w:p>
    <w:p w:rsidR="0013499B" w:rsidRPr="00E804A5" w:rsidP="0013499B" w14:paraId="1BBEAD2E" w14:textId="77777777">
      <w:pPr>
        <w:tabs>
          <w:tab w:val="left" w:pos="4320"/>
        </w:tabs>
        <w:ind w:left="4320"/>
        <w:rPr>
          <w:i/>
          <w:iCs/>
          <w:szCs w:val="24"/>
          <w:u w:val="single"/>
        </w:rPr>
      </w:pPr>
      <w:r w:rsidRPr="00E804A5">
        <w:rPr>
          <w:i/>
          <w:iCs/>
          <w:szCs w:val="24"/>
          <w:u w:val="single"/>
        </w:rPr>
        <w:t>/s/ Angela D. O’Brien</w:t>
      </w:r>
      <w:r w:rsidRPr="00E804A5">
        <w:rPr>
          <w:i/>
          <w:iCs/>
          <w:szCs w:val="24"/>
          <w:u w:val="single"/>
        </w:rPr>
        <w:tab/>
      </w:r>
      <w:r w:rsidRPr="00E804A5">
        <w:rPr>
          <w:i/>
          <w:iCs/>
          <w:szCs w:val="24"/>
          <w:u w:val="single"/>
        </w:rPr>
        <w:tab/>
      </w:r>
    </w:p>
    <w:p w:rsidR="0013499B" w:rsidRPr="00E804A5" w:rsidP="0013499B" w14:paraId="7D068018" w14:textId="77777777">
      <w:pPr>
        <w:tabs>
          <w:tab w:val="left" w:pos="4320"/>
        </w:tabs>
        <w:ind w:left="4320"/>
        <w:rPr>
          <w:szCs w:val="24"/>
        </w:rPr>
      </w:pPr>
      <w:r w:rsidRPr="00E804A5">
        <w:rPr>
          <w:szCs w:val="24"/>
        </w:rPr>
        <w:t>Angela D. O’Brien (0097579)</w:t>
      </w:r>
    </w:p>
    <w:p w:rsidR="0013499B" w:rsidRPr="00E804A5" w:rsidP="0013499B" w14:paraId="6AA029D5" w14:textId="6333FD4B">
      <w:pPr>
        <w:tabs>
          <w:tab w:val="left" w:pos="3870"/>
          <w:tab w:val="left" w:pos="4320"/>
        </w:tabs>
        <w:ind w:left="4320"/>
        <w:rPr>
          <w:szCs w:val="24"/>
        </w:rPr>
      </w:pPr>
      <w:r w:rsidRPr="00E804A5">
        <w:rPr>
          <w:szCs w:val="24"/>
        </w:rPr>
        <w:t>Deputy Consumers’ Counsel</w:t>
      </w:r>
    </w:p>
    <w:p w:rsidR="00262AA6" w:rsidRPr="00E804A5" w:rsidP="00262AA6" w14:paraId="7720F573" w14:textId="77777777">
      <w:pPr>
        <w:tabs>
          <w:tab w:val="left" w:pos="4320"/>
        </w:tabs>
        <w:ind w:left="4320"/>
        <w:rPr>
          <w:szCs w:val="24"/>
        </w:rPr>
      </w:pPr>
      <w:r w:rsidRPr="00E804A5">
        <w:rPr>
          <w:szCs w:val="24"/>
        </w:rPr>
        <w:t>Counsel of Record</w:t>
      </w:r>
    </w:p>
    <w:p w:rsidR="0013499B" w:rsidRPr="00E804A5" w:rsidP="0013499B" w14:paraId="1D71BB14" w14:textId="77777777">
      <w:pPr>
        <w:tabs>
          <w:tab w:val="left" w:pos="3870"/>
          <w:tab w:val="left" w:pos="4320"/>
        </w:tabs>
        <w:ind w:left="4320"/>
        <w:rPr>
          <w:szCs w:val="24"/>
        </w:rPr>
      </w:pPr>
    </w:p>
    <w:p w:rsidR="0013499B" w:rsidRPr="00E804A5" w:rsidP="0013499B" w14:paraId="2F22BAEB" w14:textId="77777777">
      <w:pPr>
        <w:ind w:left="4320"/>
        <w:rPr>
          <w:b/>
          <w:bCs/>
          <w:szCs w:val="24"/>
        </w:rPr>
      </w:pPr>
      <w:r w:rsidRPr="00E804A5">
        <w:rPr>
          <w:b/>
          <w:bCs/>
          <w:szCs w:val="24"/>
        </w:rPr>
        <w:t>Office of the Ohio Consumers' Counsel</w:t>
      </w:r>
    </w:p>
    <w:p w:rsidR="0013499B" w:rsidRPr="00E804A5" w:rsidP="0013499B" w14:paraId="62699C3D" w14:textId="77777777">
      <w:pPr>
        <w:ind w:left="4320"/>
        <w:rPr>
          <w:szCs w:val="24"/>
        </w:rPr>
      </w:pPr>
      <w:r w:rsidRPr="00E804A5">
        <w:rPr>
          <w:szCs w:val="24"/>
        </w:rPr>
        <w:t>65 East State Street, Suite 700</w:t>
      </w:r>
    </w:p>
    <w:p w:rsidR="0013499B" w:rsidRPr="00E804A5" w:rsidP="0013499B" w14:paraId="089BCC52" w14:textId="77777777">
      <w:pPr>
        <w:ind w:left="4320"/>
        <w:rPr>
          <w:szCs w:val="24"/>
        </w:rPr>
      </w:pPr>
      <w:r w:rsidRPr="00E804A5">
        <w:rPr>
          <w:szCs w:val="24"/>
        </w:rPr>
        <w:t>Columbus, Ohio 43215</w:t>
      </w:r>
    </w:p>
    <w:p w:rsidR="0013499B" w:rsidRPr="00E804A5" w:rsidP="0013499B" w14:paraId="5BFA1870" w14:textId="77777777">
      <w:pPr>
        <w:autoSpaceDE w:val="0"/>
        <w:autoSpaceDN w:val="0"/>
        <w:adjustRightInd w:val="0"/>
        <w:ind w:left="4320"/>
        <w:rPr>
          <w:szCs w:val="24"/>
        </w:rPr>
      </w:pPr>
      <w:r w:rsidRPr="00E804A5">
        <w:rPr>
          <w:szCs w:val="24"/>
        </w:rPr>
        <w:t>Telephone: [O’Brien]: (614) 466-9531</w:t>
      </w:r>
    </w:p>
    <w:p w:rsidR="0013499B" w:rsidRPr="00E804A5" w:rsidP="0013499B" w14:paraId="228F0A78" w14:textId="77777777">
      <w:pPr>
        <w:ind w:left="4320"/>
        <w:rPr>
          <w:szCs w:val="24"/>
        </w:rPr>
      </w:pPr>
      <w:hyperlink r:id="rId6" w:history="1">
        <w:r w:rsidRPr="00E804A5" w:rsidR="00451DF0">
          <w:rPr>
            <w:rStyle w:val="Hyperlink"/>
            <w:szCs w:val="24"/>
          </w:rPr>
          <w:t>angela.obrien@occ.ohio.gov</w:t>
        </w:r>
      </w:hyperlink>
    </w:p>
    <w:p w:rsidR="0013499B" w:rsidRPr="00E804A5" w:rsidP="0013499B" w14:paraId="39440A28" w14:textId="77777777">
      <w:pPr>
        <w:ind w:left="4320" w:hanging="4320"/>
        <w:rPr>
          <w:szCs w:val="24"/>
        </w:rPr>
      </w:pPr>
      <w:r w:rsidRPr="00E804A5">
        <w:rPr>
          <w:szCs w:val="24"/>
        </w:rPr>
        <w:tab/>
        <w:t>(willing to accept service by e-mail)</w:t>
      </w:r>
    </w:p>
    <w:p w:rsidR="00731B26" w:rsidRPr="00E804A5" w:rsidP="00646111" w14:paraId="473F5430" w14:textId="77777777">
      <w:pPr>
        <w:rPr>
          <w:szCs w:val="24"/>
        </w:rPr>
      </w:pPr>
    </w:p>
    <w:p w:rsidR="00B52F65" w:rsidRPr="00E804A5" w:rsidP="00B52F65" w14:paraId="0C0AFF5A" w14:textId="77777777">
      <w:pPr>
        <w:rPr>
          <w:szCs w:val="24"/>
        </w:rPr>
      </w:pPr>
    </w:p>
    <w:p w:rsidR="0089543E" w:rsidRPr="00E804A5" w14:paraId="291C783E" w14:textId="77777777">
      <w:pPr>
        <w:rPr>
          <w:szCs w:val="24"/>
        </w:rPr>
      </w:pPr>
      <w:r w:rsidRPr="00E804A5">
        <w:rPr>
          <w:szCs w:val="24"/>
        </w:rPr>
        <w:br w:type="page"/>
      </w:r>
    </w:p>
    <w:p w:rsidR="00B52F65" w:rsidRPr="00E804A5" w:rsidP="00F90B18" w14:paraId="1ABEA909" w14:textId="0190BFD8">
      <w:pPr>
        <w:jc w:val="center"/>
        <w:rPr>
          <w:b/>
          <w:bCs/>
          <w:szCs w:val="24"/>
          <w:u w:val="single"/>
        </w:rPr>
      </w:pPr>
      <w:r w:rsidRPr="00E804A5">
        <w:rPr>
          <w:b/>
          <w:bCs/>
          <w:szCs w:val="24"/>
          <w:u w:val="single"/>
        </w:rPr>
        <w:t>CERTIFICATE OF SERVICE</w:t>
      </w:r>
    </w:p>
    <w:p w:rsidR="00731B26" w:rsidRPr="00E804A5" w:rsidP="00731B26" w14:paraId="725B071C" w14:textId="77777777">
      <w:pPr>
        <w:jc w:val="center"/>
        <w:rPr>
          <w:szCs w:val="24"/>
        </w:rPr>
      </w:pPr>
    </w:p>
    <w:p w:rsidR="00B52F65" w:rsidRPr="00E804A5" w:rsidP="0013499B" w14:paraId="5E837E0F" w14:textId="7E71DBEB">
      <w:pPr>
        <w:spacing w:line="480" w:lineRule="auto"/>
        <w:ind w:firstLine="720"/>
        <w:rPr>
          <w:i/>
          <w:iCs/>
          <w:szCs w:val="24"/>
        </w:rPr>
      </w:pPr>
      <w:r w:rsidRPr="00E804A5">
        <w:rPr>
          <w:szCs w:val="24"/>
        </w:rPr>
        <w:t>I hereby certify that a copy of this</w:t>
      </w:r>
      <w:r w:rsidRPr="00E804A5" w:rsidR="00731B26">
        <w:rPr>
          <w:szCs w:val="24"/>
        </w:rPr>
        <w:t xml:space="preserve"> </w:t>
      </w:r>
      <w:r w:rsidRPr="00E804A5" w:rsidR="00DD4AB6">
        <w:rPr>
          <w:szCs w:val="24"/>
        </w:rPr>
        <w:t>Memorandum Contra</w:t>
      </w:r>
      <w:r w:rsidRPr="00E804A5" w:rsidR="0081674B">
        <w:rPr>
          <w:szCs w:val="24"/>
        </w:rPr>
        <w:t xml:space="preserve"> </w:t>
      </w:r>
      <w:r w:rsidRPr="00E804A5">
        <w:rPr>
          <w:szCs w:val="24"/>
        </w:rPr>
        <w:t xml:space="preserve">was served on the persons stated below via electronic transmission, this </w:t>
      </w:r>
      <w:r w:rsidRPr="00E804A5" w:rsidR="00DD4AB6">
        <w:rPr>
          <w:szCs w:val="24"/>
        </w:rPr>
        <w:t>27</w:t>
      </w:r>
      <w:r w:rsidRPr="00E804A5" w:rsidR="00E249A4">
        <w:rPr>
          <w:szCs w:val="24"/>
          <w:vertAlign w:val="superscript"/>
        </w:rPr>
        <w:t>th</w:t>
      </w:r>
      <w:r w:rsidRPr="00E804A5" w:rsidR="00D107F1">
        <w:rPr>
          <w:szCs w:val="24"/>
        </w:rPr>
        <w:t xml:space="preserve"> </w:t>
      </w:r>
      <w:r w:rsidRPr="00E804A5">
        <w:rPr>
          <w:szCs w:val="24"/>
        </w:rPr>
        <w:t>day of</w:t>
      </w:r>
      <w:r w:rsidRPr="00E804A5" w:rsidR="00A10E45">
        <w:rPr>
          <w:szCs w:val="24"/>
        </w:rPr>
        <w:t xml:space="preserve"> </w:t>
      </w:r>
      <w:r w:rsidRPr="00E804A5" w:rsidR="00DD4AB6">
        <w:rPr>
          <w:szCs w:val="24"/>
        </w:rPr>
        <w:t>November, 2023</w:t>
      </w:r>
      <w:r w:rsidRPr="00E804A5">
        <w:rPr>
          <w:szCs w:val="24"/>
        </w:rPr>
        <w:t>.</w:t>
      </w:r>
    </w:p>
    <w:p w:rsidR="00B52F65" w:rsidRPr="00E804A5" w14:paraId="7587DED6" w14:textId="43D04FCC">
      <w:pPr>
        <w:tabs>
          <w:tab w:val="left" w:pos="4320"/>
        </w:tabs>
        <w:rPr>
          <w:i/>
          <w:szCs w:val="24"/>
          <w:u w:val="single"/>
        </w:rPr>
      </w:pPr>
      <w:r w:rsidRPr="00E804A5">
        <w:rPr>
          <w:szCs w:val="24"/>
        </w:rPr>
        <w:tab/>
      </w:r>
      <w:r w:rsidRPr="00E804A5">
        <w:rPr>
          <w:i/>
          <w:iCs/>
          <w:szCs w:val="24"/>
          <w:u w:val="single"/>
        </w:rPr>
        <w:t>/s/</w:t>
      </w:r>
      <w:r w:rsidRPr="00E804A5">
        <w:rPr>
          <w:szCs w:val="24"/>
          <w:u w:val="single"/>
        </w:rPr>
        <w:t xml:space="preserve"> </w:t>
      </w:r>
      <w:r w:rsidRPr="00E804A5">
        <w:rPr>
          <w:i/>
          <w:szCs w:val="24"/>
          <w:u w:val="single"/>
        </w:rPr>
        <w:t xml:space="preserve">Angela </w:t>
      </w:r>
      <w:r w:rsidRPr="00E804A5" w:rsidR="00B559AA">
        <w:rPr>
          <w:i/>
          <w:szCs w:val="24"/>
          <w:u w:val="single"/>
        </w:rPr>
        <w:t xml:space="preserve">D. </w:t>
      </w:r>
      <w:r w:rsidRPr="00E804A5">
        <w:rPr>
          <w:i/>
          <w:szCs w:val="24"/>
          <w:u w:val="single"/>
        </w:rPr>
        <w:t>O’Brien</w:t>
      </w:r>
      <w:r w:rsidRPr="00E804A5">
        <w:rPr>
          <w:i/>
          <w:szCs w:val="24"/>
          <w:u w:val="single"/>
        </w:rPr>
        <w:tab/>
      </w:r>
      <w:r w:rsidRPr="00E804A5">
        <w:rPr>
          <w:i/>
          <w:szCs w:val="24"/>
          <w:u w:val="single"/>
        </w:rPr>
        <w:tab/>
      </w:r>
    </w:p>
    <w:p w:rsidR="00B52F65" w:rsidRPr="00E804A5" w14:paraId="787CAC54" w14:textId="3A950C4F">
      <w:pPr>
        <w:tabs>
          <w:tab w:val="left" w:pos="4320"/>
        </w:tabs>
        <w:rPr>
          <w:szCs w:val="24"/>
        </w:rPr>
      </w:pPr>
      <w:r w:rsidRPr="00E804A5">
        <w:rPr>
          <w:szCs w:val="24"/>
        </w:rPr>
        <w:tab/>
        <w:t xml:space="preserve">Angela </w:t>
      </w:r>
      <w:r w:rsidRPr="00E804A5" w:rsidR="00B559AA">
        <w:rPr>
          <w:szCs w:val="24"/>
        </w:rPr>
        <w:t xml:space="preserve">D. </w:t>
      </w:r>
      <w:r w:rsidRPr="00E804A5">
        <w:rPr>
          <w:szCs w:val="24"/>
        </w:rPr>
        <w:t>O’Brien</w:t>
      </w:r>
    </w:p>
    <w:p w:rsidR="00B52F65" w:rsidRPr="00E804A5" w14:paraId="61EC04A1" w14:textId="67DBC7C6">
      <w:pPr>
        <w:tabs>
          <w:tab w:val="left" w:pos="4320"/>
        </w:tabs>
        <w:rPr>
          <w:szCs w:val="24"/>
        </w:rPr>
      </w:pPr>
      <w:r w:rsidRPr="00E804A5">
        <w:rPr>
          <w:szCs w:val="24"/>
        </w:rPr>
        <w:tab/>
      </w:r>
      <w:r w:rsidRPr="00E804A5" w:rsidR="00262AA6">
        <w:rPr>
          <w:szCs w:val="24"/>
        </w:rPr>
        <w:t>Deputy</w:t>
      </w:r>
      <w:r w:rsidRPr="00E804A5">
        <w:rPr>
          <w:szCs w:val="24"/>
        </w:rPr>
        <w:t xml:space="preserve"> Consumers’ Counsel</w:t>
      </w:r>
    </w:p>
    <w:p w:rsidR="00B52F65" w:rsidRPr="00E804A5" w14:paraId="367A86E8" w14:textId="77777777">
      <w:pPr>
        <w:pStyle w:val="CommentSubject"/>
        <w:rPr>
          <w:szCs w:val="24"/>
        </w:rPr>
      </w:pPr>
    </w:p>
    <w:p w:rsidR="005B331B" w:rsidRPr="00E804A5" w:rsidP="0060598B" w14:paraId="4865252F" w14:textId="182D5AFF">
      <w:pPr>
        <w:rPr>
          <w:szCs w:val="24"/>
        </w:rPr>
      </w:pPr>
      <w:r w:rsidRPr="00E804A5">
        <w:rPr>
          <w:szCs w:val="24"/>
        </w:rPr>
        <w:t>The PUCO’s e-filing system will electronically serve notice of the filing of this document on the following parties:</w:t>
      </w:r>
    </w:p>
    <w:p w:rsidR="00DE0CA9" w:rsidRPr="00E804A5" w:rsidP="0060598B" w14:paraId="1F08B9F0" w14:textId="53DAA0DE">
      <w:pPr>
        <w:rPr>
          <w:szCs w:val="24"/>
        </w:rPr>
      </w:pPr>
    </w:p>
    <w:p w:rsidR="00DE0CA9" w:rsidRPr="00E804A5" w:rsidP="00DE0CA9" w14:paraId="72ABCC9D" w14:textId="77777777">
      <w:pPr>
        <w:pStyle w:val="CommentText"/>
        <w:jc w:val="center"/>
        <w:rPr>
          <w:b/>
          <w:u w:val="single"/>
        </w:rPr>
      </w:pPr>
      <w:r w:rsidRPr="00E804A5">
        <w:rPr>
          <w:b/>
          <w:u w:val="single"/>
        </w:rPr>
        <w:t>SERVICE LIST</w:t>
      </w:r>
    </w:p>
    <w:p w:rsidR="00DE0CA9" w:rsidRPr="00E804A5" w:rsidP="00D30944" w14:paraId="73B0C641" w14:textId="77777777">
      <w:pPr>
        <w:pStyle w:val="CommentText"/>
        <w:rPr>
          <w:b/>
          <w:u w:val="single"/>
        </w:rPr>
      </w:pPr>
    </w:p>
    <w:tbl>
      <w:tblPr>
        <w:tblW w:w="0" w:type="auto"/>
        <w:tblInd w:w="0" w:type="dxa"/>
        <w:tblCellMar>
          <w:top w:w="0" w:type="dxa"/>
          <w:left w:w="108" w:type="dxa"/>
          <w:bottom w:w="0" w:type="dxa"/>
          <w:right w:w="108" w:type="dxa"/>
        </w:tblCellMar>
        <w:tblLook w:val="01E0"/>
      </w:tblPr>
      <w:tblGrid>
        <w:gridCol w:w="4290"/>
        <w:gridCol w:w="4350"/>
      </w:tblGrid>
      <w:tr w14:paraId="2F85F0D7" w14:textId="77777777" w:rsidTr="00FE0412">
        <w:tblPrEx>
          <w:tblW w:w="0" w:type="auto"/>
          <w:tblInd w:w="0" w:type="dxa"/>
          <w:tblCellMar>
            <w:top w:w="0" w:type="dxa"/>
            <w:left w:w="108" w:type="dxa"/>
            <w:bottom w:w="0" w:type="dxa"/>
            <w:right w:w="108" w:type="dxa"/>
          </w:tblCellMar>
          <w:tblLook w:val="01E0"/>
        </w:tblPrEx>
        <w:tc>
          <w:tcPr>
            <w:tcW w:w="4290" w:type="dxa"/>
            <w:shd w:val="clear" w:color="auto" w:fill="auto"/>
          </w:tcPr>
          <w:p w:rsidR="00D30944" w:rsidRPr="00E804A5" w:rsidP="00FE0412" w14:paraId="7ADDD96A" w14:textId="6338854E">
            <w:pPr>
              <w:autoSpaceDE w:val="0"/>
              <w:autoSpaceDN w:val="0"/>
              <w:adjustRightInd w:val="0"/>
              <w:rPr>
                <w:bCs/>
                <w:sz w:val="24"/>
                <w:szCs w:val="24"/>
                <w:lang w:val="en-US" w:eastAsia="en-US" w:bidi="ar-SA"/>
              </w:rPr>
            </w:pPr>
            <w:hyperlink r:id="rId7" w:history="1">
              <w:r w:rsidRPr="00E804A5" w:rsidR="00607937">
                <w:rPr>
                  <w:rStyle w:val="Hyperlink"/>
                  <w:color w:val="0000FF"/>
                  <w:sz w:val="24"/>
                  <w:szCs w:val="24"/>
                  <w:u w:val="single"/>
                  <w:lang w:val="en-US" w:eastAsia="en-US" w:bidi="ar-SA"/>
                </w:rPr>
                <w:t>rhiannon</w:t>
              </w:r>
              <w:r w:rsidRPr="00E804A5" w:rsidR="00607937">
                <w:rPr>
                  <w:rStyle w:val="Hyperlink"/>
                  <w:bCs/>
                  <w:color w:val="0000FF"/>
                  <w:sz w:val="24"/>
                  <w:szCs w:val="24"/>
                  <w:u w:val="single"/>
                  <w:lang w:val="en-US" w:eastAsia="en-US" w:bidi="ar-SA"/>
                </w:rPr>
                <w:t>.howard@ohioAGO.gov</w:t>
              </w:r>
            </w:hyperlink>
          </w:p>
          <w:p w:rsidR="00731F02" w:rsidRPr="00E804A5" w:rsidP="00731F02" w14:paraId="4640F484" w14:textId="77777777">
            <w:pPr>
              <w:rPr>
                <w:sz w:val="24"/>
                <w:szCs w:val="24"/>
                <w:lang w:val="en-US" w:eastAsia="en-US" w:bidi="ar-SA"/>
              </w:rPr>
            </w:pPr>
          </w:p>
          <w:p w:rsidR="00731F02" w:rsidRPr="00E804A5" w:rsidP="00731F02" w14:paraId="1E16B597" w14:textId="735CB2B6">
            <w:pPr>
              <w:rPr>
                <w:sz w:val="24"/>
                <w:szCs w:val="24"/>
                <w:lang w:val="en-US" w:eastAsia="en-US" w:bidi="ar-SA"/>
              </w:rPr>
            </w:pPr>
            <w:r w:rsidRPr="00E804A5">
              <w:rPr>
                <w:sz w:val="24"/>
                <w:szCs w:val="24"/>
                <w:lang w:val="en-US" w:eastAsia="en-US" w:bidi="ar-SA"/>
              </w:rPr>
              <w:t>Attorney Examiner:</w:t>
            </w:r>
          </w:p>
          <w:p w:rsidR="00731F02" w:rsidRPr="00E804A5" w:rsidP="00731F02" w14:paraId="684111E2" w14:textId="77777777">
            <w:pPr>
              <w:rPr>
                <w:sz w:val="24"/>
                <w:szCs w:val="24"/>
                <w:lang w:val="en-US" w:eastAsia="en-US" w:bidi="ar-SA"/>
              </w:rPr>
            </w:pPr>
            <w:hyperlink r:id="rId8" w:history="1">
              <w:r w:rsidRPr="00E804A5" w:rsidR="00451DF0">
                <w:rPr>
                  <w:rStyle w:val="Hyperlink"/>
                  <w:color w:val="0000FF"/>
                  <w:sz w:val="24"/>
                  <w:szCs w:val="24"/>
                  <w:u w:val="single"/>
                  <w:lang w:val="en-US" w:eastAsia="en-US" w:bidi="ar-SA"/>
                </w:rPr>
                <w:t>jesse.davis@puco.ohio.gov</w:t>
              </w:r>
            </w:hyperlink>
          </w:p>
          <w:p w:rsidR="00D30944" w:rsidRPr="00E804A5" w:rsidP="00FE0412" w14:paraId="2BEAA1D5" w14:textId="77777777">
            <w:pPr>
              <w:autoSpaceDE w:val="0"/>
              <w:autoSpaceDN w:val="0"/>
              <w:adjustRightInd w:val="0"/>
              <w:rPr>
                <w:bCs/>
                <w:sz w:val="24"/>
                <w:szCs w:val="24"/>
                <w:lang w:val="en-US" w:eastAsia="en-US" w:bidi="ar-SA"/>
              </w:rPr>
            </w:pPr>
          </w:p>
        </w:tc>
        <w:tc>
          <w:tcPr>
            <w:tcW w:w="4350" w:type="dxa"/>
            <w:shd w:val="clear" w:color="auto" w:fill="auto"/>
          </w:tcPr>
          <w:p w:rsidR="00D30944" w:rsidRPr="00E804A5" w:rsidP="00FE0412" w14:paraId="634F38A0" w14:textId="57DA7C07">
            <w:pPr>
              <w:pStyle w:val="BodyText"/>
              <w:jc w:val="both"/>
              <w:rPr>
                <w:rStyle w:val="Hyperlink"/>
                <w:bCs/>
                <w:color w:val="0000FF"/>
                <w:sz w:val="24"/>
                <w:szCs w:val="24"/>
                <w:u w:val="single"/>
                <w:lang w:val="en-US" w:eastAsia="en-US" w:bidi="ar-SA"/>
              </w:rPr>
            </w:pPr>
            <w:hyperlink r:id="rId9" w:history="1">
              <w:r w:rsidRPr="00E804A5" w:rsidR="00451DF0">
                <w:rPr>
                  <w:rStyle w:val="Hyperlink"/>
                  <w:bCs/>
                  <w:color w:val="0000FF"/>
                  <w:sz w:val="24"/>
                  <w:szCs w:val="24"/>
                  <w:u w:val="single"/>
                  <w:lang w:val="en-US" w:eastAsia="en-US" w:bidi="ar-SA"/>
                </w:rPr>
                <w:t>btrombino@uerus.com</w:t>
              </w:r>
            </w:hyperlink>
          </w:p>
          <w:p w:rsidR="00731F02" w:rsidRPr="00E804A5" w:rsidP="00FE0412" w14:paraId="73D50449" w14:textId="394E32C3">
            <w:pPr>
              <w:pStyle w:val="BodyText"/>
              <w:jc w:val="both"/>
              <w:rPr>
                <w:bCs/>
                <w:sz w:val="24"/>
                <w:szCs w:val="24"/>
                <w:lang w:val="en-US" w:eastAsia="en-US" w:bidi="ar-SA"/>
              </w:rPr>
            </w:pPr>
            <w:hyperlink r:id="rId10" w:history="1">
              <w:r w:rsidRPr="00E804A5" w:rsidR="00451DF0">
                <w:rPr>
                  <w:rStyle w:val="Hyperlink"/>
                  <w:bCs/>
                  <w:color w:val="0000FF"/>
                  <w:sz w:val="24"/>
                  <w:szCs w:val="24"/>
                  <w:u w:val="single"/>
                  <w:lang w:val="en-US" w:eastAsia="en-US" w:bidi="ar-SA"/>
                </w:rPr>
                <w:t>whitt@whitt-sturtevant.com</w:t>
              </w:r>
            </w:hyperlink>
          </w:p>
          <w:p w:rsidR="00D30944" w:rsidRPr="00E804A5" w:rsidP="00FE0412" w14:paraId="1327BEEF" w14:textId="09C23EE0">
            <w:pPr>
              <w:pStyle w:val="BodyText"/>
              <w:jc w:val="both"/>
              <w:rPr>
                <w:bCs/>
                <w:sz w:val="24"/>
                <w:szCs w:val="24"/>
                <w:lang w:val="en-US" w:eastAsia="en-US" w:bidi="ar-SA"/>
              </w:rPr>
            </w:pPr>
            <w:hyperlink r:id="rId11" w:history="1">
              <w:r w:rsidRPr="00E804A5" w:rsidR="00607937">
                <w:rPr>
                  <w:rStyle w:val="Hyperlink"/>
                  <w:bCs/>
                  <w:color w:val="0000FF"/>
                  <w:sz w:val="24"/>
                  <w:szCs w:val="24"/>
                  <w:u w:val="single"/>
                  <w:lang w:val="en-US" w:eastAsia="en-US" w:bidi="ar-SA"/>
                </w:rPr>
                <w:t>elmer@whitt-sturtevant.com</w:t>
              </w:r>
            </w:hyperlink>
          </w:p>
          <w:p w:rsidR="00731F02" w:rsidRPr="00E804A5" w:rsidP="00FE0412" w14:paraId="713C4091" w14:textId="0B6DECF2">
            <w:pPr>
              <w:pStyle w:val="BodyText"/>
              <w:jc w:val="both"/>
              <w:rPr>
                <w:bCs/>
                <w:sz w:val="24"/>
                <w:szCs w:val="24"/>
                <w:lang w:val="en-US" w:eastAsia="en-US" w:bidi="ar-SA"/>
              </w:rPr>
            </w:pPr>
          </w:p>
        </w:tc>
      </w:tr>
      <w:tr w14:paraId="07AA455D" w14:textId="77777777" w:rsidTr="00FE0412">
        <w:tblPrEx>
          <w:tblW w:w="0" w:type="auto"/>
          <w:tblInd w:w="0" w:type="dxa"/>
          <w:tblCellMar>
            <w:top w:w="0" w:type="dxa"/>
            <w:left w:w="108" w:type="dxa"/>
            <w:bottom w:w="0" w:type="dxa"/>
            <w:right w:w="108" w:type="dxa"/>
          </w:tblCellMar>
          <w:tblLook w:val="01E0"/>
        </w:tblPrEx>
        <w:tc>
          <w:tcPr>
            <w:tcW w:w="4290" w:type="dxa"/>
            <w:shd w:val="clear" w:color="auto" w:fill="auto"/>
          </w:tcPr>
          <w:p w:rsidR="00D30944" w:rsidRPr="00E804A5" w:rsidP="00731F02" w14:paraId="779258B6" w14:textId="77777777">
            <w:pPr>
              <w:rPr>
                <w:sz w:val="24"/>
                <w:szCs w:val="24"/>
                <w:lang w:val="en-US" w:eastAsia="en-US" w:bidi="ar-SA"/>
              </w:rPr>
            </w:pPr>
          </w:p>
        </w:tc>
        <w:tc>
          <w:tcPr>
            <w:tcW w:w="4350" w:type="dxa"/>
            <w:shd w:val="clear" w:color="auto" w:fill="auto"/>
          </w:tcPr>
          <w:p w:rsidR="00D30944" w:rsidRPr="00E804A5" w:rsidP="00FE0412" w14:paraId="44623C26" w14:textId="77777777">
            <w:pPr>
              <w:rPr>
                <w:bCs/>
                <w:sz w:val="24"/>
                <w:szCs w:val="24"/>
                <w:lang w:val="en-US" w:eastAsia="en-US" w:bidi="ar-SA"/>
              </w:rPr>
            </w:pPr>
          </w:p>
        </w:tc>
      </w:tr>
    </w:tbl>
    <w:p w:rsidR="00B52F65" w:rsidRPr="00E804A5" w:rsidP="00731F02" w14:paraId="25C5C5C0" w14:textId="77777777">
      <w:pPr>
        <w:pStyle w:val="CommentText"/>
        <w:rPr>
          <w:b/>
          <w:u w:val="single"/>
        </w:rPr>
      </w:pPr>
    </w:p>
    <w:p w:rsidR="00B52F65" w:rsidRPr="00E804A5" w14:paraId="2F401E4F" w14:textId="77777777">
      <w:pPr>
        <w:pStyle w:val="CommentText"/>
        <w:jc w:val="center"/>
        <w:rPr>
          <w:b/>
          <w:u w:val="single"/>
        </w:rPr>
      </w:pPr>
    </w:p>
    <w:sectPr w:rsidSect="0051004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B14" w14:paraId="32F9F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7293277"/>
      <w:docPartObj>
        <w:docPartGallery w:val="Page Numbers (Bottom of Page)"/>
        <w:docPartUnique/>
      </w:docPartObj>
    </w:sdtPr>
    <w:sdtEndPr>
      <w:rPr>
        <w:noProof/>
        <w:sz w:val="24"/>
        <w:szCs w:val="24"/>
      </w:rPr>
    </w:sdtEndPr>
    <w:sdtContent>
      <w:p w:rsidR="001E41C5" w:rsidRPr="001E41C5" w14:paraId="600E38B9" w14:textId="539FCFE9">
        <w:pPr>
          <w:pStyle w:val="Footer"/>
          <w:jc w:val="center"/>
          <w:rPr>
            <w:sz w:val="24"/>
            <w:szCs w:val="24"/>
          </w:rPr>
        </w:pPr>
        <w:r w:rsidRPr="001E41C5">
          <w:rPr>
            <w:sz w:val="24"/>
            <w:szCs w:val="24"/>
          </w:rPr>
          <w:fldChar w:fldCharType="begin"/>
        </w:r>
        <w:r w:rsidRPr="001E41C5">
          <w:rPr>
            <w:sz w:val="24"/>
            <w:szCs w:val="24"/>
          </w:rPr>
          <w:instrText xml:space="preserve"> PAGE   \* MERGEFORMAT </w:instrText>
        </w:r>
        <w:r w:rsidRPr="001E41C5">
          <w:rPr>
            <w:sz w:val="24"/>
            <w:szCs w:val="24"/>
          </w:rPr>
          <w:fldChar w:fldCharType="separate"/>
        </w:r>
        <w:r w:rsidRPr="001E41C5">
          <w:rPr>
            <w:noProof/>
            <w:sz w:val="24"/>
            <w:szCs w:val="24"/>
          </w:rPr>
          <w:t>2</w:t>
        </w:r>
        <w:r w:rsidRPr="001E41C5">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045" w:rsidRPr="003E0E94" w14:paraId="1B20CC99" w14:textId="56CC0E33">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5714" w14:paraId="5C65E03F" w14:textId="77777777">
      <w:r>
        <w:separator/>
      </w:r>
    </w:p>
  </w:footnote>
  <w:footnote w:type="continuationSeparator" w:id="1">
    <w:p w:rsidR="006A5714" w14:paraId="268E713B" w14:textId="77777777">
      <w:r>
        <w:continuationSeparator/>
      </w:r>
    </w:p>
  </w:footnote>
  <w:footnote w:id="2">
    <w:p w:rsidR="001C6C07" w:rsidRPr="00055C43" w:rsidP="00C3459A" w14:paraId="0C8D4C7D" w14:textId="77777777">
      <w:pPr>
        <w:pStyle w:val="FootnoteText"/>
        <w:spacing w:after="120"/>
      </w:pPr>
      <w:r w:rsidRPr="00055C43">
        <w:rPr>
          <w:rStyle w:val="FootnoteReference"/>
        </w:rPr>
        <w:footnoteRef/>
      </w:r>
      <w:r w:rsidRPr="00055C43">
        <w:t xml:space="preserve"> </w:t>
      </w:r>
      <w:r>
        <w:t>Order, at ¶ 68.</w:t>
      </w:r>
    </w:p>
  </w:footnote>
  <w:footnote w:id="3">
    <w:p w:rsidR="001C6C07" w:rsidRPr="00055C43" w:rsidP="00C3459A" w14:paraId="23BC0A10" w14:textId="77777777">
      <w:pPr>
        <w:pStyle w:val="FootnoteText"/>
        <w:spacing w:after="120"/>
      </w:pPr>
      <w:r w:rsidRPr="00055C43">
        <w:rPr>
          <w:rStyle w:val="FootnoteReference"/>
        </w:rPr>
        <w:footnoteRef/>
      </w:r>
      <w:r w:rsidRPr="00055C43">
        <w:t xml:space="preserve"> </w:t>
      </w:r>
      <w:r>
        <w:t>Order, at ¶ 69.</w:t>
      </w:r>
    </w:p>
  </w:footnote>
  <w:footnote w:id="4">
    <w:p w:rsidR="001C6C07" w:rsidRPr="00312680" w:rsidP="00C3459A" w14:paraId="7FDAD98E" w14:textId="77777777">
      <w:pPr>
        <w:pStyle w:val="FootnoteText"/>
        <w:spacing w:after="120"/>
      </w:pPr>
      <w:r w:rsidRPr="00055C43">
        <w:rPr>
          <w:rStyle w:val="FootnoteReference"/>
        </w:rPr>
        <w:footnoteRef/>
      </w:r>
      <w:r w:rsidRPr="00055C43">
        <w:t xml:space="preserve"> </w:t>
      </w:r>
      <w:r>
        <w:rPr>
          <w:i/>
          <w:iCs/>
        </w:rPr>
        <w:t xml:space="preserve">Id. </w:t>
      </w:r>
      <w:r>
        <w:t>at ¶ 67.</w:t>
      </w:r>
      <w:r>
        <w:tab/>
      </w:r>
    </w:p>
  </w:footnote>
  <w:footnote w:id="5">
    <w:p w:rsidR="001C6C07" w:rsidRPr="00B302E5" w:rsidP="00C3459A" w14:paraId="6A2C57F3" w14:textId="77777777">
      <w:pPr>
        <w:pStyle w:val="FootnoteText"/>
        <w:spacing w:after="120"/>
      </w:pPr>
      <w:r>
        <w:rPr>
          <w:rStyle w:val="FootnoteReference"/>
        </w:rPr>
        <w:footnoteRef/>
      </w:r>
      <w:r>
        <w:t xml:space="preserve"> </w:t>
      </w:r>
      <w:r>
        <w:rPr>
          <w:i/>
          <w:iCs/>
        </w:rPr>
        <w:t>Id.</w:t>
      </w:r>
      <w:r>
        <w:t xml:space="preserve"> at ¶ 70.</w:t>
      </w:r>
    </w:p>
  </w:footnote>
  <w:footnote w:id="6">
    <w:p w:rsidR="001C6C07" w:rsidP="00C3459A" w14:paraId="2945A1FB" w14:textId="7FD47096">
      <w:pPr>
        <w:pStyle w:val="FootnoteText"/>
        <w:spacing w:after="120"/>
      </w:pPr>
      <w:r>
        <w:rPr>
          <w:rStyle w:val="FootnoteReference"/>
        </w:rPr>
        <w:footnoteRef/>
      </w:r>
      <w:r>
        <w:t xml:space="preserve"> </w:t>
      </w:r>
      <w:r w:rsidRPr="003A4DD5">
        <w:t>O</w:t>
      </w:r>
      <w:r>
        <w:t xml:space="preserve">rder </w:t>
      </w:r>
      <w:r w:rsidRPr="003A4DD5">
        <w:t>at ¶ 81.</w:t>
      </w:r>
    </w:p>
  </w:footnote>
  <w:footnote w:id="7">
    <w:p w:rsidR="001C6C07" w:rsidRPr="00090197" w:rsidP="00C3459A" w14:paraId="6F63F272" w14:textId="77777777">
      <w:pPr>
        <w:pStyle w:val="FootnoteText"/>
        <w:spacing w:after="120"/>
        <w:rPr>
          <w:i/>
          <w:iCs/>
        </w:rPr>
      </w:pPr>
      <w:r>
        <w:rPr>
          <w:rStyle w:val="FootnoteReference"/>
        </w:rPr>
        <w:footnoteRef/>
      </w:r>
      <w:r>
        <w:t xml:space="preserve"> </w:t>
      </w:r>
      <w:r>
        <w:rPr>
          <w:i/>
          <w:iCs/>
        </w:rPr>
        <w:t>Id.</w:t>
      </w:r>
    </w:p>
  </w:footnote>
  <w:footnote w:id="8">
    <w:p w:rsidR="00845200" w:rsidRPr="00A1430D" w:rsidP="00C3459A" w14:paraId="17AB13FF" w14:textId="77777777">
      <w:pPr>
        <w:pStyle w:val="FootnoteText"/>
        <w:spacing w:after="120"/>
        <w:rPr>
          <w:i/>
          <w:iCs/>
        </w:rPr>
      </w:pPr>
      <w:r>
        <w:rPr>
          <w:rStyle w:val="FootnoteReference"/>
        </w:rPr>
        <w:footnoteRef/>
      </w:r>
      <w:r>
        <w:t xml:space="preserve"> </w:t>
      </w:r>
      <w:r>
        <w:rPr>
          <w:i/>
          <w:iCs/>
        </w:rPr>
        <w:t>Id.</w:t>
      </w:r>
    </w:p>
  </w:footnote>
  <w:footnote w:id="9">
    <w:p w:rsidR="00EE7840" w:rsidP="00C3459A" w14:paraId="218B8C7F" w14:textId="37CD7D37">
      <w:pPr>
        <w:pStyle w:val="FootnoteText"/>
        <w:spacing w:after="120"/>
      </w:pPr>
      <w:r>
        <w:rPr>
          <w:rStyle w:val="FootnoteReference"/>
        </w:rPr>
        <w:footnoteRef/>
      </w:r>
      <w:r>
        <w:t xml:space="preserve"> Green Choice Application for Rehearing </w:t>
      </w:r>
      <w:r w:rsidR="007A4CFE">
        <w:t xml:space="preserve">(“AFR”) </w:t>
      </w:r>
      <w:r>
        <w:t>at 5.</w:t>
      </w:r>
    </w:p>
  </w:footnote>
  <w:footnote w:id="10">
    <w:p w:rsidR="008E782F" w:rsidP="00C3459A" w14:paraId="43AC12FD" w14:textId="76FC19F5">
      <w:pPr>
        <w:pStyle w:val="FootnoteText"/>
        <w:spacing w:after="120"/>
      </w:pPr>
      <w:r>
        <w:rPr>
          <w:rStyle w:val="FootnoteReference"/>
        </w:rPr>
        <w:footnoteRef/>
      </w:r>
      <w:r>
        <w:t xml:space="preserve"> </w:t>
      </w:r>
      <w:r>
        <w:rPr>
          <w:i/>
          <w:iCs/>
        </w:rPr>
        <w:t>See</w:t>
      </w:r>
      <w:r>
        <w:t xml:space="preserve"> OCC Reply Brief (Jan</w:t>
      </w:r>
      <w:r w:rsidR="00EB4390">
        <w:t>.</w:t>
      </w:r>
      <w:r>
        <w:t xml:space="preserve"> 27, 2023) at 2-6.</w:t>
      </w:r>
    </w:p>
  </w:footnote>
  <w:footnote w:id="11">
    <w:p w:rsidR="0028646F" w:rsidRPr="00A76351" w:rsidP="00C3459A" w14:paraId="5F4F5CC5" w14:textId="792DF4ED">
      <w:pPr>
        <w:pStyle w:val="FootnoteText"/>
        <w:spacing w:after="120"/>
        <w:rPr>
          <w:i/>
          <w:iCs/>
        </w:rPr>
      </w:pPr>
      <w:r>
        <w:rPr>
          <w:rStyle w:val="FootnoteReference"/>
        </w:rPr>
        <w:footnoteRef/>
      </w:r>
      <w:r>
        <w:t xml:space="preserve"> </w:t>
      </w:r>
      <w:r>
        <w:rPr>
          <w:i/>
          <w:iCs/>
        </w:rPr>
        <w:t>Id.</w:t>
      </w:r>
    </w:p>
  </w:footnote>
  <w:footnote w:id="12">
    <w:p w:rsidR="00C07166" w:rsidRPr="00055C43" w:rsidP="00C3459A" w14:paraId="7C862210" w14:textId="137D5CC0">
      <w:pPr>
        <w:pStyle w:val="FootnoteText"/>
        <w:spacing w:after="120"/>
      </w:pPr>
      <w:r w:rsidRPr="00055C43">
        <w:rPr>
          <w:rStyle w:val="FootnoteReference"/>
        </w:rPr>
        <w:footnoteRef/>
      </w:r>
      <w:r w:rsidRPr="00055C43">
        <w:t xml:space="preserve"> O.A.C. 4901</w:t>
      </w:r>
      <w:r w:rsidR="00D45B76">
        <w:t>-</w:t>
      </w:r>
      <w:r w:rsidRPr="00055C43">
        <w:t>1-24-13</w:t>
      </w:r>
      <w:r w:rsidR="00D653FD">
        <w:t xml:space="preserve"> and </w:t>
      </w:r>
      <w:r w:rsidRPr="00055C43">
        <w:t>4901</w:t>
      </w:r>
      <w:r w:rsidR="00D45B76">
        <w:t>-</w:t>
      </w:r>
      <w:r w:rsidRPr="00055C43">
        <w:t>1-27-10.</w:t>
      </w:r>
    </w:p>
  </w:footnote>
  <w:footnote w:id="13">
    <w:p w:rsidR="00C07166" w:rsidRPr="00055C43" w:rsidP="00C3459A" w14:paraId="40D5CDA7" w14:textId="76D39B04">
      <w:pPr>
        <w:pStyle w:val="FootnoteText"/>
        <w:spacing w:after="120"/>
      </w:pPr>
      <w:r w:rsidRPr="00055C43">
        <w:rPr>
          <w:rStyle w:val="FootnoteReference"/>
        </w:rPr>
        <w:footnoteRef/>
      </w:r>
      <w:r w:rsidRPr="00055C43">
        <w:t xml:space="preserve"> O.A.C. 4901</w:t>
      </w:r>
      <w:r w:rsidR="00D45B76">
        <w:t>-</w:t>
      </w:r>
      <w:r w:rsidRPr="00055C43">
        <w:t>1-24-13(E)(7)</w:t>
      </w:r>
      <w:r w:rsidR="00D653FD">
        <w:t xml:space="preserve"> and</w:t>
      </w:r>
      <w:r w:rsidRPr="00055C43">
        <w:t xml:space="preserve"> 4901</w:t>
      </w:r>
      <w:r w:rsidR="00D653FD">
        <w:t>-</w:t>
      </w:r>
      <w:r w:rsidRPr="00055C43">
        <w:t>1-27-13(E)(7).</w:t>
      </w:r>
    </w:p>
  </w:footnote>
  <w:footnote w:id="14">
    <w:p w:rsidR="007A4CFE" w:rsidP="00C3459A" w14:paraId="54D38A95" w14:textId="358AAF6F">
      <w:pPr>
        <w:pStyle w:val="FootnoteText"/>
        <w:spacing w:after="120"/>
      </w:pPr>
      <w:r>
        <w:rPr>
          <w:rStyle w:val="FootnoteReference"/>
        </w:rPr>
        <w:footnoteRef/>
      </w:r>
      <w:r>
        <w:t xml:space="preserve"> PUCO Staff Initial Brief (Jan. 6, 2023); OCC Reply Brief (Jan</w:t>
      </w:r>
      <w:r w:rsidR="00331468">
        <w:t>.</w:t>
      </w:r>
      <w:r>
        <w:t xml:space="preserve"> 27, 2023) at 19-21.</w:t>
      </w:r>
    </w:p>
  </w:footnote>
  <w:footnote w:id="15">
    <w:p w:rsidR="008B32A6" w:rsidP="00C3459A" w14:paraId="33FDBFFF" w14:textId="016C1A58">
      <w:pPr>
        <w:pStyle w:val="FootnoteText"/>
        <w:spacing w:after="120"/>
      </w:pPr>
      <w:r>
        <w:rPr>
          <w:rStyle w:val="FootnoteReference"/>
        </w:rPr>
        <w:footnoteRef/>
      </w:r>
      <w:r>
        <w:t xml:space="preserve"> </w:t>
      </w:r>
      <w:r w:rsidRPr="00D45B76" w:rsidR="00D45B76">
        <w:rPr>
          <w:iCs/>
          <w:szCs w:val="24"/>
        </w:rPr>
        <w:t>O.A.C</w:t>
      </w:r>
      <w:r w:rsidRPr="008B32A6">
        <w:rPr>
          <w:szCs w:val="24"/>
        </w:rPr>
        <w:t xml:space="preserve"> 4901</w:t>
      </w:r>
      <w:r w:rsidR="00D653FD">
        <w:rPr>
          <w:szCs w:val="24"/>
        </w:rPr>
        <w:t>-</w:t>
      </w:r>
      <w:r w:rsidRPr="008B32A6">
        <w:rPr>
          <w:szCs w:val="24"/>
        </w:rPr>
        <w:t>1-34-06(A) and 4901</w:t>
      </w:r>
      <w:r w:rsidR="00D653FD">
        <w:rPr>
          <w:szCs w:val="24"/>
        </w:rPr>
        <w:t>-</w:t>
      </w:r>
      <w:r w:rsidRPr="008B32A6">
        <w:rPr>
          <w:szCs w:val="24"/>
        </w:rPr>
        <w:t>1-23-05(A).</w:t>
      </w:r>
    </w:p>
  </w:footnote>
  <w:footnote w:id="16">
    <w:p w:rsidR="008B32A6" w:rsidP="00C3459A" w14:paraId="142292D4" w14:textId="4FA7C2E7">
      <w:pPr>
        <w:pStyle w:val="FootnoteText"/>
        <w:spacing w:after="120"/>
      </w:pPr>
      <w:r>
        <w:rPr>
          <w:rStyle w:val="FootnoteReference"/>
        </w:rPr>
        <w:footnoteRef/>
      </w:r>
      <w:r>
        <w:t xml:space="preserve"> </w:t>
      </w:r>
      <w:r w:rsidRPr="00D653FD" w:rsidR="00D653FD">
        <w:rPr>
          <w:iCs/>
          <w:szCs w:val="24"/>
        </w:rPr>
        <w:t>O.A.C.</w:t>
      </w:r>
      <w:r w:rsidRPr="008B32A6">
        <w:rPr>
          <w:szCs w:val="24"/>
        </w:rPr>
        <w:t xml:space="preserve"> 4901</w:t>
      </w:r>
      <w:r w:rsidR="00D653FD">
        <w:rPr>
          <w:szCs w:val="24"/>
        </w:rPr>
        <w:t>-</w:t>
      </w:r>
      <w:r w:rsidRPr="008B32A6">
        <w:rPr>
          <w:szCs w:val="24"/>
        </w:rPr>
        <w:t>1-34-06(C) and 4901</w:t>
      </w:r>
      <w:r w:rsidR="00D653FD">
        <w:rPr>
          <w:szCs w:val="24"/>
        </w:rPr>
        <w:t>-</w:t>
      </w:r>
      <w:r w:rsidRPr="008B32A6">
        <w:rPr>
          <w:szCs w:val="24"/>
        </w:rPr>
        <w:t>1-23-05(C).</w:t>
      </w:r>
    </w:p>
  </w:footnote>
  <w:footnote w:id="17">
    <w:p w:rsidR="008B32A6" w:rsidP="00C3459A" w14:paraId="0A1DB61B" w14:textId="6B61AEE2">
      <w:pPr>
        <w:pStyle w:val="FootnoteText"/>
        <w:spacing w:after="120"/>
      </w:pPr>
      <w:r>
        <w:rPr>
          <w:rStyle w:val="FootnoteReference"/>
        </w:rPr>
        <w:footnoteRef/>
      </w:r>
      <w:r>
        <w:t xml:space="preserve"> </w:t>
      </w:r>
      <w:r w:rsidRPr="00D653FD" w:rsidR="00D653FD">
        <w:rPr>
          <w:iCs/>
          <w:szCs w:val="24"/>
        </w:rPr>
        <w:t>O.A.C.</w:t>
      </w:r>
      <w:r w:rsidR="00D653FD">
        <w:rPr>
          <w:szCs w:val="24"/>
        </w:rPr>
        <w:t xml:space="preserve"> </w:t>
      </w:r>
      <w:r w:rsidRPr="008B32A6">
        <w:rPr>
          <w:szCs w:val="24"/>
        </w:rPr>
        <w:t>4901</w:t>
      </w:r>
      <w:r w:rsidR="00D653FD">
        <w:rPr>
          <w:szCs w:val="24"/>
        </w:rPr>
        <w:t>-</w:t>
      </w:r>
      <w:r w:rsidRPr="008B32A6">
        <w:rPr>
          <w:szCs w:val="24"/>
        </w:rPr>
        <w:t>1- 34-06(C)(1)-(2) and 4901</w:t>
      </w:r>
      <w:r w:rsidR="00D653FD">
        <w:rPr>
          <w:szCs w:val="24"/>
        </w:rPr>
        <w:t>-</w:t>
      </w:r>
      <w:r w:rsidRPr="008B32A6">
        <w:rPr>
          <w:szCs w:val="24"/>
        </w:rPr>
        <w:t>1-23-05(C)(1)-(2).</w:t>
      </w:r>
    </w:p>
  </w:footnote>
  <w:footnote w:id="18">
    <w:p w:rsidR="002161DF" w:rsidP="00C3459A" w14:paraId="2078A85C" w14:textId="1093D04D">
      <w:pPr>
        <w:pStyle w:val="FootnoteText"/>
        <w:spacing w:after="120"/>
      </w:pPr>
      <w:r>
        <w:rPr>
          <w:rStyle w:val="FootnoteReference"/>
        </w:rPr>
        <w:footnoteRef/>
      </w:r>
      <w:r>
        <w:t xml:space="preserve"> Green Choice AFR at 4.</w:t>
      </w:r>
    </w:p>
  </w:footnote>
  <w:footnote w:id="19">
    <w:p w:rsidR="008B32A6" w:rsidRPr="00F533E4" w:rsidP="00C3459A" w14:paraId="73BC2EA3" w14:textId="313301A0">
      <w:pPr>
        <w:spacing w:after="120"/>
        <w:rPr>
          <w:sz w:val="20"/>
        </w:rPr>
      </w:pPr>
      <w:r w:rsidRPr="00D653FD">
        <w:rPr>
          <w:rStyle w:val="FootnoteReference"/>
          <w:sz w:val="20"/>
        </w:rPr>
        <w:footnoteRef/>
      </w:r>
      <w:r w:rsidR="00D73CE2">
        <w:rPr>
          <w:iCs/>
          <w:sz w:val="20"/>
        </w:rPr>
        <w:t xml:space="preserve"> </w:t>
      </w:r>
      <w:r w:rsidRPr="00D653FD" w:rsidR="00D653FD">
        <w:rPr>
          <w:iCs/>
          <w:sz w:val="20"/>
        </w:rPr>
        <w:t>O.A.C</w:t>
      </w:r>
      <w:r w:rsidR="00D653FD">
        <w:rPr>
          <w:i/>
          <w:sz w:val="20"/>
        </w:rPr>
        <w:t>.</w:t>
      </w:r>
      <w:r w:rsidRPr="008B32A6">
        <w:rPr>
          <w:sz w:val="20"/>
        </w:rPr>
        <w:t xml:space="preserve"> 4901-1-06.</w:t>
      </w:r>
    </w:p>
  </w:footnote>
  <w:footnote w:id="20">
    <w:p w:rsidR="00F533E4" w:rsidP="00C3459A" w14:paraId="58BA7896" w14:textId="33286018">
      <w:pPr>
        <w:pStyle w:val="FootnoteText"/>
        <w:spacing w:after="120"/>
      </w:pPr>
      <w:r>
        <w:rPr>
          <w:rStyle w:val="FootnoteReference"/>
        </w:rPr>
        <w:footnoteRef/>
      </w:r>
      <w:r>
        <w:t xml:space="preserve"> </w:t>
      </w:r>
      <w:r w:rsidRPr="00D653FD" w:rsidR="00D653FD">
        <w:rPr>
          <w:iCs/>
          <w:szCs w:val="24"/>
        </w:rPr>
        <w:t>O.A.C</w:t>
      </w:r>
      <w:r w:rsidR="00D653FD">
        <w:rPr>
          <w:i/>
          <w:szCs w:val="24"/>
        </w:rPr>
        <w:t>.</w:t>
      </w:r>
      <w:r w:rsidRPr="008B32A6">
        <w:rPr>
          <w:szCs w:val="24"/>
        </w:rPr>
        <w:t xml:space="preserve"> 4901</w:t>
      </w:r>
      <w:r w:rsidR="00BF13C2">
        <w:rPr>
          <w:szCs w:val="24"/>
        </w:rPr>
        <w:t>:</w:t>
      </w:r>
      <w:r w:rsidRPr="008B32A6">
        <w:rPr>
          <w:szCs w:val="24"/>
        </w:rPr>
        <w:t>1-34-06(</w:t>
      </w:r>
      <w:r w:rsidR="001B1591">
        <w:rPr>
          <w:szCs w:val="24"/>
        </w:rPr>
        <w:t>B</w:t>
      </w:r>
      <w:r w:rsidRPr="008B32A6">
        <w:rPr>
          <w:szCs w:val="24"/>
        </w:rPr>
        <w:t>)(1)(a) and 4901</w:t>
      </w:r>
      <w:r w:rsidR="00BF13C2">
        <w:rPr>
          <w:szCs w:val="24"/>
        </w:rPr>
        <w:t>:</w:t>
      </w:r>
      <w:r w:rsidRPr="008B32A6">
        <w:rPr>
          <w:szCs w:val="24"/>
        </w:rPr>
        <w:t>1-23-05(C)(1)(a).</w:t>
      </w:r>
    </w:p>
  </w:footnote>
  <w:footnote w:id="21">
    <w:p w:rsidR="00F533E4" w:rsidP="00C3459A" w14:paraId="7D892BC7" w14:textId="337BB023">
      <w:pPr>
        <w:pStyle w:val="FootnoteText"/>
        <w:spacing w:after="120"/>
      </w:pPr>
      <w:r>
        <w:rPr>
          <w:rStyle w:val="FootnoteReference"/>
        </w:rPr>
        <w:footnoteRef/>
      </w:r>
      <w:r>
        <w:t xml:space="preserve"> </w:t>
      </w:r>
      <w:r w:rsidRPr="008B32A6">
        <w:rPr>
          <w:i/>
          <w:szCs w:val="24"/>
        </w:rPr>
        <w:t>Id</w:t>
      </w:r>
      <w:r w:rsidRPr="008B32A6">
        <w:rPr>
          <w:szCs w:val="24"/>
        </w:rPr>
        <w:t>.</w:t>
      </w:r>
    </w:p>
  </w:footnote>
  <w:footnote w:id="22">
    <w:p w:rsidR="00F533E4" w:rsidP="00C3459A" w14:paraId="6B23171A" w14:textId="0CD22DF8">
      <w:pPr>
        <w:pStyle w:val="FootnoteText"/>
        <w:spacing w:after="120"/>
      </w:pPr>
      <w:r>
        <w:rPr>
          <w:rStyle w:val="FootnoteReference"/>
        </w:rPr>
        <w:footnoteRef/>
      </w:r>
      <w:r w:rsidR="00D73CE2">
        <w:rPr>
          <w:i/>
          <w:szCs w:val="24"/>
        </w:rPr>
        <w:t xml:space="preserve"> </w:t>
      </w:r>
      <w:r w:rsidRPr="008B32A6">
        <w:rPr>
          <w:i/>
          <w:szCs w:val="24"/>
        </w:rPr>
        <w:t>Id</w:t>
      </w:r>
      <w:r w:rsidRPr="008B32A6">
        <w:rPr>
          <w:szCs w:val="24"/>
        </w:rPr>
        <w:t>.</w:t>
      </w:r>
      <w:r>
        <w:t xml:space="preserve"> </w:t>
      </w:r>
    </w:p>
  </w:footnote>
  <w:footnote w:id="23">
    <w:p w:rsidR="002E44B7" w:rsidP="00C3459A" w14:paraId="79CC8AE1" w14:textId="6ACDD62A">
      <w:pPr>
        <w:pStyle w:val="FootnoteText"/>
        <w:spacing w:after="120"/>
      </w:pPr>
      <w:r>
        <w:rPr>
          <w:rStyle w:val="FootnoteReference"/>
        </w:rPr>
        <w:footnoteRef/>
      </w:r>
      <w:r>
        <w:t xml:space="preserve"> Green Choice AFR at 18-24.</w:t>
      </w:r>
    </w:p>
  </w:footnote>
  <w:footnote w:id="24">
    <w:p w:rsidR="002E44B7" w:rsidP="00C3459A" w14:paraId="01B64284" w14:textId="4FBA0F94">
      <w:pPr>
        <w:pStyle w:val="FootnoteText"/>
        <w:spacing w:after="120"/>
      </w:pPr>
      <w:r>
        <w:rPr>
          <w:rStyle w:val="FootnoteReference"/>
        </w:rPr>
        <w:footnoteRef/>
      </w:r>
      <w:r>
        <w:t xml:space="preserve"> </w:t>
      </w:r>
      <w:r w:rsidR="00BC54E4">
        <w:t xml:space="preserve">PUCO Staff Initial Brief (Jan. 6, 2023); </w:t>
      </w:r>
      <w:r>
        <w:t>OCC Reply Brief (Jan</w:t>
      </w:r>
      <w:r w:rsidR="00187302">
        <w:t>.</w:t>
      </w:r>
      <w:r>
        <w:t xml:space="preserve"> 27, 2023) at 19-21.</w:t>
      </w:r>
    </w:p>
  </w:footnote>
  <w:footnote w:id="25">
    <w:p w:rsidR="0034083C" w:rsidP="00C3459A" w14:paraId="37DD7A29" w14:textId="121BFEB7">
      <w:pPr>
        <w:pStyle w:val="FootnoteText"/>
        <w:spacing w:after="120"/>
      </w:pPr>
      <w:r>
        <w:rPr>
          <w:rStyle w:val="FootnoteReference"/>
        </w:rPr>
        <w:footnoteRef/>
      </w:r>
      <w:r>
        <w:t xml:space="preserve"> Amended Staff Report (July 21, 2022).</w:t>
      </w:r>
    </w:p>
  </w:footnote>
  <w:footnote w:id="26">
    <w:p w:rsidR="0034083C" w:rsidP="00C3459A" w14:paraId="0115833B" w14:textId="36D54338">
      <w:pPr>
        <w:pStyle w:val="FootnoteText"/>
        <w:spacing w:after="120"/>
      </w:pPr>
      <w:r>
        <w:rPr>
          <w:rStyle w:val="FootnoteReference"/>
        </w:rPr>
        <w:footnoteRef/>
      </w:r>
      <w:r>
        <w:t xml:space="preserve"> PUCO Staff prefiled testimony (Sept</w:t>
      </w:r>
      <w:r w:rsidR="003E333A">
        <w:t>.</w:t>
      </w:r>
      <w:r>
        <w:t xml:space="preserve"> 30 and Oct</w:t>
      </w:r>
      <w:r w:rsidR="003E333A">
        <w:t>.</w:t>
      </w:r>
      <w:r>
        <w:t xml:space="preserve"> 3, 2022).</w:t>
      </w:r>
    </w:p>
  </w:footnote>
  <w:footnote w:id="27">
    <w:p w:rsidR="008D02F3" w:rsidP="00C3459A" w14:paraId="0EDC276D" w14:textId="36110AC2">
      <w:pPr>
        <w:pStyle w:val="FootnoteText"/>
        <w:spacing w:after="120"/>
      </w:pPr>
      <w:r>
        <w:rPr>
          <w:rStyle w:val="FootnoteReference"/>
        </w:rPr>
        <w:footnoteRef/>
      </w:r>
      <w:r>
        <w:t xml:space="preserve"> Transcript Vol. I at 127, 163 (Nov</w:t>
      </w:r>
      <w:r w:rsidR="00372B14">
        <w:t>.</w:t>
      </w:r>
      <w:r>
        <w:t xml:space="preserve"> 8, 2022), Transcript Vol. II at </w:t>
      </w:r>
      <w:r w:rsidR="000F2252">
        <w:t>217, 238 (Nov</w:t>
      </w:r>
      <w:r w:rsidR="007F186E">
        <w:t>.</w:t>
      </w:r>
      <w:r w:rsidR="000F2252">
        <w:t xml:space="preserve"> 23, 2022).</w:t>
      </w:r>
    </w:p>
  </w:footnote>
  <w:footnote w:id="28">
    <w:p w:rsidR="001017FF" w:rsidRPr="001D535F" w:rsidP="00C3459A" w14:paraId="3626FF93" w14:textId="6F0CA33B">
      <w:pPr>
        <w:pStyle w:val="FootnoteText"/>
        <w:spacing w:after="120"/>
      </w:pPr>
      <w:r w:rsidRPr="001D535F">
        <w:rPr>
          <w:rStyle w:val="FootnoteReference"/>
        </w:rPr>
        <w:footnoteRef/>
      </w:r>
      <w:r w:rsidRPr="001D535F">
        <w:t xml:space="preserve"> </w:t>
      </w:r>
      <w:r w:rsidRPr="001D535F" w:rsidR="004E2A2C">
        <w:t>Green Choice</w:t>
      </w:r>
      <w:r w:rsidRPr="001D535F">
        <w:t xml:space="preserve"> </w:t>
      </w:r>
      <w:r w:rsidR="003E3545">
        <w:t>AFR</w:t>
      </w:r>
      <w:r w:rsidRPr="001D535F">
        <w:t xml:space="preserve"> at </w:t>
      </w:r>
      <w:r w:rsidR="003E3545">
        <w:t>14.</w:t>
      </w:r>
    </w:p>
  </w:footnote>
  <w:footnote w:id="29">
    <w:p w:rsidR="009479FB" w:rsidRPr="001D535F" w:rsidP="00C3459A" w14:paraId="0E065073" w14:textId="7DAF82CD">
      <w:pPr>
        <w:pStyle w:val="FootnoteText"/>
        <w:spacing w:after="120"/>
      </w:pPr>
      <w:r w:rsidRPr="001D535F">
        <w:rPr>
          <w:rStyle w:val="FootnoteReference"/>
        </w:rPr>
        <w:footnoteRef/>
      </w:r>
      <w:r w:rsidRPr="001D535F">
        <w:t xml:space="preserve"> </w:t>
      </w:r>
      <w:r w:rsidRPr="001D535F">
        <w:rPr>
          <w:i/>
          <w:iCs/>
        </w:rPr>
        <w:t>See In the Matter of the Commission’s Investigation Into SFE Energy Ohio, Inc. and Statewise Energy Ohio, LLC’s Compliance with the Ohio Revised Code and Ohio Administrative Code and Potential Remedial Action</w:t>
      </w:r>
      <w:r w:rsidRPr="001D535F">
        <w:t>, Case No. 20-1216-GE-COI (“SFE Investigation”), Entry (Sept</w:t>
      </w:r>
      <w:r w:rsidR="00B73894">
        <w:t>.</w:t>
      </w:r>
      <w:r w:rsidRPr="001D535F">
        <w:t xml:space="preserve"> 28, 2020), at ¶¶ 11, 13; and </w:t>
      </w:r>
      <w:r w:rsidRPr="001D535F">
        <w:rPr>
          <w:i/>
          <w:iCs/>
        </w:rPr>
        <w:t>In the Matter of Commission’s Investigation Into PALMco Power OH, LLC dba Indra Energy and PALMco Energy OH, LLC dba Indra Energy’s Compliance with the Ohio Administrative Code and Potential Remedial Actions for Non-Compliance</w:t>
      </w:r>
      <w:r w:rsidRPr="001D535F">
        <w:t>, Case No. 19-2153-GE-COI, (“PALMco 2 Investigation”), Entry (April 6, 2020), at ¶¶ 10, 19.</w:t>
      </w:r>
    </w:p>
  </w:footnote>
  <w:footnote w:id="30">
    <w:p w:rsidR="00DD2181" w:rsidRPr="001D535F" w:rsidP="00C3459A" w14:paraId="5D120C96" w14:textId="16E037A1">
      <w:pPr>
        <w:pStyle w:val="FootnoteText"/>
        <w:spacing w:after="120"/>
      </w:pPr>
      <w:r w:rsidRPr="001D535F">
        <w:rPr>
          <w:rStyle w:val="FootnoteReference"/>
        </w:rPr>
        <w:footnoteRef/>
      </w:r>
      <w:r w:rsidRPr="001D535F">
        <w:t xml:space="preserve"> </w:t>
      </w:r>
      <w:r w:rsidRPr="001D535F">
        <w:rPr>
          <w:i/>
          <w:iCs/>
        </w:rPr>
        <w:t>In the Matter of the Complaint of the Office of Consumers’ Counsel on Behalf of the Residents of Copley Village Condominium Association I and Copley Village Condominium Association II v. Ohio Edison Company</w:t>
      </w:r>
      <w:r w:rsidRPr="001D535F">
        <w:t>, Case No. 89-1031-EL-CSS, 1989 Ohio PUC LEXIS 1100, *5 (emphasis added).</w:t>
      </w:r>
    </w:p>
  </w:footnote>
  <w:footnote w:id="31">
    <w:p w:rsidR="008C237A" w:rsidRPr="001D535F" w:rsidP="00C3459A" w14:paraId="602C9C90" w14:textId="25B2D6FA">
      <w:pPr>
        <w:pStyle w:val="FootnoteText"/>
        <w:spacing w:after="120"/>
      </w:pPr>
      <w:r w:rsidRPr="001D535F">
        <w:rPr>
          <w:rStyle w:val="FootnoteReference"/>
        </w:rPr>
        <w:footnoteRef/>
      </w:r>
      <w:r w:rsidRPr="001D535F">
        <w:t xml:space="preserve"> </w:t>
      </w:r>
      <w:r w:rsidRPr="001D535F" w:rsidR="007856B5">
        <w:rPr>
          <w:i/>
          <w:iCs/>
        </w:rPr>
        <w:t xml:space="preserve">See </w:t>
      </w:r>
      <w:r w:rsidRPr="001D535F" w:rsidR="007856B5">
        <w:t xml:space="preserve">PALMco 2 Investigation, </w:t>
      </w:r>
      <w:r w:rsidR="009C71D9">
        <w:t xml:space="preserve">Case No. 19-2153-GE-COI, </w:t>
      </w:r>
      <w:r w:rsidRPr="001D535F" w:rsidR="007856B5">
        <w:t>PALMco Memorandum Contra Office of the Ohio Consumers’ Counsel’s Motion to Intervene (Jan</w:t>
      </w:r>
      <w:r w:rsidR="00567CA0">
        <w:t>.</w:t>
      </w:r>
      <w:r w:rsidRPr="001D535F" w:rsidR="007856B5">
        <w:t xml:space="preserve"> 13, 2020), at 5-6.</w:t>
      </w:r>
    </w:p>
  </w:footnote>
  <w:footnote w:id="32">
    <w:p w:rsidR="00EE2ACE" w:rsidRPr="001D535F" w:rsidP="00C3459A" w14:paraId="25E85674" w14:textId="43054486">
      <w:pPr>
        <w:pStyle w:val="FootnoteText"/>
        <w:spacing w:after="120"/>
      </w:pPr>
      <w:r w:rsidRPr="001D535F">
        <w:rPr>
          <w:rStyle w:val="FootnoteReference"/>
        </w:rPr>
        <w:footnoteRef/>
      </w:r>
      <w:r w:rsidRPr="001D535F">
        <w:t xml:space="preserve"> PALMco 2 Investigation, Entry (April 6, 2020), at ¶ 19.</w:t>
      </w:r>
    </w:p>
  </w:footnote>
  <w:footnote w:id="33">
    <w:p w:rsidR="00EE2ACE" w:rsidRPr="001D535F" w:rsidP="00C3459A" w14:paraId="6128056C" w14:textId="5B78438A">
      <w:pPr>
        <w:pStyle w:val="FootnoteText"/>
        <w:spacing w:after="120"/>
      </w:pPr>
      <w:r w:rsidRPr="001D535F">
        <w:rPr>
          <w:rStyle w:val="FootnoteReference"/>
        </w:rPr>
        <w:footnoteRef/>
      </w:r>
      <w:r w:rsidRPr="001D535F">
        <w:t xml:space="preserve"> </w:t>
      </w:r>
      <w:r w:rsidRPr="001D535F" w:rsidR="00DB1434">
        <w:t xml:space="preserve">SFE Investigation, </w:t>
      </w:r>
      <w:r w:rsidRPr="001D535F" w:rsidR="009C71D9">
        <w:t>Case No. 20-1216-GE-COI</w:t>
      </w:r>
      <w:r w:rsidR="009C71D9">
        <w:t>,</w:t>
      </w:r>
      <w:r w:rsidRPr="001D535F" w:rsidR="009C71D9">
        <w:t xml:space="preserve"> </w:t>
      </w:r>
      <w:r w:rsidRPr="001D535F" w:rsidR="00486815">
        <w:t>Entry (Sept</w:t>
      </w:r>
      <w:r w:rsidR="00A6724D">
        <w:t>.</w:t>
      </w:r>
      <w:r w:rsidRPr="001D535F" w:rsidR="00486815">
        <w:t xml:space="preserve"> 28, 2020), at ¶</w:t>
      </w:r>
      <w:r w:rsidRPr="001D535F" w:rsidR="008926FA">
        <w:t xml:space="preserve"> 13.</w:t>
      </w:r>
    </w:p>
  </w:footnote>
  <w:footnote w:id="34">
    <w:p w:rsidR="006F27E7" w:rsidRPr="001D535F" w:rsidP="00C3459A" w14:paraId="7E6E0D96" w14:textId="19B5C37D">
      <w:pPr>
        <w:pStyle w:val="FootnoteText"/>
        <w:spacing w:after="120"/>
        <w:rPr>
          <w:i/>
          <w:iCs/>
        </w:rPr>
      </w:pPr>
      <w:r w:rsidRPr="001D535F">
        <w:rPr>
          <w:rStyle w:val="FootnoteReference"/>
        </w:rPr>
        <w:footnoteRef/>
      </w:r>
      <w:r w:rsidRPr="001D535F">
        <w:t xml:space="preserve"> </w:t>
      </w:r>
      <w:r w:rsidRPr="001D535F" w:rsidR="00EE2ACE">
        <w:rPr>
          <w:i/>
          <w:iCs/>
        </w:rPr>
        <w:t>Id.</w:t>
      </w:r>
    </w:p>
  </w:footnote>
  <w:footnote w:id="35">
    <w:p w:rsidR="00E67DCE" w:rsidRPr="001D535F" w:rsidP="00C3459A" w14:paraId="2C9B532E" w14:textId="51AF0077">
      <w:pPr>
        <w:pStyle w:val="FootnoteText"/>
        <w:spacing w:after="120"/>
      </w:pPr>
      <w:r w:rsidRPr="001D535F">
        <w:rPr>
          <w:rStyle w:val="FootnoteReference"/>
        </w:rPr>
        <w:footnoteRef/>
      </w:r>
      <w:r w:rsidRPr="001D535F">
        <w:t xml:space="preserve"> </w:t>
      </w:r>
      <w:r w:rsidRPr="001D535F">
        <w:rPr>
          <w:i/>
          <w:iCs/>
        </w:rPr>
        <w:t>See In the Matter of the Complaint of Jeffrey Pitzer v. Duke Energy Ohio, Inc.</w:t>
      </w:r>
      <w:r w:rsidRPr="001D535F">
        <w:t>, Case No. 15-298-GE-CSS, Entry (July 10, 2015)</w:t>
      </w:r>
      <w:r w:rsidRPr="001D535F" w:rsidR="00C158A5">
        <w:t>.</w:t>
      </w:r>
    </w:p>
  </w:footnote>
  <w:footnote w:id="36">
    <w:p w:rsidR="00E72AE7" w:rsidRPr="001D535F" w:rsidP="00C3459A" w14:paraId="57AA31D0" w14:textId="77777777">
      <w:pPr>
        <w:pStyle w:val="FootnoteText"/>
        <w:spacing w:after="120"/>
      </w:pPr>
      <w:r w:rsidRPr="001D535F">
        <w:rPr>
          <w:rStyle w:val="FootnoteReference"/>
        </w:rPr>
        <w:footnoteRef/>
      </w:r>
      <w:r w:rsidRPr="001D535F">
        <w:t xml:space="preserve"> R.C. 4911.02(B).</w:t>
      </w:r>
    </w:p>
  </w:footnote>
  <w:footnote w:id="37">
    <w:p w:rsidR="005B3E5C" w:rsidRPr="001D535F" w:rsidP="00C3459A" w14:paraId="091F1716" w14:textId="531D0BD9">
      <w:pPr>
        <w:pStyle w:val="FootnoteText"/>
        <w:spacing w:after="120"/>
      </w:pPr>
      <w:r w:rsidRPr="001D535F">
        <w:rPr>
          <w:rStyle w:val="FootnoteReference"/>
        </w:rPr>
        <w:footnoteRef/>
      </w:r>
      <w:r w:rsidRPr="001D535F">
        <w:t xml:space="preserve"> Green Choice </w:t>
      </w:r>
      <w:r>
        <w:t>AFR</w:t>
      </w:r>
      <w:r w:rsidRPr="001D535F">
        <w:t xml:space="preserve"> at </w:t>
      </w:r>
      <w:r>
        <w:t>15</w:t>
      </w:r>
      <w:r w:rsidRPr="001D535F">
        <w:t>.</w:t>
      </w:r>
    </w:p>
  </w:footnote>
  <w:footnote w:id="38">
    <w:p w:rsidR="005B3E5C" w:rsidRPr="00A72403" w:rsidP="00C3459A" w14:paraId="08C55FB7" w14:textId="4DD890EE">
      <w:pPr>
        <w:pStyle w:val="FootnoteText"/>
        <w:spacing w:after="120"/>
      </w:pPr>
      <w:r>
        <w:rPr>
          <w:rStyle w:val="FootnoteReference"/>
        </w:rPr>
        <w:footnoteRef/>
      </w:r>
      <w:r>
        <w:t xml:space="preserve"> </w:t>
      </w:r>
      <w:r>
        <w:rPr>
          <w:i/>
          <w:iCs/>
        </w:rPr>
        <w:t xml:space="preserve">See supra </w:t>
      </w:r>
      <w:r>
        <w:t>note 2</w:t>
      </w:r>
      <w:r w:rsidR="007A4CFE">
        <w:t>8</w:t>
      </w:r>
      <w:r>
        <w:t>.</w:t>
      </w:r>
    </w:p>
  </w:footnote>
  <w:footnote w:id="39">
    <w:p w:rsidR="007D6389" w:rsidP="00C3459A" w14:paraId="0AAD6A3D" w14:textId="11E6AA41">
      <w:pPr>
        <w:pStyle w:val="FootnoteText"/>
        <w:spacing w:after="120"/>
      </w:pPr>
      <w:r>
        <w:rPr>
          <w:rStyle w:val="FootnoteReference"/>
        </w:rPr>
        <w:footnoteRef/>
      </w:r>
      <w:r>
        <w:t xml:space="preserve"> Green Choice AFR at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B14" w14:paraId="037A2F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B14" w14:paraId="0F6841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B14" w14:paraId="7EA4DD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805C31"/>
    <w:multiLevelType w:val="hybridMultilevel"/>
    <w:tmpl w:val="4874126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FF0C59"/>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4F4496"/>
    <w:multiLevelType w:val="hybridMultilevel"/>
    <w:tmpl w:val="32E6EAA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719F39AE"/>
    <w:multiLevelType w:val="hybridMultilevel"/>
    <w:tmpl w:val="F6862CCC"/>
    <w:lvl w:ilvl="0">
      <w:start w:val="1"/>
      <w:numFmt w:val="upperLetter"/>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794F198A"/>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11"/>
  </w:num>
  <w:num w:numId="5">
    <w:abstractNumId w:val="1"/>
  </w:num>
  <w:num w:numId="6">
    <w:abstractNumId w:val="14"/>
  </w:num>
  <w:num w:numId="7">
    <w:abstractNumId w:val="3"/>
  </w:num>
  <w:num w:numId="8">
    <w:abstractNumId w:val="10"/>
  </w:num>
  <w:num w:numId="9">
    <w:abstractNumId w:val="5"/>
  </w:num>
  <w:num w:numId="10">
    <w:abstractNumId w:val="0"/>
  </w:num>
  <w:num w:numId="11">
    <w:abstractNumId w:val="7"/>
  </w:num>
  <w:num w:numId="12">
    <w:abstractNumId w:val="2"/>
  </w:num>
  <w:num w:numId="13">
    <w:abstractNumId w:val="15"/>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110D"/>
    <w:rsid w:val="000039FF"/>
    <w:rsid w:val="00010D7D"/>
    <w:rsid w:val="00016647"/>
    <w:rsid w:val="000202BF"/>
    <w:rsid w:val="00022148"/>
    <w:rsid w:val="00023E4B"/>
    <w:rsid w:val="00026747"/>
    <w:rsid w:val="00026E3B"/>
    <w:rsid w:val="00027501"/>
    <w:rsid w:val="00031682"/>
    <w:rsid w:val="00034CD8"/>
    <w:rsid w:val="000354AA"/>
    <w:rsid w:val="000412B5"/>
    <w:rsid w:val="00050A9D"/>
    <w:rsid w:val="00051C12"/>
    <w:rsid w:val="000524E0"/>
    <w:rsid w:val="000526F0"/>
    <w:rsid w:val="00055C43"/>
    <w:rsid w:val="000578A2"/>
    <w:rsid w:val="00060819"/>
    <w:rsid w:val="00061DDA"/>
    <w:rsid w:val="000635F2"/>
    <w:rsid w:val="0006609A"/>
    <w:rsid w:val="00066CF9"/>
    <w:rsid w:val="000671F2"/>
    <w:rsid w:val="0007088F"/>
    <w:rsid w:val="000871B7"/>
    <w:rsid w:val="00090197"/>
    <w:rsid w:val="00091197"/>
    <w:rsid w:val="00091BC7"/>
    <w:rsid w:val="000925F8"/>
    <w:rsid w:val="000A0D13"/>
    <w:rsid w:val="000A2D44"/>
    <w:rsid w:val="000A3170"/>
    <w:rsid w:val="000A3B40"/>
    <w:rsid w:val="000A3CAF"/>
    <w:rsid w:val="000A4150"/>
    <w:rsid w:val="000A469D"/>
    <w:rsid w:val="000B1BB1"/>
    <w:rsid w:val="000B1CB4"/>
    <w:rsid w:val="000B1E2E"/>
    <w:rsid w:val="000B5134"/>
    <w:rsid w:val="000B5816"/>
    <w:rsid w:val="000B7ED7"/>
    <w:rsid w:val="000C099F"/>
    <w:rsid w:val="000C344E"/>
    <w:rsid w:val="000C49E0"/>
    <w:rsid w:val="000C52D2"/>
    <w:rsid w:val="000D0DD6"/>
    <w:rsid w:val="000D4523"/>
    <w:rsid w:val="000E3CF4"/>
    <w:rsid w:val="000E6C64"/>
    <w:rsid w:val="000E77B4"/>
    <w:rsid w:val="000F0366"/>
    <w:rsid w:val="000F0B9D"/>
    <w:rsid w:val="000F2252"/>
    <w:rsid w:val="000F389B"/>
    <w:rsid w:val="000F5572"/>
    <w:rsid w:val="001004E4"/>
    <w:rsid w:val="001017FF"/>
    <w:rsid w:val="0010516C"/>
    <w:rsid w:val="00106466"/>
    <w:rsid w:val="00106709"/>
    <w:rsid w:val="00106AD8"/>
    <w:rsid w:val="001077B5"/>
    <w:rsid w:val="00107DE7"/>
    <w:rsid w:val="00110037"/>
    <w:rsid w:val="001101EE"/>
    <w:rsid w:val="00114114"/>
    <w:rsid w:val="001151B9"/>
    <w:rsid w:val="00116EBA"/>
    <w:rsid w:val="001233CD"/>
    <w:rsid w:val="001239CE"/>
    <w:rsid w:val="00124E2D"/>
    <w:rsid w:val="001250C0"/>
    <w:rsid w:val="00131AF0"/>
    <w:rsid w:val="00131EDB"/>
    <w:rsid w:val="001344F4"/>
    <w:rsid w:val="00134990"/>
    <w:rsid w:val="0013499B"/>
    <w:rsid w:val="00137B4D"/>
    <w:rsid w:val="00143CC4"/>
    <w:rsid w:val="001467EE"/>
    <w:rsid w:val="00151C2D"/>
    <w:rsid w:val="00154249"/>
    <w:rsid w:val="00155A3A"/>
    <w:rsid w:val="0015682E"/>
    <w:rsid w:val="00160EA7"/>
    <w:rsid w:val="00162330"/>
    <w:rsid w:val="00162941"/>
    <w:rsid w:val="00163C30"/>
    <w:rsid w:val="00165BE8"/>
    <w:rsid w:val="00170460"/>
    <w:rsid w:val="00174D12"/>
    <w:rsid w:val="00181F8A"/>
    <w:rsid w:val="001823CD"/>
    <w:rsid w:val="001836F7"/>
    <w:rsid w:val="0018576C"/>
    <w:rsid w:val="00187302"/>
    <w:rsid w:val="00187364"/>
    <w:rsid w:val="001941E0"/>
    <w:rsid w:val="001948AF"/>
    <w:rsid w:val="00195E0E"/>
    <w:rsid w:val="001974F7"/>
    <w:rsid w:val="001A0D03"/>
    <w:rsid w:val="001A32B9"/>
    <w:rsid w:val="001A5616"/>
    <w:rsid w:val="001A7091"/>
    <w:rsid w:val="001A7452"/>
    <w:rsid w:val="001B1591"/>
    <w:rsid w:val="001B2ADD"/>
    <w:rsid w:val="001B409B"/>
    <w:rsid w:val="001C2403"/>
    <w:rsid w:val="001C4D30"/>
    <w:rsid w:val="001C5EA5"/>
    <w:rsid w:val="001C6C07"/>
    <w:rsid w:val="001D3793"/>
    <w:rsid w:val="001D51C0"/>
    <w:rsid w:val="001D535F"/>
    <w:rsid w:val="001E41C5"/>
    <w:rsid w:val="001E73A3"/>
    <w:rsid w:val="001F372C"/>
    <w:rsid w:val="001F40DB"/>
    <w:rsid w:val="001F6EC4"/>
    <w:rsid w:val="00204DCE"/>
    <w:rsid w:val="0020516E"/>
    <w:rsid w:val="0020533C"/>
    <w:rsid w:val="00206E19"/>
    <w:rsid w:val="00210D25"/>
    <w:rsid w:val="002161DF"/>
    <w:rsid w:val="00216EDE"/>
    <w:rsid w:val="00220694"/>
    <w:rsid w:val="002211C4"/>
    <w:rsid w:val="00222E02"/>
    <w:rsid w:val="00225741"/>
    <w:rsid w:val="00226259"/>
    <w:rsid w:val="0022760A"/>
    <w:rsid w:val="00231BA4"/>
    <w:rsid w:val="00234F55"/>
    <w:rsid w:val="00236D7B"/>
    <w:rsid w:val="00240621"/>
    <w:rsid w:val="002410A3"/>
    <w:rsid w:val="00241D43"/>
    <w:rsid w:val="002422D0"/>
    <w:rsid w:val="0024468E"/>
    <w:rsid w:val="00246BF3"/>
    <w:rsid w:val="00247F58"/>
    <w:rsid w:val="00253497"/>
    <w:rsid w:val="00260432"/>
    <w:rsid w:val="002622B5"/>
    <w:rsid w:val="00262528"/>
    <w:rsid w:val="00262AA6"/>
    <w:rsid w:val="00263991"/>
    <w:rsid w:val="00272A47"/>
    <w:rsid w:val="00273017"/>
    <w:rsid w:val="00274DC4"/>
    <w:rsid w:val="00274EB5"/>
    <w:rsid w:val="002750A5"/>
    <w:rsid w:val="00276DF1"/>
    <w:rsid w:val="002803A7"/>
    <w:rsid w:val="0028646F"/>
    <w:rsid w:val="0029380D"/>
    <w:rsid w:val="00294557"/>
    <w:rsid w:val="00295113"/>
    <w:rsid w:val="002957C4"/>
    <w:rsid w:val="002A2129"/>
    <w:rsid w:val="002A4452"/>
    <w:rsid w:val="002A715F"/>
    <w:rsid w:val="002B08BF"/>
    <w:rsid w:val="002B3086"/>
    <w:rsid w:val="002B3605"/>
    <w:rsid w:val="002B61A1"/>
    <w:rsid w:val="002C1C0A"/>
    <w:rsid w:val="002C2434"/>
    <w:rsid w:val="002C40AA"/>
    <w:rsid w:val="002C4F13"/>
    <w:rsid w:val="002D1644"/>
    <w:rsid w:val="002D185D"/>
    <w:rsid w:val="002E1127"/>
    <w:rsid w:val="002E17C2"/>
    <w:rsid w:val="002E44B7"/>
    <w:rsid w:val="002E4553"/>
    <w:rsid w:val="002E5927"/>
    <w:rsid w:val="002F3162"/>
    <w:rsid w:val="002F59DA"/>
    <w:rsid w:val="002F5E90"/>
    <w:rsid w:val="002F7D47"/>
    <w:rsid w:val="0030206E"/>
    <w:rsid w:val="0030616B"/>
    <w:rsid w:val="003122E4"/>
    <w:rsid w:val="00312680"/>
    <w:rsid w:val="00331468"/>
    <w:rsid w:val="003346CD"/>
    <w:rsid w:val="00337645"/>
    <w:rsid w:val="00337A5C"/>
    <w:rsid w:val="00337FD0"/>
    <w:rsid w:val="0034083C"/>
    <w:rsid w:val="00340F51"/>
    <w:rsid w:val="0034156F"/>
    <w:rsid w:val="00344050"/>
    <w:rsid w:val="00344383"/>
    <w:rsid w:val="00344F44"/>
    <w:rsid w:val="0034729F"/>
    <w:rsid w:val="0035237D"/>
    <w:rsid w:val="00362EB8"/>
    <w:rsid w:val="00364D85"/>
    <w:rsid w:val="00365412"/>
    <w:rsid w:val="00372B14"/>
    <w:rsid w:val="003833FB"/>
    <w:rsid w:val="003837A6"/>
    <w:rsid w:val="00391638"/>
    <w:rsid w:val="00397CD8"/>
    <w:rsid w:val="00397F54"/>
    <w:rsid w:val="003A05EC"/>
    <w:rsid w:val="003A2BAC"/>
    <w:rsid w:val="003A42F4"/>
    <w:rsid w:val="003A4904"/>
    <w:rsid w:val="003A4DD5"/>
    <w:rsid w:val="003A597C"/>
    <w:rsid w:val="003B0DB0"/>
    <w:rsid w:val="003B1A4B"/>
    <w:rsid w:val="003C67FD"/>
    <w:rsid w:val="003D4A57"/>
    <w:rsid w:val="003D5048"/>
    <w:rsid w:val="003D715D"/>
    <w:rsid w:val="003E0E94"/>
    <w:rsid w:val="003E2634"/>
    <w:rsid w:val="003E333A"/>
    <w:rsid w:val="003E3545"/>
    <w:rsid w:val="003F1EB8"/>
    <w:rsid w:val="003F44AC"/>
    <w:rsid w:val="003F4844"/>
    <w:rsid w:val="003F4880"/>
    <w:rsid w:val="003F51CF"/>
    <w:rsid w:val="003F7530"/>
    <w:rsid w:val="00400B5C"/>
    <w:rsid w:val="00406DF4"/>
    <w:rsid w:val="0040740C"/>
    <w:rsid w:val="004079DE"/>
    <w:rsid w:val="00413A2B"/>
    <w:rsid w:val="0041483E"/>
    <w:rsid w:val="00415B1A"/>
    <w:rsid w:val="004172B8"/>
    <w:rsid w:val="00417BBC"/>
    <w:rsid w:val="00420151"/>
    <w:rsid w:val="00423A54"/>
    <w:rsid w:val="00424A92"/>
    <w:rsid w:val="004308A8"/>
    <w:rsid w:val="004317F7"/>
    <w:rsid w:val="00435C69"/>
    <w:rsid w:val="00441D30"/>
    <w:rsid w:val="00447972"/>
    <w:rsid w:val="00451DF0"/>
    <w:rsid w:val="004535A2"/>
    <w:rsid w:val="0045416D"/>
    <w:rsid w:val="00457D1C"/>
    <w:rsid w:val="004603BD"/>
    <w:rsid w:val="004629B7"/>
    <w:rsid w:val="00463BF8"/>
    <w:rsid w:val="00465BC4"/>
    <w:rsid w:val="004677E5"/>
    <w:rsid w:val="004719C4"/>
    <w:rsid w:val="00473351"/>
    <w:rsid w:val="0047407C"/>
    <w:rsid w:val="00475F7D"/>
    <w:rsid w:val="004829D6"/>
    <w:rsid w:val="00483D93"/>
    <w:rsid w:val="00484B09"/>
    <w:rsid w:val="00486815"/>
    <w:rsid w:val="0049109A"/>
    <w:rsid w:val="0049214A"/>
    <w:rsid w:val="004A22C8"/>
    <w:rsid w:val="004A3D04"/>
    <w:rsid w:val="004A62F4"/>
    <w:rsid w:val="004A66B6"/>
    <w:rsid w:val="004A6984"/>
    <w:rsid w:val="004A6EE2"/>
    <w:rsid w:val="004B1662"/>
    <w:rsid w:val="004B17F3"/>
    <w:rsid w:val="004B69AE"/>
    <w:rsid w:val="004B7901"/>
    <w:rsid w:val="004C070C"/>
    <w:rsid w:val="004C0B58"/>
    <w:rsid w:val="004C1B77"/>
    <w:rsid w:val="004C2AE6"/>
    <w:rsid w:val="004D241F"/>
    <w:rsid w:val="004D44AF"/>
    <w:rsid w:val="004D4C9B"/>
    <w:rsid w:val="004E1D79"/>
    <w:rsid w:val="004E2A2C"/>
    <w:rsid w:val="004E44F4"/>
    <w:rsid w:val="004E6536"/>
    <w:rsid w:val="004E7041"/>
    <w:rsid w:val="004E7DFC"/>
    <w:rsid w:val="004F646B"/>
    <w:rsid w:val="004F73E5"/>
    <w:rsid w:val="00500B79"/>
    <w:rsid w:val="00501550"/>
    <w:rsid w:val="00501992"/>
    <w:rsid w:val="00503056"/>
    <w:rsid w:val="00510045"/>
    <w:rsid w:val="00511807"/>
    <w:rsid w:val="00511FA9"/>
    <w:rsid w:val="005152CF"/>
    <w:rsid w:val="00521DD9"/>
    <w:rsid w:val="00526FC5"/>
    <w:rsid w:val="00532D71"/>
    <w:rsid w:val="005356D7"/>
    <w:rsid w:val="00543D32"/>
    <w:rsid w:val="00544F0C"/>
    <w:rsid w:val="0054563D"/>
    <w:rsid w:val="00545D3C"/>
    <w:rsid w:val="00553AEB"/>
    <w:rsid w:val="005547C6"/>
    <w:rsid w:val="0056206C"/>
    <w:rsid w:val="00562A5A"/>
    <w:rsid w:val="005637DC"/>
    <w:rsid w:val="00563D99"/>
    <w:rsid w:val="00566A22"/>
    <w:rsid w:val="00566CF1"/>
    <w:rsid w:val="00567CA0"/>
    <w:rsid w:val="00575526"/>
    <w:rsid w:val="00577318"/>
    <w:rsid w:val="00577C6E"/>
    <w:rsid w:val="00586ED4"/>
    <w:rsid w:val="0059231F"/>
    <w:rsid w:val="0059283C"/>
    <w:rsid w:val="00593F41"/>
    <w:rsid w:val="00594E90"/>
    <w:rsid w:val="005961A7"/>
    <w:rsid w:val="005A19C2"/>
    <w:rsid w:val="005A284D"/>
    <w:rsid w:val="005A4C7E"/>
    <w:rsid w:val="005A6DBC"/>
    <w:rsid w:val="005B331B"/>
    <w:rsid w:val="005B3E5C"/>
    <w:rsid w:val="005B6B86"/>
    <w:rsid w:val="005C407E"/>
    <w:rsid w:val="005C5C98"/>
    <w:rsid w:val="005C64EE"/>
    <w:rsid w:val="005D3F48"/>
    <w:rsid w:val="005D4737"/>
    <w:rsid w:val="005F1B61"/>
    <w:rsid w:val="005F1BA0"/>
    <w:rsid w:val="005F2298"/>
    <w:rsid w:val="005F6550"/>
    <w:rsid w:val="00603277"/>
    <w:rsid w:val="0060598B"/>
    <w:rsid w:val="00606D17"/>
    <w:rsid w:val="00607937"/>
    <w:rsid w:val="00611649"/>
    <w:rsid w:val="00613568"/>
    <w:rsid w:val="00614222"/>
    <w:rsid w:val="00614F1F"/>
    <w:rsid w:val="00615CAC"/>
    <w:rsid w:val="00615F55"/>
    <w:rsid w:val="00623BD0"/>
    <w:rsid w:val="006309C5"/>
    <w:rsid w:val="006357DA"/>
    <w:rsid w:val="006416B6"/>
    <w:rsid w:val="00641FA9"/>
    <w:rsid w:val="00642405"/>
    <w:rsid w:val="0064320C"/>
    <w:rsid w:val="006453F7"/>
    <w:rsid w:val="00646111"/>
    <w:rsid w:val="00646494"/>
    <w:rsid w:val="006511C0"/>
    <w:rsid w:val="0065689A"/>
    <w:rsid w:val="006629C4"/>
    <w:rsid w:val="00665C0A"/>
    <w:rsid w:val="006672FD"/>
    <w:rsid w:val="00667D30"/>
    <w:rsid w:val="00670895"/>
    <w:rsid w:val="00674C43"/>
    <w:rsid w:val="00677B52"/>
    <w:rsid w:val="00677D88"/>
    <w:rsid w:val="00683224"/>
    <w:rsid w:val="006859F7"/>
    <w:rsid w:val="00685CF7"/>
    <w:rsid w:val="00687B8B"/>
    <w:rsid w:val="00690646"/>
    <w:rsid w:val="006917C6"/>
    <w:rsid w:val="00694B2A"/>
    <w:rsid w:val="00694BA7"/>
    <w:rsid w:val="006960C6"/>
    <w:rsid w:val="00697A2E"/>
    <w:rsid w:val="006A1716"/>
    <w:rsid w:val="006A3710"/>
    <w:rsid w:val="006A37D6"/>
    <w:rsid w:val="006A4AF8"/>
    <w:rsid w:val="006A5714"/>
    <w:rsid w:val="006A767A"/>
    <w:rsid w:val="006B3314"/>
    <w:rsid w:val="006B3CF6"/>
    <w:rsid w:val="006B450E"/>
    <w:rsid w:val="006B764D"/>
    <w:rsid w:val="006C0815"/>
    <w:rsid w:val="006C2ACB"/>
    <w:rsid w:val="006D20C5"/>
    <w:rsid w:val="006D3179"/>
    <w:rsid w:val="006D3E00"/>
    <w:rsid w:val="006D4759"/>
    <w:rsid w:val="006D5580"/>
    <w:rsid w:val="006E569F"/>
    <w:rsid w:val="006E6654"/>
    <w:rsid w:val="006E6802"/>
    <w:rsid w:val="006E6D5D"/>
    <w:rsid w:val="006F27E7"/>
    <w:rsid w:val="006F29E2"/>
    <w:rsid w:val="006F4807"/>
    <w:rsid w:val="006F5202"/>
    <w:rsid w:val="006F71C3"/>
    <w:rsid w:val="00700A8A"/>
    <w:rsid w:val="00700FB1"/>
    <w:rsid w:val="0070178C"/>
    <w:rsid w:val="007115BE"/>
    <w:rsid w:val="00711BAE"/>
    <w:rsid w:val="007133F8"/>
    <w:rsid w:val="00716257"/>
    <w:rsid w:val="007212A9"/>
    <w:rsid w:val="00721F9A"/>
    <w:rsid w:val="00727FF6"/>
    <w:rsid w:val="00731B26"/>
    <w:rsid w:val="00731F02"/>
    <w:rsid w:val="007320F8"/>
    <w:rsid w:val="0073422D"/>
    <w:rsid w:val="0073453E"/>
    <w:rsid w:val="007366D9"/>
    <w:rsid w:val="00736802"/>
    <w:rsid w:val="007528C2"/>
    <w:rsid w:val="0076595D"/>
    <w:rsid w:val="00766074"/>
    <w:rsid w:val="00775A93"/>
    <w:rsid w:val="0077658D"/>
    <w:rsid w:val="00777AEF"/>
    <w:rsid w:val="00782AB2"/>
    <w:rsid w:val="00785146"/>
    <w:rsid w:val="007856B5"/>
    <w:rsid w:val="00786590"/>
    <w:rsid w:val="00791135"/>
    <w:rsid w:val="007912E0"/>
    <w:rsid w:val="00791807"/>
    <w:rsid w:val="007A4CFE"/>
    <w:rsid w:val="007A6127"/>
    <w:rsid w:val="007A7029"/>
    <w:rsid w:val="007A7105"/>
    <w:rsid w:val="007B0422"/>
    <w:rsid w:val="007B068C"/>
    <w:rsid w:val="007B142D"/>
    <w:rsid w:val="007B390B"/>
    <w:rsid w:val="007B3AF6"/>
    <w:rsid w:val="007B4294"/>
    <w:rsid w:val="007B77D3"/>
    <w:rsid w:val="007C14AA"/>
    <w:rsid w:val="007C26AC"/>
    <w:rsid w:val="007C560A"/>
    <w:rsid w:val="007D295A"/>
    <w:rsid w:val="007D543C"/>
    <w:rsid w:val="007D5AE5"/>
    <w:rsid w:val="007D6389"/>
    <w:rsid w:val="007E2879"/>
    <w:rsid w:val="007E4AE3"/>
    <w:rsid w:val="007F08CC"/>
    <w:rsid w:val="007F186E"/>
    <w:rsid w:val="007F2CC1"/>
    <w:rsid w:val="007F40A0"/>
    <w:rsid w:val="007F48D4"/>
    <w:rsid w:val="008001E5"/>
    <w:rsid w:val="00802B14"/>
    <w:rsid w:val="00804E49"/>
    <w:rsid w:val="00805AD1"/>
    <w:rsid w:val="00805F1D"/>
    <w:rsid w:val="0080746E"/>
    <w:rsid w:val="00807AD7"/>
    <w:rsid w:val="00810BAE"/>
    <w:rsid w:val="00812AC8"/>
    <w:rsid w:val="00813CC3"/>
    <w:rsid w:val="00814057"/>
    <w:rsid w:val="008141BB"/>
    <w:rsid w:val="008148F4"/>
    <w:rsid w:val="0081674B"/>
    <w:rsid w:val="00820F8F"/>
    <w:rsid w:val="00822497"/>
    <w:rsid w:val="00822AAC"/>
    <w:rsid w:val="00823B23"/>
    <w:rsid w:val="0082794D"/>
    <w:rsid w:val="008310ED"/>
    <w:rsid w:val="00832191"/>
    <w:rsid w:val="0083259F"/>
    <w:rsid w:val="008331FF"/>
    <w:rsid w:val="0083591F"/>
    <w:rsid w:val="00837DD4"/>
    <w:rsid w:val="00841F00"/>
    <w:rsid w:val="00845200"/>
    <w:rsid w:val="0084727C"/>
    <w:rsid w:val="00851376"/>
    <w:rsid w:val="00854068"/>
    <w:rsid w:val="00861214"/>
    <w:rsid w:val="0086369F"/>
    <w:rsid w:val="0086417B"/>
    <w:rsid w:val="00864D76"/>
    <w:rsid w:val="00865ACA"/>
    <w:rsid w:val="008673F7"/>
    <w:rsid w:val="00873C35"/>
    <w:rsid w:val="00882B26"/>
    <w:rsid w:val="00882CCE"/>
    <w:rsid w:val="00883E8D"/>
    <w:rsid w:val="0088688C"/>
    <w:rsid w:val="00887AF3"/>
    <w:rsid w:val="008904E7"/>
    <w:rsid w:val="00890923"/>
    <w:rsid w:val="00891815"/>
    <w:rsid w:val="008926FA"/>
    <w:rsid w:val="0089369B"/>
    <w:rsid w:val="00894375"/>
    <w:rsid w:val="0089543E"/>
    <w:rsid w:val="00895DC9"/>
    <w:rsid w:val="00897771"/>
    <w:rsid w:val="008A0C72"/>
    <w:rsid w:val="008A4135"/>
    <w:rsid w:val="008A5565"/>
    <w:rsid w:val="008A66E7"/>
    <w:rsid w:val="008B32A6"/>
    <w:rsid w:val="008B68AF"/>
    <w:rsid w:val="008C237A"/>
    <w:rsid w:val="008C52F2"/>
    <w:rsid w:val="008C6A81"/>
    <w:rsid w:val="008D02F3"/>
    <w:rsid w:val="008D33BD"/>
    <w:rsid w:val="008D5052"/>
    <w:rsid w:val="008D6F0C"/>
    <w:rsid w:val="008E047C"/>
    <w:rsid w:val="008E0F30"/>
    <w:rsid w:val="008E2005"/>
    <w:rsid w:val="008E3119"/>
    <w:rsid w:val="008E4DEF"/>
    <w:rsid w:val="008E72C7"/>
    <w:rsid w:val="008E782F"/>
    <w:rsid w:val="008F062F"/>
    <w:rsid w:val="008F18E5"/>
    <w:rsid w:val="008F3F7B"/>
    <w:rsid w:val="008F6A9C"/>
    <w:rsid w:val="008F7E3B"/>
    <w:rsid w:val="00901A32"/>
    <w:rsid w:val="00903CA0"/>
    <w:rsid w:val="00910CC9"/>
    <w:rsid w:val="0091218E"/>
    <w:rsid w:val="0091434C"/>
    <w:rsid w:val="009151CC"/>
    <w:rsid w:val="009178AF"/>
    <w:rsid w:val="00920F0C"/>
    <w:rsid w:val="0092611D"/>
    <w:rsid w:val="00926762"/>
    <w:rsid w:val="00926856"/>
    <w:rsid w:val="009271FF"/>
    <w:rsid w:val="009314FD"/>
    <w:rsid w:val="009355FB"/>
    <w:rsid w:val="00936654"/>
    <w:rsid w:val="00940257"/>
    <w:rsid w:val="0094339C"/>
    <w:rsid w:val="009450CC"/>
    <w:rsid w:val="00946C0A"/>
    <w:rsid w:val="009472C8"/>
    <w:rsid w:val="009479FB"/>
    <w:rsid w:val="00950F66"/>
    <w:rsid w:val="0095154B"/>
    <w:rsid w:val="00952D50"/>
    <w:rsid w:val="00952E38"/>
    <w:rsid w:val="00954C39"/>
    <w:rsid w:val="00962A84"/>
    <w:rsid w:val="009679FE"/>
    <w:rsid w:val="00972433"/>
    <w:rsid w:val="00973CAE"/>
    <w:rsid w:val="00974CF5"/>
    <w:rsid w:val="00975160"/>
    <w:rsid w:val="00984313"/>
    <w:rsid w:val="00984CE1"/>
    <w:rsid w:val="0098629F"/>
    <w:rsid w:val="00987A77"/>
    <w:rsid w:val="0099227B"/>
    <w:rsid w:val="0099289D"/>
    <w:rsid w:val="009954CB"/>
    <w:rsid w:val="009A187B"/>
    <w:rsid w:val="009A21A2"/>
    <w:rsid w:val="009A4FA3"/>
    <w:rsid w:val="009B4E2A"/>
    <w:rsid w:val="009B54A0"/>
    <w:rsid w:val="009C4CD3"/>
    <w:rsid w:val="009C71D9"/>
    <w:rsid w:val="009C7F6C"/>
    <w:rsid w:val="009D084F"/>
    <w:rsid w:val="009D274E"/>
    <w:rsid w:val="009D2D53"/>
    <w:rsid w:val="009D361F"/>
    <w:rsid w:val="009E015E"/>
    <w:rsid w:val="009E09EC"/>
    <w:rsid w:val="009E62CC"/>
    <w:rsid w:val="00A001C4"/>
    <w:rsid w:val="00A044B5"/>
    <w:rsid w:val="00A1018F"/>
    <w:rsid w:val="00A10D8D"/>
    <w:rsid w:val="00A10E45"/>
    <w:rsid w:val="00A1430D"/>
    <w:rsid w:val="00A157AA"/>
    <w:rsid w:val="00A1590F"/>
    <w:rsid w:val="00A15EEC"/>
    <w:rsid w:val="00A1707B"/>
    <w:rsid w:val="00A23E08"/>
    <w:rsid w:val="00A25065"/>
    <w:rsid w:val="00A256A1"/>
    <w:rsid w:val="00A26629"/>
    <w:rsid w:val="00A267FA"/>
    <w:rsid w:val="00A269C0"/>
    <w:rsid w:val="00A31B5F"/>
    <w:rsid w:val="00A359A7"/>
    <w:rsid w:val="00A46FA3"/>
    <w:rsid w:val="00A53528"/>
    <w:rsid w:val="00A53900"/>
    <w:rsid w:val="00A567AB"/>
    <w:rsid w:val="00A571F3"/>
    <w:rsid w:val="00A64A19"/>
    <w:rsid w:val="00A65C52"/>
    <w:rsid w:val="00A6724D"/>
    <w:rsid w:val="00A706F6"/>
    <w:rsid w:val="00A709F3"/>
    <w:rsid w:val="00A72403"/>
    <w:rsid w:val="00A734D6"/>
    <w:rsid w:val="00A73D86"/>
    <w:rsid w:val="00A7519A"/>
    <w:rsid w:val="00A76351"/>
    <w:rsid w:val="00A76714"/>
    <w:rsid w:val="00A80E1B"/>
    <w:rsid w:val="00A85684"/>
    <w:rsid w:val="00A90ACA"/>
    <w:rsid w:val="00A94909"/>
    <w:rsid w:val="00A94F44"/>
    <w:rsid w:val="00AA1406"/>
    <w:rsid w:val="00AA31FB"/>
    <w:rsid w:val="00AA7BFC"/>
    <w:rsid w:val="00AB4CFB"/>
    <w:rsid w:val="00AC4753"/>
    <w:rsid w:val="00AC5D23"/>
    <w:rsid w:val="00AC71FF"/>
    <w:rsid w:val="00AD06BE"/>
    <w:rsid w:val="00AD10C4"/>
    <w:rsid w:val="00AD2A61"/>
    <w:rsid w:val="00AD45A5"/>
    <w:rsid w:val="00AE551A"/>
    <w:rsid w:val="00AF1EB7"/>
    <w:rsid w:val="00AF2BFD"/>
    <w:rsid w:val="00AF2D1E"/>
    <w:rsid w:val="00AF3C91"/>
    <w:rsid w:val="00AF4ED6"/>
    <w:rsid w:val="00AF4F13"/>
    <w:rsid w:val="00B01B51"/>
    <w:rsid w:val="00B01D05"/>
    <w:rsid w:val="00B05B8A"/>
    <w:rsid w:val="00B12DCB"/>
    <w:rsid w:val="00B14A80"/>
    <w:rsid w:val="00B160ED"/>
    <w:rsid w:val="00B21A21"/>
    <w:rsid w:val="00B302E5"/>
    <w:rsid w:val="00B379B2"/>
    <w:rsid w:val="00B4213D"/>
    <w:rsid w:val="00B42956"/>
    <w:rsid w:val="00B42E26"/>
    <w:rsid w:val="00B44311"/>
    <w:rsid w:val="00B44F6F"/>
    <w:rsid w:val="00B52F65"/>
    <w:rsid w:val="00B530FD"/>
    <w:rsid w:val="00B559AA"/>
    <w:rsid w:val="00B610EB"/>
    <w:rsid w:val="00B6528E"/>
    <w:rsid w:val="00B65A3A"/>
    <w:rsid w:val="00B65FA1"/>
    <w:rsid w:val="00B66E58"/>
    <w:rsid w:val="00B720BD"/>
    <w:rsid w:val="00B73894"/>
    <w:rsid w:val="00B8089C"/>
    <w:rsid w:val="00B8388D"/>
    <w:rsid w:val="00B84B6A"/>
    <w:rsid w:val="00B86E90"/>
    <w:rsid w:val="00B87DBE"/>
    <w:rsid w:val="00B9438A"/>
    <w:rsid w:val="00B958B3"/>
    <w:rsid w:val="00BA0F80"/>
    <w:rsid w:val="00BA36C1"/>
    <w:rsid w:val="00BA4A41"/>
    <w:rsid w:val="00BA4DC1"/>
    <w:rsid w:val="00BA629D"/>
    <w:rsid w:val="00BA685C"/>
    <w:rsid w:val="00BB5292"/>
    <w:rsid w:val="00BB6F7A"/>
    <w:rsid w:val="00BC300C"/>
    <w:rsid w:val="00BC54E4"/>
    <w:rsid w:val="00BC5A8B"/>
    <w:rsid w:val="00BC5B2C"/>
    <w:rsid w:val="00BC7D43"/>
    <w:rsid w:val="00BD68D3"/>
    <w:rsid w:val="00BD6A6D"/>
    <w:rsid w:val="00BE3175"/>
    <w:rsid w:val="00BE4041"/>
    <w:rsid w:val="00BE7BD8"/>
    <w:rsid w:val="00BF13C2"/>
    <w:rsid w:val="00BF23C4"/>
    <w:rsid w:val="00BF33A8"/>
    <w:rsid w:val="00BF3703"/>
    <w:rsid w:val="00BF75C4"/>
    <w:rsid w:val="00C00484"/>
    <w:rsid w:val="00C004D0"/>
    <w:rsid w:val="00C01F43"/>
    <w:rsid w:val="00C0712A"/>
    <w:rsid w:val="00C07166"/>
    <w:rsid w:val="00C12096"/>
    <w:rsid w:val="00C141A9"/>
    <w:rsid w:val="00C158A5"/>
    <w:rsid w:val="00C20A2A"/>
    <w:rsid w:val="00C22045"/>
    <w:rsid w:val="00C23EC2"/>
    <w:rsid w:val="00C258C5"/>
    <w:rsid w:val="00C3459A"/>
    <w:rsid w:val="00C34ADB"/>
    <w:rsid w:val="00C35C7E"/>
    <w:rsid w:val="00C417D8"/>
    <w:rsid w:val="00C50C5C"/>
    <w:rsid w:val="00C50CDA"/>
    <w:rsid w:val="00C5249B"/>
    <w:rsid w:val="00C616A6"/>
    <w:rsid w:val="00C635CD"/>
    <w:rsid w:val="00C64F28"/>
    <w:rsid w:val="00C65EDA"/>
    <w:rsid w:val="00C6631C"/>
    <w:rsid w:val="00C71B5C"/>
    <w:rsid w:val="00C82B81"/>
    <w:rsid w:val="00C83423"/>
    <w:rsid w:val="00C8566B"/>
    <w:rsid w:val="00C870BA"/>
    <w:rsid w:val="00C87E9D"/>
    <w:rsid w:val="00C9264C"/>
    <w:rsid w:val="00C926BE"/>
    <w:rsid w:val="00C948CC"/>
    <w:rsid w:val="00C94C4B"/>
    <w:rsid w:val="00C95C1A"/>
    <w:rsid w:val="00C97AB9"/>
    <w:rsid w:val="00CA021D"/>
    <w:rsid w:val="00CA0E73"/>
    <w:rsid w:val="00CA57EB"/>
    <w:rsid w:val="00CA6231"/>
    <w:rsid w:val="00CA6832"/>
    <w:rsid w:val="00CA705B"/>
    <w:rsid w:val="00CB0190"/>
    <w:rsid w:val="00CB0BD5"/>
    <w:rsid w:val="00CB2035"/>
    <w:rsid w:val="00CB7275"/>
    <w:rsid w:val="00CC0863"/>
    <w:rsid w:val="00CC1C0B"/>
    <w:rsid w:val="00CC1D7D"/>
    <w:rsid w:val="00CD75C5"/>
    <w:rsid w:val="00CE436B"/>
    <w:rsid w:val="00CE4DD0"/>
    <w:rsid w:val="00CE7CA5"/>
    <w:rsid w:val="00CF1DA3"/>
    <w:rsid w:val="00CF1F9F"/>
    <w:rsid w:val="00CF439F"/>
    <w:rsid w:val="00D015D0"/>
    <w:rsid w:val="00D03BB2"/>
    <w:rsid w:val="00D107F1"/>
    <w:rsid w:val="00D12276"/>
    <w:rsid w:val="00D124EB"/>
    <w:rsid w:val="00D25518"/>
    <w:rsid w:val="00D30944"/>
    <w:rsid w:val="00D30B26"/>
    <w:rsid w:val="00D3334C"/>
    <w:rsid w:val="00D33FB3"/>
    <w:rsid w:val="00D40CF0"/>
    <w:rsid w:val="00D41CB6"/>
    <w:rsid w:val="00D43A89"/>
    <w:rsid w:val="00D45B76"/>
    <w:rsid w:val="00D45F25"/>
    <w:rsid w:val="00D50ABF"/>
    <w:rsid w:val="00D53D56"/>
    <w:rsid w:val="00D55AE1"/>
    <w:rsid w:val="00D56048"/>
    <w:rsid w:val="00D57EC3"/>
    <w:rsid w:val="00D60C2A"/>
    <w:rsid w:val="00D632C5"/>
    <w:rsid w:val="00D6368F"/>
    <w:rsid w:val="00D653FD"/>
    <w:rsid w:val="00D66B1F"/>
    <w:rsid w:val="00D676C0"/>
    <w:rsid w:val="00D730F0"/>
    <w:rsid w:val="00D73CE2"/>
    <w:rsid w:val="00D750C9"/>
    <w:rsid w:val="00D75E84"/>
    <w:rsid w:val="00D812AD"/>
    <w:rsid w:val="00D81FCA"/>
    <w:rsid w:val="00D83A49"/>
    <w:rsid w:val="00D8459E"/>
    <w:rsid w:val="00D86024"/>
    <w:rsid w:val="00D86668"/>
    <w:rsid w:val="00D87DDD"/>
    <w:rsid w:val="00D907E6"/>
    <w:rsid w:val="00D90FA2"/>
    <w:rsid w:val="00D91BA9"/>
    <w:rsid w:val="00D93FD7"/>
    <w:rsid w:val="00D9444E"/>
    <w:rsid w:val="00D971A3"/>
    <w:rsid w:val="00DA3795"/>
    <w:rsid w:val="00DA569A"/>
    <w:rsid w:val="00DB1434"/>
    <w:rsid w:val="00DB1705"/>
    <w:rsid w:val="00DB184A"/>
    <w:rsid w:val="00DB2B65"/>
    <w:rsid w:val="00DB3016"/>
    <w:rsid w:val="00DB56AA"/>
    <w:rsid w:val="00DB5F23"/>
    <w:rsid w:val="00DB6309"/>
    <w:rsid w:val="00DC04C5"/>
    <w:rsid w:val="00DC19F4"/>
    <w:rsid w:val="00DC50F5"/>
    <w:rsid w:val="00DC6D4F"/>
    <w:rsid w:val="00DC7ADF"/>
    <w:rsid w:val="00DD02C2"/>
    <w:rsid w:val="00DD1844"/>
    <w:rsid w:val="00DD2181"/>
    <w:rsid w:val="00DD4AB6"/>
    <w:rsid w:val="00DE0CA9"/>
    <w:rsid w:val="00DE1752"/>
    <w:rsid w:val="00DF05A6"/>
    <w:rsid w:val="00E04020"/>
    <w:rsid w:val="00E05A23"/>
    <w:rsid w:val="00E062C7"/>
    <w:rsid w:val="00E06BA8"/>
    <w:rsid w:val="00E12E79"/>
    <w:rsid w:val="00E17410"/>
    <w:rsid w:val="00E2159F"/>
    <w:rsid w:val="00E249A4"/>
    <w:rsid w:val="00E275EF"/>
    <w:rsid w:val="00E27AA1"/>
    <w:rsid w:val="00E30BFC"/>
    <w:rsid w:val="00E30D7C"/>
    <w:rsid w:val="00E30EE1"/>
    <w:rsid w:val="00E310BE"/>
    <w:rsid w:val="00E37730"/>
    <w:rsid w:val="00E44A9D"/>
    <w:rsid w:val="00E45012"/>
    <w:rsid w:val="00E46092"/>
    <w:rsid w:val="00E523E3"/>
    <w:rsid w:val="00E56741"/>
    <w:rsid w:val="00E56A22"/>
    <w:rsid w:val="00E6143F"/>
    <w:rsid w:val="00E651E1"/>
    <w:rsid w:val="00E6570A"/>
    <w:rsid w:val="00E66563"/>
    <w:rsid w:val="00E677AC"/>
    <w:rsid w:val="00E67DCE"/>
    <w:rsid w:val="00E70DD9"/>
    <w:rsid w:val="00E70F0F"/>
    <w:rsid w:val="00E72AE7"/>
    <w:rsid w:val="00E770D5"/>
    <w:rsid w:val="00E80050"/>
    <w:rsid w:val="00E801AD"/>
    <w:rsid w:val="00E804A5"/>
    <w:rsid w:val="00E81D7C"/>
    <w:rsid w:val="00E83D81"/>
    <w:rsid w:val="00E8624D"/>
    <w:rsid w:val="00E87065"/>
    <w:rsid w:val="00E87E9F"/>
    <w:rsid w:val="00E90864"/>
    <w:rsid w:val="00E90C03"/>
    <w:rsid w:val="00E91CFF"/>
    <w:rsid w:val="00E94024"/>
    <w:rsid w:val="00E94132"/>
    <w:rsid w:val="00E97B5E"/>
    <w:rsid w:val="00EB1762"/>
    <w:rsid w:val="00EB201B"/>
    <w:rsid w:val="00EB4390"/>
    <w:rsid w:val="00EB54D0"/>
    <w:rsid w:val="00EB5DBE"/>
    <w:rsid w:val="00EC1D5F"/>
    <w:rsid w:val="00EC666F"/>
    <w:rsid w:val="00ED120B"/>
    <w:rsid w:val="00ED2A94"/>
    <w:rsid w:val="00ED3348"/>
    <w:rsid w:val="00ED3B89"/>
    <w:rsid w:val="00ED5996"/>
    <w:rsid w:val="00ED5E6B"/>
    <w:rsid w:val="00EE2ACE"/>
    <w:rsid w:val="00EE569C"/>
    <w:rsid w:val="00EE7840"/>
    <w:rsid w:val="00EF0788"/>
    <w:rsid w:val="00EF21E7"/>
    <w:rsid w:val="00F00D8C"/>
    <w:rsid w:val="00F011FA"/>
    <w:rsid w:val="00F02AFA"/>
    <w:rsid w:val="00F10AC4"/>
    <w:rsid w:val="00F14EEF"/>
    <w:rsid w:val="00F15073"/>
    <w:rsid w:val="00F16104"/>
    <w:rsid w:val="00F1618B"/>
    <w:rsid w:val="00F21E5E"/>
    <w:rsid w:val="00F22614"/>
    <w:rsid w:val="00F22F03"/>
    <w:rsid w:val="00F25517"/>
    <w:rsid w:val="00F2572A"/>
    <w:rsid w:val="00F26293"/>
    <w:rsid w:val="00F2792D"/>
    <w:rsid w:val="00F363B6"/>
    <w:rsid w:val="00F43C31"/>
    <w:rsid w:val="00F441D6"/>
    <w:rsid w:val="00F44221"/>
    <w:rsid w:val="00F472C0"/>
    <w:rsid w:val="00F50D0C"/>
    <w:rsid w:val="00F51E58"/>
    <w:rsid w:val="00F533E4"/>
    <w:rsid w:val="00F546E6"/>
    <w:rsid w:val="00F55C88"/>
    <w:rsid w:val="00F55F19"/>
    <w:rsid w:val="00F71EC7"/>
    <w:rsid w:val="00F7671D"/>
    <w:rsid w:val="00F82A93"/>
    <w:rsid w:val="00F83AF2"/>
    <w:rsid w:val="00F84EA6"/>
    <w:rsid w:val="00F87F0B"/>
    <w:rsid w:val="00F90B18"/>
    <w:rsid w:val="00F90D4B"/>
    <w:rsid w:val="00F919BD"/>
    <w:rsid w:val="00F95497"/>
    <w:rsid w:val="00FA01A4"/>
    <w:rsid w:val="00FA05CA"/>
    <w:rsid w:val="00FB149E"/>
    <w:rsid w:val="00FB24E3"/>
    <w:rsid w:val="00FB4AE9"/>
    <w:rsid w:val="00FC12A1"/>
    <w:rsid w:val="00FC554D"/>
    <w:rsid w:val="00FC5E15"/>
    <w:rsid w:val="00FC5E33"/>
    <w:rsid w:val="00FC6BF3"/>
    <w:rsid w:val="00FD0DAE"/>
    <w:rsid w:val="00FD22D2"/>
    <w:rsid w:val="00FD2EE5"/>
    <w:rsid w:val="00FD35F6"/>
    <w:rsid w:val="00FD466F"/>
    <w:rsid w:val="00FD4C16"/>
    <w:rsid w:val="00FD573C"/>
    <w:rsid w:val="00FD7B83"/>
    <w:rsid w:val="00FE0412"/>
    <w:rsid w:val="00FE0569"/>
    <w:rsid w:val="00FE1341"/>
    <w:rsid w:val="00FE26E6"/>
    <w:rsid w:val="00FE302C"/>
    <w:rsid w:val="00FE3472"/>
    <w:rsid w:val="00FE69C2"/>
    <w:rsid w:val="00FF3586"/>
    <w:rsid w:val="00FF65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E1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C"/>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autoRedefine/>
    <w:qFormat/>
    <w:rsid w:val="001A0D03"/>
    <w:pPr>
      <w:keepNext/>
      <w:numPr>
        <w:numId w:val="16"/>
      </w:numPr>
      <w:spacing w:after="24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qFormat/>
    <w:rsid w:val="00DD02C2"/>
    <w:pPr>
      <w:spacing w:after="240"/>
      <w:ind w:left="1440" w:hanging="72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1A0D03"/>
    <w:rPr>
      <w:b/>
      <w:sz w:val="24"/>
    </w:rPr>
  </w:style>
  <w:style w:type="character" w:customStyle="1" w:styleId="UnresolvedMention3">
    <w:name w:val="Unresolved Mention3"/>
    <w:basedOn w:val="DefaultParagraphFont"/>
    <w:rsid w:val="00D60C2A"/>
    <w:rPr>
      <w:color w:val="605E5C"/>
      <w:shd w:val="clear" w:color="auto" w:fill="E1DFDD"/>
    </w:rPr>
  </w:style>
  <w:style w:type="paragraph" w:styleId="TOC3">
    <w:name w:val="toc 3"/>
    <w:basedOn w:val="Normal"/>
    <w:next w:val="Normal"/>
    <w:autoRedefine/>
    <w:semiHidden/>
    <w:unhideWhenUsed/>
    <w:qFormat/>
    <w:rsid w:val="00DD02C2"/>
    <w:pPr>
      <w:spacing w:after="240"/>
      <w:ind w:left="2160" w:hanging="720"/>
    </w:pPr>
  </w:style>
  <w:style w:type="character" w:customStyle="1" w:styleId="CommentTextChar">
    <w:name w:val="Comment Text Char"/>
    <w:basedOn w:val="DefaultParagraphFont"/>
    <w:link w:val="CommentText"/>
    <w:semiHidden/>
    <w:rsid w:val="00DE0CA9"/>
    <w:rPr>
      <w:sz w:val="24"/>
      <w:szCs w:val="24"/>
    </w:rPr>
  </w:style>
  <w:style w:type="character" w:customStyle="1" w:styleId="BodyTextIndent3Char">
    <w:name w:val="Body Text Indent 3 Char"/>
    <w:basedOn w:val="DefaultParagraphFont"/>
    <w:link w:val="BodyTextIndent3"/>
    <w:rsid w:val="004C1B77"/>
    <w:rPr>
      <w:sz w:val="24"/>
    </w:rPr>
  </w:style>
  <w:style w:type="character" w:customStyle="1" w:styleId="UnresolvedMention4">
    <w:name w:val="Unresolved Mention4"/>
    <w:basedOn w:val="DefaultParagraphFont"/>
    <w:rsid w:val="00E249A4"/>
    <w:rPr>
      <w:color w:val="605E5C"/>
      <w:shd w:val="clear" w:color="auto" w:fill="E1DFDD"/>
    </w:rPr>
  </w:style>
  <w:style w:type="paragraph" w:styleId="Revision">
    <w:name w:val="Revision"/>
    <w:hidden/>
    <w:uiPriority w:val="99"/>
    <w:semiHidden/>
    <w:rsid w:val="00674C43"/>
    <w:rPr>
      <w:sz w:val="24"/>
    </w:rPr>
  </w:style>
  <w:style w:type="character" w:customStyle="1" w:styleId="BodyTextChar">
    <w:name w:val="Body Text Char"/>
    <w:basedOn w:val="DefaultParagraphFont"/>
    <w:link w:val="BodyText"/>
    <w:rsid w:val="00D30944"/>
    <w:rPr>
      <w:sz w:val="24"/>
    </w:rPr>
  </w:style>
  <w:style w:type="character" w:customStyle="1" w:styleId="UnresolvedMention5">
    <w:name w:val="Unresolved Mention5"/>
    <w:basedOn w:val="DefaultParagraphFont"/>
    <w:rsid w:val="0060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hitt@whitt-sturtevant.com" TargetMode="External" /><Relationship Id="rId11" Type="http://schemas.openxmlformats.org/officeDocument/2006/relationships/hyperlink" Target="mailto:elmer@whitt-sturtevant.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rhiannon.howard@ohioAGO.gov" TargetMode="External" /><Relationship Id="rId8" Type="http://schemas.openxmlformats.org/officeDocument/2006/relationships/hyperlink" Target="mailto:jesse.davis@puco.ohio.gov" TargetMode="External" /><Relationship Id="rId9" Type="http://schemas.openxmlformats.org/officeDocument/2006/relationships/hyperlink" Target="mailto:btrombino@uer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669E-EA4C-48E8-96B0-A811F4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2023-11-27T20:26:20Z</dcterms:created>
  <dcterms:modified xsi:type="dcterms:W3CDTF">2023-11-27T20:26:20Z</dcterms:modified>
</cp:coreProperties>
</file>