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55C1A" w:rsidRPr="00371683" w:rsidP="00355C1A" w14:paraId="3AB9C343" w14:textId="77777777">
      <w:pPr>
        <w:pStyle w:val="HTMLPreformatted"/>
        <w:jc w:val="center"/>
        <w:rPr>
          <w:rFonts w:ascii="Times New Roman" w:hAnsi="Times New Roman" w:cs="Times New Roman"/>
          <w:b/>
          <w:bCs/>
          <w:sz w:val="24"/>
          <w:szCs w:val="24"/>
        </w:rPr>
      </w:pPr>
      <w:r w:rsidRPr="00371683">
        <w:rPr>
          <w:rFonts w:ascii="Times New Roman" w:hAnsi="Times New Roman" w:cs="Times New Roman"/>
          <w:b/>
          <w:bCs/>
          <w:sz w:val="24"/>
          <w:szCs w:val="24"/>
        </w:rPr>
        <w:t>BEFORE</w:t>
      </w:r>
    </w:p>
    <w:p w:rsidR="00355C1A" w:rsidRPr="00371683" w:rsidP="00355C1A" w14:paraId="0384C7C5" w14:textId="77777777">
      <w:pPr>
        <w:pStyle w:val="HTMLPreformatted"/>
        <w:jc w:val="center"/>
        <w:rPr>
          <w:rFonts w:ascii="Times New Roman" w:hAnsi="Times New Roman" w:cs="Times New Roman"/>
          <w:sz w:val="24"/>
          <w:szCs w:val="24"/>
        </w:rPr>
      </w:pPr>
      <w:r w:rsidRPr="00371683">
        <w:rPr>
          <w:rFonts w:ascii="Times New Roman" w:hAnsi="Times New Roman" w:cs="Times New Roman"/>
          <w:b/>
          <w:bCs/>
          <w:sz w:val="24"/>
          <w:szCs w:val="24"/>
        </w:rPr>
        <w:t>THE PUBLIC UTILITIES COMMISSION OF OHIO</w:t>
      </w:r>
    </w:p>
    <w:p w:rsidR="00355C1A" w:rsidRPr="00371683" w:rsidP="00355C1A" w14:paraId="17F08FA9" w14:textId="77777777">
      <w:pPr>
        <w:pStyle w:val="HTMLPreformatted"/>
        <w:rPr>
          <w:rFonts w:ascii="Times New Roman" w:hAnsi="Times New Roman" w:cs="Times New Roman"/>
          <w:sz w:val="24"/>
          <w:szCs w:val="24"/>
        </w:rPr>
      </w:pPr>
    </w:p>
    <w:tbl>
      <w:tblPr>
        <w:tblW w:w="8730" w:type="dxa"/>
        <w:tblLook w:val="01E0"/>
      </w:tblPr>
      <w:tblGrid>
        <w:gridCol w:w="4332"/>
        <w:gridCol w:w="360"/>
        <w:gridCol w:w="4038"/>
      </w:tblGrid>
      <w:tr w14:paraId="4706191D" w14:textId="77777777" w:rsidTr="00DB0B16">
        <w:tblPrEx>
          <w:tblW w:w="8730" w:type="dxa"/>
          <w:tblLook w:val="01E0"/>
        </w:tblPrEx>
        <w:trPr>
          <w:trHeight w:val="807"/>
        </w:trPr>
        <w:tc>
          <w:tcPr>
            <w:tcW w:w="4332" w:type="dxa"/>
            <w:shd w:val="clear" w:color="auto" w:fill="auto"/>
          </w:tcPr>
          <w:p w:rsidR="00355C1A" w:rsidRPr="00371683" w:rsidP="00DB0B16" w14:paraId="02C3F7A0"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355C1A" w:rsidRPr="00371683" w:rsidP="00DB0B16" w14:paraId="32FF7591"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355C1A" w:rsidRPr="00371683" w:rsidP="00DB0B16" w14:paraId="0D4DF740"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355C1A" w:rsidRPr="00371683" w:rsidP="00DB0B16" w14:paraId="031305E1"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355C1A" w:rsidRPr="00371683" w:rsidP="00DB0B16" w14:paraId="0BD541FD"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355C1A" w:rsidRPr="00371683" w:rsidP="00DB0B16" w14:paraId="0F5131B3"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355C1A" w:rsidRPr="00371683" w:rsidP="00DB0B16" w14:paraId="38EC5FA2"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tc>
        <w:tc>
          <w:tcPr>
            <w:tcW w:w="4038" w:type="dxa"/>
            <w:shd w:val="clear" w:color="auto" w:fill="auto"/>
          </w:tcPr>
          <w:p w:rsidR="00355C1A" w:rsidRPr="00371683" w:rsidP="00DB0B16" w14:paraId="5F1D9C9C" w14:textId="77777777">
            <w:pPr>
              <w:pStyle w:val="HTMLPreformatted"/>
              <w:rPr>
                <w:rFonts w:ascii="Times New Roman" w:hAnsi="Times New Roman" w:cs="Times New Roman"/>
                <w:sz w:val="24"/>
                <w:szCs w:val="24"/>
              </w:rPr>
            </w:pPr>
          </w:p>
          <w:p w:rsidR="00355C1A" w:rsidRPr="00371683" w:rsidP="00DB0B16" w14:paraId="40C04FFE" w14:textId="77777777">
            <w:pPr>
              <w:pStyle w:val="HTMLPreformatted"/>
              <w:rPr>
                <w:rFonts w:ascii="Times New Roman" w:hAnsi="Times New Roman" w:cs="Times New Roman"/>
                <w:sz w:val="24"/>
                <w:szCs w:val="24"/>
              </w:rPr>
            </w:pPr>
          </w:p>
          <w:p w:rsidR="00355C1A" w:rsidRPr="00371683" w:rsidP="00DB0B16" w14:paraId="0E0DEB3C" w14:textId="376F37E6">
            <w:pPr>
              <w:pStyle w:val="HTMLPreformatted"/>
              <w:rPr>
                <w:rFonts w:ascii="Times New Roman" w:hAnsi="Times New Roman" w:cs="Times New Roman"/>
                <w:sz w:val="24"/>
                <w:szCs w:val="24"/>
              </w:rPr>
            </w:pPr>
            <w:r w:rsidRPr="00371683">
              <w:rPr>
                <w:rFonts w:ascii="Times New Roman" w:hAnsi="Times New Roman" w:cs="Times New Roman"/>
                <w:sz w:val="24"/>
                <w:szCs w:val="24"/>
              </w:rPr>
              <w:t>Case No. 22-556-EL-USF</w:t>
            </w:r>
          </w:p>
        </w:tc>
      </w:tr>
    </w:tbl>
    <w:p w:rsidR="00355C1A" w:rsidRPr="00371683" w:rsidP="00355C1A" w14:paraId="4FFE4FD7" w14:textId="77777777">
      <w:pPr>
        <w:pStyle w:val="HTMLPreformatted"/>
        <w:rPr>
          <w:rFonts w:ascii="Times New Roman" w:hAnsi="Times New Roman" w:cs="Times New Roman"/>
          <w:sz w:val="24"/>
          <w:szCs w:val="24"/>
        </w:rPr>
      </w:pPr>
    </w:p>
    <w:p w:rsidR="00355C1A" w:rsidRPr="00371683" w:rsidP="00355C1A" w14:paraId="6A49D0EE" w14:textId="77777777">
      <w:pPr>
        <w:pStyle w:val="HTMLPreformatted"/>
        <w:pBdr>
          <w:top w:val="single" w:sz="12" w:space="1" w:color="auto"/>
        </w:pBdr>
        <w:rPr>
          <w:rFonts w:ascii="Times New Roman" w:hAnsi="Times New Roman" w:cs="Times New Roman"/>
          <w:sz w:val="24"/>
          <w:szCs w:val="24"/>
        </w:rPr>
      </w:pPr>
    </w:p>
    <w:p w:rsidR="00355C1A" w:rsidRPr="00371683" w:rsidP="00355C1A" w14:paraId="2CE134E5" w14:textId="77777777">
      <w:pPr>
        <w:spacing w:after="0" w:line="240" w:lineRule="auto"/>
        <w:jc w:val="center"/>
        <w:rPr>
          <w:rFonts w:ascii="Times New Roman" w:hAnsi="Times New Roman" w:cs="Times New Roman"/>
          <w:b/>
          <w:bCs/>
          <w:sz w:val="24"/>
          <w:szCs w:val="24"/>
        </w:rPr>
      </w:pPr>
      <w:r w:rsidRPr="00371683">
        <w:rPr>
          <w:rFonts w:ascii="Times New Roman" w:hAnsi="Times New Roman" w:cs="Times New Roman"/>
          <w:b/>
          <w:bCs/>
          <w:sz w:val="24"/>
          <w:szCs w:val="24"/>
        </w:rPr>
        <w:t>CONSUMER PROTECTION COMMENTS</w:t>
      </w:r>
    </w:p>
    <w:p w:rsidR="00355C1A" w:rsidRPr="00371683" w:rsidP="00355C1A" w14:paraId="56B70763" w14:textId="77777777">
      <w:pPr>
        <w:spacing w:after="0" w:line="240" w:lineRule="auto"/>
        <w:jc w:val="center"/>
        <w:rPr>
          <w:rFonts w:ascii="Times New Roman" w:hAnsi="Times New Roman" w:cs="Times New Roman"/>
          <w:b/>
          <w:bCs/>
          <w:sz w:val="24"/>
          <w:szCs w:val="24"/>
        </w:rPr>
      </w:pPr>
      <w:r w:rsidRPr="00371683">
        <w:rPr>
          <w:rFonts w:ascii="Times New Roman" w:hAnsi="Times New Roman" w:cs="Times New Roman"/>
          <w:b/>
          <w:bCs/>
          <w:sz w:val="24"/>
          <w:szCs w:val="24"/>
        </w:rPr>
        <w:t>BY</w:t>
      </w:r>
    </w:p>
    <w:p w:rsidR="00355C1A" w:rsidRPr="00371683" w:rsidP="00355C1A" w14:paraId="46A344C5" w14:textId="77777777">
      <w:pPr>
        <w:spacing w:after="0" w:line="240" w:lineRule="auto"/>
        <w:jc w:val="center"/>
        <w:rPr>
          <w:rFonts w:ascii="Times New Roman" w:hAnsi="Times New Roman" w:cs="Times New Roman"/>
          <w:b/>
          <w:bCs/>
          <w:sz w:val="24"/>
          <w:szCs w:val="24"/>
        </w:rPr>
      </w:pPr>
      <w:r w:rsidRPr="00371683">
        <w:rPr>
          <w:rFonts w:ascii="Times New Roman" w:hAnsi="Times New Roman" w:cs="Times New Roman"/>
          <w:b/>
          <w:bCs/>
          <w:sz w:val="24"/>
          <w:szCs w:val="24"/>
        </w:rPr>
        <w:t>OFFICE OF THE OHIO CONSUMERS’ COUNSEL</w:t>
      </w:r>
    </w:p>
    <w:p w:rsidR="00355C1A" w:rsidRPr="00371683" w:rsidP="00AC5CA1" w14:paraId="00921150" w14:textId="77777777">
      <w:pPr>
        <w:pBdr>
          <w:bottom w:val="single" w:sz="12" w:space="1" w:color="auto"/>
        </w:pBdr>
        <w:tabs>
          <w:tab w:val="left" w:pos="4320"/>
        </w:tabs>
        <w:spacing w:after="0" w:line="240" w:lineRule="auto"/>
        <w:rPr>
          <w:rFonts w:ascii="Times New Roman" w:hAnsi="Times New Roman" w:cs="Times New Roman"/>
          <w:sz w:val="24"/>
          <w:szCs w:val="24"/>
        </w:rPr>
      </w:pPr>
    </w:p>
    <w:p w:rsidR="00AC5CA1" w:rsidRPr="00371683" w:rsidP="00AC5CA1" w14:paraId="5971BE17" w14:textId="77777777">
      <w:pPr>
        <w:pStyle w:val="BodyTextIndent3"/>
        <w:widowControl w:val="0"/>
        <w:spacing w:line="240" w:lineRule="auto"/>
        <w:ind w:left="3600" w:right="-672" w:firstLine="0"/>
        <w:rPr>
          <w:szCs w:val="24"/>
        </w:rPr>
      </w:pPr>
    </w:p>
    <w:p w:rsidR="00AC5CA1" w:rsidRPr="00371683" w:rsidP="00AC5CA1" w14:paraId="5182D256" w14:textId="77777777">
      <w:pPr>
        <w:pStyle w:val="BodyTextIndent3"/>
        <w:widowControl w:val="0"/>
        <w:spacing w:line="240" w:lineRule="auto"/>
        <w:ind w:left="3600" w:right="-672" w:firstLine="0"/>
        <w:rPr>
          <w:szCs w:val="24"/>
        </w:rPr>
      </w:pPr>
    </w:p>
    <w:p w:rsidR="00AC5CA1" w:rsidRPr="00371683" w:rsidP="00AC5CA1" w14:paraId="7D577F2C" w14:textId="77777777">
      <w:pPr>
        <w:pStyle w:val="Footer"/>
        <w:tabs>
          <w:tab w:val="left" w:pos="4320"/>
        </w:tabs>
        <w:ind w:left="3600"/>
        <w:rPr>
          <w:rFonts w:ascii="Times New Roman" w:hAnsi="Times New Roman" w:cs="Times New Roman"/>
          <w:sz w:val="24"/>
          <w:szCs w:val="24"/>
        </w:rPr>
      </w:pPr>
      <w:r w:rsidRPr="00371683">
        <w:rPr>
          <w:rFonts w:ascii="Times New Roman" w:hAnsi="Times New Roman" w:cs="Times New Roman"/>
          <w:sz w:val="24"/>
          <w:szCs w:val="24"/>
        </w:rPr>
        <w:t>Bruce Weston (0016973)</w:t>
      </w:r>
    </w:p>
    <w:p w:rsidR="00AC5CA1" w:rsidRPr="00371683" w:rsidP="00AC5CA1" w14:paraId="20B6BE7C" w14:textId="77777777">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Ohio Consumers’ Counsel</w:t>
      </w:r>
    </w:p>
    <w:p w:rsidR="00AC5CA1" w:rsidRPr="00371683" w:rsidP="00AC5CA1" w14:paraId="1DB66C7F" w14:textId="77777777">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ab/>
      </w:r>
    </w:p>
    <w:p w:rsidR="00AC5CA1" w:rsidRPr="00371683" w:rsidP="00AC5CA1" w14:paraId="43F0965A" w14:textId="77777777">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Amy Botschner O’Brien (0074423)</w:t>
      </w:r>
    </w:p>
    <w:p w:rsidR="00AC5CA1" w:rsidP="00AC5CA1" w14:paraId="7FC4C565" w14:textId="46B81F2D">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Counsel of Record</w:t>
      </w:r>
    </w:p>
    <w:p w:rsidR="006B5EF2" w:rsidRPr="00371683" w:rsidP="00AC5CA1" w14:paraId="2090D93E" w14:textId="65FF78B4">
      <w:pPr>
        <w:tabs>
          <w:tab w:val="left" w:pos="4320"/>
        </w:tabs>
        <w:spacing w:after="0" w:line="240" w:lineRule="auto"/>
        <w:ind w:left="3600"/>
        <w:rPr>
          <w:rFonts w:ascii="Times New Roman" w:hAnsi="Times New Roman" w:cs="Times New Roman"/>
          <w:sz w:val="24"/>
          <w:szCs w:val="24"/>
        </w:rPr>
      </w:pPr>
      <w:r w:rsidRPr="006B5EF2">
        <w:rPr>
          <w:rFonts w:ascii="Times New Roman" w:hAnsi="Times New Roman" w:cs="Times New Roman"/>
          <w:sz w:val="24"/>
          <w:szCs w:val="24"/>
        </w:rPr>
        <w:t>Assistant Consumers’ Counsel</w:t>
      </w:r>
    </w:p>
    <w:p w:rsidR="00AC5CA1" w:rsidRPr="00371683" w:rsidP="00AC5CA1" w14:paraId="3AD5B791" w14:textId="77777777">
      <w:pPr>
        <w:tabs>
          <w:tab w:val="left" w:pos="4320"/>
        </w:tabs>
        <w:spacing w:after="0" w:line="240" w:lineRule="auto"/>
        <w:ind w:left="3600"/>
        <w:rPr>
          <w:rFonts w:ascii="Times New Roman" w:hAnsi="Times New Roman" w:cs="Times New Roman"/>
          <w:sz w:val="24"/>
          <w:szCs w:val="24"/>
        </w:rPr>
      </w:pPr>
    </w:p>
    <w:p w:rsidR="00AC5CA1" w:rsidRPr="00371683" w:rsidP="00AC5CA1" w14:paraId="33F00387" w14:textId="77777777">
      <w:pPr>
        <w:spacing w:after="0" w:line="240" w:lineRule="auto"/>
        <w:ind w:left="3600"/>
        <w:rPr>
          <w:rFonts w:ascii="Times New Roman" w:hAnsi="Times New Roman" w:cs="Times New Roman"/>
          <w:b/>
          <w:bCs/>
          <w:sz w:val="24"/>
          <w:szCs w:val="24"/>
        </w:rPr>
      </w:pPr>
      <w:r w:rsidRPr="00371683">
        <w:rPr>
          <w:rFonts w:ascii="Times New Roman" w:hAnsi="Times New Roman" w:cs="Times New Roman"/>
          <w:b/>
          <w:bCs/>
          <w:sz w:val="24"/>
          <w:szCs w:val="24"/>
        </w:rPr>
        <w:t>Office of the Ohio Consumers’ Counsel</w:t>
      </w:r>
    </w:p>
    <w:p w:rsidR="00AC5CA1" w:rsidRPr="00371683" w:rsidP="00AC5CA1" w14:paraId="19C42152" w14:textId="77777777">
      <w:pPr>
        <w:spacing w:after="0" w:line="240" w:lineRule="auto"/>
        <w:ind w:left="3600"/>
        <w:rPr>
          <w:rFonts w:ascii="Times New Roman" w:hAnsi="Times New Roman" w:cs="Times New Roman"/>
          <w:b/>
          <w:sz w:val="24"/>
          <w:szCs w:val="24"/>
        </w:rPr>
      </w:pPr>
      <w:r w:rsidRPr="00371683">
        <w:rPr>
          <w:rFonts w:ascii="Times New Roman" w:hAnsi="Times New Roman" w:cs="Times New Roman"/>
          <w:sz w:val="24"/>
          <w:szCs w:val="24"/>
        </w:rPr>
        <w:t>65 East State Street, Suite 700</w:t>
      </w:r>
    </w:p>
    <w:p w:rsidR="00AC5CA1" w:rsidRPr="00371683" w:rsidP="00AC5CA1" w14:paraId="143F0103" w14:textId="77777777">
      <w:pPr>
        <w:spacing w:after="0" w:line="240" w:lineRule="auto"/>
        <w:ind w:left="3600"/>
        <w:rPr>
          <w:rFonts w:ascii="Times New Roman" w:hAnsi="Times New Roman" w:cs="Times New Roman"/>
          <w:b/>
          <w:sz w:val="24"/>
          <w:szCs w:val="24"/>
        </w:rPr>
      </w:pPr>
      <w:r w:rsidRPr="00371683">
        <w:rPr>
          <w:rFonts w:ascii="Times New Roman" w:hAnsi="Times New Roman" w:cs="Times New Roman"/>
          <w:sz w:val="24"/>
          <w:szCs w:val="24"/>
        </w:rPr>
        <w:t>Columbus, Ohio 43215</w:t>
      </w:r>
    </w:p>
    <w:p w:rsidR="00AC5CA1" w:rsidRPr="00371683" w:rsidP="00AC5CA1" w14:paraId="501688BC" w14:textId="77777777">
      <w:pPr>
        <w:autoSpaceDE w:val="0"/>
        <w:autoSpaceDN w:val="0"/>
        <w:adjustRightInd w:val="0"/>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Telephone [Botschner O’Brien]: (614) 466-9575</w:t>
      </w:r>
    </w:p>
    <w:p w:rsidR="00AC5CA1" w:rsidRPr="00371683" w:rsidP="00AC5CA1" w14:paraId="0B887A6D" w14:textId="77777777">
      <w:pPr>
        <w:autoSpaceDE w:val="0"/>
        <w:autoSpaceDN w:val="0"/>
        <w:adjustRightInd w:val="0"/>
        <w:spacing w:after="0" w:line="240" w:lineRule="auto"/>
        <w:ind w:left="3600"/>
        <w:rPr>
          <w:rFonts w:ascii="Times New Roman" w:hAnsi="Times New Roman" w:cs="Times New Roman"/>
          <w:sz w:val="24"/>
          <w:szCs w:val="24"/>
        </w:rPr>
      </w:pPr>
      <w:hyperlink r:id="rId6" w:history="1">
        <w:r w:rsidRPr="00371683">
          <w:rPr>
            <w:rStyle w:val="Hyperlink"/>
            <w:rFonts w:ascii="Times New Roman" w:hAnsi="Times New Roman" w:cs="Times New Roman"/>
            <w:sz w:val="24"/>
            <w:szCs w:val="24"/>
          </w:rPr>
          <w:t>amy.botschner.obrien@occ.ohio.gov</w:t>
        </w:r>
      </w:hyperlink>
    </w:p>
    <w:p w:rsidR="00355C1A" w:rsidRPr="00371683" w:rsidP="00665D84" w14:paraId="6974C12B" w14:textId="5170282B">
      <w:pPr>
        <w:spacing w:after="0" w:line="240" w:lineRule="auto"/>
        <w:ind w:left="3600" w:hanging="3600"/>
        <w:rPr>
          <w:rFonts w:ascii="Times New Roman" w:hAnsi="Times New Roman" w:cs="Times New Roman"/>
          <w:sz w:val="24"/>
          <w:szCs w:val="24"/>
        </w:rPr>
      </w:pPr>
      <w:r w:rsidRPr="00371683">
        <w:rPr>
          <w:rFonts w:ascii="Times New Roman" w:hAnsi="Times New Roman" w:cs="Times New Roman"/>
          <w:sz w:val="24"/>
          <w:szCs w:val="24"/>
        </w:rPr>
        <w:t>July 6, 2022</w:t>
      </w:r>
      <w:r w:rsidRPr="00371683">
        <w:rPr>
          <w:rFonts w:ascii="Times New Roman" w:hAnsi="Times New Roman" w:cs="Times New Roman"/>
          <w:sz w:val="24"/>
          <w:szCs w:val="24"/>
        </w:rPr>
        <w:tab/>
      </w:r>
      <w:r w:rsidRPr="00371683" w:rsidR="00AC5CA1">
        <w:rPr>
          <w:rFonts w:ascii="Times New Roman" w:hAnsi="Times New Roman" w:cs="Times New Roman"/>
          <w:sz w:val="24"/>
          <w:szCs w:val="24"/>
        </w:rPr>
        <w:t>(willing to accept service by e-mail)</w:t>
      </w:r>
    </w:p>
    <w:p w:rsidR="00355C1A" w:rsidRPr="00371683" w:rsidP="005B4F45" w14:paraId="4E4B52F1" w14:textId="77777777">
      <w:pPr>
        <w:pStyle w:val="HTMLPreformatted"/>
        <w:jc w:val="center"/>
        <w:rPr>
          <w:rFonts w:ascii="Times New Roman" w:hAnsi="Times New Roman" w:cs="Times New Roman"/>
          <w:b/>
          <w:bCs/>
          <w:sz w:val="24"/>
          <w:szCs w:val="24"/>
        </w:rPr>
      </w:pPr>
    </w:p>
    <w:p w:rsidR="00355C1A" w:rsidRPr="00371683" w:rsidP="005B4F45" w14:paraId="62A0184F" w14:textId="3F2374F9">
      <w:pPr>
        <w:pStyle w:val="HTMLPreformatted"/>
        <w:jc w:val="center"/>
        <w:rPr>
          <w:rFonts w:ascii="Times New Roman" w:hAnsi="Times New Roman" w:cs="Times New Roman"/>
          <w:b/>
          <w:bCs/>
          <w:sz w:val="24"/>
          <w:szCs w:val="24"/>
        </w:rPr>
        <w:sectPr w:rsidSect="00690016">
          <w:footerReference w:type="default" r:id="rId7"/>
          <w:pgSz w:w="12240" w:h="15840"/>
          <w:pgMar w:top="1440" w:right="1800" w:bottom="1440" w:left="1800" w:header="720" w:footer="720" w:gutter="0"/>
          <w:cols w:space="720"/>
          <w:docGrid w:linePitch="360"/>
        </w:sectPr>
      </w:pPr>
    </w:p>
    <w:p w:rsidR="00665D84" w:rsidRPr="00371683" w:rsidP="00665D84" w14:paraId="2C593AC5" w14:textId="77777777">
      <w:pPr>
        <w:jc w:val="center"/>
        <w:rPr>
          <w:rFonts w:ascii="Times New Roman" w:hAnsi="Times New Roman" w:cs="Times New Roman"/>
          <w:b/>
          <w:caps/>
          <w:sz w:val="24"/>
          <w:szCs w:val="24"/>
          <w:u w:val="single"/>
          <w:lang w:eastAsia="ja-JP"/>
        </w:rPr>
      </w:pPr>
      <w:r w:rsidRPr="00371683">
        <w:rPr>
          <w:rFonts w:ascii="Times New Roman" w:hAnsi="Times New Roman" w:cs="Times New Roman"/>
          <w:b/>
          <w:caps/>
          <w:sz w:val="24"/>
          <w:szCs w:val="24"/>
          <w:u w:val="single"/>
          <w:lang w:eastAsia="ja-JP"/>
        </w:rPr>
        <w:t>TABLE OF CONTENTS</w:t>
      </w:r>
    </w:p>
    <w:p w:rsidR="00665D84" w:rsidRPr="00371683" w:rsidP="00665D84" w14:paraId="7630730D" w14:textId="77777777">
      <w:pPr>
        <w:jc w:val="right"/>
        <w:rPr>
          <w:rFonts w:ascii="Times New Roman" w:hAnsi="Times New Roman" w:cs="Times New Roman"/>
          <w:b/>
          <w:caps/>
          <w:sz w:val="24"/>
          <w:szCs w:val="24"/>
          <w:lang w:eastAsia="ja-JP"/>
        </w:rPr>
      </w:pPr>
      <w:r w:rsidRPr="00371683">
        <w:rPr>
          <w:rFonts w:ascii="Times New Roman" w:hAnsi="Times New Roman" w:cs="Times New Roman"/>
          <w:b/>
          <w:caps/>
          <w:sz w:val="24"/>
          <w:szCs w:val="24"/>
          <w:lang w:eastAsia="ja-JP"/>
        </w:rPr>
        <w:t>PAGE</w:t>
      </w:r>
    </w:p>
    <w:p w:rsidR="00294D82" w14:paraId="39367D81" w14:textId="64982A9F">
      <w:pPr>
        <w:pStyle w:val="TOC1"/>
        <w:rPr>
          <w:rFonts w:asciiTheme="minorHAnsi" w:eastAsiaTheme="minorEastAsia" w:hAnsiTheme="minorHAnsi" w:cstheme="minorBidi"/>
          <w:noProof/>
          <w:sz w:val="22"/>
          <w:szCs w:val="22"/>
        </w:rPr>
      </w:pPr>
      <w:r w:rsidRPr="00371683">
        <w:fldChar w:fldCharType="begin"/>
      </w:r>
      <w:r w:rsidRPr="00371683">
        <w:instrText xml:space="preserve"> TOC \o "1-3" \h \z \u </w:instrText>
      </w:r>
      <w:r w:rsidRPr="00371683">
        <w:fldChar w:fldCharType="separate"/>
      </w:r>
      <w:hyperlink w:anchor="_Toc108016533" w:history="1">
        <w:r w:rsidRPr="00243FED">
          <w:rPr>
            <w:rStyle w:val="Hyperlink"/>
            <w:noProof/>
          </w:rPr>
          <w:t xml:space="preserve">I. </w:t>
        </w:r>
        <w:r>
          <w:rPr>
            <w:rFonts w:asciiTheme="minorHAnsi" w:eastAsiaTheme="minorEastAsia" w:hAnsiTheme="minorHAnsi" w:cstheme="minorBidi"/>
            <w:noProof/>
            <w:sz w:val="22"/>
            <w:szCs w:val="22"/>
          </w:rPr>
          <w:tab/>
        </w:r>
        <w:r w:rsidRPr="00243FED">
          <w:rPr>
            <w:rStyle w:val="Hyperlink"/>
            <w:noProof/>
          </w:rPr>
          <w:t>INTRODUCTION</w:t>
        </w:r>
        <w:r>
          <w:rPr>
            <w:noProof/>
            <w:webHidden/>
          </w:rPr>
          <w:tab/>
        </w:r>
        <w:r>
          <w:rPr>
            <w:noProof/>
            <w:webHidden/>
          </w:rPr>
          <w:fldChar w:fldCharType="begin"/>
        </w:r>
        <w:r>
          <w:rPr>
            <w:noProof/>
            <w:webHidden/>
          </w:rPr>
          <w:instrText xml:space="preserve"> PAGEREF _Toc108016533 \h </w:instrText>
        </w:r>
        <w:r>
          <w:rPr>
            <w:noProof/>
            <w:webHidden/>
          </w:rPr>
          <w:fldChar w:fldCharType="separate"/>
        </w:r>
        <w:r>
          <w:rPr>
            <w:noProof/>
            <w:webHidden/>
          </w:rPr>
          <w:t>1</w:t>
        </w:r>
        <w:r>
          <w:rPr>
            <w:noProof/>
            <w:webHidden/>
          </w:rPr>
          <w:fldChar w:fldCharType="end"/>
        </w:r>
      </w:hyperlink>
    </w:p>
    <w:p w:rsidR="00294D82" w14:paraId="7A7991C8" w14:textId="68A7D195">
      <w:pPr>
        <w:pStyle w:val="TOC1"/>
        <w:rPr>
          <w:rFonts w:asciiTheme="minorHAnsi" w:eastAsiaTheme="minorEastAsia" w:hAnsiTheme="minorHAnsi" w:cstheme="minorBidi"/>
          <w:noProof/>
          <w:sz w:val="22"/>
          <w:szCs w:val="22"/>
        </w:rPr>
      </w:pPr>
      <w:hyperlink w:anchor="_Toc108016534" w:history="1">
        <w:r w:rsidRPr="00243FED">
          <w:rPr>
            <w:rStyle w:val="Hyperlink"/>
            <w:noProof/>
          </w:rPr>
          <w:t xml:space="preserve">II. </w:t>
        </w:r>
        <w:r>
          <w:rPr>
            <w:rFonts w:asciiTheme="minorHAnsi" w:eastAsiaTheme="minorEastAsia" w:hAnsiTheme="minorHAnsi" w:cstheme="minorBidi"/>
            <w:noProof/>
            <w:sz w:val="22"/>
            <w:szCs w:val="22"/>
          </w:rPr>
          <w:tab/>
        </w:r>
        <w:r w:rsidRPr="00243FED">
          <w:rPr>
            <w:rStyle w:val="Hyperlink"/>
            <w:noProof/>
          </w:rPr>
          <w:t xml:space="preserve">COMMENTS: FOR CONSUMER PROTECTION AND FOR </w:t>
        </w:r>
        <w:r>
          <w:rPr>
            <w:rStyle w:val="Hyperlink"/>
            <w:noProof/>
          </w:rPr>
          <w:br/>
        </w:r>
        <w:r w:rsidRPr="00243FED">
          <w:rPr>
            <w:rStyle w:val="Hyperlink"/>
            <w:noProof/>
          </w:rPr>
          <w:t xml:space="preserve">COMPLIANCE WITH OHIO LAW, PIPP RATES SHOULD NOT </w:t>
        </w:r>
        <w:r>
          <w:rPr>
            <w:rStyle w:val="Hyperlink"/>
            <w:noProof/>
          </w:rPr>
          <w:br/>
        </w:r>
        <w:r w:rsidRPr="00243FED">
          <w:rPr>
            <w:rStyle w:val="Hyperlink"/>
            <w:noProof/>
          </w:rPr>
          <w:t>BE HIGHER THAN SSO RATES</w:t>
        </w:r>
        <w:r>
          <w:rPr>
            <w:noProof/>
            <w:webHidden/>
          </w:rPr>
          <w:tab/>
        </w:r>
        <w:r>
          <w:rPr>
            <w:noProof/>
            <w:webHidden/>
          </w:rPr>
          <w:fldChar w:fldCharType="begin"/>
        </w:r>
        <w:r>
          <w:rPr>
            <w:noProof/>
            <w:webHidden/>
          </w:rPr>
          <w:instrText xml:space="preserve"> PAGEREF _Toc108016534 \h </w:instrText>
        </w:r>
        <w:r>
          <w:rPr>
            <w:noProof/>
            <w:webHidden/>
          </w:rPr>
          <w:fldChar w:fldCharType="separate"/>
        </w:r>
        <w:r>
          <w:rPr>
            <w:noProof/>
            <w:webHidden/>
          </w:rPr>
          <w:t>2</w:t>
        </w:r>
        <w:r>
          <w:rPr>
            <w:noProof/>
            <w:webHidden/>
          </w:rPr>
          <w:fldChar w:fldCharType="end"/>
        </w:r>
      </w:hyperlink>
    </w:p>
    <w:p w:rsidR="00294D82" w14:paraId="24DA9048" w14:textId="7ADA867C">
      <w:pPr>
        <w:pStyle w:val="TOC1"/>
        <w:rPr>
          <w:rFonts w:asciiTheme="minorHAnsi" w:eastAsiaTheme="minorEastAsia" w:hAnsiTheme="minorHAnsi" w:cstheme="minorBidi"/>
          <w:noProof/>
          <w:sz w:val="22"/>
          <w:szCs w:val="22"/>
        </w:rPr>
      </w:pPr>
      <w:hyperlink w:anchor="_Toc108016535" w:history="1">
        <w:r w:rsidRPr="00243FED">
          <w:rPr>
            <w:rStyle w:val="Hyperlink"/>
            <w:noProof/>
          </w:rPr>
          <w:t xml:space="preserve">III. </w:t>
        </w:r>
        <w:r>
          <w:rPr>
            <w:rFonts w:asciiTheme="minorHAnsi" w:eastAsiaTheme="minorEastAsia" w:hAnsiTheme="minorHAnsi" w:cstheme="minorBidi"/>
            <w:noProof/>
            <w:sz w:val="22"/>
            <w:szCs w:val="22"/>
          </w:rPr>
          <w:tab/>
        </w:r>
        <w:r w:rsidRPr="00243FED">
          <w:rPr>
            <w:rStyle w:val="Hyperlink"/>
            <w:noProof/>
          </w:rPr>
          <w:t>CONCLUSION</w:t>
        </w:r>
        <w:r>
          <w:rPr>
            <w:noProof/>
            <w:webHidden/>
          </w:rPr>
          <w:tab/>
        </w:r>
        <w:r>
          <w:rPr>
            <w:noProof/>
            <w:webHidden/>
          </w:rPr>
          <w:fldChar w:fldCharType="begin"/>
        </w:r>
        <w:r>
          <w:rPr>
            <w:noProof/>
            <w:webHidden/>
          </w:rPr>
          <w:instrText xml:space="preserve"> PAGEREF _Toc108016535 \h </w:instrText>
        </w:r>
        <w:r>
          <w:rPr>
            <w:noProof/>
            <w:webHidden/>
          </w:rPr>
          <w:fldChar w:fldCharType="separate"/>
        </w:r>
        <w:r>
          <w:rPr>
            <w:noProof/>
            <w:webHidden/>
          </w:rPr>
          <w:t>9</w:t>
        </w:r>
        <w:r>
          <w:rPr>
            <w:noProof/>
            <w:webHidden/>
          </w:rPr>
          <w:fldChar w:fldCharType="end"/>
        </w:r>
      </w:hyperlink>
    </w:p>
    <w:p w:rsidR="00665D84" w:rsidRPr="00371683" w:rsidP="00665D84" w14:paraId="70A80955" w14:textId="6FDDDFE9">
      <w:pPr>
        <w:pStyle w:val="HTMLPreformatted"/>
        <w:jc w:val="center"/>
        <w:rPr>
          <w:rFonts w:ascii="Times New Roman" w:hAnsi="Times New Roman" w:cs="Times New Roman"/>
          <w:b/>
          <w:bCs/>
          <w:sz w:val="24"/>
          <w:szCs w:val="24"/>
        </w:rPr>
      </w:pPr>
      <w:r w:rsidRPr="00371683">
        <w:rPr>
          <w:rFonts w:ascii="Times New Roman" w:hAnsi="Times New Roman" w:cs="Times New Roman"/>
          <w:sz w:val="24"/>
          <w:szCs w:val="24"/>
        </w:rPr>
        <w:fldChar w:fldCharType="end"/>
      </w:r>
    </w:p>
    <w:p w:rsidR="00665D84" w:rsidRPr="00371683" w:rsidP="005B4F45" w14:paraId="7C768F1E" w14:textId="77777777">
      <w:pPr>
        <w:pStyle w:val="HTMLPreformatted"/>
        <w:jc w:val="center"/>
        <w:rPr>
          <w:rFonts w:ascii="Times New Roman" w:hAnsi="Times New Roman" w:cs="Times New Roman"/>
          <w:b/>
          <w:bCs/>
          <w:sz w:val="24"/>
          <w:szCs w:val="24"/>
        </w:rPr>
      </w:pPr>
    </w:p>
    <w:p w:rsidR="00665D84" w:rsidRPr="00371683" w:rsidP="005B4F45" w14:paraId="7A3CE935" w14:textId="77777777">
      <w:pPr>
        <w:pStyle w:val="HTMLPreformatted"/>
        <w:jc w:val="center"/>
        <w:rPr>
          <w:rFonts w:ascii="Times New Roman" w:hAnsi="Times New Roman" w:cs="Times New Roman"/>
          <w:b/>
          <w:bCs/>
          <w:sz w:val="24"/>
          <w:szCs w:val="24"/>
        </w:rPr>
      </w:pPr>
    </w:p>
    <w:p w:rsidR="00665D84" w:rsidRPr="00371683" w:rsidP="005B4F45" w14:paraId="5D842A22" w14:textId="6B5D6D74">
      <w:pPr>
        <w:pStyle w:val="HTMLPreformatted"/>
        <w:jc w:val="center"/>
        <w:rPr>
          <w:rFonts w:ascii="Times New Roman" w:hAnsi="Times New Roman" w:cs="Times New Roman"/>
          <w:b/>
          <w:bCs/>
          <w:sz w:val="24"/>
          <w:szCs w:val="24"/>
        </w:rPr>
        <w:sectPr w:rsidSect="00933B6F">
          <w:footerReference w:type="default" r:id="rId8"/>
          <w:pgSz w:w="12240" w:h="15840"/>
          <w:pgMar w:top="1440" w:right="1800" w:bottom="1440" w:left="1800" w:header="720" w:footer="720" w:gutter="0"/>
          <w:pgNumType w:fmt="lowerRoman" w:start="1"/>
          <w:cols w:space="720"/>
          <w:docGrid w:linePitch="360"/>
        </w:sectPr>
      </w:pPr>
    </w:p>
    <w:p w:rsidR="005B4F45" w:rsidRPr="00371683" w:rsidP="005B4F45" w14:paraId="504CC334" w14:textId="5D9BE0AB">
      <w:pPr>
        <w:pStyle w:val="HTMLPreformatted"/>
        <w:jc w:val="center"/>
        <w:rPr>
          <w:rFonts w:ascii="Times New Roman" w:hAnsi="Times New Roman" w:cs="Times New Roman"/>
          <w:b/>
          <w:bCs/>
          <w:sz w:val="24"/>
          <w:szCs w:val="24"/>
        </w:rPr>
      </w:pPr>
      <w:r w:rsidRPr="00371683">
        <w:rPr>
          <w:rFonts w:ascii="Times New Roman" w:hAnsi="Times New Roman" w:cs="Times New Roman"/>
          <w:b/>
          <w:bCs/>
          <w:sz w:val="24"/>
          <w:szCs w:val="24"/>
        </w:rPr>
        <w:t>BEFORE</w:t>
      </w:r>
    </w:p>
    <w:p w:rsidR="005B4F45" w:rsidRPr="00371683" w:rsidP="005B4F45" w14:paraId="2BE99129" w14:textId="77777777">
      <w:pPr>
        <w:pStyle w:val="HTMLPreformatted"/>
        <w:jc w:val="center"/>
        <w:rPr>
          <w:rFonts w:ascii="Times New Roman" w:hAnsi="Times New Roman" w:cs="Times New Roman"/>
          <w:sz w:val="24"/>
          <w:szCs w:val="24"/>
        </w:rPr>
      </w:pPr>
      <w:r w:rsidRPr="00371683">
        <w:rPr>
          <w:rFonts w:ascii="Times New Roman" w:hAnsi="Times New Roman" w:cs="Times New Roman"/>
          <w:b/>
          <w:bCs/>
          <w:sz w:val="24"/>
          <w:szCs w:val="24"/>
        </w:rPr>
        <w:t>THE PUBLIC UTILITIES COMMISSION OF OHIO</w:t>
      </w:r>
    </w:p>
    <w:p w:rsidR="005B4F45" w:rsidRPr="00371683" w:rsidP="005B4F45" w14:paraId="3A72A19E" w14:textId="77777777">
      <w:pPr>
        <w:pStyle w:val="HTMLPreformatted"/>
        <w:rPr>
          <w:rFonts w:ascii="Times New Roman" w:hAnsi="Times New Roman" w:cs="Times New Roman"/>
          <w:sz w:val="24"/>
          <w:szCs w:val="24"/>
        </w:rPr>
      </w:pPr>
    </w:p>
    <w:tbl>
      <w:tblPr>
        <w:tblW w:w="8730" w:type="dxa"/>
        <w:tblLook w:val="01E0"/>
      </w:tblPr>
      <w:tblGrid>
        <w:gridCol w:w="4332"/>
        <w:gridCol w:w="360"/>
        <w:gridCol w:w="4038"/>
      </w:tblGrid>
      <w:tr w14:paraId="682E2681" w14:textId="77777777" w:rsidTr="00701DE6">
        <w:tblPrEx>
          <w:tblW w:w="8730" w:type="dxa"/>
          <w:tblLook w:val="01E0"/>
        </w:tblPrEx>
        <w:trPr>
          <w:trHeight w:val="807"/>
        </w:trPr>
        <w:tc>
          <w:tcPr>
            <w:tcW w:w="4332" w:type="dxa"/>
            <w:shd w:val="clear" w:color="auto" w:fill="auto"/>
          </w:tcPr>
          <w:p w:rsidR="005B4F45" w:rsidRPr="00371683" w:rsidP="00A007BD" w14:paraId="5AAF0E6D" w14:textId="0569992C">
            <w:pPr>
              <w:pStyle w:val="HTMLPreformatted"/>
              <w:rPr>
                <w:rFonts w:ascii="Times New Roman" w:hAnsi="Times New Roman" w:cs="Times New Roman"/>
                <w:sz w:val="24"/>
                <w:szCs w:val="24"/>
              </w:rPr>
            </w:pPr>
            <w:r w:rsidRPr="00371683">
              <w:rPr>
                <w:rFonts w:ascii="Times New Roman" w:hAnsi="Times New Roman" w:cs="Times New Roman"/>
                <w:sz w:val="24"/>
                <w:szCs w:val="24"/>
              </w:rPr>
              <w:t>In the Matter of the Application of the Ohio De</w:t>
            </w:r>
            <w:r w:rsidRPr="00371683" w:rsidR="005E3C7A">
              <w:rPr>
                <w:rFonts w:ascii="Times New Roman" w:hAnsi="Times New Roman" w:cs="Times New Roman"/>
                <w:sz w:val="24"/>
                <w:szCs w:val="24"/>
              </w:rPr>
              <w:t xml:space="preserve">partment of Development for an Order </w:t>
            </w:r>
            <w:r w:rsidRPr="00371683">
              <w:rPr>
                <w:rFonts w:ascii="Times New Roman" w:hAnsi="Times New Roman" w:cs="Times New Roman"/>
                <w:sz w:val="24"/>
                <w:szCs w:val="24"/>
              </w:rPr>
              <w:t>Approving Adjustments to the Universal Service Fund Riders of Jurisdictional Ohio Electric Distribution Utilities.</w:t>
            </w:r>
          </w:p>
        </w:tc>
        <w:tc>
          <w:tcPr>
            <w:tcW w:w="360" w:type="dxa"/>
            <w:shd w:val="clear" w:color="auto" w:fill="auto"/>
          </w:tcPr>
          <w:p w:rsidR="005B4F45" w:rsidRPr="00371683" w:rsidP="00A007BD" w14:paraId="08C9583F"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5B4F45" w:rsidRPr="00371683" w:rsidP="00A007BD" w14:paraId="2F4B2AE6"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5B4F45" w:rsidRPr="00371683" w:rsidP="00A007BD" w14:paraId="71B9945D"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5B4F45" w:rsidRPr="00371683" w:rsidP="00A007BD" w14:paraId="777DB9AE"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5B4F45" w:rsidRPr="00371683" w:rsidP="00A007BD" w14:paraId="2D4938D4"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p w:rsidR="005B4F45" w:rsidRPr="00371683" w:rsidP="00A007BD" w14:paraId="6D15F727" w14:textId="77777777">
            <w:pPr>
              <w:pStyle w:val="HTMLPreformatted"/>
              <w:rPr>
                <w:rFonts w:ascii="Times New Roman" w:hAnsi="Times New Roman" w:cs="Times New Roman"/>
                <w:sz w:val="24"/>
                <w:szCs w:val="24"/>
              </w:rPr>
            </w:pPr>
            <w:r w:rsidRPr="00371683">
              <w:rPr>
                <w:rFonts w:ascii="Times New Roman" w:hAnsi="Times New Roman" w:cs="Times New Roman"/>
                <w:sz w:val="24"/>
                <w:szCs w:val="24"/>
              </w:rPr>
              <w:t>)</w:t>
            </w:r>
          </w:p>
        </w:tc>
        <w:tc>
          <w:tcPr>
            <w:tcW w:w="4038" w:type="dxa"/>
            <w:shd w:val="clear" w:color="auto" w:fill="auto"/>
          </w:tcPr>
          <w:p w:rsidR="005B4F45" w:rsidRPr="00371683" w:rsidP="00A007BD" w14:paraId="7EB780B6" w14:textId="77777777">
            <w:pPr>
              <w:pStyle w:val="HTMLPreformatted"/>
              <w:rPr>
                <w:rFonts w:ascii="Times New Roman" w:hAnsi="Times New Roman" w:cs="Times New Roman"/>
                <w:sz w:val="24"/>
                <w:szCs w:val="24"/>
              </w:rPr>
            </w:pPr>
          </w:p>
          <w:p w:rsidR="002B5157" w:rsidRPr="00371683" w:rsidP="00A007BD" w14:paraId="7D099585" w14:textId="77777777">
            <w:pPr>
              <w:pStyle w:val="HTMLPreformatted"/>
              <w:rPr>
                <w:rFonts w:ascii="Times New Roman" w:hAnsi="Times New Roman" w:cs="Times New Roman"/>
                <w:sz w:val="24"/>
                <w:szCs w:val="24"/>
              </w:rPr>
            </w:pPr>
          </w:p>
          <w:p w:rsidR="005B4F45" w:rsidRPr="00371683" w:rsidP="00A007BD" w14:paraId="60D1B589" w14:textId="2C4F6605">
            <w:pPr>
              <w:pStyle w:val="HTMLPreformatted"/>
              <w:rPr>
                <w:rFonts w:ascii="Times New Roman" w:hAnsi="Times New Roman" w:cs="Times New Roman"/>
                <w:sz w:val="24"/>
                <w:szCs w:val="24"/>
              </w:rPr>
            </w:pPr>
            <w:r w:rsidRPr="00371683">
              <w:rPr>
                <w:rFonts w:ascii="Times New Roman" w:hAnsi="Times New Roman" w:cs="Times New Roman"/>
                <w:sz w:val="24"/>
                <w:szCs w:val="24"/>
              </w:rPr>
              <w:t>Case No. 2</w:t>
            </w:r>
            <w:r w:rsidRPr="00371683" w:rsidR="005E3C7A">
              <w:rPr>
                <w:rFonts w:ascii="Times New Roman" w:hAnsi="Times New Roman" w:cs="Times New Roman"/>
                <w:sz w:val="24"/>
                <w:szCs w:val="24"/>
              </w:rPr>
              <w:t>2-556</w:t>
            </w:r>
            <w:r w:rsidRPr="00371683">
              <w:rPr>
                <w:rFonts w:ascii="Times New Roman" w:hAnsi="Times New Roman" w:cs="Times New Roman"/>
                <w:sz w:val="24"/>
                <w:szCs w:val="24"/>
              </w:rPr>
              <w:t>-EL-USF</w:t>
            </w:r>
          </w:p>
        </w:tc>
      </w:tr>
    </w:tbl>
    <w:p w:rsidR="005B4F45" w:rsidRPr="00371683" w:rsidP="005B4F45" w14:paraId="764C67AB" w14:textId="77777777">
      <w:pPr>
        <w:pStyle w:val="HTMLPreformatted"/>
        <w:rPr>
          <w:rFonts w:ascii="Times New Roman" w:hAnsi="Times New Roman" w:cs="Times New Roman"/>
          <w:sz w:val="24"/>
          <w:szCs w:val="24"/>
        </w:rPr>
      </w:pPr>
    </w:p>
    <w:p w:rsidR="005B4F45" w:rsidRPr="00371683" w:rsidP="005B4F45" w14:paraId="6C321330" w14:textId="77777777">
      <w:pPr>
        <w:pStyle w:val="HTMLPreformatted"/>
        <w:pBdr>
          <w:top w:val="single" w:sz="12" w:space="1" w:color="auto"/>
        </w:pBdr>
        <w:rPr>
          <w:rFonts w:ascii="Times New Roman" w:hAnsi="Times New Roman" w:cs="Times New Roman"/>
          <w:sz w:val="24"/>
          <w:szCs w:val="24"/>
        </w:rPr>
      </w:pPr>
    </w:p>
    <w:p w:rsidR="005B4F45" w:rsidRPr="00371683" w:rsidP="003B091B" w14:paraId="5817133E" w14:textId="48500DA9">
      <w:pPr>
        <w:spacing w:after="0" w:line="240" w:lineRule="auto"/>
        <w:jc w:val="center"/>
        <w:rPr>
          <w:rFonts w:ascii="Times New Roman" w:hAnsi="Times New Roman" w:cs="Times New Roman"/>
          <w:b/>
          <w:bCs/>
          <w:sz w:val="24"/>
          <w:szCs w:val="24"/>
        </w:rPr>
      </w:pPr>
      <w:r w:rsidRPr="00371683">
        <w:rPr>
          <w:rFonts w:ascii="Times New Roman" w:hAnsi="Times New Roman" w:cs="Times New Roman"/>
          <w:b/>
          <w:bCs/>
          <w:sz w:val="24"/>
          <w:szCs w:val="24"/>
        </w:rPr>
        <w:t>CONSUMER PROTECTION COMMENTS</w:t>
      </w:r>
    </w:p>
    <w:p w:rsidR="005B4F45" w:rsidRPr="00371683" w:rsidP="003B091B" w14:paraId="084A26A4" w14:textId="77777777">
      <w:pPr>
        <w:spacing w:after="0" w:line="240" w:lineRule="auto"/>
        <w:jc w:val="center"/>
        <w:rPr>
          <w:rFonts w:ascii="Times New Roman" w:hAnsi="Times New Roman" w:cs="Times New Roman"/>
          <w:b/>
          <w:bCs/>
          <w:sz w:val="24"/>
          <w:szCs w:val="24"/>
        </w:rPr>
      </w:pPr>
      <w:r w:rsidRPr="00371683">
        <w:rPr>
          <w:rFonts w:ascii="Times New Roman" w:hAnsi="Times New Roman" w:cs="Times New Roman"/>
          <w:b/>
          <w:bCs/>
          <w:sz w:val="24"/>
          <w:szCs w:val="24"/>
        </w:rPr>
        <w:t>BY</w:t>
      </w:r>
    </w:p>
    <w:p w:rsidR="005B4F45" w:rsidRPr="00371683" w:rsidP="003B091B" w14:paraId="1FB91162" w14:textId="0F95EF6D">
      <w:pPr>
        <w:spacing w:after="0" w:line="240" w:lineRule="auto"/>
        <w:jc w:val="center"/>
        <w:rPr>
          <w:rFonts w:ascii="Times New Roman" w:hAnsi="Times New Roman" w:cs="Times New Roman"/>
          <w:b/>
          <w:bCs/>
          <w:sz w:val="24"/>
          <w:szCs w:val="24"/>
        </w:rPr>
      </w:pPr>
      <w:r w:rsidRPr="00371683">
        <w:rPr>
          <w:rFonts w:ascii="Times New Roman" w:hAnsi="Times New Roman" w:cs="Times New Roman"/>
          <w:b/>
          <w:bCs/>
          <w:sz w:val="24"/>
          <w:szCs w:val="24"/>
        </w:rPr>
        <w:t>OFFICE OF THE OHIO CONSUMERS’ COUNSEL</w:t>
      </w:r>
    </w:p>
    <w:p w:rsidR="005B4F45" w:rsidRPr="00371683" w:rsidP="00724F30" w14:paraId="19DCB219" w14:textId="77777777">
      <w:pPr>
        <w:pBdr>
          <w:bottom w:val="single" w:sz="12" w:space="1" w:color="auto"/>
        </w:pBdr>
        <w:tabs>
          <w:tab w:val="left" w:pos="4320"/>
        </w:tabs>
        <w:spacing w:after="240" w:line="240" w:lineRule="auto"/>
        <w:rPr>
          <w:rFonts w:ascii="Times New Roman" w:hAnsi="Times New Roman" w:cs="Times New Roman"/>
          <w:sz w:val="24"/>
          <w:szCs w:val="24"/>
        </w:rPr>
      </w:pPr>
    </w:p>
    <w:p w:rsidR="000C529A" w:rsidRPr="00371683" w:rsidP="00FC2851" w14:paraId="3B9E15D7" w14:textId="18DF208E">
      <w:pPr>
        <w:pStyle w:val="Heading1"/>
        <w:rPr>
          <w:rFonts w:ascii="Times New Roman" w:hAnsi="Times New Roman"/>
        </w:rPr>
      </w:pPr>
      <w:bookmarkStart w:id="0" w:name="_Toc108016533"/>
      <w:r w:rsidRPr="00371683">
        <w:rPr>
          <w:rFonts w:ascii="Times New Roman" w:hAnsi="Times New Roman"/>
        </w:rPr>
        <w:t xml:space="preserve">I. </w:t>
      </w:r>
      <w:r w:rsidRPr="00371683" w:rsidR="003B091B">
        <w:rPr>
          <w:rFonts w:ascii="Times New Roman" w:hAnsi="Times New Roman"/>
        </w:rPr>
        <w:tab/>
      </w:r>
      <w:r w:rsidRPr="00371683">
        <w:rPr>
          <w:rFonts w:ascii="Times New Roman" w:hAnsi="Times New Roman"/>
        </w:rPr>
        <w:t>IN</w:t>
      </w:r>
      <w:r w:rsidRPr="00371683" w:rsidR="003B091B">
        <w:rPr>
          <w:rFonts w:ascii="Times New Roman" w:hAnsi="Times New Roman"/>
        </w:rPr>
        <w:t>T</w:t>
      </w:r>
      <w:r w:rsidRPr="00371683">
        <w:rPr>
          <w:rFonts w:ascii="Times New Roman" w:hAnsi="Times New Roman"/>
        </w:rPr>
        <w:t>RODUCTION</w:t>
      </w:r>
      <w:bookmarkEnd w:id="0"/>
    </w:p>
    <w:p w:rsidR="00F85ED9" w:rsidRPr="00371683" w:rsidP="003B091B" w14:paraId="111EEE77" w14:textId="7431294B">
      <w:pPr>
        <w:spacing w:after="0" w:line="480" w:lineRule="auto"/>
        <w:ind w:firstLine="720"/>
        <w:rPr>
          <w:rFonts w:ascii="Times New Roman" w:hAnsi="Times New Roman" w:cs="Times New Roman"/>
          <w:sz w:val="24"/>
          <w:szCs w:val="24"/>
        </w:rPr>
      </w:pPr>
      <w:r w:rsidRPr="00371683">
        <w:rPr>
          <w:rFonts w:ascii="Times New Roman" w:hAnsi="Times New Roman" w:cs="Times New Roman"/>
          <w:sz w:val="24"/>
          <w:szCs w:val="24"/>
        </w:rPr>
        <w:t>The Ohio De</w:t>
      </w:r>
      <w:r w:rsidRPr="00371683" w:rsidR="005E3C7A">
        <w:rPr>
          <w:rFonts w:ascii="Times New Roman" w:hAnsi="Times New Roman" w:cs="Times New Roman"/>
          <w:sz w:val="24"/>
          <w:szCs w:val="24"/>
        </w:rPr>
        <w:t>partment of Development (“ODOD”)</w:t>
      </w:r>
      <w:r w:rsidRPr="00371683">
        <w:rPr>
          <w:rFonts w:ascii="Times New Roman" w:hAnsi="Times New Roman" w:cs="Times New Roman"/>
          <w:sz w:val="24"/>
          <w:szCs w:val="24"/>
        </w:rPr>
        <w:t xml:space="preserve"> filed a Notice of Intent (“NOI”) to inform the PUCO and others about its plans for adjusting the rates for the Universal Service Fund (“USF”) riders on electric </w:t>
      </w:r>
      <w:r w:rsidRPr="00371683" w:rsidR="00916B0C">
        <w:rPr>
          <w:rFonts w:ascii="Times New Roman" w:hAnsi="Times New Roman" w:cs="Times New Roman"/>
          <w:sz w:val="24"/>
          <w:szCs w:val="24"/>
        </w:rPr>
        <w:t xml:space="preserve">consumer </w:t>
      </w:r>
      <w:r w:rsidRPr="00371683">
        <w:rPr>
          <w:rFonts w:ascii="Times New Roman" w:hAnsi="Times New Roman" w:cs="Times New Roman"/>
          <w:sz w:val="24"/>
          <w:szCs w:val="24"/>
        </w:rPr>
        <w:t>bills effective January 1, 202</w:t>
      </w:r>
      <w:r w:rsidRPr="00371683" w:rsidR="005E3C7A">
        <w:rPr>
          <w:rFonts w:ascii="Times New Roman" w:hAnsi="Times New Roman" w:cs="Times New Roman"/>
          <w:sz w:val="24"/>
          <w:szCs w:val="24"/>
        </w:rPr>
        <w:t>3</w:t>
      </w:r>
      <w:r w:rsidRPr="00371683">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371683">
        <w:rPr>
          <w:rFonts w:ascii="Times New Roman" w:hAnsi="Times New Roman" w:cs="Times New Roman"/>
          <w:sz w:val="24"/>
          <w:szCs w:val="24"/>
        </w:rPr>
        <w:t xml:space="preserve"> The NOI is important because it describes the methodology that OD</w:t>
      </w:r>
      <w:r w:rsidRPr="00371683" w:rsidR="005C2E8A">
        <w:rPr>
          <w:rFonts w:ascii="Times New Roman" w:hAnsi="Times New Roman" w:cs="Times New Roman"/>
          <w:sz w:val="24"/>
          <w:szCs w:val="24"/>
        </w:rPr>
        <w:t>OD</w:t>
      </w:r>
      <w:r w:rsidRPr="00371683">
        <w:rPr>
          <w:rFonts w:ascii="Times New Roman" w:hAnsi="Times New Roman" w:cs="Times New Roman"/>
          <w:sz w:val="24"/>
          <w:szCs w:val="24"/>
        </w:rPr>
        <w:t xml:space="preserve"> will use when it calculates the USF revenue requirement </w:t>
      </w:r>
      <w:r w:rsidRPr="00371683" w:rsidR="007A4541">
        <w:rPr>
          <w:rFonts w:ascii="Times New Roman" w:hAnsi="Times New Roman" w:cs="Times New Roman"/>
          <w:sz w:val="24"/>
          <w:szCs w:val="24"/>
        </w:rPr>
        <w:t xml:space="preserve">and rate design </w:t>
      </w:r>
      <w:r w:rsidRPr="00371683">
        <w:rPr>
          <w:rFonts w:ascii="Times New Roman" w:hAnsi="Times New Roman" w:cs="Times New Roman"/>
          <w:sz w:val="24"/>
          <w:szCs w:val="24"/>
        </w:rPr>
        <w:t>for each of the electric distribution utilities.</w:t>
      </w:r>
      <w:r>
        <w:rPr>
          <w:rStyle w:val="FootnoteReference"/>
          <w:rFonts w:ascii="Times New Roman" w:hAnsi="Times New Roman" w:cs="Times New Roman"/>
          <w:sz w:val="24"/>
          <w:szCs w:val="24"/>
        </w:rPr>
        <w:footnoteReference w:id="3"/>
      </w:r>
      <w:r w:rsidRPr="00371683" w:rsidR="00701DE6">
        <w:rPr>
          <w:rFonts w:ascii="Times New Roman" w:hAnsi="Times New Roman" w:cs="Times New Roman"/>
          <w:sz w:val="24"/>
          <w:szCs w:val="24"/>
        </w:rPr>
        <w:t xml:space="preserve"> </w:t>
      </w:r>
    </w:p>
    <w:p w:rsidR="00701DE6" w:rsidRPr="00371683" w:rsidP="003B091B" w14:paraId="72BF00B3" w14:textId="7207127F">
      <w:pPr>
        <w:spacing w:after="0" w:line="480" w:lineRule="auto"/>
        <w:ind w:firstLine="720"/>
        <w:rPr>
          <w:rFonts w:ascii="Times New Roman" w:hAnsi="Times New Roman" w:cs="Times New Roman"/>
          <w:sz w:val="24"/>
          <w:szCs w:val="24"/>
        </w:rPr>
        <w:sectPr w:rsidSect="004742AA">
          <w:footerReference w:type="default" r:id="rId9"/>
          <w:pgSz w:w="12240" w:h="15840"/>
          <w:pgMar w:top="1440" w:right="1800" w:bottom="1440" w:left="1800" w:header="720" w:footer="720" w:gutter="0"/>
          <w:pgNumType w:start="1"/>
          <w:cols w:space="720"/>
          <w:docGrid w:linePitch="360"/>
        </w:sectPr>
      </w:pPr>
      <w:r w:rsidRPr="00371683">
        <w:rPr>
          <w:rFonts w:ascii="Times New Roman" w:hAnsi="Times New Roman" w:cs="Times New Roman"/>
          <w:sz w:val="24"/>
          <w:szCs w:val="24"/>
        </w:rPr>
        <w:t xml:space="preserve">All electric distribution utility customers, including </w:t>
      </w:r>
      <w:r w:rsidRPr="00371683" w:rsidR="001618C4">
        <w:rPr>
          <w:rFonts w:ascii="Times New Roman" w:hAnsi="Times New Roman" w:cs="Times New Roman"/>
          <w:sz w:val="24"/>
          <w:szCs w:val="24"/>
        </w:rPr>
        <w:t xml:space="preserve">PIPP </w:t>
      </w:r>
      <w:r w:rsidRPr="00371683">
        <w:rPr>
          <w:rFonts w:ascii="Times New Roman" w:hAnsi="Times New Roman" w:cs="Times New Roman"/>
          <w:sz w:val="24"/>
          <w:szCs w:val="24"/>
        </w:rPr>
        <w:t xml:space="preserve">residential consumers, pay for the Universal Service Fund through a </w:t>
      </w:r>
      <w:r w:rsidRPr="00371683" w:rsidR="001618C4">
        <w:rPr>
          <w:rFonts w:ascii="Times New Roman" w:hAnsi="Times New Roman" w:cs="Times New Roman"/>
          <w:sz w:val="24"/>
          <w:szCs w:val="24"/>
        </w:rPr>
        <w:t xml:space="preserve">separate </w:t>
      </w:r>
      <w:r w:rsidRPr="00371683">
        <w:rPr>
          <w:rFonts w:ascii="Times New Roman" w:hAnsi="Times New Roman" w:cs="Times New Roman"/>
          <w:sz w:val="24"/>
          <w:szCs w:val="24"/>
        </w:rPr>
        <w:t xml:space="preserve">charge on their electric bills. </w:t>
      </w:r>
      <w:r w:rsidRPr="00371683" w:rsidR="00A37B42">
        <w:rPr>
          <w:rFonts w:ascii="Times New Roman" w:hAnsi="Times New Roman" w:cs="Times New Roman"/>
          <w:sz w:val="24"/>
          <w:szCs w:val="24"/>
        </w:rPr>
        <w:t xml:space="preserve">Under the Attorney Examiner’s Entry, </w:t>
      </w:r>
      <w:r w:rsidRPr="00371683" w:rsidR="000D24EC">
        <w:rPr>
          <w:rFonts w:ascii="Times New Roman" w:hAnsi="Times New Roman" w:cs="Times New Roman"/>
          <w:sz w:val="24"/>
          <w:szCs w:val="24"/>
        </w:rPr>
        <w:t xml:space="preserve">parties have an opportunity to voice concerns and to address issues that have an impact on the cost of the </w:t>
      </w:r>
      <w:r w:rsidRPr="00371683" w:rsidR="005C2E8A">
        <w:rPr>
          <w:rFonts w:ascii="Times New Roman" w:hAnsi="Times New Roman" w:cs="Times New Roman"/>
          <w:sz w:val="24"/>
          <w:szCs w:val="24"/>
        </w:rPr>
        <w:t>USF that</w:t>
      </w:r>
      <w:r w:rsidRPr="00371683">
        <w:rPr>
          <w:rFonts w:ascii="Times New Roman" w:hAnsi="Times New Roman" w:cs="Times New Roman"/>
          <w:sz w:val="24"/>
          <w:szCs w:val="24"/>
        </w:rPr>
        <w:t xml:space="preserve"> all customers, including residential consumers</w:t>
      </w:r>
      <w:r w:rsidRPr="00371683" w:rsidR="00735C31">
        <w:rPr>
          <w:rFonts w:ascii="Times New Roman" w:hAnsi="Times New Roman" w:cs="Times New Roman"/>
          <w:sz w:val="24"/>
          <w:szCs w:val="24"/>
        </w:rPr>
        <w:t>,</w:t>
      </w:r>
      <w:r w:rsidRPr="00371683">
        <w:rPr>
          <w:rFonts w:ascii="Times New Roman" w:hAnsi="Times New Roman" w:cs="Times New Roman"/>
          <w:sz w:val="24"/>
          <w:szCs w:val="24"/>
        </w:rPr>
        <w:t xml:space="preserve"> pay prior</w:t>
      </w:r>
      <w:r w:rsidRPr="00371683" w:rsidR="000D24EC">
        <w:rPr>
          <w:rFonts w:ascii="Times New Roman" w:hAnsi="Times New Roman" w:cs="Times New Roman"/>
          <w:sz w:val="24"/>
          <w:szCs w:val="24"/>
        </w:rPr>
        <w:t xml:space="preserve"> to OD</w:t>
      </w:r>
      <w:r w:rsidRPr="00371683" w:rsidR="005C2E8A">
        <w:rPr>
          <w:rFonts w:ascii="Times New Roman" w:hAnsi="Times New Roman" w:cs="Times New Roman"/>
          <w:sz w:val="24"/>
          <w:szCs w:val="24"/>
        </w:rPr>
        <w:t>OD</w:t>
      </w:r>
      <w:r w:rsidRPr="00371683" w:rsidR="000D24EC">
        <w:rPr>
          <w:rFonts w:ascii="Times New Roman" w:hAnsi="Times New Roman" w:cs="Times New Roman"/>
          <w:sz w:val="24"/>
          <w:szCs w:val="24"/>
        </w:rPr>
        <w:t xml:space="preserve"> filing new USF rates.</w:t>
      </w:r>
      <w:r>
        <w:rPr>
          <w:rStyle w:val="FootnoteReference"/>
          <w:rFonts w:ascii="Times New Roman" w:hAnsi="Times New Roman" w:cs="Times New Roman"/>
          <w:sz w:val="24"/>
          <w:szCs w:val="24"/>
        </w:rPr>
        <w:footnoteReference w:id="4"/>
      </w:r>
      <w:r w:rsidRPr="00371683" w:rsidR="000D24EC">
        <w:rPr>
          <w:rFonts w:ascii="Times New Roman" w:hAnsi="Times New Roman" w:cs="Times New Roman"/>
          <w:sz w:val="24"/>
          <w:szCs w:val="24"/>
        </w:rPr>
        <w:t xml:space="preserve"> </w:t>
      </w:r>
    </w:p>
    <w:p w:rsidR="00F3603D" w:rsidRPr="00371683" w:rsidP="00F3603D" w14:paraId="5AEEA478" w14:textId="5F4E4A65">
      <w:pPr>
        <w:pStyle w:val="NormalWeb"/>
        <w:shd w:val="clear" w:color="auto" w:fill="FFFFFF"/>
        <w:spacing w:before="0" w:beforeAutospacing="0" w:after="0" w:afterAutospacing="0" w:line="480" w:lineRule="auto"/>
        <w:ind w:firstLine="720"/>
        <w:rPr>
          <w:color w:val="333333"/>
        </w:rPr>
      </w:pPr>
      <w:r w:rsidRPr="00371683">
        <w:t xml:space="preserve">The </w:t>
      </w:r>
      <w:r w:rsidRPr="00371683" w:rsidR="00A37B42">
        <w:t>Office of the Ohio Consumers’ Counsel (“</w:t>
      </w:r>
      <w:r w:rsidRPr="00371683" w:rsidR="000D24EC">
        <w:t>OCC</w:t>
      </w:r>
      <w:r w:rsidRPr="00371683" w:rsidR="00A37B42">
        <w:t>”)</w:t>
      </w:r>
      <w:r w:rsidRPr="00371683" w:rsidR="000D24EC">
        <w:t xml:space="preserve"> is concerned that the structure and results of the competitive auction process used to procure electricity for supplying PIPP c</w:t>
      </w:r>
      <w:r w:rsidRPr="00371683" w:rsidR="007E63D8">
        <w:t>onsumers</w:t>
      </w:r>
      <w:r w:rsidRPr="00371683" w:rsidR="000D24EC">
        <w:t xml:space="preserve"> </w:t>
      </w:r>
      <w:r w:rsidRPr="00371683" w:rsidR="00FE2734">
        <w:t xml:space="preserve">is </w:t>
      </w:r>
      <w:r w:rsidRPr="00371683" w:rsidR="000D24EC">
        <w:t xml:space="preserve">inconsistent with Ohio law. </w:t>
      </w:r>
      <w:r w:rsidRPr="00371683">
        <w:rPr>
          <w:color w:val="333333"/>
        </w:rPr>
        <w:t>At a bare minimum</w:t>
      </w:r>
      <w:r w:rsidRPr="00371683" w:rsidR="00214C8D">
        <w:rPr>
          <w:color w:val="333333"/>
        </w:rPr>
        <w:t>,</w:t>
      </w:r>
      <w:r w:rsidRPr="00371683">
        <w:rPr>
          <w:color w:val="333333"/>
        </w:rPr>
        <w:t xml:space="preserve"> PIPP </w:t>
      </w:r>
      <w:r w:rsidRPr="00371683" w:rsidR="007E63D8">
        <w:rPr>
          <w:color w:val="333333"/>
        </w:rPr>
        <w:t>consumers</w:t>
      </w:r>
      <w:r w:rsidRPr="00371683">
        <w:rPr>
          <w:color w:val="333333"/>
        </w:rPr>
        <w:t xml:space="preserve"> </w:t>
      </w:r>
      <w:r w:rsidRPr="00371683" w:rsidR="00E17A84">
        <w:rPr>
          <w:color w:val="333333"/>
        </w:rPr>
        <w:t>should</w:t>
      </w:r>
      <w:r w:rsidRPr="00371683">
        <w:rPr>
          <w:color w:val="333333"/>
        </w:rPr>
        <w:t xml:space="preserve"> be charged </w:t>
      </w:r>
      <w:r w:rsidRPr="00371683" w:rsidR="00214C8D">
        <w:rPr>
          <w:color w:val="333333"/>
        </w:rPr>
        <w:t xml:space="preserve">a rate that is </w:t>
      </w:r>
      <w:r w:rsidRPr="00371683">
        <w:rPr>
          <w:color w:val="333333"/>
        </w:rPr>
        <w:t xml:space="preserve">no </w:t>
      </w:r>
      <w:r w:rsidRPr="00371683" w:rsidR="005E650C">
        <w:rPr>
          <w:color w:val="333333"/>
        </w:rPr>
        <w:t xml:space="preserve">higher </w:t>
      </w:r>
      <w:r w:rsidRPr="00371683">
        <w:rPr>
          <w:color w:val="333333"/>
        </w:rPr>
        <w:t xml:space="preserve">than </w:t>
      </w:r>
      <w:r w:rsidRPr="00371683" w:rsidR="00214C8D">
        <w:rPr>
          <w:color w:val="333333"/>
        </w:rPr>
        <w:t xml:space="preserve">that charged to </w:t>
      </w:r>
      <w:r w:rsidRPr="00371683">
        <w:rPr>
          <w:color w:val="333333"/>
        </w:rPr>
        <w:t>SSO c</w:t>
      </w:r>
      <w:r w:rsidRPr="00371683" w:rsidR="007E63D8">
        <w:rPr>
          <w:color w:val="333333"/>
        </w:rPr>
        <w:t>onsumers</w:t>
      </w:r>
      <w:r w:rsidRPr="00371683">
        <w:rPr>
          <w:color w:val="333333"/>
        </w:rPr>
        <w:t xml:space="preserve">. This can be done by setting a </w:t>
      </w:r>
      <w:r w:rsidRPr="00371683" w:rsidR="0045390B">
        <w:rPr>
          <w:color w:val="333333"/>
        </w:rPr>
        <w:t>cap</w:t>
      </w:r>
      <w:r w:rsidRPr="00371683">
        <w:rPr>
          <w:color w:val="333333"/>
        </w:rPr>
        <w:t xml:space="preserve"> for the PIPP auctions at the SSO clearing price. </w:t>
      </w:r>
    </w:p>
    <w:p w:rsidR="00BF3938" w:rsidRPr="00371683" w:rsidP="00BF3938" w14:paraId="5988F7B5" w14:textId="77777777">
      <w:pPr>
        <w:pStyle w:val="NormalWeb"/>
        <w:shd w:val="clear" w:color="auto" w:fill="FFFFFF"/>
        <w:spacing w:before="0" w:beforeAutospacing="0" w:after="0" w:afterAutospacing="0"/>
        <w:ind w:firstLine="720"/>
        <w:rPr>
          <w:color w:val="333333"/>
        </w:rPr>
      </w:pPr>
    </w:p>
    <w:p w:rsidR="000C529A" w:rsidRPr="00371683" w:rsidP="00FC2851" w14:paraId="57B02828" w14:textId="4A298893">
      <w:pPr>
        <w:pStyle w:val="Heading1"/>
        <w:rPr>
          <w:rFonts w:ascii="Times New Roman" w:hAnsi="Times New Roman"/>
        </w:rPr>
      </w:pPr>
      <w:bookmarkStart w:id="1" w:name="_Toc108016534"/>
      <w:r w:rsidRPr="00371683">
        <w:rPr>
          <w:rFonts w:ascii="Times New Roman" w:hAnsi="Times New Roman"/>
        </w:rPr>
        <w:t xml:space="preserve">II. </w:t>
      </w:r>
      <w:r w:rsidRPr="00371683" w:rsidR="003B091B">
        <w:rPr>
          <w:rFonts w:ascii="Times New Roman" w:hAnsi="Times New Roman"/>
        </w:rPr>
        <w:tab/>
      </w:r>
      <w:r w:rsidRPr="00371683" w:rsidR="00F02A63">
        <w:rPr>
          <w:rFonts w:ascii="Times New Roman" w:hAnsi="Times New Roman"/>
          <w:caps w:val="0"/>
        </w:rPr>
        <w:t>COMMENTS: FOR CONSUMER PROTECTION AND FOR COMPLIANCE WITH OHIO LAW, PIPP RATES SHOULD NOT BE HIGHER THAN SSO RATES</w:t>
      </w:r>
      <w:bookmarkEnd w:id="1"/>
    </w:p>
    <w:p w:rsidR="00A37B42" w:rsidRPr="00371683" w:rsidP="003B091B" w14:paraId="30E0C010" w14:textId="10B0AB91">
      <w:pPr>
        <w:spacing w:after="0" w:line="480" w:lineRule="auto"/>
        <w:ind w:firstLine="720"/>
        <w:rPr>
          <w:rFonts w:ascii="Times New Roman" w:hAnsi="Times New Roman" w:cs="Times New Roman"/>
          <w:sz w:val="24"/>
          <w:szCs w:val="24"/>
        </w:rPr>
      </w:pPr>
      <w:r w:rsidRPr="00371683">
        <w:rPr>
          <w:rFonts w:ascii="Times New Roman" w:hAnsi="Times New Roman" w:cs="Times New Roman"/>
          <w:sz w:val="24"/>
          <w:szCs w:val="24"/>
        </w:rPr>
        <w:t>The Universal Service Fund (“USF”) rider is the statutory funding mechanism for the OD</w:t>
      </w:r>
      <w:r w:rsidRPr="00371683" w:rsidR="005C2E8A">
        <w:rPr>
          <w:rFonts w:ascii="Times New Roman" w:hAnsi="Times New Roman" w:cs="Times New Roman"/>
          <w:sz w:val="24"/>
          <w:szCs w:val="24"/>
        </w:rPr>
        <w:t>OD</w:t>
      </w:r>
      <w:r w:rsidRPr="00371683">
        <w:rPr>
          <w:rFonts w:ascii="Times New Roman" w:hAnsi="Times New Roman" w:cs="Times New Roman"/>
          <w:sz w:val="24"/>
          <w:szCs w:val="24"/>
        </w:rPr>
        <w:t xml:space="preserve"> to administer low-income assistance programs including the electric Percentage of Income Payment Program (“PIPP”) and the Electric Partnership Program (“EPP”).</w:t>
      </w:r>
      <w:r>
        <w:rPr>
          <w:rStyle w:val="FootnoteReference"/>
          <w:rFonts w:ascii="Times New Roman" w:hAnsi="Times New Roman" w:cs="Times New Roman"/>
          <w:sz w:val="24"/>
          <w:szCs w:val="24"/>
        </w:rPr>
        <w:footnoteReference w:id="5"/>
      </w:r>
      <w:r w:rsidRPr="00371683" w:rsidR="00701DE6">
        <w:rPr>
          <w:rFonts w:ascii="Times New Roman" w:hAnsi="Times New Roman" w:cs="Times New Roman"/>
          <w:sz w:val="24"/>
          <w:szCs w:val="24"/>
        </w:rPr>
        <w:t xml:space="preserve"> </w:t>
      </w:r>
      <w:r w:rsidRPr="00371683">
        <w:rPr>
          <w:rFonts w:ascii="Times New Roman" w:hAnsi="Times New Roman" w:cs="Times New Roman"/>
          <w:sz w:val="24"/>
          <w:szCs w:val="24"/>
        </w:rPr>
        <w:t>PIPP functions as a special payment plan for the income-eligible c</w:t>
      </w:r>
      <w:r w:rsidRPr="00371683" w:rsidR="00322ACB">
        <w:rPr>
          <w:rFonts w:ascii="Times New Roman" w:hAnsi="Times New Roman" w:cs="Times New Roman"/>
          <w:sz w:val="24"/>
          <w:szCs w:val="24"/>
        </w:rPr>
        <w:t>onsumers</w:t>
      </w:r>
      <w:r w:rsidRPr="00371683">
        <w:rPr>
          <w:rFonts w:ascii="Times New Roman" w:hAnsi="Times New Roman" w:cs="Times New Roman"/>
          <w:sz w:val="24"/>
          <w:szCs w:val="24"/>
        </w:rPr>
        <w:t xml:space="preserve"> of Ohio electric utilities where individual electric bills are calculated as a percentage of the monthly household income rather than </w:t>
      </w:r>
      <w:r w:rsidRPr="00371683" w:rsidR="007E63D8">
        <w:rPr>
          <w:rFonts w:ascii="Times New Roman" w:hAnsi="Times New Roman" w:cs="Times New Roman"/>
          <w:sz w:val="24"/>
          <w:szCs w:val="24"/>
        </w:rPr>
        <w:t xml:space="preserve">being billed the utility’s </w:t>
      </w:r>
      <w:r w:rsidRPr="00371683">
        <w:rPr>
          <w:rFonts w:ascii="Times New Roman" w:hAnsi="Times New Roman" w:cs="Times New Roman"/>
          <w:sz w:val="24"/>
          <w:szCs w:val="24"/>
        </w:rPr>
        <w:t xml:space="preserve">standard electric </w:t>
      </w:r>
      <w:r w:rsidRPr="00371683" w:rsidR="007E63D8">
        <w:rPr>
          <w:rFonts w:ascii="Times New Roman" w:hAnsi="Times New Roman" w:cs="Times New Roman"/>
          <w:sz w:val="24"/>
          <w:szCs w:val="24"/>
        </w:rPr>
        <w:t>service</w:t>
      </w:r>
      <w:r w:rsidRPr="00371683" w:rsidR="009414D6">
        <w:rPr>
          <w:rFonts w:ascii="Times New Roman" w:hAnsi="Times New Roman" w:cs="Times New Roman"/>
          <w:sz w:val="24"/>
          <w:szCs w:val="24"/>
        </w:rPr>
        <w:t xml:space="preserve"> tariff</w:t>
      </w:r>
      <w:r w:rsidRPr="00371683" w:rsidR="007E63D8">
        <w:rPr>
          <w:rFonts w:ascii="Times New Roman" w:hAnsi="Times New Roman" w:cs="Times New Roman"/>
          <w:sz w:val="24"/>
          <w:szCs w:val="24"/>
        </w:rPr>
        <w:t>.</w:t>
      </w:r>
      <w:r w:rsidRPr="00371683">
        <w:rPr>
          <w:rFonts w:ascii="Times New Roman" w:hAnsi="Times New Roman" w:cs="Times New Roman"/>
          <w:sz w:val="24"/>
          <w:szCs w:val="24"/>
        </w:rPr>
        <w:t xml:space="preserve"> Customers on the electric PIPP program currently pay </w:t>
      </w:r>
      <w:r w:rsidRPr="00371683" w:rsidR="001A63B2">
        <w:rPr>
          <w:rFonts w:ascii="Times New Roman" w:hAnsi="Times New Roman" w:cs="Times New Roman"/>
          <w:sz w:val="24"/>
          <w:szCs w:val="24"/>
        </w:rPr>
        <w:t xml:space="preserve">five </w:t>
      </w:r>
      <w:r w:rsidRPr="00371683">
        <w:rPr>
          <w:rFonts w:ascii="Times New Roman" w:hAnsi="Times New Roman" w:cs="Times New Roman"/>
          <w:sz w:val="24"/>
          <w:szCs w:val="24"/>
        </w:rPr>
        <w:t xml:space="preserve">percent of their monthly income as an </w:t>
      </w:r>
      <w:r w:rsidRPr="00371683" w:rsidR="00241EFB">
        <w:rPr>
          <w:rFonts w:ascii="Times New Roman" w:hAnsi="Times New Roman" w:cs="Times New Roman"/>
          <w:sz w:val="24"/>
          <w:szCs w:val="24"/>
        </w:rPr>
        <w:t xml:space="preserve">installment towards their </w:t>
      </w:r>
      <w:r w:rsidRPr="00371683">
        <w:rPr>
          <w:rFonts w:ascii="Times New Roman" w:hAnsi="Times New Roman" w:cs="Times New Roman"/>
          <w:sz w:val="24"/>
          <w:szCs w:val="24"/>
        </w:rPr>
        <w:t>electric bill.</w:t>
      </w:r>
      <w:r>
        <w:rPr>
          <w:rStyle w:val="FootnoteReference"/>
          <w:rFonts w:ascii="Times New Roman" w:hAnsi="Times New Roman" w:cs="Times New Roman"/>
          <w:sz w:val="24"/>
          <w:szCs w:val="24"/>
        </w:rPr>
        <w:footnoteReference w:id="6"/>
      </w:r>
      <w:r w:rsidRPr="00371683">
        <w:rPr>
          <w:rFonts w:ascii="Times New Roman" w:hAnsi="Times New Roman" w:cs="Times New Roman"/>
          <w:sz w:val="24"/>
          <w:szCs w:val="24"/>
        </w:rPr>
        <w:t xml:space="preserve"> PIPP customers who heat with electricity pay ten percent of their monthly household income as an </w:t>
      </w:r>
      <w:r w:rsidRPr="00371683" w:rsidR="00241EFB">
        <w:rPr>
          <w:rFonts w:ascii="Times New Roman" w:hAnsi="Times New Roman" w:cs="Times New Roman"/>
          <w:sz w:val="24"/>
          <w:szCs w:val="24"/>
        </w:rPr>
        <w:t xml:space="preserve">installment towards their </w:t>
      </w:r>
      <w:r w:rsidRPr="00371683">
        <w:rPr>
          <w:rFonts w:ascii="Times New Roman" w:hAnsi="Times New Roman" w:cs="Times New Roman"/>
          <w:sz w:val="24"/>
          <w:szCs w:val="24"/>
        </w:rPr>
        <w:t>electric bill.</w:t>
      </w:r>
      <w:r>
        <w:rPr>
          <w:rStyle w:val="FootnoteReference"/>
          <w:rFonts w:ascii="Times New Roman" w:hAnsi="Times New Roman" w:cs="Times New Roman"/>
          <w:sz w:val="24"/>
          <w:szCs w:val="24"/>
        </w:rPr>
        <w:footnoteReference w:id="7"/>
      </w:r>
      <w:r w:rsidRPr="00371683">
        <w:rPr>
          <w:rFonts w:ascii="Times New Roman" w:hAnsi="Times New Roman" w:cs="Times New Roman"/>
          <w:sz w:val="24"/>
          <w:szCs w:val="24"/>
        </w:rPr>
        <w:t xml:space="preserve"> </w:t>
      </w:r>
    </w:p>
    <w:p w:rsidR="007E63D8" w:rsidRPr="00371683" w:rsidP="007E63D8" w14:paraId="7E151C54" w14:textId="0B5FDD97">
      <w:pPr>
        <w:pStyle w:val="NormalWeb"/>
        <w:shd w:val="clear" w:color="auto" w:fill="FFFFFF"/>
        <w:spacing w:before="0" w:beforeAutospacing="0" w:after="0" w:afterAutospacing="0" w:line="480" w:lineRule="auto"/>
        <w:ind w:firstLine="720"/>
        <w:rPr>
          <w:color w:val="333333"/>
        </w:rPr>
      </w:pPr>
      <w:r w:rsidRPr="00371683">
        <w:rPr>
          <w:color w:val="333333"/>
        </w:rPr>
        <w:t xml:space="preserve">Similar to all </w:t>
      </w:r>
      <w:r w:rsidRPr="00371683" w:rsidR="00785648">
        <w:rPr>
          <w:color w:val="333333"/>
        </w:rPr>
        <w:t xml:space="preserve">other </w:t>
      </w:r>
      <w:r w:rsidRPr="00371683">
        <w:rPr>
          <w:color w:val="333333"/>
        </w:rPr>
        <w:t xml:space="preserve">utility customers in the state, low-income consumers </w:t>
      </w:r>
      <w:r w:rsidRPr="00371683" w:rsidR="00BD5505">
        <w:rPr>
          <w:color w:val="333333"/>
        </w:rPr>
        <w:t>are financially</w:t>
      </w:r>
      <w:r w:rsidRPr="00371683">
        <w:rPr>
          <w:color w:val="333333"/>
        </w:rPr>
        <w:t xml:space="preserve"> responsible for paying their electric bills to avoid delinquency. </w:t>
      </w:r>
      <w:r w:rsidRPr="00371683" w:rsidR="00127625">
        <w:t>Under the electric PIPP program</w:t>
      </w:r>
      <w:r w:rsidRPr="00371683">
        <w:t xml:space="preserve"> though, </w:t>
      </w:r>
      <w:r w:rsidRPr="00371683" w:rsidR="00A37B42">
        <w:t>c</w:t>
      </w:r>
      <w:r w:rsidRPr="00371683">
        <w:t>onsumers</w:t>
      </w:r>
      <w:r w:rsidRPr="00371683" w:rsidR="00A37B42">
        <w:t xml:space="preserve"> </w:t>
      </w:r>
      <w:r w:rsidRPr="00371683" w:rsidR="007A7997">
        <w:t xml:space="preserve">are incentivized to </w:t>
      </w:r>
      <w:r w:rsidRPr="00371683" w:rsidR="009414D6">
        <w:t xml:space="preserve">make </w:t>
      </w:r>
      <w:r w:rsidRPr="00371683" w:rsidR="00A37B42">
        <w:t xml:space="preserve">their </w:t>
      </w:r>
      <w:r w:rsidRPr="00371683" w:rsidR="00785648">
        <w:t xml:space="preserve">required </w:t>
      </w:r>
      <w:r w:rsidRPr="00371683" w:rsidR="009414D6">
        <w:t xml:space="preserve">monthly </w:t>
      </w:r>
      <w:r w:rsidRPr="00371683" w:rsidR="00A37B42">
        <w:t xml:space="preserve">electric PIPP </w:t>
      </w:r>
      <w:r w:rsidRPr="00371683" w:rsidR="009414D6">
        <w:t xml:space="preserve">payment </w:t>
      </w:r>
      <w:r w:rsidRPr="00371683" w:rsidR="00A37B42">
        <w:t xml:space="preserve">in-full and on-time </w:t>
      </w:r>
      <w:r w:rsidRPr="00371683" w:rsidR="007A7997">
        <w:t xml:space="preserve">to </w:t>
      </w:r>
      <w:r w:rsidRPr="00371683" w:rsidR="00A37B42">
        <w:t xml:space="preserve">receive additional incentives and credits </w:t>
      </w:r>
      <w:r w:rsidRPr="00371683" w:rsidR="009414D6">
        <w:t xml:space="preserve">towards arrearages </w:t>
      </w:r>
      <w:r w:rsidRPr="00371683" w:rsidR="00785648">
        <w:t xml:space="preserve">and </w:t>
      </w:r>
      <w:r w:rsidRPr="00371683" w:rsidR="00A37B42">
        <w:t>help avoid incur</w:t>
      </w:r>
      <w:r w:rsidRPr="00371683" w:rsidR="007A7997">
        <w:t xml:space="preserve">rence of </w:t>
      </w:r>
      <w:r w:rsidRPr="00371683" w:rsidR="00A37B42">
        <w:t xml:space="preserve">additional debt. The Electric Partnership Program </w:t>
      </w:r>
      <w:r w:rsidRPr="00371683" w:rsidR="009414D6">
        <w:t xml:space="preserve">(also funded through the USF) </w:t>
      </w:r>
      <w:r w:rsidRPr="00371683" w:rsidR="00A37B42">
        <w:t xml:space="preserve">is statutorily </w:t>
      </w:r>
      <w:r w:rsidRPr="00371683" w:rsidR="00622230">
        <w:t xml:space="preserve">structured </w:t>
      </w:r>
      <w:r w:rsidRPr="00371683" w:rsidR="00A37B42">
        <w:t>to provide an energy efficiency and weatherization program targeted towards high-cost and high</w:t>
      </w:r>
      <w:r w:rsidRPr="00371683" w:rsidR="00E54914">
        <w:t>-</w:t>
      </w:r>
      <w:r w:rsidRPr="00371683" w:rsidR="00A37B42">
        <w:t xml:space="preserve">usage electric PIPP customers. </w:t>
      </w:r>
      <w:r w:rsidRPr="00371683">
        <w:rPr>
          <w:color w:val="333333"/>
        </w:rPr>
        <w:t>OD</w:t>
      </w:r>
      <w:r w:rsidRPr="00371683" w:rsidR="005C2E8A">
        <w:rPr>
          <w:color w:val="333333"/>
        </w:rPr>
        <w:t>OD</w:t>
      </w:r>
      <w:r w:rsidRPr="00371683">
        <w:rPr>
          <w:color w:val="333333"/>
        </w:rPr>
        <w:t>’s NOI describes an arrangement between the OD</w:t>
      </w:r>
      <w:r w:rsidRPr="00371683" w:rsidR="005C2E8A">
        <w:rPr>
          <w:color w:val="333333"/>
        </w:rPr>
        <w:t>OD</w:t>
      </w:r>
      <w:r w:rsidRPr="00371683">
        <w:rPr>
          <w:color w:val="333333"/>
        </w:rPr>
        <w:t xml:space="preserve"> and PUCO where the PUCO designs, manages, and supervises the aggregation process for PIPP customers.</w:t>
      </w:r>
      <w:r>
        <w:rPr>
          <w:rStyle w:val="FootnoteReference"/>
          <w:color w:val="333333"/>
        </w:rPr>
        <w:footnoteReference w:id="8"/>
      </w:r>
      <w:r w:rsidRPr="00371683">
        <w:rPr>
          <w:color w:val="333333"/>
        </w:rPr>
        <w:t xml:space="preserve"> The costs associated with the aggregation are embedded within the administrative costs that OD</w:t>
      </w:r>
      <w:r w:rsidRPr="00371683" w:rsidR="005C2E8A">
        <w:rPr>
          <w:color w:val="333333"/>
        </w:rPr>
        <w:t>OD</w:t>
      </w:r>
      <w:r w:rsidRPr="00371683">
        <w:rPr>
          <w:color w:val="333333"/>
        </w:rPr>
        <w:t xml:space="preserve"> seeks to collect from consumers in the USF.</w:t>
      </w:r>
      <w:r>
        <w:rPr>
          <w:rStyle w:val="FootnoteReference"/>
          <w:color w:val="333333"/>
        </w:rPr>
        <w:footnoteReference w:id="9"/>
      </w:r>
      <w:r w:rsidRPr="00371683">
        <w:rPr>
          <w:color w:val="333333"/>
        </w:rPr>
        <w:t xml:space="preserve"> </w:t>
      </w:r>
    </w:p>
    <w:p w:rsidR="00043BA5" w:rsidRPr="00371683" w:rsidP="00701DE6" w14:paraId="0DC30B55" w14:textId="11663BBB">
      <w:pPr>
        <w:spacing w:after="0" w:line="480" w:lineRule="auto"/>
        <w:ind w:firstLine="720"/>
        <w:rPr>
          <w:rFonts w:ascii="Times New Roman" w:hAnsi="Times New Roman" w:cs="Times New Roman"/>
          <w:sz w:val="24"/>
          <w:szCs w:val="24"/>
        </w:rPr>
      </w:pPr>
      <w:r w:rsidRPr="00371683">
        <w:rPr>
          <w:rFonts w:ascii="Times New Roman" w:hAnsi="Times New Roman" w:cs="Times New Roman"/>
          <w:sz w:val="24"/>
          <w:szCs w:val="24"/>
        </w:rPr>
        <w:t>Since 2015, Ohio law has required the aggregation of PIPP customers through a competitive auction process for the supply of electricity.</w:t>
      </w:r>
      <w:r>
        <w:rPr>
          <w:rStyle w:val="FootnoteReference"/>
          <w:rFonts w:ascii="Times New Roman" w:hAnsi="Times New Roman" w:cs="Times New Roman"/>
          <w:sz w:val="24"/>
          <w:szCs w:val="24"/>
        </w:rPr>
        <w:footnoteReference w:id="10"/>
      </w:r>
      <w:r w:rsidRPr="00371683" w:rsidR="00701DE6">
        <w:rPr>
          <w:rFonts w:ascii="Times New Roman" w:hAnsi="Times New Roman" w:cs="Times New Roman"/>
          <w:sz w:val="24"/>
          <w:szCs w:val="24"/>
        </w:rPr>
        <w:t xml:space="preserve"> </w:t>
      </w:r>
      <w:r w:rsidRPr="00371683">
        <w:rPr>
          <w:rFonts w:ascii="Times New Roman" w:hAnsi="Times New Roman" w:cs="Times New Roman"/>
          <w:sz w:val="24"/>
          <w:szCs w:val="24"/>
        </w:rPr>
        <w:t xml:space="preserve">Ohio law </w:t>
      </w:r>
      <w:r w:rsidRPr="00371683" w:rsidR="00127625">
        <w:rPr>
          <w:rFonts w:ascii="Times New Roman" w:hAnsi="Times New Roman" w:cs="Times New Roman"/>
          <w:sz w:val="24"/>
          <w:szCs w:val="24"/>
        </w:rPr>
        <w:t>has</w:t>
      </w:r>
      <w:r w:rsidRPr="00371683">
        <w:rPr>
          <w:rFonts w:ascii="Times New Roman" w:hAnsi="Times New Roman" w:cs="Times New Roman"/>
          <w:sz w:val="24"/>
          <w:szCs w:val="24"/>
        </w:rPr>
        <w:t xml:space="preserve"> explicit requirements for the selection of the winning competitive bid.</w:t>
      </w:r>
      <w:r>
        <w:rPr>
          <w:rStyle w:val="FootnoteReference"/>
          <w:rFonts w:ascii="Times New Roman" w:hAnsi="Times New Roman" w:cs="Times New Roman"/>
          <w:sz w:val="24"/>
          <w:szCs w:val="24"/>
        </w:rPr>
        <w:footnoteReference w:id="11"/>
      </w:r>
      <w:r w:rsidRPr="00371683">
        <w:rPr>
          <w:rFonts w:ascii="Times New Roman" w:hAnsi="Times New Roman" w:cs="Times New Roman"/>
          <w:sz w:val="24"/>
          <w:szCs w:val="24"/>
        </w:rPr>
        <w:t xml:space="preserve"> The</w:t>
      </w:r>
      <w:r w:rsidRPr="00371683" w:rsidR="00806807">
        <w:rPr>
          <w:rFonts w:ascii="Times New Roman" w:hAnsi="Times New Roman" w:cs="Times New Roman"/>
          <w:sz w:val="24"/>
          <w:szCs w:val="24"/>
        </w:rPr>
        <w:t xml:space="preserve"> law requires the PIPP auction process to comply with each of the </w:t>
      </w:r>
      <w:r w:rsidRPr="00371683">
        <w:rPr>
          <w:rFonts w:ascii="Times New Roman" w:hAnsi="Times New Roman" w:cs="Times New Roman"/>
          <w:sz w:val="24"/>
          <w:szCs w:val="24"/>
        </w:rPr>
        <w:t>follow</w:t>
      </w:r>
      <w:r w:rsidRPr="00371683" w:rsidR="00806807">
        <w:rPr>
          <w:rFonts w:ascii="Times New Roman" w:hAnsi="Times New Roman" w:cs="Times New Roman"/>
          <w:sz w:val="24"/>
          <w:szCs w:val="24"/>
        </w:rPr>
        <w:t>ing</w:t>
      </w:r>
      <w:r w:rsidRPr="00371683">
        <w:rPr>
          <w:rFonts w:ascii="Times New Roman" w:hAnsi="Times New Roman" w:cs="Times New Roman"/>
          <w:sz w:val="24"/>
          <w:szCs w:val="24"/>
        </w:rPr>
        <w:t>:</w:t>
      </w:r>
    </w:p>
    <w:p w:rsidR="00043BA5" w:rsidRPr="00371683" w:rsidP="006C2A2F" w14:paraId="0E966338" w14:textId="060A3419">
      <w:pPr>
        <w:pStyle w:val="NormalWeb"/>
        <w:shd w:val="clear" w:color="auto" w:fill="FFFFFF"/>
        <w:spacing w:before="0" w:beforeAutospacing="0" w:after="300" w:afterAutospacing="0" w:line="276" w:lineRule="auto"/>
        <w:ind w:left="1440" w:right="1440"/>
        <w:rPr>
          <w:color w:val="333333"/>
        </w:rPr>
      </w:pPr>
      <w:r w:rsidRPr="00371683">
        <w:t xml:space="preserve">(A) </w:t>
      </w:r>
      <w:r w:rsidRPr="00371683">
        <w:rPr>
          <w:color w:val="333333"/>
        </w:rPr>
        <w:t>Be designed to provide reliable competitive retail electric service to percentage of income payment plan program customers;</w:t>
      </w:r>
    </w:p>
    <w:p w:rsidR="00043BA5" w:rsidRPr="00371683" w:rsidP="006C2A2F" w14:paraId="3A691CAF" w14:textId="0BFB287D">
      <w:pPr>
        <w:pStyle w:val="NormalWeb"/>
        <w:shd w:val="clear" w:color="auto" w:fill="FFFFFF"/>
        <w:spacing w:before="0" w:beforeAutospacing="0" w:after="0" w:afterAutospacing="0" w:line="276" w:lineRule="auto"/>
        <w:ind w:left="1440" w:right="1440"/>
        <w:rPr>
          <w:color w:val="333333"/>
        </w:rPr>
      </w:pPr>
      <w:r w:rsidRPr="00371683">
        <w:rPr>
          <w:color w:val="333333"/>
        </w:rPr>
        <w:t>(B) Reduce the cost of the percentage of income payment plan program relative to the otherwise applicable standard service offer established under sections </w:t>
      </w:r>
      <w:hyperlink r:id="rId10" w:history="1">
        <w:r w:rsidRPr="00371683">
          <w:rPr>
            <w:rStyle w:val="Hyperlink"/>
            <w:color w:val="0F578A"/>
          </w:rPr>
          <w:t>4928.141</w:t>
        </w:r>
      </w:hyperlink>
      <w:r w:rsidRPr="00371683">
        <w:rPr>
          <w:color w:val="333333"/>
        </w:rPr>
        <w:t>, </w:t>
      </w:r>
      <w:hyperlink r:id="rId10" w:history="1">
        <w:r w:rsidRPr="00371683">
          <w:rPr>
            <w:rStyle w:val="Hyperlink"/>
            <w:color w:val="0F578A"/>
          </w:rPr>
          <w:t>4928.142</w:t>
        </w:r>
      </w:hyperlink>
      <w:r w:rsidRPr="00371683">
        <w:rPr>
          <w:color w:val="333333"/>
        </w:rPr>
        <w:t>, and </w:t>
      </w:r>
      <w:hyperlink r:id="rId10" w:history="1">
        <w:r w:rsidRPr="00371683">
          <w:rPr>
            <w:rStyle w:val="Hyperlink"/>
            <w:color w:val="0F578A"/>
          </w:rPr>
          <w:t>4928.143</w:t>
        </w:r>
      </w:hyperlink>
      <w:r w:rsidRPr="00371683">
        <w:rPr>
          <w:color w:val="333333"/>
        </w:rPr>
        <w:t> of the Revised Code;</w:t>
      </w:r>
      <w:r w:rsidRPr="00371683" w:rsidR="00EE649B">
        <w:rPr>
          <w:color w:val="333333"/>
        </w:rPr>
        <w:t xml:space="preserve"> and</w:t>
      </w:r>
    </w:p>
    <w:p w:rsidR="00043BA5" w:rsidRPr="00371683" w:rsidP="006C2A2F" w14:paraId="6D7E2808" w14:textId="77777777">
      <w:pPr>
        <w:pStyle w:val="NormalWeb"/>
        <w:shd w:val="clear" w:color="auto" w:fill="FFFFFF"/>
        <w:spacing w:before="0" w:beforeAutospacing="0" w:after="0" w:afterAutospacing="0" w:line="276" w:lineRule="auto"/>
        <w:ind w:left="1440" w:right="1440"/>
        <w:rPr>
          <w:color w:val="333333"/>
        </w:rPr>
      </w:pPr>
    </w:p>
    <w:p w:rsidR="00043BA5" w:rsidRPr="00371683" w:rsidP="006C2A2F" w14:paraId="1BD2BF88" w14:textId="507D626F">
      <w:pPr>
        <w:pStyle w:val="NormalWeb"/>
        <w:shd w:val="clear" w:color="auto" w:fill="FFFFFF"/>
        <w:spacing w:before="0" w:beforeAutospacing="0" w:after="0" w:afterAutospacing="0" w:line="276" w:lineRule="auto"/>
        <w:ind w:left="1440" w:right="1440"/>
        <w:rPr>
          <w:color w:val="333333"/>
        </w:rPr>
      </w:pPr>
      <w:r w:rsidRPr="00371683">
        <w:rPr>
          <w:color w:val="333333"/>
        </w:rPr>
        <w:t>(C) Result in the best value for persons paying the universal service rider under section </w:t>
      </w:r>
      <w:hyperlink r:id="rId10" w:history="1">
        <w:r w:rsidRPr="00371683">
          <w:rPr>
            <w:rStyle w:val="Hyperlink"/>
            <w:color w:val="0F578A"/>
          </w:rPr>
          <w:t>4928.52</w:t>
        </w:r>
      </w:hyperlink>
      <w:r w:rsidRPr="00371683">
        <w:rPr>
          <w:color w:val="333333"/>
        </w:rPr>
        <w:t> of the Revised Code.</w:t>
      </w:r>
      <w:r>
        <w:rPr>
          <w:rStyle w:val="FootnoteReference"/>
          <w:color w:val="333333"/>
        </w:rPr>
        <w:footnoteReference w:id="12"/>
      </w:r>
    </w:p>
    <w:p w:rsidR="00C90C13" w:rsidRPr="00371683" w:rsidP="00C969E4" w14:paraId="61D03810" w14:textId="0C03969B">
      <w:pPr>
        <w:pStyle w:val="NormalWeb"/>
        <w:shd w:val="clear" w:color="auto" w:fill="FFFFFF"/>
        <w:spacing w:before="0" w:beforeAutospacing="0" w:after="0" w:afterAutospacing="0" w:line="276" w:lineRule="auto"/>
        <w:rPr>
          <w:color w:val="333333"/>
        </w:rPr>
      </w:pPr>
    </w:p>
    <w:p w:rsidR="00987373" w:rsidRPr="00371683" w:rsidP="00BB34C6" w14:paraId="714F958E" w14:textId="1C427FE6">
      <w:pPr>
        <w:pStyle w:val="NormalWeb"/>
        <w:shd w:val="clear" w:color="auto" w:fill="FFFFFF"/>
        <w:spacing w:before="0" w:beforeAutospacing="0" w:after="0" w:afterAutospacing="0" w:line="480" w:lineRule="auto"/>
        <w:rPr>
          <w:color w:val="333333"/>
        </w:rPr>
      </w:pPr>
      <w:r w:rsidRPr="00371683">
        <w:rPr>
          <w:color w:val="333333"/>
        </w:rPr>
        <w:tab/>
      </w:r>
      <w:r w:rsidRPr="00371683" w:rsidR="003F19D1">
        <w:rPr>
          <w:color w:val="333333"/>
        </w:rPr>
        <w:t xml:space="preserve">Under </w:t>
      </w:r>
      <w:r w:rsidRPr="00371683" w:rsidR="007E63D8">
        <w:rPr>
          <w:color w:val="333333"/>
        </w:rPr>
        <w:t>Ohio law,</w:t>
      </w:r>
      <w:r w:rsidRPr="00371683" w:rsidR="003F19D1">
        <w:rPr>
          <w:color w:val="333333"/>
        </w:rPr>
        <w:t xml:space="preserve"> </w:t>
      </w:r>
      <w:r w:rsidRPr="00371683" w:rsidR="00077A80">
        <w:rPr>
          <w:color w:val="333333"/>
        </w:rPr>
        <w:t xml:space="preserve">the </w:t>
      </w:r>
      <w:r w:rsidRPr="00371683" w:rsidR="003F19D1">
        <w:rPr>
          <w:color w:val="333333"/>
        </w:rPr>
        <w:t xml:space="preserve">PIPP auction result should be no </w:t>
      </w:r>
      <w:r w:rsidRPr="00371683" w:rsidR="00077A80">
        <w:rPr>
          <w:color w:val="333333"/>
        </w:rPr>
        <w:t xml:space="preserve">higher </w:t>
      </w:r>
      <w:r w:rsidRPr="00371683" w:rsidR="003F19D1">
        <w:rPr>
          <w:color w:val="333333"/>
        </w:rPr>
        <w:t xml:space="preserve">than the </w:t>
      </w:r>
      <w:r w:rsidRPr="00371683">
        <w:rPr>
          <w:color w:val="333333"/>
        </w:rPr>
        <w:t>standard service offer (“</w:t>
      </w:r>
      <w:r w:rsidRPr="00371683" w:rsidR="003F19D1">
        <w:rPr>
          <w:color w:val="333333"/>
        </w:rPr>
        <w:t>SSO</w:t>
      </w:r>
      <w:r w:rsidRPr="00371683">
        <w:rPr>
          <w:color w:val="333333"/>
        </w:rPr>
        <w:t>”)</w:t>
      </w:r>
      <w:r w:rsidRPr="00371683" w:rsidR="003F19D1">
        <w:rPr>
          <w:color w:val="333333"/>
        </w:rPr>
        <w:t xml:space="preserve"> auction result. R.C. 4928.54</w:t>
      </w:r>
      <w:r w:rsidRPr="00371683">
        <w:rPr>
          <w:color w:val="333333"/>
        </w:rPr>
        <w:t>2</w:t>
      </w:r>
      <w:r w:rsidRPr="00371683" w:rsidR="003F19D1">
        <w:rPr>
          <w:color w:val="333333"/>
        </w:rPr>
        <w:t>(B)</w:t>
      </w:r>
      <w:r w:rsidRPr="00371683" w:rsidR="00297ED6">
        <w:rPr>
          <w:color w:val="333333"/>
        </w:rPr>
        <w:t xml:space="preserve"> requires that the PIPP auction process reduce the cost of the percentage of income payment plan program relative to the SSO. </w:t>
      </w:r>
      <w:r w:rsidRPr="00371683" w:rsidR="008038A2">
        <w:rPr>
          <w:color w:val="333333"/>
        </w:rPr>
        <w:t xml:space="preserve">PIPP auction results </w:t>
      </w:r>
      <w:r w:rsidRPr="00371683" w:rsidR="00850C06">
        <w:rPr>
          <w:color w:val="333333"/>
        </w:rPr>
        <w:t xml:space="preserve">that are </w:t>
      </w:r>
      <w:r w:rsidRPr="00371683" w:rsidR="008038A2">
        <w:rPr>
          <w:color w:val="333333"/>
        </w:rPr>
        <w:t>higher than the SSO auction results</w:t>
      </w:r>
      <w:r w:rsidRPr="00371683" w:rsidR="00850C06">
        <w:rPr>
          <w:color w:val="333333"/>
        </w:rPr>
        <w:t xml:space="preserve"> violate </w:t>
      </w:r>
      <w:r w:rsidRPr="00371683" w:rsidR="008038A2">
        <w:rPr>
          <w:color w:val="333333"/>
        </w:rPr>
        <w:t>R.C. 4928.54</w:t>
      </w:r>
      <w:r w:rsidRPr="00371683">
        <w:rPr>
          <w:color w:val="333333"/>
        </w:rPr>
        <w:t>2</w:t>
      </w:r>
      <w:r w:rsidRPr="00371683" w:rsidR="00850C06">
        <w:rPr>
          <w:color w:val="333333"/>
        </w:rPr>
        <w:t xml:space="preserve">. </w:t>
      </w:r>
    </w:p>
    <w:p w:rsidR="00E70D8A" w:rsidRPr="00371683" w:rsidP="00E70D8A" w14:paraId="5AEEBAD1" w14:textId="77777777">
      <w:pPr>
        <w:spacing w:after="0" w:line="480" w:lineRule="auto"/>
        <w:ind w:firstLine="720"/>
        <w:rPr>
          <w:rFonts w:ascii="Times New Roman" w:hAnsi="Times New Roman" w:cs="Times New Roman"/>
          <w:color w:val="333333"/>
          <w:sz w:val="24"/>
          <w:szCs w:val="24"/>
        </w:rPr>
      </w:pPr>
      <w:r w:rsidRPr="00371683">
        <w:rPr>
          <w:rFonts w:ascii="Times New Roman" w:hAnsi="Times New Roman" w:cs="Times New Roman"/>
          <w:sz w:val="24"/>
          <w:szCs w:val="24"/>
        </w:rPr>
        <w:t xml:space="preserve">Further review and modifications of the PIPP supply procurement process is necessary by the ODOD and/or the PUCO to prevent unreasonably high PIPP costs and associated USF rates being passed on to all consumers. </w:t>
      </w:r>
      <w:r w:rsidRPr="00371683">
        <w:rPr>
          <w:rFonts w:ascii="Times New Roman" w:hAnsi="Times New Roman" w:cs="Times New Roman"/>
          <w:color w:val="333333"/>
          <w:sz w:val="24"/>
          <w:szCs w:val="24"/>
        </w:rPr>
        <w:t>Despite the intent of Ohio law</w:t>
      </w:r>
      <w:r>
        <w:rPr>
          <w:rStyle w:val="FootnoteReference"/>
          <w:rFonts w:ascii="Times New Roman" w:hAnsi="Times New Roman" w:cs="Times New Roman"/>
          <w:color w:val="333333"/>
          <w:sz w:val="24"/>
          <w:szCs w:val="24"/>
        </w:rPr>
        <w:footnoteReference w:id="13"/>
      </w:r>
      <w:r w:rsidRPr="00371683">
        <w:rPr>
          <w:rFonts w:ascii="Times New Roman" w:hAnsi="Times New Roman" w:cs="Times New Roman"/>
          <w:color w:val="333333"/>
          <w:sz w:val="24"/>
          <w:szCs w:val="24"/>
        </w:rPr>
        <w:t xml:space="preserve"> to use an auction process to reduce PIPP and USF costs, </w:t>
      </w:r>
      <w:r w:rsidRPr="00371683">
        <w:rPr>
          <w:rFonts w:ascii="Times New Roman" w:hAnsi="Times New Roman" w:cs="Times New Roman"/>
          <w:i/>
          <w:iCs/>
          <w:color w:val="333333"/>
          <w:sz w:val="24"/>
          <w:szCs w:val="24"/>
        </w:rPr>
        <w:t>all</w:t>
      </w:r>
      <w:r w:rsidRPr="00371683">
        <w:rPr>
          <w:rFonts w:ascii="Times New Roman" w:hAnsi="Times New Roman" w:cs="Times New Roman"/>
          <w:color w:val="333333"/>
          <w:sz w:val="24"/>
          <w:szCs w:val="24"/>
        </w:rPr>
        <w:t xml:space="preserve"> of the Ohio electric distribution utilities are currently charging higher generation rates for PIPP customers than the generation rates that are charged for residential consumers served under the Standard Service Offer (“SSO”).</w:t>
      </w:r>
      <w:r>
        <w:rPr>
          <w:rStyle w:val="FootnoteReference"/>
          <w:rFonts w:ascii="Times New Roman" w:hAnsi="Times New Roman" w:cs="Times New Roman"/>
          <w:color w:val="333333"/>
          <w:sz w:val="24"/>
          <w:szCs w:val="24"/>
        </w:rPr>
        <w:footnoteReference w:id="14"/>
      </w:r>
      <w:r w:rsidRPr="00371683">
        <w:rPr>
          <w:rFonts w:ascii="Times New Roman" w:hAnsi="Times New Roman" w:cs="Times New Roman"/>
          <w:color w:val="333333"/>
          <w:sz w:val="24"/>
          <w:szCs w:val="24"/>
        </w:rPr>
        <w:t xml:space="preserve"> </w:t>
      </w:r>
    </w:p>
    <w:p w:rsidR="00E70D8A" w:rsidRPr="00371683" w:rsidP="00E70D8A" w14:paraId="1381D153" w14:textId="380E70B4">
      <w:pPr>
        <w:spacing w:after="0" w:line="480" w:lineRule="auto"/>
        <w:ind w:firstLine="720"/>
        <w:rPr>
          <w:rFonts w:ascii="Times New Roman" w:hAnsi="Times New Roman" w:cs="Times New Roman"/>
          <w:sz w:val="24"/>
          <w:szCs w:val="24"/>
        </w:rPr>
      </w:pPr>
      <w:r w:rsidRPr="00371683">
        <w:rPr>
          <w:rFonts w:ascii="Times New Roman" w:hAnsi="Times New Roman" w:cs="Times New Roman"/>
          <w:color w:val="333333"/>
          <w:sz w:val="24"/>
          <w:szCs w:val="24"/>
        </w:rPr>
        <w:t>This issue was raised by the OCC in last year’s USF case where the auction process resulted in two Ohio EDU’s (AEP Ohio and AES Ohio) charging PIPP customers generation rates that are higher than SSO rates.</w:t>
      </w:r>
      <w:r>
        <w:rPr>
          <w:rStyle w:val="FootnoteReference"/>
          <w:rFonts w:ascii="Times New Roman" w:hAnsi="Times New Roman" w:cs="Times New Roman"/>
          <w:color w:val="333333"/>
          <w:sz w:val="24"/>
          <w:szCs w:val="24"/>
        </w:rPr>
        <w:footnoteReference w:id="15"/>
      </w:r>
      <w:r w:rsidRPr="00371683">
        <w:rPr>
          <w:rFonts w:ascii="Times New Roman" w:hAnsi="Times New Roman" w:cs="Times New Roman"/>
          <w:color w:val="333333"/>
          <w:sz w:val="24"/>
          <w:szCs w:val="24"/>
        </w:rPr>
        <w:t xml:space="preserve"> Regrettably, the underlying problems with the auction process were not addressed, and this is resulting in more serious impacts on all consumers paying the USF rider this year. </w:t>
      </w:r>
      <w:r w:rsidRPr="00371683">
        <w:rPr>
          <w:rFonts w:ascii="Times New Roman" w:hAnsi="Times New Roman" w:cs="Times New Roman"/>
          <w:sz w:val="24"/>
          <w:szCs w:val="24"/>
        </w:rPr>
        <w:t>And if the issue is not addressed in this year’s USF, the PIPP auction rates could be even higher next year.</w:t>
      </w:r>
      <w:r w:rsidRPr="00371683" w:rsidR="00690016">
        <w:rPr>
          <w:rFonts w:ascii="Times New Roman" w:hAnsi="Times New Roman" w:cs="Times New Roman"/>
          <w:sz w:val="24"/>
          <w:szCs w:val="24"/>
        </w:rPr>
        <w:t xml:space="preserve"> </w:t>
      </w:r>
    </w:p>
    <w:p w:rsidR="008038A2" w:rsidRPr="00371683" w:rsidP="00987373" w14:paraId="385B5AC2" w14:textId="1FDB9DD3">
      <w:pPr>
        <w:pStyle w:val="NormalWeb"/>
        <w:shd w:val="clear" w:color="auto" w:fill="FFFFFF"/>
        <w:spacing w:before="0" w:beforeAutospacing="0" w:after="0" w:afterAutospacing="0" w:line="480" w:lineRule="auto"/>
        <w:ind w:firstLine="720"/>
        <w:rPr>
          <w:color w:val="333333"/>
        </w:rPr>
      </w:pPr>
      <w:r w:rsidRPr="00371683">
        <w:rPr>
          <w:color w:val="333333"/>
        </w:rPr>
        <w:t xml:space="preserve">Higher PIPP rates as compared to the SSO rates negatively impact </w:t>
      </w:r>
      <w:r w:rsidRPr="00371683" w:rsidR="00850C06">
        <w:rPr>
          <w:color w:val="333333"/>
        </w:rPr>
        <w:t xml:space="preserve">low-income </w:t>
      </w:r>
      <w:r w:rsidRPr="00371683">
        <w:rPr>
          <w:color w:val="333333"/>
        </w:rPr>
        <w:t xml:space="preserve">consumers who are on PIPP because they are being </w:t>
      </w:r>
      <w:r w:rsidRPr="00371683" w:rsidR="00850C06">
        <w:rPr>
          <w:color w:val="333333"/>
        </w:rPr>
        <w:t xml:space="preserve">held responsible </w:t>
      </w:r>
      <w:r w:rsidRPr="00371683">
        <w:rPr>
          <w:color w:val="333333"/>
        </w:rPr>
        <w:t xml:space="preserve">for </w:t>
      </w:r>
      <w:r w:rsidRPr="00371683" w:rsidR="00751938">
        <w:rPr>
          <w:color w:val="333333"/>
        </w:rPr>
        <w:t xml:space="preserve">generation </w:t>
      </w:r>
      <w:r w:rsidRPr="00371683" w:rsidR="00850C06">
        <w:rPr>
          <w:color w:val="333333"/>
        </w:rPr>
        <w:t xml:space="preserve">charges </w:t>
      </w:r>
      <w:r w:rsidRPr="00371683" w:rsidR="0078550A">
        <w:rPr>
          <w:color w:val="333333"/>
        </w:rPr>
        <w:t xml:space="preserve">(rates) </w:t>
      </w:r>
      <w:r w:rsidRPr="00371683" w:rsidR="00751938">
        <w:rPr>
          <w:color w:val="333333"/>
        </w:rPr>
        <w:t xml:space="preserve">on their electric bill that exceed what other consumers are responsible for paying under the </w:t>
      </w:r>
      <w:r w:rsidRPr="00371683" w:rsidR="00850C06">
        <w:rPr>
          <w:color w:val="333333"/>
        </w:rPr>
        <w:t>standard service offer</w:t>
      </w:r>
      <w:r w:rsidRPr="00371683" w:rsidR="00751938">
        <w:rPr>
          <w:color w:val="333333"/>
        </w:rPr>
        <w:t xml:space="preserve">. </w:t>
      </w:r>
      <w:r w:rsidRPr="00371683">
        <w:rPr>
          <w:color w:val="333333"/>
        </w:rPr>
        <w:t xml:space="preserve">And </w:t>
      </w:r>
      <w:r w:rsidRPr="00371683" w:rsidR="00850C06">
        <w:rPr>
          <w:color w:val="333333"/>
        </w:rPr>
        <w:t xml:space="preserve">the very same low-income </w:t>
      </w:r>
      <w:r w:rsidRPr="00371683">
        <w:rPr>
          <w:color w:val="333333"/>
        </w:rPr>
        <w:t xml:space="preserve">PIPP consumers who are </w:t>
      </w:r>
      <w:r w:rsidRPr="00371683" w:rsidR="00751938">
        <w:rPr>
          <w:color w:val="333333"/>
        </w:rPr>
        <w:t xml:space="preserve">responsible for paying the </w:t>
      </w:r>
      <w:r w:rsidRPr="00371683">
        <w:rPr>
          <w:color w:val="333333"/>
        </w:rPr>
        <w:t xml:space="preserve">higher PIPP </w:t>
      </w:r>
      <w:r w:rsidRPr="00371683" w:rsidR="00751938">
        <w:rPr>
          <w:color w:val="333333"/>
        </w:rPr>
        <w:t xml:space="preserve">generation </w:t>
      </w:r>
      <w:r w:rsidRPr="00371683">
        <w:rPr>
          <w:color w:val="333333"/>
        </w:rPr>
        <w:t xml:space="preserve">rates </w:t>
      </w:r>
      <w:r w:rsidRPr="00371683" w:rsidR="00850C06">
        <w:rPr>
          <w:color w:val="333333"/>
        </w:rPr>
        <w:t xml:space="preserve">must </w:t>
      </w:r>
      <w:r w:rsidRPr="00371683">
        <w:rPr>
          <w:color w:val="333333"/>
        </w:rPr>
        <w:t xml:space="preserve">also pay the </w:t>
      </w:r>
      <w:r w:rsidRPr="00371683" w:rsidR="00751938">
        <w:rPr>
          <w:color w:val="333333"/>
        </w:rPr>
        <w:t xml:space="preserve">higher </w:t>
      </w:r>
      <w:r w:rsidRPr="00371683">
        <w:rPr>
          <w:color w:val="333333"/>
        </w:rPr>
        <w:t>USF Rider</w:t>
      </w:r>
      <w:r w:rsidRPr="00371683" w:rsidR="00751938">
        <w:rPr>
          <w:color w:val="333333"/>
        </w:rPr>
        <w:t xml:space="preserve"> rates. </w:t>
      </w:r>
      <w:r w:rsidRPr="00371683" w:rsidR="0051450D">
        <w:rPr>
          <w:color w:val="333333"/>
        </w:rPr>
        <w:t>A</w:t>
      </w:r>
      <w:r w:rsidRPr="00371683">
        <w:rPr>
          <w:color w:val="333333"/>
        </w:rPr>
        <w:t xml:space="preserve">dditionally, when PIPP </w:t>
      </w:r>
      <w:r w:rsidRPr="00371683" w:rsidR="0051450D">
        <w:rPr>
          <w:color w:val="333333"/>
        </w:rPr>
        <w:t xml:space="preserve">generation </w:t>
      </w:r>
      <w:r w:rsidRPr="00371683">
        <w:rPr>
          <w:color w:val="333333"/>
        </w:rPr>
        <w:t xml:space="preserve">rates </w:t>
      </w:r>
      <w:r w:rsidRPr="00371683" w:rsidR="0051450D">
        <w:rPr>
          <w:color w:val="333333"/>
        </w:rPr>
        <w:t xml:space="preserve">exceed </w:t>
      </w:r>
      <w:r w:rsidRPr="00371683">
        <w:rPr>
          <w:color w:val="333333"/>
        </w:rPr>
        <w:t>the SSO</w:t>
      </w:r>
      <w:r w:rsidRPr="00371683" w:rsidR="0051450D">
        <w:rPr>
          <w:color w:val="333333"/>
        </w:rPr>
        <w:t xml:space="preserve"> generation rates, </w:t>
      </w:r>
      <w:r w:rsidRPr="00371683">
        <w:rPr>
          <w:color w:val="333333"/>
        </w:rPr>
        <w:t xml:space="preserve">the USF Rider rates that </w:t>
      </w:r>
      <w:r w:rsidRPr="00371683" w:rsidR="00017AFA">
        <w:rPr>
          <w:color w:val="333333"/>
        </w:rPr>
        <w:t xml:space="preserve">are paid by all </w:t>
      </w:r>
      <w:r w:rsidRPr="00371683">
        <w:rPr>
          <w:color w:val="333333"/>
        </w:rPr>
        <w:t xml:space="preserve">electric utility customers to support the PIPP program </w:t>
      </w:r>
      <w:r w:rsidRPr="00371683" w:rsidR="00017AFA">
        <w:rPr>
          <w:color w:val="333333"/>
        </w:rPr>
        <w:t xml:space="preserve">must </w:t>
      </w:r>
      <w:r w:rsidRPr="00371683">
        <w:rPr>
          <w:color w:val="333333"/>
        </w:rPr>
        <w:t>also increase.</w:t>
      </w:r>
      <w:r w:rsidRPr="00371683" w:rsidR="00701DE6">
        <w:rPr>
          <w:color w:val="333333"/>
        </w:rPr>
        <w:t xml:space="preserve"> </w:t>
      </w:r>
    </w:p>
    <w:p w:rsidR="00371683" w:rsidRPr="0093249C" w:rsidP="0093249C" w14:paraId="56131A58" w14:textId="24BF650E">
      <w:pPr>
        <w:pStyle w:val="NormalWeb"/>
        <w:shd w:val="clear" w:color="auto" w:fill="FFFFFF"/>
        <w:spacing w:before="0" w:beforeAutospacing="0" w:after="0" w:afterAutospacing="0" w:line="480" w:lineRule="auto"/>
        <w:ind w:firstLine="720"/>
        <w:rPr>
          <w:color w:val="333333"/>
        </w:rPr>
      </w:pPr>
      <w:r w:rsidRPr="00371683">
        <w:rPr>
          <w:color w:val="333333"/>
        </w:rPr>
        <w:t xml:space="preserve">Despite the intent of </w:t>
      </w:r>
      <w:r w:rsidRPr="00371683" w:rsidR="008A116C">
        <w:rPr>
          <w:color w:val="333333"/>
        </w:rPr>
        <w:t xml:space="preserve">Ohio </w:t>
      </w:r>
      <w:r w:rsidRPr="00371683">
        <w:rPr>
          <w:color w:val="333333"/>
        </w:rPr>
        <w:t>law</w:t>
      </w:r>
      <w:r w:rsidRPr="00371683" w:rsidR="008A116C">
        <w:rPr>
          <w:color w:val="333333"/>
        </w:rPr>
        <w:t xml:space="preserve"> </w:t>
      </w:r>
      <w:r w:rsidRPr="00371683" w:rsidR="00322ACB">
        <w:rPr>
          <w:color w:val="333333"/>
        </w:rPr>
        <w:t>under R.C. 4928.54 to</w:t>
      </w:r>
      <w:r w:rsidRPr="00371683" w:rsidR="008A116C">
        <w:rPr>
          <w:color w:val="333333"/>
        </w:rPr>
        <w:t xml:space="preserve"> </w:t>
      </w:r>
      <w:r w:rsidRPr="00371683" w:rsidR="00C56887">
        <w:rPr>
          <w:color w:val="333333"/>
        </w:rPr>
        <w:t xml:space="preserve">use an auction process to </w:t>
      </w:r>
      <w:r w:rsidRPr="00371683" w:rsidR="008A116C">
        <w:rPr>
          <w:color w:val="333333"/>
        </w:rPr>
        <w:t xml:space="preserve">reduce </w:t>
      </w:r>
      <w:r w:rsidRPr="00371683" w:rsidR="00EA3807">
        <w:rPr>
          <w:color w:val="333333"/>
        </w:rPr>
        <w:t xml:space="preserve">USF </w:t>
      </w:r>
      <w:r w:rsidRPr="00371683" w:rsidR="008A116C">
        <w:rPr>
          <w:color w:val="333333"/>
        </w:rPr>
        <w:t>costs,</w:t>
      </w:r>
      <w:r w:rsidRPr="00371683" w:rsidR="00D73F8A">
        <w:rPr>
          <w:color w:val="333333"/>
        </w:rPr>
        <w:t xml:space="preserve"> the PUCO has approved PIPP generation rates that exceed </w:t>
      </w:r>
      <w:r w:rsidRPr="00371683" w:rsidR="00107531">
        <w:rPr>
          <w:color w:val="333333"/>
        </w:rPr>
        <w:t xml:space="preserve">the </w:t>
      </w:r>
      <w:r w:rsidRPr="00371683" w:rsidR="00D73F8A">
        <w:rPr>
          <w:color w:val="333333"/>
        </w:rPr>
        <w:t>rates that each of the</w:t>
      </w:r>
      <w:r w:rsidRPr="00371683" w:rsidR="00987373">
        <w:rPr>
          <w:color w:val="333333"/>
        </w:rPr>
        <w:t xml:space="preserve"> Ohio electric distribution utilities </w:t>
      </w:r>
      <w:r w:rsidRPr="00371683" w:rsidR="00107531">
        <w:rPr>
          <w:color w:val="333333"/>
        </w:rPr>
        <w:t xml:space="preserve">charge consumers for generation under the standard service </w:t>
      </w:r>
      <w:r w:rsidRPr="00371683" w:rsidR="00987373">
        <w:rPr>
          <w:color w:val="333333"/>
        </w:rPr>
        <w:t>off</w:t>
      </w:r>
      <w:r w:rsidRPr="00371683" w:rsidR="00107531">
        <w:rPr>
          <w:color w:val="333333"/>
        </w:rPr>
        <w:t>er. The following table provides a comparison of the rates that the PUCO has authorized each EDU to charge consumers for generation services under the</w:t>
      </w:r>
      <w:r w:rsidR="00A12F20">
        <w:rPr>
          <w:color w:val="333333"/>
        </w:rPr>
        <w:t xml:space="preserve"> </w:t>
      </w:r>
      <w:r w:rsidRPr="00371683" w:rsidR="00107531">
        <w:rPr>
          <w:color w:val="333333"/>
        </w:rPr>
        <w:t>SSO compared to the PIPP rate</w:t>
      </w:r>
      <w:r w:rsidRPr="00371683" w:rsidR="00CD4D71">
        <w:rPr>
          <w:color w:val="333333"/>
        </w:rPr>
        <w:t xml:space="preserve">s that were approved </w:t>
      </w:r>
      <w:r w:rsidRPr="00371683" w:rsidR="00107531">
        <w:rPr>
          <w:color w:val="333333"/>
        </w:rPr>
        <w:t xml:space="preserve">for generation services. </w:t>
      </w:r>
      <w:r>
        <w:rPr>
          <w:b/>
          <w:bCs/>
          <w:color w:val="333333"/>
        </w:rPr>
        <w:br w:type="page"/>
      </w:r>
    </w:p>
    <w:p w:rsidR="00107531" w:rsidRPr="00371683" w:rsidP="00F5295F" w14:paraId="52237954" w14:textId="51877EAA">
      <w:pPr>
        <w:pStyle w:val="NormalWeb"/>
        <w:shd w:val="clear" w:color="auto" w:fill="FFFFFF"/>
        <w:spacing w:before="0" w:beforeAutospacing="0" w:after="0" w:afterAutospacing="0" w:line="480" w:lineRule="auto"/>
        <w:ind w:firstLine="720"/>
        <w:jc w:val="center"/>
        <w:rPr>
          <w:b/>
          <w:bCs/>
          <w:color w:val="333333"/>
        </w:rPr>
      </w:pPr>
      <w:r w:rsidRPr="00371683">
        <w:rPr>
          <w:b/>
          <w:bCs/>
          <w:color w:val="333333"/>
        </w:rPr>
        <w:t xml:space="preserve">Table 1: EDU SSO </w:t>
      </w:r>
      <w:r w:rsidRPr="00371683" w:rsidR="004B73A6">
        <w:rPr>
          <w:b/>
          <w:bCs/>
          <w:color w:val="333333"/>
        </w:rPr>
        <w:t xml:space="preserve">Generation </w:t>
      </w:r>
      <w:r w:rsidRPr="00371683">
        <w:rPr>
          <w:b/>
          <w:bCs/>
          <w:color w:val="333333"/>
        </w:rPr>
        <w:t>Rates Compared to PIPP Generation Rates</w:t>
      </w:r>
    </w:p>
    <w:tbl>
      <w:tblPr>
        <w:tblStyle w:val="TableGrid"/>
        <w:tblW w:w="0" w:type="auto"/>
        <w:tblLook w:val="04A0"/>
      </w:tblPr>
      <w:tblGrid>
        <w:gridCol w:w="2175"/>
        <w:gridCol w:w="2154"/>
        <w:gridCol w:w="2154"/>
        <w:gridCol w:w="2147"/>
      </w:tblGrid>
      <w:tr w14:paraId="5E46353D" w14:textId="77777777" w:rsidTr="00701DE6">
        <w:tblPrEx>
          <w:tblW w:w="0" w:type="auto"/>
          <w:tblLook w:val="04A0"/>
        </w:tblPrEx>
        <w:tc>
          <w:tcPr>
            <w:tcW w:w="2175" w:type="dxa"/>
          </w:tcPr>
          <w:p w:rsidR="00107531" w:rsidRPr="00371683" w:rsidP="00F5295F" w14:paraId="2D78C942" w14:textId="27363001">
            <w:pPr>
              <w:pStyle w:val="NormalWeb"/>
              <w:spacing w:before="0" w:beforeAutospacing="0" w:after="0" w:afterAutospacing="0"/>
              <w:rPr>
                <w:color w:val="333333"/>
              </w:rPr>
            </w:pPr>
            <w:r w:rsidRPr="00371683">
              <w:rPr>
                <w:color w:val="333333"/>
              </w:rPr>
              <w:t>EDU</w:t>
            </w:r>
          </w:p>
        </w:tc>
        <w:tc>
          <w:tcPr>
            <w:tcW w:w="2154" w:type="dxa"/>
          </w:tcPr>
          <w:p w:rsidR="00107531" w:rsidRPr="00371683" w:rsidP="00F5295F" w14:paraId="0DCDA692" w14:textId="1074DD6F">
            <w:pPr>
              <w:pStyle w:val="NormalWeb"/>
              <w:spacing w:before="0" w:beforeAutospacing="0" w:after="0" w:afterAutospacing="0"/>
              <w:rPr>
                <w:color w:val="333333"/>
              </w:rPr>
            </w:pPr>
            <w:r w:rsidRPr="00371683">
              <w:rPr>
                <w:color w:val="333333"/>
              </w:rPr>
              <w:t xml:space="preserve">SSO </w:t>
            </w:r>
            <w:r w:rsidRPr="00371683" w:rsidR="00986917">
              <w:rPr>
                <w:color w:val="333333"/>
              </w:rPr>
              <w:t xml:space="preserve">Generation </w:t>
            </w:r>
            <w:r w:rsidRPr="00371683">
              <w:rPr>
                <w:color w:val="333333"/>
              </w:rPr>
              <w:t>Rate ($/ kWh)</w:t>
            </w:r>
          </w:p>
        </w:tc>
        <w:tc>
          <w:tcPr>
            <w:tcW w:w="2154" w:type="dxa"/>
          </w:tcPr>
          <w:p w:rsidR="00107531" w:rsidRPr="00371683" w:rsidP="00F5295F" w14:paraId="257BEE5B" w14:textId="39CE61CE">
            <w:pPr>
              <w:pStyle w:val="NormalWeb"/>
              <w:spacing w:before="0" w:beforeAutospacing="0" w:after="0" w:afterAutospacing="0"/>
              <w:rPr>
                <w:color w:val="333333"/>
              </w:rPr>
            </w:pPr>
            <w:r w:rsidRPr="00371683">
              <w:rPr>
                <w:color w:val="333333"/>
              </w:rPr>
              <w:t xml:space="preserve">PIPP </w:t>
            </w:r>
            <w:r w:rsidRPr="00371683" w:rsidR="00986917">
              <w:rPr>
                <w:color w:val="333333"/>
              </w:rPr>
              <w:t xml:space="preserve">Generation </w:t>
            </w:r>
            <w:r w:rsidRPr="00371683">
              <w:rPr>
                <w:color w:val="333333"/>
              </w:rPr>
              <w:t>Rate ($/ kWh)</w:t>
            </w:r>
          </w:p>
        </w:tc>
        <w:tc>
          <w:tcPr>
            <w:tcW w:w="2147" w:type="dxa"/>
          </w:tcPr>
          <w:p w:rsidR="00107531" w:rsidRPr="00371683" w:rsidP="00F5295F" w14:paraId="1E73DF32" w14:textId="584343C8">
            <w:pPr>
              <w:pStyle w:val="NormalWeb"/>
              <w:spacing w:before="0" w:beforeAutospacing="0" w:after="0" w:afterAutospacing="0"/>
              <w:rPr>
                <w:color w:val="333333"/>
              </w:rPr>
            </w:pPr>
            <w:r w:rsidRPr="00371683">
              <w:rPr>
                <w:color w:val="333333"/>
              </w:rPr>
              <w:t>Difference</w:t>
            </w:r>
            <w:r w:rsidRPr="00371683" w:rsidR="00986917">
              <w:rPr>
                <w:color w:val="333333"/>
              </w:rPr>
              <w:t xml:space="preserve"> ($/ kWh)</w:t>
            </w:r>
          </w:p>
        </w:tc>
      </w:tr>
      <w:tr w14:paraId="61AD3815" w14:textId="77777777" w:rsidTr="00701DE6">
        <w:tblPrEx>
          <w:tblW w:w="0" w:type="auto"/>
          <w:tblLook w:val="04A0"/>
        </w:tblPrEx>
        <w:tc>
          <w:tcPr>
            <w:tcW w:w="2175" w:type="dxa"/>
          </w:tcPr>
          <w:p w:rsidR="00107531" w:rsidRPr="00371683" w:rsidP="00F5295F" w14:paraId="46754837" w14:textId="1603B53F">
            <w:pPr>
              <w:pStyle w:val="NormalWeb"/>
              <w:spacing w:before="0" w:beforeAutospacing="0" w:after="0" w:afterAutospacing="0"/>
              <w:rPr>
                <w:color w:val="333333"/>
              </w:rPr>
            </w:pPr>
            <w:r w:rsidRPr="00371683">
              <w:rPr>
                <w:color w:val="333333"/>
              </w:rPr>
              <w:t>Ohio Power</w:t>
            </w:r>
            <w:r>
              <w:rPr>
                <w:rStyle w:val="FootnoteReference"/>
                <w:color w:val="333333"/>
              </w:rPr>
              <w:footnoteReference w:id="16"/>
            </w:r>
          </w:p>
        </w:tc>
        <w:tc>
          <w:tcPr>
            <w:tcW w:w="2154" w:type="dxa"/>
          </w:tcPr>
          <w:p w:rsidR="00107531" w:rsidRPr="00371683" w:rsidP="00F5295F" w14:paraId="1C6044C4" w14:textId="2FA9EECD">
            <w:pPr>
              <w:pStyle w:val="NormalWeb"/>
              <w:spacing w:before="0" w:beforeAutospacing="0" w:after="0" w:afterAutospacing="0"/>
              <w:rPr>
                <w:color w:val="333333"/>
              </w:rPr>
            </w:pPr>
            <w:r w:rsidRPr="00371683">
              <w:rPr>
                <w:color w:val="333333"/>
              </w:rPr>
              <w:t>$0.06</w:t>
            </w:r>
            <w:r w:rsidRPr="00371683" w:rsidR="00986917">
              <w:rPr>
                <w:color w:val="333333"/>
              </w:rPr>
              <w:t>622</w:t>
            </w:r>
          </w:p>
        </w:tc>
        <w:tc>
          <w:tcPr>
            <w:tcW w:w="2154" w:type="dxa"/>
          </w:tcPr>
          <w:p w:rsidR="00107531" w:rsidRPr="00371683" w:rsidP="00F5295F" w14:paraId="343AE46D" w14:textId="7B3129B2">
            <w:pPr>
              <w:pStyle w:val="NormalWeb"/>
              <w:spacing w:before="0" w:beforeAutospacing="0" w:after="0" w:afterAutospacing="0"/>
              <w:rPr>
                <w:color w:val="333333"/>
              </w:rPr>
            </w:pPr>
            <w:r w:rsidRPr="00371683">
              <w:rPr>
                <w:color w:val="333333"/>
              </w:rPr>
              <w:t>$0.147</w:t>
            </w:r>
            <w:r w:rsidRPr="00371683" w:rsidR="00405ADE">
              <w:rPr>
                <w:color w:val="333333"/>
              </w:rPr>
              <w:t>86</w:t>
            </w:r>
          </w:p>
        </w:tc>
        <w:tc>
          <w:tcPr>
            <w:tcW w:w="2147" w:type="dxa"/>
          </w:tcPr>
          <w:p w:rsidR="00107531" w:rsidRPr="00371683" w:rsidP="00F5295F" w14:paraId="5259FF8A" w14:textId="5F7C633C">
            <w:pPr>
              <w:pStyle w:val="NormalWeb"/>
              <w:spacing w:before="0" w:beforeAutospacing="0" w:after="0" w:afterAutospacing="0"/>
              <w:rPr>
                <w:color w:val="333333"/>
              </w:rPr>
            </w:pPr>
            <w:r w:rsidRPr="00371683">
              <w:rPr>
                <w:color w:val="333333"/>
              </w:rPr>
              <w:t>$0.081</w:t>
            </w:r>
            <w:r w:rsidRPr="00371683" w:rsidR="00B95173">
              <w:rPr>
                <w:color w:val="333333"/>
              </w:rPr>
              <w:t>24</w:t>
            </w:r>
          </w:p>
        </w:tc>
      </w:tr>
      <w:tr w14:paraId="62615626" w14:textId="77777777" w:rsidTr="00701DE6">
        <w:tblPrEx>
          <w:tblW w:w="0" w:type="auto"/>
          <w:tblLook w:val="04A0"/>
        </w:tblPrEx>
        <w:tc>
          <w:tcPr>
            <w:tcW w:w="2175" w:type="dxa"/>
          </w:tcPr>
          <w:p w:rsidR="00107531" w:rsidRPr="00371683" w:rsidP="00F5295F" w14:paraId="4D4D6D7F" w14:textId="54BBEA85">
            <w:pPr>
              <w:pStyle w:val="NormalWeb"/>
              <w:spacing w:before="0" w:beforeAutospacing="0" w:after="0" w:afterAutospacing="0"/>
              <w:rPr>
                <w:color w:val="333333"/>
              </w:rPr>
            </w:pPr>
            <w:r w:rsidRPr="00371683">
              <w:rPr>
                <w:color w:val="333333"/>
              </w:rPr>
              <w:t xml:space="preserve">AES Summer </w:t>
            </w:r>
            <w:r>
              <w:rPr>
                <w:rStyle w:val="FootnoteReference"/>
                <w:color w:val="333333"/>
              </w:rPr>
              <w:footnoteReference w:id="17"/>
            </w:r>
          </w:p>
        </w:tc>
        <w:tc>
          <w:tcPr>
            <w:tcW w:w="2154" w:type="dxa"/>
          </w:tcPr>
          <w:p w:rsidR="00107531" w:rsidRPr="00371683" w:rsidP="00F5295F" w14:paraId="2E6E823F" w14:textId="12077010">
            <w:pPr>
              <w:pStyle w:val="NormalWeb"/>
              <w:spacing w:before="0" w:beforeAutospacing="0" w:after="0" w:afterAutospacing="0"/>
              <w:rPr>
                <w:color w:val="333333"/>
              </w:rPr>
            </w:pPr>
            <w:r w:rsidRPr="00371683">
              <w:rPr>
                <w:color w:val="333333"/>
              </w:rPr>
              <w:t>$</w:t>
            </w:r>
            <w:r w:rsidRPr="00371683" w:rsidR="00405ADE">
              <w:rPr>
                <w:color w:val="333333"/>
              </w:rPr>
              <w:t>0</w:t>
            </w:r>
            <w:r w:rsidRPr="00371683">
              <w:rPr>
                <w:color w:val="333333"/>
              </w:rPr>
              <w:t>.1091</w:t>
            </w:r>
          </w:p>
        </w:tc>
        <w:tc>
          <w:tcPr>
            <w:tcW w:w="2154" w:type="dxa"/>
          </w:tcPr>
          <w:p w:rsidR="00107531" w:rsidRPr="00371683" w:rsidP="00F5295F" w14:paraId="60876DF2" w14:textId="5E816164">
            <w:pPr>
              <w:pStyle w:val="NormalWeb"/>
              <w:spacing w:before="0" w:beforeAutospacing="0" w:after="0" w:afterAutospacing="0"/>
              <w:rPr>
                <w:color w:val="333333"/>
              </w:rPr>
            </w:pPr>
            <w:r w:rsidRPr="00371683">
              <w:rPr>
                <w:color w:val="333333"/>
              </w:rPr>
              <w:t>$0.1577</w:t>
            </w:r>
          </w:p>
        </w:tc>
        <w:tc>
          <w:tcPr>
            <w:tcW w:w="2147" w:type="dxa"/>
          </w:tcPr>
          <w:p w:rsidR="00107531" w:rsidRPr="00371683" w:rsidP="00F5295F" w14:paraId="4691CC8F" w14:textId="12FAE070">
            <w:pPr>
              <w:pStyle w:val="NormalWeb"/>
              <w:spacing w:before="0" w:beforeAutospacing="0" w:after="0" w:afterAutospacing="0"/>
              <w:rPr>
                <w:color w:val="333333"/>
              </w:rPr>
            </w:pPr>
            <w:r w:rsidRPr="00371683">
              <w:rPr>
                <w:color w:val="333333"/>
              </w:rPr>
              <w:t>$0.0486</w:t>
            </w:r>
          </w:p>
        </w:tc>
      </w:tr>
      <w:tr w14:paraId="46D349A4" w14:textId="77777777" w:rsidTr="00701DE6">
        <w:tblPrEx>
          <w:tblW w:w="0" w:type="auto"/>
          <w:tblLook w:val="04A0"/>
        </w:tblPrEx>
        <w:tc>
          <w:tcPr>
            <w:tcW w:w="2175" w:type="dxa"/>
          </w:tcPr>
          <w:p w:rsidR="00405ADE" w:rsidRPr="00371683" w:rsidP="00F5295F" w14:paraId="7E63032A" w14:textId="16F408D9">
            <w:pPr>
              <w:pStyle w:val="NormalWeb"/>
              <w:spacing w:before="0" w:beforeAutospacing="0" w:after="0" w:afterAutospacing="0"/>
              <w:rPr>
                <w:color w:val="333333"/>
              </w:rPr>
            </w:pPr>
            <w:r w:rsidRPr="00371683">
              <w:rPr>
                <w:color w:val="333333"/>
              </w:rPr>
              <w:t>AES Winter</w:t>
            </w:r>
          </w:p>
        </w:tc>
        <w:tc>
          <w:tcPr>
            <w:tcW w:w="2154" w:type="dxa"/>
          </w:tcPr>
          <w:p w:rsidR="00405ADE" w:rsidRPr="00371683" w:rsidP="00F5295F" w14:paraId="377D5BCB" w14:textId="592F2D6B">
            <w:pPr>
              <w:pStyle w:val="NormalWeb"/>
              <w:spacing w:before="0" w:beforeAutospacing="0" w:after="0" w:afterAutospacing="0"/>
              <w:rPr>
                <w:color w:val="333333"/>
              </w:rPr>
            </w:pPr>
            <w:r w:rsidRPr="00371683">
              <w:rPr>
                <w:color w:val="333333"/>
              </w:rPr>
              <w:t>$0.9233</w:t>
            </w:r>
          </w:p>
        </w:tc>
        <w:tc>
          <w:tcPr>
            <w:tcW w:w="2154" w:type="dxa"/>
          </w:tcPr>
          <w:p w:rsidR="00405ADE" w:rsidRPr="00371683" w:rsidP="00F5295F" w14:paraId="5F374633" w14:textId="324D59C3">
            <w:pPr>
              <w:pStyle w:val="NormalWeb"/>
              <w:spacing w:before="0" w:beforeAutospacing="0" w:after="0" w:afterAutospacing="0"/>
              <w:rPr>
                <w:color w:val="333333"/>
              </w:rPr>
            </w:pPr>
            <w:r w:rsidRPr="00371683">
              <w:rPr>
                <w:color w:val="333333"/>
              </w:rPr>
              <w:t>$0.1334</w:t>
            </w:r>
          </w:p>
        </w:tc>
        <w:tc>
          <w:tcPr>
            <w:tcW w:w="2147" w:type="dxa"/>
          </w:tcPr>
          <w:p w:rsidR="00405ADE" w:rsidRPr="00371683" w:rsidP="00F5295F" w14:paraId="668CE8FE" w14:textId="5B708431">
            <w:pPr>
              <w:pStyle w:val="NormalWeb"/>
              <w:spacing w:before="0" w:beforeAutospacing="0" w:after="0" w:afterAutospacing="0"/>
              <w:rPr>
                <w:color w:val="333333"/>
              </w:rPr>
            </w:pPr>
            <w:r w:rsidRPr="00371683">
              <w:rPr>
                <w:color w:val="333333"/>
              </w:rPr>
              <w:t>$0.04107</w:t>
            </w:r>
          </w:p>
        </w:tc>
      </w:tr>
      <w:tr w14:paraId="1B6BDDC9" w14:textId="77777777" w:rsidTr="00701DE6">
        <w:tblPrEx>
          <w:tblW w:w="0" w:type="auto"/>
          <w:tblLook w:val="04A0"/>
        </w:tblPrEx>
        <w:tc>
          <w:tcPr>
            <w:tcW w:w="2175" w:type="dxa"/>
          </w:tcPr>
          <w:p w:rsidR="00107531" w:rsidRPr="00371683" w:rsidP="00F5295F" w14:paraId="4B32E597" w14:textId="072E3DBA">
            <w:pPr>
              <w:pStyle w:val="NormalWeb"/>
              <w:spacing w:before="0" w:beforeAutospacing="0" w:after="0" w:afterAutospacing="0"/>
              <w:rPr>
                <w:color w:val="333333"/>
              </w:rPr>
            </w:pPr>
            <w:r w:rsidRPr="00371683">
              <w:rPr>
                <w:color w:val="333333"/>
              </w:rPr>
              <w:t>Ohio Edison</w:t>
            </w:r>
            <w:r w:rsidRPr="00371683" w:rsidR="004E25CC">
              <w:rPr>
                <w:color w:val="333333"/>
              </w:rPr>
              <w:t xml:space="preserve"> Summer</w:t>
            </w:r>
            <w:r>
              <w:rPr>
                <w:rStyle w:val="FootnoteReference"/>
                <w:color w:val="333333"/>
              </w:rPr>
              <w:footnoteReference w:id="18"/>
            </w:r>
          </w:p>
        </w:tc>
        <w:tc>
          <w:tcPr>
            <w:tcW w:w="2154" w:type="dxa"/>
          </w:tcPr>
          <w:p w:rsidR="00107531" w:rsidRPr="00371683" w:rsidP="00F5295F" w14:paraId="7A9EC05F" w14:textId="3C632411">
            <w:pPr>
              <w:pStyle w:val="NormalWeb"/>
              <w:spacing w:before="0" w:beforeAutospacing="0" w:after="0" w:afterAutospacing="0"/>
              <w:rPr>
                <w:color w:val="333333"/>
              </w:rPr>
            </w:pPr>
            <w:r w:rsidRPr="00371683">
              <w:rPr>
                <w:color w:val="333333"/>
              </w:rPr>
              <w:t>$</w:t>
            </w:r>
            <w:r w:rsidRPr="00371683" w:rsidR="00E74D48">
              <w:rPr>
                <w:color w:val="333333"/>
              </w:rPr>
              <w:t>0.0</w:t>
            </w:r>
            <w:r w:rsidRPr="00371683">
              <w:rPr>
                <w:color w:val="333333"/>
              </w:rPr>
              <w:t>65166</w:t>
            </w:r>
          </w:p>
        </w:tc>
        <w:tc>
          <w:tcPr>
            <w:tcW w:w="2154" w:type="dxa"/>
          </w:tcPr>
          <w:p w:rsidR="00107531" w:rsidRPr="00371683" w:rsidP="00F5295F" w14:paraId="3746F9A5" w14:textId="1E3CB35C">
            <w:pPr>
              <w:pStyle w:val="NormalWeb"/>
              <w:spacing w:before="0" w:beforeAutospacing="0" w:after="0" w:afterAutospacing="0"/>
              <w:rPr>
                <w:color w:val="333333"/>
              </w:rPr>
            </w:pPr>
            <w:r w:rsidRPr="00371683">
              <w:rPr>
                <w:color w:val="333333"/>
              </w:rPr>
              <w:t>$</w:t>
            </w:r>
            <w:r w:rsidRPr="00371683" w:rsidR="00E74D48">
              <w:rPr>
                <w:color w:val="333333"/>
              </w:rPr>
              <w:t>0.084231</w:t>
            </w:r>
          </w:p>
        </w:tc>
        <w:tc>
          <w:tcPr>
            <w:tcW w:w="2147" w:type="dxa"/>
          </w:tcPr>
          <w:p w:rsidR="00107531" w:rsidRPr="00371683" w:rsidP="00F5295F" w14:paraId="38E3EF9B" w14:textId="68A706A7">
            <w:pPr>
              <w:pStyle w:val="NormalWeb"/>
              <w:spacing w:before="0" w:beforeAutospacing="0" w:after="0" w:afterAutospacing="0"/>
              <w:rPr>
                <w:color w:val="333333"/>
              </w:rPr>
            </w:pPr>
            <w:r w:rsidRPr="00371683">
              <w:rPr>
                <w:color w:val="333333"/>
              </w:rPr>
              <w:t>$0.019065</w:t>
            </w:r>
          </w:p>
        </w:tc>
      </w:tr>
      <w:tr w14:paraId="7A8BA016" w14:textId="77777777" w:rsidTr="00701DE6">
        <w:tblPrEx>
          <w:tblW w:w="0" w:type="auto"/>
          <w:tblLook w:val="04A0"/>
        </w:tblPrEx>
        <w:tc>
          <w:tcPr>
            <w:tcW w:w="2175" w:type="dxa"/>
          </w:tcPr>
          <w:p w:rsidR="00B95173" w:rsidRPr="00371683" w:rsidP="00F5295F" w14:paraId="11CB000A" w14:textId="593B8827">
            <w:pPr>
              <w:pStyle w:val="NormalWeb"/>
              <w:spacing w:before="0" w:beforeAutospacing="0" w:after="0" w:afterAutospacing="0"/>
              <w:rPr>
                <w:color w:val="333333"/>
              </w:rPr>
            </w:pPr>
            <w:r w:rsidRPr="00371683">
              <w:rPr>
                <w:color w:val="333333"/>
              </w:rPr>
              <w:t>Ohio Edison Winter</w:t>
            </w:r>
          </w:p>
        </w:tc>
        <w:tc>
          <w:tcPr>
            <w:tcW w:w="2154" w:type="dxa"/>
          </w:tcPr>
          <w:p w:rsidR="00B95173" w:rsidRPr="00371683" w:rsidP="00F5295F" w14:paraId="33CD4C96" w14:textId="50605FCE">
            <w:pPr>
              <w:pStyle w:val="NormalWeb"/>
              <w:spacing w:before="0" w:beforeAutospacing="0" w:after="0" w:afterAutospacing="0"/>
              <w:rPr>
                <w:color w:val="333333"/>
              </w:rPr>
            </w:pPr>
            <w:r w:rsidRPr="00371683">
              <w:rPr>
                <w:color w:val="333333"/>
              </w:rPr>
              <w:t>$0.056344</w:t>
            </w:r>
          </w:p>
        </w:tc>
        <w:tc>
          <w:tcPr>
            <w:tcW w:w="2154" w:type="dxa"/>
          </w:tcPr>
          <w:p w:rsidR="00B95173" w:rsidRPr="00371683" w:rsidP="00F5295F" w14:paraId="65FFDEDF" w14:textId="7AF356F4">
            <w:pPr>
              <w:pStyle w:val="NormalWeb"/>
              <w:spacing w:before="0" w:beforeAutospacing="0" w:after="0" w:afterAutospacing="0"/>
              <w:rPr>
                <w:color w:val="333333"/>
              </w:rPr>
            </w:pPr>
            <w:r w:rsidRPr="00371683">
              <w:rPr>
                <w:color w:val="333333"/>
              </w:rPr>
              <w:t>$0.084231</w:t>
            </w:r>
          </w:p>
        </w:tc>
        <w:tc>
          <w:tcPr>
            <w:tcW w:w="2147" w:type="dxa"/>
          </w:tcPr>
          <w:p w:rsidR="00B95173" w:rsidRPr="00371683" w:rsidP="00F5295F" w14:paraId="2415FCB0" w14:textId="55FF9108">
            <w:pPr>
              <w:pStyle w:val="NormalWeb"/>
              <w:spacing w:before="0" w:beforeAutospacing="0" w:after="0" w:afterAutospacing="0"/>
              <w:rPr>
                <w:color w:val="333333"/>
              </w:rPr>
            </w:pPr>
            <w:r w:rsidRPr="00371683">
              <w:rPr>
                <w:color w:val="333333"/>
              </w:rPr>
              <w:t>$0.027887</w:t>
            </w:r>
          </w:p>
        </w:tc>
      </w:tr>
      <w:tr w14:paraId="65E62FE1" w14:textId="77777777" w:rsidTr="00701DE6">
        <w:tblPrEx>
          <w:tblW w:w="0" w:type="auto"/>
          <w:tblLook w:val="04A0"/>
        </w:tblPrEx>
        <w:tc>
          <w:tcPr>
            <w:tcW w:w="2175" w:type="dxa"/>
          </w:tcPr>
          <w:p w:rsidR="00107531" w:rsidRPr="00371683" w:rsidP="00F5295F" w14:paraId="14281EA5" w14:textId="40D8F411">
            <w:pPr>
              <w:pStyle w:val="NormalWeb"/>
              <w:spacing w:before="0" w:beforeAutospacing="0" w:after="0" w:afterAutospacing="0"/>
              <w:rPr>
                <w:color w:val="333333"/>
              </w:rPr>
            </w:pPr>
            <w:r w:rsidRPr="00371683">
              <w:rPr>
                <w:color w:val="333333"/>
              </w:rPr>
              <w:t>Cleveland Electric Illuminating</w:t>
            </w:r>
            <w:r w:rsidRPr="00371683" w:rsidR="004E25CC">
              <w:rPr>
                <w:color w:val="333333"/>
              </w:rPr>
              <w:t xml:space="preserve"> Summer</w:t>
            </w:r>
            <w:r>
              <w:rPr>
                <w:rStyle w:val="FootnoteReference"/>
                <w:color w:val="333333"/>
              </w:rPr>
              <w:footnoteReference w:id="19"/>
            </w:r>
          </w:p>
        </w:tc>
        <w:tc>
          <w:tcPr>
            <w:tcW w:w="2154" w:type="dxa"/>
          </w:tcPr>
          <w:p w:rsidR="00107531" w:rsidRPr="00371683" w:rsidP="00F5295F" w14:paraId="622C6360" w14:textId="5C79C60C">
            <w:pPr>
              <w:pStyle w:val="NormalWeb"/>
              <w:spacing w:before="0" w:beforeAutospacing="0" w:after="0" w:afterAutospacing="0"/>
              <w:rPr>
                <w:color w:val="333333"/>
              </w:rPr>
            </w:pPr>
            <w:r w:rsidRPr="00371683">
              <w:rPr>
                <w:color w:val="333333"/>
              </w:rPr>
              <w:t>$0.06555</w:t>
            </w:r>
          </w:p>
        </w:tc>
        <w:tc>
          <w:tcPr>
            <w:tcW w:w="2154" w:type="dxa"/>
          </w:tcPr>
          <w:p w:rsidR="00107531" w:rsidRPr="00371683" w:rsidP="00F5295F" w14:paraId="5BED45FF" w14:textId="4F5AC9B1">
            <w:pPr>
              <w:pStyle w:val="NormalWeb"/>
              <w:spacing w:before="0" w:beforeAutospacing="0" w:after="0" w:afterAutospacing="0"/>
              <w:rPr>
                <w:color w:val="333333"/>
              </w:rPr>
            </w:pPr>
            <w:r w:rsidRPr="00371683">
              <w:rPr>
                <w:color w:val="333333"/>
              </w:rPr>
              <w:t>$0.084231</w:t>
            </w:r>
          </w:p>
        </w:tc>
        <w:tc>
          <w:tcPr>
            <w:tcW w:w="2147" w:type="dxa"/>
          </w:tcPr>
          <w:p w:rsidR="00107531" w:rsidRPr="00371683" w:rsidP="00F5295F" w14:paraId="38A32599" w14:textId="24FABB6C">
            <w:pPr>
              <w:pStyle w:val="NormalWeb"/>
              <w:spacing w:before="0" w:beforeAutospacing="0" w:after="0" w:afterAutospacing="0"/>
              <w:rPr>
                <w:color w:val="333333"/>
              </w:rPr>
            </w:pPr>
            <w:r w:rsidRPr="00371683">
              <w:rPr>
                <w:color w:val="333333"/>
              </w:rPr>
              <w:t>$0.01868</w:t>
            </w:r>
          </w:p>
        </w:tc>
      </w:tr>
      <w:tr w14:paraId="03E9A730" w14:textId="77777777" w:rsidTr="00701DE6">
        <w:tblPrEx>
          <w:tblW w:w="0" w:type="auto"/>
          <w:tblLook w:val="04A0"/>
        </w:tblPrEx>
        <w:tc>
          <w:tcPr>
            <w:tcW w:w="2175" w:type="dxa"/>
          </w:tcPr>
          <w:p w:rsidR="004E25CC" w:rsidRPr="00371683" w:rsidP="00F5295F" w14:paraId="6AD72043" w14:textId="0BD0360B">
            <w:pPr>
              <w:pStyle w:val="NormalWeb"/>
              <w:spacing w:before="0" w:beforeAutospacing="0" w:after="0" w:afterAutospacing="0"/>
              <w:rPr>
                <w:color w:val="333333"/>
              </w:rPr>
            </w:pPr>
            <w:r w:rsidRPr="00371683">
              <w:rPr>
                <w:color w:val="333333"/>
              </w:rPr>
              <w:t>Cleveland Electric Illuminating Winter</w:t>
            </w:r>
          </w:p>
        </w:tc>
        <w:tc>
          <w:tcPr>
            <w:tcW w:w="2154" w:type="dxa"/>
          </w:tcPr>
          <w:p w:rsidR="004E25CC" w:rsidRPr="00371683" w:rsidP="00F5295F" w14:paraId="59FD8ED1" w14:textId="5EC68F4E">
            <w:pPr>
              <w:pStyle w:val="NormalWeb"/>
              <w:spacing w:before="0" w:beforeAutospacing="0" w:after="0" w:afterAutospacing="0"/>
              <w:rPr>
                <w:color w:val="333333"/>
              </w:rPr>
            </w:pPr>
            <w:r w:rsidRPr="00371683">
              <w:rPr>
                <w:color w:val="333333"/>
              </w:rPr>
              <w:t>$0.056728</w:t>
            </w:r>
          </w:p>
        </w:tc>
        <w:tc>
          <w:tcPr>
            <w:tcW w:w="2154" w:type="dxa"/>
          </w:tcPr>
          <w:p w:rsidR="004E25CC" w:rsidRPr="00371683" w:rsidP="00F5295F" w14:paraId="6F5CD817" w14:textId="36F10E0C">
            <w:pPr>
              <w:pStyle w:val="NormalWeb"/>
              <w:spacing w:before="0" w:beforeAutospacing="0" w:after="0" w:afterAutospacing="0"/>
              <w:rPr>
                <w:color w:val="333333"/>
              </w:rPr>
            </w:pPr>
            <w:r w:rsidRPr="00371683">
              <w:rPr>
                <w:color w:val="333333"/>
              </w:rPr>
              <w:t>$0.084231</w:t>
            </w:r>
          </w:p>
        </w:tc>
        <w:tc>
          <w:tcPr>
            <w:tcW w:w="2147" w:type="dxa"/>
          </w:tcPr>
          <w:p w:rsidR="004E25CC" w:rsidRPr="00371683" w:rsidP="00F5295F" w14:paraId="57DAE756" w14:textId="3DB1ECCD">
            <w:pPr>
              <w:pStyle w:val="NormalWeb"/>
              <w:spacing w:before="0" w:beforeAutospacing="0" w:after="0" w:afterAutospacing="0"/>
              <w:rPr>
                <w:color w:val="333333"/>
              </w:rPr>
            </w:pPr>
            <w:r w:rsidRPr="00371683">
              <w:rPr>
                <w:color w:val="333333"/>
              </w:rPr>
              <w:t>$0.027503</w:t>
            </w:r>
          </w:p>
        </w:tc>
      </w:tr>
      <w:tr w14:paraId="4CCBB5A8" w14:textId="77777777" w:rsidTr="00701DE6">
        <w:tblPrEx>
          <w:tblW w:w="0" w:type="auto"/>
          <w:tblLook w:val="04A0"/>
        </w:tblPrEx>
        <w:tc>
          <w:tcPr>
            <w:tcW w:w="2175" w:type="dxa"/>
          </w:tcPr>
          <w:p w:rsidR="00107531" w:rsidRPr="00371683" w:rsidP="00F5295F" w14:paraId="4AC7A7A6" w14:textId="1DABA29C">
            <w:pPr>
              <w:pStyle w:val="NormalWeb"/>
              <w:spacing w:before="0" w:beforeAutospacing="0" w:after="0" w:afterAutospacing="0"/>
              <w:rPr>
                <w:color w:val="333333"/>
              </w:rPr>
            </w:pPr>
            <w:r w:rsidRPr="00371683">
              <w:rPr>
                <w:color w:val="333333"/>
              </w:rPr>
              <w:t>Toledo Edison</w:t>
            </w:r>
            <w:r w:rsidRPr="00371683" w:rsidR="002B61A7">
              <w:rPr>
                <w:color w:val="333333"/>
              </w:rPr>
              <w:t xml:space="preserve"> </w:t>
            </w:r>
            <w:r>
              <w:rPr>
                <w:rStyle w:val="FootnoteReference"/>
                <w:color w:val="333333"/>
              </w:rPr>
              <w:footnoteReference w:id="20"/>
            </w:r>
            <w:r w:rsidRPr="00371683" w:rsidR="002B61A7">
              <w:rPr>
                <w:color w:val="333333"/>
              </w:rPr>
              <w:t>Summer</w:t>
            </w:r>
          </w:p>
        </w:tc>
        <w:tc>
          <w:tcPr>
            <w:tcW w:w="2154" w:type="dxa"/>
          </w:tcPr>
          <w:p w:rsidR="00107531" w:rsidRPr="00371683" w:rsidP="00F5295F" w14:paraId="68776E22" w14:textId="57360C5D">
            <w:pPr>
              <w:pStyle w:val="NormalWeb"/>
              <w:spacing w:before="0" w:beforeAutospacing="0" w:after="0" w:afterAutospacing="0"/>
              <w:rPr>
                <w:color w:val="333333"/>
              </w:rPr>
            </w:pPr>
            <w:r w:rsidRPr="00371683">
              <w:rPr>
                <w:color w:val="333333"/>
              </w:rPr>
              <w:t>$0.065818</w:t>
            </w:r>
          </w:p>
        </w:tc>
        <w:tc>
          <w:tcPr>
            <w:tcW w:w="2154" w:type="dxa"/>
          </w:tcPr>
          <w:p w:rsidR="00107531" w:rsidRPr="00371683" w:rsidP="00F5295F" w14:paraId="48C8FE98" w14:textId="22BD4F0E">
            <w:pPr>
              <w:pStyle w:val="NormalWeb"/>
              <w:spacing w:before="0" w:beforeAutospacing="0" w:after="0" w:afterAutospacing="0"/>
              <w:rPr>
                <w:color w:val="333333"/>
              </w:rPr>
            </w:pPr>
            <w:r w:rsidRPr="00371683">
              <w:rPr>
                <w:color w:val="333333"/>
              </w:rPr>
              <w:t>$</w:t>
            </w:r>
            <w:r w:rsidRPr="00371683" w:rsidR="00E74D48">
              <w:rPr>
                <w:color w:val="333333"/>
              </w:rPr>
              <w:t>0.084231</w:t>
            </w:r>
          </w:p>
        </w:tc>
        <w:tc>
          <w:tcPr>
            <w:tcW w:w="2147" w:type="dxa"/>
          </w:tcPr>
          <w:p w:rsidR="00107531" w:rsidRPr="00371683" w:rsidP="00F5295F" w14:paraId="61DBEACD" w14:textId="4E15B6BE">
            <w:pPr>
              <w:pStyle w:val="NormalWeb"/>
              <w:spacing w:before="0" w:beforeAutospacing="0" w:after="0" w:afterAutospacing="0"/>
              <w:rPr>
                <w:color w:val="333333"/>
              </w:rPr>
            </w:pPr>
            <w:r w:rsidRPr="00371683">
              <w:rPr>
                <w:color w:val="333333"/>
              </w:rPr>
              <w:t>$0.018413</w:t>
            </w:r>
          </w:p>
        </w:tc>
      </w:tr>
      <w:tr w14:paraId="71E26899" w14:textId="77777777" w:rsidTr="00701DE6">
        <w:tblPrEx>
          <w:tblW w:w="0" w:type="auto"/>
          <w:tblLook w:val="04A0"/>
        </w:tblPrEx>
        <w:tc>
          <w:tcPr>
            <w:tcW w:w="2175" w:type="dxa"/>
          </w:tcPr>
          <w:p w:rsidR="002B61A7" w:rsidRPr="00371683" w:rsidP="00F5295F" w14:paraId="5C561EDC" w14:textId="201CAE2F">
            <w:pPr>
              <w:pStyle w:val="NormalWeb"/>
              <w:spacing w:before="0" w:beforeAutospacing="0" w:after="0" w:afterAutospacing="0"/>
              <w:rPr>
                <w:color w:val="333333"/>
              </w:rPr>
            </w:pPr>
            <w:r w:rsidRPr="00371683">
              <w:rPr>
                <w:color w:val="333333"/>
              </w:rPr>
              <w:t>Toledo Edison Winter</w:t>
            </w:r>
          </w:p>
        </w:tc>
        <w:tc>
          <w:tcPr>
            <w:tcW w:w="2154" w:type="dxa"/>
          </w:tcPr>
          <w:p w:rsidR="002B61A7" w:rsidRPr="00371683" w:rsidP="00F5295F" w14:paraId="6EEACED6" w14:textId="102B0A95">
            <w:pPr>
              <w:pStyle w:val="NormalWeb"/>
              <w:spacing w:before="0" w:beforeAutospacing="0" w:after="0" w:afterAutospacing="0"/>
              <w:rPr>
                <w:color w:val="333333"/>
              </w:rPr>
            </w:pPr>
            <w:r w:rsidRPr="00371683">
              <w:rPr>
                <w:color w:val="333333"/>
              </w:rPr>
              <w:t>$0.056996</w:t>
            </w:r>
          </w:p>
        </w:tc>
        <w:tc>
          <w:tcPr>
            <w:tcW w:w="2154" w:type="dxa"/>
          </w:tcPr>
          <w:p w:rsidR="002B61A7" w:rsidRPr="00371683" w:rsidP="00F5295F" w14:paraId="410DDDAE" w14:textId="0E103705">
            <w:pPr>
              <w:pStyle w:val="NormalWeb"/>
              <w:spacing w:before="0" w:beforeAutospacing="0" w:after="0" w:afterAutospacing="0"/>
              <w:rPr>
                <w:color w:val="333333"/>
              </w:rPr>
            </w:pPr>
            <w:r w:rsidRPr="00371683">
              <w:rPr>
                <w:color w:val="333333"/>
              </w:rPr>
              <w:t>$0.084231</w:t>
            </w:r>
          </w:p>
        </w:tc>
        <w:tc>
          <w:tcPr>
            <w:tcW w:w="2147" w:type="dxa"/>
          </w:tcPr>
          <w:p w:rsidR="002B61A7" w:rsidRPr="00371683" w:rsidP="00F5295F" w14:paraId="4BFE3274" w14:textId="286D8C8E">
            <w:pPr>
              <w:pStyle w:val="NormalWeb"/>
              <w:spacing w:before="0" w:beforeAutospacing="0" w:after="0" w:afterAutospacing="0"/>
              <w:rPr>
                <w:color w:val="333333"/>
              </w:rPr>
            </w:pPr>
            <w:r w:rsidRPr="00371683">
              <w:rPr>
                <w:color w:val="333333"/>
              </w:rPr>
              <w:t>$</w:t>
            </w:r>
            <w:r w:rsidRPr="00371683" w:rsidR="004B73A6">
              <w:rPr>
                <w:color w:val="333333"/>
              </w:rPr>
              <w:t>0.027235</w:t>
            </w:r>
          </w:p>
        </w:tc>
      </w:tr>
      <w:tr w14:paraId="6EE1506E" w14:textId="77777777" w:rsidTr="00701DE6">
        <w:tblPrEx>
          <w:tblW w:w="0" w:type="auto"/>
          <w:tblLook w:val="04A0"/>
        </w:tblPrEx>
        <w:tc>
          <w:tcPr>
            <w:tcW w:w="2175" w:type="dxa"/>
          </w:tcPr>
          <w:p w:rsidR="00107531" w:rsidRPr="00371683" w:rsidP="00F5295F" w14:paraId="3E04B92F" w14:textId="6A0C8E52">
            <w:pPr>
              <w:pStyle w:val="NormalWeb"/>
              <w:spacing w:before="0" w:beforeAutospacing="0" w:after="0" w:afterAutospacing="0"/>
              <w:rPr>
                <w:color w:val="333333"/>
              </w:rPr>
            </w:pPr>
            <w:r w:rsidRPr="00371683">
              <w:rPr>
                <w:color w:val="333333"/>
              </w:rPr>
              <w:t>Duke</w:t>
            </w:r>
            <w:r w:rsidRPr="00371683" w:rsidR="004B73A6">
              <w:rPr>
                <w:color w:val="333333"/>
              </w:rPr>
              <w:t xml:space="preserve"> Summer</w:t>
            </w:r>
            <w:r>
              <w:rPr>
                <w:rStyle w:val="FootnoteReference"/>
                <w:color w:val="333333"/>
              </w:rPr>
              <w:footnoteReference w:id="21"/>
            </w:r>
          </w:p>
        </w:tc>
        <w:tc>
          <w:tcPr>
            <w:tcW w:w="2154" w:type="dxa"/>
          </w:tcPr>
          <w:p w:rsidR="00107531" w:rsidRPr="00371683" w:rsidP="00F5295F" w14:paraId="56412108" w14:textId="4D0A7443">
            <w:pPr>
              <w:pStyle w:val="NormalWeb"/>
              <w:spacing w:before="0" w:beforeAutospacing="0" w:after="0" w:afterAutospacing="0"/>
              <w:rPr>
                <w:color w:val="333333"/>
              </w:rPr>
            </w:pPr>
            <w:r w:rsidRPr="00371683">
              <w:rPr>
                <w:color w:val="333333"/>
              </w:rPr>
              <w:t>$</w:t>
            </w:r>
            <w:r w:rsidRPr="00371683" w:rsidR="002C60D1">
              <w:rPr>
                <w:color w:val="333333"/>
              </w:rPr>
              <w:t>0.0</w:t>
            </w:r>
            <w:r w:rsidRPr="00371683">
              <w:rPr>
                <w:color w:val="333333"/>
              </w:rPr>
              <w:t>64832</w:t>
            </w:r>
          </w:p>
        </w:tc>
        <w:tc>
          <w:tcPr>
            <w:tcW w:w="2154" w:type="dxa"/>
          </w:tcPr>
          <w:p w:rsidR="00107531" w:rsidRPr="00371683" w:rsidP="00F5295F" w14:paraId="1B9D0B65" w14:textId="07D69336">
            <w:pPr>
              <w:pStyle w:val="NormalWeb"/>
              <w:spacing w:before="0" w:beforeAutospacing="0" w:after="0" w:afterAutospacing="0"/>
              <w:rPr>
                <w:color w:val="333333"/>
              </w:rPr>
            </w:pPr>
            <w:r w:rsidRPr="00371683">
              <w:rPr>
                <w:color w:val="333333"/>
              </w:rPr>
              <w:t>$</w:t>
            </w:r>
            <w:r w:rsidRPr="00371683" w:rsidR="002C60D1">
              <w:rPr>
                <w:color w:val="333333"/>
              </w:rPr>
              <w:t>0.1</w:t>
            </w:r>
            <w:r w:rsidRPr="00371683">
              <w:rPr>
                <w:color w:val="333333"/>
              </w:rPr>
              <w:t>64701</w:t>
            </w:r>
          </w:p>
        </w:tc>
        <w:tc>
          <w:tcPr>
            <w:tcW w:w="2147" w:type="dxa"/>
          </w:tcPr>
          <w:p w:rsidR="00107531" w:rsidRPr="00371683" w:rsidP="00F5295F" w14:paraId="72CAF336" w14:textId="60B60C5A">
            <w:pPr>
              <w:pStyle w:val="NormalWeb"/>
              <w:spacing w:before="0" w:beforeAutospacing="0" w:after="0" w:afterAutospacing="0"/>
              <w:rPr>
                <w:color w:val="333333"/>
              </w:rPr>
            </w:pPr>
            <w:r w:rsidRPr="00371683">
              <w:rPr>
                <w:color w:val="333333"/>
              </w:rPr>
              <w:t>$0.099869</w:t>
            </w:r>
          </w:p>
        </w:tc>
      </w:tr>
      <w:tr w14:paraId="7E002E6C" w14:textId="77777777" w:rsidTr="00701DE6">
        <w:tblPrEx>
          <w:tblW w:w="0" w:type="auto"/>
          <w:tblLook w:val="04A0"/>
        </w:tblPrEx>
        <w:tc>
          <w:tcPr>
            <w:tcW w:w="2175" w:type="dxa"/>
          </w:tcPr>
          <w:p w:rsidR="004B73A6" w:rsidRPr="00371683" w:rsidP="00F5295F" w14:paraId="4E8CEA78" w14:textId="014F1068">
            <w:pPr>
              <w:pStyle w:val="NormalWeb"/>
              <w:spacing w:before="0" w:beforeAutospacing="0" w:after="0" w:afterAutospacing="0"/>
              <w:rPr>
                <w:color w:val="333333"/>
              </w:rPr>
            </w:pPr>
            <w:r w:rsidRPr="00371683">
              <w:rPr>
                <w:color w:val="333333"/>
              </w:rPr>
              <w:t>Duke Winter</w:t>
            </w:r>
          </w:p>
        </w:tc>
        <w:tc>
          <w:tcPr>
            <w:tcW w:w="2154" w:type="dxa"/>
          </w:tcPr>
          <w:p w:rsidR="004B73A6" w:rsidRPr="00371683" w:rsidP="00F5295F" w14:paraId="0F0BD39D" w14:textId="0B341F07">
            <w:pPr>
              <w:pStyle w:val="NormalWeb"/>
              <w:spacing w:before="0" w:beforeAutospacing="0" w:after="0" w:afterAutospacing="0"/>
              <w:rPr>
                <w:color w:val="333333"/>
              </w:rPr>
            </w:pPr>
            <w:r w:rsidRPr="00371683">
              <w:rPr>
                <w:color w:val="333333"/>
              </w:rPr>
              <w:t>$0.064832</w:t>
            </w:r>
          </w:p>
        </w:tc>
        <w:tc>
          <w:tcPr>
            <w:tcW w:w="2154" w:type="dxa"/>
          </w:tcPr>
          <w:p w:rsidR="004B73A6" w:rsidRPr="00371683" w:rsidP="00F5295F" w14:paraId="53C1F597" w14:textId="5D9EDAD3">
            <w:pPr>
              <w:pStyle w:val="NormalWeb"/>
              <w:spacing w:before="0" w:beforeAutospacing="0" w:after="0" w:afterAutospacing="0"/>
              <w:rPr>
                <w:color w:val="333333"/>
              </w:rPr>
            </w:pPr>
            <w:r w:rsidRPr="00371683">
              <w:rPr>
                <w:color w:val="333333"/>
              </w:rPr>
              <w:t>$0.164701</w:t>
            </w:r>
          </w:p>
        </w:tc>
        <w:tc>
          <w:tcPr>
            <w:tcW w:w="2147" w:type="dxa"/>
          </w:tcPr>
          <w:p w:rsidR="004B73A6" w:rsidRPr="00371683" w:rsidP="00F5295F" w14:paraId="52F78D9A" w14:textId="5F8C4BE2">
            <w:pPr>
              <w:pStyle w:val="NormalWeb"/>
              <w:spacing w:before="0" w:beforeAutospacing="0" w:after="0" w:afterAutospacing="0"/>
              <w:rPr>
                <w:color w:val="333333"/>
              </w:rPr>
            </w:pPr>
            <w:r w:rsidRPr="00371683">
              <w:rPr>
                <w:color w:val="333333"/>
              </w:rPr>
              <w:t>$0.099869</w:t>
            </w:r>
          </w:p>
        </w:tc>
      </w:tr>
      <w:tr w14:paraId="11B26247" w14:textId="77777777" w:rsidTr="00701DE6">
        <w:tblPrEx>
          <w:tblW w:w="0" w:type="auto"/>
          <w:tblLook w:val="04A0"/>
        </w:tblPrEx>
        <w:tc>
          <w:tcPr>
            <w:tcW w:w="2175" w:type="dxa"/>
          </w:tcPr>
          <w:p w:rsidR="004B73A6" w:rsidRPr="00371683" w:rsidP="00F5295F" w14:paraId="2BC50802" w14:textId="6E906310">
            <w:pPr>
              <w:pStyle w:val="NormalWeb"/>
              <w:spacing w:before="0" w:beforeAutospacing="0" w:after="0" w:afterAutospacing="0"/>
              <w:rPr>
                <w:color w:val="333333"/>
              </w:rPr>
            </w:pPr>
            <w:r w:rsidRPr="00371683">
              <w:rPr>
                <w:color w:val="333333"/>
              </w:rPr>
              <w:t>Duke Winter &gt;1000kWh</w:t>
            </w:r>
          </w:p>
        </w:tc>
        <w:tc>
          <w:tcPr>
            <w:tcW w:w="2154" w:type="dxa"/>
          </w:tcPr>
          <w:p w:rsidR="004B73A6" w:rsidRPr="00371683" w:rsidP="00F5295F" w14:paraId="40D104E6" w14:textId="60627B3F">
            <w:pPr>
              <w:pStyle w:val="NormalWeb"/>
              <w:spacing w:before="0" w:beforeAutospacing="0" w:after="0" w:afterAutospacing="0"/>
              <w:rPr>
                <w:color w:val="333333"/>
              </w:rPr>
            </w:pPr>
            <w:r w:rsidRPr="00371683">
              <w:rPr>
                <w:color w:val="333333"/>
              </w:rPr>
              <w:t>$0.040883</w:t>
            </w:r>
          </w:p>
        </w:tc>
        <w:tc>
          <w:tcPr>
            <w:tcW w:w="2154" w:type="dxa"/>
          </w:tcPr>
          <w:p w:rsidR="004B73A6" w:rsidRPr="00371683" w:rsidP="00F5295F" w14:paraId="2DB5D308" w14:textId="1A46F783">
            <w:pPr>
              <w:pStyle w:val="NormalWeb"/>
              <w:spacing w:before="0" w:beforeAutospacing="0" w:after="0" w:afterAutospacing="0"/>
              <w:rPr>
                <w:color w:val="333333"/>
              </w:rPr>
            </w:pPr>
            <w:r w:rsidRPr="00371683">
              <w:rPr>
                <w:color w:val="333333"/>
              </w:rPr>
              <w:t>$0.104622</w:t>
            </w:r>
          </w:p>
        </w:tc>
        <w:tc>
          <w:tcPr>
            <w:tcW w:w="2147" w:type="dxa"/>
          </w:tcPr>
          <w:p w:rsidR="004B73A6" w:rsidRPr="00371683" w:rsidP="00F5295F" w14:paraId="336DADD4" w14:textId="6E4EEFD3">
            <w:pPr>
              <w:pStyle w:val="NormalWeb"/>
              <w:spacing w:before="0" w:beforeAutospacing="0" w:after="0" w:afterAutospacing="0"/>
              <w:rPr>
                <w:color w:val="333333"/>
              </w:rPr>
            </w:pPr>
            <w:r w:rsidRPr="00371683">
              <w:rPr>
                <w:color w:val="333333"/>
              </w:rPr>
              <w:t>$0.063737</w:t>
            </w:r>
          </w:p>
        </w:tc>
      </w:tr>
    </w:tbl>
    <w:p w:rsidR="00107531" w:rsidRPr="00371683" w:rsidP="00E94BEE" w14:paraId="17DB9311" w14:textId="77777777">
      <w:pPr>
        <w:pStyle w:val="NormalWeb"/>
        <w:shd w:val="clear" w:color="auto" w:fill="FFFFFF"/>
        <w:spacing w:before="0" w:beforeAutospacing="0" w:after="0" w:afterAutospacing="0"/>
        <w:ind w:firstLine="720"/>
        <w:rPr>
          <w:color w:val="333333"/>
        </w:rPr>
      </w:pPr>
    </w:p>
    <w:p w:rsidR="005E58E8" w:rsidRPr="00371683" w:rsidP="000576C5" w14:paraId="7A7AA609" w14:textId="41F82B21">
      <w:pPr>
        <w:pStyle w:val="NormalWeb"/>
        <w:shd w:val="clear" w:color="auto" w:fill="FFFFFF"/>
        <w:spacing w:before="0" w:beforeAutospacing="0" w:after="0" w:afterAutospacing="0" w:line="480" w:lineRule="auto"/>
        <w:ind w:firstLine="720"/>
        <w:rPr>
          <w:color w:val="333333"/>
        </w:rPr>
      </w:pPr>
      <w:r w:rsidRPr="00371683">
        <w:rPr>
          <w:color w:val="333333"/>
        </w:rPr>
        <w:t xml:space="preserve">As shown in Table 1, the </w:t>
      </w:r>
      <w:r w:rsidRPr="00371683" w:rsidR="007D2C1F">
        <w:rPr>
          <w:color w:val="333333"/>
        </w:rPr>
        <w:t xml:space="preserve">difference between the SSO generation rates and the PIPP generation rates vary between </w:t>
      </w:r>
      <w:r w:rsidRPr="00371683" w:rsidR="00017AFA">
        <w:rPr>
          <w:color w:val="333333"/>
        </w:rPr>
        <w:t xml:space="preserve">an </w:t>
      </w:r>
      <w:r w:rsidRPr="00371683" w:rsidR="007D2C1F">
        <w:rPr>
          <w:color w:val="333333"/>
        </w:rPr>
        <w:t xml:space="preserve">approximate 1.8 cents per kWh </w:t>
      </w:r>
      <w:r w:rsidRPr="00371683" w:rsidR="00017AFA">
        <w:rPr>
          <w:color w:val="333333"/>
        </w:rPr>
        <w:t xml:space="preserve">increase </w:t>
      </w:r>
      <w:r w:rsidRPr="00371683" w:rsidR="007D2C1F">
        <w:rPr>
          <w:color w:val="333333"/>
        </w:rPr>
        <w:t xml:space="preserve">for Toledo Edison </w:t>
      </w:r>
      <w:r w:rsidRPr="00371683" w:rsidR="00017AFA">
        <w:rPr>
          <w:color w:val="333333"/>
        </w:rPr>
        <w:t xml:space="preserve">PIPP consumers during the </w:t>
      </w:r>
      <w:r w:rsidRPr="00371683" w:rsidR="007D2C1F">
        <w:rPr>
          <w:color w:val="333333"/>
        </w:rPr>
        <w:t>summer to app</w:t>
      </w:r>
      <w:r w:rsidRPr="00371683" w:rsidR="004C7E1C">
        <w:rPr>
          <w:color w:val="333333"/>
        </w:rPr>
        <w:t xml:space="preserve">roximately 10 cents per kWh for Duke </w:t>
      </w:r>
      <w:r w:rsidRPr="00371683" w:rsidR="00017AFA">
        <w:rPr>
          <w:color w:val="333333"/>
        </w:rPr>
        <w:t>PIPP customers.</w:t>
      </w:r>
      <w:r w:rsidRPr="00371683" w:rsidR="00701DE6">
        <w:rPr>
          <w:color w:val="333333"/>
        </w:rPr>
        <w:t xml:space="preserve"> </w:t>
      </w:r>
      <w:r w:rsidRPr="00371683" w:rsidR="000C384F">
        <w:rPr>
          <w:color w:val="333333"/>
        </w:rPr>
        <w:t xml:space="preserve">While PIPP consumers are responsible for paying 5 percent of their </w:t>
      </w:r>
      <w:r w:rsidRPr="00371683" w:rsidR="00085D1A">
        <w:rPr>
          <w:color w:val="333333"/>
        </w:rPr>
        <w:t xml:space="preserve">household </w:t>
      </w:r>
      <w:r w:rsidRPr="00371683" w:rsidR="000C384F">
        <w:rPr>
          <w:color w:val="333333"/>
        </w:rPr>
        <w:t xml:space="preserve">income </w:t>
      </w:r>
      <w:r w:rsidRPr="00371683" w:rsidR="00F92351">
        <w:rPr>
          <w:color w:val="333333"/>
        </w:rPr>
        <w:t xml:space="preserve">as </w:t>
      </w:r>
      <w:r w:rsidRPr="00371683" w:rsidR="00085D1A">
        <w:rPr>
          <w:color w:val="333333"/>
        </w:rPr>
        <w:t xml:space="preserve">their monthly electric bill, </w:t>
      </w:r>
      <w:r w:rsidRPr="00371683" w:rsidR="006736E8">
        <w:rPr>
          <w:color w:val="333333"/>
        </w:rPr>
        <w:t>they remain responsible for the entire bill if all payments are not made in-full and on-time</w:t>
      </w:r>
      <w:r w:rsidRPr="00371683" w:rsidR="002210AA">
        <w:rPr>
          <w:color w:val="333333"/>
        </w:rPr>
        <w:t xml:space="preserve">. The </w:t>
      </w:r>
      <w:r w:rsidRPr="00371683" w:rsidR="00085D1A">
        <w:rPr>
          <w:color w:val="333333"/>
        </w:rPr>
        <w:t xml:space="preserve">difference </w:t>
      </w:r>
      <w:r w:rsidRPr="00371683" w:rsidR="00C37F5A">
        <w:rPr>
          <w:color w:val="333333"/>
        </w:rPr>
        <w:t xml:space="preserve">between the actual </w:t>
      </w:r>
      <w:r w:rsidRPr="00371683" w:rsidR="002210AA">
        <w:rPr>
          <w:color w:val="333333"/>
        </w:rPr>
        <w:t xml:space="preserve">electric bill </w:t>
      </w:r>
      <w:r w:rsidRPr="00371683" w:rsidR="00C37F5A">
        <w:rPr>
          <w:color w:val="333333"/>
        </w:rPr>
        <w:t xml:space="preserve">and the PIPP </w:t>
      </w:r>
      <w:r w:rsidRPr="00371683" w:rsidR="002210AA">
        <w:rPr>
          <w:color w:val="333333"/>
        </w:rPr>
        <w:t xml:space="preserve">payment </w:t>
      </w:r>
      <w:r w:rsidRPr="00371683" w:rsidR="00085D1A">
        <w:rPr>
          <w:color w:val="333333"/>
        </w:rPr>
        <w:t xml:space="preserve">is </w:t>
      </w:r>
      <w:r w:rsidRPr="00371683" w:rsidR="008354DF">
        <w:rPr>
          <w:color w:val="333333"/>
        </w:rPr>
        <w:t xml:space="preserve">paid by all consumers through the </w:t>
      </w:r>
      <w:r w:rsidRPr="00371683" w:rsidR="00085D1A">
        <w:rPr>
          <w:color w:val="333333"/>
        </w:rPr>
        <w:t>USF</w:t>
      </w:r>
      <w:r w:rsidRPr="00371683" w:rsidR="008354DF">
        <w:rPr>
          <w:color w:val="333333"/>
        </w:rPr>
        <w:t xml:space="preserve">. And the burden on the USF is even greater if </w:t>
      </w:r>
      <w:r w:rsidRPr="00371683" w:rsidR="00FD1264">
        <w:rPr>
          <w:color w:val="333333"/>
        </w:rPr>
        <w:t xml:space="preserve">PIPP </w:t>
      </w:r>
      <w:r w:rsidRPr="00371683" w:rsidR="008354DF">
        <w:rPr>
          <w:color w:val="333333"/>
        </w:rPr>
        <w:t xml:space="preserve">customers are unable to </w:t>
      </w:r>
      <w:r w:rsidRPr="00371683" w:rsidR="00FD1264">
        <w:rPr>
          <w:color w:val="333333"/>
        </w:rPr>
        <w:t xml:space="preserve">pay their electric bill. </w:t>
      </w:r>
      <w:r w:rsidRPr="00371683" w:rsidR="0053766E">
        <w:rPr>
          <w:color w:val="333333"/>
        </w:rPr>
        <w:t xml:space="preserve">Delinquent PIPP debt can </w:t>
      </w:r>
      <w:r w:rsidRPr="00371683">
        <w:rPr>
          <w:color w:val="333333"/>
        </w:rPr>
        <w:t xml:space="preserve">prevent consumers from being able to initiate electric services in the future or from re-enrolling on PIPP. </w:t>
      </w:r>
      <w:r w:rsidRPr="00371683" w:rsidR="004C1A6E">
        <w:rPr>
          <w:color w:val="333333"/>
        </w:rPr>
        <w:t>D</w:t>
      </w:r>
      <w:r w:rsidRPr="00371683">
        <w:rPr>
          <w:color w:val="333333"/>
        </w:rPr>
        <w:t xml:space="preserve">elinquent utility debt can harm consumer credit standings. </w:t>
      </w:r>
    </w:p>
    <w:p w:rsidR="00B43F6C" w:rsidRPr="00371683" w:rsidP="000576C5" w14:paraId="1B51D0FE" w14:textId="2E7AABE3">
      <w:pPr>
        <w:pStyle w:val="NormalWeb"/>
        <w:shd w:val="clear" w:color="auto" w:fill="FFFFFF"/>
        <w:spacing w:before="0" w:beforeAutospacing="0" w:after="0" w:afterAutospacing="0" w:line="480" w:lineRule="auto"/>
        <w:ind w:firstLine="720"/>
        <w:rPr>
          <w:color w:val="333333"/>
        </w:rPr>
      </w:pPr>
      <w:r w:rsidRPr="00371683">
        <w:rPr>
          <w:color w:val="333333"/>
        </w:rPr>
        <w:t>The following table provides a</w:t>
      </w:r>
      <w:r w:rsidRPr="00371683" w:rsidR="00FD1264">
        <w:rPr>
          <w:color w:val="333333"/>
        </w:rPr>
        <w:t xml:space="preserve">n example of the </w:t>
      </w:r>
      <w:r w:rsidRPr="00371683" w:rsidR="006C2EC0">
        <w:rPr>
          <w:color w:val="333333"/>
        </w:rPr>
        <w:t xml:space="preserve">difference in what the </w:t>
      </w:r>
      <w:r w:rsidRPr="00371683" w:rsidR="00D93E2C">
        <w:rPr>
          <w:color w:val="333333"/>
        </w:rPr>
        <w:t xml:space="preserve">monthly </w:t>
      </w:r>
      <w:r w:rsidRPr="00371683" w:rsidR="006C2EC0">
        <w:rPr>
          <w:color w:val="333333"/>
        </w:rPr>
        <w:t xml:space="preserve">generation costs will be for consumers who are served on the utility SSO </w:t>
      </w:r>
      <w:r w:rsidRPr="00371683" w:rsidR="00D93E2C">
        <w:rPr>
          <w:color w:val="333333"/>
        </w:rPr>
        <w:t xml:space="preserve">compared to generation costs for </w:t>
      </w:r>
      <w:r w:rsidRPr="00371683" w:rsidR="006C2EC0">
        <w:rPr>
          <w:color w:val="333333"/>
        </w:rPr>
        <w:t>PIPP customers</w:t>
      </w:r>
      <w:r w:rsidRPr="00371683" w:rsidR="00D93E2C">
        <w:rPr>
          <w:color w:val="333333"/>
        </w:rPr>
        <w:t xml:space="preserve">. In addition, </w:t>
      </w:r>
      <w:r w:rsidRPr="00371683" w:rsidR="008F6889">
        <w:rPr>
          <w:color w:val="333333"/>
        </w:rPr>
        <w:t xml:space="preserve">this table shows how the difference in costs can be paid by all consumers through the </w:t>
      </w:r>
      <w:r w:rsidRPr="00371683" w:rsidR="00FD1264">
        <w:rPr>
          <w:color w:val="333333"/>
        </w:rPr>
        <w:t>USF</w:t>
      </w:r>
      <w:r w:rsidRPr="00371683" w:rsidR="008F6889">
        <w:rPr>
          <w:color w:val="333333"/>
        </w:rPr>
        <w:t>.</w:t>
      </w:r>
      <w:r w:rsidRPr="00371683" w:rsidR="00701DE6">
        <w:rPr>
          <w:color w:val="333333"/>
        </w:rPr>
        <w:t xml:space="preserve"> </w:t>
      </w:r>
    </w:p>
    <w:p w:rsidR="00FD1264" w:rsidRPr="00371683" w:rsidP="00FD1264" w14:paraId="128E991D" w14:textId="0ACF2564">
      <w:pPr>
        <w:pStyle w:val="NormalWeb"/>
        <w:shd w:val="clear" w:color="auto" w:fill="FFFFFF"/>
        <w:spacing w:before="0" w:beforeAutospacing="0" w:after="0" w:afterAutospacing="0" w:line="480" w:lineRule="auto"/>
        <w:ind w:firstLine="720"/>
        <w:jc w:val="center"/>
        <w:rPr>
          <w:color w:val="333333"/>
        </w:rPr>
      </w:pPr>
      <w:r w:rsidRPr="00371683">
        <w:rPr>
          <w:b/>
          <w:bCs/>
          <w:color w:val="333333"/>
        </w:rPr>
        <w:t xml:space="preserve">Table 2: </w:t>
      </w:r>
      <w:r w:rsidRPr="00371683" w:rsidR="00C875B1">
        <w:rPr>
          <w:b/>
          <w:bCs/>
          <w:color w:val="333333"/>
        </w:rPr>
        <w:t xml:space="preserve">Example of </w:t>
      </w:r>
      <w:r w:rsidRPr="00371683" w:rsidR="00724A0A">
        <w:rPr>
          <w:b/>
          <w:bCs/>
          <w:color w:val="333333"/>
        </w:rPr>
        <w:t xml:space="preserve">the </w:t>
      </w:r>
      <w:r w:rsidRPr="00371683" w:rsidR="00F4575A">
        <w:rPr>
          <w:b/>
          <w:bCs/>
          <w:color w:val="333333"/>
        </w:rPr>
        <w:t xml:space="preserve">Increase in USF Costs </w:t>
      </w:r>
      <w:r w:rsidR="00ED1202">
        <w:rPr>
          <w:b/>
          <w:bCs/>
          <w:color w:val="333333"/>
        </w:rPr>
        <w:t>B</w:t>
      </w:r>
      <w:r w:rsidRPr="00371683" w:rsidR="00F4575A">
        <w:rPr>
          <w:b/>
          <w:bCs/>
          <w:color w:val="333333"/>
        </w:rPr>
        <w:t>ased on Higher Than SSO PIPP Rates</w:t>
      </w:r>
      <w:r w:rsidRPr="00371683" w:rsidR="00F4575A">
        <w:rPr>
          <w:color w:val="333333"/>
        </w:rPr>
        <w:t xml:space="preserve"> </w:t>
      </w:r>
      <w:r w:rsidRPr="00371683" w:rsidR="000D7E68">
        <w:rPr>
          <w:color w:val="333333"/>
        </w:rPr>
        <w:t>(</w:t>
      </w:r>
      <w:r w:rsidRPr="00371683" w:rsidR="00EB050D">
        <w:rPr>
          <w:color w:val="333333"/>
        </w:rPr>
        <w:t xml:space="preserve">Individual PIPP Consumer </w:t>
      </w:r>
      <w:r w:rsidRPr="00371683" w:rsidR="000D7E68">
        <w:rPr>
          <w:color w:val="333333"/>
        </w:rPr>
        <w:t>Assum</w:t>
      </w:r>
      <w:r w:rsidRPr="00371683" w:rsidR="00EB050D">
        <w:rPr>
          <w:color w:val="333333"/>
        </w:rPr>
        <w:t xml:space="preserve">ing </w:t>
      </w:r>
      <w:r w:rsidRPr="00371683" w:rsidR="000D7E68">
        <w:rPr>
          <w:color w:val="333333"/>
        </w:rPr>
        <w:t xml:space="preserve">850kWh </w:t>
      </w:r>
      <w:r w:rsidRPr="00371683" w:rsidR="00724A0A">
        <w:rPr>
          <w:color w:val="333333"/>
        </w:rPr>
        <w:t xml:space="preserve">Summer </w:t>
      </w:r>
      <w:r w:rsidRPr="00371683" w:rsidR="000D7E68">
        <w:rPr>
          <w:color w:val="333333"/>
        </w:rPr>
        <w:t>Usage)</w:t>
      </w:r>
      <w:r w:rsidRPr="00371683">
        <w:rPr>
          <w:color w:val="333333"/>
        </w:rPr>
        <w:t xml:space="preserve"> </w:t>
      </w:r>
    </w:p>
    <w:tbl>
      <w:tblPr>
        <w:tblStyle w:val="TableGrid"/>
        <w:tblW w:w="9355" w:type="dxa"/>
        <w:tblLook w:val="04A0"/>
      </w:tblPr>
      <w:tblGrid>
        <w:gridCol w:w="1705"/>
        <w:gridCol w:w="2070"/>
        <w:gridCol w:w="1980"/>
        <w:gridCol w:w="3600"/>
      </w:tblGrid>
      <w:tr w14:paraId="2269D0D9" w14:textId="77777777" w:rsidTr="00EB050D">
        <w:tblPrEx>
          <w:tblW w:w="9355" w:type="dxa"/>
          <w:tblLook w:val="04A0"/>
        </w:tblPrEx>
        <w:tc>
          <w:tcPr>
            <w:tcW w:w="1705" w:type="dxa"/>
          </w:tcPr>
          <w:p w:rsidR="000D7E68" w:rsidRPr="00371683" w:rsidP="00EB050D" w14:paraId="411735AD" w14:textId="50015D6F">
            <w:pPr>
              <w:pStyle w:val="NormalWeb"/>
              <w:spacing w:before="0" w:beforeAutospacing="0" w:after="0" w:afterAutospacing="0"/>
              <w:jc w:val="center"/>
              <w:rPr>
                <w:color w:val="333333"/>
              </w:rPr>
            </w:pPr>
            <w:r w:rsidRPr="00371683">
              <w:rPr>
                <w:color w:val="333333"/>
              </w:rPr>
              <w:t>EDU</w:t>
            </w:r>
            <w:r w:rsidRPr="00371683" w:rsidR="00CA6D3C">
              <w:rPr>
                <w:color w:val="333333"/>
              </w:rPr>
              <w:t xml:space="preserve"> (Summer)</w:t>
            </w:r>
          </w:p>
        </w:tc>
        <w:tc>
          <w:tcPr>
            <w:tcW w:w="2070" w:type="dxa"/>
          </w:tcPr>
          <w:p w:rsidR="000D7E68" w:rsidRPr="00371683" w:rsidP="00EB050D" w14:paraId="026AD792" w14:textId="6B39132F">
            <w:pPr>
              <w:pStyle w:val="NormalWeb"/>
              <w:spacing w:before="0" w:beforeAutospacing="0" w:after="0" w:afterAutospacing="0"/>
              <w:jc w:val="center"/>
              <w:rPr>
                <w:color w:val="333333"/>
              </w:rPr>
            </w:pPr>
            <w:r w:rsidRPr="00371683">
              <w:rPr>
                <w:color w:val="333333"/>
              </w:rPr>
              <w:t xml:space="preserve">SSO </w:t>
            </w:r>
            <w:r w:rsidRPr="00371683" w:rsidR="00C15E2B">
              <w:rPr>
                <w:color w:val="333333"/>
              </w:rPr>
              <w:t xml:space="preserve">Generation </w:t>
            </w:r>
            <w:r w:rsidRPr="00371683">
              <w:rPr>
                <w:color w:val="333333"/>
              </w:rPr>
              <w:t>Cost</w:t>
            </w:r>
            <w:r w:rsidRPr="00371683" w:rsidR="00724A0A">
              <w:rPr>
                <w:color w:val="333333"/>
              </w:rPr>
              <w:t xml:space="preserve"> for Non-PIPP Consumers</w:t>
            </w:r>
          </w:p>
        </w:tc>
        <w:tc>
          <w:tcPr>
            <w:tcW w:w="1980" w:type="dxa"/>
          </w:tcPr>
          <w:p w:rsidR="000D7E68" w:rsidRPr="00371683" w:rsidP="00EB050D" w14:paraId="57DCA7CC" w14:textId="52CBC975">
            <w:pPr>
              <w:pStyle w:val="NormalWeb"/>
              <w:spacing w:before="0" w:beforeAutospacing="0" w:after="0" w:afterAutospacing="0"/>
              <w:jc w:val="center"/>
              <w:rPr>
                <w:color w:val="333333"/>
              </w:rPr>
            </w:pPr>
            <w:r w:rsidRPr="00371683">
              <w:rPr>
                <w:color w:val="333333"/>
              </w:rPr>
              <w:t xml:space="preserve">Generation Costs for PIPP Consumers </w:t>
            </w:r>
          </w:p>
        </w:tc>
        <w:tc>
          <w:tcPr>
            <w:tcW w:w="3600" w:type="dxa"/>
          </w:tcPr>
          <w:p w:rsidR="000D7E68" w:rsidRPr="00371683" w:rsidP="00EB050D" w14:paraId="471E19F3" w14:textId="0FEAF5D1">
            <w:pPr>
              <w:pStyle w:val="NormalWeb"/>
              <w:spacing w:before="0" w:beforeAutospacing="0" w:after="0" w:afterAutospacing="0"/>
              <w:jc w:val="center"/>
              <w:rPr>
                <w:color w:val="333333"/>
              </w:rPr>
            </w:pPr>
            <w:r w:rsidRPr="00371683">
              <w:rPr>
                <w:color w:val="333333"/>
              </w:rPr>
              <w:t xml:space="preserve">Additional </w:t>
            </w:r>
            <w:r w:rsidRPr="00371683" w:rsidR="00B80406">
              <w:rPr>
                <w:color w:val="333333"/>
              </w:rPr>
              <w:t xml:space="preserve">Costs </w:t>
            </w:r>
            <w:r w:rsidRPr="00371683" w:rsidR="002C47E3">
              <w:rPr>
                <w:color w:val="333333"/>
              </w:rPr>
              <w:t xml:space="preserve">that </w:t>
            </w:r>
            <w:r w:rsidRPr="00371683" w:rsidR="00D93E2C">
              <w:rPr>
                <w:color w:val="333333"/>
              </w:rPr>
              <w:t xml:space="preserve">all </w:t>
            </w:r>
            <w:r w:rsidRPr="00371683" w:rsidR="00724A0A">
              <w:rPr>
                <w:color w:val="333333"/>
              </w:rPr>
              <w:t xml:space="preserve">Consumers can pay </w:t>
            </w:r>
            <w:r w:rsidRPr="00371683" w:rsidR="002C47E3">
              <w:rPr>
                <w:color w:val="333333"/>
              </w:rPr>
              <w:t xml:space="preserve">through the </w:t>
            </w:r>
            <w:r w:rsidRPr="00371683">
              <w:rPr>
                <w:color w:val="333333"/>
              </w:rPr>
              <w:t>USF</w:t>
            </w:r>
            <w:r w:rsidRPr="00371683" w:rsidR="00701DE6">
              <w:rPr>
                <w:color w:val="333333"/>
              </w:rPr>
              <w:t xml:space="preserve"> </w:t>
            </w:r>
          </w:p>
        </w:tc>
      </w:tr>
      <w:tr w14:paraId="045C3D63" w14:textId="77777777" w:rsidTr="00EB050D">
        <w:tblPrEx>
          <w:tblW w:w="9355" w:type="dxa"/>
          <w:tblLook w:val="04A0"/>
        </w:tblPrEx>
        <w:tc>
          <w:tcPr>
            <w:tcW w:w="1705" w:type="dxa"/>
          </w:tcPr>
          <w:p w:rsidR="000D7E68" w:rsidRPr="00371683" w:rsidP="00FD1264" w14:paraId="68A6A518" w14:textId="5F648848">
            <w:pPr>
              <w:pStyle w:val="NormalWeb"/>
              <w:spacing w:before="0" w:beforeAutospacing="0" w:after="0" w:afterAutospacing="0" w:line="480" w:lineRule="auto"/>
              <w:jc w:val="center"/>
              <w:rPr>
                <w:color w:val="333333"/>
              </w:rPr>
            </w:pPr>
            <w:r w:rsidRPr="00371683">
              <w:rPr>
                <w:color w:val="333333"/>
              </w:rPr>
              <w:t>AEP Ohio</w:t>
            </w:r>
          </w:p>
        </w:tc>
        <w:tc>
          <w:tcPr>
            <w:tcW w:w="2070" w:type="dxa"/>
          </w:tcPr>
          <w:p w:rsidR="000D7E68" w:rsidRPr="00371683" w:rsidP="00FD1264" w14:paraId="30AFDF9A" w14:textId="7F16BA7E">
            <w:pPr>
              <w:pStyle w:val="NormalWeb"/>
              <w:spacing w:before="0" w:beforeAutospacing="0" w:after="0" w:afterAutospacing="0" w:line="480" w:lineRule="auto"/>
              <w:jc w:val="center"/>
              <w:rPr>
                <w:color w:val="333333"/>
              </w:rPr>
            </w:pPr>
            <w:r w:rsidRPr="00371683">
              <w:rPr>
                <w:color w:val="333333"/>
              </w:rPr>
              <w:t>$5</w:t>
            </w:r>
            <w:r w:rsidRPr="00371683" w:rsidR="00C15E2B">
              <w:rPr>
                <w:color w:val="333333"/>
              </w:rPr>
              <w:t>6.29</w:t>
            </w:r>
          </w:p>
        </w:tc>
        <w:tc>
          <w:tcPr>
            <w:tcW w:w="1980" w:type="dxa"/>
          </w:tcPr>
          <w:p w:rsidR="000D7E68" w:rsidRPr="00371683" w:rsidP="00FD1264" w14:paraId="6621EBB0" w14:textId="56FE8C8C">
            <w:pPr>
              <w:pStyle w:val="NormalWeb"/>
              <w:spacing w:before="0" w:beforeAutospacing="0" w:after="0" w:afterAutospacing="0" w:line="480" w:lineRule="auto"/>
              <w:jc w:val="center"/>
              <w:rPr>
                <w:color w:val="333333"/>
              </w:rPr>
            </w:pPr>
            <w:r w:rsidRPr="00371683">
              <w:rPr>
                <w:color w:val="333333"/>
              </w:rPr>
              <w:t>$125.</w:t>
            </w:r>
            <w:r w:rsidRPr="00371683" w:rsidR="00C15E2B">
              <w:rPr>
                <w:color w:val="333333"/>
              </w:rPr>
              <w:t>68</w:t>
            </w:r>
          </w:p>
        </w:tc>
        <w:tc>
          <w:tcPr>
            <w:tcW w:w="3600" w:type="dxa"/>
          </w:tcPr>
          <w:p w:rsidR="000D7E68" w:rsidRPr="00371683" w:rsidP="00FD1264" w14:paraId="3E5BA97C" w14:textId="55B956D9">
            <w:pPr>
              <w:pStyle w:val="NormalWeb"/>
              <w:spacing w:before="0" w:beforeAutospacing="0" w:after="0" w:afterAutospacing="0" w:line="480" w:lineRule="auto"/>
              <w:jc w:val="center"/>
              <w:rPr>
                <w:color w:val="333333"/>
              </w:rPr>
            </w:pPr>
            <w:r w:rsidRPr="00371683">
              <w:rPr>
                <w:color w:val="333333"/>
              </w:rPr>
              <w:t>$</w:t>
            </w:r>
            <w:r w:rsidRPr="00371683" w:rsidR="00CA6D3C">
              <w:rPr>
                <w:color w:val="333333"/>
              </w:rPr>
              <w:t>69.39</w:t>
            </w:r>
          </w:p>
        </w:tc>
      </w:tr>
      <w:tr w14:paraId="61DAC70F" w14:textId="77777777" w:rsidTr="00EB050D">
        <w:tblPrEx>
          <w:tblW w:w="9355" w:type="dxa"/>
          <w:tblLook w:val="04A0"/>
        </w:tblPrEx>
        <w:tc>
          <w:tcPr>
            <w:tcW w:w="1705" w:type="dxa"/>
          </w:tcPr>
          <w:p w:rsidR="000D7E68" w:rsidRPr="00371683" w:rsidP="00FD1264" w14:paraId="4E0FB573" w14:textId="3561002A">
            <w:pPr>
              <w:pStyle w:val="NormalWeb"/>
              <w:spacing w:before="0" w:beforeAutospacing="0" w:after="0" w:afterAutospacing="0" w:line="480" w:lineRule="auto"/>
              <w:jc w:val="center"/>
              <w:rPr>
                <w:color w:val="333333"/>
              </w:rPr>
            </w:pPr>
            <w:r w:rsidRPr="00371683">
              <w:rPr>
                <w:color w:val="333333"/>
              </w:rPr>
              <w:t xml:space="preserve">AES Ohio </w:t>
            </w:r>
          </w:p>
        </w:tc>
        <w:tc>
          <w:tcPr>
            <w:tcW w:w="2070" w:type="dxa"/>
          </w:tcPr>
          <w:p w:rsidR="000D7E68" w:rsidRPr="00371683" w:rsidP="00FD1264" w14:paraId="595D061F" w14:textId="46D65BB6">
            <w:pPr>
              <w:pStyle w:val="NormalWeb"/>
              <w:spacing w:before="0" w:beforeAutospacing="0" w:after="0" w:afterAutospacing="0" w:line="480" w:lineRule="auto"/>
              <w:jc w:val="center"/>
              <w:rPr>
                <w:color w:val="333333"/>
              </w:rPr>
            </w:pPr>
            <w:r w:rsidRPr="00371683">
              <w:rPr>
                <w:color w:val="333333"/>
              </w:rPr>
              <w:t>$92.74</w:t>
            </w:r>
          </w:p>
        </w:tc>
        <w:tc>
          <w:tcPr>
            <w:tcW w:w="1980" w:type="dxa"/>
          </w:tcPr>
          <w:p w:rsidR="000D7E68" w:rsidRPr="00371683" w:rsidP="00FD1264" w14:paraId="60C0C095" w14:textId="57211FA0">
            <w:pPr>
              <w:pStyle w:val="NormalWeb"/>
              <w:spacing w:before="0" w:beforeAutospacing="0" w:after="0" w:afterAutospacing="0" w:line="480" w:lineRule="auto"/>
              <w:jc w:val="center"/>
              <w:rPr>
                <w:color w:val="333333"/>
              </w:rPr>
            </w:pPr>
            <w:r w:rsidRPr="00371683">
              <w:rPr>
                <w:color w:val="333333"/>
              </w:rPr>
              <w:t>$134.05</w:t>
            </w:r>
          </w:p>
        </w:tc>
        <w:tc>
          <w:tcPr>
            <w:tcW w:w="3600" w:type="dxa"/>
          </w:tcPr>
          <w:p w:rsidR="000D7E68" w:rsidRPr="00371683" w:rsidP="00FD1264" w14:paraId="5DA8EE7E" w14:textId="42459734">
            <w:pPr>
              <w:pStyle w:val="NormalWeb"/>
              <w:spacing w:before="0" w:beforeAutospacing="0" w:after="0" w:afterAutospacing="0" w:line="480" w:lineRule="auto"/>
              <w:jc w:val="center"/>
              <w:rPr>
                <w:color w:val="333333"/>
              </w:rPr>
            </w:pPr>
            <w:r w:rsidRPr="00371683">
              <w:rPr>
                <w:color w:val="333333"/>
              </w:rPr>
              <w:t>$</w:t>
            </w:r>
            <w:r w:rsidRPr="00371683">
              <w:rPr>
                <w:color w:val="333333"/>
              </w:rPr>
              <w:t>41.31</w:t>
            </w:r>
          </w:p>
        </w:tc>
      </w:tr>
      <w:tr w14:paraId="2108687C" w14:textId="77777777" w:rsidTr="00EB050D">
        <w:tblPrEx>
          <w:tblW w:w="9355" w:type="dxa"/>
          <w:tblLook w:val="04A0"/>
        </w:tblPrEx>
        <w:tc>
          <w:tcPr>
            <w:tcW w:w="1705" w:type="dxa"/>
          </w:tcPr>
          <w:p w:rsidR="000D7E68" w:rsidRPr="00371683" w:rsidP="00FD1264" w14:paraId="386341D3" w14:textId="3B8D2423">
            <w:pPr>
              <w:pStyle w:val="NormalWeb"/>
              <w:spacing w:before="0" w:beforeAutospacing="0" w:after="0" w:afterAutospacing="0" w:line="480" w:lineRule="auto"/>
              <w:jc w:val="center"/>
              <w:rPr>
                <w:color w:val="333333"/>
              </w:rPr>
            </w:pPr>
            <w:r w:rsidRPr="00371683">
              <w:rPr>
                <w:color w:val="333333"/>
              </w:rPr>
              <w:t>Ohio Edison</w:t>
            </w:r>
          </w:p>
        </w:tc>
        <w:tc>
          <w:tcPr>
            <w:tcW w:w="2070" w:type="dxa"/>
          </w:tcPr>
          <w:p w:rsidR="000D7E68" w:rsidRPr="00371683" w:rsidP="00FD1264" w14:paraId="205E504F" w14:textId="3199D9D0">
            <w:pPr>
              <w:pStyle w:val="NormalWeb"/>
              <w:spacing w:before="0" w:beforeAutospacing="0" w:after="0" w:afterAutospacing="0" w:line="480" w:lineRule="auto"/>
              <w:jc w:val="center"/>
              <w:rPr>
                <w:color w:val="333333"/>
              </w:rPr>
            </w:pPr>
            <w:r w:rsidRPr="00371683">
              <w:rPr>
                <w:color w:val="333333"/>
              </w:rPr>
              <w:t>$55.39</w:t>
            </w:r>
          </w:p>
        </w:tc>
        <w:tc>
          <w:tcPr>
            <w:tcW w:w="1980" w:type="dxa"/>
          </w:tcPr>
          <w:p w:rsidR="000D7E68" w:rsidRPr="00371683" w:rsidP="00FD1264" w14:paraId="5D3BAF4E" w14:textId="6AB90D43">
            <w:pPr>
              <w:pStyle w:val="NormalWeb"/>
              <w:spacing w:before="0" w:beforeAutospacing="0" w:after="0" w:afterAutospacing="0" w:line="480" w:lineRule="auto"/>
              <w:jc w:val="center"/>
              <w:rPr>
                <w:color w:val="333333"/>
              </w:rPr>
            </w:pPr>
            <w:r w:rsidRPr="00371683">
              <w:rPr>
                <w:color w:val="333333"/>
              </w:rPr>
              <w:t>$</w:t>
            </w:r>
            <w:r w:rsidRPr="00371683">
              <w:rPr>
                <w:color w:val="333333"/>
              </w:rPr>
              <w:t>71.60</w:t>
            </w:r>
          </w:p>
        </w:tc>
        <w:tc>
          <w:tcPr>
            <w:tcW w:w="3600" w:type="dxa"/>
          </w:tcPr>
          <w:p w:rsidR="000D7E68" w:rsidRPr="00371683" w:rsidP="00FD1264" w14:paraId="55C11D8C" w14:textId="02C66D9A">
            <w:pPr>
              <w:pStyle w:val="NormalWeb"/>
              <w:spacing w:before="0" w:beforeAutospacing="0" w:after="0" w:afterAutospacing="0" w:line="480" w:lineRule="auto"/>
              <w:jc w:val="center"/>
              <w:rPr>
                <w:color w:val="333333"/>
              </w:rPr>
            </w:pPr>
            <w:r w:rsidRPr="00371683">
              <w:rPr>
                <w:color w:val="333333"/>
              </w:rPr>
              <w:t>$</w:t>
            </w:r>
            <w:r w:rsidRPr="00371683" w:rsidR="00C875B1">
              <w:rPr>
                <w:color w:val="333333"/>
              </w:rPr>
              <w:t>16.21</w:t>
            </w:r>
          </w:p>
        </w:tc>
      </w:tr>
      <w:tr w14:paraId="391B0266" w14:textId="77777777" w:rsidTr="00EB050D">
        <w:tblPrEx>
          <w:tblW w:w="9355" w:type="dxa"/>
          <w:tblLook w:val="04A0"/>
        </w:tblPrEx>
        <w:tc>
          <w:tcPr>
            <w:tcW w:w="1705" w:type="dxa"/>
          </w:tcPr>
          <w:p w:rsidR="000D7E68" w:rsidRPr="00371683" w:rsidP="00FD1264" w14:paraId="6B043005" w14:textId="225DDEE8">
            <w:pPr>
              <w:pStyle w:val="NormalWeb"/>
              <w:spacing w:before="0" w:beforeAutospacing="0" w:after="0" w:afterAutospacing="0" w:line="480" w:lineRule="auto"/>
              <w:jc w:val="center"/>
              <w:rPr>
                <w:color w:val="333333"/>
              </w:rPr>
            </w:pPr>
            <w:r w:rsidRPr="00371683">
              <w:rPr>
                <w:color w:val="333333"/>
              </w:rPr>
              <w:t>CEI</w:t>
            </w:r>
          </w:p>
        </w:tc>
        <w:tc>
          <w:tcPr>
            <w:tcW w:w="2070" w:type="dxa"/>
          </w:tcPr>
          <w:p w:rsidR="000D7E68" w:rsidRPr="00371683" w:rsidP="00FD1264" w14:paraId="65C4D2E4" w14:textId="60D12CA1">
            <w:pPr>
              <w:pStyle w:val="NormalWeb"/>
              <w:spacing w:before="0" w:beforeAutospacing="0" w:after="0" w:afterAutospacing="0" w:line="480" w:lineRule="auto"/>
              <w:jc w:val="center"/>
              <w:rPr>
                <w:color w:val="333333"/>
              </w:rPr>
            </w:pPr>
            <w:r w:rsidRPr="00371683">
              <w:rPr>
                <w:color w:val="333333"/>
              </w:rPr>
              <w:t>$55.87</w:t>
            </w:r>
          </w:p>
        </w:tc>
        <w:tc>
          <w:tcPr>
            <w:tcW w:w="1980" w:type="dxa"/>
          </w:tcPr>
          <w:p w:rsidR="000D7E68" w:rsidRPr="00371683" w:rsidP="00FD1264" w14:paraId="4ADB6452" w14:textId="583EB83A">
            <w:pPr>
              <w:pStyle w:val="NormalWeb"/>
              <w:spacing w:before="0" w:beforeAutospacing="0" w:after="0" w:afterAutospacing="0" w:line="480" w:lineRule="auto"/>
              <w:jc w:val="center"/>
              <w:rPr>
                <w:color w:val="333333"/>
              </w:rPr>
            </w:pPr>
            <w:r w:rsidRPr="00371683">
              <w:rPr>
                <w:color w:val="333333"/>
              </w:rPr>
              <w:t>$</w:t>
            </w:r>
            <w:r w:rsidRPr="00371683">
              <w:rPr>
                <w:color w:val="333333"/>
              </w:rPr>
              <w:t>71.60</w:t>
            </w:r>
          </w:p>
        </w:tc>
        <w:tc>
          <w:tcPr>
            <w:tcW w:w="3600" w:type="dxa"/>
          </w:tcPr>
          <w:p w:rsidR="000D7E68" w:rsidRPr="00371683" w:rsidP="00FD1264" w14:paraId="5DA4826B" w14:textId="116759E8">
            <w:pPr>
              <w:pStyle w:val="NormalWeb"/>
              <w:spacing w:before="0" w:beforeAutospacing="0" w:after="0" w:afterAutospacing="0" w:line="480" w:lineRule="auto"/>
              <w:jc w:val="center"/>
              <w:rPr>
                <w:color w:val="333333"/>
              </w:rPr>
            </w:pPr>
            <w:r w:rsidRPr="00371683">
              <w:rPr>
                <w:color w:val="333333"/>
              </w:rPr>
              <w:t>$</w:t>
            </w:r>
            <w:r w:rsidRPr="00371683" w:rsidR="00C875B1">
              <w:rPr>
                <w:color w:val="333333"/>
              </w:rPr>
              <w:t>15.73</w:t>
            </w:r>
          </w:p>
        </w:tc>
      </w:tr>
      <w:tr w14:paraId="322E914A" w14:textId="77777777" w:rsidTr="00EB050D">
        <w:tblPrEx>
          <w:tblW w:w="9355" w:type="dxa"/>
          <w:tblLook w:val="04A0"/>
        </w:tblPrEx>
        <w:tc>
          <w:tcPr>
            <w:tcW w:w="1705" w:type="dxa"/>
          </w:tcPr>
          <w:p w:rsidR="000D7E68" w:rsidRPr="00371683" w:rsidP="00FD1264" w14:paraId="56D4E546" w14:textId="33130448">
            <w:pPr>
              <w:pStyle w:val="NormalWeb"/>
              <w:spacing w:before="0" w:beforeAutospacing="0" w:after="0" w:afterAutospacing="0" w:line="480" w:lineRule="auto"/>
              <w:jc w:val="center"/>
              <w:rPr>
                <w:color w:val="333333"/>
              </w:rPr>
            </w:pPr>
            <w:r w:rsidRPr="00371683">
              <w:rPr>
                <w:color w:val="333333"/>
              </w:rPr>
              <w:t>TE</w:t>
            </w:r>
            <w:r w:rsidRPr="00371683" w:rsidR="00CA6D3C">
              <w:rPr>
                <w:color w:val="333333"/>
              </w:rPr>
              <w:t xml:space="preserve"> </w:t>
            </w:r>
          </w:p>
        </w:tc>
        <w:tc>
          <w:tcPr>
            <w:tcW w:w="2070" w:type="dxa"/>
          </w:tcPr>
          <w:p w:rsidR="000D7E68" w:rsidRPr="00371683" w:rsidP="00FD1264" w14:paraId="20669D36" w14:textId="541EAACE">
            <w:pPr>
              <w:pStyle w:val="NormalWeb"/>
              <w:spacing w:before="0" w:beforeAutospacing="0" w:after="0" w:afterAutospacing="0" w:line="480" w:lineRule="auto"/>
              <w:jc w:val="center"/>
              <w:rPr>
                <w:color w:val="333333"/>
              </w:rPr>
            </w:pPr>
            <w:r w:rsidRPr="00371683">
              <w:rPr>
                <w:color w:val="333333"/>
              </w:rPr>
              <w:t>$55.05</w:t>
            </w:r>
          </w:p>
        </w:tc>
        <w:tc>
          <w:tcPr>
            <w:tcW w:w="1980" w:type="dxa"/>
          </w:tcPr>
          <w:p w:rsidR="000D7E68" w:rsidRPr="00371683" w:rsidP="00FD1264" w14:paraId="1BA9F18B" w14:textId="792E70B1">
            <w:pPr>
              <w:pStyle w:val="NormalWeb"/>
              <w:spacing w:before="0" w:beforeAutospacing="0" w:after="0" w:afterAutospacing="0" w:line="480" w:lineRule="auto"/>
              <w:jc w:val="center"/>
              <w:rPr>
                <w:color w:val="333333"/>
              </w:rPr>
            </w:pPr>
            <w:r w:rsidRPr="00371683">
              <w:rPr>
                <w:color w:val="333333"/>
              </w:rPr>
              <w:t>$</w:t>
            </w:r>
            <w:r w:rsidRPr="00371683">
              <w:rPr>
                <w:color w:val="333333"/>
              </w:rPr>
              <w:t>71.60</w:t>
            </w:r>
          </w:p>
        </w:tc>
        <w:tc>
          <w:tcPr>
            <w:tcW w:w="3600" w:type="dxa"/>
          </w:tcPr>
          <w:p w:rsidR="000D7E68" w:rsidRPr="00371683" w:rsidP="00FD1264" w14:paraId="61A41B90" w14:textId="44F0CC29">
            <w:pPr>
              <w:pStyle w:val="NormalWeb"/>
              <w:spacing w:before="0" w:beforeAutospacing="0" w:after="0" w:afterAutospacing="0" w:line="480" w:lineRule="auto"/>
              <w:jc w:val="center"/>
              <w:rPr>
                <w:color w:val="333333"/>
              </w:rPr>
            </w:pPr>
            <w:r w:rsidRPr="00371683">
              <w:rPr>
                <w:color w:val="333333"/>
              </w:rPr>
              <w:t>$</w:t>
            </w:r>
            <w:r w:rsidRPr="00371683" w:rsidR="00C875B1">
              <w:rPr>
                <w:color w:val="333333"/>
              </w:rPr>
              <w:t>16.55</w:t>
            </w:r>
          </w:p>
        </w:tc>
      </w:tr>
      <w:tr w14:paraId="14BEA39C" w14:textId="77777777" w:rsidTr="00EB050D">
        <w:tblPrEx>
          <w:tblW w:w="9355" w:type="dxa"/>
          <w:tblLook w:val="04A0"/>
        </w:tblPrEx>
        <w:tc>
          <w:tcPr>
            <w:tcW w:w="1705" w:type="dxa"/>
          </w:tcPr>
          <w:p w:rsidR="000D7E68" w:rsidRPr="00371683" w:rsidP="00FD1264" w14:paraId="16A68554" w14:textId="729A56DD">
            <w:pPr>
              <w:pStyle w:val="NormalWeb"/>
              <w:spacing w:before="0" w:beforeAutospacing="0" w:after="0" w:afterAutospacing="0" w:line="480" w:lineRule="auto"/>
              <w:jc w:val="center"/>
              <w:rPr>
                <w:color w:val="333333"/>
              </w:rPr>
            </w:pPr>
            <w:r w:rsidRPr="00371683">
              <w:rPr>
                <w:color w:val="333333"/>
              </w:rPr>
              <w:t>Duke</w:t>
            </w:r>
          </w:p>
        </w:tc>
        <w:tc>
          <w:tcPr>
            <w:tcW w:w="2070" w:type="dxa"/>
          </w:tcPr>
          <w:p w:rsidR="000D7E68" w:rsidRPr="00371683" w:rsidP="00FD1264" w14:paraId="29AEC25C" w14:textId="672D6B5E">
            <w:pPr>
              <w:pStyle w:val="NormalWeb"/>
              <w:spacing w:before="0" w:beforeAutospacing="0" w:after="0" w:afterAutospacing="0" w:line="480" w:lineRule="auto"/>
              <w:jc w:val="center"/>
              <w:rPr>
                <w:color w:val="333333"/>
              </w:rPr>
            </w:pPr>
            <w:r w:rsidRPr="00371683">
              <w:rPr>
                <w:color w:val="333333"/>
              </w:rPr>
              <w:t>$55.11</w:t>
            </w:r>
          </w:p>
        </w:tc>
        <w:tc>
          <w:tcPr>
            <w:tcW w:w="1980" w:type="dxa"/>
          </w:tcPr>
          <w:p w:rsidR="000D7E68" w:rsidRPr="00371683" w:rsidP="00FD1264" w14:paraId="3063056F" w14:textId="05A63E86">
            <w:pPr>
              <w:pStyle w:val="NormalWeb"/>
              <w:spacing w:before="0" w:beforeAutospacing="0" w:after="0" w:afterAutospacing="0" w:line="480" w:lineRule="auto"/>
              <w:jc w:val="center"/>
              <w:rPr>
                <w:color w:val="333333"/>
              </w:rPr>
            </w:pPr>
            <w:r w:rsidRPr="00371683">
              <w:rPr>
                <w:color w:val="333333"/>
              </w:rPr>
              <w:t>$</w:t>
            </w:r>
            <w:r w:rsidRPr="00371683" w:rsidR="00B80406">
              <w:rPr>
                <w:color w:val="333333"/>
              </w:rPr>
              <w:t>1</w:t>
            </w:r>
            <w:r w:rsidRPr="00371683" w:rsidR="00CA6D3C">
              <w:rPr>
                <w:color w:val="333333"/>
              </w:rPr>
              <w:t>40.00</w:t>
            </w:r>
          </w:p>
        </w:tc>
        <w:tc>
          <w:tcPr>
            <w:tcW w:w="3600" w:type="dxa"/>
          </w:tcPr>
          <w:p w:rsidR="000D7E68" w:rsidRPr="00371683" w:rsidP="00FD1264" w14:paraId="61D44E23" w14:textId="64D5182F">
            <w:pPr>
              <w:pStyle w:val="NormalWeb"/>
              <w:spacing w:before="0" w:beforeAutospacing="0" w:after="0" w:afterAutospacing="0" w:line="480" w:lineRule="auto"/>
              <w:jc w:val="center"/>
              <w:rPr>
                <w:color w:val="333333"/>
              </w:rPr>
            </w:pPr>
            <w:r w:rsidRPr="00371683">
              <w:rPr>
                <w:color w:val="333333"/>
              </w:rPr>
              <w:t>$</w:t>
            </w:r>
            <w:r w:rsidRPr="00371683" w:rsidR="00C875B1">
              <w:rPr>
                <w:color w:val="333333"/>
              </w:rPr>
              <w:t>84.89</w:t>
            </w:r>
          </w:p>
        </w:tc>
      </w:tr>
    </w:tbl>
    <w:p w:rsidR="00FD1264" w:rsidRPr="00371683" w:rsidP="00E94BEE" w14:paraId="63AE0388" w14:textId="77777777">
      <w:pPr>
        <w:pStyle w:val="NormalWeb"/>
        <w:shd w:val="clear" w:color="auto" w:fill="FFFFFF"/>
        <w:spacing w:before="0" w:beforeAutospacing="0" w:after="0" w:afterAutospacing="0"/>
        <w:ind w:firstLine="720"/>
        <w:jc w:val="center"/>
        <w:rPr>
          <w:color w:val="333333"/>
        </w:rPr>
      </w:pPr>
    </w:p>
    <w:p w:rsidR="00AA68E8" w:rsidRPr="00371683" w:rsidP="004C1A6E" w14:paraId="388AAEAD" w14:textId="32023A35">
      <w:pPr>
        <w:pStyle w:val="NormalWeb"/>
        <w:shd w:val="clear" w:color="auto" w:fill="FFFFFF"/>
        <w:spacing w:before="0" w:beforeAutospacing="0" w:after="0" w:afterAutospacing="0" w:line="480" w:lineRule="auto"/>
        <w:ind w:firstLine="720"/>
        <w:rPr>
          <w:color w:val="333333"/>
        </w:rPr>
      </w:pPr>
      <w:r w:rsidRPr="00371683">
        <w:rPr>
          <w:color w:val="333333"/>
        </w:rPr>
        <w:t>Table 2 shows that the monthly impact on the USF when PIPP customers are charged more than the SSO for generation services.</w:t>
      </w:r>
      <w:r>
        <w:rPr>
          <w:rStyle w:val="FootnoteReference"/>
          <w:color w:val="333333"/>
        </w:rPr>
        <w:footnoteReference w:id="22"/>
      </w:r>
      <w:r w:rsidRPr="00371683">
        <w:rPr>
          <w:color w:val="333333"/>
        </w:rPr>
        <w:t xml:space="preserve"> </w:t>
      </w:r>
      <w:r w:rsidRPr="00371683" w:rsidR="000A4BA6">
        <w:rPr>
          <w:color w:val="333333"/>
        </w:rPr>
        <w:t xml:space="preserve">For </w:t>
      </w:r>
      <w:r w:rsidRPr="00371683" w:rsidR="005E3EC3">
        <w:rPr>
          <w:color w:val="333333"/>
        </w:rPr>
        <w:t xml:space="preserve">example, an </w:t>
      </w:r>
      <w:r w:rsidRPr="00371683" w:rsidR="00C37F5A">
        <w:rPr>
          <w:color w:val="333333"/>
        </w:rPr>
        <w:t xml:space="preserve">AEP Ohio </w:t>
      </w:r>
      <w:r w:rsidRPr="00371683" w:rsidR="005E3EC3">
        <w:rPr>
          <w:color w:val="333333"/>
        </w:rPr>
        <w:t xml:space="preserve">SSO residential consumer </w:t>
      </w:r>
      <w:r w:rsidRPr="00371683" w:rsidR="007558BC">
        <w:rPr>
          <w:color w:val="333333"/>
        </w:rPr>
        <w:t xml:space="preserve">using 850 kWh </w:t>
      </w:r>
      <w:r w:rsidRPr="00371683" w:rsidR="005E3EC3">
        <w:rPr>
          <w:color w:val="333333"/>
        </w:rPr>
        <w:t xml:space="preserve">will be charged $56.29 for the generation portion of their electric bill. Yet a low-income customer </w:t>
      </w:r>
      <w:r w:rsidRPr="00371683" w:rsidR="008F6889">
        <w:rPr>
          <w:color w:val="333333"/>
        </w:rPr>
        <w:t xml:space="preserve">on the PIPP payment plan </w:t>
      </w:r>
      <w:r w:rsidRPr="00371683" w:rsidR="005E3EC3">
        <w:rPr>
          <w:color w:val="333333"/>
        </w:rPr>
        <w:t xml:space="preserve">using the same amount of electricity will be charged $125.68 </w:t>
      </w:r>
      <w:r w:rsidRPr="00371683" w:rsidR="008F6889">
        <w:rPr>
          <w:color w:val="333333"/>
        </w:rPr>
        <w:t xml:space="preserve">in </w:t>
      </w:r>
      <w:r w:rsidRPr="00371683" w:rsidR="005E3EC3">
        <w:rPr>
          <w:color w:val="333333"/>
        </w:rPr>
        <w:t>generation c</w:t>
      </w:r>
      <w:r w:rsidRPr="00371683" w:rsidR="008F6889">
        <w:rPr>
          <w:color w:val="333333"/>
        </w:rPr>
        <w:t>osts</w:t>
      </w:r>
      <w:r w:rsidRPr="00371683" w:rsidR="004C1A6E">
        <w:rPr>
          <w:color w:val="333333"/>
        </w:rPr>
        <w:t xml:space="preserve">! </w:t>
      </w:r>
      <w:r w:rsidRPr="00371683" w:rsidR="006B1E30">
        <w:rPr>
          <w:color w:val="333333"/>
        </w:rPr>
        <w:t xml:space="preserve">While it is true that PIPP customers pay 5 percent of their monthly household income as their electric payment, the difference of $69.39 is an additional cost to the USF above and beyond what the charges would have been </w:t>
      </w:r>
      <w:r w:rsidRPr="00371683" w:rsidR="008F6889">
        <w:rPr>
          <w:color w:val="333333"/>
        </w:rPr>
        <w:t xml:space="preserve">had the PIPP customer been served </w:t>
      </w:r>
      <w:r w:rsidRPr="00371683" w:rsidR="006B1E30">
        <w:rPr>
          <w:color w:val="333333"/>
        </w:rPr>
        <w:t>under the SSO</w:t>
      </w:r>
      <w:r w:rsidRPr="00371683" w:rsidR="007558BC">
        <w:rPr>
          <w:color w:val="333333"/>
        </w:rPr>
        <w:t xml:space="preserve"> rates</w:t>
      </w:r>
      <w:r w:rsidRPr="00371683" w:rsidR="006B1E30">
        <w:rPr>
          <w:color w:val="333333"/>
        </w:rPr>
        <w:t xml:space="preserve">. </w:t>
      </w:r>
      <w:r w:rsidRPr="00371683" w:rsidR="007558BC">
        <w:rPr>
          <w:color w:val="333333"/>
        </w:rPr>
        <w:t xml:space="preserve">Considering that AEP Ohio has over 90,000 PIPP customers, this can be a substantial increase in the cost of PIPP that ODOD will need to reflect in the rate case application to be filed later this year. </w:t>
      </w:r>
      <w:r w:rsidRPr="00371683">
        <w:rPr>
          <w:color w:val="333333"/>
        </w:rPr>
        <w:t>Substantial increases in the USF rates for AES Ohio and Duke Energy Ohio are also likely.</w:t>
      </w:r>
    </w:p>
    <w:p w:rsidR="001F7659" w:rsidRPr="00371683" w:rsidP="003B091B" w14:paraId="3180913E" w14:textId="57CEAD70">
      <w:pPr>
        <w:pStyle w:val="NormalWeb"/>
        <w:shd w:val="clear" w:color="auto" w:fill="FFFFFF"/>
        <w:spacing w:before="0" w:beforeAutospacing="0" w:after="0" w:afterAutospacing="0" w:line="480" w:lineRule="auto"/>
        <w:ind w:firstLine="720"/>
        <w:rPr>
          <w:color w:val="333333"/>
        </w:rPr>
      </w:pPr>
      <w:r w:rsidRPr="00371683">
        <w:rPr>
          <w:color w:val="333333"/>
        </w:rPr>
        <w:t xml:space="preserve">Ohio law </w:t>
      </w:r>
      <w:r w:rsidRPr="00371683" w:rsidR="00297ED6">
        <w:rPr>
          <w:color w:val="333333"/>
        </w:rPr>
        <w:t xml:space="preserve">requires </w:t>
      </w:r>
      <w:r w:rsidRPr="00371683" w:rsidR="00DE2ACE">
        <w:rPr>
          <w:color w:val="333333"/>
        </w:rPr>
        <w:t>that PIPP</w:t>
      </w:r>
      <w:r w:rsidRPr="00371683">
        <w:rPr>
          <w:color w:val="333333"/>
        </w:rPr>
        <w:t xml:space="preserve"> rates </w:t>
      </w:r>
      <w:r w:rsidRPr="00371683" w:rsidR="00297ED6">
        <w:rPr>
          <w:color w:val="333333"/>
        </w:rPr>
        <w:t>be reduced as compared to the applicable SSO rate.</w:t>
      </w:r>
      <w:r>
        <w:rPr>
          <w:rStyle w:val="FootnoteReference"/>
          <w:color w:val="333333"/>
        </w:rPr>
        <w:footnoteReference w:id="23"/>
      </w:r>
      <w:r w:rsidRPr="00371683">
        <w:rPr>
          <w:color w:val="333333"/>
        </w:rPr>
        <w:t xml:space="preserve"> </w:t>
      </w:r>
      <w:r w:rsidRPr="00371683" w:rsidR="00AA68E8">
        <w:rPr>
          <w:color w:val="333333"/>
        </w:rPr>
        <w:t>And Ohio law requires non-discriminatory and reasonably priced retail electric service.</w:t>
      </w:r>
      <w:r>
        <w:rPr>
          <w:rStyle w:val="FootnoteReference"/>
          <w:color w:val="333333"/>
        </w:rPr>
        <w:footnoteReference w:id="24"/>
      </w:r>
      <w:r w:rsidRPr="00371683" w:rsidR="00AA68E8">
        <w:rPr>
          <w:color w:val="333333"/>
        </w:rPr>
        <w:t xml:space="preserve"> </w:t>
      </w:r>
      <w:r w:rsidRPr="00371683" w:rsidR="0053766E">
        <w:rPr>
          <w:color w:val="333333"/>
        </w:rPr>
        <w:t xml:space="preserve">Charging </w:t>
      </w:r>
      <w:r w:rsidRPr="00371683" w:rsidR="008F6889">
        <w:rPr>
          <w:color w:val="333333"/>
        </w:rPr>
        <w:t xml:space="preserve">PIPP </w:t>
      </w:r>
      <w:r w:rsidRPr="00371683" w:rsidR="0053766E">
        <w:rPr>
          <w:color w:val="333333"/>
        </w:rPr>
        <w:t xml:space="preserve">customers </w:t>
      </w:r>
      <w:r w:rsidRPr="00371683" w:rsidR="005E58E8">
        <w:rPr>
          <w:color w:val="333333"/>
        </w:rPr>
        <w:t>generation c</w:t>
      </w:r>
      <w:r w:rsidRPr="00371683" w:rsidR="008F6889">
        <w:rPr>
          <w:color w:val="333333"/>
        </w:rPr>
        <w:t xml:space="preserve">osts </w:t>
      </w:r>
      <w:r w:rsidRPr="00371683" w:rsidR="005E58E8">
        <w:rPr>
          <w:color w:val="333333"/>
        </w:rPr>
        <w:t>that are over twice the rate</w:t>
      </w:r>
      <w:r>
        <w:rPr>
          <w:rStyle w:val="FootnoteReference"/>
          <w:color w:val="333333"/>
        </w:rPr>
        <w:footnoteReference w:id="25"/>
      </w:r>
      <w:r w:rsidRPr="00371683" w:rsidR="005E58E8">
        <w:rPr>
          <w:color w:val="333333"/>
        </w:rPr>
        <w:t xml:space="preserve"> charged to non-PIPP SSO customers could potentially be discriminatory and result in unreasonably priced retail electric service.</w:t>
      </w:r>
      <w:r w:rsidRPr="00371683" w:rsidR="00701DE6">
        <w:rPr>
          <w:color w:val="333333"/>
        </w:rPr>
        <w:t xml:space="preserve"> </w:t>
      </w:r>
      <w:r w:rsidRPr="00371683" w:rsidR="002936FE">
        <w:rPr>
          <w:color w:val="333333"/>
        </w:rPr>
        <w:t xml:space="preserve">At a bare minimum PIPP customers need to be charged no more than SSO customers. This can </w:t>
      </w:r>
      <w:r w:rsidRPr="00371683" w:rsidR="00E94BEE">
        <w:rPr>
          <w:color w:val="333333"/>
        </w:rPr>
        <w:t xml:space="preserve">be </w:t>
      </w:r>
      <w:r w:rsidRPr="00371683" w:rsidR="002936FE">
        <w:rPr>
          <w:color w:val="333333"/>
        </w:rPr>
        <w:t xml:space="preserve">done by setting a </w:t>
      </w:r>
      <w:r w:rsidRPr="00371683" w:rsidR="004C1A6E">
        <w:rPr>
          <w:color w:val="333333"/>
        </w:rPr>
        <w:t>cap</w:t>
      </w:r>
      <w:r w:rsidRPr="00371683" w:rsidR="002936FE">
        <w:rPr>
          <w:color w:val="333333"/>
        </w:rPr>
        <w:t xml:space="preserve"> for the PIPP auctions at the SSO clearing price.</w:t>
      </w:r>
      <w:r w:rsidRPr="00371683">
        <w:rPr>
          <w:color w:val="333333"/>
        </w:rPr>
        <w:t xml:space="preserve"> </w:t>
      </w:r>
      <w:r w:rsidRPr="00371683" w:rsidR="00297ED6">
        <w:rPr>
          <w:color w:val="333333"/>
        </w:rPr>
        <w:t xml:space="preserve">To </w:t>
      </w:r>
      <w:r w:rsidRPr="00371683" w:rsidR="00127625">
        <w:rPr>
          <w:color w:val="333333"/>
        </w:rPr>
        <w:t xml:space="preserve">reduce the cost of </w:t>
      </w:r>
      <w:r w:rsidRPr="00371683">
        <w:rPr>
          <w:color w:val="333333"/>
        </w:rPr>
        <w:t xml:space="preserve">PIPP </w:t>
      </w:r>
      <w:r w:rsidRPr="00371683" w:rsidR="00127625">
        <w:rPr>
          <w:color w:val="333333"/>
        </w:rPr>
        <w:t>relative to the otherwise applicable standard service offer, as Ohio law requires,</w:t>
      </w:r>
      <w:r>
        <w:rPr>
          <w:rStyle w:val="FootnoteReference"/>
          <w:color w:val="333333"/>
        </w:rPr>
        <w:footnoteReference w:id="26"/>
      </w:r>
      <w:r w:rsidRPr="00371683" w:rsidR="00127625">
        <w:rPr>
          <w:color w:val="333333"/>
        </w:rPr>
        <w:t xml:space="preserve"> </w:t>
      </w:r>
      <w:r w:rsidRPr="00371683" w:rsidR="000E7D6B">
        <w:rPr>
          <w:color w:val="333333"/>
        </w:rPr>
        <w:t xml:space="preserve">OCC recommends that </w:t>
      </w:r>
      <w:r w:rsidRPr="00371683" w:rsidR="00297ED6">
        <w:rPr>
          <w:color w:val="333333"/>
        </w:rPr>
        <w:t>on a going-forward basis</w:t>
      </w:r>
      <w:r>
        <w:rPr>
          <w:rStyle w:val="FootnoteReference"/>
          <w:color w:val="333333"/>
        </w:rPr>
        <w:footnoteReference w:id="27"/>
      </w:r>
      <w:r w:rsidRPr="00371683" w:rsidR="003A6639">
        <w:rPr>
          <w:color w:val="333333"/>
        </w:rPr>
        <w:t xml:space="preserve"> a </w:t>
      </w:r>
      <w:r w:rsidRPr="00371683" w:rsidR="005C4C38">
        <w:rPr>
          <w:color w:val="333333"/>
        </w:rPr>
        <w:t>cap</w:t>
      </w:r>
      <w:r w:rsidRPr="00371683" w:rsidR="003A6639">
        <w:rPr>
          <w:color w:val="333333"/>
        </w:rPr>
        <w:t xml:space="preserve"> should be set for the PIPP auctions at the SSO clearing price.</w:t>
      </w:r>
    </w:p>
    <w:p w:rsidR="00874EB1" w:rsidRPr="00371683" w:rsidP="003B091B" w14:paraId="3C0278DC" w14:textId="474CD4F9">
      <w:pPr>
        <w:pStyle w:val="NormalWeb"/>
        <w:shd w:val="clear" w:color="auto" w:fill="FFFFFF"/>
        <w:spacing w:before="0" w:beforeAutospacing="0" w:after="0" w:afterAutospacing="0" w:line="480" w:lineRule="auto"/>
        <w:ind w:firstLine="720"/>
        <w:rPr>
          <w:color w:val="333333"/>
        </w:rPr>
      </w:pPr>
      <w:r w:rsidRPr="00371683">
        <w:rPr>
          <w:color w:val="333333"/>
        </w:rPr>
        <w:t xml:space="preserve">Significant increases in the USF rates this coming year can be attributed to the </w:t>
      </w:r>
      <w:r w:rsidRPr="00371683" w:rsidR="001F7659">
        <w:rPr>
          <w:color w:val="333333"/>
        </w:rPr>
        <w:t>higher than SSO PIPP rates</w:t>
      </w:r>
      <w:r w:rsidRPr="00371683">
        <w:rPr>
          <w:color w:val="333333"/>
        </w:rPr>
        <w:t xml:space="preserve">. However, </w:t>
      </w:r>
      <w:r w:rsidRPr="00371683" w:rsidR="001F7659">
        <w:rPr>
          <w:color w:val="333333"/>
        </w:rPr>
        <w:t xml:space="preserve">there are other options that may be available to ODOD to help mitigate the projected USF rate increases. </w:t>
      </w:r>
      <w:r w:rsidRPr="00371683">
        <w:rPr>
          <w:color w:val="333333"/>
        </w:rPr>
        <w:t>These options include but are not limited to:</w:t>
      </w:r>
    </w:p>
    <w:p w:rsidR="00874EB1" w:rsidRPr="005B5365" w:rsidP="005B5365" w14:paraId="79DFB4C7" w14:textId="41475581">
      <w:pPr>
        <w:pStyle w:val="NormalWeb"/>
        <w:numPr>
          <w:ilvl w:val="0"/>
          <w:numId w:val="2"/>
        </w:numPr>
        <w:shd w:val="clear" w:color="auto" w:fill="FFFFFF"/>
        <w:spacing w:before="0" w:beforeAutospacing="0" w:after="0" w:afterAutospacing="0"/>
        <w:ind w:left="1440" w:hanging="720"/>
      </w:pPr>
      <w:r w:rsidRPr="00371683">
        <w:rPr>
          <w:color w:val="333333"/>
        </w:rPr>
        <w:t xml:space="preserve">Determine if the amount of </w:t>
      </w:r>
      <w:r w:rsidRPr="00371683">
        <w:rPr>
          <w:color w:val="333333"/>
        </w:rPr>
        <w:t xml:space="preserve">Home Energy Assistance Program (HEAP) </w:t>
      </w:r>
      <w:r w:rsidRPr="00371683">
        <w:rPr>
          <w:color w:val="333333"/>
        </w:rPr>
        <w:t xml:space="preserve">and/or other available grant funding can be increased </w:t>
      </w:r>
      <w:r w:rsidRPr="00371683">
        <w:rPr>
          <w:color w:val="333333"/>
        </w:rPr>
        <w:t xml:space="preserve">to </w:t>
      </w:r>
      <w:r w:rsidRPr="00371683">
        <w:rPr>
          <w:color w:val="333333"/>
        </w:rPr>
        <w:t>help lower the e</w:t>
      </w:r>
      <w:r w:rsidRPr="00371683">
        <w:rPr>
          <w:color w:val="333333"/>
        </w:rPr>
        <w:t>lectric PIPP customer</w:t>
      </w:r>
      <w:r w:rsidRPr="00371683">
        <w:rPr>
          <w:color w:val="333333"/>
        </w:rPr>
        <w:t xml:space="preserve"> costs; </w:t>
      </w:r>
    </w:p>
    <w:p w:rsidR="005B5365" w:rsidRPr="00371683" w:rsidP="005B5365" w14:paraId="68A7FDCB" w14:textId="77777777">
      <w:pPr>
        <w:pStyle w:val="NormalWeb"/>
        <w:shd w:val="clear" w:color="auto" w:fill="FFFFFF"/>
        <w:spacing w:before="0" w:beforeAutospacing="0" w:after="0" w:afterAutospacing="0"/>
        <w:ind w:left="1440"/>
      </w:pPr>
    </w:p>
    <w:p w:rsidR="009A2496" w:rsidRPr="005B5365" w:rsidP="005B5365" w14:paraId="45A409C4" w14:textId="21236BE9">
      <w:pPr>
        <w:pStyle w:val="NormalWeb"/>
        <w:numPr>
          <w:ilvl w:val="0"/>
          <w:numId w:val="2"/>
        </w:numPr>
        <w:shd w:val="clear" w:color="auto" w:fill="FFFFFF"/>
        <w:spacing w:before="0" w:beforeAutospacing="0" w:after="0" w:afterAutospacing="0"/>
        <w:ind w:left="1440" w:hanging="720"/>
      </w:pPr>
      <w:r w:rsidRPr="00371683">
        <w:rPr>
          <w:color w:val="333333"/>
        </w:rPr>
        <w:t xml:space="preserve">Determine the impact of scaling </w:t>
      </w:r>
      <w:r w:rsidRPr="00371683" w:rsidR="009D68CD">
        <w:rPr>
          <w:color w:val="333333"/>
        </w:rPr>
        <w:t>back the amount collected under the USF for the Electric Partnership Program (“EPP”)</w:t>
      </w:r>
      <w:r>
        <w:rPr>
          <w:rStyle w:val="FootnoteReference"/>
          <w:color w:val="333333"/>
        </w:rPr>
        <w:footnoteReference w:id="28"/>
      </w:r>
      <w:r w:rsidRPr="00371683" w:rsidR="009D68CD">
        <w:rPr>
          <w:color w:val="333333"/>
        </w:rPr>
        <w:t xml:space="preserve"> </w:t>
      </w:r>
      <w:r w:rsidRPr="00371683">
        <w:rPr>
          <w:color w:val="333333"/>
        </w:rPr>
        <w:t xml:space="preserve">based on </w:t>
      </w:r>
      <w:r w:rsidRPr="00371683" w:rsidR="00E44078">
        <w:rPr>
          <w:color w:val="333333"/>
        </w:rPr>
        <w:t>other available weatherization and energy efficiency funds;</w:t>
      </w:r>
      <w:r w:rsidRPr="00371683">
        <w:rPr>
          <w:color w:val="333333"/>
        </w:rPr>
        <w:t xml:space="preserve"> </w:t>
      </w:r>
      <w:r w:rsidR="005B5365">
        <w:rPr>
          <w:color w:val="333333"/>
        </w:rPr>
        <w:t>and</w:t>
      </w:r>
    </w:p>
    <w:p w:rsidR="005B5365" w:rsidRPr="00371683" w:rsidP="005B5365" w14:paraId="5CEFE955" w14:textId="77777777">
      <w:pPr>
        <w:pStyle w:val="NormalWeb"/>
        <w:shd w:val="clear" w:color="auto" w:fill="FFFFFF"/>
        <w:spacing w:before="0" w:beforeAutospacing="0" w:after="0" w:afterAutospacing="0"/>
      </w:pPr>
    </w:p>
    <w:p w:rsidR="00943D01" w:rsidP="00943D01" w14:paraId="77E0CE9D" w14:textId="1D6D6851">
      <w:pPr>
        <w:pStyle w:val="NormalWeb"/>
        <w:numPr>
          <w:ilvl w:val="0"/>
          <w:numId w:val="2"/>
        </w:numPr>
        <w:shd w:val="clear" w:color="auto" w:fill="FFFFFF"/>
        <w:spacing w:before="0" w:beforeAutospacing="0" w:after="0" w:afterAutospacing="0"/>
        <w:ind w:left="1440" w:hanging="720"/>
      </w:pPr>
      <w:r w:rsidRPr="00371683">
        <w:rPr>
          <w:color w:val="333333"/>
        </w:rPr>
        <w:t xml:space="preserve">Determine if </w:t>
      </w:r>
      <w:r w:rsidRPr="00371683" w:rsidR="00E44078">
        <w:rPr>
          <w:color w:val="333333"/>
        </w:rPr>
        <w:t xml:space="preserve">low-income program </w:t>
      </w:r>
      <w:r w:rsidRPr="00371683">
        <w:rPr>
          <w:color w:val="333333"/>
        </w:rPr>
        <w:t xml:space="preserve">administrative costs </w:t>
      </w:r>
      <w:r w:rsidRPr="00371683" w:rsidR="00E44078">
        <w:rPr>
          <w:color w:val="333333"/>
        </w:rPr>
        <w:t xml:space="preserve">that are </w:t>
      </w:r>
      <w:r w:rsidRPr="00371683" w:rsidR="000239DE">
        <w:rPr>
          <w:color w:val="333333"/>
        </w:rPr>
        <w:t xml:space="preserve">funded under the USF </w:t>
      </w:r>
      <w:r w:rsidRPr="00371683">
        <w:rPr>
          <w:color w:val="333333"/>
        </w:rPr>
        <w:t xml:space="preserve">can </w:t>
      </w:r>
      <w:r w:rsidRPr="00371683" w:rsidR="000239DE">
        <w:rPr>
          <w:color w:val="333333"/>
        </w:rPr>
        <w:t xml:space="preserve">be </w:t>
      </w:r>
      <w:r w:rsidRPr="00371683" w:rsidR="00E44078">
        <w:rPr>
          <w:color w:val="333333"/>
        </w:rPr>
        <w:t xml:space="preserve">streamlined and lowered based on the availability of other state or </w:t>
      </w:r>
      <w:r w:rsidRPr="00371683" w:rsidR="000239DE">
        <w:rPr>
          <w:color w:val="333333"/>
        </w:rPr>
        <w:t xml:space="preserve">federal </w:t>
      </w:r>
      <w:r w:rsidRPr="00371683" w:rsidR="00E44078">
        <w:rPr>
          <w:color w:val="333333"/>
        </w:rPr>
        <w:t>grant funds.</w:t>
      </w:r>
      <w:r>
        <w:rPr>
          <w:rStyle w:val="FootnoteReference"/>
          <w:color w:val="333333"/>
        </w:rPr>
        <w:footnoteReference w:id="29"/>
      </w:r>
      <w:r w:rsidRPr="00371683" w:rsidR="00701DE6">
        <w:rPr>
          <w:color w:val="333333"/>
        </w:rPr>
        <w:t xml:space="preserve"> </w:t>
      </w:r>
    </w:p>
    <w:p w:rsidR="00943D01" w:rsidP="00943D01" w14:paraId="0160C135" w14:textId="375E4D6E">
      <w:pPr>
        <w:pStyle w:val="NormalWeb"/>
        <w:shd w:val="clear" w:color="auto" w:fill="FFFFFF"/>
        <w:spacing w:before="0" w:beforeAutospacing="0" w:after="0" w:afterAutospacing="0"/>
        <w:ind w:left="1440"/>
      </w:pPr>
    </w:p>
    <w:p w:rsidR="00943D01" w:rsidRPr="00371683" w:rsidP="00943D01" w14:paraId="37CD46C9" w14:textId="77777777">
      <w:pPr>
        <w:pStyle w:val="NormalWeb"/>
        <w:shd w:val="clear" w:color="auto" w:fill="FFFFFF"/>
        <w:spacing w:before="0" w:beforeAutospacing="0" w:after="0" w:afterAutospacing="0"/>
        <w:ind w:left="1440"/>
      </w:pPr>
    </w:p>
    <w:p w:rsidR="000E7D6B" w:rsidRPr="00371683" w:rsidP="00FC2851" w14:paraId="1BC2CDC2" w14:textId="263C5CED">
      <w:pPr>
        <w:pStyle w:val="Heading1"/>
        <w:rPr>
          <w:rFonts w:ascii="Times New Roman" w:hAnsi="Times New Roman"/>
        </w:rPr>
      </w:pPr>
      <w:bookmarkStart w:id="2" w:name="_Toc108016535"/>
      <w:r w:rsidRPr="00371683">
        <w:rPr>
          <w:rFonts w:ascii="Times New Roman" w:hAnsi="Times New Roman"/>
        </w:rPr>
        <w:t xml:space="preserve">III. </w:t>
      </w:r>
      <w:r w:rsidRPr="00371683" w:rsidR="003B091B">
        <w:rPr>
          <w:rFonts w:ascii="Times New Roman" w:hAnsi="Times New Roman"/>
        </w:rPr>
        <w:tab/>
      </w:r>
      <w:r w:rsidRPr="00371683">
        <w:rPr>
          <w:rFonts w:ascii="Times New Roman" w:hAnsi="Times New Roman"/>
        </w:rPr>
        <w:t>CONCLUSION</w:t>
      </w:r>
      <w:bookmarkEnd w:id="2"/>
    </w:p>
    <w:p w:rsidR="000E7D6B" w:rsidRPr="00371683" w:rsidP="00E94BEE" w14:paraId="49FD4828" w14:textId="5A86D7CF">
      <w:pPr>
        <w:spacing w:after="0" w:line="480" w:lineRule="auto"/>
        <w:ind w:firstLine="720"/>
        <w:rPr>
          <w:rFonts w:ascii="Times New Roman" w:hAnsi="Times New Roman" w:cs="Times New Roman"/>
          <w:sz w:val="24"/>
          <w:szCs w:val="24"/>
        </w:rPr>
      </w:pPr>
      <w:r w:rsidRPr="00371683">
        <w:rPr>
          <w:rFonts w:ascii="Times New Roman" w:hAnsi="Times New Roman" w:cs="Times New Roman"/>
          <w:sz w:val="24"/>
          <w:szCs w:val="24"/>
        </w:rPr>
        <w:t>OD</w:t>
      </w:r>
      <w:r w:rsidRPr="00371683" w:rsidR="00DE2ACE">
        <w:rPr>
          <w:rFonts w:ascii="Times New Roman" w:hAnsi="Times New Roman" w:cs="Times New Roman"/>
          <w:sz w:val="24"/>
          <w:szCs w:val="24"/>
        </w:rPr>
        <w:t>OD</w:t>
      </w:r>
      <w:r w:rsidRPr="00371683">
        <w:rPr>
          <w:rFonts w:ascii="Times New Roman" w:hAnsi="Times New Roman" w:cs="Times New Roman"/>
          <w:sz w:val="24"/>
          <w:szCs w:val="24"/>
        </w:rPr>
        <w:t xml:space="preserve"> and the PUCO now have had several years’ experience with the PIPP </w:t>
      </w:r>
      <w:r w:rsidRPr="00371683" w:rsidR="00F97BE2">
        <w:rPr>
          <w:rFonts w:ascii="Times New Roman" w:hAnsi="Times New Roman" w:cs="Times New Roman"/>
          <w:sz w:val="24"/>
          <w:szCs w:val="24"/>
        </w:rPr>
        <w:t>a</w:t>
      </w:r>
      <w:r w:rsidRPr="00371683">
        <w:rPr>
          <w:rFonts w:ascii="Times New Roman" w:hAnsi="Times New Roman" w:cs="Times New Roman"/>
          <w:sz w:val="24"/>
          <w:szCs w:val="24"/>
        </w:rPr>
        <w:t>uction and its results. Th</w:t>
      </w:r>
      <w:r w:rsidRPr="00371683" w:rsidR="00406148">
        <w:rPr>
          <w:rFonts w:ascii="Times New Roman" w:hAnsi="Times New Roman" w:cs="Times New Roman"/>
          <w:sz w:val="24"/>
          <w:szCs w:val="24"/>
        </w:rPr>
        <w:t>is year is another occasion w</w:t>
      </w:r>
      <w:r w:rsidRPr="00371683">
        <w:rPr>
          <w:rFonts w:ascii="Times New Roman" w:hAnsi="Times New Roman" w:cs="Times New Roman"/>
          <w:sz w:val="24"/>
          <w:szCs w:val="24"/>
        </w:rPr>
        <w:t xml:space="preserve">here the PIPP rates developed through the auction </w:t>
      </w:r>
      <w:r w:rsidRPr="00371683" w:rsidR="008B2F5F">
        <w:rPr>
          <w:rFonts w:ascii="Times New Roman" w:hAnsi="Times New Roman" w:cs="Times New Roman"/>
          <w:sz w:val="24"/>
          <w:szCs w:val="24"/>
        </w:rPr>
        <w:t xml:space="preserve">have been higher than the Standard Service Offer. </w:t>
      </w:r>
      <w:r w:rsidRPr="00371683">
        <w:rPr>
          <w:rFonts w:ascii="Times New Roman" w:hAnsi="Times New Roman" w:cs="Times New Roman"/>
          <w:sz w:val="24"/>
          <w:szCs w:val="24"/>
        </w:rPr>
        <w:t xml:space="preserve">OCC respectfully requests that the </w:t>
      </w:r>
      <w:r w:rsidRPr="00371683" w:rsidR="00CD412F">
        <w:rPr>
          <w:rFonts w:ascii="Times New Roman" w:hAnsi="Times New Roman" w:cs="Times New Roman"/>
          <w:sz w:val="24"/>
          <w:szCs w:val="24"/>
        </w:rPr>
        <w:t>OD</w:t>
      </w:r>
      <w:r w:rsidRPr="00371683" w:rsidR="00406148">
        <w:rPr>
          <w:rFonts w:ascii="Times New Roman" w:hAnsi="Times New Roman" w:cs="Times New Roman"/>
          <w:sz w:val="24"/>
          <w:szCs w:val="24"/>
        </w:rPr>
        <w:t>OD</w:t>
      </w:r>
      <w:r w:rsidRPr="00371683" w:rsidR="00CD412F">
        <w:rPr>
          <w:rFonts w:ascii="Times New Roman" w:hAnsi="Times New Roman" w:cs="Times New Roman"/>
          <w:sz w:val="24"/>
          <w:szCs w:val="24"/>
        </w:rPr>
        <w:t xml:space="preserve"> and the </w:t>
      </w:r>
      <w:r w:rsidRPr="00371683">
        <w:rPr>
          <w:rFonts w:ascii="Times New Roman" w:hAnsi="Times New Roman" w:cs="Times New Roman"/>
          <w:sz w:val="24"/>
          <w:szCs w:val="24"/>
        </w:rPr>
        <w:t>PUCO adopt OCC’s recommendations so that PIPP customers are not paying higher electric distribution rates than the standard service offer</w:t>
      </w:r>
      <w:r w:rsidRPr="00371683" w:rsidR="00322ACB">
        <w:rPr>
          <w:rFonts w:ascii="Times New Roman" w:hAnsi="Times New Roman" w:cs="Times New Roman"/>
          <w:sz w:val="24"/>
          <w:szCs w:val="24"/>
        </w:rPr>
        <w:t xml:space="preserve"> </w:t>
      </w:r>
      <w:r w:rsidRPr="00371683" w:rsidR="00DE2ACE">
        <w:rPr>
          <w:rFonts w:ascii="Times New Roman" w:hAnsi="Times New Roman" w:cs="Times New Roman"/>
          <w:sz w:val="24"/>
          <w:szCs w:val="24"/>
        </w:rPr>
        <w:t>that residential consumers</w:t>
      </w:r>
      <w:r w:rsidRPr="00371683" w:rsidR="00322ACB">
        <w:rPr>
          <w:rFonts w:ascii="Times New Roman" w:hAnsi="Times New Roman" w:cs="Times New Roman"/>
          <w:sz w:val="24"/>
          <w:szCs w:val="24"/>
        </w:rPr>
        <w:t xml:space="preserve"> pay</w:t>
      </w:r>
      <w:r w:rsidRPr="00371683" w:rsidR="00F97BE2">
        <w:rPr>
          <w:rFonts w:ascii="Times New Roman" w:hAnsi="Times New Roman" w:cs="Times New Roman"/>
          <w:sz w:val="24"/>
          <w:szCs w:val="24"/>
        </w:rPr>
        <w:t>, and to mitigate the USF costs on all residential consumers</w:t>
      </w:r>
      <w:r w:rsidRPr="00371683">
        <w:rPr>
          <w:rFonts w:ascii="Times New Roman" w:hAnsi="Times New Roman" w:cs="Times New Roman"/>
          <w:sz w:val="24"/>
          <w:szCs w:val="24"/>
        </w:rPr>
        <w:t>.</w:t>
      </w:r>
    </w:p>
    <w:p w:rsidR="00687A66" w:rsidRPr="00371683" w14:paraId="29082AC2" w14:textId="60751C0B">
      <w:pPr>
        <w:rPr>
          <w:rFonts w:ascii="Times New Roman" w:hAnsi="Times New Roman" w:cs="Times New Roman"/>
          <w:sz w:val="24"/>
          <w:szCs w:val="24"/>
        </w:rPr>
      </w:pPr>
    </w:p>
    <w:p w:rsidR="00D17C8B" w14:paraId="6EF7EDB9" w14:textId="77777777">
      <w:pPr>
        <w:rPr>
          <w:rFonts w:ascii="Times New Roman" w:eastAsia="Times New Roman" w:hAnsi="Times New Roman" w:cs="Times New Roman"/>
          <w:sz w:val="24"/>
          <w:szCs w:val="24"/>
        </w:rPr>
      </w:pPr>
      <w:r>
        <w:rPr>
          <w:szCs w:val="24"/>
        </w:rPr>
        <w:br w:type="page"/>
      </w:r>
    </w:p>
    <w:p w:rsidR="0085386B" w:rsidRPr="00371683" w:rsidP="003B091B" w14:paraId="39C6C6D2" w14:textId="34D51E4B">
      <w:pPr>
        <w:pStyle w:val="BodyTextIndent3"/>
        <w:widowControl w:val="0"/>
        <w:spacing w:line="240" w:lineRule="auto"/>
        <w:ind w:left="3600" w:right="-672" w:firstLine="0"/>
        <w:rPr>
          <w:szCs w:val="24"/>
        </w:rPr>
      </w:pPr>
      <w:r w:rsidRPr="00371683">
        <w:rPr>
          <w:szCs w:val="24"/>
        </w:rPr>
        <w:t>Respectfully submitted,</w:t>
      </w:r>
    </w:p>
    <w:p w:rsidR="003B091B" w:rsidRPr="00371683" w:rsidP="003B091B" w14:paraId="11BD8246" w14:textId="77777777">
      <w:pPr>
        <w:pStyle w:val="BodyTextIndent3"/>
        <w:widowControl w:val="0"/>
        <w:spacing w:line="240" w:lineRule="auto"/>
        <w:ind w:left="3600" w:right="-672" w:firstLine="0"/>
        <w:rPr>
          <w:szCs w:val="24"/>
        </w:rPr>
      </w:pPr>
    </w:p>
    <w:p w:rsidR="0085386B" w:rsidRPr="00371683" w:rsidP="003B091B" w14:paraId="19C64A65" w14:textId="77777777">
      <w:pPr>
        <w:pStyle w:val="Footer"/>
        <w:tabs>
          <w:tab w:val="left" w:pos="4320"/>
        </w:tabs>
        <w:ind w:left="3600"/>
        <w:rPr>
          <w:rFonts w:ascii="Times New Roman" w:hAnsi="Times New Roman" w:cs="Times New Roman"/>
          <w:sz w:val="24"/>
          <w:szCs w:val="24"/>
        </w:rPr>
      </w:pPr>
      <w:r w:rsidRPr="00371683">
        <w:rPr>
          <w:rFonts w:ascii="Times New Roman" w:hAnsi="Times New Roman" w:cs="Times New Roman"/>
          <w:sz w:val="24"/>
          <w:szCs w:val="24"/>
        </w:rPr>
        <w:t>Bruce Weston (0016973)</w:t>
      </w:r>
    </w:p>
    <w:p w:rsidR="0085386B" w:rsidRPr="00371683" w:rsidP="003B091B" w14:paraId="6720D1F1" w14:textId="77777777">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Ohio Consumers’ Counsel</w:t>
      </w:r>
    </w:p>
    <w:p w:rsidR="0085386B" w:rsidRPr="00371683" w:rsidP="003B091B" w14:paraId="7122EECD" w14:textId="77777777">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ab/>
      </w:r>
    </w:p>
    <w:p w:rsidR="0085386B" w:rsidRPr="00371683" w:rsidP="003B091B" w14:paraId="64303006" w14:textId="77777777">
      <w:pPr>
        <w:tabs>
          <w:tab w:val="left" w:pos="4320"/>
        </w:tabs>
        <w:spacing w:after="0" w:line="240" w:lineRule="auto"/>
        <w:ind w:left="3600"/>
        <w:rPr>
          <w:rFonts w:ascii="Times New Roman" w:hAnsi="Times New Roman" w:cs="Times New Roman"/>
          <w:i/>
          <w:sz w:val="24"/>
          <w:szCs w:val="24"/>
          <w:u w:val="single"/>
        </w:rPr>
      </w:pPr>
      <w:r w:rsidRPr="00371683">
        <w:rPr>
          <w:rFonts w:ascii="Times New Roman" w:hAnsi="Times New Roman" w:cs="Times New Roman"/>
          <w:i/>
          <w:sz w:val="24"/>
          <w:szCs w:val="24"/>
          <w:u w:val="single"/>
        </w:rPr>
        <w:t>/s/ Amy Botschner O’Brien</w:t>
      </w:r>
    </w:p>
    <w:p w:rsidR="0085386B" w:rsidRPr="00371683" w:rsidP="003B091B" w14:paraId="27AF3245" w14:textId="77777777">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Amy Botschner O’Brien (0074423)</w:t>
      </w:r>
    </w:p>
    <w:p w:rsidR="0085386B" w:rsidP="003B091B" w14:paraId="07283D9D" w14:textId="5B2A26C1">
      <w:pPr>
        <w:tabs>
          <w:tab w:val="left" w:pos="4320"/>
        </w:tabs>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Counsel of Record</w:t>
      </w:r>
    </w:p>
    <w:p w:rsidR="00C65CD7" w:rsidRPr="00371683" w:rsidP="003B091B" w14:paraId="7B1D9719" w14:textId="2F49CD26">
      <w:pPr>
        <w:tabs>
          <w:tab w:val="left" w:pos="4320"/>
        </w:tabs>
        <w:spacing w:after="0" w:line="240" w:lineRule="auto"/>
        <w:ind w:left="3600"/>
        <w:rPr>
          <w:rFonts w:ascii="Times New Roman" w:hAnsi="Times New Roman" w:cs="Times New Roman"/>
          <w:sz w:val="24"/>
          <w:szCs w:val="24"/>
        </w:rPr>
      </w:pPr>
      <w:r w:rsidRPr="00C65CD7">
        <w:rPr>
          <w:rFonts w:ascii="Times New Roman" w:hAnsi="Times New Roman" w:cs="Times New Roman"/>
          <w:sz w:val="24"/>
          <w:szCs w:val="24"/>
        </w:rPr>
        <w:t>Assistant Consumers’ Counsel</w:t>
      </w:r>
    </w:p>
    <w:p w:rsidR="00687A66" w:rsidRPr="00371683" w:rsidP="003B091B" w14:paraId="62C647D2" w14:textId="77777777">
      <w:pPr>
        <w:tabs>
          <w:tab w:val="left" w:pos="4320"/>
        </w:tabs>
        <w:spacing w:after="0" w:line="240" w:lineRule="auto"/>
        <w:ind w:left="3600"/>
        <w:rPr>
          <w:rFonts w:ascii="Times New Roman" w:hAnsi="Times New Roman" w:cs="Times New Roman"/>
          <w:sz w:val="24"/>
          <w:szCs w:val="24"/>
        </w:rPr>
      </w:pPr>
    </w:p>
    <w:p w:rsidR="0085386B" w:rsidRPr="00371683" w:rsidP="003B091B" w14:paraId="2D2D79C8" w14:textId="77777777">
      <w:pPr>
        <w:spacing w:after="0" w:line="240" w:lineRule="auto"/>
        <w:ind w:left="3600"/>
        <w:rPr>
          <w:rFonts w:ascii="Times New Roman" w:hAnsi="Times New Roman" w:cs="Times New Roman"/>
          <w:b/>
          <w:bCs/>
          <w:sz w:val="24"/>
          <w:szCs w:val="24"/>
        </w:rPr>
      </w:pPr>
      <w:r w:rsidRPr="00371683">
        <w:rPr>
          <w:rFonts w:ascii="Times New Roman" w:hAnsi="Times New Roman" w:cs="Times New Roman"/>
          <w:b/>
          <w:bCs/>
          <w:sz w:val="24"/>
          <w:szCs w:val="24"/>
        </w:rPr>
        <w:t>Office of the Ohio Consumers’ Counsel</w:t>
      </w:r>
    </w:p>
    <w:p w:rsidR="0085386B" w:rsidRPr="00371683" w:rsidP="003B091B" w14:paraId="44A5C2DA" w14:textId="53A75731">
      <w:pPr>
        <w:spacing w:after="0" w:line="240" w:lineRule="auto"/>
        <w:ind w:left="3600"/>
        <w:rPr>
          <w:rFonts w:ascii="Times New Roman" w:hAnsi="Times New Roman" w:cs="Times New Roman"/>
          <w:b/>
          <w:sz w:val="24"/>
          <w:szCs w:val="24"/>
        </w:rPr>
      </w:pPr>
      <w:r w:rsidRPr="00371683">
        <w:rPr>
          <w:rFonts w:ascii="Times New Roman" w:hAnsi="Times New Roman" w:cs="Times New Roman"/>
          <w:sz w:val="24"/>
          <w:szCs w:val="24"/>
        </w:rPr>
        <w:t xml:space="preserve">65 East State Street, </w:t>
      </w:r>
      <w:r w:rsidRPr="00371683" w:rsidR="00152B37">
        <w:rPr>
          <w:rFonts w:ascii="Times New Roman" w:hAnsi="Times New Roman" w:cs="Times New Roman"/>
          <w:sz w:val="24"/>
          <w:szCs w:val="24"/>
        </w:rPr>
        <w:t>Suite 700</w:t>
      </w:r>
    </w:p>
    <w:p w:rsidR="0085386B" w:rsidRPr="00371683" w:rsidP="003B091B" w14:paraId="2630ECD4" w14:textId="77777777">
      <w:pPr>
        <w:spacing w:after="0" w:line="240" w:lineRule="auto"/>
        <w:ind w:left="3600"/>
        <w:rPr>
          <w:rFonts w:ascii="Times New Roman" w:hAnsi="Times New Roman" w:cs="Times New Roman"/>
          <w:b/>
          <w:sz w:val="24"/>
          <w:szCs w:val="24"/>
        </w:rPr>
      </w:pPr>
      <w:r w:rsidRPr="00371683">
        <w:rPr>
          <w:rFonts w:ascii="Times New Roman" w:hAnsi="Times New Roman" w:cs="Times New Roman"/>
          <w:sz w:val="24"/>
          <w:szCs w:val="24"/>
        </w:rPr>
        <w:t>Columbus, Ohio 43215</w:t>
      </w:r>
    </w:p>
    <w:p w:rsidR="0085386B" w:rsidRPr="00371683" w:rsidP="003B091B" w14:paraId="3DFA4D5E" w14:textId="77777777">
      <w:pPr>
        <w:autoSpaceDE w:val="0"/>
        <w:autoSpaceDN w:val="0"/>
        <w:adjustRightInd w:val="0"/>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Telephone [Botschner O’Brien]: (614) 466-9575</w:t>
      </w:r>
    </w:p>
    <w:p w:rsidR="0085386B" w:rsidRPr="00371683" w:rsidP="003B091B" w14:paraId="4676EC82" w14:textId="3F0086FC">
      <w:pPr>
        <w:autoSpaceDE w:val="0"/>
        <w:autoSpaceDN w:val="0"/>
        <w:adjustRightInd w:val="0"/>
        <w:spacing w:after="0" w:line="240" w:lineRule="auto"/>
        <w:ind w:left="3600"/>
        <w:rPr>
          <w:rFonts w:ascii="Times New Roman" w:hAnsi="Times New Roman" w:cs="Times New Roman"/>
          <w:sz w:val="24"/>
          <w:szCs w:val="24"/>
        </w:rPr>
      </w:pPr>
      <w:hyperlink r:id="rId6" w:history="1">
        <w:r w:rsidRPr="00371683" w:rsidR="00AC5CA1">
          <w:rPr>
            <w:rStyle w:val="Hyperlink"/>
            <w:rFonts w:ascii="Times New Roman" w:hAnsi="Times New Roman" w:cs="Times New Roman"/>
            <w:sz w:val="24"/>
            <w:szCs w:val="24"/>
          </w:rPr>
          <w:t>amy.botschner.obrien@occ.ohio.gov</w:t>
        </w:r>
      </w:hyperlink>
    </w:p>
    <w:p w:rsidR="0085386B" w:rsidRPr="00371683" w:rsidP="003B091B" w14:paraId="5B5C1D81" w14:textId="77777777">
      <w:pPr>
        <w:spacing w:after="0" w:line="240" w:lineRule="auto"/>
        <w:ind w:left="3600"/>
        <w:rPr>
          <w:rFonts w:ascii="Times New Roman" w:hAnsi="Times New Roman" w:cs="Times New Roman"/>
          <w:sz w:val="24"/>
          <w:szCs w:val="24"/>
        </w:rPr>
      </w:pPr>
      <w:r w:rsidRPr="00371683">
        <w:rPr>
          <w:rFonts w:ascii="Times New Roman" w:hAnsi="Times New Roman" w:cs="Times New Roman"/>
          <w:sz w:val="24"/>
          <w:szCs w:val="24"/>
        </w:rPr>
        <w:t>(willing to accept service by e-mail)</w:t>
      </w:r>
    </w:p>
    <w:p w:rsidR="003B091B" w:rsidRPr="00371683" w:rsidP="0085386B" w14:paraId="6E773DED" w14:textId="77777777">
      <w:pPr>
        <w:jc w:val="center"/>
        <w:rPr>
          <w:rFonts w:ascii="Times New Roman" w:hAnsi="Times New Roman" w:cs="Times New Roman"/>
          <w:b/>
          <w:bCs/>
          <w:sz w:val="24"/>
          <w:szCs w:val="24"/>
          <w:u w:val="single"/>
        </w:rPr>
        <w:sectPr w:rsidSect="00690016">
          <w:pgSz w:w="12240" w:h="15840"/>
          <w:pgMar w:top="1440" w:right="1800" w:bottom="1440" w:left="1800" w:header="720" w:footer="720" w:gutter="0"/>
          <w:cols w:space="720"/>
          <w:docGrid w:linePitch="360"/>
        </w:sectPr>
      </w:pPr>
    </w:p>
    <w:p w:rsidR="0085386B" w:rsidRPr="00371683" w:rsidP="0085386B" w14:paraId="6F8CCE12" w14:textId="56EA1D6A">
      <w:pPr>
        <w:jc w:val="center"/>
        <w:rPr>
          <w:rFonts w:ascii="Times New Roman" w:hAnsi="Times New Roman" w:cs="Times New Roman"/>
          <w:b/>
          <w:bCs/>
          <w:sz w:val="24"/>
          <w:szCs w:val="24"/>
          <w:u w:val="single"/>
        </w:rPr>
      </w:pPr>
      <w:r w:rsidRPr="00371683">
        <w:rPr>
          <w:rFonts w:ascii="Times New Roman" w:hAnsi="Times New Roman" w:cs="Times New Roman"/>
          <w:b/>
          <w:bCs/>
          <w:sz w:val="24"/>
          <w:szCs w:val="24"/>
          <w:u w:val="single"/>
        </w:rPr>
        <w:t>CERTIFICATE OF SERVICE</w:t>
      </w:r>
    </w:p>
    <w:p w:rsidR="008D29BB" w:rsidRPr="00371683" w:rsidP="008D29BB" w14:paraId="45D4965D" w14:textId="4A5CE49B">
      <w:pPr>
        <w:spacing w:after="0" w:line="480" w:lineRule="auto"/>
        <w:rPr>
          <w:rFonts w:ascii="Times New Roman" w:hAnsi="Times New Roman" w:cs="Times New Roman"/>
          <w:sz w:val="24"/>
          <w:szCs w:val="24"/>
        </w:rPr>
      </w:pPr>
      <w:r w:rsidRPr="00371683">
        <w:rPr>
          <w:rFonts w:ascii="Times New Roman" w:hAnsi="Times New Roman" w:cs="Times New Roman"/>
          <w:sz w:val="24"/>
          <w:szCs w:val="24"/>
        </w:rPr>
        <w:tab/>
        <w:t>I hereby certify that a copy of th</w:t>
      </w:r>
      <w:r w:rsidRPr="00371683" w:rsidR="003B091B">
        <w:rPr>
          <w:rFonts w:ascii="Times New Roman" w:hAnsi="Times New Roman" w:cs="Times New Roman"/>
          <w:sz w:val="24"/>
          <w:szCs w:val="24"/>
        </w:rPr>
        <w:t xml:space="preserve">ese </w:t>
      </w:r>
      <w:r w:rsidRPr="00371683" w:rsidR="00DE6F7F">
        <w:rPr>
          <w:rFonts w:ascii="Times New Roman" w:hAnsi="Times New Roman" w:cs="Times New Roman"/>
          <w:sz w:val="24"/>
          <w:szCs w:val="24"/>
        </w:rPr>
        <w:t xml:space="preserve">Consumer Protection </w:t>
      </w:r>
      <w:r w:rsidRPr="00371683" w:rsidR="003B091B">
        <w:rPr>
          <w:rFonts w:ascii="Times New Roman" w:hAnsi="Times New Roman" w:cs="Times New Roman"/>
          <w:sz w:val="24"/>
          <w:szCs w:val="24"/>
        </w:rPr>
        <w:t xml:space="preserve">Comments </w:t>
      </w:r>
      <w:r w:rsidRPr="00371683" w:rsidR="00CD726D">
        <w:rPr>
          <w:rFonts w:ascii="Times New Roman" w:hAnsi="Times New Roman" w:cs="Times New Roman"/>
          <w:sz w:val="24"/>
          <w:szCs w:val="24"/>
        </w:rPr>
        <w:t>was</w:t>
      </w:r>
      <w:r w:rsidRPr="00371683">
        <w:rPr>
          <w:rFonts w:ascii="Times New Roman" w:hAnsi="Times New Roman" w:cs="Times New Roman"/>
          <w:sz w:val="24"/>
          <w:szCs w:val="24"/>
        </w:rPr>
        <w:t xml:space="preserve"> served on the persons stated below via electronic transmission, this </w:t>
      </w:r>
      <w:r w:rsidRPr="00371683" w:rsidR="000E7D6B">
        <w:rPr>
          <w:rFonts w:ascii="Times New Roman" w:hAnsi="Times New Roman" w:cs="Times New Roman"/>
          <w:sz w:val="24"/>
          <w:szCs w:val="24"/>
        </w:rPr>
        <w:t>6</w:t>
      </w:r>
      <w:r w:rsidRPr="00371683" w:rsidR="00DE6F7F">
        <w:rPr>
          <w:rFonts w:ascii="Times New Roman" w:hAnsi="Times New Roman" w:cs="Times New Roman"/>
          <w:sz w:val="24"/>
          <w:szCs w:val="24"/>
          <w:vertAlign w:val="superscript"/>
        </w:rPr>
        <w:t>th</w:t>
      </w:r>
      <w:r w:rsidRPr="00371683" w:rsidR="00DE6F7F">
        <w:rPr>
          <w:rFonts w:ascii="Times New Roman" w:hAnsi="Times New Roman" w:cs="Times New Roman"/>
          <w:sz w:val="24"/>
          <w:szCs w:val="24"/>
        </w:rPr>
        <w:t xml:space="preserve"> </w:t>
      </w:r>
      <w:r w:rsidRPr="00371683">
        <w:rPr>
          <w:rFonts w:ascii="Times New Roman" w:hAnsi="Times New Roman" w:cs="Times New Roman"/>
          <w:sz w:val="24"/>
          <w:szCs w:val="24"/>
        </w:rPr>
        <w:t>day of Ju</w:t>
      </w:r>
      <w:r w:rsidRPr="00371683" w:rsidR="000E7D6B">
        <w:rPr>
          <w:rFonts w:ascii="Times New Roman" w:hAnsi="Times New Roman" w:cs="Times New Roman"/>
          <w:sz w:val="24"/>
          <w:szCs w:val="24"/>
        </w:rPr>
        <w:t>ly</w:t>
      </w:r>
      <w:r w:rsidRPr="00371683">
        <w:rPr>
          <w:rFonts w:ascii="Times New Roman" w:hAnsi="Times New Roman" w:cs="Times New Roman"/>
          <w:sz w:val="24"/>
          <w:szCs w:val="24"/>
        </w:rPr>
        <w:t xml:space="preserve"> 202</w:t>
      </w:r>
      <w:r w:rsidRPr="00371683" w:rsidR="00DE2ACE">
        <w:rPr>
          <w:rFonts w:ascii="Times New Roman" w:hAnsi="Times New Roman" w:cs="Times New Roman"/>
          <w:sz w:val="24"/>
          <w:szCs w:val="24"/>
        </w:rPr>
        <w:t>2</w:t>
      </w:r>
      <w:r w:rsidRPr="00371683">
        <w:rPr>
          <w:rFonts w:ascii="Times New Roman" w:hAnsi="Times New Roman" w:cs="Times New Roman"/>
          <w:sz w:val="24"/>
          <w:szCs w:val="24"/>
        </w:rPr>
        <w:t>.</w:t>
      </w:r>
    </w:p>
    <w:p w:rsidR="0085386B" w:rsidRPr="00371683" w:rsidP="003B091B" w14:paraId="758360A7" w14:textId="4AFDB9CA">
      <w:pPr>
        <w:tabs>
          <w:tab w:val="left" w:pos="4320"/>
        </w:tabs>
        <w:spacing w:after="0" w:line="240" w:lineRule="auto"/>
        <w:rPr>
          <w:rFonts w:ascii="Times New Roman" w:hAnsi="Times New Roman" w:cs="Times New Roman"/>
          <w:sz w:val="24"/>
          <w:szCs w:val="24"/>
        </w:rPr>
      </w:pPr>
      <w:r w:rsidRPr="00371683">
        <w:rPr>
          <w:rFonts w:ascii="Times New Roman" w:hAnsi="Times New Roman" w:cs="Times New Roman"/>
          <w:sz w:val="24"/>
          <w:szCs w:val="24"/>
        </w:rPr>
        <w:tab/>
      </w:r>
      <w:r w:rsidRPr="00371683">
        <w:rPr>
          <w:rFonts w:ascii="Times New Roman" w:hAnsi="Times New Roman" w:cs="Times New Roman"/>
          <w:i/>
          <w:sz w:val="24"/>
          <w:szCs w:val="24"/>
          <w:u w:val="single"/>
        </w:rPr>
        <w:t>/s/ Amy Botschner</w:t>
      </w:r>
      <w:r w:rsidRPr="00371683" w:rsidR="000E7D6B">
        <w:rPr>
          <w:rFonts w:ascii="Times New Roman" w:hAnsi="Times New Roman" w:cs="Times New Roman"/>
          <w:i/>
          <w:sz w:val="24"/>
          <w:szCs w:val="24"/>
          <w:u w:val="single"/>
        </w:rPr>
        <w:t xml:space="preserve"> </w:t>
      </w:r>
      <w:r w:rsidRPr="00371683">
        <w:rPr>
          <w:rFonts w:ascii="Times New Roman" w:hAnsi="Times New Roman" w:cs="Times New Roman"/>
          <w:i/>
          <w:sz w:val="24"/>
          <w:szCs w:val="24"/>
          <w:u w:val="single"/>
        </w:rPr>
        <w:t>O’Brien</w:t>
      </w:r>
    </w:p>
    <w:p w:rsidR="0085386B" w:rsidRPr="00371683" w:rsidP="003B091B" w14:paraId="4C1FE4A0" w14:textId="47E82BB2">
      <w:pPr>
        <w:tabs>
          <w:tab w:val="left" w:pos="4320"/>
        </w:tabs>
        <w:spacing w:after="0" w:line="240" w:lineRule="auto"/>
        <w:rPr>
          <w:rFonts w:ascii="Times New Roman" w:hAnsi="Times New Roman" w:cs="Times New Roman"/>
          <w:sz w:val="24"/>
          <w:szCs w:val="24"/>
        </w:rPr>
      </w:pPr>
      <w:r w:rsidRPr="00371683">
        <w:rPr>
          <w:rFonts w:ascii="Times New Roman" w:hAnsi="Times New Roman" w:cs="Times New Roman"/>
          <w:sz w:val="24"/>
          <w:szCs w:val="24"/>
        </w:rPr>
        <w:tab/>
        <w:t>Amy Botschn</w:t>
      </w:r>
      <w:r w:rsidRPr="00371683" w:rsidR="000E7D6B">
        <w:rPr>
          <w:rFonts w:ascii="Times New Roman" w:hAnsi="Times New Roman" w:cs="Times New Roman"/>
          <w:sz w:val="24"/>
          <w:szCs w:val="24"/>
        </w:rPr>
        <w:t>er O’Brien</w:t>
      </w:r>
    </w:p>
    <w:p w:rsidR="0085386B" w:rsidRPr="00371683" w:rsidP="00C317D2" w14:paraId="59319832" w14:textId="5B41D98B">
      <w:pPr>
        <w:tabs>
          <w:tab w:val="left" w:pos="4320"/>
        </w:tabs>
        <w:spacing w:after="0" w:line="240" w:lineRule="auto"/>
        <w:rPr>
          <w:rFonts w:ascii="Times New Roman" w:hAnsi="Times New Roman" w:cs="Times New Roman"/>
          <w:sz w:val="24"/>
          <w:szCs w:val="24"/>
        </w:rPr>
      </w:pPr>
      <w:r w:rsidRPr="00371683">
        <w:rPr>
          <w:rFonts w:ascii="Times New Roman" w:hAnsi="Times New Roman" w:cs="Times New Roman"/>
          <w:sz w:val="24"/>
          <w:szCs w:val="24"/>
        </w:rPr>
        <w:tab/>
        <w:t>Assistant Consumers’ Counsel</w:t>
      </w:r>
    </w:p>
    <w:p w:rsidR="00C317D2" w:rsidRPr="00371683" w:rsidP="00C317D2" w14:paraId="0843904D" w14:textId="77777777">
      <w:pPr>
        <w:tabs>
          <w:tab w:val="left" w:pos="4320"/>
        </w:tabs>
        <w:spacing w:after="0" w:line="240" w:lineRule="auto"/>
        <w:rPr>
          <w:rFonts w:ascii="Times New Roman" w:hAnsi="Times New Roman" w:cs="Times New Roman"/>
          <w:sz w:val="24"/>
          <w:szCs w:val="24"/>
        </w:rPr>
      </w:pPr>
    </w:p>
    <w:p w:rsidR="0085386B" w:rsidRPr="00371683" w:rsidP="0085386B" w14:paraId="5EA8AD13" w14:textId="77777777">
      <w:pPr>
        <w:suppressLineNumbers/>
        <w:rPr>
          <w:rFonts w:ascii="Times New Roman" w:hAnsi="Times New Roman" w:cs="Times New Roman"/>
          <w:sz w:val="24"/>
          <w:szCs w:val="24"/>
        </w:rPr>
      </w:pPr>
      <w:r w:rsidRPr="00371683">
        <w:rPr>
          <w:rFonts w:ascii="Times New Roman" w:hAnsi="Times New Roman" w:cs="Times New Roman"/>
          <w:sz w:val="24"/>
          <w:szCs w:val="24"/>
        </w:rPr>
        <w:t>The PUCO’s e-filing system will electronically serve notice of the filing of this document on the following parties:</w:t>
      </w:r>
    </w:p>
    <w:p w:rsidR="003B091B" w:rsidRPr="00371683" w:rsidP="003B091B" w14:paraId="23DB75ED" w14:textId="77777777">
      <w:pPr>
        <w:pStyle w:val="CommentText"/>
        <w:jc w:val="center"/>
        <w:rPr>
          <w:b/>
          <w:u w:val="single"/>
        </w:rPr>
      </w:pPr>
      <w:r w:rsidRPr="00371683">
        <w:rPr>
          <w:b/>
          <w:u w:val="single"/>
        </w:rPr>
        <w:t>SERVICE LIST</w:t>
      </w:r>
    </w:p>
    <w:p w:rsidR="003B091B" w:rsidRPr="00371683" w:rsidP="003B091B" w14:paraId="3547D44C" w14:textId="77777777">
      <w:pPr>
        <w:pStyle w:val="CommentText"/>
        <w:jc w:val="center"/>
        <w:rPr>
          <w:b/>
          <w:u w:val="single"/>
        </w:rPr>
      </w:pPr>
    </w:p>
    <w:tbl>
      <w:tblPr>
        <w:tblW w:w="0" w:type="auto"/>
        <w:tblLook w:val="04A0"/>
      </w:tblPr>
      <w:tblGrid>
        <w:gridCol w:w="4299"/>
        <w:gridCol w:w="4341"/>
      </w:tblGrid>
      <w:tr w14:paraId="32F9445B" w14:textId="77777777" w:rsidTr="009540E3">
        <w:tblPrEx>
          <w:tblW w:w="0" w:type="auto"/>
          <w:tblLook w:val="04A0"/>
        </w:tblPrEx>
        <w:tc>
          <w:tcPr>
            <w:tcW w:w="4428" w:type="dxa"/>
            <w:shd w:val="clear" w:color="auto" w:fill="auto"/>
          </w:tcPr>
          <w:p w:rsidR="003B091B" w:rsidRPr="00371683" w:rsidP="003B091B" w14:paraId="14DB0AD7" w14:textId="5008E5E4">
            <w:pPr>
              <w:pStyle w:val="CommentText"/>
            </w:pPr>
            <w:hyperlink r:id="rId10" w:history="1">
              <w:r w:rsidRPr="00371683" w:rsidR="002333EB">
                <w:rPr>
                  <w:rStyle w:val="Hyperlink"/>
                </w:rPr>
                <w:t>kyle.kern@ohioAGO.gov</w:t>
              </w:r>
            </w:hyperlink>
          </w:p>
          <w:p w:rsidR="002333EB" w:rsidRPr="00371683" w:rsidP="002333EB" w14:paraId="02884EF4" w14:textId="6B5D3A50">
            <w:pPr>
              <w:pStyle w:val="CommentText"/>
            </w:pPr>
            <w:hyperlink r:id="rId10" w:history="1">
              <w:r w:rsidRPr="00371683">
                <w:rPr>
                  <w:rStyle w:val="Hyperlink"/>
                </w:rPr>
                <w:t>steven.beeler@ohioAGO.gov</w:t>
              </w:r>
            </w:hyperlink>
          </w:p>
          <w:p w:rsidR="003B091B" w:rsidRPr="00371683" w:rsidP="003B091B" w14:paraId="323B997F" w14:textId="21992E05">
            <w:pPr>
              <w:autoSpaceDE w:val="0"/>
              <w:autoSpaceDN w:val="0"/>
              <w:adjustRightInd w:val="0"/>
              <w:spacing w:after="0" w:line="240" w:lineRule="auto"/>
              <w:rPr>
                <w:rFonts w:ascii="Times New Roman" w:hAnsi="Times New Roman" w:cs="Times New Roman"/>
                <w:color w:val="0000FF"/>
                <w:sz w:val="24"/>
                <w:szCs w:val="24"/>
              </w:rPr>
            </w:pPr>
            <w:hyperlink r:id="rId10" w:history="1">
              <w:r w:rsidRPr="00371683" w:rsidR="002333EB">
                <w:rPr>
                  <w:rStyle w:val="Hyperlink"/>
                  <w:rFonts w:ascii="Times New Roman" w:hAnsi="Times New Roman" w:cs="Times New Roman"/>
                  <w:sz w:val="24"/>
                  <w:szCs w:val="24"/>
                </w:rPr>
                <w:t>mkurtz@BKLlawfirm.com</w:t>
              </w:r>
            </w:hyperlink>
          </w:p>
          <w:p w:rsidR="003B091B" w:rsidRPr="00371683" w:rsidP="003B091B" w14:paraId="337C6A3D" w14:textId="77777777">
            <w:pPr>
              <w:autoSpaceDE w:val="0"/>
              <w:autoSpaceDN w:val="0"/>
              <w:adjustRightInd w:val="0"/>
              <w:spacing w:after="0" w:line="240" w:lineRule="auto"/>
              <w:rPr>
                <w:rFonts w:ascii="Times New Roman" w:hAnsi="Times New Roman" w:cs="Times New Roman"/>
                <w:color w:val="0000FF"/>
                <w:sz w:val="24"/>
                <w:szCs w:val="24"/>
              </w:rPr>
            </w:pPr>
            <w:hyperlink r:id="rId10" w:history="1">
              <w:r w:rsidRPr="00371683">
                <w:rPr>
                  <w:rStyle w:val="Hyperlink"/>
                  <w:rFonts w:ascii="Times New Roman" w:hAnsi="Times New Roman" w:cs="Times New Roman"/>
                  <w:sz w:val="24"/>
                  <w:szCs w:val="24"/>
                </w:rPr>
                <w:t>kboehm@BKLlawfirm.com</w:t>
              </w:r>
            </w:hyperlink>
          </w:p>
          <w:p w:rsidR="003B091B" w:rsidRPr="00371683" w:rsidP="003B091B" w14:paraId="47047C7A" w14:textId="1408DA25">
            <w:pPr>
              <w:pStyle w:val="CommentText"/>
              <w:rPr>
                <w:color w:val="0000FF"/>
              </w:rPr>
            </w:pPr>
            <w:hyperlink r:id="rId10" w:history="1">
              <w:r w:rsidRPr="00371683">
                <w:rPr>
                  <w:rStyle w:val="Hyperlink"/>
                </w:rPr>
                <w:t>jkylercohn@BKLlawfirm.com</w:t>
              </w:r>
            </w:hyperlink>
          </w:p>
          <w:p w:rsidR="002333EB" w:rsidRPr="00371683" w:rsidP="003B091B" w14:paraId="32A576FD" w14:textId="10D28E92">
            <w:pPr>
              <w:pStyle w:val="CommentText"/>
              <w:rPr>
                <w:color w:val="0000FF"/>
              </w:rPr>
            </w:pPr>
          </w:p>
          <w:p w:rsidR="002333EB" w:rsidRPr="00371683" w:rsidP="003B091B" w14:paraId="78B43587" w14:textId="533539D2">
            <w:pPr>
              <w:pStyle w:val="CommentText"/>
            </w:pPr>
            <w:r w:rsidRPr="00371683">
              <w:t>Attorney Examiner:</w:t>
            </w:r>
          </w:p>
          <w:p w:rsidR="002333EB" w:rsidRPr="00371683" w:rsidP="003B091B" w14:paraId="3BF81584" w14:textId="490D0BD5">
            <w:pPr>
              <w:pStyle w:val="CommentText"/>
              <w:rPr>
                <w:color w:val="0000FF"/>
              </w:rPr>
            </w:pPr>
            <w:hyperlink r:id="rId11" w:history="1">
              <w:r w:rsidRPr="00162E40" w:rsidR="00362BEB">
                <w:rPr>
                  <w:rStyle w:val="Hyperlink"/>
                </w:rPr>
                <w:t>greta.see@puco.ohio.gov</w:t>
              </w:r>
            </w:hyperlink>
          </w:p>
          <w:p w:rsidR="002333EB" w:rsidRPr="00371683" w:rsidP="003B091B" w14:paraId="33BCFC47" w14:textId="77777777">
            <w:pPr>
              <w:pStyle w:val="CommentText"/>
              <w:rPr>
                <w:color w:val="0000FF"/>
              </w:rPr>
            </w:pPr>
          </w:p>
          <w:p w:rsidR="003B091B" w:rsidRPr="00371683" w:rsidP="003B091B" w14:paraId="122837C1" w14:textId="77777777">
            <w:pPr>
              <w:pStyle w:val="CommentText"/>
            </w:pPr>
          </w:p>
        </w:tc>
        <w:tc>
          <w:tcPr>
            <w:tcW w:w="4428" w:type="dxa"/>
            <w:shd w:val="clear" w:color="auto" w:fill="auto"/>
          </w:tcPr>
          <w:p w:rsidR="003B091B" w:rsidRPr="00371683" w:rsidP="00E94BEE" w14:paraId="2BEF9C04" w14:textId="77777777">
            <w:pPr>
              <w:pStyle w:val="CommentText"/>
              <w:ind w:left="502"/>
            </w:pPr>
            <w:hyperlink r:id="rId10" w:history="1">
              <w:r w:rsidRPr="00371683">
                <w:rPr>
                  <w:rStyle w:val="Hyperlink"/>
                </w:rPr>
                <w:t>dstinson@bricker.com</w:t>
              </w:r>
            </w:hyperlink>
          </w:p>
          <w:p w:rsidR="002333EB" w:rsidRPr="00371683" w:rsidP="00F47551" w14:paraId="192DF0C5" w14:textId="393913A4">
            <w:pPr>
              <w:autoSpaceDE w:val="0"/>
              <w:autoSpaceDN w:val="0"/>
              <w:adjustRightInd w:val="0"/>
              <w:spacing w:after="0" w:line="240" w:lineRule="auto"/>
              <w:ind w:left="502"/>
              <w:rPr>
                <w:rFonts w:ascii="Times New Roman" w:hAnsi="Times New Roman" w:cs="Times New Roman"/>
                <w:sz w:val="24"/>
                <w:szCs w:val="24"/>
              </w:rPr>
            </w:pPr>
            <w:hyperlink r:id="rId10" w:history="1">
              <w:r w:rsidRPr="00371683">
                <w:rPr>
                  <w:rStyle w:val="Hyperlink"/>
                  <w:rFonts w:ascii="Times New Roman" w:hAnsi="Times New Roman" w:cs="Times New Roman"/>
                  <w:sz w:val="24"/>
                  <w:szCs w:val="24"/>
                </w:rPr>
                <w:t>mpritchard@mcneeslaw.com</w:t>
              </w:r>
            </w:hyperlink>
          </w:p>
          <w:p w:rsidR="003B091B" w:rsidRPr="00371683" w:rsidP="00E94BEE" w14:paraId="316100F3" w14:textId="1D689812">
            <w:pPr>
              <w:pStyle w:val="CommentText"/>
              <w:ind w:left="502"/>
            </w:pPr>
            <w:hyperlink r:id="rId10" w:history="1">
              <w:r w:rsidRPr="00371683" w:rsidR="002333EB">
                <w:rPr>
                  <w:rStyle w:val="Hyperlink"/>
                </w:rPr>
                <w:t>bmckenney@mcneeslaw.com</w:t>
              </w:r>
            </w:hyperlink>
          </w:p>
          <w:p w:rsidR="002333EB" w:rsidRPr="00371683" w:rsidP="002333EB" w14:paraId="22410212" w14:textId="361A7E03">
            <w:pPr>
              <w:pStyle w:val="CommentText"/>
              <w:ind w:left="1332"/>
            </w:pPr>
          </w:p>
        </w:tc>
      </w:tr>
    </w:tbl>
    <w:p w:rsidR="0085386B" w:rsidRPr="00371683" w:rsidP="00C969E4" w14:paraId="5D6D00DB" w14:textId="5C991727">
      <w:pPr>
        <w:spacing w:line="276" w:lineRule="auto"/>
        <w:rPr>
          <w:rFonts w:ascii="Times New Roman" w:hAnsi="Times New Roman" w:cs="Times New Roman"/>
          <w:sz w:val="24"/>
          <w:szCs w:val="24"/>
        </w:rPr>
      </w:pPr>
    </w:p>
    <w:sectPr w:rsidSect="006900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DE6" w:rsidRPr="00701DE6" w14:paraId="65B159ED" w14:textId="6A763B6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8912757"/>
      <w:docPartObj>
        <w:docPartGallery w:val="Page Numbers (Bottom of Page)"/>
        <w:docPartUnique/>
      </w:docPartObj>
    </w:sdtPr>
    <w:sdtEndPr>
      <w:rPr>
        <w:rFonts w:ascii="Times New Roman" w:hAnsi="Times New Roman" w:cs="Times New Roman"/>
        <w:noProof/>
        <w:sz w:val="24"/>
        <w:szCs w:val="24"/>
      </w:rPr>
    </w:sdtEndPr>
    <w:sdtContent>
      <w:p w:rsidR="00933B6F" w:rsidRPr="00933B6F" w14:paraId="1EC8BB5D" w14:textId="542EC173">
        <w:pPr>
          <w:pStyle w:val="Footer"/>
          <w:jc w:val="center"/>
          <w:rPr>
            <w:rFonts w:ascii="Times New Roman" w:hAnsi="Times New Roman" w:cs="Times New Roman"/>
            <w:sz w:val="24"/>
            <w:szCs w:val="24"/>
          </w:rPr>
        </w:pPr>
        <w:r w:rsidRPr="00933B6F">
          <w:rPr>
            <w:rFonts w:ascii="Times New Roman" w:hAnsi="Times New Roman" w:cs="Times New Roman"/>
            <w:sz w:val="24"/>
            <w:szCs w:val="24"/>
          </w:rPr>
          <w:fldChar w:fldCharType="begin"/>
        </w:r>
        <w:r w:rsidRPr="00933B6F">
          <w:rPr>
            <w:rFonts w:ascii="Times New Roman" w:hAnsi="Times New Roman" w:cs="Times New Roman"/>
            <w:sz w:val="24"/>
            <w:szCs w:val="24"/>
          </w:rPr>
          <w:instrText xml:space="preserve"> PAGE   \* MERGEFORMAT </w:instrText>
        </w:r>
        <w:r w:rsidRPr="00933B6F">
          <w:rPr>
            <w:rFonts w:ascii="Times New Roman" w:hAnsi="Times New Roman" w:cs="Times New Roman"/>
            <w:sz w:val="24"/>
            <w:szCs w:val="24"/>
          </w:rPr>
          <w:fldChar w:fldCharType="separate"/>
        </w:r>
        <w:r w:rsidRPr="00933B6F">
          <w:rPr>
            <w:rFonts w:ascii="Times New Roman" w:hAnsi="Times New Roman" w:cs="Times New Roman"/>
            <w:noProof/>
            <w:sz w:val="24"/>
            <w:szCs w:val="24"/>
          </w:rPr>
          <w:t>2</w:t>
        </w:r>
        <w:r w:rsidRPr="00933B6F">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0814562"/>
      <w:docPartObj>
        <w:docPartGallery w:val="Page Numbers (Bottom of Page)"/>
        <w:docPartUnique/>
      </w:docPartObj>
    </w:sdtPr>
    <w:sdtEndPr>
      <w:rPr>
        <w:rFonts w:ascii="Times New Roman" w:hAnsi="Times New Roman" w:cs="Times New Roman"/>
        <w:noProof/>
        <w:sz w:val="24"/>
        <w:szCs w:val="24"/>
      </w:rPr>
    </w:sdtEndPr>
    <w:sdtContent>
      <w:p w:rsidR="004742AA" w:rsidRPr="00933B6F" w14:paraId="0CEB23E0" w14:textId="77777777">
        <w:pPr>
          <w:pStyle w:val="Footer"/>
          <w:jc w:val="center"/>
          <w:rPr>
            <w:rFonts w:ascii="Times New Roman" w:hAnsi="Times New Roman" w:cs="Times New Roman"/>
            <w:sz w:val="24"/>
            <w:szCs w:val="24"/>
          </w:rPr>
        </w:pPr>
        <w:r w:rsidRPr="00933B6F">
          <w:rPr>
            <w:rFonts w:ascii="Times New Roman" w:hAnsi="Times New Roman" w:cs="Times New Roman"/>
            <w:sz w:val="24"/>
            <w:szCs w:val="24"/>
          </w:rPr>
          <w:fldChar w:fldCharType="begin"/>
        </w:r>
        <w:r w:rsidRPr="00933B6F">
          <w:rPr>
            <w:rFonts w:ascii="Times New Roman" w:hAnsi="Times New Roman" w:cs="Times New Roman"/>
            <w:sz w:val="24"/>
            <w:szCs w:val="24"/>
          </w:rPr>
          <w:instrText xml:space="preserve"> PAGE   \* MERGEFORMAT </w:instrText>
        </w:r>
        <w:r w:rsidRPr="00933B6F">
          <w:rPr>
            <w:rFonts w:ascii="Times New Roman" w:hAnsi="Times New Roman" w:cs="Times New Roman"/>
            <w:sz w:val="24"/>
            <w:szCs w:val="24"/>
          </w:rPr>
          <w:fldChar w:fldCharType="separate"/>
        </w:r>
        <w:r w:rsidRPr="00933B6F">
          <w:rPr>
            <w:rFonts w:ascii="Times New Roman" w:hAnsi="Times New Roman" w:cs="Times New Roman"/>
            <w:noProof/>
            <w:sz w:val="24"/>
            <w:szCs w:val="24"/>
          </w:rPr>
          <w:t>2</w:t>
        </w:r>
        <w:r w:rsidRPr="00933B6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3A0F" w:rsidP="00EC40BD" w14:paraId="08D2670B" w14:textId="77777777">
      <w:pPr>
        <w:spacing w:after="0" w:line="240" w:lineRule="auto"/>
      </w:pPr>
      <w:r>
        <w:separator/>
      </w:r>
    </w:p>
  </w:footnote>
  <w:footnote w:type="continuationSeparator" w:id="1">
    <w:p w:rsidR="00F93A0F" w:rsidP="00EC40BD" w14:paraId="2F138D3F" w14:textId="77777777">
      <w:pPr>
        <w:spacing w:after="0" w:line="240" w:lineRule="auto"/>
      </w:pPr>
      <w:r>
        <w:continuationSeparator/>
      </w:r>
    </w:p>
  </w:footnote>
  <w:footnote w:id="2">
    <w:p w:rsidR="000D24EC" w:rsidRPr="00690016" w:rsidP="00690016" w14:paraId="420ED5FB" w14:textId="0C593A82">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sidR="005E3C7A">
        <w:rPr>
          <w:rFonts w:ascii="Times New Roman" w:hAnsi="Times New Roman" w:cs="Times New Roman"/>
          <w:i/>
          <w:iCs/>
        </w:rPr>
        <w:t>In the Matter of the Notice of Intent of the Ohio Department of Development to File an Application for Adjustments to the Universal Service Fund Riders</w:t>
      </w:r>
      <w:r w:rsidRPr="00690016" w:rsidR="005E3C7A">
        <w:rPr>
          <w:rFonts w:ascii="Times New Roman" w:hAnsi="Times New Roman" w:cs="Times New Roman"/>
        </w:rPr>
        <w:t xml:space="preserve">, Case No. 22-556-EL-USF (May 27, </w:t>
      </w:r>
      <w:r w:rsidRPr="00690016">
        <w:rPr>
          <w:rFonts w:ascii="Times New Roman" w:hAnsi="Times New Roman" w:cs="Times New Roman"/>
        </w:rPr>
        <w:t>202</w:t>
      </w:r>
      <w:r w:rsidRPr="00690016" w:rsidR="005E3C7A">
        <w:rPr>
          <w:rFonts w:ascii="Times New Roman" w:hAnsi="Times New Roman" w:cs="Times New Roman"/>
        </w:rPr>
        <w:t>2</w:t>
      </w:r>
      <w:r w:rsidRPr="00690016">
        <w:rPr>
          <w:rFonts w:ascii="Times New Roman" w:hAnsi="Times New Roman" w:cs="Times New Roman"/>
        </w:rPr>
        <w:t>)</w:t>
      </w:r>
      <w:r w:rsidRPr="00690016" w:rsidR="00743CA6">
        <w:rPr>
          <w:rFonts w:ascii="Times New Roman" w:hAnsi="Times New Roman" w:cs="Times New Roman"/>
        </w:rPr>
        <w:t>.</w:t>
      </w:r>
    </w:p>
  </w:footnote>
  <w:footnote w:id="3">
    <w:p w:rsidR="000D24EC" w:rsidRPr="00690016" w:rsidP="00690016" w14:paraId="4E33DAA5" w14:textId="3B522E59">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Pr>
          <w:rFonts w:ascii="Times New Roman" w:hAnsi="Times New Roman" w:cs="Times New Roman"/>
          <w:i/>
          <w:iCs/>
        </w:rPr>
        <w:t>Id</w:t>
      </w:r>
      <w:r w:rsidRPr="00690016">
        <w:rPr>
          <w:rFonts w:ascii="Times New Roman" w:hAnsi="Times New Roman" w:cs="Times New Roman"/>
        </w:rPr>
        <w:t>. at 3</w:t>
      </w:r>
      <w:r w:rsidRPr="00690016" w:rsidR="005C2E8A">
        <w:rPr>
          <w:rFonts w:ascii="Times New Roman" w:hAnsi="Times New Roman" w:cs="Times New Roman"/>
        </w:rPr>
        <w:t>.</w:t>
      </w:r>
    </w:p>
  </w:footnote>
  <w:footnote w:id="4">
    <w:p w:rsidR="00A37B42" w:rsidRPr="00690016" w:rsidP="00690016" w14:paraId="5684D7D0" w14:textId="10843782">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Attorney Examiner Entry, Case No. 2</w:t>
      </w:r>
      <w:r w:rsidRPr="00690016" w:rsidR="005C2E8A">
        <w:rPr>
          <w:rFonts w:ascii="Times New Roman" w:hAnsi="Times New Roman" w:cs="Times New Roman"/>
        </w:rPr>
        <w:t>2-556-EL-USF (June 6, 2022)</w:t>
      </w:r>
      <w:r w:rsidRPr="00690016" w:rsidR="00743CA6">
        <w:rPr>
          <w:rFonts w:ascii="Times New Roman" w:hAnsi="Times New Roman" w:cs="Times New Roman"/>
        </w:rPr>
        <w:t>.</w:t>
      </w:r>
    </w:p>
  </w:footnote>
  <w:footnote w:id="5">
    <w:p w:rsidR="00A37B42" w:rsidRPr="00690016" w:rsidP="00690016" w14:paraId="3C9A70E2" w14:textId="34A681F2">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R.C. 4928.51 and R.C. 4928.52</w:t>
      </w:r>
      <w:r w:rsidRPr="00690016" w:rsidR="00743CA6">
        <w:rPr>
          <w:rFonts w:ascii="Times New Roman" w:hAnsi="Times New Roman" w:cs="Times New Roman"/>
        </w:rPr>
        <w:t>.</w:t>
      </w:r>
    </w:p>
  </w:footnote>
  <w:footnote w:id="6">
    <w:p w:rsidR="00A37B42" w:rsidRPr="00690016" w:rsidP="00690016" w14:paraId="0BE95344" w14:textId="77777777">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Ohio Administrative Code 122:5-3-04(A).</w:t>
      </w:r>
    </w:p>
  </w:footnote>
  <w:footnote w:id="7">
    <w:p w:rsidR="00A37B42" w:rsidRPr="00690016" w:rsidP="00690016" w14:paraId="112BFDEB" w14:textId="7F69BEDD">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sidR="00025634">
        <w:rPr>
          <w:rFonts w:ascii="Times New Roman" w:hAnsi="Times New Roman" w:cs="Times New Roman"/>
          <w:i/>
          <w:iCs/>
        </w:rPr>
        <w:t>Id</w:t>
      </w:r>
      <w:r w:rsidRPr="00690016" w:rsidR="00025634">
        <w:rPr>
          <w:rFonts w:ascii="Times New Roman" w:hAnsi="Times New Roman" w:cs="Times New Roman"/>
        </w:rPr>
        <w:t xml:space="preserve">. </w:t>
      </w:r>
    </w:p>
  </w:footnote>
  <w:footnote w:id="8">
    <w:p w:rsidR="007E63D8" w:rsidRPr="00690016" w:rsidP="00690016" w14:paraId="0AECB1A3" w14:textId="77777777">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ODSA NOI at 10.</w:t>
      </w:r>
    </w:p>
  </w:footnote>
  <w:footnote w:id="9">
    <w:p w:rsidR="007E63D8" w:rsidRPr="00690016" w:rsidP="00690016" w14:paraId="35677C14" w14:textId="77777777">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Pr>
          <w:rFonts w:ascii="Times New Roman" w:hAnsi="Times New Roman" w:cs="Times New Roman"/>
          <w:i/>
          <w:iCs/>
        </w:rPr>
        <w:t>Id</w:t>
      </w:r>
      <w:r w:rsidRPr="00690016">
        <w:rPr>
          <w:rFonts w:ascii="Times New Roman" w:hAnsi="Times New Roman" w:cs="Times New Roman"/>
        </w:rPr>
        <w:t>.</w:t>
      </w:r>
    </w:p>
  </w:footnote>
  <w:footnote w:id="10">
    <w:p w:rsidR="00043BA5" w:rsidRPr="00690016" w:rsidP="00690016" w14:paraId="7F0A8B5C" w14:textId="65B29943">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R.C. 4928.54</w:t>
      </w:r>
      <w:r w:rsidRPr="00690016" w:rsidR="00743CA6">
        <w:rPr>
          <w:rFonts w:ascii="Times New Roman" w:hAnsi="Times New Roman" w:cs="Times New Roman"/>
        </w:rPr>
        <w:t>.</w:t>
      </w:r>
    </w:p>
  </w:footnote>
  <w:footnote w:id="11">
    <w:p w:rsidR="00043BA5" w:rsidRPr="00690016" w:rsidP="00690016" w14:paraId="52914926" w14:textId="34D6089E">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R.C. 4928.54</w:t>
      </w:r>
      <w:r w:rsidRPr="00690016" w:rsidR="000429BF">
        <w:rPr>
          <w:rFonts w:ascii="Times New Roman" w:hAnsi="Times New Roman" w:cs="Times New Roman"/>
        </w:rPr>
        <w:t>2</w:t>
      </w:r>
      <w:r w:rsidRPr="00690016" w:rsidR="00743CA6">
        <w:rPr>
          <w:rFonts w:ascii="Times New Roman" w:hAnsi="Times New Roman" w:cs="Times New Roman"/>
        </w:rPr>
        <w:t>.</w:t>
      </w:r>
    </w:p>
  </w:footnote>
  <w:footnote w:id="12">
    <w:p w:rsidR="00043BA5" w:rsidRPr="00690016" w:rsidP="00690016" w14:paraId="2AB0130B" w14:textId="77777777">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Pr>
          <w:rFonts w:ascii="Times New Roman" w:hAnsi="Times New Roman" w:cs="Times New Roman"/>
          <w:i/>
          <w:iCs/>
        </w:rPr>
        <w:t>Id.</w:t>
      </w:r>
    </w:p>
  </w:footnote>
  <w:footnote w:id="13">
    <w:p w:rsidR="00E70D8A" w:rsidRPr="00690016" w:rsidP="00690016" w14:paraId="7648181E" w14:textId="5B2CDC3C">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R.C. 4928.54</w:t>
      </w:r>
      <w:r w:rsidR="00341952">
        <w:rPr>
          <w:rFonts w:ascii="Times New Roman" w:hAnsi="Times New Roman" w:cs="Times New Roman"/>
        </w:rPr>
        <w:t xml:space="preserve"> and R.C. 4928.542</w:t>
      </w:r>
      <w:r w:rsidRPr="00690016">
        <w:rPr>
          <w:rFonts w:ascii="Times New Roman" w:hAnsi="Times New Roman" w:cs="Times New Roman"/>
        </w:rPr>
        <w:t>.</w:t>
      </w:r>
    </w:p>
  </w:footnote>
  <w:footnote w:id="14">
    <w:p w:rsidR="00E70D8A" w:rsidRPr="00690016" w:rsidP="00690016" w14:paraId="46D2353A" w14:textId="60FF51E7">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Pr>
          <w:rFonts w:ascii="Times New Roman" w:hAnsi="Times New Roman" w:cs="Times New Roman"/>
          <w:i/>
          <w:iCs/>
        </w:rPr>
        <w:t>See infra</w:t>
      </w:r>
      <w:r w:rsidRPr="00690016">
        <w:rPr>
          <w:rFonts w:ascii="Times New Roman" w:hAnsi="Times New Roman" w:cs="Times New Roman"/>
        </w:rPr>
        <w:t xml:space="preserve"> notes 1</w:t>
      </w:r>
      <w:r w:rsidR="00ED1202">
        <w:rPr>
          <w:rFonts w:ascii="Times New Roman" w:hAnsi="Times New Roman" w:cs="Times New Roman"/>
        </w:rPr>
        <w:t>5-20.</w:t>
      </w:r>
    </w:p>
  </w:footnote>
  <w:footnote w:id="15">
    <w:p w:rsidR="00E70D8A" w:rsidRPr="00690016" w:rsidP="00690016" w14:paraId="0950D581" w14:textId="1E697A29">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Pr>
          <w:rFonts w:ascii="Times New Roman" w:hAnsi="Times New Roman" w:cs="Times New Roman"/>
          <w:i/>
          <w:iCs/>
        </w:rPr>
        <w:t>In the Matter of the Application of the Ohio Development Services Agency for an Order Approving Adjustments to the Universal Service Fund Riders of Jurisdictional Ohio Electric Distribution Utilities</w:t>
      </w:r>
      <w:r w:rsidRPr="00690016">
        <w:rPr>
          <w:rFonts w:ascii="Times New Roman" w:hAnsi="Times New Roman" w:cs="Times New Roman"/>
        </w:rPr>
        <w:t>, Case No. 21-659-EL-USF, Consumer Protection Comments by Office of the Ohio Consumers’ Counsel (July 6, 2021).</w:t>
      </w:r>
      <w:r w:rsidRPr="00690016" w:rsidR="00690016">
        <w:rPr>
          <w:rFonts w:ascii="Times New Roman" w:hAnsi="Times New Roman" w:cs="Times New Roman"/>
        </w:rPr>
        <w:t xml:space="preserve"> </w:t>
      </w:r>
    </w:p>
  </w:footnote>
  <w:footnote w:id="16">
    <w:p w:rsidR="00B02E6E" w:rsidRPr="00690016" w:rsidP="00690016" w14:paraId="274CF613" w14:textId="3DF1FE83">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O</w:t>
      </w:r>
      <w:r w:rsidRPr="00690016" w:rsidR="0063519E">
        <w:rPr>
          <w:rFonts w:ascii="Times New Roman" w:hAnsi="Times New Roman" w:cs="Times New Roman"/>
        </w:rPr>
        <w:t>hio Power</w:t>
      </w:r>
      <w:r w:rsidRPr="00690016">
        <w:rPr>
          <w:rFonts w:ascii="Times New Roman" w:hAnsi="Times New Roman" w:cs="Times New Roman"/>
        </w:rPr>
        <w:t xml:space="preserve"> Tariff</w:t>
      </w:r>
      <w:r w:rsidRPr="00690016" w:rsidR="006C13A7">
        <w:rPr>
          <w:rFonts w:ascii="Times New Roman" w:hAnsi="Times New Roman" w:cs="Times New Roman"/>
        </w:rPr>
        <w:t xml:space="preserve">, Generation Capacity Rider and Generation Energy Rider, Sheet(s) 450 and 451. </w:t>
      </w:r>
    </w:p>
  </w:footnote>
  <w:footnote w:id="17">
    <w:p w:rsidR="00B02E6E" w:rsidRPr="00690016" w:rsidP="00690016" w14:paraId="4820C416" w14:textId="1386E09A">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AES Ohio Tariff</w:t>
      </w:r>
      <w:r w:rsidRPr="00690016" w:rsidR="006C13A7">
        <w:rPr>
          <w:rFonts w:ascii="Times New Roman" w:hAnsi="Times New Roman" w:cs="Times New Roman"/>
        </w:rPr>
        <w:t>, Generation Standard Offer, Sheet G-10</w:t>
      </w:r>
      <w:r w:rsidRPr="00690016" w:rsidR="00C7373A">
        <w:rPr>
          <w:rFonts w:ascii="Times New Roman" w:hAnsi="Times New Roman" w:cs="Times New Roman"/>
        </w:rPr>
        <w:t>.</w:t>
      </w:r>
    </w:p>
  </w:footnote>
  <w:footnote w:id="18">
    <w:p w:rsidR="00B02E6E" w:rsidRPr="00690016" w:rsidP="00690016" w14:paraId="1402B7A1" w14:textId="46F72D05">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O</w:t>
      </w:r>
      <w:r w:rsidRPr="00690016" w:rsidR="0063519E">
        <w:rPr>
          <w:rFonts w:ascii="Times New Roman" w:hAnsi="Times New Roman" w:cs="Times New Roman"/>
        </w:rPr>
        <w:t>hio Edison</w:t>
      </w:r>
      <w:r w:rsidRPr="00690016">
        <w:rPr>
          <w:rFonts w:ascii="Times New Roman" w:hAnsi="Times New Roman" w:cs="Times New Roman"/>
        </w:rPr>
        <w:t xml:space="preserve"> Tariff</w:t>
      </w:r>
      <w:r w:rsidRPr="00690016" w:rsidR="006C13A7">
        <w:rPr>
          <w:rFonts w:ascii="Times New Roman" w:hAnsi="Times New Roman" w:cs="Times New Roman"/>
        </w:rPr>
        <w:t>, Generation Services Rider, Sheet 114</w:t>
      </w:r>
      <w:r w:rsidRPr="00690016" w:rsidR="00C7373A">
        <w:rPr>
          <w:rFonts w:ascii="Times New Roman" w:hAnsi="Times New Roman" w:cs="Times New Roman"/>
        </w:rPr>
        <w:t>.</w:t>
      </w:r>
      <w:r w:rsidRPr="00690016" w:rsidR="006C13A7">
        <w:rPr>
          <w:rFonts w:ascii="Times New Roman" w:hAnsi="Times New Roman" w:cs="Times New Roman"/>
        </w:rPr>
        <w:t xml:space="preserve"> </w:t>
      </w:r>
    </w:p>
  </w:footnote>
  <w:footnote w:id="19">
    <w:p w:rsidR="00B02E6E" w:rsidRPr="00690016" w:rsidP="00690016" w14:paraId="5E181913" w14:textId="090905BE">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C</w:t>
      </w:r>
      <w:r w:rsidRPr="00690016" w:rsidR="0063519E">
        <w:rPr>
          <w:rFonts w:ascii="Times New Roman" w:hAnsi="Times New Roman" w:cs="Times New Roman"/>
        </w:rPr>
        <w:t xml:space="preserve">leveland Electric Illuminating </w:t>
      </w:r>
      <w:r w:rsidRPr="00690016">
        <w:rPr>
          <w:rFonts w:ascii="Times New Roman" w:hAnsi="Times New Roman" w:cs="Times New Roman"/>
        </w:rPr>
        <w:t>Tariff</w:t>
      </w:r>
      <w:r w:rsidRPr="00690016" w:rsidR="006C13A7">
        <w:rPr>
          <w:rFonts w:ascii="Times New Roman" w:hAnsi="Times New Roman" w:cs="Times New Roman"/>
        </w:rPr>
        <w:t xml:space="preserve">, Generation Services Rider, </w:t>
      </w:r>
      <w:r w:rsidRPr="00690016" w:rsidR="00C7373A">
        <w:rPr>
          <w:rFonts w:ascii="Times New Roman" w:hAnsi="Times New Roman" w:cs="Times New Roman"/>
        </w:rPr>
        <w:t>Sheet 114.</w:t>
      </w:r>
    </w:p>
  </w:footnote>
  <w:footnote w:id="20">
    <w:p w:rsidR="00B02E6E" w:rsidRPr="00690016" w:rsidP="00690016" w14:paraId="5C89FFE7" w14:textId="5B27D30B">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T</w:t>
      </w:r>
      <w:r w:rsidRPr="00690016" w:rsidR="0063519E">
        <w:rPr>
          <w:rFonts w:ascii="Times New Roman" w:hAnsi="Times New Roman" w:cs="Times New Roman"/>
        </w:rPr>
        <w:t xml:space="preserve">oledo Edison </w:t>
      </w:r>
      <w:r w:rsidRPr="00690016">
        <w:rPr>
          <w:rFonts w:ascii="Times New Roman" w:hAnsi="Times New Roman" w:cs="Times New Roman"/>
        </w:rPr>
        <w:t>Tariff</w:t>
      </w:r>
      <w:r w:rsidRPr="00690016" w:rsidR="00C7373A">
        <w:rPr>
          <w:rFonts w:ascii="Times New Roman" w:hAnsi="Times New Roman" w:cs="Times New Roman"/>
        </w:rPr>
        <w:t xml:space="preserve">, Generation Service Rider, Sheet 114. </w:t>
      </w:r>
    </w:p>
  </w:footnote>
  <w:footnote w:id="21">
    <w:p w:rsidR="00B02E6E" w:rsidRPr="00690016" w:rsidP="00690016" w14:paraId="7EBCD32D" w14:textId="1295A06E">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Duke Tariff</w:t>
      </w:r>
      <w:r w:rsidRPr="00690016" w:rsidR="00C7373A">
        <w:rPr>
          <w:rFonts w:ascii="Times New Roman" w:hAnsi="Times New Roman" w:cs="Times New Roman"/>
        </w:rPr>
        <w:t xml:space="preserve">, Retail Capacity Rider and Retail Energy Rider, Sheet(s) 111 and 112. </w:t>
      </w:r>
    </w:p>
  </w:footnote>
  <w:footnote w:id="22">
    <w:p w:rsidR="001363EE" w:rsidRPr="00690016" w:rsidP="00690016" w14:paraId="554E4CC8" w14:textId="032B4D15">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OCC has pending discovery with each of the EDUs </w:t>
      </w:r>
      <w:r w:rsidRPr="00690016" w:rsidR="00C37F5A">
        <w:rPr>
          <w:rFonts w:ascii="Times New Roman" w:hAnsi="Times New Roman" w:cs="Times New Roman"/>
        </w:rPr>
        <w:t>to better quantify the impact on the USF based on annual load and numbers of PIPP customers.</w:t>
      </w:r>
      <w:r w:rsidRPr="00690016" w:rsidR="00690016">
        <w:rPr>
          <w:rFonts w:ascii="Times New Roman" w:hAnsi="Times New Roman" w:cs="Times New Roman"/>
        </w:rPr>
        <w:t xml:space="preserve"> </w:t>
      </w:r>
    </w:p>
  </w:footnote>
  <w:footnote w:id="23">
    <w:p w:rsidR="00297ED6" w:rsidRPr="00690016" w:rsidP="00690016" w14:paraId="1B065BD8" w14:textId="1A7FC27F">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R.C. 4929.54</w:t>
      </w:r>
      <w:r w:rsidRPr="00690016" w:rsidR="004C1A6E">
        <w:rPr>
          <w:rFonts w:ascii="Times New Roman" w:hAnsi="Times New Roman" w:cs="Times New Roman"/>
        </w:rPr>
        <w:t>2</w:t>
      </w:r>
      <w:r w:rsidRPr="00690016">
        <w:rPr>
          <w:rFonts w:ascii="Times New Roman" w:hAnsi="Times New Roman" w:cs="Times New Roman"/>
        </w:rPr>
        <w:t>(B).</w:t>
      </w:r>
    </w:p>
  </w:footnote>
  <w:footnote w:id="24">
    <w:p w:rsidR="00AA68E8" w:rsidRPr="00690016" w:rsidP="00690016" w14:paraId="1B2025B1" w14:textId="5774A28C">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sidR="0053766E">
        <w:rPr>
          <w:rFonts w:ascii="Times New Roman" w:hAnsi="Times New Roman" w:cs="Times New Roman"/>
        </w:rPr>
        <w:t>R.C. 4928.02(A).</w:t>
      </w:r>
    </w:p>
  </w:footnote>
  <w:footnote w:id="25">
    <w:p w:rsidR="005E58E8" w:rsidRPr="00690016" w:rsidP="00690016" w14:paraId="602CAD19" w14:textId="036590C3">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Such is the case for AEP Ohio and Duke </w:t>
      </w:r>
      <w:r w:rsidRPr="00690016" w:rsidR="006E2C98">
        <w:rPr>
          <w:rFonts w:ascii="Times New Roman" w:hAnsi="Times New Roman" w:cs="Times New Roman"/>
        </w:rPr>
        <w:t>PIPP customers.</w:t>
      </w:r>
      <w:r w:rsidRPr="00690016">
        <w:rPr>
          <w:rFonts w:ascii="Times New Roman" w:hAnsi="Times New Roman" w:cs="Times New Roman"/>
        </w:rPr>
        <w:t xml:space="preserve"> </w:t>
      </w:r>
    </w:p>
  </w:footnote>
  <w:footnote w:id="26">
    <w:p w:rsidR="00127625" w:rsidRPr="00690016" w:rsidP="00690016" w14:paraId="3F72E064" w14:textId="69933A22">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R.C. 4928.54</w:t>
      </w:r>
      <w:r w:rsidRPr="00690016" w:rsidR="005C4C38">
        <w:rPr>
          <w:rFonts w:ascii="Times New Roman" w:hAnsi="Times New Roman" w:cs="Times New Roman"/>
        </w:rPr>
        <w:t>2</w:t>
      </w:r>
      <w:r w:rsidRPr="00690016">
        <w:rPr>
          <w:rFonts w:ascii="Times New Roman" w:hAnsi="Times New Roman" w:cs="Times New Roman"/>
        </w:rPr>
        <w:t>(B</w:t>
      </w:r>
      <w:r w:rsidRPr="00690016" w:rsidR="00735C31">
        <w:rPr>
          <w:rFonts w:ascii="Times New Roman" w:hAnsi="Times New Roman" w:cs="Times New Roman"/>
        </w:rPr>
        <w:t>).</w:t>
      </w:r>
    </w:p>
  </w:footnote>
  <w:footnote w:id="27">
    <w:p w:rsidR="00274B5F" w:rsidRPr="00690016" w:rsidP="00690016" w14:paraId="0EA096A0" w14:textId="67FB557A">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Since the SSO and PIPP rates have already been approved by the PUCO, OCC is recommending </w:t>
      </w:r>
      <w:r w:rsidRPr="00690016" w:rsidR="006E2C98">
        <w:rPr>
          <w:rFonts w:ascii="Times New Roman" w:hAnsi="Times New Roman" w:cs="Times New Roman"/>
        </w:rPr>
        <w:t xml:space="preserve">at this time </w:t>
      </w:r>
      <w:r w:rsidRPr="00690016">
        <w:rPr>
          <w:rFonts w:ascii="Times New Roman" w:hAnsi="Times New Roman" w:cs="Times New Roman"/>
        </w:rPr>
        <w:t>that the changes in the auction process be made prior to the PUCO approving future SSO rates.</w:t>
      </w:r>
      <w:r w:rsidRPr="00690016" w:rsidR="00701DE6">
        <w:rPr>
          <w:rFonts w:ascii="Times New Roman" w:hAnsi="Times New Roman" w:cs="Times New Roman"/>
        </w:rPr>
        <w:t xml:space="preserve"> </w:t>
      </w:r>
    </w:p>
  </w:footnote>
  <w:footnote w:id="28">
    <w:p w:rsidR="009A2496" w:rsidRPr="00690016" w:rsidP="00690016" w14:paraId="6FFF1B5A" w14:textId="3635E9C2">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Pr>
          <w:rFonts w:ascii="Times New Roman" w:hAnsi="Times New Roman" w:cs="Times New Roman"/>
          <w:i/>
          <w:iCs/>
        </w:rPr>
        <w:t>See</w:t>
      </w:r>
      <w:r w:rsidRPr="00690016">
        <w:rPr>
          <w:rFonts w:ascii="Times New Roman" w:hAnsi="Times New Roman" w:cs="Times New Roman"/>
        </w:rPr>
        <w:t xml:space="preserve"> the NOI on page 5.</w:t>
      </w:r>
    </w:p>
  </w:footnote>
  <w:footnote w:id="29">
    <w:p w:rsidR="00D15193" w:rsidRPr="00690016" w:rsidP="00690016" w14:paraId="436DE606" w14:textId="14D65525">
      <w:pPr>
        <w:pStyle w:val="FootnoteText"/>
        <w:spacing w:after="120"/>
        <w:rPr>
          <w:rFonts w:ascii="Times New Roman" w:hAnsi="Times New Roman" w:cs="Times New Roman"/>
        </w:rPr>
      </w:pPr>
      <w:r w:rsidRPr="00690016">
        <w:rPr>
          <w:rStyle w:val="FootnoteReference"/>
          <w:rFonts w:ascii="Times New Roman" w:hAnsi="Times New Roman" w:cs="Times New Roman"/>
        </w:rPr>
        <w:footnoteRef/>
      </w:r>
      <w:r w:rsidRPr="00690016">
        <w:rPr>
          <w:rFonts w:ascii="Times New Roman" w:hAnsi="Times New Roman" w:cs="Times New Roman"/>
        </w:rPr>
        <w:t xml:space="preserve"> </w:t>
      </w:r>
      <w:r w:rsidRPr="00690016" w:rsidR="0060765B">
        <w:rPr>
          <w:rFonts w:ascii="Times New Roman" w:hAnsi="Times New Roman" w:cs="Times New Roman"/>
          <w:i/>
          <w:iCs/>
        </w:rPr>
        <w:t>See</w:t>
      </w:r>
      <w:r w:rsidRPr="00690016" w:rsidR="0060765B">
        <w:rPr>
          <w:rFonts w:ascii="Times New Roman" w:hAnsi="Times New Roman" w:cs="Times New Roman"/>
        </w:rPr>
        <w:t xml:space="preserve"> the Amended Application in Case 21-659-EL-USF that reflects administrative costs of approximately $4.7 million. </w:t>
      </w:r>
      <w:r w:rsidRPr="00690016" w:rsidR="00E44078">
        <w:rPr>
          <w:rFonts w:ascii="Times New Roman" w:hAnsi="Times New Roman" w:cs="Times New Roman"/>
          <w:i/>
          <w:iCs/>
        </w:rPr>
        <w:t>Also s</w:t>
      </w:r>
      <w:r w:rsidRPr="00690016">
        <w:rPr>
          <w:rFonts w:ascii="Times New Roman" w:hAnsi="Times New Roman" w:cs="Times New Roman"/>
          <w:i/>
          <w:iCs/>
        </w:rPr>
        <w:t>ee</w:t>
      </w:r>
      <w:r w:rsidRPr="00690016">
        <w:rPr>
          <w:rFonts w:ascii="Times New Roman" w:hAnsi="Times New Roman" w:cs="Times New Roman"/>
        </w:rPr>
        <w:t xml:space="preserve"> </w:t>
      </w:r>
      <w:r w:rsidRPr="00690016" w:rsidR="00E44078">
        <w:rPr>
          <w:rFonts w:ascii="Times New Roman" w:hAnsi="Times New Roman" w:cs="Times New Roman"/>
        </w:rPr>
        <w:t xml:space="preserve">the </w:t>
      </w:r>
      <w:r w:rsidRPr="00690016">
        <w:rPr>
          <w:rFonts w:ascii="Times New Roman" w:hAnsi="Times New Roman" w:cs="Times New Roman"/>
        </w:rPr>
        <w:t>2021-2022 HEAP State Plan that reflects 10 percent of the HEAP grant being allocated for administrative and planning costs.</w:t>
      </w:r>
      <w:r w:rsidRPr="00690016" w:rsidR="00701DE6">
        <w:rPr>
          <w:rFonts w:ascii="Times New Roman" w:hAnsi="Times New Roman" w:cs="Times New Roman"/>
        </w:rPr>
        <w:t xml:space="preserve"> </w:t>
      </w:r>
      <w:hyperlink r:id="rId1" w:history="1">
        <w:r w:rsidRPr="00162E40">
          <w:rPr>
            <w:rStyle w:val="Hyperlink"/>
            <w:rFonts w:ascii="Times New Roman" w:hAnsi="Times New Roman" w:cs="Times New Roman"/>
          </w:rPr>
          <w:t>https://development.ohio.gov/static/individual/energyassistance/2021-2022-HEAP-State-Plan.pdf</w:t>
        </w:r>
      </w:hyperlink>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77BE7"/>
    <w:multiLevelType w:val="hybridMultilevel"/>
    <w:tmpl w:val="58ECA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70160A8"/>
    <w:multiLevelType w:val="hybridMultilevel"/>
    <w:tmpl w:val="AA040E9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55"/>
    <w:rsid w:val="00017AFA"/>
    <w:rsid w:val="000239DE"/>
    <w:rsid w:val="00025634"/>
    <w:rsid w:val="000429BF"/>
    <w:rsid w:val="0004309C"/>
    <w:rsid w:val="00043BA5"/>
    <w:rsid w:val="000455C8"/>
    <w:rsid w:val="0005024F"/>
    <w:rsid w:val="000576C5"/>
    <w:rsid w:val="00077A80"/>
    <w:rsid w:val="00085D1A"/>
    <w:rsid w:val="000A4BA6"/>
    <w:rsid w:val="000B3341"/>
    <w:rsid w:val="000B6BE2"/>
    <w:rsid w:val="000C384F"/>
    <w:rsid w:val="000C529A"/>
    <w:rsid w:val="000D24EC"/>
    <w:rsid w:val="000D5B79"/>
    <w:rsid w:val="000D7E68"/>
    <w:rsid w:val="000E7D6B"/>
    <w:rsid w:val="00107531"/>
    <w:rsid w:val="0011109F"/>
    <w:rsid w:val="00121CB6"/>
    <w:rsid w:val="00122D1D"/>
    <w:rsid w:val="00124170"/>
    <w:rsid w:val="00127625"/>
    <w:rsid w:val="00132340"/>
    <w:rsid w:val="00134E76"/>
    <w:rsid w:val="001363EE"/>
    <w:rsid w:val="00137A0A"/>
    <w:rsid w:val="00142ACA"/>
    <w:rsid w:val="001454A7"/>
    <w:rsid w:val="00152B37"/>
    <w:rsid w:val="001618C4"/>
    <w:rsid w:val="00162E40"/>
    <w:rsid w:val="00184668"/>
    <w:rsid w:val="001A2D79"/>
    <w:rsid w:val="001A63B2"/>
    <w:rsid w:val="001E38F8"/>
    <w:rsid w:val="001F7659"/>
    <w:rsid w:val="00214C8D"/>
    <w:rsid w:val="002210AA"/>
    <w:rsid w:val="00232D9B"/>
    <w:rsid w:val="002333EB"/>
    <w:rsid w:val="00241EFB"/>
    <w:rsid w:val="00243FED"/>
    <w:rsid w:val="00251717"/>
    <w:rsid w:val="0025245D"/>
    <w:rsid w:val="0027002F"/>
    <w:rsid w:val="00274B5F"/>
    <w:rsid w:val="002936FE"/>
    <w:rsid w:val="00294D82"/>
    <w:rsid w:val="0029525F"/>
    <w:rsid w:val="00295F1D"/>
    <w:rsid w:val="00297ED6"/>
    <w:rsid w:val="002B5157"/>
    <w:rsid w:val="002B61A7"/>
    <w:rsid w:val="002C47E3"/>
    <w:rsid w:val="002C60D1"/>
    <w:rsid w:val="002C6ADA"/>
    <w:rsid w:val="00302509"/>
    <w:rsid w:val="0030544E"/>
    <w:rsid w:val="00322ACB"/>
    <w:rsid w:val="00324CA6"/>
    <w:rsid w:val="00341952"/>
    <w:rsid w:val="00355C1A"/>
    <w:rsid w:val="0036211A"/>
    <w:rsid w:val="00362BEB"/>
    <w:rsid w:val="00371683"/>
    <w:rsid w:val="00372BBC"/>
    <w:rsid w:val="00372CB9"/>
    <w:rsid w:val="003A067A"/>
    <w:rsid w:val="003A3C55"/>
    <w:rsid w:val="003A6639"/>
    <w:rsid w:val="003B091B"/>
    <w:rsid w:val="003C1D70"/>
    <w:rsid w:val="003F19D1"/>
    <w:rsid w:val="003F5229"/>
    <w:rsid w:val="00405ADE"/>
    <w:rsid w:val="00406148"/>
    <w:rsid w:val="00411B2C"/>
    <w:rsid w:val="00416B4A"/>
    <w:rsid w:val="00434ABF"/>
    <w:rsid w:val="00435FB5"/>
    <w:rsid w:val="00447F90"/>
    <w:rsid w:val="0045390B"/>
    <w:rsid w:val="004742AA"/>
    <w:rsid w:val="00475184"/>
    <w:rsid w:val="0048256F"/>
    <w:rsid w:val="00492CF2"/>
    <w:rsid w:val="004B405B"/>
    <w:rsid w:val="004B73A6"/>
    <w:rsid w:val="004C1A6E"/>
    <w:rsid w:val="004C7E1C"/>
    <w:rsid w:val="004D49D1"/>
    <w:rsid w:val="004D6657"/>
    <w:rsid w:val="004E25CC"/>
    <w:rsid w:val="00500B65"/>
    <w:rsid w:val="00512945"/>
    <w:rsid w:val="0051450D"/>
    <w:rsid w:val="00526C64"/>
    <w:rsid w:val="0053766E"/>
    <w:rsid w:val="005402A6"/>
    <w:rsid w:val="00540D17"/>
    <w:rsid w:val="005420BE"/>
    <w:rsid w:val="00546234"/>
    <w:rsid w:val="0055505F"/>
    <w:rsid w:val="005636CE"/>
    <w:rsid w:val="00564AAA"/>
    <w:rsid w:val="005B0669"/>
    <w:rsid w:val="005B4F45"/>
    <w:rsid w:val="005B5365"/>
    <w:rsid w:val="005B57EF"/>
    <w:rsid w:val="005C2E8A"/>
    <w:rsid w:val="005C4C38"/>
    <w:rsid w:val="005E3C7A"/>
    <w:rsid w:val="005E3EC3"/>
    <w:rsid w:val="005E4DC6"/>
    <w:rsid w:val="005E58E8"/>
    <w:rsid w:val="005E650C"/>
    <w:rsid w:val="00603D59"/>
    <w:rsid w:val="006047E4"/>
    <w:rsid w:val="0060765B"/>
    <w:rsid w:val="00622230"/>
    <w:rsid w:val="00622983"/>
    <w:rsid w:val="00631047"/>
    <w:rsid w:val="0063519E"/>
    <w:rsid w:val="00665B29"/>
    <w:rsid w:val="00665D84"/>
    <w:rsid w:val="006736E8"/>
    <w:rsid w:val="00680456"/>
    <w:rsid w:val="00687A66"/>
    <w:rsid w:val="00690016"/>
    <w:rsid w:val="006B1E30"/>
    <w:rsid w:val="006B5EF2"/>
    <w:rsid w:val="006C13A7"/>
    <w:rsid w:val="006C2A2F"/>
    <w:rsid w:val="006C2EC0"/>
    <w:rsid w:val="006C3583"/>
    <w:rsid w:val="006D641F"/>
    <w:rsid w:val="006E1A76"/>
    <w:rsid w:val="006E2C98"/>
    <w:rsid w:val="006E4105"/>
    <w:rsid w:val="00701DE6"/>
    <w:rsid w:val="007034E8"/>
    <w:rsid w:val="0071284C"/>
    <w:rsid w:val="00724A0A"/>
    <w:rsid w:val="00724F30"/>
    <w:rsid w:val="007351B2"/>
    <w:rsid w:val="00735C31"/>
    <w:rsid w:val="00743CA6"/>
    <w:rsid w:val="00751938"/>
    <w:rsid w:val="0075334C"/>
    <w:rsid w:val="007533B9"/>
    <w:rsid w:val="007558BC"/>
    <w:rsid w:val="007709E4"/>
    <w:rsid w:val="00784A96"/>
    <w:rsid w:val="0078550A"/>
    <w:rsid w:val="00785648"/>
    <w:rsid w:val="007A4541"/>
    <w:rsid w:val="007A7997"/>
    <w:rsid w:val="007B25AD"/>
    <w:rsid w:val="007B3A05"/>
    <w:rsid w:val="007D2C1F"/>
    <w:rsid w:val="007E63D8"/>
    <w:rsid w:val="007F4D42"/>
    <w:rsid w:val="00802618"/>
    <w:rsid w:val="008038A2"/>
    <w:rsid w:val="00806807"/>
    <w:rsid w:val="008104C9"/>
    <w:rsid w:val="008354DF"/>
    <w:rsid w:val="00835853"/>
    <w:rsid w:val="0084758B"/>
    <w:rsid w:val="00850C06"/>
    <w:rsid w:val="0085386B"/>
    <w:rsid w:val="0087208B"/>
    <w:rsid w:val="00874EB1"/>
    <w:rsid w:val="008A116C"/>
    <w:rsid w:val="008A326E"/>
    <w:rsid w:val="008A56B0"/>
    <w:rsid w:val="008B2D41"/>
    <w:rsid w:val="008B2F5F"/>
    <w:rsid w:val="008D29BB"/>
    <w:rsid w:val="008D4EB7"/>
    <w:rsid w:val="008D659D"/>
    <w:rsid w:val="008E145F"/>
    <w:rsid w:val="008E2430"/>
    <w:rsid w:val="008F6889"/>
    <w:rsid w:val="008F72FE"/>
    <w:rsid w:val="008F78C7"/>
    <w:rsid w:val="009149A4"/>
    <w:rsid w:val="00916B0C"/>
    <w:rsid w:val="00921990"/>
    <w:rsid w:val="0093249C"/>
    <w:rsid w:val="009324D2"/>
    <w:rsid w:val="00933B6F"/>
    <w:rsid w:val="009414D6"/>
    <w:rsid w:val="00943D01"/>
    <w:rsid w:val="0096310F"/>
    <w:rsid w:val="00970B0A"/>
    <w:rsid w:val="00986917"/>
    <w:rsid w:val="00987373"/>
    <w:rsid w:val="009A2496"/>
    <w:rsid w:val="009C0084"/>
    <w:rsid w:val="009C66B6"/>
    <w:rsid w:val="009D68CD"/>
    <w:rsid w:val="00A007BD"/>
    <w:rsid w:val="00A12F20"/>
    <w:rsid w:val="00A222C5"/>
    <w:rsid w:val="00A27308"/>
    <w:rsid w:val="00A37B42"/>
    <w:rsid w:val="00A466D7"/>
    <w:rsid w:val="00A72924"/>
    <w:rsid w:val="00AA68E8"/>
    <w:rsid w:val="00AB295D"/>
    <w:rsid w:val="00AB5E47"/>
    <w:rsid w:val="00AC5CA1"/>
    <w:rsid w:val="00B02E6E"/>
    <w:rsid w:val="00B07FEC"/>
    <w:rsid w:val="00B43F6C"/>
    <w:rsid w:val="00B73359"/>
    <w:rsid w:val="00B80406"/>
    <w:rsid w:val="00B928ED"/>
    <w:rsid w:val="00B94EF5"/>
    <w:rsid w:val="00B95173"/>
    <w:rsid w:val="00BB34C6"/>
    <w:rsid w:val="00BC39D1"/>
    <w:rsid w:val="00BC41BB"/>
    <w:rsid w:val="00BD5505"/>
    <w:rsid w:val="00BF3938"/>
    <w:rsid w:val="00C0014F"/>
    <w:rsid w:val="00C01463"/>
    <w:rsid w:val="00C15C6A"/>
    <w:rsid w:val="00C15E2B"/>
    <w:rsid w:val="00C317D2"/>
    <w:rsid w:val="00C35239"/>
    <w:rsid w:val="00C37F5A"/>
    <w:rsid w:val="00C56887"/>
    <w:rsid w:val="00C65CD7"/>
    <w:rsid w:val="00C710A6"/>
    <w:rsid w:val="00C7373A"/>
    <w:rsid w:val="00C875B1"/>
    <w:rsid w:val="00C90530"/>
    <w:rsid w:val="00C90C13"/>
    <w:rsid w:val="00C969E4"/>
    <w:rsid w:val="00CA6186"/>
    <w:rsid w:val="00CA6D3C"/>
    <w:rsid w:val="00CC0BC1"/>
    <w:rsid w:val="00CD412F"/>
    <w:rsid w:val="00CD4D71"/>
    <w:rsid w:val="00CD726D"/>
    <w:rsid w:val="00D03E28"/>
    <w:rsid w:val="00D06FEC"/>
    <w:rsid w:val="00D15193"/>
    <w:rsid w:val="00D17C8B"/>
    <w:rsid w:val="00D20C46"/>
    <w:rsid w:val="00D73F8A"/>
    <w:rsid w:val="00D836D4"/>
    <w:rsid w:val="00D83B4F"/>
    <w:rsid w:val="00D93E2C"/>
    <w:rsid w:val="00DB0B16"/>
    <w:rsid w:val="00DD328D"/>
    <w:rsid w:val="00DE2613"/>
    <w:rsid w:val="00DE2ACE"/>
    <w:rsid w:val="00DE4D70"/>
    <w:rsid w:val="00DE6F7F"/>
    <w:rsid w:val="00E07A28"/>
    <w:rsid w:val="00E17A84"/>
    <w:rsid w:val="00E17ED8"/>
    <w:rsid w:val="00E21BC3"/>
    <w:rsid w:val="00E44078"/>
    <w:rsid w:val="00E54914"/>
    <w:rsid w:val="00E70D8A"/>
    <w:rsid w:val="00E74D48"/>
    <w:rsid w:val="00E84A5D"/>
    <w:rsid w:val="00E932E6"/>
    <w:rsid w:val="00E94BEE"/>
    <w:rsid w:val="00E96FB2"/>
    <w:rsid w:val="00EA070F"/>
    <w:rsid w:val="00EA3807"/>
    <w:rsid w:val="00EB050D"/>
    <w:rsid w:val="00EB0851"/>
    <w:rsid w:val="00EC40BD"/>
    <w:rsid w:val="00EC7F1B"/>
    <w:rsid w:val="00ED1202"/>
    <w:rsid w:val="00ED2743"/>
    <w:rsid w:val="00ED4CE5"/>
    <w:rsid w:val="00EE56CB"/>
    <w:rsid w:val="00EE649B"/>
    <w:rsid w:val="00F02A63"/>
    <w:rsid w:val="00F26B18"/>
    <w:rsid w:val="00F276F0"/>
    <w:rsid w:val="00F349F9"/>
    <w:rsid w:val="00F3603D"/>
    <w:rsid w:val="00F36452"/>
    <w:rsid w:val="00F4575A"/>
    <w:rsid w:val="00F47551"/>
    <w:rsid w:val="00F5295F"/>
    <w:rsid w:val="00F556AA"/>
    <w:rsid w:val="00F640AC"/>
    <w:rsid w:val="00F76084"/>
    <w:rsid w:val="00F764C1"/>
    <w:rsid w:val="00F830B5"/>
    <w:rsid w:val="00F85ED9"/>
    <w:rsid w:val="00F92351"/>
    <w:rsid w:val="00F93A0F"/>
    <w:rsid w:val="00F95050"/>
    <w:rsid w:val="00F9795A"/>
    <w:rsid w:val="00F97BE2"/>
    <w:rsid w:val="00FC2851"/>
    <w:rsid w:val="00FD1264"/>
    <w:rsid w:val="00FD4806"/>
    <w:rsid w:val="00FE2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A1"/>
  </w:style>
  <w:style w:type="paragraph" w:styleId="Heading1">
    <w:name w:val="heading 1"/>
    <w:basedOn w:val="Normal"/>
    <w:next w:val="Normal"/>
    <w:link w:val="Heading1Char"/>
    <w:autoRedefine/>
    <w:qFormat/>
    <w:rsid w:val="00F02A63"/>
    <w:pPr>
      <w:keepNext/>
      <w:spacing w:after="240" w:line="240" w:lineRule="auto"/>
      <w:ind w:left="720" w:hanging="720"/>
      <w:outlineLvl w:val="0"/>
    </w:pPr>
    <w:rPr>
      <w:rFonts w:ascii="Times New Roman Bold" w:eastAsia="Times New Roman" w:hAnsi="Times New Roman Bold"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4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0BD"/>
    <w:rPr>
      <w:sz w:val="20"/>
      <w:szCs w:val="20"/>
    </w:rPr>
  </w:style>
  <w:style w:type="character" w:styleId="FootnoteReference">
    <w:name w:val="footnote reference"/>
    <w:basedOn w:val="DefaultParagraphFont"/>
    <w:semiHidden/>
    <w:unhideWhenUsed/>
    <w:rsid w:val="00EC40BD"/>
    <w:rPr>
      <w:vertAlign w:val="superscript"/>
    </w:rPr>
  </w:style>
  <w:style w:type="character" w:styleId="Hyperlink">
    <w:name w:val="Hyperlink"/>
    <w:basedOn w:val="DefaultParagraphFont"/>
    <w:uiPriority w:val="99"/>
    <w:unhideWhenUsed/>
    <w:rsid w:val="00970B0A"/>
    <w:rPr>
      <w:color w:val="0000FF"/>
      <w:u w:val="single"/>
    </w:rPr>
  </w:style>
  <w:style w:type="paragraph" w:styleId="NormalWeb">
    <w:name w:val="Normal (Web)"/>
    <w:basedOn w:val="Normal"/>
    <w:uiPriority w:val="99"/>
    <w:unhideWhenUsed/>
    <w:rsid w:val="001323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3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341"/>
    <w:rPr>
      <w:rFonts w:ascii="Segoe UI" w:hAnsi="Segoe UI" w:cs="Segoe UI"/>
      <w:sz w:val="18"/>
      <w:szCs w:val="18"/>
    </w:rPr>
  </w:style>
  <w:style w:type="paragraph" w:styleId="Header">
    <w:name w:val="header"/>
    <w:basedOn w:val="Normal"/>
    <w:link w:val="HeaderChar"/>
    <w:uiPriority w:val="99"/>
    <w:unhideWhenUsed/>
    <w:rsid w:val="00C71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A6"/>
  </w:style>
  <w:style w:type="paragraph" w:styleId="Footer">
    <w:name w:val="footer"/>
    <w:basedOn w:val="Normal"/>
    <w:link w:val="FooterChar"/>
    <w:uiPriority w:val="99"/>
    <w:unhideWhenUsed/>
    <w:rsid w:val="00C71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A6"/>
  </w:style>
  <w:style w:type="paragraph" w:styleId="HTMLPreformatted">
    <w:name w:val="HTML Preformatted"/>
    <w:basedOn w:val="Normal"/>
    <w:link w:val="HTMLPreformattedChar"/>
    <w:rsid w:val="005B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B4F45"/>
    <w:rPr>
      <w:rFonts w:ascii="Courier New" w:eastAsia="Courier New" w:hAnsi="Courier New" w:cs="Courier New"/>
      <w:sz w:val="20"/>
      <w:szCs w:val="20"/>
    </w:rPr>
  </w:style>
  <w:style w:type="character" w:customStyle="1" w:styleId="Heading1Char">
    <w:name w:val="Heading 1 Char"/>
    <w:basedOn w:val="DefaultParagraphFont"/>
    <w:link w:val="Heading1"/>
    <w:rsid w:val="00F02A63"/>
    <w:rPr>
      <w:rFonts w:ascii="Times New Roman Bold" w:eastAsia="Times New Roman" w:hAnsi="Times New Roman Bold" w:cs="Times New Roman"/>
      <w:b/>
      <w:caps/>
      <w:sz w:val="24"/>
      <w:szCs w:val="24"/>
    </w:rPr>
  </w:style>
  <w:style w:type="paragraph" w:styleId="BodyTextIndent3">
    <w:name w:val="Body Text Indent 3"/>
    <w:basedOn w:val="Normal"/>
    <w:link w:val="BodyTextIndent3Char"/>
    <w:rsid w:val="0085386B"/>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5386B"/>
    <w:rPr>
      <w:rFonts w:ascii="Times New Roman" w:eastAsia="Times New Roman" w:hAnsi="Times New Roman" w:cs="Times New Roman"/>
      <w:sz w:val="24"/>
      <w:szCs w:val="20"/>
    </w:rPr>
  </w:style>
  <w:style w:type="paragraph" w:styleId="CommentText">
    <w:name w:val="annotation text"/>
    <w:basedOn w:val="Normal"/>
    <w:link w:val="CommentTextChar"/>
    <w:semiHidden/>
    <w:rsid w:val="003B091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3B091B"/>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333EB"/>
    <w:rPr>
      <w:color w:val="605E5C"/>
      <w:shd w:val="clear" w:color="auto" w:fill="E1DFDD"/>
    </w:rPr>
  </w:style>
  <w:style w:type="character" w:styleId="CommentReference">
    <w:name w:val="annotation reference"/>
    <w:basedOn w:val="DefaultParagraphFont"/>
    <w:uiPriority w:val="99"/>
    <w:semiHidden/>
    <w:unhideWhenUsed/>
    <w:rsid w:val="000576C5"/>
    <w:rPr>
      <w:sz w:val="16"/>
      <w:szCs w:val="16"/>
    </w:rPr>
  </w:style>
  <w:style w:type="paragraph" w:styleId="CommentSubject">
    <w:name w:val="annotation subject"/>
    <w:basedOn w:val="CommentText"/>
    <w:next w:val="CommentText"/>
    <w:link w:val="CommentSubjectChar"/>
    <w:uiPriority w:val="99"/>
    <w:semiHidden/>
    <w:unhideWhenUsed/>
    <w:rsid w:val="000576C5"/>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576C5"/>
    <w:rPr>
      <w:rFonts w:ascii="Times New Roman" w:eastAsia="Times New Roman" w:hAnsi="Times New Roman" w:cs="Times New Roman"/>
      <w:b/>
      <w:bCs/>
      <w:sz w:val="20"/>
      <w:szCs w:val="20"/>
    </w:rPr>
  </w:style>
  <w:style w:type="paragraph" w:styleId="Revision">
    <w:name w:val="Revision"/>
    <w:hidden/>
    <w:uiPriority w:val="99"/>
    <w:semiHidden/>
    <w:rsid w:val="007A4541"/>
    <w:pPr>
      <w:spacing w:after="0" w:line="240" w:lineRule="auto"/>
    </w:pPr>
  </w:style>
  <w:style w:type="table" w:styleId="TableGrid">
    <w:name w:val="Table Grid"/>
    <w:basedOn w:val="TableNormal"/>
    <w:uiPriority w:val="39"/>
    <w:rsid w:val="0010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65D84"/>
    <w:pPr>
      <w:tabs>
        <w:tab w:val="decimal" w:leader="dot" w:pos="9360"/>
      </w:tabs>
      <w:spacing w:after="240" w:line="240" w:lineRule="auto"/>
      <w:ind w:left="720" w:hanging="720"/>
    </w:pPr>
    <w:rPr>
      <w:rFonts w:ascii="Times New Roman" w:hAnsi="Times New Roman" w:cs="Times New Roman"/>
      <w:sz w:val="24"/>
      <w:szCs w:val="24"/>
    </w:rPr>
  </w:style>
  <w:style w:type="paragraph" w:styleId="TOC2">
    <w:name w:val="toc 2"/>
    <w:basedOn w:val="Normal"/>
    <w:next w:val="Normal"/>
    <w:autoRedefine/>
    <w:uiPriority w:val="39"/>
    <w:unhideWhenUsed/>
    <w:rsid w:val="00665D84"/>
    <w:pPr>
      <w:tabs>
        <w:tab w:val="decimal" w:leader="dot" w:pos="9360"/>
      </w:tabs>
      <w:spacing w:after="240" w:line="240" w:lineRule="auto"/>
      <w:ind w:left="1440" w:hanging="720"/>
    </w:pPr>
    <w:rPr>
      <w:rFonts w:ascii="Times New Roman" w:hAnsi="Times New Roman" w:cs="Times New Roman"/>
      <w:sz w:val="24"/>
      <w:szCs w:val="24"/>
    </w:rPr>
  </w:style>
  <w:style w:type="paragraph" w:styleId="TOC3">
    <w:name w:val="toc 3"/>
    <w:basedOn w:val="Normal"/>
    <w:next w:val="Normal"/>
    <w:autoRedefine/>
    <w:uiPriority w:val="39"/>
    <w:unhideWhenUsed/>
    <w:rsid w:val="00665D84"/>
    <w:pPr>
      <w:tabs>
        <w:tab w:val="decimal" w:leader="dot" w:pos="9360"/>
      </w:tabs>
      <w:spacing w:after="240" w:line="240" w:lineRule="auto"/>
      <w:ind w:left="2160" w:hanging="720"/>
    </w:pPr>
    <w:rPr>
      <w:rFonts w:ascii="Times New Roman" w:hAnsi="Times New Roman" w:cs="Times New Roman"/>
      <w:sz w:val="24"/>
      <w:szCs w:val="24"/>
    </w:rPr>
  </w:style>
  <w:style w:type="paragraph" w:styleId="ListParagraph">
    <w:name w:val="List Paragraph"/>
    <w:basedOn w:val="Normal"/>
    <w:uiPriority w:val="34"/>
    <w:qFormat/>
    <w:rsid w:val="005B5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about:blank" TargetMode="External" /><Relationship Id="rId11" Type="http://schemas.openxmlformats.org/officeDocument/2006/relationships/hyperlink" Target="mailto:greta.see@puco.ohio.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development.ohio.gov/static/individual/energyassistance/2021-2022-HEAP-State-Pla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39DF-5EED-4C76-B891-2A36B8BA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USF Rider 22-556/Larry approved edits accepted  (00549196.DOCX;1)</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2022-07-06T20:15:52Z</dcterms:created>
  <dcterms:modified xsi:type="dcterms:W3CDTF">2022-07-06T20:15:52Z</dcterms:modified>
</cp:coreProperties>
</file>