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02BEB7" w14:textId="77777777" w:rsidR="001A6A80" w:rsidRPr="003533B4" w:rsidRDefault="001A6A80" w:rsidP="001A6A80">
      <w:pPr>
        <w:autoSpaceDE w:val="0"/>
        <w:autoSpaceDN w:val="0"/>
        <w:adjustRightInd w:val="0"/>
        <w:spacing w:line="240" w:lineRule="auto"/>
        <w:jc w:val="center"/>
        <w:rPr>
          <w:rFonts w:ascii="Arial Bold" w:hAnsi="Arial Bold"/>
          <w:b/>
          <w:smallCaps/>
          <w:sz w:val="32"/>
          <w:szCs w:val="32"/>
        </w:rPr>
      </w:pPr>
      <w:r w:rsidRPr="003533B4">
        <w:rPr>
          <w:rFonts w:ascii="Arial Bold" w:hAnsi="Arial Bold"/>
          <w:b/>
          <w:smallCaps/>
          <w:sz w:val="32"/>
          <w:szCs w:val="32"/>
        </w:rPr>
        <w:t>Before</w:t>
      </w:r>
    </w:p>
    <w:p w14:paraId="795B5FA6" w14:textId="77777777" w:rsidR="001A6A80" w:rsidRPr="003533B4" w:rsidRDefault="001A6A80" w:rsidP="001A6A80">
      <w:pPr>
        <w:autoSpaceDE w:val="0"/>
        <w:autoSpaceDN w:val="0"/>
        <w:adjustRightInd w:val="0"/>
        <w:spacing w:line="240" w:lineRule="auto"/>
        <w:jc w:val="center"/>
        <w:rPr>
          <w:rFonts w:ascii="Arial Bold" w:hAnsi="Arial Bold"/>
          <w:b/>
          <w:smallCaps/>
          <w:sz w:val="32"/>
          <w:szCs w:val="32"/>
        </w:rPr>
      </w:pPr>
      <w:r>
        <w:rPr>
          <w:rFonts w:ascii="Arial Bold" w:hAnsi="Arial Bold"/>
          <w:b/>
          <w:smallCaps/>
          <w:sz w:val="32"/>
          <w:szCs w:val="32"/>
        </w:rPr>
        <w:t>t</w:t>
      </w:r>
      <w:r w:rsidRPr="003533B4">
        <w:rPr>
          <w:rFonts w:ascii="Arial Bold" w:hAnsi="Arial Bold"/>
          <w:b/>
          <w:smallCaps/>
          <w:sz w:val="32"/>
          <w:szCs w:val="32"/>
        </w:rPr>
        <w:t>he Public Utilities Commission of Ohio</w:t>
      </w:r>
    </w:p>
    <w:p w14:paraId="4171562C" w14:textId="77777777" w:rsidR="001A6A80" w:rsidRPr="003533B4" w:rsidRDefault="001A6A80" w:rsidP="001A6A80">
      <w:pPr>
        <w:autoSpaceDE w:val="0"/>
        <w:autoSpaceDN w:val="0"/>
        <w:adjustRightInd w:val="0"/>
        <w:spacing w:line="240" w:lineRule="auto"/>
        <w:jc w:val="center"/>
        <w:rPr>
          <w:rFonts w:ascii="Arial Bold" w:hAnsi="Arial Bold"/>
          <w:smallCaps/>
        </w:rPr>
      </w:pPr>
    </w:p>
    <w:p w14:paraId="34039AFF" w14:textId="77777777" w:rsidR="005C7CAC" w:rsidRPr="005C7CAC" w:rsidRDefault="005C7CAC" w:rsidP="00AC5D7E">
      <w:pPr>
        <w:tabs>
          <w:tab w:val="left" w:pos="4950"/>
          <w:tab w:val="left" w:pos="5490"/>
        </w:tabs>
        <w:spacing w:line="240" w:lineRule="auto"/>
        <w:jc w:val="left"/>
        <w:rPr>
          <w:rFonts w:cstheme="minorBidi"/>
        </w:rPr>
      </w:pPr>
      <w:r w:rsidRPr="005C7CAC">
        <w:rPr>
          <w:rFonts w:cstheme="minorBidi"/>
        </w:rPr>
        <w:t>In the Mat</w:t>
      </w:r>
      <w:r w:rsidR="00062F2C">
        <w:rPr>
          <w:rFonts w:cstheme="minorBidi"/>
        </w:rPr>
        <w:t>ter of the Application of</w:t>
      </w:r>
      <w:r w:rsidR="00062F2C">
        <w:rPr>
          <w:rFonts w:cstheme="minorBidi"/>
        </w:rPr>
        <w:tab/>
        <w:t>)</w:t>
      </w:r>
    </w:p>
    <w:p w14:paraId="095DE748" w14:textId="77777777" w:rsidR="005C7CAC" w:rsidRPr="005C7CAC" w:rsidRDefault="00062F2C" w:rsidP="00AC5D7E">
      <w:pPr>
        <w:tabs>
          <w:tab w:val="left" w:pos="4950"/>
          <w:tab w:val="left" w:pos="5490"/>
        </w:tabs>
        <w:spacing w:line="240" w:lineRule="auto"/>
        <w:jc w:val="left"/>
        <w:rPr>
          <w:rFonts w:cstheme="minorBidi"/>
        </w:rPr>
      </w:pPr>
      <w:r>
        <w:rPr>
          <w:rFonts w:cstheme="minorBidi"/>
        </w:rPr>
        <w:t xml:space="preserve">The </w:t>
      </w:r>
      <w:r w:rsidR="005C7CAC" w:rsidRPr="005C7CAC">
        <w:rPr>
          <w:rFonts w:cstheme="minorBidi"/>
        </w:rPr>
        <w:t xml:space="preserve">Dayton </w:t>
      </w:r>
      <w:r>
        <w:rPr>
          <w:rFonts w:cstheme="minorBidi"/>
        </w:rPr>
        <w:t>Power and Light Company</w:t>
      </w:r>
      <w:r>
        <w:rPr>
          <w:rFonts w:cstheme="minorBidi"/>
        </w:rPr>
        <w:tab/>
        <w:t>)</w:t>
      </w:r>
      <w:r w:rsidR="005C7CAC" w:rsidRPr="005C7CAC">
        <w:rPr>
          <w:rFonts w:cstheme="minorBidi"/>
        </w:rPr>
        <w:tab/>
        <w:t>Case No. 15-1830-EL-AIR</w:t>
      </w:r>
    </w:p>
    <w:p w14:paraId="727E62EF" w14:textId="77777777" w:rsidR="00062F2C" w:rsidRDefault="00062F2C" w:rsidP="00AC5D7E">
      <w:pPr>
        <w:tabs>
          <w:tab w:val="left" w:pos="4950"/>
          <w:tab w:val="left" w:pos="5490"/>
        </w:tabs>
        <w:spacing w:line="240" w:lineRule="auto"/>
        <w:jc w:val="left"/>
        <w:rPr>
          <w:rFonts w:cstheme="minorBidi"/>
        </w:rPr>
      </w:pPr>
      <w:r>
        <w:rPr>
          <w:rFonts w:cstheme="minorBidi"/>
        </w:rPr>
        <w:t xml:space="preserve">to </w:t>
      </w:r>
      <w:r w:rsidR="005C7CAC" w:rsidRPr="005C7CAC">
        <w:rPr>
          <w:rFonts w:cstheme="minorBidi"/>
        </w:rPr>
        <w:t>Increase it</w:t>
      </w:r>
      <w:r>
        <w:rPr>
          <w:rFonts w:cstheme="minorBidi"/>
        </w:rPr>
        <w:t>s Rates for Electric</w:t>
      </w:r>
      <w:r w:rsidR="00A72C93">
        <w:rPr>
          <w:rFonts w:cstheme="minorBidi"/>
        </w:rPr>
        <w:tab/>
      </w:r>
      <w:r>
        <w:rPr>
          <w:rFonts w:cstheme="minorBidi"/>
        </w:rPr>
        <w:t>)</w:t>
      </w:r>
    </w:p>
    <w:p w14:paraId="75A66A59" w14:textId="77777777" w:rsidR="005C7CAC" w:rsidRPr="005C7CAC" w:rsidRDefault="00A72C93" w:rsidP="00AC5D7E">
      <w:pPr>
        <w:tabs>
          <w:tab w:val="left" w:pos="4950"/>
          <w:tab w:val="left" w:pos="5490"/>
        </w:tabs>
        <w:spacing w:line="240" w:lineRule="auto"/>
        <w:jc w:val="left"/>
        <w:rPr>
          <w:rFonts w:cstheme="minorBidi"/>
        </w:rPr>
      </w:pPr>
      <w:r>
        <w:rPr>
          <w:rFonts w:cstheme="minorBidi"/>
        </w:rPr>
        <w:t xml:space="preserve">Distribution </w:t>
      </w:r>
      <w:r w:rsidR="00062F2C">
        <w:rPr>
          <w:rFonts w:cstheme="minorBidi"/>
        </w:rPr>
        <w:t>Service</w:t>
      </w:r>
      <w:r w:rsidR="00062F2C">
        <w:rPr>
          <w:rFonts w:cstheme="minorBidi"/>
        </w:rPr>
        <w:tab/>
        <w:t>)</w:t>
      </w:r>
    </w:p>
    <w:p w14:paraId="0C4ADE88" w14:textId="77777777" w:rsidR="005C7CAC" w:rsidRPr="005C7CAC" w:rsidRDefault="005C7CAC" w:rsidP="00AC5D7E">
      <w:pPr>
        <w:tabs>
          <w:tab w:val="left" w:pos="4950"/>
          <w:tab w:val="left" w:pos="5490"/>
        </w:tabs>
        <w:spacing w:line="240" w:lineRule="auto"/>
        <w:jc w:val="left"/>
        <w:rPr>
          <w:rFonts w:cstheme="minorBidi"/>
        </w:rPr>
      </w:pPr>
    </w:p>
    <w:p w14:paraId="2F47C72C" w14:textId="77777777" w:rsidR="005C7CAC" w:rsidRPr="005C7CAC" w:rsidRDefault="005C7CAC" w:rsidP="00AC5D7E">
      <w:pPr>
        <w:tabs>
          <w:tab w:val="left" w:pos="4950"/>
          <w:tab w:val="left" w:pos="5490"/>
        </w:tabs>
        <w:spacing w:line="240" w:lineRule="auto"/>
        <w:jc w:val="left"/>
        <w:rPr>
          <w:rFonts w:cstheme="minorBidi"/>
        </w:rPr>
      </w:pPr>
      <w:r w:rsidRPr="005C7CAC">
        <w:rPr>
          <w:rFonts w:cstheme="minorBidi"/>
        </w:rPr>
        <w:t>In the Matter of the Application of</w:t>
      </w:r>
      <w:r w:rsidRPr="005C7CAC">
        <w:rPr>
          <w:rFonts w:cstheme="minorBidi"/>
        </w:rPr>
        <w:tab/>
      </w:r>
      <w:r w:rsidR="00A72C93">
        <w:rPr>
          <w:rFonts w:cstheme="minorBidi"/>
        </w:rPr>
        <w:t>)</w:t>
      </w:r>
    </w:p>
    <w:p w14:paraId="6FB0AC90" w14:textId="77777777" w:rsidR="005C7CAC" w:rsidRPr="005C7CAC" w:rsidRDefault="00A72C93" w:rsidP="00AC5D7E">
      <w:pPr>
        <w:tabs>
          <w:tab w:val="left" w:pos="4950"/>
          <w:tab w:val="left" w:pos="5490"/>
        </w:tabs>
        <w:spacing w:line="240" w:lineRule="auto"/>
        <w:jc w:val="left"/>
        <w:rPr>
          <w:rFonts w:cstheme="minorBidi"/>
        </w:rPr>
      </w:pPr>
      <w:r>
        <w:rPr>
          <w:rFonts w:cstheme="minorBidi"/>
        </w:rPr>
        <w:t xml:space="preserve">The </w:t>
      </w:r>
      <w:r w:rsidR="005C7CAC" w:rsidRPr="005C7CAC">
        <w:rPr>
          <w:rFonts w:cstheme="minorBidi"/>
        </w:rPr>
        <w:t>Dayton Power and Light Company</w:t>
      </w:r>
      <w:r w:rsidR="005C7CAC" w:rsidRPr="005C7CAC">
        <w:rPr>
          <w:rFonts w:cstheme="minorBidi"/>
        </w:rPr>
        <w:tab/>
      </w:r>
      <w:r>
        <w:rPr>
          <w:rFonts w:cstheme="minorBidi"/>
        </w:rPr>
        <w:t>)</w:t>
      </w:r>
      <w:r w:rsidR="005C7CAC" w:rsidRPr="005C7CAC">
        <w:rPr>
          <w:rFonts w:cstheme="minorBidi"/>
        </w:rPr>
        <w:tab/>
        <w:t>Case No. 15-1831-EL-AAM</w:t>
      </w:r>
    </w:p>
    <w:p w14:paraId="67D8F863" w14:textId="77777777" w:rsidR="005C7CAC" w:rsidRPr="005C7CAC" w:rsidRDefault="00A72C93" w:rsidP="00AC5D7E">
      <w:pPr>
        <w:tabs>
          <w:tab w:val="left" w:pos="4950"/>
          <w:tab w:val="left" w:pos="5490"/>
        </w:tabs>
        <w:spacing w:line="240" w:lineRule="auto"/>
        <w:jc w:val="left"/>
        <w:rPr>
          <w:rFonts w:cstheme="minorBidi"/>
        </w:rPr>
      </w:pPr>
      <w:r>
        <w:rPr>
          <w:rFonts w:cstheme="minorBidi"/>
        </w:rPr>
        <w:t xml:space="preserve">for </w:t>
      </w:r>
      <w:r w:rsidR="005C7CAC" w:rsidRPr="005C7CAC">
        <w:rPr>
          <w:rFonts w:cstheme="minorBidi"/>
        </w:rPr>
        <w:t>Accounting Authority</w:t>
      </w:r>
      <w:r w:rsidR="005C7CAC" w:rsidRPr="005C7CAC">
        <w:rPr>
          <w:rFonts w:cstheme="minorBidi"/>
        </w:rPr>
        <w:tab/>
      </w:r>
      <w:r>
        <w:rPr>
          <w:rFonts w:cstheme="minorBidi"/>
        </w:rPr>
        <w:t>)</w:t>
      </w:r>
    </w:p>
    <w:p w14:paraId="09BDD359" w14:textId="77777777" w:rsidR="005C7CAC" w:rsidRPr="005C7CAC" w:rsidRDefault="005C7CAC" w:rsidP="00AC5D7E">
      <w:pPr>
        <w:tabs>
          <w:tab w:val="left" w:pos="4950"/>
          <w:tab w:val="left" w:pos="5490"/>
        </w:tabs>
        <w:spacing w:line="240" w:lineRule="auto"/>
        <w:jc w:val="left"/>
        <w:rPr>
          <w:rFonts w:cstheme="minorBidi"/>
        </w:rPr>
      </w:pPr>
    </w:p>
    <w:p w14:paraId="5261A797" w14:textId="77777777" w:rsidR="005C7CAC" w:rsidRPr="005C7CAC" w:rsidRDefault="005C7CAC" w:rsidP="00AC5D7E">
      <w:pPr>
        <w:tabs>
          <w:tab w:val="left" w:pos="4950"/>
          <w:tab w:val="left" w:pos="5490"/>
        </w:tabs>
        <w:spacing w:line="240" w:lineRule="auto"/>
        <w:jc w:val="left"/>
        <w:rPr>
          <w:rFonts w:cstheme="minorBidi"/>
        </w:rPr>
      </w:pPr>
      <w:r w:rsidRPr="005C7CAC">
        <w:rPr>
          <w:rFonts w:cstheme="minorBidi"/>
        </w:rPr>
        <w:t>In the Matter of the Application of</w:t>
      </w:r>
      <w:r w:rsidR="00A72C93">
        <w:rPr>
          <w:rFonts w:cstheme="minorBidi"/>
        </w:rPr>
        <w:tab/>
        <w:t>)</w:t>
      </w:r>
    </w:p>
    <w:p w14:paraId="076736C8" w14:textId="77777777" w:rsidR="005C7CAC" w:rsidRPr="005C7CAC" w:rsidRDefault="00A72C93" w:rsidP="00AC5D7E">
      <w:pPr>
        <w:tabs>
          <w:tab w:val="left" w:pos="4950"/>
          <w:tab w:val="left" w:pos="5490"/>
        </w:tabs>
        <w:spacing w:line="240" w:lineRule="auto"/>
        <w:jc w:val="left"/>
        <w:rPr>
          <w:rFonts w:cstheme="minorBidi"/>
        </w:rPr>
      </w:pPr>
      <w:r>
        <w:rPr>
          <w:rFonts w:cstheme="minorBidi"/>
        </w:rPr>
        <w:t xml:space="preserve">The Dayton </w:t>
      </w:r>
      <w:r w:rsidR="005C7CAC" w:rsidRPr="005C7CAC">
        <w:rPr>
          <w:rFonts w:cstheme="minorBidi"/>
        </w:rPr>
        <w:t>Power and Light Company</w:t>
      </w:r>
      <w:r w:rsidR="005C7CAC" w:rsidRPr="005C7CAC">
        <w:rPr>
          <w:rFonts w:cstheme="minorBidi"/>
        </w:rPr>
        <w:tab/>
      </w:r>
      <w:r>
        <w:rPr>
          <w:rFonts w:cstheme="minorBidi"/>
        </w:rPr>
        <w:t>)</w:t>
      </w:r>
      <w:r w:rsidR="005C7CAC" w:rsidRPr="005C7CAC">
        <w:rPr>
          <w:rFonts w:cstheme="minorBidi"/>
        </w:rPr>
        <w:tab/>
        <w:t>Case No. 15-1832-EL-ATA</w:t>
      </w:r>
    </w:p>
    <w:p w14:paraId="1DAD51DA" w14:textId="77777777" w:rsidR="005C7CAC" w:rsidRPr="005C7CAC" w:rsidRDefault="00A72C93" w:rsidP="00AC5D7E">
      <w:pPr>
        <w:tabs>
          <w:tab w:val="left" w:pos="4950"/>
          <w:tab w:val="left" w:pos="5490"/>
        </w:tabs>
        <w:spacing w:line="240" w:lineRule="auto"/>
        <w:jc w:val="left"/>
        <w:rPr>
          <w:rFonts w:cstheme="minorBidi"/>
        </w:rPr>
      </w:pPr>
      <w:r w:rsidRPr="005C7CAC">
        <w:rPr>
          <w:rFonts w:cstheme="minorBidi"/>
        </w:rPr>
        <w:t xml:space="preserve">for Approval of </w:t>
      </w:r>
      <w:r w:rsidR="005C7CAC" w:rsidRPr="005C7CAC">
        <w:rPr>
          <w:rFonts w:cstheme="minorBidi"/>
        </w:rPr>
        <w:t>Revised Tariffs</w:t>
      </w:r>
      <w:r w:rsidR="005C7CAC" w:rsidRPr="005C7CAC">
        <w:rPr>
          <w:rFonts w:cstheme="minorBidi"/>
        </w:rPr>
        <w:tab/>
      </w:r>
      <w:r>
        <w:rPr>
          <w:rFonts w:cstheme="minorBidi"/>
        </w:rPr>
        <w:t>)</w:t>
      </w:r>
    </w:p>
    <w:p w14:paraId="1D29DEB5" w14:textId="77777777" w:rsidR="005C7CAC" w:rsidRDefault="005C7CAC" w:rsidP="00AC5D7E">
      <w:pPr>
        <w:tabs>
          <w:tab w:val="left" w:pos="4950"/>
          <w:tab w:val="left" w:pos="5490"/>
        </w:tabs>
        <w:autoSpaceDE w:val="0"/>
        <w:autoSpaceDN w:val="0"/>
        <w:adjustRightInd w:val="0"/>
        <w:spacing w:line="240" w:lineRule="auto"/>
      </w:pPr>
    </w:p>
    <w:p w14:paraId="6A51764E" w14:textId="77777777" w:rsidR="001A6A80" w:rsidRPr="003533B4" w:rsidRDefault="001A6A80" w:rsidP="00AC5D7E">
      <w:pPr>
        <w:tabs>
          <w:tab w:val="left" w:pos="4950"/>
          <w:tab w:val="left" w:pos="5490"/>
        </w:tabs>
        <w:autoSpaceDE w:val="0"/>
        <w:autoSpaceDN w:val="0"/>
        <w:adjustRightInd w:val="0"/>
        <w:spacing w:line="240" w:lineRule="auto"/>
      </w:pPr>
      <w:r w:rsidRPr="003533B4">
        <w:t>In the Matter of the Application of</w:t>
      </w:r>
      <w:r w:rsidRPr="003533B4">
        <w:tab/>
        <w:t>)</w:t>
      </w:r>
    </w:p>
    <w:p w14:paraId="52348326" w14:textId="77777777" w:rsidR="001A6A80" w:rsidRPr="003533B4" w:rsidRDefault="001A6A80" w:rsidP="00AC5D7E">
      <w:pPr>
        <w:tabs>
          <w:tab w:val="left" w:pos="4950"/>
          <w:tab w:val="left" w:pos="5490"/>
        </w:tabs>
        <w:autoSpaceDE w:val="0"/>
        <w:autoSpaceDN w:val="0"/>
        <w:adjustRightInd w:val="0"/>
        <w:spacing w:line="240" w:lineRule="auto"/>
      </w:pPr>
      <w:r w:rsidRPr="003533B4">
        <w:t>The Dayton Power and Light Company</w:t>
      </w:r>
      <w:r w:rsidRPr="003533B4">
        <w:tab/>
        <w:t>)</w:t>
      </w:r>
      <w:r w:rsidRPr="003533B4">
        <w:tab/>
        <w:t>Case No. 16-395-EL-SSO</w:t>
      </w:r>
    </w:p>
    <w:p w14:paraId="43982976" w14:textId="77777777" w:rsidR="001A6A80" w:rsidRPr="003533B4" w:rsidRDefault="00AC5D7E" w:rsidP="00AC5D7E">
      <w:pPr>
        <w:tabs>
          <w:tab w:val="left" w:pos="4950"/>
          <w:tab w:val="left" w:pos="5490"/>
        </w:tabs>
        <w:autoSpaceDE w:val="0"/>
        <w:autoSpaceDN w:val="0"/>
        <w:adjustRightInd w:val="0"/>
        <w:spacing w:line="240" w:lineRule="auto"/>
      </w:pPr>
      <w:r>
        <w:t xml:space="preserve">for </w:t>
      </w:r>
      <w:r w:rsidR="001A6A80" w:rsidRPr="003533B4">
        <w:t xml:space="preserve">Approval of </w:t>
      </w:r>
      <w:r w:rsidR="00C84D71">
        <w:t>i</w:t>
      </w:r>
      <w:r w:rsidR="001A6A80" w:rsidRPr="003533B4">
        <w:t>ts Electric Security Plan</w:t>
      </w:r>
      <w:r w:rsidR="001A6A80" w:rsidRPr="003533B4">
        <w:tab/>
        <w:t>)</w:t>
      </w:r>
    </w:p>
    <w:p w14:paraId="3F7B79D8" w14:textId="77777777" w:rsidR="001A6A80" w:rsidRPr="003533B4" w:rsidRDefault="001A6A80" w:rsidP="00AC5D7E">
      <w:pPr>
        <w:tabs>
          <w:tab w:val="left" w:pos="4950"/>
          <w:tab w:val="left" w:pos="5490"/>
        </w:tabs>
        <w:autoSpaceDE w:val="0"/>
        <w:autoSpaceDN w:val="0"/>
        <w:adjustRightInd w:val="0"/>
        <w:spacing w:line="240" w:lineRule="auto"/>
      </w:pPr>
    </w:p>
    <w:p w14:paraId="7EFE3579" w14:textId="77777777" w:rsidR="001A6A80" w:rsidRPr="003533B4" w:rsidRDefault="001A6A80" w:rsidP="00AC5D7E">
      <w:pPr>
        <w:tabs>
          <w:tab w:val="left" w:pos="4950"/>
          <w:tab w:val="left" w:pos="5490"/>
        </w:tabs>
        <w:autoSpaceDE w:val="0"/>
        <w:autoSpaceDN w:val="0"/>
        <w:adjustRightInd w:val="0"/>
        <w:spacing w:line="240" w:lineRule="auto"/>
      </w:pPr>
      <w:r w:rsidRPr="003533B4">
        <w:t>In the Matter of the Application of</w:t>
      </w:r>
      <w:r w:rsidRPr="003533B4">
        <w:tab/>
        <w:t>)</w:t>
      </w:r>
    </w:p>
    <w:p w14:paraId="79565345" w14:textId="77777777" w:rsidR="001A6A80" w:rsidRPr="003533B4" w:rsidRDefault="001A6A80" w:rsidP="00AC5D7E">
      <w:pPr>
        <w:tabs>
          <w:tab w:val="left" w:pos="4950"/>
          <w:tab w:val="left" w:pos="5490"/>
        </w:tabs>
        <w:autoSpaceDE w:val="0"/>
        <w:autoSpaceDN w:val="0"/>
        <w:adjustRightInd w:val="0"/>
        <w:spacing w:line="240" w:lineRule="auto"/>
      </w:pPr>
      <w:r w:rsidRPr="003533B4">
        <w:t>The Dayton Power and Light Company</w:t>
      </w:r>
      <w:r w:rsidRPr="003533B4">
        <w:tab/>
        <w:t>)</w:t>
      </w:r>
      <w:r w:rsidRPr="003533B4">
        <w:tab/>
        <w:t>Case No. 16-396-EL-ATA</w:t>
      </w:r>
    </w:p>
    <w:p w14:paraId="7FC5890E" w14:textId="77777777" w:rsidR="001A6A80" w:rsidRPr="003533B4" w:rsidRDefault="00AC5D7E" w:rsidP="00AC5D7E">
      <w:pPr>
        <w:tabs>
          <w:tab w:val="left" w:pos="4950"/>
          <w:tab w:val="left" w:pos="5490"/>
        </w:tabs>
        <w:autoSpaceDE w:val="0"/>
        <w:autoSpaceDN w:val="0"/>
        <w:adjustRightInd w:val="0"/>
        <w:spacing w:line="240" w:lineRule="auto"/>
      </w:pPr>
      <w:r>
        <w:t xml:space="preserve">for </w:t>
      </w:r>
      <w:r w:rsidR="001A6A80" w:rsidRPr="003533B4">
        <w:t>Approval of Revised Tariffs</w:t>
      </w:r>
      <w:r w:rsidR="001A6A80" w:rsidRPr="003533B4">
        <w:tab/>
        <w:t>)</w:t>
      </w:r>
    </w:p>
    <w:p w14:paraId="5827DC30" w14:textId="77777777" w:rsidR="001A6A80" w:rsidRPr="003533B4" w:rsidRDefault="001A6A80" w:rsidP="00AC5D7E">
      <w:pPr>
        <w:tabs>
          <w:tab w:val="left" w:pos="4950"/>
          <w:tab w:val="left" w:pos="5490"/>
        </w:tabs>
        <w:autoSpaceDE w:val="0"/>
        <w:autoSpaceDN w:val="0"/>
        <w:adjustRightInd w:val="0"/>
        <w:spacing w:line="240" w:lineRule="auto"/>
      </w:pPr>
    </w:p>
    <w:p w14:paraId="0C371241" w14:textId="77777777" w:rsidR="001A6A80" w:rsidRPr="003533B4" w:rsidRDefault="001A6A80" w:rsidP="00AC5D7E">
      <w:pPr>
        <w:tabs>
          <w:tab w:val="left" w:pos="4950"/>
          <w:tab w:val="left" w:pos="5490"/>
        </w:tabs>
        <w:autoSpaceDE w:val="0"/>
        <w:autoSpaceDN w:val="0"/>
        <w:adjustRightInd w:val="0"/>
        <w:spacing w:line="240" w:lineRule="auto"/>
      </w:pPr>
      <w:r w:rsidRPr="003533B4">
        <w:t>In the Matter of the Application of</w:t>
      </w:r>
      <w:r w:rsidRPr="003533B4">
        <w:tab/>
        <w:t>)</w:t>
      </w:r>
    </w:p>
    <w:p w14:paraId="37C401E9" w14:textId="77777777" w:rsidR="001A6A80" w:rsidRPr="003533B4" w:rsidRDefault="001A6A80" w:rsidP="00AC5D7E">
      <w:pPr>
        <w:tabs>
          <w:tab w:val="left" w:pos="4950"/>
          <w:tab w:val="left" w:pos="5490"/>
        </w:tabs>
        <w:autoSpaceDE w:val="0"/>
        <w:autoSpaceDN w:val="0"/>
        <w:adjustRightInd w:val="0"/>
        <w:spacing w:line="240" w:lineRule="auto"/>
      </w:pPr>
      <w:r w:rsidRPr="003533B4">
        <w:t>The Dayton Power and Light Company</w:t>
      </w:r>
      <w:r w:rsidRPr="003533B4">
        <w:tab/>
        <w:t>)</w:t>
      </w:r>
      <w:r w:rsidRPr="003533B4">
        <w:tab/>
        <w:t>Case No. 16-397-EL-AAM</w:t>
      </w:r>
    </w:p>
    <w:p w14:paraId="758A0741" w14:textId="77777777" w:rsidR="001A6A80" w:rsidRPr="003533B4" w:rsidRDefault="00AC5D7E" w:rsidP="00AC5D7E">
      <w:pPr>
        <w:tabs>
          <w:tab w:val="left" w:pos="4950"/>
          <w:tab w:val="left" w:pos="5490"/>
        </w:tabs>
        <w:autoSpaceDE w:val="0"/>
        <w:autoSpaceDN w:val="0"/>
        <w:adjustRightInd w:val="0"/>
        <w:spacing w:line="240" w:lineRule="auto"/>
      </w:pPr>
      <w:r>
        <w:t xml:space="preserve">for </w:t>
      </w:r>
      <w:r w:rsidR="001A6A80" w:rsidRPr="003533B4">
        <w:t>Approval of Certain Accounting Authority</w:t>
      </w:r>
      <w:r w:rsidR="001A6A80" w:rsidRPr="003533B4">
        <w:tab/>
        <w:t>)</w:t>
      </w:r>
    </w:p>
    <w:p w14:paraId="4B4550FB" w14:textId="77777777" w:rsidR="001A6A80" w:rsidRPr="003533B4" w:rsidRDefault="001A6A80" w:rsidP="00AC5D7E">
      <w:pPr>
        <w:tabs>
          <w:tab w:val="left" w:pos="4950"/>
          <w:tab w:val="left" w:pos="5490"/>
        </w:tabs>
        <w:autoSpaceDE w:val="0"/>
        <w:autoSpaceDN w:val="0"/>
        <w:adjustRightInd w:val="0"/>
        <w:spacing w:line="240" w:lineRule="auto"/>
      </w:pPr>
      <w:r w:rsidRPr="003533B4">
        <w:t>Pursuant to Ohio Rev. Code § 4905.13</w:t>
      </w:r>
      <w:r w:rsidRPr="003533B4">
        <w:tab/>
        <w:t>)</w:t>
      </w:r>
    </w:p>
    <w:p w14:paraId="3D409D80" w14:textId="77777777" w:rsidR="001A6A80" w:rsidRPr="003533B4" w:rsidRDefault="001A6A80" w:rsidP="00AC5D7E">
      <w:pPr>
        <w:tabs>
          <w:tab w:val="left" w:pos="4950"/>
          <w:tab w:val="left" w:pos="5490"/>
        </w:tabs>
        <w:spacing w:line="240" w:lineRule="auto"/>
        <w:rPr>
          <w:rFonts w:eastAsia="Times New Roman"/>
        </w:rPr>
      </w:pPr>
    </w:p>
    <w:p w14:paraId="72E71C0D" w14:textId="77777777" w:rsidR="001A6A80" w:rsidRPr="003533B4" w:rsidRDefault="001A6A80" w:rsidP="001A6A80">
      <w:pPr>
        <w:spacing w:line="240" w:lineRule="auto"/>
        <w:jc w:val="left"/>
        <w:rPr>
          <w:b/>
          <w:smallCaps/>
        </w:rPr>
      </w:pPr>
      <w:r w:rsidRPr="003533B4">
        <w:rPr>
          <w:b/>
          <w:smallCaps/>
        </w:rPr>
        <w:t>_____________________________________________________________________</w:t>
      </w:r>
    </w:p>
    <w:p w14:paraId="272C15C9" w14:textId="77777777" w:rsidR="001A6A80" w:rsidRPr="00C84D71" w:rsidRDefault="001A6A80" w:rsidP="001A6A80">
      <w:pPr>
        <w:spacing w:line="240" w:lineRule="auto"/>
        <w:jc w:val="center"/>
        <w:rPr>
          <w:b/>
          <w:sz w:val="12"/>
          <w:szCs w:val="12"/>
        </w:rPr>
      </w:pPr>
    </w:p>
    <w:p w14:paraId="614C8B9F" w14:textId="77777777" w:rsidR="001A6A80" w:rsidRPr="00C84D71" w:rsidRDefault="00C84D71" w:rsidP="001A6A80">
      <w:pPr>
        <w:pBdr>
          <w:bottom w:val="single" w:sz="12" w:space="1" w:color="auto"/>
        </w:pBdr>
        <w:tabs>
          <w:tab w:val="left" w:pos="4680"/>
        </w:tabs>
        <w:spacing w:line="240" w:lineRule="auto"/>
        <w:jc w:val="center"/>
        <w:rPr>
          <w:rFonts w:ascii="Arial Bold" w:hAnsi="Arial Bold"/>
          <w:b/>
          <w:caps/>
          <w:smallCaps/>
          <w:sz w:val="28"/>
        </w:rPr>
      </w:pPr>
      <w:r w:rsidRPr="00C84D71">
        <w:rPr>
          <w:rFonts w:ascii="Arial Bold" w:hAnsi="Arial Bold"/>
          <w:b/>
          <w:smallCaps/>
          <w:sz w:val="28"/>
        </w:rPr>
        <w:t xml:space="preserve">Industrial Energy Users-Ohio’s Memorandum Contra Motion </w:t>
      </w:r>
    </w:p>
    <w:p w14:paraId="5095372A" w14:textId="77777777" w:rsidR="001A6A80" w:rsidRPr="00C84D71" w:rsidRDefault="00C84D71" w:rsidP="001A6A80">
      <w:pPr>
        <w:pBdr>
          <w:bottom w:val="single" w:sz="12" w:space="1" w:color="auto"/>
        </w:pBdr>
        <w:tabs>
          <w:tab w:val="left" w:pos="4680"/>
        </w:tabs>
        <w:spacing w:line="240" w:lineRule="auto"/>
        <w:jc w:val="center"/>
        <w:rPr>
          <w:rFonts w:ascii="Arial Bold" w:hAnsi="Arial Bold"/>
          <w:b/>
          <w:caps/>
          <w:smallCaps/>
          <w:sz w:val="28"/>
        </w:rPr>
      </w:pPr>
      <w:r w:rsidRPr="00C84D71">
        <w:rPr>
          <w:rFonts w:ascii="Arial Bold" w:hAnsi="Arial Bold"/>
          <w:b/>
          <w:smallCaps/>
          <w:sz w:val="28"/>
        </w:rPr>
        <w:t>of The Dayton Power and Light Company for Case Management</w:t>
      </w:r>
    </w:p>
    <w:p w14:paraId="07722F63" w14:textId="77777777" w:rsidR="001A6A80" w:rsidRPr="00C84D71" w:rsidRDefault="00C84D71" w:rsidP="001A6A80">
      <w:pPr>
        <w:pBdr>
          <w:bottom w:val="single" w:sz="12" w:space="1" w:color="auto"/>
        </w:pBdr>
        <w:tabs>
          <w:tab w:val="left" w:pos="4680"/>
        </w:tabs>
        <w:spacing w:line="240" w:lineRule="auto"/>
        <w:jc w:val="center"/>
        <w:rPr>
          <w:rFonts w:ascii="Arial Bold" w:hAnsi="Arial Bold"/>
          <w:b/>
          <w:caps/>
          <w:smallCaps/>
          <w:sz w:val="28"/>
        </w:rPr>
      </w:pPr>
      <w:r w:rsidRPr="00C84D71">
        <w:rPr>
          <w:rFonts w:ascii="Arial Bold" w:hAnsi="Arial Bold"/>
          <w:b/>
          <w:smallCaps/>
          <w:sz w:val="28"/>
        </w:rPr>
        <w:t xml:space="preserve">Order to Establish Deadlines and to Coordinate Cases </w:t>
      </w:r>
    </w:p>
    <w:p w14:paraId="4290965F" w14:textId="77777777" w:rsidR="001A6A80" w:rsidRPr="00C84D71" w:rsidRDefault="001A6A80" w:rsidP="001A6A80">
      <w:pPr>
        <w:pBdr>
          <w:bottom w:val="single" w:sz="12" w:space="1" w:color="auto"/>
        </w:pBdr>
        <w:tabs>
          <w:tab w:val="left" w:pos="4680"/>
        </w:tabs>
        <w:spacing w:line="240" w:lineRule="auto"/>
        <w:jc w:val="center"/>
        <w:rPr>
          <w:b/>
          <w:caps/>
          <w:sz w:val="12"/>
          <w:szCs w:val="12"/>
        </w:rPr>
      </w:pPr>
    </w:p>
    <w:p w14:paraId="3FE59733" w14:textId="77777777" w:rsidR="001A6A80" w:rsidRPr="003533B4" w:rsidRDefault="001A6A80" w:rsidP="001A6A80">
      <w:pPr>
        <w:tabs>
          <w:tab w:val="left" w:pos="4320"/>
          <w:tab w:val="right" w:pos="8640"/>
        </w:tabs>
        <w:spacing w:line="240" w:lineRule="auto"/>
        <w:jc w:val="center"/>
        <w:rPr>
          <w:color w:val="000000"/>
        </w:rPr>
      </w:pPr>
    </w:p>
    <w:p w14:paraId="65E64D73" w14:textId="77777777" w:rsidR="001A6A80" w:rsidRPr="003533B4" w:rsidRDefault="00C84D71" w:rsidP="00891E1E">
      <w:pPr>
        <w:widowControl w:val="0"/>
        <w:spacing w:line="240" w:lineRule="auto"/>
        <w:ind w:left="4140"/>
        <w:rPr>
          <w:b/>
          <w:bCs/>
          <w:color w:val="000000" w:themeColor="text1"/>
        </w:rPr>
      </w:pPr>
      <w:r>
        <w:rPr>
          <w:bCs/>
          <w:color w:val="000000" w:themeColor="text1"/>
        </w:rPr>
        <w:t>F</w:t>
      </w:r>
      <w:r w:rsidR="001A6A80" w:rsidRPr="003533B4">
        <w:rPr>
          <w:bCs/>
          <w:color w:val="000000" w:themeColor="text1"/>
        </w:rPr>
        <w:t>rank P. Darr (Reg. No. 0025469)</w:t>
      </w:r>
    </w:p>
    <w:p w14:paraId="4F363162" w14:textId="77777777" w:rsidR="001A6A80" w:rsidRPr="003533B4" w:rsidRDefault="001A6A80" w:rsidP="00891E1E">
      <w:pPr>
        <w:tabs>
          <w:tab w:val="right" w:pos="8640"/>
        </w:tabs>
        <w:spacing w:line="240" w:lineRule="auto"/>
        <w:ind w:left="4140"/>
        <w:rPr>
          <w:color w:val="000000" w:themeColor="text1"/>
          <w:szCs w:val="22"/>
        </w:rPr>
      </w:pPr>
      <w:r w:rsidRPr="003533B4">
        <w:rPr>
          <w:b/>
          <w:bCs/>
          <w:color w:val="000000" w:themeColor="text1"/>
          <w:szCs w:val="22"/>
        </w:rPr>
        <w:t xml:space="preserve">  </w:t>
      </w:r>
      <w:r w:rsidRPr="003533B4">
        <w:rPr>
          <w:color w:val="000000" w:themeColor="text1"/>
          <w:szCs w:val="22"/>
        </w:rPr>
        <w:t>(Counsel of Record)</w:t>
      </w:r>
    </w:p>
    <w:p w14:paraId="6D115910" w14:textId="77777777" w:rsidR="001A6A80" w:rsidRPr="003533B4" w:rsidRDefault="001A6A80" w:rsidP="00891E1E">
      <w:pPr>
        <w:widowControl w:val="0"/>
        <w:spacing w:line="240" w:lineRule="auto"/>
        <w:ind w:left="4140"/>
        <w:rPr>
          <w:b/>
          <w:bCs/>
          <w:color w:val="000000" w:themeColor="text1"/>
        </w:rPr>
      </w:pPr>
      <w:r w:rsidRPr="003533B4">
        <w:rPr>
          <w:bCs/>
          <w:color w:val="000000" w:themeColor="text1"/>
        </w:rPr>
        <w:t>Matthew R. Pritchard (Reg. No. 0088070)</w:t>
      </w:r>
    </w:p>
    <w:p w14:paraId="4D929A32" w14:textId="77777777" w:rsidR="001A6A80" w:rsidRPr="003533B4" w:rsidRDefault="001A6A80" w:rsidP="00891E1E">
      <w:pPr>
        <w:widowControl w:val="0"/>
        <w:spacing w:line="240" w:lineRule="auto"/>
        <w:ind w:left="4140"/>
        <w:rPr>
          <w:b/>
          <w:bCs/>
          <w:smallCaps/>
          <w:color w:val="000000" w:themeColor="text1"/>
        </w:rPr>
      </w:pPr>
      <w:r w:rsidRPr="003533B4">
        <w:rPr>
          <w:bCs/>
          <w:smallCaps/>
          <w:color w:val="000000" w:themeColor="text1"/>
        </w:rPr>
        <w:t>McNees Wallace &amp; Nurick LLC</w:t>
      </w:r>
    </w:p>
    <w:p w14:paraId="0C3252D9" w14:textId="77777777" w:rsidR="001A6A80" w:rsidRPr="003533B4" w:rsidRDefault="001A6A80" w:rsidP="00891E1E">
      <w:pPr>
        <w:widowControl w:val="0"/>
        <w:spacing w:line="240" w:lineRule="auto"/>
        <w:ind w:left="4140"/>
        <w:rPr>
          <w:b/>
          <w:bCs/>
          <w:color w:val="000000" w:themeColor="text1"/>
        </w:rPr>
      </w:pPr>
      <w:r w:rsidRPr="003533B4">
        <w:rPr>
          <w:bCs/>
          <w:color w:val="000000" w:themeColor="text1"/>
        </w:rPr>
        <w:t>21 East State Street, 17</w:t>
      </w:r>
      <w:r w:rsidRPr="003533B4">
        <w:rPr>
          <w:bCs/>
          <w:color w:val="000000" w:themeColor="text1"/>
          <w:vertAlign w:val="superscript"/>
        </w:rPr>
        <w:t>TH</w:t>
      </w:r>
      <w:r w:rsidRPr="003533B4">
        <w:rPr>
          <w:bCs/>
          <w:color w:val="000000" w:themeColor="text1"/>
        </w:rPr>
        <w:t xml:space="preserve"> Floor</w:t>
      </w:r>
    </w:p>
    <w:p w14:paraId="01A10AC7" w14:textId="77777777" w:rsidR="001A6A80" w:rsidRPr="003533B4" w:rsidRDefault="001A6A80" w:rsidP="00891E1E">
      <w:pPr>
        <w:spacing w:line="240" w:lineRule="auto"/>
        <w:ind w:left="4140"/>
        <w:rPr>
          <w:rFonts w:eastAsia="Times New Roman"/>
          <w:color w:val="000000" w:themeColor="text1"/>
        </w:rPr>
      </w:pPr>
      <w:r w:rsidRPr="003533B4">
        <w:rPr>
          <w:rFonts w:eastAsia="Times New Roman"/>
          <w:color w:val="000000" w:themeColor="text1"/>
        </w:rPr>
        <w:t>Columbus, OH  43215</w:t>
      </w:r>
    </w:p>
    <w:p w14:paraId="1A2733C3" w14:textId="77777777" w:rsidR="001A6A80" w:rsidRPr="003533B4" w:rsidRDefault="001A6A80" w:rsidP="00891E1E">
      <w:pPr>
        <w:spacing w:line="240" w:lineRule="auto"/>
        <w:ind w:left="4140"/>
        <w:rPr>
          <w:rFonts w:eastAsia="Times New Roman"/>
          <w:color w:val="000000" w:themeColor="text1"/>
        </w:rPr>
      </w:pPr>
      <w:r w:rsidRPr="003533B4">
        <w:rPr>
          <w:rFonts w:eastAsia="Times New Roman"/>
          <w:color w:val="000000" w:themeColor="text1"/>
        </w:rPr>
        <w:t>Telephone:  (614) 469-8000</w:t>
      </w:r>
    </w:p>
    <w:p w14:paraId="6CF96D8B" w14:textId="77777777" w:rsidR="001A6A80" w:rsidRPr="003533B4" w:rsidRDefault="001A6A80" w:rsidP="00891E1E">
      <w:pPr>
        <w:spacing w:line="240" w:lineRule="auto"/>
        <w:ind w:left="4140"/>
        <w:rPr>
          <w:rFonts w:eastAsia="Times New Roman"/>
          <w:color w:val="000000" w:themeColor="text1"/>
        </w:rPr>
      </w:pPr>
      <w:r w:rsidRPr="003533B4">
        <w:rPr>
          <w:rFonts w:eastAsia="Times New Roman"/>
          <w:color w:val="000000" w:themeColor="text1"/>
        </w:rPr>
        <w:t>Telecopier:  (614) 469-4653</w:t>
      </w:r>
    </w:p>
    <w:p w14:paraId="37EC718F" w14:textId="77777777" w:rsidR="001A6A80" w:rsidRPr="003533B4" w:rsidRDefault="001A6A80" w:rsidP="00891E1E">
      <w:pPr>
        <w:spacing w:line="240" w:lineRule="auto"/>
        <w:ind w:left="4140"/>
        <w:rPr>
          <w:rFonts w:eastAsia="Times New Roman"/>
          <w:color w:val="000000" w:themeColor="text1"/>
        </w:rPr>
      </w:pPr>
      <w:r w:rsidRPr="003533B4">
        <w:rPr>
          <w:rFonts w:eastAsia="Times New Roman"/>
          <w:color w:val="000000" w:themeColor="text1"/>
        </w:rPr>
        <w:t>fdarr@mwncmh.com</w:t>
      </w:r>
    </w:p>
    <w:p w14:paraId="04CD4728" w14:textId="77777777" w:rsidR="001A6A80" w:rsidRPr="003533B4" w:rsidRDefault="001A6A80" w:rsidP="00891E1E">
      <w:pPr>
        <w:spacing w:line="240" w:lineRule="auto"/>
        <w:ind w:left="4140"/>
        <w:rPr>
          <w:rFonts w:eastAsia="Times New Roman"/>
          <w:color w:val="000000" w:themeColor="text1"/>
        </w:rPr>
      </w:pPr>
      <w:r w:rsidRPr="003533B4">
        <w:rPr>
          <w:rFonts w:eastAsia="Times New Roman"/>
          <w:color w:val="000000" w:themeColor="text1"/>
        </w:rPr>
        <w:t>mpritchard@mwncmh.com</w:t>
      </w:r>
    </w:p>
    <w:p w14:paraId="522F7297" w14:textId="77777777" w:rsidR="001A6A80" w:rsidRPr="003533B4" w:rsidRDefault="001A6A80" w:rsidP="00891E1E">
      <w:pPr>
        <w:tabs>
          <w:tab w:val="left" w:pos="4320"/>
          <w:tab w:val="right" w:pos="8640"/>
        </w:tabs>
        <w:spacing w:line="240" w:lineRule="auto"/>
        <w:ind w:left="4140"/>
        <w:rPr>
          <w:color w:val="000000"/>
        </w:rPr>
      </w:pPr>
    </w:p>
    <w:p w14:paraId="014BF961" w14:textId="77777777" w:rsidR="00847467" w:rsidRDefault="005278AA" w:rsidP="00891E1E">
      <w:pPr>
        <w:tabs>
          <w:tab w:val="left" w:pos="4320"/>
          <w:tab w:val="right" w:pos="8640"/>
        </w:tabs>
        <w:spacing w:line="240" w:lineRule="auto"/>
        <w:ind w:left="4140" w:hanging="4140"/>
        <w:rPr>
          <w:b/>
          <w:color w:val="000000"/>
        </w:rPr>
        <w:sectPr w:rsidR="00847467" w:rsidSect="00AC5D7E">
          <w:headerReference w:type="even" r:id="rId8"/>
          <w:headerReference w:type="default" r:id="rId9"/>
          <w:footerReference w:type="even" r:id="rId10"/>
          <w:footerReference w:type="default" r:id="rId11"/>
          <w:headerReference w:type="first" r:id="rId12"/>
          <w:footerReference w:type="first" r:id="rId13"/>
          <w:pgSz w:w="12240" w:h="15840" w:code="1"/>
          <w:pgMar w:top="1296" w:right="1440" w:bottom="1152" w:left="1440" w:header="720" w:footer="720" w:gutter="0"/>
          <w:cols w:space="720"/>
          <w:titlePg/>
          <w:docGrid w:linePitch="360"/>
        </w:sectPr>
      </w:pPr>
      <w:r w:rsidRPr="00891E1E">
        <w:rPr>
          <w:rFonts w:ascii="Arial Bold" w:hAnsi="Arial Bold"/>
          <w:b/>
          <w:smallCaps/>
          <w:color w:val="000000"/>
        </w:rPr>
        <w:t>May</w:t>
      </w:r>
      <w:r>
        <w:rPr>
          <w:b/>
          <w:color w:val="000000"/>
        </w:rPr>
        <w:t xml:space="preserve"> 2</w:t>
      </w:r>
      <w:r w:rsidR="001A6A80" w:rsidRPr="003533B4">
        <w:rPr>
          <w:b/>
          <w:color w:val="000000"/>
        </w:rPr>
        <w:t>, 2016</w:t>
      </w:r>
      <w:r w:rsidR="001A6A80" w:rsidRPr="003533B4">
        <w:rPr>
          <w:b/>
          <w:color w:val="000000"/>
        </w:rPr>
        <w:tab/>
      </w:r>
      <w:r w:rsidR="001A6A80" w:rsidRPr="006F36FF">
        <w:rPr>
          <w:rFonts w:ascii="Arial Bold" w:hAnsi="Arial Bold"/>
          <w:b/>
          <w:smallCaps/>
          <w:color w:val="000000"/>
        </w:rPr>
        <w:t>Attorneys for Industrial Energy Users-Ohio</w:t>
      </w:r>
    </w:p>
    <w:p w14:paraId="5AAAAEA4" w14:textId="77777777" w:rsidR="00847467" w:rsidRPr="003533B4" w:rsidRDefault="00847467" w:rsidP="00847467">
      <w:pPr>
        <w:autoSpaceDE w:val="0"/>
        <w:autoSpaceDN w:val="0"/>
        <w:adjustRightInd w:val="0"/>
        <w:spacing w:line="240" w:lineRule="auto"/>
        <w:jc w:val="center"/>
        <w:rPr>
          <w:rFonts w:ascii="Arial Bold" w:hAnsi="Arial Bold"/>
          <w:b/>
          <w:smallCaps/>
          <w:sz w:val="32"/>
          <w:szCs w:val="32"/>
        </w:rPr>
      </w:pPr>
      <w:r w:rsidRPr="003533B4">
        <w:rPr>
          <w:rFonts w:ascii="Arial Bold" w:hAnsi="Arial Bold"/>
          <w:b/>
          <w:smallCaps/>
          <w:sz w:val="32"/>
          <w:szCs w:val="32"/>
        </w:rPr>
        <w:lastRenderedPageBreak/>
        <w:t>Before</w:t>
      </w:r>
    </w:p>
    <w:p w14:paraId="60FAB074" w14:textId="77777777" w:rsidR="00847467" w:rsidRPr="003533B4" w:rsidRDefault="00847467" w:rsidP="00847467">
      <w:pPr>
        <w:autoSpaceDE w:val="0"/>
        <w:autoSpaceDN w:val="0"/>
        <w:adjustRightInd w:val="0"/>
        <w:spacing w:line="240" w:lineRule="auto"/>
        <w:jc w:val="center"/>
        <w:rPr>
          <w:rFonts w:ascii="Arial Bold" w:hAnsi="Arial Bold"/>
          <w:b/>
          <w:smallCaps/>
          <w:sz w:val="32"/>
          <w:szCs w:val="32"/>
        </w:rPr>
      </w:pPr>
      <w:r>
        <w:rPr>
          <w:rFonts w:ascii="Arial Bold" w:hAnsi="Arial Bold"/>
          <w:b/>
          <w:smallCaps/>
          <w:sz w:val="32"/>
          <w:szCs w:val="32"/>
        </w:rPr>
        <w:t>t</w:t>
      </w:r>
      <w:r w:rsidRPr="003533B4">
        <w:rPr>
          <w:rFonts w:ascii="Arial Bold" w:hAnsi="Arial Bold"/>
          <w:b/>
          <w:smallCaps/>
          <w:sz w:val="32"/>
          <w:szCs w:val="32"/>
        </w:rPr>
        <w:t>he Public Utilities Commission of Ohio</w:t>
      </w:r>
    </w:p>
    <w:p w14:paraId="0C504682" w14:textId="77777777" w:rsidR="00847467" w:rsidRPr="003533B4" w:rsidRDefault="00847467" w:rsidP="00847467">
      <w:pPr>
        <w:autoSpaceDE w:val="0"/>
        <w:autoSpaceDN w:val="0"/>
        <w:adjustRightInd w:val="0"/>
        <w:spacing w:line="240" w:lineRule="auto"/>
        <w:jc w:val="center"/>
        <w:rPr>
          <w:rFonts w:ascii="Arial Bold" w:hAnsi="Arial Bold"/>
          <w:smallCaps/>
        </w:rPr>
      </w:pPr>
    </w:p>
    <w:p w14:paraId="7EADA012" w14:textId="77777777" w:rsidR="00847467" w:rsidRPr="005C7CAC" w:rsidRDefault="00847467" w:rsidP="00847467">
      <w:pPr>
        <w:tabs>
          <w:tab w:val="left" w:pos="4950"/>
          <w:tab w:val="left" w:pos="5490"/>
        </w:tabs>
        <w:spacing w:line="240" w:lineRule="auto"/>
        <w:jc w:val="left"/>
        <w:rPr>
          <w:rFonts w:cstheme="minorBidi"/>
        </w:rPr>
      </w:pPr>
      <w:r w:rsidRPr="005C7CAC">
        <w:rPr>
          <w:rFonts w:cstheme="minorBidi"/>
        </w:rPr>
        <w:t>In the Mat</w:t>
      </w:r>
      <w:r>
        <w:rPr>
          <w:rFonts w:cstheme="minorBidi"/>
        </w:rPr>
        <w:t>ter of the Application of</w:t>
      </w:r>
      <w:r>
        <w:rPr>
          <w:rFonts w:cstheme="minorBidi"/>
        </w:rPr>
        <w:tab/>
        <w:t>)</w:t>
      </w:r>
    </w:p>
    <w:p w14:paraId="65E2D13E" w14:textId="77777777" w:rsidR="00847467" w:rsidRPr="005C7CAC" w:rsidRDefault="00847467" w:rsidP="00847467">
      <w:pPr>
        <w:tabs>
          <w:tab w:val="left" w:pos="4950"/>
          <w:tab w:val="left" w:pos="5490"/>
        </w:tabs>
        <w:spacing w:line="240" w:lineRule="auto"/>
        <w:jc w:val="left"/>
        <w:rPr>
          <w:rFonts w:cstheme="minorBidi"/>
        </w:rPr>
      </w:pPr>
      <w:r>
        <w:rPr>
          <w:rFonts w:cstheme="minorBidi"/>
        </w:rPr>
        <w:t xml:space="preserve">The </w:t>
      </w:r>
      <w:r w:rsidRPr="005C7CAC">
        <w:rPr>
          <w:rFonts w:cstheme="minorBidi"/>
        </w:rPr>
        <w:t xml:space="preserve">Dayton </w:t>
      </w:r>
      <w:r>
        <w:rPr>
          <w:rFonts w:cstheme="minorBidi"/>
        </w:rPr>
        <w:t>Power and Light Company</w:t>
      </w:r>
      <w:r>
        <w:rPr>
          <w:rFonts w:cstheme="minorBidi"/>
        </w:rPr>
        <w:tab/>
        <w:t>)</w:t>
      </w:r>
      <w:r w:rsidRPr="005C7CAC">
        <w:rPr>
          <w:rFonts w:cstheme="minorBidi"/>
        </w:rPr>
        <w:tab/>
        <w:t>Case No. 15-1830-EL-AIR</w:t>
      </w:r>
    </w:p>
    <w:p w14:paraId="4982175B" w14:textId="77777777" w:rsidR="00847467" w:rsidRDefault="00847467" w:rsidP="00847467">
      <w:pPr>
        <w:tabs>
          <w:tab w:val="left" w:pos="4950"/>
          <w:tab w:val="left" w:pos="5490"/>
        </w:tabs>
        <w:spacing w:line="240" w:lineRule="auto"/>
        <w:jc w:val="left"/>
        <w:rPr>
          <w:rFonts w:cstheme="minorBidi"/>
        </w:rPr>
      </w:pPr>
      <w:r>
        <w:rPr>
          <w:rFonts w:cstheme="minorBidi"/>
        </w:rPr>
        <w:t xml:space="preserve">to </w:t>
      </w:r>
      <w:r w:rsidRPr="005C7CAC">
        <w:rPr>
          <w:rFonts w:cstheme="minorBidi"/>
        </w:rPr>
        <w:t>Increase it</w:t>
      </w:r>
      <w:r>
        <w:rPr>
          <w:rFonts w:cstheme="minorBidi"/>
        </w:rPr>
        <w:t>s Rates for Electric</w:t>
      </w:r>
      <w:r>
        <w:rPr>
          <w:rFonts w:cstheme="minorBidi"/>
        </w:rPr>
        <w:tab/>
        <w:t>)</w:t>
      </w:r>
    </w:p>
    <w:p w14:paraId="1EC6E41D" w14:textId="77777777" w:rsidR="00847467" w:rsidRPr="005C7CAC" w:rsidRDefault="00847467" w:rsidP="00847467">
      <w:pPr>
        <w:tabs>
          <w:tab w:val="left" w:pos="4950"/>
          <w:tab w:val="left" w:pos="5490"/>
        </w:tabs>
        <w:spacing w:line="240" w:lineRule="auto"/>
        <w:jc w:val="left"/>
        <w:rPr>
          <w:rFonts w:cstheme="minorBidi"/>
        </w:rPr>
      </w:pPr>
      <w:r>
        <w:rPr>
          <w:rFonts w:cstheme="minorBidi"/>
        </w:rPr>
        <w:t>Distribution Service</w:t>
      </w:r>
      <w:r>
        <w:rPr>
          <w:rFonts w:cstheme="minorBidi"/>
        </w:rPr>
        <w:tab/>
        <w:t>)</w:t>
      </w:r>
    </w:p>
    <w:p w14:paraId="4F29EF25" w14:textId="77777777" w:rsidR="00847467" w:rsidRPr="005C7CAC" w:rsidRDefault="00847467" w:rsidP="00847467">
      <w:pPr>
        <w:tabs>
          <w:tab w:val="left" w:pos="4950"/>
          <w:tab w:val="left" w:pos="5490"/>
        </w:tabs>
        <w:spacing w:line="240" w:lineRule="auto"/>
        <w:jc w:val="left"/>
        <w:rPr>
          <w:rFonts w:cstheme="minorBidi"/>
        </w:rPr>
      </w:pPr>
    </w:p>
    <w:p w14:paraId="16C84AA4" w14:textId="77777777" w:rsidR="00847467" w:rsidRPr="005C7CAC" w:rsidRDefault="00847467" w:rsidP="00847467">
      <w:pPr>
        <w:tabs>
          <w:tab w:val="left" w:pos="4950"/>
          <w:tab w:val="left" w:pos="5490"/>
        </w:tabs>
        <w:spacing w:line="240" w:lineRule="auto"/>
        <w:jc w:val="left"/>
        <w:rPr>
          <w:rFonts w:cstheme="minorBidi"/>
        </w:rPr>
      </w:pPr>
      <w:r w:rsidRPr="005C7CAC">
        <w:rPr>
          <w:rFonts w:cstheme="minorBidi"/>
        </w:rPr>
        <w:t>In the Matter of the Application of</w:t>
      </w:r>
      <w:r w:rsidRPr="005C7CAC">
        <w:rPr>
          <w:rFonts w:cstheme="minorBidi"/>
        </w:rPr>
        <w:tab/>
      </w:r>
      <w:r>
        <w:rPr>
          <w:rFonts w:cstheme="minorBidi"/>
        </w:rPr>
        <w:t>)</w:t>
      </w:r>
    </w:p>
    <w:p w14:paraId="1CE43425" w14:textId="77777777" w:rsidR="00847467" w:rsidRPr="005C7CAC" w:rsidRDefault="00847467" w:rsidP="00847467">
      <w:pPr>
        <w:tabs>
          <w:tab w:val="left" w:pos="4950"/>
          <w:tab w:val="left" w:pos="5490"/>
        </w:tabs>
        <w:spacing w:line="240" w:lineRule="auto"/>
        <w:jc w:val="left"/>
        <w:rPr>
          <w:rFonts w:cstheme="minorBidi"/>
        </w:rPr>
      </w:pPr>
      <w:r>
        <w:rPr>
          <w:rFonts w:cstheme="minorBidi"/>
        </w:rPr>
        <w:t xml:space="preserve">The </w:t>
      </w:r>
      <w:r w:rsidRPr="005C7CAC">
        <w:rPr>
          <w:rFonts w:cstheme="minorBidi"/>
        </w:rPr>
        <w:t>Dayton Power and Light Company</w:t>
      </w:r>
      <w:r w:rsidRPr="005C7CAC">
        <w:rPr>
          <w:rFonts w:cstheme="minorBidi"/>
        </w:rPr>
        <w:tab/>
      </w:r>
      <w:r>
        <w:rPr>
          <w:rFonts w:cstheme="minorBidi"/>
        </w:rPr>
        <w:t>)</w:t>
      </w:r>
      <w:r w:rsidRPr="005C7CAC">
        <w:rPr>
          <w:rFonts w:cstheme="minorBidi"/>
        </w:rPr>
        <w:tab/>
        <w:t>Case No. 15-1831-EL-AAM</w:t>
      </w:r>
    </w:p>
    <w:p w14:paraId="79B13C9D" w14:textId="77777777" w:rsidR="00847467" w:rsidRPr="005C7CAC" w:rsidRDefault="00847467" w:rsidP="00847467">
      <w:pPr>
        <w:tabs>
          <w:tab w:val="left" w:pos="4950"/>
          <w:tab w:val="left" w:pos="5490"/>
        </w:tabs>
        <w:spacing w:line="240" w:lineRule="auto"/>
        <w:jc w:val="left"/>
        <w:rPr>
          <w:rFonts w:cstheme="minorBidi"/>
        </w:rPr>
      </w:pPr>
      <w:r>
        <w:rPr>
          <w:rFonts w:cstheme="minorBidi"/>
        </w:rPr>
        <w:t xml:space="preserve">for </w:t>
      </w:r>
      <w:r w:rsidRPr="005C7CAC">
        <w:rPr>
          <w:rFonts w:cstheme="minorBidi"/>
        </w:rPr>
        <w:t>Accounting Authority</w:t>
      </w:r>
      <w:r w:rsidRPr="005C7CAC">
        <w:rPr>
          <w:rFonts w:cstheme="minorBidi"/>
        </w:rPr>
        <w:tab/>
      </w:r>
      <w:r>
        <w:rPr>
          <w:rFonts w:cstheme="minorBidi"/>
        </w:rPr>
        <w:t>)</w:t>
      </w:r>
    </w:p>
    <w:p w14:paraId="1F6F56B0" w14:textId="77777777" w:rsidR="00847467" w:rsidRPr="005C7CAC" w:rsidRDefault="00847467" w:rsidP="00847467">
      <w:pPr>
        <w:tabs>
          <w:tab w:val="left" w:pos="4950"/>
          <w:tab w:val="left" w:pos="5490"/>
        </w:tabs>
        <w:spacing w:line="240" w:lineRule="auto"/>
        <w:jc w:val="left"/>
        <w:rPr>
          <w:rFonts w:cstheme="minorBidi"/>
        </w:rPr>
      </w:pPr>
    </w:p>
    <w:p w14:paraId="0D5D56F6" w14:textId="77777777" w:rsidR="00847467" w:rsidRPr="005C7CAC" w:rsidRDefault="00847467" w:rsidP="00847467">
      <w:pPr>
        <w:tabs>
          <w:tab w:val="left" w:pos="4950"/>
          <w:tab w:val="left" w:pos="5490"/>
        </w:tabs>
        <w:spacing w:line="240" w:lineRule="auto"/>
        <w:jc w:val="left"/>
        <w:rPr>
          <w:rFonts w:cstheme="minorBidi"/>
        </w:rPr>
      </w:pPr>
      <w:r w:rsidRPr="005C7CAC">
        <w:rPr>
          <w:rFonts w:cstheme="minorBidi"/>
        </w:rPr>
        <w:t>In the Matter of the Application of</w:t>
      </w:r>
      <w:r>
        <w:rPr>
          <w:rFonts w:cstheme="minorBidi"/>
        </w:rPr>
        <w:tab/>
        <w:t>)</w:t>
      </w:r>
    </w:p>
    <w:p w14:paraId="50DDD79C" w14:textId="77777777" w:rsidR="00847467" w:rsidRPr="005C7CAC" w:rsidRDefault="00847467" w:rsidP="00847467">
      <w:pPr>
        <w:tabs>
          <w:tab w:val="left" w:pos="4950"/>
          <w:tab w:val="left" w:pos="5490"/>
        </w:tabs>
        <w:spacing w:line="240" w:lineRule="auto"/>
        <w:jc w:val="left"/>
        <w:rPr>
          <w:rFonts w:cstheme="minorBidi"/>
        </w:rPr>
      </w:pPr>
      <w:r>
        <w:rPr>
          <w:rFonts w:cstheme="minorBidi"/>
        </w:rPr>
        <w:t xml:space="preserve">The Dayton </w:t>
      </w:r>
      <w:r w:rsidRPr="005C7CAC">
        <w:rPr>
          <w:rFonts w:cstheme="minorBidi"/>
        </w:rPr>
        <w:t>Power and Light Company</w:t>
      </w:r>
      <w:r w:rsidRPr="005C7CAC">
        <w:rPr>
          <w:rFonts w:cstheme="minorBidi"/>
        </w:rPr>
        <w:tab/>
      </w:r>
      <w:r>
        <w:rPr>
          <w:rFonts w:cstheme="minorBidi"/>
        </w:rPr>
        <w:t>)</w:t>
      </w:r>
      <w:r w:rsidRPr="005C7CAC">
        <w:rPr>
          <w:rFonts w:cstheme="minorBidi"/>
        </w:rPr>
        <w:tab/>
        <w:t>Case No. 15-1832-EL-ATA</w:t>
      </w:r>
    </w:p>
    <w:p w14:paraId="69A55702" w14:textId="77777777" w:rsidR="00847467" w:rsidRPr="005C7CAC" w:rsidRDefault="00847467" w:rsidP="00847467">
      <w:pPr>
        <w:tabs>
          <w:tab w:val="left" w:pos="4950"/>
          <w:tab w:val="left" w:pos="5490"/>
        </w:tabs>
        <w:spacing w:line="240" w:lineRule="auto"/>
        <w:jc w:val="left"/>
        <w:rPr>
          <w:rFonts w:cstheme="minorBidi"/>
        </w:rPr>
      </w:pPr>
      <w:r w:rsidRPr="005C7CAC">
        <w:rPr>
          <w:rFonts w:cstheme="minorBidi"/>
        </w:rPr>
        <w:t>for Approval of Revised Tariffs</w:t>
      </w:r>
      <w:r w:rsidRPr="005C7CAC">
        <w:rPr>
          <w:rFonts w:cstheme="minorBidi"/>
        </w:rPr>
        <w:tab/>
      </w:r>
      <w:r>
        <w:rPr>
          <w:rFonts w:cstheme="minorBidi"/>
        </w:rPr>
        <w:t>)</w:t>
      </w:r>
    </w:p>
    <w:p w14:paraId="0707D1AE" w14:textId="77777777" w:rsidR="00847467" w:rsidRDefault="00847467" w:rsidP="00847467">
      <w:pPr>
        <w:tabs>
          <w:tab w:val="left" w:pos="4950"/>
          <w:tab w:val="left" w:pos="5490"/>
        </w:tabs>
        <w:autoSpaceDE w:val="0"/>
        <w:autoSpaceDN w:val="0"/>
        <w:adjustRightInd w:val="0"/>
        <w:spacing w:line="240" w:lineRule="auto"/>
      </w:pPr>
    </w:p>
    <w:p w14:paraId="5203AD8B" w14:textId="77777777" w:rsidR="00847467" w:rsidRPr="003533B4" w:rsidRDefault="00847467" w:rsidP="00847467">
      <w:pPr>
        <w:tabs>
          <w:tab w:val="left" w:pos="4950"/>
          <w:tab w:val="left" w:pos="5490"/>
        </w:tabs>
        <w:autoSpaceDE w:val="0"/>
        <w:autoSpaceDN w:val="0"/>
        <w:adjustRightInd w:val="0"/>
        <w:spacing w:line="240" w:lineRule="auto"/>
      </w:pPr>
      <w:r w:rsidRPr="003533B4">
        <w:t>In the Matter of the Application of</w:t>
      </w:r>
      <w:r w:rsidRPr="003533B4">
        <w:tab/>
        <w:t>)</w:t>
      </w:r>
    </w:p>
    <w:p w14:paraId="72258336" w14:textId="77777777" w:rsidR="00847467" w:rsidRPr="003533B4" w:rsidRDefault="00847467" w:rsidP="00847467">
      <w:pPr>
        <w:tabs>
          <w:tab w:val="left" w:pos="4950"/>
          <w:tab w:val="left" w:pos="5490"/>
        </w:tabs>
        <w:autoSpaceDE w:val="0"/>
        <w:autoSpaceDN w:val="0"/>
        <w:adjustRightInd w:val="0"/>
        <w:spacing w:line="240" w:lineRule="auto"/>
      </w:pPr>
      <w:r w:rsidRPr="003533B4">
        <w:t>The Dayton Power and Light Company</w:t>
      </w:r>
      <w:r w:rsidRPr="003533B4">
        <w:tab/>
        <w:t>)</w:t>
      </w:r>
      <w:r w:rsidRPr="003533B4">
        <w:tab/>
        <w:t>Case No. 16-395-EL-SSO</w:t>
      </w:r>
    </w:p>
    <w:p w14:paraId="2427A707" w14:textId="77777777" w:rsidR="00847467" w:rsidRPr="003533B4" w:rsidRDefault="00847467" w:rsidP="00847467">
      <w:pPr>
        <w:tabs>
          <w:tab w:val="left" w:pos="4950"/>
          <w:tab w:val="left" w:pos="5490"/>
        </w:tabs>
        <w:autoSpaceDE w:val="0"/>
        <w:autoSpaceDN w:val="0"/>
        <w:adjustRightInd w:val="0"/>
        <w:spacing w:line="240" w:lineRule="auto"/>
      </w:pPr>
      <w:r>
        <w:t xml:space="preserve">for </w:t>
      </w:r>
      <w:r w:rsidRPr="003533B4">
        <w:t xml:space="preserve">Approval of </w:t>
      </w:r>
      <w:r>
        <w:t>i</w:t>
      </w:r>
      <w:r w:rsidRPr="003533B4">
        <w:t>ts Electric Security Plan</w:t>
      </w:r>
      <w:r w:rsidRPr="003533B4">
        <w:tab/>
        <w:t>)</w:t>
      </w:r>
    </w:p>
    <w:p w14:paraId="203F8D7D" w14:textId="77777777" w:rsidR="00847467" w:rsidRPr="003533B4" w:rsidRDefault="00847467" w:rsidP="00847467">
      <w:pPr>
        <w:tabs>
          <w:tab w:val="left" w:pos="4950"/>
          <w:tab w:val="left" w:pos="5490"/>
        </w:tabs>
        <w:autoSpaceDE w:val="0"/>
        <w:autoSpaceDN w:val="0"/>
        <w:adjustRightInd w:val="0"/>
        <w:spacing w:line="240" w:lineRule="auto"/>
      </w:pPr>
    </w:p>
    <w:p w14:paraId="4123B500" w14:textId="77777777" w:rsidR="00847467" w:rsidRPr="003533B4" w:rsidRDefault="00847467" w:rsidP="00847467">
      <w:pPr>
        <w:tabs>
          <w:tab w:val="left" w:pos="4950"/>
          <w:tab w:val="left" w:pos="5490"/>
        </w:tabs>
        <w:autoSpaceDE w:val="0"/>
        <w:autoSpaceDN w:val="0"/>
        <w:adjustRightInd w:val="0"/>
        <w:spacing w:line="240" w:lineRule="auto"/>
      </w:pPr>
      <w:r w:rsidRPr="003533B4">
        <w:t>In the Matter of the Application of</w:t>
      </w:r>
      <w:r w:rsidRPr="003533B4">
        <w:tab/>
        <w:t>)</w:t>
      </w:r>
    </w:p>
    <w:p w14:paraId="11E38A82" w14:textId="77777777" w:rsidR="00847467" w:rsidRPr="003533B4" w:rsidRDefault="00847467" w:rsidP="00847467">
      <w:pPr>
        <w:tabs>
          <w:tab w:val="left" w:pos="4950"/>
          <w:tab w:val="left" w:pos="5490"/>
        </w:tabs>
        <w:autoSpaceDE w:val="0"/>
        <w:autoSpaceDN w:val="0"/>
        <w:adjustRightInd w:val="0"/>
        <w:spacing w:line="240" w:lineRule="auto"/>
      </w:pPr>
      <w:r w:rsidRPr="003533B4">
        <w:t>The Dayton Power and Light Company</w:t>
      </w:r>
      <w:r w:rsidRPr="003533B4">
        <w:tab/>
        <w:t>)</w:t>
      </w:r>
      <w:r w:rsidRPr="003533B4">
        <w:tab/>
        <w:t>Case No. 16-396-EL-ATA</w:t>
      </w:r>
    </w:p>
    <w:p w14:paraId="614557F8" w14:textId="77777777" w:rsidR="00847467" w:rsidRPr="003533B4" w:rsidRDefault="00847467" w:rsidP="00847467">
      <w:pPr>
        <w:tabs>
          <w:tab w:val="left" w:pos="4950"/>
          <w:tab w:val="left" w:pos="5490"/>
        </w:tabs>
        <w:autoSpaceDE w:val="0"/>
        <w:autoSpaceDN w:val="0"/>
        <w:adjustRightInd w:val="0"/>
        <w:spacing w:line="240" w:lineRule="auto"/>
      </w:pPr>
      <w:r>
        <w:t xml:space="preserve">for </w:t>
      </w:r>
      <w:r w:rsidRPr="003533B4">
        <w:t>Approval of Revised Tariffs</w:t>
      </w:r>
      <w:r w:rsidRPr="003533B4">
        <w:tab/>
        <w:t>)</w:t>
      </w:r>
    </w:p>
    <w:p w14:paraId="3C4CAE85" w14:textId="77777777" w:rsidR="00847467" w:rsidRPr="003533B4" w:rsidRDefault="00847467" w:rsidP="00847467">
      <w:pPr>
        <w:tabs>
          <w:tab w:val="left" w:pos="4950"/>
          <w:tab w:val="left" w:pos="5490"/>
        </w:tabs>
        <w:autoSpaceDE w:val="0"/>
        <w:autoSpaceDN w:val="0"/>
        <w:adjustRightInd w:val="0"/>
        <w:spacing w:line="240" w:lineRule="auto"/>
      </w:pPr>
    </w:p>
    <w:p w14:paraId="64CFED98" w14:textId="77777777" w:rsidR="00847467" w:rsidRPr="003533B4" w:rsidRDefault="00847467" w:rsidP="00847467">
      <w:pPr>
        <w:tabs>
          <w:tab w:val="left" w:pos="4950"/>
          <w:tab w:val="left" w:pos="5490"/>
        </w:tabs>
        <w:autoSpaceDE w:val="0"/>
        <w:autoSpaceDN w:val="0"/>
        <w:adjustRightInd w:val="0"/>
        <w:spacing w:line="240" w:lineRule="auto"/>
      </w:pPr>
      <w:r w:rsidRPr="003533B4">
        <w:t>In the Matter of the Application of</w:t>
      </w:r>
      <w:r w:rsidRPr="003533B4">
        <w:tab/>
        <w:t>)</w:t>
      </w:r>
    </w:p>
    <w:p w14:paraId="17DAD2C9" w14:textId="77777777" w:rsidR="00847467" w:rsidRPr="003533B4" w:rsidRDefault="00847467" w:rsidP="00847467">
      <w:pPr>
        <w:tabs>
          <w:tab w:val="left" w:pos="4950"/>
          <w:tab w:val="left" w:pos="5490"/>
        </w:tabs>
        <w:autoSpaceDE w:val="0"/>
        <w:autoSpaceDN w:val="0"/>
        <w:adjustRightInd w:val="0"/>
        <w:spacing w:line="240" w:lineRule="auto"/>
      </w:pPr>
      <w:r w:rsidRPr="003533B4">
        <w:t>The Dayton Power and Light Company</w:t>
      </w:r>
      <w:r w:rsidRPr="003533B4">
        <w:tab/>
        <w:t>)</w:t>
      </w:r>
      <w:r w:rsidRPr="003533B4">
        <w:tab/>
        <w:t>Case No. 16-397-EL-AAM</w:t>
      </w:r>
    </w:p>
    <w:p w14:paraId="40D53872" w14:textId="77777777" w:rsidR="00847467" w:rsidRPr="003533B4" w:rsidRDefault="00847467" w:rsidP="00847467">
      <w:pPr>
        <w:tabs>
          <w:tab w:val="left" w:pos="4950"/>
          <w:tab w:val="left" w:pos="5490"/>
        </w:tabs>
        <w:autoSpaceDE w:val="0"/>
        <w:autoSpaceDN w:val="0"/>
        <w:adjustRightInd w:val="0"/>
        <w:spacing w:line="240" w:lineRule="auto"/>
      </w:pPr>
      <w:r>
        <w:t xml:space="preserve">for </w:t>
      </w:r>
      <w:r w:rsidRPr="003533B4">
        <w:t>Approval of Certain Accounting Authority</w:t>
      </w:r>
      <w:r w:rsidRPr="003533B4">
        <w:tab/>
        <w:t>)</w:t>
      </w:r>
    </w:p>
    <w:p w14:paraId="4EE33592" w14:textId="77777777" w:rsidR="00847467" w:rsidRPr="003533B4" w:rsidRDefault="00847467" w:rsidP="00847467">
      <w:pPr>
        <w:tabs>
          <w:tab w:val="left" w:pos="4950"/>
          <w:tab w:val="left" w:pos="5490"/>
        </w:tabs>
        <w:autoSpaceDE w:val="0"/>
        <w:autoSpaceDN w:val="0"/>
        <w:adjustRightInd w:val="0"/>
        <w:spacing w:line="240" w:lineRule="auto"/>
      </w:pPr>
      <w:r w:rsidRPr="003533B4">
        <w:t>Pursuant to Ohio Rev. Code § 4905.13</w:t>
      </w:r>
      <w:r w:rsidRPr="003533B4">
        <w:tab/>
        <w:t>)</w:t>
      </w:r>
    </w:p>
    <w:p w14:paraId="7D8AF8CD" w14:textId="77777777" w:rsidR="00847467" w:rsidRPr="003533B4" w:rsidRDefault="00847467" w:rsidP="00847467">
      <w:pPr>
        <w:tabs>
          <w:tab w:val="left" w:pos="4950"/>
          <w:tab w:val="left" w:pos="5490"/>
        </w:tabs>
        <w:spacing w:line="240" w:lineRule="auto"/>
        <w:rPr>
          <w:rFonts w:eastAsia="Times New Roman"/>
        </w:rPr>
      </w:pPr>
    </w:p>
    <w:p w14:paraId="5777DDB6" w14:textId="77777777" w:rsidR="00847467" w:rsidRPr="003533B4" w:rsidRDefault="00847467" w:rsidP="00847467">
      <w:pPr>
        <w:spacing w:line="240" w:lineRule="auto"/>
        <w:jc w:val="left"/>
        <w:rPr>
          <w:b/>
          <w:smallCaps/>
        </w:rPr>
      </w:pPr>
      <w:r w:rsidRPr="003533B4">
        <w:rPr>
          <w:b/>
          <w:smallCaps/>
        </w:rPr>
        <w:t>_____________________________________________________________________</w:t>
      </w:r>
    </w:p>
    <w:p w14:paraId="2C817818" w14:textId="77777777" w:rsidR="00847467" w:rsidRPr="00C84D71" w:rsidRDefault="00847467" w:rsidP="00847467">
      <w:pPr>
        <w:spacing w:line="240" w:lineRule="auto"/>
        <w:jc w:val="center"/>
        <w:rPr>
          <w:b/>
          <w:sz w:val="12"/>
          <w:szCs w:val="12"/>
        </w:rPr>
      </w:pPr>
    </w:p>
    <w:p w14:paraId="7DE8F68C" w14:textId="77777777" w:rsidR="00847467" w:rsidRPr="00C84D71" w:rsidRDefault="00847467" w:rsidP="00847467">
      <w:pPr>
        <w:pBdr>
          <w:bottom w:val="single" w:sz="12" w:space="1" w:color="auto"/>
        </w:pBdr>
        <w:tabs>
          <w:tab w:val="left" w:pos="4680"/>
        </w:tabs>
        <w:spacing w:line="240" w:lineRule="auto"/>
        <w:jc w:val="center"/>
        <w:rPr>
          <w:rFonts w:ascii="Arial Bold" w:hAnsi="Arial Bold"/>
          <w:b/>
          <w:caps/>
          <w:smallCaps/>
          <w:sz w:val="28"/>
        </w:rPr>
      </w:pPr>
      <w:r w:rsidRPr="00C84D71">
        <w:rPr>
          <w:rFonts w:ascii="Arial Bold" w:hAnsi="Arial Bold"/>
          <w:b/>
          <w:smallCaps/>
          <w:sz w:val="28"/>
        </w:rPr>
        <w:t xml:space="preserve">Industrial Energy Users-Ohio’s Memorandum Contra Motion </w:t>
      </w:r>
    </w:p>
    <w:p w14:paraId="6D476426" w14:textId="77777777" w:rsidR="00847467" w:rsidRPr="00C84D71" w:rsidRDefault="00847467" w:rsidP="00847467">
      <w:pPr>
        <w:pBdr>
          <w:bottom w:val="single" w:sz="12" w:space="1" w:color="auto"/>
        </w:pBdr>
        <w:tabs>
          <w:tab w:val="left" w:pos="4680"/>
        </w:tabs>
        <w:spacing w:line="240" w:lineRule="auto"/>
        <w:jc w:val="center"/>
        <w:rPr>
          <w:rFonts w:ascii="Arial Bold" w:hAnsi="Arial Bold"/>
          <w:b/>
          <w:caps/>
          <w:smallCaps/>
          <w:sz w:val="28"/>
        </w:rPr>
      </w:pPr>
      <w:r w:rsidRPr="00C84D71">
        <w:rPr>
          <w:rFonts w:ascii="Arial Bold" w:hAnsi="Arial Bold"/>
          <w:b/>
          <w:smallCaps/>
          <w:sz w:val="28"/>
        </w:rPr>
        <w:t>of The Dayton Power and Light Company for Case Management</w:t>
      </w:r>
    </w:p>
    <w:p w14:paraId="66D9F96B" w14:textId="77777777" w:rsidR="00847467" w:rsidRPr="00C84D71" w:rsidRDefault="00847467" w:rsidP="00847467">
      <w:pPr>
        <w:pBdr>
          <w:bottom w:val="single" w:sz="12" w:space="1" w:color="auto"/>
        </w:pBdr>
        <w:tabs>
          <w:tab w:val="left" w:pos="4680"/>
        </w:tabs>
        <w:spacing w:line="240" w:lineRule="auto"/>
        <w:jc w:val="center"/>
        <w:rPr>
          <w:rFonts w:ascii="Arial Bold" w:hAnsi="Arial Bold"/>
          <w:b/>
          <w:caps/>
          <w:smallCaps/>
          <w:sz w:val="28"/>
        </w:rPr>
      </w:pPr>
      <w:r w:rsidRPr="00C84D71">
        <w:rPr>
          <w:rFonts w:ascii="Arial Bold" w:hAnsi="Arial Bold"/>
          <w:b/>
          <w:smallCaps/>
          <w:sz w:val="28"/>
        </w:rPr>
        <w:t xml:space="preserve">Order to Establish Deadlines and to Coordinate Cases </w:t>
      </w:r>
    </w:p>
    <w:p w14:paraId="53426233" w14:textId="77777777" w:rsidR="00847467" w:rsidRPr="00C84D71" w:rsidRDefault="00847467" w:rsidP="00847467">
      <w:pPr>
        <w:pBdr>
          <w:bottom w:val="single" w:sz="12" w:space="1" w:color="auto"/>
        </w:pBdr>
        <w:tabs>
          <w:tab w:val="left" w:pos="4680"/>
        </w:tabs>
        <w:spacing w:line="240" w:lineRule="auto"/>
        <w:jc w:val="center"/>
        <w:rPr>
          <w:b/>
          <w:caps/>
          <w:sz w:val="12"/>
          <w:szCs w:val="12"/>
        </w:rPr>
      </w:pPr>
    </w:p>
    <w:p w14:paraId="34BE20AF" w14:textId="77777777" w:rsidR="00847467" w:rsidRPr="003533B4" w:rsidRDefault="00847467" w:rsidP="00847467">
      <w:pPr>
        <w:tabs>
          <w:tab w:val="left" w:pos="4320"/>
          <w:tab w:val="right" w:pos="8640"/>
        </w:tabs>
        <w:spacing w:line="240" w:lineRule="auto"/>
        <w:jc w:val="center"/>
        <w:rPr>
          <w:color w:val="000000"/>
        </w:rPr>
      </w:pPr>
    </w:p>
    <w:p w14:paraId="7CF8B176" w14:textId="73CE4CFB" w:rsidR="00C3506B" w:rsidRDefault="008624F0" w:rsidP="00D67B35">
      <w:pPr>
        <w:ind w:firstLine="720"/>
      </w:pPr>
      <w:r>
        <w:t xml:space="preserve">On April 15, 2016, The Dayton Power and Light Company (“DP&amp;L”) filed a motion </w:t>
      </w:r>
      <w:r w:rsidR="001E58C4">
        <w:t xml:space="preserve">(“DP&amp;L Motion”) </w:t>
      </w:r>
      <w:r>
        <w:t>with the Public Utilities Commission of Ohio (“Commission”) requesting that its proposed procedural schedule be adopted in the above</w:t>
      </w:r>
      <w:r w:rsidR="001E58C4">
        <w:t>-</w:t>
      </w:r>
      <w:r>
        <w:t xml:space="preserve">captioned matters, </w:t>
      </w:r>
      <w:r w:rsidR="00906855">
        <w:t>the</w:t>
      </w:r>
      <w:r>
        <w:t xml:space="preserve"> </w:t>
      </w:r>
      <w:r w:rsidR="008635FF" w:rsidRPr="008635FF">
        <w:rPr>
          <w:i/>
        </w:rPr>
        <w:t>D</w:t>
      </w:r>
      <w:r w:rsidRPr="008635FF">
        <w:rPr>
          <w:i/>
        </w:rPr>
        <w:t xml:space="preserve">istribution </w:t>
      </w:r>
      <w:r w:rsidR="008635FF" w:rsidRPr="008635FF">
        <w:rPr>
          <w:i/>
        </w:rPr>
        <w:t>R</w:t>
      </w:r>
      <w:r w:rsidRPr="008635FF">
        <w:rPr>
          <w:i/>
        </w:rPr>
        <w:t xml:space="preserve">ate </w:t>
      </w:r>
      <w:r w:rsidR="008635FF" w:rsidRPr="008635FF">
        <w:rPr>
          <w:i/>
        </w:rPr>
        <w:t>C</w:t>
      </w:r>
      <w:r w:rsidR="00D67B35" w:rsidRPr="008635FF">
        <w:rPr>
          <w:i/>
        </w:rPr>
        <w:t>ase</w:t>
      </w:r>
      <w:r w:rsidR="008635FF">
        <w:rPr>
          <w:rStyle w:val="FootnoteReference"/>
        </w:rPr>
        <w:footnoteReference w:id="1"/>
      </w:r>
      <w:r w:rsidR="00D67B35">
        <w:t xml:space="preserve"> and </w:t>
      </w:r>
      <w:r w:rsidR="00906855">
        <w:t xml:space="preserve">the </w:t>
      </w:r>
      <w:r w:rsidR="008635FF" w:rsidRPr="008635FF">
        <w:rPr>
          <w:i/>
        </w:rPr>
        <w:t>E</w:t>
      </w:r>
      <w:r w:rsidR="00D67B35" w:rsidRPr="008635FF">
        <w:rPr>
          <w:i/>
        </w:rPr>
        <w:t xml:space="preserve">lectric </w:t>
      </w:r>
      <w:r w:rsidR="008635FF" w:rsidRPr="008635FF">
        <w:rPr>
          <w:i/>
        </w:rPr>
        <w:t>S</w:t>
      </w:r>
      <w:r w:rsidR="00D67B35" w:rsidRPr="008635FF">
        <w:rPr>
          <w:i/>
        </w:rPr>
        <w:t xml:space="preserve">ecurity </w:t>
      </w:r>
      <w:r w:rsidR="008635FF" w:rsidRPr="008635FF">
        <w:rPr>
          <w:i/>
        </w:rPr>
        <w:t>P</w:t>
      </w:r>
      <w:r w:rsidR="00D67B35" w:rsidRPr="008635FF">
        <w:rPr>
          <w:i/>
        </w:rPr>
        <w:t xml:space="preserve">lan (“ESP”) </w:t>
      </w:r>
      <w:r w:rsidR="008635FF" w:rsidRPr="008635FF">
        <w:rPr>
          <w:i/>
        </w:rPr>
        <w:t>C</w:t>
      </w:r>
      <w:r w:rsidR="00D67B35" w:rsidRPr="008635FF">
        <w:rPr>
          <w:i/>
        </w:rPr>
        <w:t>ase</w:t>
      </w:r>
      <w:r w:rsidR="00D67B35">
        <w:t>.</w:t>
      </w:r>
      <w:r w:rsidR="008635FF">
        <w:rPr>
          <w:rStyle w:val="FootnoteReference"/>
        </w:rPr>
        <w:footnoteReference w:id="2"/>
      </w:r>
      <w:r w:rsidR="00DF4DBB">
        <w:t xml:space="preserve">  </w:t>
      </w:r>
      <w:r w:rsidR="00DA1303">
        <w:t xml:space="preserve">The </w:t>
      </w:r>
      <w:r w:rsidR="00DA1303">
        <w:lastRenderedPageBreak/>
        <w:t xml:space="preserve">procedural schedule DP&amp;L proposes </w:t>
      </w:r>
      <w:r w:rsidR="00C3506B">
        <w:t>is essentially a request to consolidate the</w:t>
      </w:r>
      <w:r w:rsidR="00A3142A">
        <w:t xml:space="preserve"> two cases</w:t>
      </w:r>
      <w:r w:rsidR="00DA1303">
        <w:t xml:space="preserve">; establishing identical discovery cutoff dates, scheduling </w:t>
      </w:r>
      <w:r w:rsidR="00BF6541">
        <w:t>what amounts to a continuous six</w:t>
      </w:r>
      <w:r w:rsidR="001E58C4">
        <w:t>-</w:t>
      </w:r>
      <w:r w:rsidR="00BF6541">
        <w:t>week hearing</w:t>
      </w:r>
      <w:r w:rsidR="00DA1303">
        <w:t xml:space="preserve">, </w:t>
      </w:r>
      <w:r w:rsidR="005F09D8">
        <w:t>and requiring simultaneous briefing of the c</w:t>
      </w:r>
      <w:r w:rsidR="00273A69">
        <w:t xml:space="preserve">ases.  Because consolidation of the cases is not proper or reasonable, DP&amp;L’s </w:t>
      </w:r>
      <w:r w:rsidR="00B21773">
        <w:t>M</w:t>
      </w:r>
      <w:r w:rsidR="00273A69">
        <w:t>otion should be denied</w:t>
      </w:r>
      <w:r w:rsidR="005F09D8">
        <w:t>.</w:t>
      </w:r>
    </w:p>
    <w:p w14:paraId="6BBCFE8A" w14:textId="50E4C7B5" w:rsidR="000A4842" w:rsidRPr="000A4842" w:rsidRDefault="000A4842" w:rsidP="000A4842">
      <w:pPr>
        <w:ind w:firstLine="720"/>
        <w:rPr>
          <w:rFonts w:eastAsia="Times New Roman"/>
        </w:rPr>
      </w:pPr>
      <w:r w:rsidRPr="000A4842">
        <w:rPr>
          <w:rFonts w:eastAsia="Times New Roman"/>
        </w:rPr>
        <w:t xml:space="preserve">Under R.C. 4901.13, the Commission has discretion in the manner in which it conducts its hearings.  </w:t>
      </w:r>
      <w:r w:rsidRPr="000A4842">
        <w:rPr>
          <w:rFonts w:eastAsia="Times New Roman"/>
          <w:i/>
        </w:rPr>
        <w:t>Duff v. Public Utilities Commission of</w:t>
      </w:r>
      <w:r>
        <w:rPr>
          <w:rFonts w:eastAsia="Times New Roman"/>
          <w:i/>
        </w:rPr>
        <w:t xml:space="preserve"> </w:t>
      </w:r>
      <w:r w:rsidRPr="000A4842">
        <w:rPr>
          <w:rFonts w:eastAsia="Times New Roman"/>
          <w:i/>
        </w:rPr>
        <w:t>Ohio</w:t>
      </w:r>
      <w:r w:rsidRPr="000A4842">
        <w:rPr>
          <w:rFonts w:eastAsia="Times New Roman"/>
        </w:rPr>
        <w:t xml:space="preserve">, 56 Ohio St.2d 367 (1978); </w:t>
      </w:r>
      <w:r w:rsidRPr="000A4842">
        <w:rPr>
          <w:rFonts w:eastAsia="Times New Roman"/>
          <w:i/>
        </w:rPr>
        <w:t>Toledo Coalition for Safe Energy v. Public Utilities Commission of Ohio</w:t>
      </w:r>
      <w:r w:rsidRPr="000A4842">
        <w:rPr>
          <w:rFonts w:eastAsia="Times New Roman"/>
        </w:rPr>
        <w:t>, 69 Ohio St</w:t>
      </w:r>
      <w:r w:rsidR="001E58C4">
        <w:rPr>
          <w:rFonts w:eastAsia="Times New Roman"/>
        </w:rPr>
        <w:t>.</w:t>
      </w:r>
      <w:r w:rsidRPr="000A4842">
        <w:rPr>
          <w:rFonts w:eastAsia="Times New Roman"/>
        </w:rPr>
        <w:t xml:space="preserve">2d 559 (1982).  </w:t>
      </w:r>
      <w:r w:rsidR="00AB6034">
        <w:rPr>
          <w:rFonts w:eastAsia="Times New Roman"/>
        </w:rPr>
        <w:t>C</w:t>
      </w:r>
      <w:r w:rsidRPr="000A4842">
        <w:rPr>
          <w:rFonts w:eastAsia="Times New Roman"/>
        </w:rPr>
        <w:t xml:space="preserve">onsolidation </w:t>
      </w:r>
      <w:r w:rsidR="00AB6034">
        <w:rPr>
          <w:rFonts w:eastAsia="Times New Roman"/>
        </w:rPr>
        <w:t>may be appropriate</w:t>
      </w:r>
      <w:r w:rsidRPr="000A4842">
        <w:rPr>
          <w:rFonts w:eastAsia="Times New Roman"/>
        </w:rPr>
        <w:t xml:space="preserve"> when common issues of law and fact are presented,</w:t>
      </w:r>
      <w:r w:rsidRPr="000A4842">
        <w:rPr>
          <w:rFonts w:eastAsia="Times New Roman"/>
          <w:vertAlign w:val="superscript"/>
        </w:rPr>
        <w:footnoteReference w:id="3"/>
      </w:r>
      <w:r w:rsidRPr="000A4842">
        <w:rPr>
          <w:rFonts w:eastAsia="Times New Roman"/>
        </w:rPr>
        <w:t xml:space="preserve"> </w:t>
      </w:r>
      <w:r w:rsidR="00BF6541">
        <w:rPr>
          <w:rFonts w:eastAsia="Times New Roman"/>
        </w:rPr>
        <w:t xml:space="preserve">but the </w:t>
      </w:r>
      <w:r w:rsidR="00BF6541" w:rsidRPr="00472E47">
        <w:rPr>
          <w:rFonts w:eastAsia="Times New Roman"/>
          <w:i/>
        </w:rPr>
        <w:t>Distribution Rate Case</w:t>
      </w:r>
      <w:r w:rsidR="00BF6541">
        <w:rPr>
          <w:rFonts w:eastAsia="Times New Roman"/>
        </w:rPr>
        <w:t xml:space="preserve"> and </w:t>
      </w:r>
      <w:r w:rsidR="00BF6541" w:rsidRPr="00472E47">
        <w:rPr>
          <w:rFonts w:eastAsia="Times New Roman"/>
          <w:i/>
        </w:rPr>
        <w:t>ESP Case</w:t>
      </w:r>
      <w:r w:rsidR="00BF6541">
        <w:rPr>
          <w:rFonts w:eastAsia="Times New Roman"/>
        </w:rPr>
        <w:t xml:space="preserve"> are not cases that justify consolidation.</w:t>
      </w:r>
      <w:r w:rsidRPr="000A4842">
        <w:rPr>
          <w:rFonts w:eastAsia="Times New Roman"/>
        </w:rPr>
        <w:t xml:space="preserve">  </w:t>
      </w:r>
    </w:p>
    <w:p w14:paraId="4C7DEBF1" w14:textId="2AA33989" w:rsidR="00C53BA5" w:rsidRDefault="004011C9" w:rsidP="00D67B35">
      <w:pPr>
        <w:ind w:firstLine="720"/>
      </w:pPr>
      <w:r>
        <w:t>First, t</w:t>
      </w:r>
      <w:r w:rsidR="005F09D8">
        <w:t xml:space="preserve">he issues in the </w:t>
      </w:r>
      <w:r w:rsidR="005F09D8">
        <w:rPr>
          <w:i/>
        </w:rPr>
        <w:t xml:space="preserve">Distribution Rate Case </w:t>
      </w:r>
      <w:r w:rsidR="005F09D8">
        <w:t xml:space="preserve">are distinct from those at issue in the </w:t>
      </w:r>
      <w:r w:rsidR="005F09D8">
        <w:rPr>
          <w:i/>
        </w:rPr>
        <w:t xml:space="preserve">ESP Case.  </w:t>
      </w:r>
      <w:r w:rsidR="005F09D8">
        <w:t xml:space="preserve">In the </w:t>
      </w:r>
      <w:r w:rsidR="0073647C" w:rsidRPr="00472E47">
        <w:rPr>
          <w:i/>
        </w:rPr>
        <w:t>Distribution Rate Case</w:t>
      </w:r>
      <w:r w:rsidR="005F09D8">
        <w:t xml:space="preserve">, the Commission will determine the appropriate amount of </w:t>
      </w:r>
      <w:r w:rsidR="0073647C">
        <w:t xml:space="preserve">distribution </w:t>
      </w:r>
      <w:r w:rsidR="005F09D8">
        <w:t>plant in service that is used and useful as of the date certain, the test year expenses</w:t>
      </w:r>
      <w:r w:rsidR="0073647C">
        <w:t xml:space="preserve"> to provide distribution services</w:t>
      </w:r>
      <w:r w:rsidR="005F09D8">
        <w:t xml:space="preserve">, </w:t>
      </w:r>
      <w:r w:rsidR="000A1025">
        <w:t xml:space="preserve">and </w:t>
      </w:r>
      <w:r w:rsidR="005F09D8">
        <w:t>the test year revenue</w:t>
      </w:r>
      <w:r w:rsidR="00A20852">
        <w:t xml:space="preserve"> requirement</w:t>
      </w:r>
      <w:r w:rsidR="005F09D8">
        <w:t xml:space="preserve">.  </w:t>
      </w:r>
      <w:r w:rsidR="00F1710D">
        <w:t xml:space="preserve">In the </w:t>
      </w:r>
      <w:r w:rsidR="00A20852" w:rsidRPr="008342B4">
        <w:rPr>
          <w:i/>
        </w:rPr>
        <w:t>ESP Case</w:t>
      </w:r>
      <w:r w:rsidR="00F1710D">
        <w:t xml:space="preserve">, the Commission must establish a plan to ensure that there is a default standard service offer (“SSO”) for customers who have not elected to receive </w:t>
      </w:r>
      <w:r w:rsidR="00DF1406">
        <w:t>competitive retail electric services</w:t>
      </w:r>
      <w:r w:rsidR="00F1710D">
        <w:t xml:space="preserve"> </w:t>
      </w:r>
      <w:r w:rsidR="001D4468">
        <w:t xml:space="preserve">(“CRES”) </w:t>
      </w:r>
      <w:r w:rsidR="00F1710D">
        <w:t xml:space="preserve">from a </w:t>
      </w:r>
      <w:r w:rsidR="00DF1406">
        <w:t xml:space="preserve">CRES </w:t>
      </w:r>
      <w:r w:rsidR="00F1710D">
        <w:t xml:space="preserve">provider.  </w:t>
      </w:r>
      <w:r w:rsidR="00A86523">
        <w:t xml:space="preserve">Further, DP&amp;L has also requested a variety of riders in the </w:t>
      </w:r>
      <w:r w:rsidR="00A86523" w:rsidRPr="00472E47">
        <w:rPr>
          <w:i/>
        </w:rPr>
        <w:t xml:space="preserve">ESP </w:t>
      </w:r>
      <w:r w:rsidR="001D4468" w:rsidRPr="00472E47">
        <w:rPr>
          <w:i/>
        </w:rPr>
        <w:t>C</w:t>
      </w:r>
      <w:r w:rsidR="00A86523" w:rsidRPr="00472E47">
        <w:rPr>
          <w:i/>
        </w:rPr>
        <w:t>ase</w:t>
      </w:r>
      <w:r w:rsidR="00A86523">
        <w:t xml:space="preserve">, none of which necessitate resolution with the </w:t>
      </w:r>
      <w:r w:rsidR="00A86523">
        <w:rPr>
          <w:i/>
        </w:rPr>
        <w:t>Distribution Rate Case</w:t>
      </w:r>
      <w:r w:rsidR="00A86523">
        <w:t>.</w:t>
      </w:r>
      <w:r w:rsidR="00A86523">
        <w:rPr>
          <w:rStyle w:val="FootnoteReference"/>
        </w:rPr>
        <w:footnoteReference w:id="4"/>
      </w:r>
      <w:r w:rsidR="00A86523">
        <w:t xml:space="preserve">  </w:t>
      </w:r>
      <w:r w:rsidR="00870DB9">
        <w:t xml:space="preserve">While there are some common </w:t>
      </w:r>
      <w:r w:rsidR="00870DB9">
        <w:lastRenderedPageBreak/>
        <w:t xml:space="preserve">witnesses in the cases, the only witness to present testimony related to </w:t>
      </w:r>
      <w:r w:rsidR="003A0406">
        <w:t xml:space="preserve">a </w:t>
      </w:r>
      <w:r w:rsidR="00870DB9">
        <w:t xml:space="preserve">single issue that </w:t>
      </w:r>
      <w:r w:rsidR="00120C8E">
        <w:t xml:space="preserve">is </w:t>
      </w:r>
      <w:r w:rsidR="00870DB9">
        <w:t>somewhat common in the two cases is DP&amp;L’s rate of return witness.  Even in that instance, however, DP&amp;L’</w:t>
      </w:r>
      <w:r w:rsidR="00FB4832">
        <w:t>s witness, Mr.</w:t>
      </w:r>
      <w:r w:rsidR="00120C8E">
        <w:t> </w:t>
      </w:r>
      <w:r w:rsidR="00FB4832">
        <w:t>Morin</w:t>
      </w:r>
      <w:r w:rsidR="00120C8E">
        <w:t>,</w:t>
      </w:r>
      <w:r w:rsidR="00FB4832">
        <w:t xml:space="preserve"> testifies that a different and higher rate of return should be applied to calculate the </w:t>
      </w:r>
      <w:r w:rsidR="002330E5">
        <w:t xml:space="preserve">stability rider proposed in the </w:t>
      </w:r>
      <w:r w:rsidR="002330E5" w:rsidRPr="00472E47">
        <w:rPr>
          <w:i/>
        </w:rPr>
        <w:t>ESP Case</w:t>
      </w:r>
      <w:r w:rsidR="002330E5">
        <w:t xml:space="preserve"> than should be applied to the distribution assets to set the revenue requirement in the </w:t>
      </w:r>
      <w:r w:rsidR="002330E5" w:rsidRPr="00472E47">
        <w:rPr>
          <w:i/>
        </w:rPr>
        <w:t>Distribution Rate Case</w:t>
      </w:r>
      <w:r w:rsidR="002330E5">
        <w:t>.</w:t>
      </w:r>
      <w:r w:rsidR="00275757">
        <w:rPr>
          <w:rStyle w:val="FootnoteReference"/>
        </w:rPr>
        <w:footnoteReference w:id="5"/>
      </w:r>
      <w:r w:rsidR="00946286">
        <w:t xml:space="preserve"> </w:t>
      </w:r>
      <w:r w:rsidR="002330E5">
        <w:t xml:space="preserve"> </w:t>
      </w:r>
      <w:r w:rsidR="003A0406">
        <w:t>Thus, common issues of law and fact do not justify de facto consolidation.</w:t>
      </w:r>
    </w:p>
    <w:p w14:paraId="15D1677A" w14:textId="17BEE0FA" w:rsidR="00552460" w:rsidRDefault="00C53BA5" w:rsidP="00D67B35">
      <w:pPr>
        <w:ind w:firstLine="720"/>
      </w:pPr>
      <w:r>
        <w:t>Second, the Commission</w:t>
      </w:r>
      <w:r w:rsidR="00F362BE">
        <w:t xml:space="preserve"> Staff (“Staff”) </w:t>
      </w:r>
      <w:r>
        <w:t xml:space="preserve">and the parties gain nothing in the way of administrative efficiency if </w:t>
      </w:r>
      <w:r w:rsidR="00F362BE">
        <w:t>the Commission</w:t>
      </w:r>
      <w:r>
        <w:t xml:space="preserve"> consolidates the discovery, hearing, and briefing schedules.  </w:t>
      </w:r>
      <w:r w:rsidR="00955B2A">
        <w:t>Staff and parties are conducting their first review</w:t>
      </w:r>
      <w:r w:rsidR="00915475">
        <w:t>s</w:t>
      </w:r>
      <w:r w:rsidR="00955B2A">
        <w:t xml:space="preserve"> in a DP&amp;L r</w:t>
      </w:r>
      <w:r w:rsidR="003E141A">
        <w:t xml:space="preserve">ate case in over </w:t>
      </w:r>
      <w:r w:rsidR="00120C8E">
        <w:t xml:space="preserve">20 </w:t>
      </w:r>
      <w:r w:rsidR="003E141A">
        <w:t>years</w:t>
      </w:r>
      <w:r w:rsidR="00AA2196">
        <w:t>.</w:t>
      </w:r>
      <w:r w:rsidR="003E141A">
        <w:t xml:space="preserve"> </w:t>
      </w:r>
      <w:r w:rsidR="00AA2196">
        <w:t xml:space="preserve"> </w:t>
      </w:r>
      <w:r w:rsidR="0045084E">
        <w:t>Because t</w:t>
      </w:r>
      <w:r w:rsidR="00915475">
        <w:t>his review process concerns matters that are distinct from th</w:t>
      </w:r>
      <w:r w:rsidR="0045084E">
        <w:t xml:space="preserve">ose presented in the </w:t>
      </w:r>
      <w:r w:rsidR="0045084E" w:rsidRPr="00472E47">
        <w:rPr>
          <w:i/>
        </w:rPr>
        <w:t>ESP Case</w:t>
      </w:r>
      <w:r w:rsidR="0045084E">
        <w:t>, c</w:t>
      </w:r>
      <w:r w:rsidR="00915475">
        <w:t xml:space="preserve">ombining the cases and expediting the review process through common deadlines will simply force an overlap in the reviews.  It will not reduce the need to conduct those reviews or simplify the </w:t>
      </w:r>
      <w:r w:rsidR="0045084E">
        <w:t>review and discovery</w:t>
      </w:r>
      <w:r w:rsidR="00915475">
        <w:t xml:space="preserve"> process</w:t>
      </w:r>
      <w:r w:rsidR="0045084E">
        <w:t>es</w:t>
      </w:r>
      <w:r w:rsidR="00915475">
        <w:t xml:space="preserve">.  </w:t>
      </w:r>
      <w:r w:rsidR="0045084E">
        <w:t>All that c</w:t>
      </w:r>
      <w:r w:rsidR="00552460">
        <w:t xml:space="preserve">onsolidation </w:t>
      </w:r>
      <w:r w:rsidR="0045084E">
        <w:t xml:space="preserve">accomplishes is to </w:t>
      </w:r>
      <w:r w:rsidR="00552460">
        <w:t xml:space="preserve">make the review process more difficult for </w:t>
      </w:r>
      <w:r w:rsidR="008E4415">
        <w:t xml:space="preserve">Staff and </w:t>
      </w:r>
      <w:r w:rsidR="00552460">
        <w:t xml:space="preserve">those parties that seek to protect their own economic interests </w:t>
      </w:r>
      <w:r w:rsidR="00430EA1">
        <w:t>before the Commission.</w:t>
      </w:r>
    </w:p>
    <w:p w14:paraId="1D7B6E84" w14:textId="3E761EC3" w:rsidR="008E4415" w:rsidRDefault="008E4415" w:rsidP="00D67B35">
      <w:pPr>
        <w:ind w:firstLine="720"/>
      </w:pPr>
      <w:r>
        <w:t xml:space="preserve">In regard to the process itself, the Commission should have as much regard for the interests of consumers as it has for DP&amp;L.  As DP&amp;L recognizes, </w:t>
      </w:r>
      <w:r w:rsidR="00EC1B50">
        <w:t>it</w:t>
      </w:r>
      <w:r>
        <w:t xml:space="preserve"> need</w:t>
      </w:r>
      <w:r w:rsidR="00EC1B50">
        <w:t>s</w:t>
      </w:r>
      <w:r>
        <w:t xml:space="preserve"> ample time prior to a hearing to allow for depositions, ample time between depositions and the hearing to review the deposition transcripts and to prepare cross-examination for hearing, and ample time prior to the hearing to allow for settlement discussions.</w:t>
      </w:r>
      <w:r>
        <w:rPr>
          <w:rStyle w:val="FootnoteReference"/>
        </w:rPr>
        <w:footnoteReference w:id="6"/>
      </w:r>
      <w:r>
        <w:t xml:space="preserve">  DP&amp;L </w:t>
      </w:r>
      <w:r>
        <w:lastRenderedPageBreak/>
        <w:t>also claims that it is important that items are not scheduled simultaneously to allow counsel sufficient time, both prior to and during the hearing, to discuss with their clients issues that may arise.</w:t>
      </w:r>
      <w:r>
        <w:rPr>
          <w:rStyle w:val="FootnoteReference"/>
        </w:rPr>
        <w:footnoteReference w:id="7"/>
      </w:r>
      <w:r>
        <w:t xml:space="preserve">  All of these rationales apply equally to Staff and intervenors, and none of these rationales support</w:t>
      </w:r>
      <w:r w:rsidR="00F53813">
        <w:t>s</w:t>
      </w:r>
      <w:r>
        <w:t xml:space="preserve"> the consolidated and compressed procedural schedule proposed by DP&amp;L.</w:t>
      </w:r>
    </w:p>
    <w:p w14:paraId="234B8476" w14:textId="7C4AE10C" w:rsidR="005F09D8" w:rsidRDefault="00552460" w:rsidP="00D67B35">
      <w:pPr>
        <w:ind w:firstLine="720"/>
      </w:pPr>
      <w:r>
        <w:t xml:space="preserve">Third, </w:t>
      </w:r>
      <w:r w:rsidR="00861D5D">
        <w:t xml:space="preserve">there </w:t>
      </w:r>
      <w:r w:rsidR="00430EA1">
        <w:t xml:space="preserve">is no reason to expedite the </w:t>
      </w:r>
      <w:r w:rsidR="00430EA1" w:rsidRPr="00472E47">
        <w:rPr>
          <w:i/>
        </w:rPr>
        <w:t xml:space="preserve">ESP </w:t>
      </w:r>
      <w:r w:rsidR="00120C8E" w:rsidRPr="00472E47">
        <w:rPr>
          <w:i/>
        </w:rPr>
        <w:t>Case</w:t>
      </w:r>
      <w:r w:rsidR="00120C8E">
        <w:t xml:space="preserve"> </w:t>
      </w:r>
      <w:r w:rsidR="00430EA1">
        <w:t>to accommodate DP&amp;L as the current ESP term runs to the end of May 2017.</w:t>
      </w:r>
      <w:r w:rsidR="00773761">
        <w:rPr>
          <w:rStyle w:val="FootnoteReference"/>
        </w:rPr>
        <w:footnoteReference w:id="8"/>
      </w:r>
      <w:r w:rsidR="001F0B88">
        <w:t xml:space="preserve">  </w:t>
      </w:r>
      <w:r w:rsidR="009820DA">
        <w:t>Further, the Commission has previously expressed its concern that DP&amp;L fully exhaust other revenue opportunities</w:t>
      </w:r>
      <w:r w:rsidR="00120C8E">
        <w:t>,</w:t>
      </w:r>
      <w:r w:rsidR="009820DA">
        <w:t xml:space="preserve"> including a rate case</w:t>
      </w:r>
      <w:r w:rsidR="000A1025">
        <w:t>,</w:t>
      </w:r>
      <w:r w:rsidR="009820DA">
        <w:t xml:space="preserve"> before the Commission would consider any additional revenue </w:t>
      </w:r>
      <w:r w:rsidR="001F0B88">
        <w:t>increases through an ESP</w:t>
      </w:r>
      <w:r w:rsidR="009820DA">
        <w:t>.</w:t>
      </w:r>
      <w:r w:rsidR="009D4B73">
        <w:rPr>
          <w:rStyle w:val="FootnoteReference"/>
        </w:rPr>
        <w:footnoteReference w:id="9"/>
      </w:r>
    </w:p>
    <w:p w14:paraId="1F5830F2" w14:textId="0F3EC738" w:rsidR="00472E47" w:rsidRPr="008342B4" w:rsidRDefault="00472E47" w:rsidP="00472E47">
      <w:pPr>
        <w:ind w:firstLine="720"/>
        <w:rPr>
          <w:i/>
        </w:rPr>
      </w:pPr>
      <w:r>
        <w:t xml:space="preserve">Finally, on April 28, 2016, DP&amp;L filed supplemental testimony in the </w:t>
      </w:r>
      <w:r>
        <w:rPr>
          <w:i/>
        </w:rPr>
        <w:t>ESP Case</w:t>
      </w:r>
      <w:r>
        <w:t xml:space="preserve"> for witnesses Jackson and Malinak.  In the </w:t>
      </w:r>
      <w:r w:rsidR="004A285D">
        <w:t xml:space="preserve">supplemental </w:t>
      </w:r>
      <w:r>
        <w:t>testimony</w:t>
      </w:r>
      <w:r w:rsidR="000C2629">
        <w:t xml:space="preserve"> requesting additional nonbypassable revenue</w:t>
      </w:r>
      <w:r>
        <w:t xml:space="preserve">, DP&amp;L </w:t>
      </w:r>
      <w:r w:rsidR="004A285D">
        <w:t>witness Jackson admits that his original testimony contained errors, which he was updating in his supplemental testimony.  Mr.</w:t>
      </w:r>
      <w:r w:rsidR="000C2629">
        <w:t> </w:t>
      </w:r>
      <w:r w:rsidR="004A285D">
        <w:t>Jackson does not explain how the error</w:t>
      </w:r>
      <w:r w:rsidR="00F53813">
        <w:t>s</w:t>
      </w:r>
      <w:r w:rsidR="004A285D">
        <w:t xml:space="preserve"> occurred</w:t>
      </w:r>
      <w:r w:rsidR="00514F85">
        <w:t xml:space="preserve"> or</w:t>
      </w:r>
      <w:r w:rsidR="00121E0C">
        <w:t xml:space="preserve"> </w:t>
      </w:r>
      <w:r w:rsidR="00F53813">
        <w:t>were</w:t>
      </w:r>
      <w:r w:rsidR="00121E0C">
        <w:t xml:space="preserve"> identified, and whether </w:t>
      </w:r>
      <w:r w:rsidR="00F53813">
        <w:t>the</w:t>
      </w:r>
      <w:r w:rsidR="00121E0C">
        <w:t xml:space="preserve"> error</w:t>
      </w:r>
      <w:r w:rsidR="00F53813">
        <w:t>s</w:t>
      </w:r>
      <w:r w:rsidR="00121E0C">
        <w:t xml:space="preserve"> or similar errors persist elsewhere in his original testimony.  Mr. Malinak’s supplemental testimony </w:t>
      </w:r>
      <w:r w:rsidR="000959DE">
        <w:t>also indicates that the assumptions in his original testimony contained errors</w:t>
      </w:r>
      <w:r w:rsidR="00B86787">
        <w:t xml:space="preserve"> resulting in an unre</w:t>
      </w:r>
      <w:bookmarkStart w:id="0" w:name="_GoBack"/>
      <w:bookmarkEnd w:id="0"/>
      <w:r w:rsidR="00B86787">
        <w:t>alistic financial analysis</w:t>
      </w:r>
      <w:r w:rsidR="000959DE">
        <w:t>.</w:t>
      </w:r>
      <w:r w:rsidR="00B86787">
        <w:rPr>
          <w:rStyle w:val="FootnoteReference"/>
        </w:rPr>
        <w:footnoteReference w:id="10"/>
      </w:r>
      <w:r w:rsidR="000959DE">
        <w:t xml:space="preserve">  Concluding that these assumptions </w:t>
      </w:r>
      <w:r w:rsidR="00B86787">
        <w:t xml:space="preserve">in his initial testimony </w:t>
      </w:r>
      <w:r w:rsidR="000959DE">
        <w:t>“are problematic</w:t>
      </w:r>
      <w:r w:rsidR="00A62C31">
        <w:t>,</w:t>
      </w:r>
      <w:r w:rsidR="000959DE">
        <w:t xml:space="preserve">” </w:t>
      </w:r>
      <w:r w:rsidR="00B86787">
        <w:t xml:space="preserve">he </w:t>
      </w:r>
      <w:r w:rsidR="000959DE">
        <w:t xml:space="preserve">offers a new </w:t>
      </w:r>
      <w:r w:rsidR="008D6034">
        <w:t xml:space="preserve">alternative </w:t>
      </w:r>
      <w:r w:rsidR="008D6034">
        <w:lastRenderedPageBreak/>
        <w:t>financial analysis</w:t>
      </w:r>
      <w:r w:rsidR="00DA1FAB">
        <w:rPr>
          <w:rStyle w:val="FootnoteReference"/>
        </w:rPr>
        <w:footnoteReference w:id="11"/>
      </w:r>
      <w:r w:rsidR="00B86787">
        <w:t xml:space="preserve"> that </w:t>
      </w:r>
      <w:r w:rsidR="00E40298">
        <w:t xml:space="preserve">he describes as </w:t>
      </w:r>
      <w:r w:rsidR="00B86787">
        <w:t xml:space="preserve">“more realistic” than </w:t>
      </w:r>
      <w:r w:rsidR="002833EC">
        <w:t>the analysis contained in his initial testimony</w:t>
      </w:r>
      <w:r w:rsidR="008D6034">
        <w:t>.</w:t>
      </w:r>
      <w:r w:rsidR="002833EC">
        <w:rPr>
          <w:rStyle w:val="FootnoteReference"/>
        </w:rPr>
        <w:footnoteReference w:id="12"/>
      </w:r>
      <w:r w:rsidR="008D6034">
        <w:t xml:space="preserve">  Given the errors that DP&amp;L acknowledges permeate its original testimony, the updated projections, and Mr. Malinak’s new alternative financial analysis, Staff and other parties must be provided sufficient time to </w:t>
      </w:r>
      <w:r w:rsidR="00B86787">
        <w:t xml:space="preserve">analyze </w:t>
      </w:r>
      <w:r w:rsidR="00206948">
        <w:t xml:space="preserve">the supplemental testimony </w:t>
      </w:r>
      <w:r w:rsidR="00B86787">
        <w:t xml:space="preserve">and conduct </w:t>
      </w:r>
      <w:r w:rsidR="00206948">
        <w:t xml:space="preserve">additional </w:t>
      </w:r>
      <w:r w:rsidR="00B86787">
        <w:t>discovery</w:t>
      </w:r>
      <w:r w:rsidR="00EE0289">
        <w:t>.</w:t>
      </w:r>
    </w:p>
    <w:p w14:paraId="232579C9" w14:textId="6DD524E1" w:rsidR="009A1C35" w:rsidRPr="009841EE" w:rsidRDefault="007F52D5" w:rsidP="00B07EDB">
      <w:pPr>
        <w:ind w:firstLine="720"/>
      </w:pPr>
      <w:r>
        <w:t xml:space="preserve">Accordingly, Industrial Energy Users-Ohio (“IEU-Ohio”) </w:t>
      </w:r>
      <w:r w:rsidR="00592713">
        <w:t xml:space="preserve">recommends that the Commission </w:t>
      </w:r>
      <w:r w:rsidR="008B0742">
        <w:t>reject the</w:t>
      </w:r>
      <w:r w:rsidR="00393662">
        <w:t xml:space="preserve"> procedural schedule </w:t>
      </w:r>
      <w:r w:rsidR="008B0742">
        <w:t>proposed by DP&amp;L.  Instead, IEU-Ohio recommends that the Commission set</w:t>
      </w:r>
      <w:r w:rsidR="00763B9F">
        <w:t xml:space="preserve"> a procedural schedule in</w:t>
      </w:r>
      <w:r w:rsidR="008B0742">
        <w:t xml:space="preserve"> the </w:t>
      </w:r>
      <w:r w:rsidR="008B0742">
        <w:rPr>
          <w:i/>
        </w:rPr>
        <w:t xml:space="preserve">Distribution Rate Case </w:t>
      </w:r>
      <w:r w:rsidR="00763B9F">
        <w:t>once the Staff Report is issued and process that case initially and independent</w:t>
      </w:r>
      <w:r w:rsidR="00EE0289">
        <w:t>ly</w:t>
      </w:r>
      <w:r w:rsidR="00763B9F">
        <w:t xml:space="preserve"> from the </w:t>
      </w:r>
      <w:r w:rsidR="00763B9F">
        <w:rPr>
          <w:i/>
        </w:rPr>
        <w:t xml:space="preserve">ESP Case. </w:t>
      </w:r>
      <w:r w:rsidR="009841EE">
        <w:rPr>
          <w:i/>
        </w:rPr>
        <w:t xml:space="preserve"> </w:t>
      </w:r>
      <w:r w:rsidR="009841EE">
        <w:t xml:space="preserve">The </w:t>
      </w:r>
      <w:r w:rsidR="009841EE" w:rsidRPr="00472E47">
        <w:rPr>
          <w:i/>
        </w:rPr>
        <w:t>ESP Case</w:t>
      </w:r>
      <w:r w:rsidR="009841EE">
        <w:t xml:space="preserve"> should be scheduled separately and in recognition that the term of the current ESP runs through May 2017.</w:t>
      </w:r>
    </w:p>
    <w:p w14:paraId="5597A2AF" w14:textId="77777777" w:rsidR="006F36FF" w:rsidRDefault="006F36FF" w:rsidP="008342B4">
      <w:pPr>
        <w:tabs>
          <w:tab w:val="right" w:pos="8640"/>
        </w:tabs>
        <w:spacing w:line="240" w:lineRule="auto"/>
        <w:ind w:left="3960"/>
      </w:pPr>
      <w:r>
        <w:t>Respectfully submitted,</w:t>
      </w:r>
    </w:p>
    <w:p w14:paraId="3548EBB1" w14:textId="77777777" w:rsidR="006F36FF" w:rsidRPr="006F36FF" w:rsidRDefault="006F36FF">
      <w:pPr>
        <w:tabs>
          <w:tab w:val="right" w:pos="8640"/>
        </w:tabs>
        <w:spacing w:line="240" w:lineRule="auto"/>
        <w:ind w:left="3960"/>
      </w:pPr>
    </w:p>
    <w:p w14:paraId="4986B027" w14:textId="7570EA2C" w:rsidR="006F36FF" w:rsidRPr="006F36FF" w:rsidRDefault="006F36FF" w:rsidP="006F36FF">
      <w:pPr>
        <w:tabs>
          <w:tab w:val="left" w:pos="3960"/>
          <w:tab w:val="right" w:pos="8640"/>
        </w:tabs>
        <w:spacing w:line="240" w:lineRule="auto"/>
        <w:rPr>
          <w:i/>
          <w:u w:val="single"/>
        </w:rPr>
      </w:pPr>
      <w:r w:rsidRPr="006F36FF">
        <w:rPr>
          <w:i/>
        </w:rPr>
        <w:tab/>
      </w:r>
      <w:r w:rsidRPr="006F36FF">
        <w:rPr>
          <w:i/>
          <w:u w:val="single"/>
        </w:rPr>
        <w:t xml:space="preserve">/s/ </w:t>
      </w:r>
      <w:r>
        <w:rPr>
          <w:i/>
          <w:u w:val="single"/>
        </w:rPr>
        <w:t>Matthew R. Pritchard</w:t>
      </w:r>
      <w:r w:rsidRPr="006F36FF">
        <w:rPr>
          <w:i/>
          <w:u w:val="single"/>
        </w:rPr>
        <w:tab/>
      </w:r>
    </w:p>
    <w:p w14:paraId="32306EC0" w14:textId="77777777" w:rsidR="006F36FF" w:rsidRDefault="006F36FF" w:rsidP="006F36FF">
      <w:pPr>
        <w:pStyle w:val="BodyText3"/>
        <w:widowControl w:val="0"/>
        <w:spacing w:after="0" w:line="240" w:lineRule="auto"/>
        <w:ind w:left="3960"/>
        <w:rPr>
          <w:bCs/>
          <w:sz w:val="24"/>
          <w:szCs w:val="24"/>
        </w:rPr>
      </w:pPr>
      <w:r w:rsidRPr="006F36FF">
        <w:rPr>
          <w:bCs/>
          <w:sz w:val="24"/>
          <w:szCs w:val="24"/>
        </w:rPr>
        <w:t>Frank P. Darr (Reg. No. 0025469)</w:t>
      </w:r>
    </w:p>
    <w:p w14:paraId="36FC4CE2" w14:textId="77777777" w:rsidR="006F36FF" w:rsidRPr="006F36FF" w:rsidRDefault="006F36FF" w:rsidP="006F36FF">
      <w:pPr>
        <w:tabs>
          <w:tab w:val="right" w:pos="8640"/>
        </w:tabs>
        <w:spacing w:line="240" w:lineRule="auto"/>
        <w:ind w:left="3960"/>
      </w:pPr>
      <w:r w:rsidRPr="006F36FF">
        <w:t>(Counsel of Record)</w:t>
      </w:r>
    </w:p>
    <w:p w14:paraId="0715954B" w14:textId="77777777" w:rsidR="006F36FF" w:rsidRPr="006F36FF" w:rsidRDefault="006F36FF" w:rsidP="006F36FF">
      <w:pPr>
        <w:pStyle w:val="BodyText3"/>
        <w:widowControl w:val="0"/>
        <w:spacing w:after="0" w:line="240" w:lineRule="auto"/>
        <w:ind w:left="3960"/>
        <w:rPr>
          <w:b/>
          <w:bCs/>
          <w:sz w:val="24"/>
          <w:szCs w:val="24"/>
        </w:rPr>
      </w:pPr>
      <w:r w:rsidRPr="006F36FF">
        <w:rPr>
          <w:bCs/>
          <w:sz w:val="24"/>
          <w:szCs w:val="24"/>
        </w:rPr>
        <w:t>Matthew R. Pritchard (Reg. No. 0088070)</w:t>
      </w:r>
    </w:p>
    <w:p w14:paraId="620D140B" w14:textId="77777777" w:rsidR="006F36FF" w:rsidRPr="006F36FF" w:rsidRDefault="006F36FF" w:rsidP="006F36FF">
      <w:pPr>
        <w:pStyle w:val="BodyText3"/>
        <w:widowControl w:val="0"/>
        <w:spacing w:after="0" w:line="240" w:lineRule="auto"/>
        <w:ind w:left="3960"/>
        <w:rPr>
          <w:b/>
          <w:bCs/>
          <w:smallCaps/>
          <w:sz w:val="24"/>
          <w:szCs w:val="24"/>
        </w:rPr>
      </w:pPr>
      <w:r w:rsidRPr="006F36FF">
        <w:rPr>
          <w:bCs/>
          <w:smallCaps/>
          <w:sz w:val="24"/>
          <w:szCs w:val="24"/>
        </w:rPr>
        <w:t>McNees Wallace &amp; Nurick LLC</w:t>
      </w:r>
    </w:p>
    <w:p w14:paraId="2AC6D3DF" w14:textId="77777777" w:rsidR="006F36FF" w:rsidRPr="006F36FF" w:rsidRDefault="006F36FF" w:rsidP="006F36FF">
      <w:pPr>
        <w:pStyle w:val="BodyText3"/>
        <w:widowControl w:val="0"/>
        <w:spacing w:after="0" w:line="240" w:lineRule="auto"/>
        <w:ind w:left="3960"/>
        <w:rPr>
          <w:b/>
          <w:bCs/>
          <w:sz w:val="24"/>
          <w:szCs w:val="24"/>
        </w:rPr>
      </w:pPr>
      <w:r w:rsidRPr="006F36FF">
        <w:rPr>
          <w:bCs/>
          <w:sz w:val="24"/>
          <w:szCs w:val="24"/>
        </w:rPr>
        <w:t>21 East State Street, 17</w:t>
      </w:r>
      <w:r w:rsidRPr="006F36FF">
        <w:rPr>
          <w:bCs/>
          <w:sz w:val="24"/>
          <w:szCs w:val="24"/>
          <w:vertAlign w:val="superscript"/>
        </w:rPr>
        <w:t>TH</w:t>
      </w:r>
      <w:r w:rsidRPr="006F36FF">
        <w:rPr>
          <w:bCs/>
          <w:sz w:val="24"/>
          <w:szCs w:val="24"/>
        </w:rPr>
        <w:t xml:space="preserve"> Floor</w:t>
      </w:r>
    </w:p>
    <w:p w14:paraId="28BADEBD" w14:textId="77777777" w:rsidR="006F36FF" w:rsidRPr="006F36FF" w:rsidRDefault="006F36FF" w:rsidP="006F36FF">
      <w:pPr>
        <w:pStyle w:val="BodyText"/>
        <w:spacing w:after="0" w:line="240" w:lineRule="auto"/>
        <w:ind w:left="3960"/>
      </w:pPr>
      <w:r w:rsidRPr="006F36FF">
        <w:t>Columbus, OH  43215</w:t>
      </w:r>
    </w:p>
    <w:p w14:paraId="23FFD280" w14:textId="77777777" w:rsidR="006F36FF" w:rsidRPr="006F36FF" w:rsidRDefault="006F36FF" w:rsidP="006F36FF">
      <w:pPr>
        <w:pStyle w:val="BodyText"/>
        <w:spacing w:after="0" w:line="240" w:lineRule="auto"/>
        <w:ind w:left="3960"/>
      </w:pPr>
      <w:r w:rsidRPr="006F36FF">
        <w:t>Telephone:  (614) 469-8000</w:t>
      </w:r>
    </w:p>
    <w:p w14:paraId="283B4A2C" w14:textId="77777777" w:rsidR="006F36FF" w:rsidRPr="006F36FF" w:rsidRDefault="006F36FF" w:rsidP="006F36FF">
      <w:pPr>
        <w:pStyle w:val="BodyText"/>
        <w:spacing w:after="0" w:line="240" w:lineRule="auto"/>
        <w:ind w:left="3960"/>
      </w:pPr>
      <w:r w:rsidRPr="006F36FF">
        <w:t>Telecopier:  (614) 469-4653</w:t>
      </w:r>
    </w:p>
    <w:p w14:paraId="66205819" w14:textId="77777777" w:rsidR="006F36FF" w:rsidRPr="006F36FF" w:rsidRDefault="006F36FF" w:rsidP="006F36FF">
      <w:pPr>
        <w:pStyle w:val="BodyText"/>
        <w:spacing w:after="0" w:line="240" w:lineRule="auto"/>
        <w:ind w:left="3960"/>
      </w:pPr>
      <w:r w:rsidRPr="006F36FF">
        <w:t>fdarr@mwncmh.com</w:t>
      </w:r>
    </w:p>
    <w:p w14:paraId="01E0A934" w14:textId="77777777" w:rsidR="006F36FF" w:rsidRPr="006F36FF" w:rsidRDefault="006F36FF" w:rsidP="006F36FF">
      <w:pPr>
        <w:pStyle w:val="BodyText"/>
        <w:spacing w:after="0" w:line="240" w:lineRule="auto"/>
        <w:ind w:left="3960"/>
      </w:pPr>
      <w:r w:rsidRPr="006F36FF">
        <w:t>mpritchard@mwncmh.com</w:t>
      </w:r>
    </w:p>
    <w:p w14:paraId="22C7D582" w14:textId="77777777" w:rsidR="006F36FF" w:rsidRPr="006F36FF" w:rsidRDefault="006F36FF" w:rsidP="006F36FF">
      <w:pPr>
        <w:pStyle w:val="BodyText"/>
        <w:spacing w:after="0" w:line="240" w:lineRule="auto"/>
        <w:ind w:left="3960"/>
      </w:pPr>
    </w:p>
    <w:p w14:paraId="675696BF" w14:textId="77777777" w:rsidR="006F36FF" w:rsidRPr="006F36FF" w:rsidRDefault="006F36FF" w:rsidP="006F36FF">
      <w:pPr>
        <w:pStyle w:val="Title"/>
        <w:ind w:left="3960"/>
        <w:jc w:val="left"/>
        <w:rPr>
          <w:sz w:val="24"/>
        </w:rPr>
      </w:pPr>
      <w:r w:rsidRPr="006F36FF">
        <w:rPr>
          <w:sz w:val="24"/>
        </w:rPr>
        <w:t>Attorneys for Industrial Energy Users-Ohio</w:t>
      </w:r>
    </w:p>
    <w:p w14:paraId="7FE208E8" w14:textId="77777777" w:rsidR="006F36FF" w:rsidRPr="006F36FF" w:rsidRDefault="006F36FF" w:rsidP="006F36FF">
      <w:pPr>
        <w:tabs>
          <w:tab w:val="left" w:pos="2160"/>
          <w:tab w:val="left" w:pos="2280"/>
        </w:tabs>
        <w:spacing w:line="240" w:lineRule="auto"/>
        <w:jc w:val="center"/>
        <w:rPr>
          <w:b/>
        </w:rPr>
        <w:sectPr w:rsidR="006F36FF" w:rsidRPr="006F36FF" w:rsidSect="00A245DB">
          <w:pgSz w:w="12240" w:h="15840" w:code="1"/>
          <w:pgMar w:top="1224" w:right="1440" w:bottom="1152" w:left="1440" w:header="720" w:footer="720" w:gutter="0"/>
          <w:pgNumType w:start="1"/>
          <w:cols w:space="720"/>
          <w:titlePg/>
          <w:docGrid w:linePitch="326"/>
        </w:sectPr>
      </w:pPr>
    </w:p>
    <w:p w14:paraId="1D7C9F39" w14:textId="77777777" w:rsidR="006F36FF" w:rsidRPr="00A91E96" w:rsidRDefault="006F36FF" w:rsidP="006F36FF">
      <w:pPr>
        <w:tabs>
          <w:tab w:val="left" w:pos="2160"/>
          <w:tab w:val="left" w:pos="2280"/>
        </w:tabs>
        <w:spacing w:line="240" w:lineRule="auto"/>
        <w:jc w:val="center"/>
        <w:rPr>
          <w:b/>
          <w:smallCaps/>
          <w:sz w:val="28"/>
          <w:szCs w:val="28"/>
          <w:u w:val="single"/>
        </w:rPr>
      </w:pPr>
      <w:r w:rsidRPr="00A91E96">
        <w:rPr>
          <w:b/>
          <w:smallCaps/>
          <w:sz w:val="28"/>
          <w:szCs w:val="28"/>
          <w:u w:val="single"/>
        </w:rPr>
        <w:lastRenderedPageBreak/>
        <w:t>Certificate of Service</w:t>
      </w:r>
    </w:p>
    <w:p w14:paraId="50F519C2" w14:textId="77777777" w:rsidR="006F36FF" w:rsidRPr="006F36FF" w:rsidRDefault="006F36FF" w:rsidP="006F36FF">
      <w:pPr>
        <w:spacing w:line="240" w:lineRule="auto"/>
      </w:pPr>
    </w:p>
    <w:p w14:paraId="65EA0F53" w14:textId="2D822E72" w:rsidR="006F36FF" w:rsidRPr="006F36FF" w:rsidRDefault="006F36FF" w:rsidP="00891E1E">
      <w:pPr>
        <w:pStyle w:val="BodyText"/>
        <w:spacing w:after="0"/>
        <w:ind w:firstLine="720"/>
      </w:pPr>
      <w:r w:rsidRPr="006F36FF">
        <w:t>In accordance with Rule 4901-1-05, Ohio Administrative Code, the PUCO's e</w:t>
      </w:r>
      <w:r w:rsidRPr="006F36FF">
        <w:noBreakHyphen/>
        <w:t xml:space="preserve">filing system will electronically serve notice of the filing of this document upon the following parties.  In addition, I hereby certify that a service copy of the foregoing </w:t>
      </w:r>
      <w:r w:rsidR="00891E1E">
        <w:rPr>
          <w:i/>
        </w:rPr>
        <w:t xml:space="preserve">Industrial Energy Users-Ohio’s Memorandum Contra Motion of The Dayton Power and Light Company for Case Management Order to Establish Deadlines and to Coordinate Cases </w:t>
      </w:r>
      <w:r w:rsidRPr="006F36FF">
        <w:t xml:space="preserve">was sent by, or on behalf of, the undersigned counsel for IEU-Ohio to the following parties of record this </w:t>
      </w:r>
      <w:r w:rsidR="00891E1E">
        <w:t>2</w:t>
      </w:r>
      <w:r w:rsidR="00891E1E" w:rsidRPr="00891E1E">
        <w:rPr>
          <w:vertAlign w:val="superscript"/>
        </w:rPr>
        <w:t>nd</w:t>
      </w:r>
      <w:r w:rsidR="00891E1E">
        <w:t xml:space="preserve"> </w:t>
      </w:r>
      <w:r w:rsidRPr="006F36FF">
        <w:t xml:space="preserve">day of </w:t>
      </w:r>
      <w:r w:rsidR="00891E1E">
        <w:t xml:space="preserve">May </w:t>
      </w:r>
      <w:r w:rsidRPr="006F36FF">
        <w:t xml:space="preserve">2016, </w:t>
      </w:r>
      <w:r w:rsidRPr="006F36FF">
        <w:rPr>
          <w:i/>
        </w:rPr>
        <w:t>via</w:t>
      </w:r>
      <w:r w:rsidRPr="006F36FF">
        <w:t xml:space="preserve"> electronic transmission. </w:t>
      </w:r>
    </w:p>
    <w:p w14:paraId="5F5AD9E9" w14:textId="03E4D8B6" w:rsidR="006F36FF" w:rsidRPr="006F36FF" w:rsidRDefault="006F36FF" w:rsidP="006F36FF">
      <w:pPr>
        <w:tabs>
          <w:tab w:val="center" w:pos="7200"/>
          <w:tab w:val="right" w:pos="9360"/>
        </w:tabs>
        <w:spacing w:line="240" w:lineRule="auto"/>
        <w:ind w:left="5040"/>
        <w:rPr>
          <w:i/>
          <w:u w:val="single"/>
        </w:rPr>
      </w:pPr>
      <w:r w:rsidRPr="006F36FF">
        <w:rPr>
          <w:i/>
          <w:u w:val="single"/>
        </w:rPr>
        <w:t xml:space="preserve">/s/ </w:t>
      </w:r>
      <w:r w:rsidR="00891E1E">
        <w:rPr>
          <w:i/>
          <w:u w:val="single"/>
        </w:rPr>
        <w:t>Matthew R. Pritchard</w:t>
      </w:r>
      <w:r w:rsidRPr="006F36FF">
        <w:rPr>
          <w:i/>
          <w:u w:val="single"/>
        </w:rPr>
        <w:tab/>
      </w:r>
    </w:p>
    <w:p w14:paraId="176D5BBC" w14:textId="1F9EC7A2" w:rsidR="00891E1E" w:rsidRDefault="00891E1E" w:rsidP="002B59BF">
      <w:pPr>
        <w:tabs>
          <w:tab w:val="center" w:pos="7200"/>
          <w:tab w:val="right" w:pos="9360"/>
        </w:tabs>
        <w:spacing w:line="240" w:lineRule="auto"/>
        <w:ind w:left="5760"/>
      </w:pPr>
      <w:r>
        <w:t>Matthew R. Pritchard</w:t>
      </w:r>
    </w:p>
    <w:p w14:paraId="295D44F4" w14:textId="77777777" w:rsidR="002B59BF" w:rsidRDefault="002B59BF" w:rsidP="002B59BF">
      <w:pPr>
        <w:tabs>
          <w:tab w:val="center" w:pos="7200"/>
          <w:tab w:val="right" w:pos="9360"/>
        </w:tabs>
        <w:spacing w:line="240" w:lineRule="auto"/>
        <w:ind w:left="5760"/>
      </w:pPr>
    </w:p>
    <w:p w14:paraId="06E7A53B" w14:textId="77777777" w:rsidR="002B59BF" w:rsidRDefault="002B59BF" w:rsidP="00BC1C7D">
      <w:pPr>
        <w:spacing w:line="240" w:lineRule="auto"/>
        <w:jc w:val="left"/>
        <w:rPr>
          <w:color w:val="000000" w:themeColor="text1"/>
          <w:sz w:val="22"/>
          <w:szCs w:val="22"/>
        </w:rPr>
        <w:sectPr w:rsidR="002B59BF" w:rsidSect="002B59BF">
          <w:headerReference w:type="even" r:id="rId14"/>
          <w:headerReference w:type="default" r:id="rId15"/>
          <w:footerReference w:type="even" r:id="rId16"/>
          <w:footerReference w:type="default" r:id="rId17"/>
          <w:headerReference w:type="first" r:id="rId18"/>
          <w:footerReference w:type="first" r:id="rId19"/>
          <w:pgSz w:w="12240" w:h="15840" w:code="1"/>
          <w:pgMar w:top="1296" w:right="1440" w:bottom="1152" w:left="1440" w:header="720" w:footer="720" w:gutter="0"/>
          <w:pgNumType w:start="1"/>
          <w:cols w:space="720"/>
          <w:titlePg/>
          <w:docGrid w:linePitch="360"/>
        </w:sectPr>
      </w:pPr>
    </w:p>
    <w:p w14:paraId="5743CBB8" w14:textId="77777777" w:rsidR="001C11E9" w:rsidRPr="00A05771" w:rsidRDefault="001C11E9" w:rsidP="001C11E9">
      <w:pPr>
        <w:spacing w:line="240" w:lineRule="auto"/>
        <w:rPr>
          <w:rFonts w:eastAsia="Calibri"/>
          <w:color w:val="000000" w:themeColor="text1"/>
          <w:sz w:val="22"/>
          <w:szCs w:val="22"/>
        </w:rPr>
      </w:pPr>
      <w:r w:rsidRPr="00A05771">
        <w:rPr>
          <w:rFonts w:eastAsia="Calibri"/>
          <w:color w:val="000000" w:themeColor="text1"/>
          <w:sz w:val="22"/>
          <w:szCs w:val="22"/>
        </w:rPr>
        <w:t>Ajay.kumar@occ.ohio.gov</w:t>
      </w:r>
    </w:p>
    <w:p w14:paraId="5EEB3280" w14:textId="43CFEACE" w:rsidR="001C11E9" w:rsidRPr="00A05771" w:rsidRDefault="001C11E9" w:rsidP="001C11E9">
      <w:pPr>
        <w:tabs>
          <w:tab w:val="left" w:pos="2160"/>
          <w:tab w:val="left" w:pos="2280"/>
        </w:tabs>
        <w:spacing w:line="240" w:lineRule="auto"/>
        <w:rPr>
          <w:rFonts w:eastAsia="Calibri"/>
          <w:color w:val="000000" w:themeColor="text1"/>
          <w:sz w:val="22"/>
          <w:szCs w:val="22"/>
        </w:rPr>
      </w:pPr>
      <w:r w:rsidRPr="00141E2C">
        <w:rPr>
          <w:rFonts w:eastAsia="Calibri"/>
          <w:sz w:val="22"/>
          <w:szCs w:val="22"/>
        </w:rPr>
        <w:t>amy.spiller@duke-energy.com</w:t>
      </w:r>
    </w:p>
    <w:p w14:paraId="7FFD3E79" w14:textId="77777777" w:rsidR="001C11E9" w:rsidRPr="00A05771" w:rsidRDefault="001C11E9" w:rsidP="001C11E9">
      <w:pPr>
        <w:spacing w:line="240" w:lineRule="auto"/>
        <w:rPr>
          <w:rFonts w:eastAsia="Calibri"/>
          <w:color w:val="000000" w:themeColor="text1"/>
          <w:sz w:val="22"/>
          <w:szCs w:val="22"/>
        </w:rPr>
      </w:pPr>
      <w:r w:rsidRPr="00A05771">
        <w:rPr>
          <w:rFonts w:eastAsia="Calibri"/>
          <w:color w:val="000000" w:themeColor="text1"/>
          <w:sz w:val="22"/>
          <w:szCs w:val="22"/>
        </w:rPr>
        <w:t>bargetsinger@kfwlaw.com</w:t>
      </w:r>
    </w:p>
    <w:p w14:paraId="3152B054" w14:textId="77777777" w:rsidR="001C11E9" w:rsidRPr="00A05771" w:rsidRDefault="001C11E9" w:rsidP="001C11E9">
      <w:pPr>
        <w:spacing w:line="240" w:lineRule="auto"/>
        <w:rPr>
          <w:rFonts w:eastAsia="Calibri"/>
          <w:color w:val="000000" w:themeColor="text1"/>
          <w:sz w:val="22"/>
          <w:szCs w:val="22"/>
        </w:rPr>
      </w:pPr>
      <w:r w:rsidRPr="00A05771">
        <w:rPr>
          <w:rFonts w:eastAsia="Calibri"/>
          <w:color w:val="000000" w:themeColor="text1"/>
          <w:sz w:val="22"/>
          <w:szCs w:val="22"/>
        </w:rPr>
        <w:t>Bojko@carpenterlipps.com</w:t>
      </w:r>
    </w:p>
    <w:p w14:paraId="4C435078" w14:textId="77777777" w:rsidR="001C11E9" w:rsidRPr="00A05771" w:rsidRDefault="001C11E9" w:rsidP="001C11E9">
      <w:pPr>
        <w:tabs>
          <w:tab w:val="left" w:pos="2160"/>
          <w:tab w:val="left" w:pos="2280"/>
        </w:tabs>
        <w:spacing w:line="240" w:lineRule="auto"/>
        <w:rPr>
          <w:color w:val="000000" w:themeColor="text1"/>
          <w:sz w:val="22"/>
          <w:szCs w:val="22"/>
        </w:rPr>
      </w:pPr>
      <w:r w:rsidRPr="00A05771">
        <w:rPr>
          <w:color w:val="000000" w:themeColor="text1"/>
          <w:sz w:val="22"/>
          <w:szCs w:val="22"/>
        </w:rPr>
        <w:t>bryce.mckenney@puc.state.oh.us</w:t>
      </w:r>
    </w:p>
    <w:p w14:paraId="4D72F026" w14:textId="77777777" w:rsidR="001C11E9" w:rsidRPr="00A05771" w:rsidRDefault="001C11E9" w:rsidP="001C11E9">
      <w:pPr>
        <w:spacing w:line="240" w:lineRule="auto"/>
        <w:rPr>
          <w:rFonts w:eastAsia="Calibri"/>
          <w:bCs/>
          <w:color w:val="000000" w:themeColor="text1"/>
          <w:sz w:val="22"/>
          <w:szCs w:val="22"/>
        </w:rPr>
      </w:pPr>
      <w:r w:rsidRPr="00A05771">
        <w:rPr>
          <w:rFonts w:eastAsia="Calibri"/>
          <w:bCs/>
          <w:color w:val="000000" w:themeColor="text1"/>
          <w:sz w:val="22"/>
          <w:szCs w:val="22"/>
        </w:rPr>
        <w:t>cfaruki@ficlaw.com</w:t>
      </w:r>
    </w:p>
    <w:p w14:paraId="4D73B281" w14:textId="77777777" w:rsidR="001C11E9" w:rsidRPr="00A05771" w:rsidRDefault="001C11E9" w:rsidP="001C11E9">
      <w:pPr>
        <w:spacing w:line="240" w:lineRule="auto"/>
        <w:rPr>
          <w:rFonts w:eastAsia="Calibri"/>
          <w:color w:val="000000" w:themeColor="text1"/>
          <w:sz w:val="22"/>
          <w:szCs w:val="22"/>
        </w:rPr>
      </w:pPr>
      <w:r w:rsidRPr="00A05771">
        <w:rPr>
          <w:rFonts w:eastAsia="Calibri"/>
          <w:color w:val="000000" w:themeColor="text1"/>
          <w:sz w:val="22"/>
          <w:szCs w:val="22"/>
        </w:rPr>
        <w:t>charris@spilmanlaw.com</w:t>
      </w:r>
    </w:p>
    <w:p w14:paraId="6A93CA64" w14:textId="77777777" w:rsidR="001C11E9" w:rsidRPr="00A05771" w:rsidRDefault="001C11E9" w:rsidP="001C11E9">
      <w:pPr>
        <w:spacing w:line="240" w:lineRule="auto"/>
        <w:rPr>
          <w:rFonts w:eastAsia="Calibri"/>
          <w:color w:val="000000" w:themeColor="text1"/>
          <w:sz w:val="22"/>
          <w:szCs w:val="22"/>
        </w:rPr>
      </w:pPr>
      <w:r w:rsidRPr="00A05771">
        <w:rPr>
          <w:rFonts w:eastAsia="Calibri"/>
          <w:color w:val="000000" w:themeColor="text1"/>
          <w:sz w:val="22"/>
          <w:szCs w:val="22"/>
        </w:rPr>
        <w:t>Christopher.healey@occ.ohio.gov</w:t>
      </w:r>
    </w:p>
    <w:p w14:paraId="42C83BC4" w14:textId="4C3C664D" w:rsidR="001C11E9" w:rsidRPr="00A05771" w:rsidRDefault="001C11E9" w:rsidP="001C11E9">
      <w:pPr>
        <w:spacing w:line="240" w:lineRule="auto"/>
        <w:jc w:val="left"/>
        <w:rPr>
          <w:color w:val="000000" w:themeColor="text1"/>
          <w:sz w:val="22"/>
          <w:szCs w:val="22"/>
        </w:rPr>
      </w:pPr>
      <w:r w:rsidRPr="00141E2C">
        <w:rPr>
          <w:sz w:val="22"/>
          <w:szCs w:val="22"/>
        </w:rPr>
        <w:t>cmooney@ohiopartners.org</w:t>
      </w:r>
    </w:p>
    <w:p w14:paraId="16A99517" w14:textId="77777777" w:rsidR="001C11E9" w:rsidRPr="00A05771" w:rsidRDefault="001C11E9" w:rsidP="001C11E9">
      <w:pPr>
        <w:spacing w:line="240" w:lineRule="auto"/>
        <w:rPr>
          <w:rFonts w:eastAsia="Calibri"/>
          <w:color w:val="000000" w:themeColor="text1"/>
          <w:sz w:val="22"/>
          <w:szCs w:val="22"/>
        </w:rPr>
      </w:pPr>
      <w:r w:rsidRPr="00A05771">
        <w:rPr>
          <w:rFonts w:eastAsia="Calibri"/>
          <w:color w:val="000000" w:themeColor="text1"/>
          <w:sz w:val="22"/>
          <w:szCs w:val="22"/>
        </w:rPr>
        <w:t>dboehm@BKLlawfirm.com</w:t>
      </w:r>
    </w:p>
    <w:p w14:paraId="02C94064" w14:textId="77777777" w:rsidR="001C11E9" w:rsidRPr="00A05771" w:rsidRDefault="001C11E9" w:rsidP="001C11E9">
      <w:pPr>
        <w:autoSpaceDE w:val="0"/>
        <w:autoSpaceDN w:val="0"/>
        <w:adjustRightInd w:val="0"/>
        <w:spacing w:line="240" w:lineRule="auto"/>
        <w:jc w:val="left"/>
        <w:rPr>
          <w:color w:val="000000" w:themeColor="text1"/>
          <w:sz w:val="22"/>
          <w:szCs w:val="22"/>
        </w:rPr>
      </w:pPr>
      <w:r w:rsidRPr="00A05771">
        <w:rPr>
          <w:color w:val="000000" w:themeColor="text1"/>
          <w:sz w:val="22"/>
          <w:szCs w:val="22"/>
        </w:rPr>
        <w:t>mkurtzt@BKLlawfirm.com</w:t>
      </w:r>
    </w:p>
    <w:p w14:paraId="7DB7F62B" w14:textId="77777777" w:rsidR="001C11E9" w:rsidRPr="00A05771" w:rsidRDefault="001C11E9" w:rsidP="001C11E9">
      <w:pPr>
        <w:spacing w:line="240" w:lineRule="auto"/>
        <w:rPr>
          <w:rFonts w:eastAsia="Calibri"/>
          <w:color w:val="000000" w:themeColor="text1"/>
          <w:sz w:val="22"/>
          <w:szCs w:val="22"/>
        </w:rPr>
      </w:pPr>
      <w:r w:rsidRPr="00A05771">
        <w:rPr>
          <w:rFonts w:eastAsia="Calibri"/>
          <w:color w:val="000000" w:themeColor="text1"/>
          <w:sz w:val="22"/>
          <w:szCs w:val="22"/>
        </w:rPr>
        <w:t>dborchers@bricker.com</w:t>
      </w:r>
    </w:p>
    <w:p w14:paraId="156BD885" w14:textId="77777777" w:rsidR="001C11E9" w:rsidRPr="00A05771" w:rsidRDefault="001C11E9" w:rsidP="001C11E9">
      <w:pPr>
        <w:autoSpaceDE w:val="0"/>
        <w:autoSpaceDN w:val="0"/>
        <w:adjustRightInd w:val="0"/>
        <w:spacing w:line="240" w:lineRule="auto"/>
        <w:jc w:val="left"/>
        <w:rPr>
          <w:color w:val="000000" w:themeColor="text1"/>
          <w:sz w:val="22"/>
          <w:szCs w:val="22"/>
        </w:rPr>
      </w:pPr>
      <w:r w:rsidRPr="00A05771">
        <w:rPr>
          <w:color w:val="000000" w:themeColor="text1"/>
          <w:sz w:val="22"/>
          <w:szCs w:val="22"/>
        </w:rPr>
        <w:t>djireland@ficlaw.com</w:t>
      </w:r>
    </w:p>
    <w:p w14:paraId="655E2B53" w14:textId="77777777" w:rsidR="001C11E9" w:rsidRPr="00A05771" w:rsidRDefault="001C11E9" w:rsidP="001C11E9">
      <w:pPr>
        <w:spacing w:line="240" w:lineRule="auto"/>
        <w:rPr>
          <w:rFonts w:eastAsia="Calibri"/>
          <w:color w:val="000000" w:themeColor="text1"/>
          <w:sz w:val="22"/>
          <w:szCs w:val="22"/>
        </w:rPr>
      </w:pPr>
      <w:r w:rsidRPr="00A05771">
        <w:rPr>
          <w:rFonts w:eastAsia="Calibri"/>
          <w:color w:val="000000" w:themeColor="text1"/>
          <w:sz w:val="22"/>
          <w:szCs w:val="22"/>
        </w:rPr>
        <w:t>dwilliamson@spilmanlaw.com</w:t>
      </w:r>
    </w:p>
    <w:p w14:paraId="68B0F427" w14:textId="77777777" w:rsidR="001C11E9" w:rsidRPr="00A05771" w:rsidRDefault="001C11E9" w:rsidP="001C11E9">
      <w:pPr>
        <w:spacing w:line="240" w:lineRule="auto"/>
        <w:rPr>
          <w:rFonts w:eastAsia="Calibri"/>
          <w:color w:val="000000" w:themeColor="text1"/>
          <w:sz w:val="22"/>
          <w:szCs w:val="22"/>
        </w:rPr>
      </w:pPr>
      <w:r w:rsidRPr="00A05771">
        <w:rPr>
          <w:rFonts w:eastAsia="Calibri"/>
          <w:color w:val="000000" w:themeColor="text1"/>
          <w:sz w:val="22"/>
          <w:szCs w:val="22"/>
        </w:rPr>
        <w:t>ejacobs@ablelaw.org</w:t>
      </w:r>
    </w:p>
    <w:p w14:paraId="679376AC" w14:textId="2156C900" w:rsidR="001C11E9" w:rsidRPr="00A05771" w:rsidRDefault="001C11E9" w:rsidP="001C11E9">
      <w:pPr>
        <w:tabs>
          <w:tab w:val="left" w:pos="2160"/>
          <w:tab w:val="left" w:pos="2280"/>
        </w:tabs>
        <w:spacing w:line="240" w:lineRule="auto"/>
        <w:rPr>
          <w:color w:val="000000" w:themeColor="text1"/>
          <w:sz w:val="22"/>
          <w:szCs w:val="22"/>
        </w:rPr>
      </w:pPr>
      <w:r w:rsidRPr="00141E2C">
        <w:rPr>
          <w:sz w:val="22"/>
          <w:szCs w:val="22"/>
        </w:rPr>
        <w:t>elizabeth.watts@duke-energy.com</w:t>
      </w:r>
    </w:p>
    <w:p w14:paraId="1F3CA404" w14:textId="0A0778C7" w:rsidR="001C11E9" w:rsidRPr="00A05771" w:rsidRDefault="001C11E9" w:rsidP="001C11E9">
      <w:pPr>
        <w:spacing w:line="240" w:lineRule="auto"/>
        <w:jc w:val="left"/>
        <w:rPr>
          <w:iCs/>
          <w:color w:val="000000" w:themeColor="text1"/>
          <w:sz w:val="22"/>
          <w:szCs w:val="22"/>
        </w:rPr>
      </w:pPr>
      <w:r w:rsidRPr="00141E2C">
        <w:rPr>
          <w:iCs/>
          <w:sz w:val="22"/>
          <w:szCs w:val="22"/>
        </w:rPr>
        <w:t>evelyn.robinson@pjm.com</w:t>
      </w:r>
    </w:p>
    <w:p w14:paraId="746CE6C5" w14:textId="77777777" w:rsidR="001C11E9" w:rsidRPr="00A05771" w:rsidRDefault="001C11E9" w:rsidP="001C11E9">
      <w:pPr>
        <w:spacing w:line="240" w:lineRule="auto"/>
        <w:rPr>
          <w:rFonts w:eastAsia="Calibri"/>
          <w:color w:val="000000" w:themeColor="text1"/>
          <w:sz w:val="22"/>
          <w:szCs w:val="22"/>
        </w:rPr>
      </w:pPr>
      <w:r w:rsidRPr="00A05771">
        <w:rPr>
          <w:rFonts w:eastAsia="Calibri"/>
          <w:color w:val="000000" w:themeColor="text1"/>
          <w:sz w:val="22"/>
          <w:szCs w:val="22"/>
        </w:rPr>
        <w:t>ghiloni@carpenterlipps.com</w:t>
      </w:r>
    </w:p>
    <w:p w14:paraId="10DE120C" w14:textId="350C3D86" w:rsidR="001C11E9" w:rsidRPr="00A05771" w:rsidRDefault="001C11E9" w:rsidP="001C11E9">
      <w:pPr>
        <w:spacing w:line="240" w:lineRule="auto"/>
        <w:jc w:val="left"/>
        <w:rPr>
          <w:color w:val="000000" w:themeColor="text1"/>
          <w:sz w:val="22"/>
          <w:szCs w:val="22"/>
        </w:rPr>
      </w:pPr>
      <w:r w:rsidRPr="00141E2C">
        <w:rPr>
          <w:sz w:val="22"/>
          <w:szCs w:val="22"/>
        </w:rPr>
        <w:t>glpetrucci@vorys.com</w:t>
      </w:r>
    </w:p>
    <w:p w14:paraId="32672137" w14:textId="0A864CB6" w:rsidR="001C11E9" w:rsidRPr="00A05771" w:rsidRDefault="001C11E9" w:rsidP="001C11E9">
      <w:pPr>
        <w:spacing w:line="240" w:lineRule="auto"/>
        <w:jc w:val="left"/>
        <w:rPr>
          <w:rStyle w:val="Hyperlink"/>
          <w:color w:val="000000" w:themeColor="text1"/>
          <w:sz w:val="22"/>
          <w:szCs w:val="22"/>
          <w:u w:val="none"/>
        </w:rPr>
      </w:pPr>
      <w:r w:rsidRPr="00141E2C">
        <w:rPr>
          <w:sz w:val="22"/>
          <w:szCs w:val="22"/>
        </w:rPr>
        <w:t>gpoulos@enernoc.com</w:t>
      </w:r>
    </w:p>
    <w:p w14:paraId="39720011" w14:textId="77777777" w:rsidR="001C11E9" w:rsidRPr="00A05771" w:rsidRDefault="001C11E9" w:rsidP="001C11E9">
      <w:pPr>
        <w:tabs>
          <w:tab w:val="left" w:pos="2160"/>
          <w:tab w:val="left" w:pos="2280"/>
        </w:tabs>
        <w:spacing w:line="240" w:lineRule="auto"/>
        <w:rPr>
          <w:color w:val="000000" w:themeColor="text1"/>
          <w:sz w:val="22"/>
          <w:szCs w:val="22"/>
        </w:rPr>
      </w:pPr>
      <w:r w:rsidRPr="00A05771">
        <w:rPr>
          <w:color w:val="000000" w:themeColor="text1"/>
          <w:sz w:val="22"/>
          <w:szCs w:val="22"/>
        </w:rPr>
        <w:t>greg.price@puc.state.oh.us</w:t>
      </w:r>
    </w:p>
    <w:p w14:paraId="657951C8" w14:textId="77777777" w:rsidR="001C11E9" w:rsidRPr="00A05771" w:rsidRDefault="001C11E9" w:rsidP="001C11E9">
      <w:pPr>
        <w:spacing w:line="240" w:lineRule="auto"/>
        <w:rPr>
          <w:rFonts w:eastAsia="Calibri"/>
          <w:color w:val="000000" w:themeColor="text1"/>
          <w:sz w:val="22"/>
          <w:szCs w:val="22"/>
        </w:rPr>
      </w:pPr>
      <w:r w:rsidRPr="00A05771">
        <w:rPr>
          <w:rFonts w:eastAsia="Calibri"/>
          <w:color w:val="000000" w:themeColor="text1"/>
          <w:sz w:val="22"/>
          <w:szCs w:val="22"/>
        </w:rPr>
        <w:t>Greg.Tillman@walmart.com</w:t>
      </w:r>
    </w:p>
    <w:p w14:paraId="7A435C0A" w14:textId="037AAD6C" w:rsidR="001C11E9" w:rsidRPr="00A05771" w:rsidRDefault="001C11E9" w:rsidP="001C11E9">
      <w:pPr>
        <w:spacing w:line="240" w:lineRule="auto"/>
        <w:jc w:val="left"/>
        <w:rPr>
          <w:color w:val="000000" w:themeColor="text1"/>
          <w:sz w:val="22"/>
          <w:szCs w:val="22"/>
        </w:rPr>
      </w:pPr>
      <w:r w:rsidRPr="00141E2C">
        <w:rPr>
          <w:sz w:val="22"/>
          <w:szCs w:val="22"/>
        </w:rPr>
        <w:t>ibatikov@vorys.com</w:t>
      </w:r>
    </w:p>
    <w:p w14:paraId="052EEB8A" w14:textId="1F7098F4" w:rsidR="001C11E9" w:rsidRPr="00A05771" w:rsidRDefault="001C11E9" w:rsidP="001C11E9">
      <w:pPr>
        <w:spacing w:line="240" w:lineRule="auto"/>
        <w:jc w:val="left"/>
        <w:rPr>
          <w:iCs/>
          <w:color w:val="000000" w:themeColor="text1"/>
          <w:sz w:val="22"/>
          <w:szCs w:val="22"/>
        </w:rPr>
      </w:pPr>
      <w:r w:rsidRPr="00141E2C">
        <w:rPr>
          <w:iCs/>
          <w:sz w:val="22"/>
          <w:szCs w:val="22"/>
        </w:rPr>
        <w:t>jeffrey.mayes@monitoringanalytics.com</w:t>
      </w:r>
    </w:p>
    <w:p w14:paraId="740EC301" w14:textId="77777777" w:rsidR="001C11E9" w:rsidRPr="00A05771" w:rsidRDefault="001C11E9" w:rsidP="001C11E9">
      <w:pPr>
        <w:spacing w:line="240" w:lineRule="auto"/>
        <w:rPr>
          <w:rFonts w:eastAsia="Calibri"/>
          <w:color w:val="000000" w:themeColor="text1"/>
          <w:sz w:val="22"/>
          <w:szCs w:val="22"/>
        </w:rPr>
      </w:pPr>
      <w:r w:rsidRPr="00A05771">
        <w:rPr>
          <w:rFonts w:eastAsia="Calibri"/>
          <w:color w:val="000000" w:themeColor="text1"/>
          <w:sz w:val="22"/>
          <w:szCs w:val="22"/>
        </w:rPr>
        <w:t>jfinnigan@edf.org</w:t>
      </w:r>
    </w:p>
    <w:p w14:paraId="755BEE34" w14:textId="77777777" w:rsidR="001C11E9" w:rsidRPr="00A05771" w:rsidRDefault="001C11E9" w:rsidP="001C11E9">
      <w:pPr>
        <w:spacing w:line="240" w:lineRule="auto"/>
        <w:rPr>
          <w:rFonts w:eastAsia="Calibri"/>
          <w:color w:val="000000" w:themeColor="text1"/>
          <w:sz w:val="22"/>
          <w:szCs w:val="22"/>
        </w:rPr>
      </w:pPr>
      <w:r w:rsidRPr="00A05771">
        <w:rPr>
          <w:rFonts w:eastAsia="Calibri"/>
          <w:color w:val="000000" w:themeColor="text1"/>
          <w:sz w:val="22"/>
          <w:szCs w:val="22"/>
        </w:rPr>
        <w:t>jkylecohn@BKLlawfirm.com</w:t>
      </w:r>
    </w:p>
    <w:p w14:paraId="62CE3002" w14:textId="77777777" w:rsidR="001C11E9" w:rsidRPr="00A05771" w:rsidRDefault="001C11E9" w:rsidP="001C11E9">
      <w:pPr>
        <w:spacing w:line="240" w:lineRule="auto"/>
        <w:rPr>
          <w:rFonts w:eastAsia="Calibri"/>
          <w:color w:val="000000" w:themeColor="text1"/>
          <w:sz w:val="22"/>
          <w:szCs w:val="22"/>
        </w:rPr>
      </w:pPr>
      <w:r w:rsidRPr="00A05771">
        <w:rPr>
          <w:rFonts w:eastAsia="Calibri"/>
          <w:color w:val="000000" w:themeColor="text1"/>
          <w:sz w:val="22"/>
          <w:szCs w:val="22"/>
        </w:rPr>
        <w:t>jlang@calfee.com</w:t>
      </w:r>
    </w:p>
    <w:p w14:paraId="1B14A4F4" w14:textId="77777777" w:rsidR="001C11E9" w:rsidRPr="00A05771" w:rsidRDefault="001C11E9" w:rsidP="001C11E9">
      <w:pPr>
        <w:spacing w:line="240" w:lineRule="auto"/>
        <w:rPr>
          <w:rFonts w:eastAsia="Calibri"/>
          <w:color w:val="000000" w:themeColor="text1"/>
          <w:sz w:val="22"/>
          <w:szCs w:val="22"/>
        </w:rPr>
      </w:pPr>
      <w:r w:rsidRPr="00A05771">
        <w:rPr>
          <w:rFonts w:eastAsia="Calibri"/>
          <w:color w:val="000000" w:themeColor="text1"/>
          <w:sz w:val="22"/>
          <w:szCs w:val="22"/>
        </w:rPr>
        <w:t>Jodi.bair@occ.ohio.gov</w:t>
      </w:r>
    </w:p>
    <w:p w14:paraId="0208F185" w14:textId="06859BDB" w:rsidR="001C11E9" w:rsidRPr="00A05771" w:rsidRDefault="001C11E9" w:rsidP="001C11E9">
      <w:pPr>
        <w:spacing w:line="240" w:lineRule="auto"/>
        <w:jc w:val="left"/>
        <w:rPr>
          <w:color w:val="000000" w:themeColor="text1"/>
          <w:sz w:val="22"/>
          <w:szCs w:val="22"/>
        </w:rPr>
      </w:pPr>
      <w:r w:rsidRPr="00141E2C">
        <w:rPr>
          <w:sz w:val="22"/>
          <w:szCs w:val="22"/>
        </w:rPr>
        <w:t>joliker@igsenergy.com</w:t>
      </w:r>
    </w:p>
    <w:p w14:paraId="2C263CBB" w14:textId="77777777" w:rsidR="001C11E9" w:rsidRPr="00A05771" w:rsidRDefault="001C11E9" w:rsidP="001C11E9">
      <w:pPr>
        <w:spacing w:line="240" w:lineRule="auto"/>
        <w:rPr>
          <w:rFonts w:eastAsia="Calibri"/>
          <w:color w:val="000000" w:themeColor="text1"/>
          <w:sz w:val="22"/>
          <w:szCs w:val="22"/>
        </w:rPr>
      </w:pPr>
      <w:r w:rsidRPr="00A05771">
        <w:rPr>
          <w:rFonts w:eastAsia="Calibri"/>
          <w:color w:val="000000" w:themeColor="text1"/>
          <w:sz w:val="22"/>
          <w:szCs w:val="22"/>
        </w:rPr>
        <w:t>jschlesinger@kfwlaw.com</w:t>
      </w:r>
    </w:p>
    <w:p w14:paraId="51F49B5D" w14:textId="77777777" w:rsidR="001C11E9" w:rsidRPr="00A05771" w:rsidRDefault="001C11E9" w:rsidP="001C11E9">
      <w:pPr>
        <w:autoSpaceDE w:val="0"/>
        <w:autoSpaceDN w:val="0"/>
        <w:adjustRightInd w:val="0"/>
        <w:spacing w:line="240" w:lineRule="auto"/>
        <w:jc w:val="left"/>
        <w:rPr>
          <w:color w:val="000000" w:themeColor="text1"/>
          <w:sz w:val="22"/>
          <w:szCs w:val="22"/>
        </w:rPr>
      </w:pPr>
      <w:r w:rsidRPr="00A05771">
        <w:rPr>
          <w:color w:val="000000" w:themeColor="text1"/>
          <w:sz w:val="22"/>
          <w:szCs w:val="22"/>
        </w:rPr>
        <w:t>jsharkey@ficlaw.com</w:t>
      </w:r>
    </w:p>
    <w:p w14:paraId="2FF92FEE" w14:textId="77777777" w:rsidR="001C11E9" w:rsidRPr="00A05771" w:rsidRDefault="001C11E9" w:rsidP="001C11E9">
      <w:pPr>
        <w:autoSpaceDE w:val="0"/>
        <w:autoSpaceDN w:val="0"/>
        <w:adjustRightInd w:val="0"/>
        <w:spacing w:line="240" w:lineRule="auto"/>
        <w:jc w:val="left"/>
        <w:rPr>
          <w:color w:val="000000" w:themeColor="text1"/>
          <w:sz w:val="22"/>
          <w:szCs w:val="22"/>
        </w:rPr>
      </w:pPr>
      <w:r w:rsidRPr="00A05771">
        <w:rPr>
          <w:color w:val="000000" w:themeColor="text1"/>
          <w:sz w:val="22"/>
          <w:szCs w:val="22"/>
        </w:rPr>
        <w:t>kboehm@BKLlawfirm.com</w:t>
      </w:r>
    </w:p>
    <w:p w14:paraId="05B07B95" w14:textId="22945B7D" w:rsidR="001C11E9" w:rsidRPr="00A05771" w:rsidRDefault="001C11E9" w:rsidP="001C11E9">
      <w:pPr>
        <w:spacing w:line="240" w:lineRule="auto"/>
        <w:jc w:val="left"/>
        <w:rPr>
          <w:color w:val="000000" w:themeColor="text1"/>
          <w:sz w:val="22"/>
          <w:szCs w:val="22"/>
        </w:rPr>
      </w:pPr>
      <w:r w:rsidRPr="00141E2C">
        <w:rPr>
          <w:sz w:val="22"/>
          <w:szCs w:val="22"/>
        </w:rPr>
        <w:t>Kevin.Moore@occ.ohio.gov</w:t>
      </w:r>
    </w:p>
    <w:p w14:paraId="5E81A67E" w14:textId="77777777" w:rsidR="001C11E9" w:rsidRPr="00A05771" w:rsidRDefault="001C11E9" w:rsidP="001C11E9">
      <w:pPr>
        <w:spacing w:line="240" w:lineRule="auto"/>
        <w:rPr>
          <w:rFonts w:eastAsia="Calibri"/>
          <w:color w:val="000000" w:themeColor="text1"/>
          <w:sz w:val="22"/>
          <w:szCs w:val="22"/>
        </w:rPr>
      </w:pPr>
      <w:r w:rsidRPr="00A05771">
        <w:rPr>
          <w:rFonts w:eastAsia="Calibri"/>
          <w:color w:val="000000" w:themeColor="text1"/>
          <w:sz w:val="22"/>
          <w:szCs w:val="22"/>
        </w:rPr>
        <w:t>Kurt.Helfrich@ThompsonHine.com</w:t>
      </w:r>
    </w:p>
    <w:p w14:paraId="2EDD25C9" w14:textId="77777777" w:rsidR="001C11E9" w:rsidRPr="00A05771" w:rsidRDefault="001C11E9" w:rsidP="001C11E9">
      <w:pPr>
        <w:spacing w:line="240" w:lineRule="auto"/>
        <w:rPr>
          <w:rFonts w:eastAsia="Calibri"/>
          <w:color w:val="000000" w:themeColor="text1"/>
          <w:sz w:val="22"/>
          <w:szCs w:val="22"/>
        </w:rPr>
      </w:pPr>
      <w:r w:rsidRPr="00A05771">
        <w:rPr>
          <w:rFonts w:eastAsia="Calibri"/>
          <w:color w:val="000000" w:themeColor="text1"/>
          <w:sz w:val="22"/>
          <w:szCs w:val="22"/>
        </w:rPr>
        <w:t>lhawrot@spilmanlaw.com</w:t>
      </w:r>
    </w:p>
    <w:p w14:paraId="74FF6D14" w14:textId="34F1041C" w:rsidR="001C11E9" w:rsidRPr="00A05771" w:rsidRDefault="001C11E9" w:rsidP="001C11E9">
      <w:pPr>
        <w:spacing w:line="240" w:lineRule="auto"/>
        <w:jc w:val="left"/>
        <w:rPr>
          <w:color w:val="000000" w:themeColor="text1"/>
          <w:sz w:val="22"/>
          <w:szCs w:val="22"/>
        </w:rPr>
      </w:pPr>
      <w:r w:rsidRPr="00141E2C">
        <w:rPr>
          <w:sz w:val="22"/>
          <w:szCs w:val="22"/>
        </w:rPr>
        <w:t>mdortch@kravitzllc.com</w:t>
      </w:r>
    </w:p>
    <w:p w14:paraId="06088909" w14:textId="77777777" w:rsidR="001C11E9" w:rsidRPr="00A05771" w:rsidRDefault="001C11E9" w:rsidP="001C11E9">
      <w:pPr>
        <w:autoSpaceDE w:val="0"/>
        <w:autoSpaceDN w:val="0"/>
        <w:adjustRightInd w:val="0"/>
        <w:spacing w:line="240" w:lineRule="auto"/>
        <w:jc w:val="left"/>
        <w:rPr>
          <w:color w:val="000000" w:themeColor="text1"/>
          <w:sz w:val="22"/>
          <w:szCs w:val="22"/>
        </w:rPr>
      </w:pPr>
      <w:r w:rsidRPr="00A05771">
        <w:rPr>
          <w:color w:val="000000" w:themeColor="text1"/>
          <w:sz w:val="22"/>
          <w:szCs w:val="22"/>
        </w:rPr>
        <w:t>mfleisher@elpc.org</w:t>
      </w:r>
    </w:p>
    <w:p w14:paraId="107DDFFC" w14:textId="77777777" w:rsidR="001C11E9" w:rsidRPr="00A05771" w:rsidRDefault="001C11E9" w:rsidP="001C11E9">
      <w:pPr>
        <w:spacing w:line="240" w:lineRule="auto"/>
        <w:rPr>
          <w:rFonts w:eastAsia="Calibri"/>
          <w:color w:val="000000" w:themeColor="text1"/>
          <w:sz w:val="22"/>
          <w:szCs w:val="22"/>
        </w:rPr>
      </w:pPr>
      <w:r w:rsidRPr="00A05771">
        <w:rPr>
          <w:rFonts w:eastAsia="Calibri"/>
          <w:color w:val="000000" w:themeColor="text1"/>
          <w:sz w:val="22"/>
          <w:szCs w:val="22"/>
        </w:rPr>
        <w:t>Michael.Austin@ThompsonHine.com</w:t>
      </w:r>
    </w:p>
    <w:p w14:paraId="4806857D" w14:textId="77777777" w:rsidR="001C11E9" w:rsidRPr="00A05771" w:rsidRDefault="001C11E9" w:rsidP="001C11E9">
      <w:pPr>
        <w:spacing w:line="240" w:lineRule="auto"/>
        <w:rPr>
          <w:rFonts w:eastAsia="Calibri"/>
          <w:bCs/>
          <w:color w:val="000000" w:themeColor="text1"/>
          <w:sz w:val="22"/>
          <w:szCs w:val="22"/>
        </w:rPr>
      </w:pPr>
      <w:r w:rsidRPr="00A05771">
        <w:rPr>
          <w:rFonts w:eastAsia="Calibri"/>
          <w:bCs/>
          <w:color w:val="000000" w:themeColor="text1"/>
          <w:sz w:val="22"/>
          <w:szCs w:val="22"/>
        </w:rPr>
        <w:t>michael.schuler@aes.com</w:t>
      </w:r>
    </w:p>
    <w:p w14:paraId="3D3BD611" w14:textId="728D8369" w:rsidR="001C11E9" w:rsidRPr="00A05771" w:rsidRDefault="001C11E9" w:rsidP="001C11E9">
      <w:pPr>
        <w:spacing w:line="240" w:lineRule="auto"/>
        <w:jc w:val="left"/>
        <w:rPr>
          <w:color w:val="000000" w:themeColor="text1"/>
          <w:sz w:val="22"/>
          <w:szCs w:val="22"/>
        </w:rPr>
      </w:pPr>
      <w:r w:rsidRPr="00141E2C">
        <w:rPr>
          <w:sz w:val="22"/>
          <w:szCs w:val="22"/>
        </w:rPr>
        <w:t>mjsettineri@vorys.com</w:t>
      </w:r>
    </w:p>
    <w:p w14:paraId="3B9012DB" w14:textId="77777777" w:rsidR="001C11E9" w:rsidRPr="00A05771" w:rsidRDefault="001C11E9" w:rsidP="001C11E9">
      <w:pPr>
        <w:spacing w:line="240" w:lineRule="auto"/>
        <w:rPr>
          <w:rFonts w:eastAsia="Calibri"/>
          <w:color w:val="000000" w:themeColor="text1"/>
          <w:sz w:val="22"/>
          <w:szCs w:val="22"/>
        </w:rPr>
      </w:pPr>
      <w:r w:rsidRPr="00A05771">
        <w:rPr>
          <w:rFonts w:eastAsia="Calibri"/>
          <w:color w:val="000000" w:themeColor="text1"/>
          <w:sz w:val="22"/>
          <w:szCs w:val="22"/>
        </w:rPr>
        <w:t>mkurtz@BKLlawfirm.com</w:t>
      </w:r>
    </w:p>
    <w:p w14:paraId="21303CBE" w14:textId="5D17D39A" w:rsidR="001C11E9" w:rsidRPr="00A05771" w:rsidRDefault="001C11E9" w:rsidP="001C11E9">
      <w:pPr>
        <w:spacing w:line="240" w:lineRule="auto"/>
        <w:rPr>
          <w:rFonts w:eastAsia="Calibri"/>
          <w:color w:val="000000" w:themeColor="text1"/>
          <w:sz w:val="21"/>
          <w:szCs w:val="21"/>
        </w:rPr>
      </w:pPr>
      <w:r w:rsidRPr="00A05771">
        <w:rPr>
          <w:rFonts w:eastAsia="Calibri"/>
          <w:color w:val="000000" w:themeColor="text1"/>
          <w:sz w:val="21"/>
          <w:szCs w:val="21"/>
        </w:rPr>
        <w:t>natalia.messenger@ohioattorneygeneral.com</w:t>
      </w:r>
    </w:p>
    <w:p w14:paraId="52970F0D" w14:textId="77777777" w:rsidR="001C11E9" w:rsidRPr="00A05771" w:rsidRDefault="001C11E9" w:rsidP="001C11E9">
      <w:pPr>
        <w:spacing w:line="240" w:lineRule="auto"/>
        <w:jc w:val="left"/>
        <w:rPr>
          <w:color w:val="000000" w:themeColor="text1"/>
          <w:sz w:val="22"/>
          <w:szCs w:val="22"/>
        </w:rPr>
      </w:pPr>
      <w:r w:rsidRPr="00A05771">
        <w:rPr>
          <w:color w:val="000000" w:themeColor="text1"/>
          <w:sz w:val="22"/>
          <w:szCs w:val="22"/>
        </w:rPr>
        <w:t>O’Rourke@carpenterlipps.com</w:t>
      </w:r>
    </w:p>
    <w:p w14:paraId="08295140" w14:textId="77777777" w:rsidR="001C11E9" w:rsidRPr="00A05771" w:rsidRDefault="001C11E9" w:rsidP="001C11E9">
      <w:pPr>
        <w:spacing w:line="240" w:lineRule="auto"/>
        <w:rPr>
          <w:rFonts w:eastAsia="Calibri"/>
          <w:color w:val="000000" w:themeColor="text1"/>
          <w:sz w:val="22"/>
          <w:szCs w:val="22"/>
        </w:rPr>
      </w:pPr>
      <w:r w:rsidRPr="00A05771">
        <w:rPr>
          <w:rFonts w:eastAsia="Calibri"/>
          <w:color w:val="000000" w:themeColor="text1"/>
          <w:sz w:val="22"/>
          <w:szCs w:val="22"/>
        </w:rPr>
        <w:t>rdove@attorneydove.com</w:t>
      </w:r>
    </w:p>
    <w:p w14:paraId="341EAA77" w14:textId="6A1DBAF4" w:rsidR="001C11E9" w:rsidRPr="00A05771" w:rsidRDefault="001C11E9" w:rsidP="001C11E9">
      <w:pPr>
        <w:spacing w:line="240" w:lineRule="auto"/>
        <w:jc w:val="left"/>
        <w:rPr>
          <w:rFonts w:eastAsia="Calibri"/>
          <w:color w:val="000000" w:themeColor="text1"/>
          <w:sz w:val="22"/>
          <w:szCs w:val="22"/>
        </w:rPr>
      </w:pPr>
      <w:r w:rsidRPr="00141E2C">
        <w:rPr>
          <w:rFonts w:eastAsia="Calibri"/>
          <w:sz w:val="22"/>
          <w:szCs w:val="22"/>
        </w:rPr>
        <w:t>rick.sites@ohiohospitals.org</w:t>
      </w:r>
    </w:p>
    <w:p w14:paraId="177E6323" w14:textId="77777777" w:rsidR="001C11E9" w:rsidRPr="00A05771" w:rsidRDefault="001C11E9" w:rsidP="001C11E9">
      <w:pPr>
        <w:spacing w:line="240" w:lineRule="auto"/>
        <w:rPr>
          <w:rFonts w:eastAsia="Calibri"/>
          <w:color w:val="000000" w:themeColor="text1"/>
          <w:sz w:val="22"/>
          <w:szCs w:val="22"/>
        </w:rPr>
      </w:pPr>
      <w:r w:rsidRPr="00A05771">
        <w:rPr>
          <w:rFonts w:eastAsia="Calibri"/>
          <w:color w:val="000000" w:themeColor="text1"/>
          <w:sz w:val="22"/>
          <w:szCs w:val="22"/>
        </w:rPr>
        <w:t>rkelter@elpc.org</w:t>
      </w:r>
    </w:p>
    <w:p w14:paraId="66ADE943" w14:textId="5EFE63BF" w:rsidR="001C11E9" w:rsidRPr="00A05771" w:rsidRDefault="001C11E9" w:rsidP="001C11E9">
      <w:pPr>
        <w:spacing w:line="240" w:lineRule="auto"/>
        <w:jc w:val="left"/>
        <w:rPr>
          <w:color w:val="000000" w:themeColor="text1"/>
          <w:sz w:val="22"/>
          <w:szCs w:val="22"/>
        </w:rPr>
      </w:pPr>
      <w:r w:rsidRPr="00141E2C">
        <w:rPr>
          <w:sz w:val="22"/>
          <w:szCs w:val="22"/>
        </w:rPr>
        <w:t>rparsons@kravitzllc.com</w:t>
      </w:r>
    </w:p>
    <w:p w14:paraId="38DAAE58" w14:textId="646AA1AB" w:rsidR="001C11E9" w:rsidRPr="00A05771" w:rsidRDefault="001C11E9" w:rsidP="001C11E9">
      <w:pPr>
        <w:spacing w:line="240" w:lineRule="auto"/>
        <w:jc w:val="left"/>
        <w:rPr>
          <w:rFonts w:eastAsia="Calibri"/>
          <w:color w:val="000000" w:themeColor="text1"/>
          <w:sz w:val="22"/>
          <w:szCs w:val="22"/>
        </w:rPr>
      </w:pPr>
      <w:r w:rsidRPr="00141E2C">
        <w:rPr>
          <w:rFonts w:eastAsia="Calibri"/>
          <w:sz w:val="22"/>
          <w:szCs w:val="22"/>
        </w:rPr>
        <w:t>rsahli@columbus.rr.com</w:t>
      </w:r>
    </w:p>
    <w:p w14:paraId="385F3B3D" w14:textId="625D177F" w:rsidR="001C11E9" w:rsidRPr="00A05771" w:rsidRDefault="001C11E9" w:rsidP="001C11E9">
      <w:pPr>
        <w:autoSpaceDE w:val="0"/>
        <w:autoSpaceDN w:val="0"/>
        <w:adjustRightInd w:val="0"/>
        <w:spacing w:line="240" w:lineRule="auto"/>
        <w:jc w:val="left"/>
        <w:rPr>
          <w:color w:val="000000" w:themeColor="text1"/>
          <w:sz w:val="22"/>
          <w:szCs w:val="22"/>
        </w:rPr>
      </w:pPr>
      <w:r w:rsidRPr="00141E2C">
        <w:rPr>
          <w:sz w:val="22"/>
          <w:szCs w:val="22"/>
        </w:rPr>
        <w:t>schmidt@sppgrp.com</w:t>
      </w:r>
    </w:p>
    <w:p w14:paraId="387061C3" w14:textId="5235F259" w:rsidR="001C11E9" w:rsidRPr="00A05771" w:rsidRDefault="001C11E9" w:rsidP="001C11E9">
      <w:pPr>
        <w:spacing w:line="240" w:lineRule="auto"/>
        <w:jc w:val="left"/>
        <w:rPr>
          <w:color w:val="000000" w:themeColor="text1"/>
          <w:sz w:val="22"/>
          <w:szCs w:val="22"/>
        </w:rPr>
      </w:pPr>
      <w:r w:rsidRPr="00141E2C">
        <w:rPr>
          <w:sz w:val="22"/>
          <w:szCs w:val="22"/>
        </w:rPr>
        <w:t>Sechler@carpenterlipps.com</w:t>
      </w:r>
    </w:p>
    <w:p w14:paraId="4A633E12" w14:textId="77777777" w:rsidR="001C11E9" w:rsidRPr="00A05771" w:rsidRDefault="001C11E9" w:rsidP="001C11E9">
      <w:pPr>
        <w:spacing w:line="240" w:lineRule="auto"/>
        <w:rPr>
          <w:rFonts w:eastAsia="Calibri"/>
          <w:color w:val="000000" w:themeColor="text1"/>
          <w:sz w:val="22"/>
          <w:szCs w:val="22"/>
        </w:rPr>
      </w:pPr>
      <w:r w:rsidRPr="00A05771">
        <w:rPr>
          <w:rFonts w:eastAsia="Calibri"/>
          <w:color w:val="000000" w:themeColor="text1"/>
          <w:sz w:val="22"/>
          <w:szCs w:val="22"/>
        </w:rPr>
        <w:t>slesser@calfee.com</w:t>
      </w:r>
    </w:p>
    <w:p w14:paraId="5C511646" w14:textId="48597203" w:rsidR="001C11E9" w:rsidRPr="00A05771" w:rsidRDefault="001C11E9" w:rsidP="001C11E9">
      <w:pPr>
        <w:spacing w:line="240" w:lineRule="auto"/>
        <w:jc w:val="left"/>
        <w:rPr>
          <w:color w:val="000000" w:themeColor="text1"/>
          <w:sz w:val="22"/>
          <w:szCs w:val="22"/>
        </w:rPr>
      </w:pPr>
      <w:r w:rsidRPr="00141E2C">
        <w:rPr>
          <w:sz w:val="22"/>
          <w:szCs w:val="22"/>
        </w:rPr>
        <w:t>smhoward@vorys.co</w:t>
      </w:r>
      <w:r w:rsidRPr="00A05771">
        <w:rPr>
          <w:color w:val="000000" w:themeColor="text1"/>
          <w:sz w:val="22"/>
          <w:szCs w:val="22"/>
        </w:rPr>
        <w:t>m</w:t>
      </w:r>
    </w:p>
    <w:p w14:paraId="2DD05E30" w14:textId="77777777" w:rsidR="001C11E9" w:rsidRPr="00A05771" w:rsidRDefault="001C11E9" w:rsidP="001C11E9">
      <w:pPr>
        <w:spacing w:line="240" w:lineRule="auto"/>
        <w:rPr>
          <w:rFonts w:eastAsia="Calibri"/>
          <w:color w:val="000000" w:themeColor="text1"/>
          <w:sz w:val="22"/>
          <w:szCs w:val="22"/>
        </w:rPr>
      </w:pPr>
      <w:r w:rsidRPr="00A05771">
        <w:rPr>
          <w:rFonts w:eastAsia="Calibri"/>
          <w:color w:val="000000" w:themeColor="text1"/>
          <w:sz w:val="22"/>
          <w:szCs w:val="22"/>
        </w:rPr>
        <w:t>Stephanie.Chmiel@ThompsonHine.com</w:t>
      </w:r>
    </w:p>
    <w:p w14:paraId="2DBA1A5A" w14:textId="77777777" w:rsidR="001C11E9" w:rsidRPr="00A05771" w:rsidRDefault="001C11E9" w:rsidP="001C11E9">
      <w:pPr>
        <w:spacing w:line="240" w:lineRule="auto"/>
        <w:rPr>
          <w:rFonts w:eastAsia="Calibri"/>
          <w:color w:val="000000" w:themeColor="text1"/>
          <w:sz w:val="22"/>
          <w:szCs w:val="22"/>
        </w:rPr>
      </w:pPr>
      <w:r w:rsidRPr="00A05771">
        <w:rPr>
          <w:rFonts w:eastAsia="Calibri"/>
          <w:color w:val="000000" w:themeColor="text1"/>
          <w:sz w:val="22"/>
          <w:szCs w:val="22"/>
        </w:rPr>
        <w:t>Stephen.Chriss@walmart.com</w:t>
      </w:r>
    </w:p>
    <w:p w14:paraId="5791AA0A" w14:textId="77777777" w:rsidR="001C11E9" w:rsidRPr="00A05771" w:rsidRDefault="001C11E9" w:rsidP="001C11E9">
      <w:pPr>
        <w:spacing w:line="240" w:lineRule="auto"/>
        <w:rPr>
          <w:rFonts w:eastAsia="Calibri"/>
          <w:color w:val="000000" w:themeColor="text1"/>
          <w:sz w:val="22"/>
          <w:szCs w:val="22"/>
        </w:rPr>
      </w:pPr>
      <w:r w:rsidRPr="00A05771">
        <w:rPr>
          <w:rFonts w:eastAsia="Calibri"/>
          <w:color w:val="000000" w:themeColor="text1"/>
          <w:sz w:val="22"/>
          <w:szCs w:val="22"/>
        </w:rPr>
        <w:t>swilliams@nrdc.org</w:t>
      </w:r>
    </w:p>
    <w:p w14:paraId="0A351615" w14:textId="4FFBFFC0" w:rsidR="001C11E9" w:rsidRPr="00A05771" w:rsidRDefault="001C11E9" w:rsidP="001C11E9">
      <w:pPr>
        <w:spacing w:line="240" w:lineRule="auto"/>
        <w:jc w:val="left"/>
        <w:rPr>
          <w:rFonts w:eastAsia="Calibri"/>
          <w:color w:val="000000" w:themeColor="text1"/>
          <w:sz w:val="22"/>
          <w:szCs w:val="22"/>
        </w:rPr>
      </w:pPr>
      <w:r w:rsidRPr="00141E2C">
        <w:rPr>
          <w:rFonts w:eastAsia="Calibri"/>
          <w:sz w:val="22"/>
          <w:szCs w:val="22"/>
        </w:rPr>
        <w:t>talexander@calfee.com</w:t>
      </w:r>
    </w:p>
    <w:p w14:paraId="319CCBF1" w14:textId="77777777" w:rsidR="001C11E9" w:rsidRPr="00A05771" w:rsidRDefault="001C11E9" w:rsidP="001C11E9">
      <w:pPr>
        <w:spacing w:line="240" w:lineRule="auto"/>
        <w:rPr>
          <w:rFonts w:eastAsia="Calibri"/>
          <w:color w:val="000000" w:themeColor="text1"/>
          <w:sz w:val="22"/>
          <w:szCs w:val="22"/>
        </w:rPr>
      </w:pPr>
      <w:r w:rsidRPr="00A05771">
        <w:rPr>
          <w:rFonts w:eastAsia="Calibri"/>
          <w:color w:val="000000" w:themeColor="text1"/>
          <w:sz w:val="22"/>
          <w:szCs w:val="22"/>
        </w:rPr>
        <w:t>tdougherty@theOEC.org</w:t>
      </w:r>
    </w:p>
    <w:p w14:paraId="6748ABBF" w14:textId="77777777" w:rsidR="001C11E9" w:rsidRPr="00A05771" w:rsidRDefault="001C11E9" w:rsidP="001C11E9">
      <w:pPr>
        <w:spacing w:line="240" w:lineRule="auto"/>
        <w:rPr>
          <w:rFonts w:eastAsia="Calibri"/>
          <w:color w:val="000000" w:themeColor="text1"/>
          <w:sz w:val="22"/>
          <w:szCs w:val="22"/>
        </w:rPr>
      </w:pPr>
      <w:r w:rsidRPr="00A05771">
        <w:rPr>
          <w:rFonts w:eastAsia="Calibri"/>
          <w:color w:val="000000" w:themeColor="text1"/>
          <w:sz w:val="22"/>
          <w:szCs w:val="22"/>
        </w:rPr>
        <w:t>Thomas.Jernigan.3@us.af.mil</w:t>
      </w:r>
    </w:p>
    <w:p w14:paraId="69F1BE5D" w14:textId="77777777" w:rsidR="001C11E9" w:rsidRPr="00A05771" w:rsidRDefault="001C11E9" w:rsidP="001C11E9">
      <w:pPr>
        <w:spacing w:line="240" w:lineRule="auto"/>
        <w:rPr>
          <w:rFonts w:eastAsia="Calibri"/>
          <w:color w:val="000000" w:themeColor="text1"/>
          <w:sz w:val="21"/>
          <w:szCs w:val="21"/>
        </w:rPr>
      </w:pPr>
      <w:r w:rsidRPr="00A05771">
        <w:rPr>
          <w:rFonts w:eastAsia="Calibri"/>
          <w:color w:val="000000" w:themeColor="text1"/>
          <w:sz w:val="21"/>
          <w:szCs w:val="21"/>
        </w:rPr>
        <w:t>thomas.mcnamee@ohioattorneygeneral.com</w:t>
      </w:r>
    </w:p>
    <w:p w14:paraId="7A20D8E9" w14:textId="4067A79D" w:rsidR="001C11E9" w:rsidRPr="00A05771" w:rsidRDefault="001C11E9" w:rsidP="001C11E9">
      <w:pPr>
        <w:spacing w:line="240" w:lineRule="auto"/>
        <w:jc w:val="left"/>
        <w:rPr>
          <w:rFonts w:eastAsia="Calibri"/>
          <w:color w:val="000000" w:themeColor="text1"/>
          <w:sz w:val="22"/>
          <w:szCs w:val="22"/>
        </w:rPr>
      </w:pPr>
      <w:r w:rsidRPr="00141E2C">
        <w:rPr>
          <w:rFonts w:eastAsia="Calibri"/>
          <w:sz w:val="22"/>
          <w:szCs w:val="22"/>
        </w:rPr>
        <w:t>tobrien@bricker.com</w:t>
      </w:r>
    </w:p>
    <w:p w14:paraId="592E6EC2" w14:textId="0DC86842" w:rsidR="001C11E9" w:rsidRPr="00A05771" w:rsidRDefault="001C11E9" w:rsidP="001C11E9">
      <w:pPr>
        <w:spacing w:line="240" w:lineRule="auto"/>
        <w:jc w:val="left"/>
        <w:rPr>
          <w:color w:val="000000" w:themeColor="text1"/>
          <w:sz w:val="22"/>
          <w:szCs w:val="22"/>
        </w:rPr>
      </w:pPr>
      <w:r w:rsidRPr="00141E2C">
        <w:rPr>
          <w:sz w:val="22"/>
          <w:szCs w:val="22"/>
        </w:rPr>
        <w:t>William.Michael@occ.ohio.gov</w:t>
      </w:r>
    </w:p>
    <w:p w14:paraId="6FBDE278" w14:textId="1D6C3030" w:rsidR="0064324F" w:rsidRPr="0089586E" w:rsidRDefault="001C11E9" w:rsidP="00BC1C7D">
      <w:pPr>
        <w:spacing w:line="240" w:lineRule="auto"/>
        <w:jc w:val="left"/>
        <w:rPr>
          <w:color w:val="000000" w:themeColor="text1"/>
          <w:sz w:val="22"/>
          <w:szCs w:val="22"/>
        </w:rPr>
      </w:pPr>
      <w:r w:rsidRPr="00A05771">
        <w:rPr>
          <w:color w:val="000000" w:themeColor="text1"/>
          <w:sz w:val="22"/>
          <w:szCs w:val="22"/>
        </w:rPr>
        <w:t>william.wright@ohioattorneygeneral.com</w:t>
      </w:r>
    </w:p>
    <w:sectPr w:rsidR="0064324F" w:rsidRPr="0089586E" w:rsidSect="001C11E9">
      <w:headerReference w:type="even" r:id="rId20"/>
      <w:headerReference w:type="default" r:id="rId21"/>
      <w:footerReference w:type="even" r:id="rId22"/>
      <w:footerReference w:type="default" r:id="rId23"/>
      <w:headerReference w:type="first" r:id="rId24"/>
      <w:footerReference w:type="first" r:id="rId25"/>
      <w:type w:val="continuous"/>
      <w:pgSz w:w="12240" w:h="15840" w:code="1"/>
      <w:pgMar w:top="1296" w:right="1440" w:bottom="1152" w:left="1440" w:header="720" w:footer="720" w:gutter="0"/>
      <w:pgNumType w:start="1"/>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594CBB" w14:textId="77777777" w:rsidR="0002215A" w:rsidRDefault="0002215A" w:rsidP="008635FF">
      <w:pPr>
        <w:spacing w:line="240" w:lineRule="auto"/>
      </w:pPr>
      <w:r>
        <w:separator/>
      </w:r>
    </w:p>
  </w:endnote>
  <w:endnote w:type="continuationSeparator" w:id="0">
    <w:p w14:paraId="7774F1B3" w14:textId="77777777" w:rsidR="0002215A" w:rsidRDefault="0002215A" w:rsidP="008635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2E490" w14:textId="77777777" w:rsidR="00FE6837" w:rsidRDefault="00FE68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0761D" w14:textId="061E4345" w:rsidR="0002215A" w:rsidRPr="0019548F" w:rsidRDefault="00031F15">
    <w:pPr>
      <w:pStyle w:val="Footer"/>
    </w:pPr>
    <w:r w:rsidRPr="00031F15">
      <w:rPr>
        <w:noProof/>
        <w:sz w:val="16"/>
      </w:rPr>
      <w:t>{C49881: }</w:t>
    </w:r>
    <w:r w:rsidR="0002215A">
      <w:rPr>
        <w:noProof/>
        <w:sz w:val="16"/>
      </w:rPr>
      <w:tab/>
    </w:r>
    <w:r w:rsidR="0002215A" w:rsidRPr="00847467">
      <w:rPr>
        <w:noProof/>
        <w:sz w:val="22"/>
        <w:szCs w:val="22"/>
      </w:rPr>
      <w:fldChar w:fldCharType="begin"/>
    </w:r>
    <w:r w:rsidR="0002215A" w:rsidRPr="00847467">
      <w:rPr>
        <w:noProof/>
        <w:sz w:val="22"/>
        <w:szCs w:val="22"/>
      </w:rPr>
      <w:instrText xml:space="preserve"> PAGE   \* MERGEFORMAT </w:instrText>
    </w:r>
    <w:r w:rsidR="0002215A" w:rsidRPr="00847467">
      <w:rPr>
        <w:noProof/>
        <w:sz w:val="22"/>
        <w:szCs w:val="22"/>
      </w:rPr>
      <w:fldChar w:fldCharType="separate"/>
    </w:r>
    <w:r w:rsidR="00995BC4">
      <w:rPr>
        <w:noProof/>
        <w:sz w:val="22"/>
        <w:szCs w:val="22"/>
      </w:rPr>
      <w:t>5</w:t>
    </w:r>
    <w:r w:rsidR="0002215A" w:rsidRPr="00847467">
      <w:rPr>
        <w:noProof/>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A965D2" w14:textId="7DC33F5C" w:rsidR="0002215A" w:rsidRPr="0019548F" w:rsidRDefault="00031F15">
    <w:pPr>
      <w:pStyle w:val="Footer"/>
    </w:pPr>
    <w:r w:rsidRPr="00031F15">
      <w:rPr>
        <w:noProof/>
        <w:sz w:val="16"/>
      </w:rPr>
      <w:t>{C49881: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2BE54" w14:textId="77777777" w:rsidR="0002215A" w:rsidRDefault="0002215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09E80D" w14:textId="542BFA05" w:rsidR="0002215A" w:rsidRPr="000C3B01" w:rsidRDefault="00031F15">
    <w:pPr>
      <w:pStyle w:val="Footer"/>
    </w:pPr>
    <w:r w:rsidRPr="00031F15">
      <w:rPr>
        <w:noProof/>
        <w:sz w:val="16"/>
      </w:rPr>
      <w:t>{C49881: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C9A60" w14:textId="08A3952C" w:rsidR="0002215A" w:rsidRPr="000C3B01" w:rsidRDefault="00031F15">
    <w:pPr>
      <w:pStyle w:val="Footer"/>
    </w:pPr>
    <w:r w:rsidRPr="00031F15">
      <w:rPr>
        <w:noProof/>
        <w:sz w:val="16"/>
      </w:rPr>
      <w:t>{C49881: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17DDCF" w14:textId="77777777" w:rsidR="0086483C" w:rsidRDefault="00995BC4">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11A9A" w14:textId="5F71DCFF" w:rsidR="0086483C" w:rsidRPr="0086483C" w:rsidRDefault="00031F15">
    <w:pPr>
      <w:pStyle w:val="Footer"/>
    </w:pPr>
    <w:r w:rsidRPr="00031F15">
      <w:rPr>
        <w:noProof/>
        <w:sz w:val="16"/>
      </w:rPr>
      <w:t>{C49881: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7C80F1" w14:textId="36A3D18F" w:rsidR="0086483C" w:rsidRPr="0086483C" w:rsidRDefault="00031F15">
    <w:pPr>
      <w:pStyle w:val="Footer"/>
    </w:pPr>
    <w:r w:rsidRPr="00031F15">
      <w:rPr>
        <w:noProof/>
        <w:sz w:val="16"/>
      </w:rPr>
      <w:t>{C49881: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31CEAD" w14:textId="77777777" w:rsidR="0002215A" w:rsidRDefault="0002215A" w:rsidP="008635FF">
      <w:pPr>
        <w:spacing w:line="240" w:lineRule="auto"/>
        <w:rPr>
          <w:noProof/>
        </w:rPr>
      </w:pPr>
      <w:r>
        <w:rPr>
          <w:noProof/>
        </w:rPr>
        <w:separator/>
      </w:r>
    </w:p>
  </w:footnote>
  <w:footnote w:type="continuationSeparator" w:id="0">
    <w:p w14:paraId="197533B6" w14:textId="77777777" w:rsidR="0002215A" w:rsidRDefault="0002215A" w:rsidP="008635FF">
      <w:pPr>
        <w:spacing w:line="240" w:lineRule="auto"/>
      </w:pPr>
      <w:r>
        <w:continuationSeparator/>
      </w:r>
    </w:p>
  </w:footnote>
  <w:footnote w:id="1">
    <w:p w14:paraId="20D7B879" w14:textId="77777777" w:rsidR="0002215A" w:rsidRPr="008635FF" w:rsidRDefault="0002215A">
      <w:pPr>
        <w:pStyle w:val="FootnoteText"/>
        <w:rPr>
          <w:i/>
        </w:rPr>
      </w:pPr>
      <w:r>
        <w:rPr>
          <w:rStyle w:val="FootnoteReference"/>
        </w:rPr>
        <w:footnoteRef/>
      </w:r>
      <w:r>
        <w:t xml:space="preserve"> </w:t>
      </w:r>
      <w:r w:rsidRPr="008635FF">
        <w:t>Case Nos.</w:t>
      </w:r>
      <w:r>
        <w:t xml:space="preserve"> 15-1830-EL-AIR,</w:t>
      </w:r>
      <w:r>
        <w:rPr>
          <w:i/>
        </w:rPr>
        <w:t xml:space="preserve"> et al.</w:t>
      </w:r>
    </w:p>
  </w:footnote>
  <w:footnote w:id="2">
    <w:p w14:paraId="0ECCB9A6" w14:textId="77777777" w:rsidR="0002215A" w:rsidRPr="008635FF" w:rsidRDefault="0002215A">
      <w:pPr>
        <w:pStyle w:val="FootnoteText"/>
      </w:pPr>
      <w:r>
        <w:rPr>
          <w:rStyle w:val="FootnoteReference"/>
        </w:rPr>
        <w:footnoteRef/>
      </w:r>
      <w:r>
        <w:t xml:space="preserve"> </w:t>
      </w:r>
      <w:r w:rsidRPr="008635FF">
        <w:t>Case Nos. 16-395-EL-SSO</w:t>
      </w:r>
      <w:r>
        <w:rPr>
          <w:i/>
        </w:rPr>
        <w:t xml:space="preserve">, </w:t>
      </w:r>
      <w:r w:rsidRPr="008635FF">
        <w:rPr>
          <w:i/>
        </w:rPr>
        <w:t>et al.</w:t>
      </w:r>
    </w:p>
  </w:footnote>
  <w:footnote w:id="3">
    <w:p w14:paraId="5EFAD7EA" w14:textId="77777777" w:rsidR="0002215A" w:rsidRPr="00C52F36" w:rsidRDefault="0002215A" w:rsidP="000A4842">
      <w:pPr>
        <w:pStyle w:val="FootnoteText"/>
      </w:pPr>
      <w:r w:rsidRPr="00C52F36">
        <w:rPr>
          <w:rStyle w:val="FootnoteReference"/>
        </w:rPr>
        <w:footnoteRef/>
      </w:r>
      <w:r w:rsidRPr="00C52F36">
        <w:t xml:space="preserve"> Civil Rule 42(A)(1) provides:</w:t>
      </w:r>
    </w:p>
    <w:p w14:paraId="47BF67D2" w14:textId="6FCBC43F" w:rsidR="0002215A" w:rsidRPr="00C52F36" w:rsidRDefault="0002215A" w:rsidP="00F048C7">
      <w:pPr>
        <w:pStyle w:val="FootnoteText"/>
        <w:ind w:left="720" w:right="720"/>
      </w:pPr>
      <w:r>
        <w:t xml:space="preserve">If actions before the court involve a common question of </w:t>
      </w:r>
      <w:r w:rsidR="00B21773">
        <w:t>law or fact, the court may: (a) </w:t>
      </w:r>
      <w:r>
        <w:t>join for hearing or trial any or all matters at issue in the actions; (b) consolidate the actions; or (c) issue any other orders to avoid unnecessary cost or delay.</w:t>
      </w:r>
    </w:p>
  </w:footnote>
  <w:footnote w:id="4">
    <w:p w14:paraId="14FEB078" w14:textId="77777777" w:rsidR="0002215A" w:rsidRPr="008F25F4" w:rsidRDefault="0002215A" w:rsidP="00A86523">
      <w:pPr>
        <w:pStyle w:val="FootnoteText"/>
      </w:pPr>
      <w:r>
        <w:rPr>
          <w:rStyle w:val="FootnoteReference"/>
        </w:rPr>
        <w:footnoteRef/>
      </w:r>
      <w:r>
        <w:t xml:space="preserve"> DP&amp;L has requested the Commission authorize several riders in the </w:t>
      </w:r>
      <w:r>
        <w:rPr>
          <w:i/>
        </w:rPr>
        <w:t>Distribution Rate Case</w:t>
      </w:r>
      <w:r>
        <w:t xml:space="preserve">, and alternatively in the </w:t>
      </w:r>
      <w:r>
        <w:rPr>
          <w:i/>
        </w:rPr>
        <w:t>ESP Case</w:t>
      </w:r>
      <w:r>
        <w:t xml:space="preserve"> if the Commission does not authorize them in the former case; but, this request will not be affected by processing the </w:t>
      </w:r>
      <w:r>
        <w:rPr>
          <w:i/>
        </w:rPr>
        <w:t>Distribution Rate Case</w:t>
      </w:r>
      <w:r>
        <w:t xml:space="preserve"> first. </w:t>
      </w:r>
    </w:p>
  </w:footnote>
  <w:footnote w:id="5">
    <w:p w14:paraId="09C4A285" w14:textId="5711E9D7" w:rsidR="0002215A" w:rsidRPr="00275757" w:rsidRDefault="0002215A">
      <w:pPr>
        <w:pStyle w:val="FootnoteText"/>
      </w:pPr>
      <w:r>
        <w:rPr>
          <w:rStyle w:val="FootnoteReference"/>
        </w:rPr>
        <w:footnoteRef/>
      </w:r>
      <w:r>
        <w:t xml:space="preserve"> </w:t>
      </w:r>
      <w:r>
        <w:rPr>
          <w:i/>
        </w:rPr>
        <w:t>Compare</w:t>
      </w:r>
      <w:r>
        <w:t xml:space="preserve"> </w:t>
      </w:r>
      <w:r>
        <w:rPr>
          <w:i/>
        </w:rPr>
        <w:t>ESP Case</w:t>
      </w:r>
      <w:r>
        <w:t xml:space="preserve">, Direct Testimony of Roger A. Morin at 5 </w:t>
      </w:r>
      <w:r w:rsidR="00807A0B">
        <w:t xml:space="preserve">(Feb. 22, 2016) </w:t>
      </w:r>
      <w:r>
        <w:t xml:space="preserve">(summarizing his recommendation of a 10.5% return on equity (“ROE”) in the </w:t>
      </w:r>
      <w:r>
        <w:rPr>
          <w:i/>
        </w:rPr>
        <w:t>Distribution Rate Case</w:t>
      </w:r>
      <w:r>
        <w:t xml:space="preserve">) </w:t>
      </w:r>
      <w:r>
        <w:rPr>
          <w:i/>
        </w:rPr>
        <w:t>with id.</w:t>
      </w:r>
      <w:r>
        <w:t xml:space="preserve"> at 6 (recommending an ROE of 10.7% under DP&amp;L’s Reliable Electricity Rider proposal).</w:t>
      </w:r>
    </w:p>
  </w:footnote>
  <w:footnote w:id="6">
    <w:p w14:paraId="579B8143" w14:textId="77777777" w:rsidR="0002215A" w:rsidRDefault="0002215A" w:rsidP="008E4415">
      <w:pPr>
        <w:pStyle w:val="FootnoteText"/>
      </w:pPr>
      <w:r>
        <w:rPr>
          <w:rStyle w:val="FootnoteReference"/>
        </w:rPr>
        <w:footnoteRef/>
      </w:r>
      <w:r>
        <w:t xml:space="preserve"> DP&amp;L Motion at 3-4.</w:t>
      </w:r>
    </w:p>
  </w:footnote>
  <w:footnote w:id="7">
    <w:p w14:paraId="03BAC2FB" w14:textId="4979A92E" w:rsidR="0002215A" w:rsidRDefault="0002215A" w:rsidP="008E4415">
      <w:pPr>
        <w:pStyle w:val="FootnoteText"/>
      </w:pPr>
      <w:r>
        <w:rPr>
          <w:rStyle w:val="FootnoteReference"/>
        </w:rPr>
        <w:footnoteRef/>
      </w:r>
      <w:r>
        <w:t xml:space="preserve"> </w:t>
      </w:r>
      <w:r w:rsidRPr="008342B4">
        <w:rPr>
          <w:i/>
        </w:rPr>
        <w:t>Id</w:t>
      </w:r>
      <w:r>
        <w:t>.</w:t>
      </w:r>
    </w:p>
  </w:footnote>
  <w:footnote w:id="8">
    <w:p w14:paraId="2ED6D048" w14:textId="77777777" w:rsidR="0002215A" w:rsidRPr="00921D91" w:rsidRDefault="0002215A" w:rsidP="00773761">
      <w:pPr>
        <w:pStyle w:val="FootnoteText"/>
      </w:pPr>
      <w:r>
        <w:rPr>
          <w:rStyle w:val="FootnoteReference"/>
        </w:rPr>
        <w:footnoteRef/>
      </w:r>
      <w:r>
        <w:t xml:space="preserve"> </w:t>
      </w:r>
      <w:r w:rsidRPr="00921D91">
        <w:rPr>
          <w:i/>
        </w:rPr>
        <w:t>In the Matter  of the Application  of  The  Dayton  Power  and  Light Company  for  Approval  of its Electric Security  Plan</w:t>
      </w:r>
      <w:r w:rsidRPr="00921D91">
        <w:t>, Case Nos</w:t>
      </w:r>
      <w:r>
        <w:t>.</w:t>
      </w:r>
      <w:r w:rsidRPr="00921D91">
        <w:t xml:space="preserve"> 12-426-EL-SSO,</w:t>
      </w:r>
      <w:r>
        <w:t xml:space="preserve"> </w:t>
      </w:r>
      <w:r>
        <w:rPr>
          <w:i/>
        </w:rPr>
        <w:t>et al.,</w:t>
      </w:r>
      <w:r>
        <w:t xml:space="preserve"> Entry Nunc Pro Tunc at 2 (Sep. 6, 2013) (“</w:t>
      </w:r>
      <w:r>
        <w:rPr>
          <w:i/>
        </w:rPr>
        <w:t>DP&amp;L ESP II Case”</w:t>
      </w:r>
      <w:r>
        <w:t>).</w:t>
      </w:r>
    </w:p>
  </w:footnote>
  <w:footnote w:id="9">
    <w:p w14:paraId="02011D5F" w14:textId="77777777" w:rsidR="0002215A" w:rsidRPr="009D4B73" w:rsidRDefault="0002215A">
      <w:pPr>
        <w:pStyle w:val="FootnoteText"/>
      </w:pPr>
      <w:r>
        <w:rPr>
          <w:rStyle w:val="FootnoteReference"/>
        </w:rPr>
        <w:footnoteRef/>
      </w:r>
      <w:r>
        <w:t xml:space="preserve"> </w:t>
      </w:r>
      <w:r>
        <w:rPr>
          <w:i/>
        </w:rPr>
        <w:t>DP&amp;L ESP II Case</w:t>
      </w:r>
      <w:r>
        <w:t>, Opinion and Order at 27 (Sep. 4, 2013).</w:t>
      </w:r>
    </w:p>
  </w:footnote>
  <w:footnote w:id="10">
    <w:p w14:paraId="7AFC3A78" w14:textId="357285EF" w:rsidR="0002215A" w:rsidRDefault="0002215A">
      <w:pPr>
        <w:pStyle w:val="FootnoteText"/>
      </w:pPr>
      <w:r>
        <w:rPr>
          <w:rStyle w:val="FootnoteReference"/>
        </w:rPr>
        <w:footnoteRef/>
      </w:r>
      <w:r>
        <w:t xml:space="preserve"> </w:t>
      </w:r>
      <w:r>
        <w:rPr>
          <w:i/>
        </w:rPr>
        <w:t xml:space="preserve">See </w:t>
      </w:r>
      <w:r w:rsidR="00B21773">
        <w:rPr>
          <w:i/>
        </w:rPr>
        <w:t xml:space="preserve">ESP </w:t>
      </w:r>
      <w:r w:rsidR="00B21773" w:rsidRPr="00B21773">
        <w:t>Case</w:t>
      </w:r>
      <w:r w:rsidR="00B21773">
        <w:t xml:space="preserve">, </w:t>
      </w:r>
      <w:r w:rsidRPr="00B21773">
        <w:t>Supplemental</w:t>
      </w:r>
      <w:r>
        <w:t xml:space="preserve"> Testimony of R. Jeffrey Malinak at 1-3 (Apr. 28, 2016).</w:t>
      </w:r>
    </w:p>
  </w:footnote>
  <w:footnote w:id="11">
    <w:p w14:paraId="79E26FE7" w14:textId="096F11D8" w:rsidR="0002215A" w:rsidRPr="00621DD9" w:rsidRDefault="0002215A">
      <w:pPr>
        <w:pStyle w:val="FootnoteText"/>
      </w:pPr>
      <w:r>
        <w:rPr>
          <w:rStyle w:val="FootnoteReference"/>
        </w:rPr>
        <w:footnoteRef/>
      </w:r>
      <w:r>
        <w:t xml:space="preserve"> Mr. Malinak describes his alternative financial analysis as “using different assumptions about the debt reduction patterns of DPL Inc. and DP&amp;L/DP&amp;L-TD, and the equity contributions from DPL Inc. to DP&amp;L/DP&amp;L-TD.” </w:t>
      </w:r>
      <w:r>
        <w:rPr>
          <w:i/>
        </w:rPr>
        <w:t>Id.</w:t>
      </w:r>
      <w:r>
        <w:t xml:space="preserve"> at 1.  Mr. Malinak acknowledges that these different assumptions effect several portions of his initial analysis.  </w:t>
      </w:r>
      <w:r>
        <w:rPr>
          <w:i/>
        </w:rPr>
        <w:t>See id.</w:t>
      </w:r>
      <w:r>
        <w:t xml:space="preserve"> at 8 (the change in assumptions requires changes to the “income statement, balance sheet and statement of cash flows” contained in his initial analysis).</w:t>
      </w:r>
    </w:p>
  </w:footnote>
  <w:footnote w:id="12">
    <w:p w14:paraId="270DAC82" w14:textId="1D096668" w:rsidR="0002215A" w:rsidRPr="002833EC" w:rsidRDefault="0002215A">
      <w:pPr>
        <w:pStyle w:val="FootnoteText"/>
      </w:pPr>
      <w:r>
        <w:rPr>
          <w:rStyle w:val="FootnoteReference"/>
        </w:rPr>
        <w:footnoteRef/>
      </w:r>
      <w:r>
        <w:t xml:space="preserve"> </w:t>
      </w:r>
      <w:r>
        <w:rPr>
          <w:i/>
        </w:rPr>
        <w:t>Id.</w:t>
      </w:r>
      <w:r>
        <w:t xml:space="preserve"> at 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A66A6" w14:textId="77777777" w:rsidR="00FE6837" w:rsidRDefault="00FE68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5488AD" w14:textId="77777777" w:rsidR="00FE6837" w:rsidRDefault="00FE68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C8BFD" w14:textId="77777777" w:rsidR="00FE6837" w:rsidRDefault="00FE683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299785" w14:textId="77777777" w:rsidR="0002215A" w:rsidRDefault="0002215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F50D4" w14:textId="77777777" w:rsidR="0002215A" w:rsidRDefault="0002215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3064A" w14:textId="77777777" w:rsidR="0002215A" w:rsidRDefault="0002215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2E29D" w14:textId="77777777" w:rsidR="0086483C" w:rsidRDefault="00995BC4">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6B4EF" w14:textId="77777777" w:rsidR="0086483C" w:rsidRDefault="00995BC4">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1B1C4" w14:textId="77777777" w:rsidR="0086483C" w:rsidRDefault="00995B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637FE"/>
    <w:multiLevelType w:val="multilevel"/>
    <w:tmpl w:val="97CCD760"/>
    <w:name w:val="IEU Basic-PUCO-Scheme 1"/>
    <w:lvl w:ilvl="0">
      <w:start w:val="1"/>
      <w:numFmt w:val="upperRoman"/>
      <w:pStyle w:val="Heading1"/>
      <w:lvlText w:val="%1."/>
      <w:lvlJc w:val="left"/>
      <w:pPr>
        <w:tabs>
          <w:tab w:val="num" w:pos="720"/>
        </w:tabs>
        <w:ind w:left="720" w:hanging="720"/>
      </w:pPr>
      <w:rPr>
        <w:b/>
        <w:caps w:val="0"/>
        <w:vanish w:val="0"/>
        <w:color w:val="010000"/>
        <w:u w:val="none"/>
      </w:rPr>
    </w:lvl>
    <w:lvl w:ilvl="1">
      <w:start w:val="1"/>
      <w:numFmt w:val="upperLetter"/>
      <w:pStyle w:val="Heading2"/>
      <w:lvlText w:val="%2."/>
      <w:lvlJc w:val="left"/>
      <w:pPr>
        <w:tabs>
          <w:tab w:val="num" w:pos="1440"/>
        </w:tabs>
        <w:ind w:left="1440" w:hanging="720"/>
      </w:pPr>
      <w:rPr>
        <w:b/>
        <w:caps w:val="0"/>
        <w:vanish w:val="0"/>
        <w:color w:val="010000"/>
        <w:u w:val="none"/>
      </w:rPr>
    </w:lvl>
    <w:lvl w:ilvl="2">
      <w:start w:val="1"/>
      <w:numFmt w:val="decimal"/>
      <w:pStyle w:val="Heading3"/>
      <w:lvlText w:val="%3."/>
      <w:lvlJc w:val="left"/>
      <w:pPr>
        <w:tabs>
          <w:tab w:val="num" w:pos="2160"/>
        </w:tabs>
        <w:ind w:left="2160" w:hanging="720"/>
      </w:pPr>
      <w:rPr>
        <w:b/>
        <w:i w:val="0"/>
        <w:caps w:val="0"/>
        <w:vanish w:val="0"/>
        <w:color w:val="010000"/>
        <w:u w:val="none"/>
      </w:rPr>
    </w:lvl>
    <w:lvl w:ilvl="3">
      <w:start w:val="1"/>
      <w:numFmt w:val="lowerLetter"/>
      <w:pStyle w:val="Heading4"/>
      <w:lvlText w:val="%4."/>
      <w:lvlJc w:val="left"/>
      <w:pPr>
        <w:tabs>
          <w:tab w:val="num" w:pos="2880"/>
        </w:tabs>
        <w:ind w:left="2880" w:hanging="720"/>
      </w:pPr>
      <w:rPr>
        <w:b/>
        <w:i/>
        <w:caps w:val="0"/>
        <w:vanish w:val="0"/>
        <w:color w:val="010000"/>
        <w:u w:val="none"/>
      </w:rPr>
    </w:lvl>
    <w:lvl w:ilvl="4">
      <w:start w:val="1"/>
      <w:numFmt w:val="lowerRoman"/>
      <w:pStyle w:val="Heading5"/>
      <w:lvlText w:val="%5."/>
      <w:lvlJc w:val="left"/>
      <w:pPr>
        <w:tabs>
          <w:tab w:val="num" w:pos="3600"/>
        </w:tabs>
        <w:ind w:left="3600" w:hanging="720"/>
      </w:pPr>
      <w:rPr>
        <w:caps w:val="0"/>
        <w:vanish w:val="0"/>
        <w:color w:val="010000"/>
        <w:u w:val="none"/>
      </w:rPr>
    </w:lvl>
    <w:lvl w:ilvl="5">
      <w:start w:val="1"/>
      <w:numFmt w:val="lowerLetter"/>
      <w:pStyle w:val="Heading6"/>
      <w:lvlText w:val="(%6)"/>
      <w:lvlJc w:val="left"/>
      <w:pPr>
        <w:tabs>
          <w:tab w:val="num" w:pos="4320"/>
        </w:tabs>
        <w:ind w:left="4320" w:hanging="720"/>
      </w:pPr>
      <w:rPr>
        <w:caps w:val="0"/>
        <w:vanish w:val="0"/>
        <w:color w:val="010000"/>
        <w:u w:val="none"/>
      </w:rPr>
    </w:lvl>
    <w:lvl w:ilvl="6">
      <w:start w:val="1"/>
      <w:numFmt w:val="decimal"/>
      <w:pStyle w:val="Heading7"/>
      <w:lvlText w:val="(%7)"/>
      <w:lvlJc w:val="left"/>
      <w:pPr>
        <w:tabs>
          <w:tab w:val="num" w:pos="5040"/>
        </w:tabs>
        <w:ind w:left="5040" w:hanging="720"/>
      </w:pPr>
      <w:rPr>
        <w:caps w:val="0"/>
        <w:vanish w:val="0"/>
        <w:color w:val="010000"/>
        <w:u w:val="none"/>
      </w:rPr>
    </w:lvl>
    <w:lvl w:ilvl="7">
      <w:start w:val="1"/>
      <w:numFmt w:val="lowerRoman"/>
      <w:pStyle w:val="Heading8"/>
      <w:lvlText w:val="%8)"/>
      <w:lvlJc w:val="left"/>
      <w:pPr>
        <w:tabs>
          <w:tab w:val="num" w:pos="5760"/>
        </w:tabs>
        <w:ind w:left="5760" w:hanging="720"/>
      </w:pPr>
      <w:rPr>
        <w:caps w:val="0"/>
        <w:vanish w:val="0"/>
        <w:color w:val="010000"/>
        <w:u w:val="none"/>
      </w:rPr>
    </w:lvl>
    <w:lvl w:ilvl="8">
      <w:start w:val="1"/>
      <w:numFmt w:val="lowerLetter"/>
      <w:pStyle w:val="Heading9"/>
      <w:lvlText w:val="%9)"/>
      <w:lvlJc w:val="left"/>
      <w:pPr>
        <w:tabs>
          <w:tab w:val="num" w:pos="6480"/>
        </w:tabs>
        <w:ind w:left="6480" w:hanging="720"/>
      </w:pPr>
      <w:rPr>
        <w:caps w:val="0"/>
        <w:vanish w:val="0"/>
        <w:color w:val="010000"/>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4F0"/>
    <w:rsid w:val="00003CCF"/>
    <w:rsid w:val="00003D58"/>
    <w:rsid w:val="000126E4"/>
    <w:rsid w:val="0002215A"/>
    <w:rsid w:val="00031F15"/>
    <w:rsid w:val="00062F2C"/>
    <w:rsid w:val="00076643"/>
    <w:rsid w:val="000959DE"/>
    <w:rsid w:val="000A1025"/>
    <w:rsid w:val="000A4842"/>
    <w:rsid w:val="000A4A1B"/>
    <w:rsid w:val="000C2629"/>
    <w:rsid w:val="000F4236"/>
    <w:rsid w:val="00120C8E"/>
    <w:rsid w:val="00121E0C"/>
    <w:rsid w:val="00126336"/>
    <w:rsid w:val="0013676D"/>
    <w:rsid w:val="00141E2C"/>
    <w:rsid w:val="0014427B"/>
    <w:rsid w:val="0019548F"/>
    <w:rsid w:val="001A6A80"/>
    <w:rsid w:val="001C11E9"/>
    <w:rsid w:val="001D4468"/>
    <w:rsid w:val="001D6DDF"/>
    <w:rsid w:val="001D7BC0"/>
    <w:rsid w:val="001E58C4"/>
    <w:rsid w:val="001F0B88"/>
    <w:rsid w:val="00205FA0"/>
    <w:rsid w:val="00206948"/>
    <w:rsid w:val="00217E3F"/>
    <w:rsid w:val="002330E5"/>
    <w:rsid w:val="002522DF"/>
    <w:rsid w:val="002616D0"/>
    <w:rsid w:val="002653F3"/>
    <w:rsid w:val="00273A69"/>
    <w:rsid w:val="00275757"/>
    <w:rsid w:val="002833EC"/>
    <w:rsid w:val="00290733"/>
    <w:rsid w:val="002A3CCE"/>
    <w:rsid w:val="002A43D6"/>
    <w:rsid w:val="002B59BF"/>
    <w:rsid w:val="002F7904"/>
    <w:rsid w:val="00393662"/>
    <w:rsid w:val="003A0406"/>
    <w:rsid w:val="003B11DD"/>
    <w:rsid w:val="003B7D9A"/>
    <w:rsid w:val="003E141A"/>
    <w:rsid w:val="003E3424"/>
    <w:rsid w:val="003F2715"/>
    <w:rsid w:val="004011C9"/>
    <w:rsid w:val="00430EA1"/>
    <w:rsid w:val="0045084E"/>
    <w:rsid w:val="00453FC7"/>
    <w:rsid w:val="00465547"/>
    <w:rsid w:val="00470C71"/>
    <w:rsid w:val="00472E47"/>
    <w:rsid w:val="00487DF5"/>
    <w:rsid w:val="004A285D"/>
    <w:rsid w:val="004A4118"/>
    <w:rsid w:val="004A7622"/>
    <w:rsid w:val="004F1461"/>
    <w:rsid w:val="00514F85"/>
    <w:rsid w:val="00516CA5"/>
    <w:rsid w:val="00526D75"/>
    <w:rsid w:val="005278AA"/>
    <w:rsid w:val="00540307"/>
    <w:rsid w:val="00552460"/>
    <w:rsid w:val="00592713"/>
    <w:rsid w:val="005C7CAC"/>
    <w:rsid w:val="005E5219"/>
    <w:rsid w:val="005F09D8"/>
    <w:rsid w:val="00611EDF"/>
    <w:rsid w:val="00621DD9"/>
    <w:rsid w:val="0064324F"/>
    <w:rsid w:val="006561AE"/>
    <w:rsid w:val="006615D9"/>
    <w:rsid w:val="0068198F"/>
    <w:rsid w:val="006D4506"/>
    <w:rsid w:val="006F36FF"/>
    <w:rsid w:val="007358CE"/>
    <w:rsid w:val="0073647C"/>
    <w:rsid w:val="007415E5"/>
    <w:rsid w:val="0074367C"/>
    <w:rsid w:val="0074571C"/>
    <w:rsid w:val="00763B9F"/>
    <w:rsid w:val="00773761"/>
    <w:rsid w:val="007F52D5"/>
    <w:rsid w:val="00807A0B"/>
    <w:rsid w:val="0081547F"/>
    <w:rsid w:val="008177B0"/>
    <w:rsid w:val="00825E2B"/>
    <w:rsid w:val="008342B4"/>
    <w:rsid w:val="0084187E"/>
    <w:rsid w:val="00847467"/>
    <w:rsid w:val="00861C44"/>
    <w:rsid w:val="00861D5D"/>
    <w:rsid w:val="008624F0"/>
    <w:rsid w:val="008635FF"/>
    <w:rsid w:val="00870DB9"/>
    <w:rsid w:val="00891E1E"/>
    <w:rsid w:val="00893D3B"/>
    <w:rsid w:val="0089586E"/>
    <w:rsid w:val="008B0742"/>
    <w:rsid w:val="008D6034"/>
    <w:rsid w:val="008D6622"/>
    <w:rsid w:val="008E3BF4"/>
    <w:rsid w:val="008E4415"/>
    <w:rsid w:val="008F25F4"/>
    <w:rsid w:val="00906855"/>
    <w:rsid w:val="00915475"/>
    <w:rsid w:val="00921D91"/>
    <w:rsid w:val="00946286"/>
    <w:rsid w:val="00955B2A"/>
    <w:rsid w:val="009820DA"/>
    <w:rsid w:val="009841EE"/>
    <w:rsid w:val="00995BC4"/>
    <w:rsid w:val="009A1C35"/>
    <w:rsid w:val="009A2536"/>
    <w:rsid w:val="009B3039"/>
    <w:rsid w:val="009D22D9"/>
    <w:rsid w:val="009D4B73"/>
    <w:rsid w:val="00A20852"/>
    <w:rsid w:val="00A245DB"/>
    <w:rsid w:val="00A3142A"/>
    <w:rsid w:val="00A62C31"/>
    <w:rsid w:val="00A70B94"/>
    <w:rsid w:val="00A72C93"/>
    <w:rsid w:val="00A86523"/>
    <w:rsid w:val="00A9172F"/>
    <w:rsid w:val="00A91E96"/>
    <w:rsid w:val="00AA2196"/>
    <w:rsid w:val="00AA6F18"/>
    <w:rsid w:val="00AB6034"/>
    <w:rsid w:val="00AC213C"/>
    <w:rsid w:val="00AC5D7E"/>
    <w:rsid w:val="00B07EDB"/>
    <w:rsid w:val="00B17FC8"/>
    <w:rsid w:val="00B21773"/>
    <w:rsid w:val="00B23F98"/>
    <w:rsid w:val="00B25A1A"/>
    <w:rsid w:val="00B40638"/>
    <w:rsid w:val="00B5090F"/>
    <w:rsid w:val="00B60503"/>
    <w:rsid w:val="00B773D9"/>
    <w:rsid w:val="00B86787"/>
    <w:rsid w:val="00B918BF"/>
    <w:rsid w:val="00BC1C7D"/>
    <w:rsid w:val="00BD5CD0"/>
    <w:rsid w:val="00BF6541"/>
    <w:rsid w:val="00C0405A"/>
    <w:rsid w:val="00C17919"/>
    <w:rsid w:val="00C3506B"/>
    <w:rsid w:val="00C53BA5"/>
    <w:rsid w:val="00C63AD6"/>
    <w:rsid w:val="00C665E3"/>
    <w:rsid w:val="00C84D71"/>
    <w:rsid w:val="00C92C90"/>
    <w:rsid w:val="00CA166F"/>
    <w:rsid w:val="00CA1CF5"/>
    <w:rsid w:val="00D0071C"/>
    <w:rsid w:val="00D1144B"/>
    <w:rsid w:val="00D23FC4"/>
    <w:rsid w:val="00D67B35"/>
    <w:rsid w:val="00D74CB9"/>
    <w:rsid w:val="00DA1303"/>
    <w:rsid w:val="00DA1FAB"/>
    <w:rsid w:val="00DF1406"/>
    <w:rsid w:val="00DF4DBB"/>
    <w:rsid w:val="00E17A34"/>
    <w:rsid w:val="00E239E5"/>
    <w:rsid w:val="00E40298"/>
    <w:rsid w:val="00E4416A"/>
    <w:rsid w:val="00E56E09"/>
    <w:rsid w:val="00E84B0F"/>
    <w:rsid w:val="00E9577A"/>
    <w:rsid w:val="00EC1B50"/>
    <w:rsid w:val="00ED326C"/>
    <w:rsid w:val="00EE0289"/>
    <w:rsid w:val="00EE22B9"/>
    <w:rsid w:val="00F048C7"/>
    <w:rsid w:val="00F1710D"/>
    <w:rsid w:val="00F2489A"/>
    <w:rsid w:val="00F362BE"/>
    <w:rsid w:val="00F53813"/>
    <w:rsid w:val="00FA099A"/>
    <w:rsid w:val="00FA6346"/>
    <w:rsid w:val="00FB4832"/>
    <w:rsid w:val="00FB7FA6"/>
    <w:rsid w:val="00FD0270"/>
    <w:rsid w:val="00FE6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CD5AB"/>
  <w15:docId w15:val="{34013BBB-CBDC-4AF9-B7CF-645AC91ED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C44"/>
    <w:pPr>
      <w:spacing w:line="480" w:lineRule="auto"/>
    </w:pPr>
  </w:style>
  <w:style w:type="paragraph" w:styleId="Heading1">
    <w:name w:val="heading 1"/>
    <w:basedOn w:val="Normal"/>
    <w:next w:val="Normal"/>
    <w:link w:val="Heading1Char"/>
    <w:uiPriority w:val="9"/>
    <w:qFormat/>
    <w:rsid w:val="008D6622"/>
    <w:pPr>
      <w:numPr>
        <w:numId w:val="1"/>
      </w:numPr>
      <w:spacing w:before="240" w:after="240" w:line="240" w:lineRule="auto"/>
      <w:outlineLvl w:val="0"/>
    </w:pPr>
    <w:rPr>
      <w:rFonts w:eastAsiaTheme="majorEastAsia"/>
      <w:b/>
      <w:caps/>
      <w:szCs w:val="32"/>
      <w:u w:val="single"/>
    </w:rPr>
  </w:style>
  <w:style w:type="paragraph" w:styleId="Heading2">
    <w:name w:val="heading 2"/>
    <w:basedOn w:val="Normal"/>
    <w:next w:val="Normal"/>
    <w:link w:val="Heading2Char"/>
    <w:uiPriority w:val="9"/>
    <w:unhideWhenUsed/>
    <w:qFormat/>
    <w:rsid w:val="008D6622"/>
    <w:pPr>
      <w:numPr>
        <w:ilvl w:val="1"/>
        <w:numId w:val="1"/>
      </w:numPr>
      <w:tabs>
        <w:tab w:val="left" w:pos="1440"/>
      </w:tabs>
      <w:spacing w:after="240" w:line="240" w:lineRule="auto"/>
      <w:outlineLvl w:val="1"/>
    </w:pPr>
    <w:rPr>
      <w:rFonts w:eastAsiaTheme="majorEastAsia"/>
      <w:b/>
      <w:szCs w:val="26"/>
    </w:rPr>
  </w:style>
  <w:style w:type="paragraph" w:styleId="Heading3">
    <w:name w:val="heading 3"/>
    <w:basedOn w:val="Normal"/>
    <w:next w:val="Normal"/>
    <w:link w:val="Heading3Char"/>
    <w:uiPriority w:val="9"/>
    <w:unhideWhenUsed/>
    <w:qFormat/>
    <w:rsid w:val="008D6622"/>
    <w:pPr>
      <w:numPr>
        <w:ilvl w:val="2"/>
        <w:numId w:val="1"/>
      </w:numPr>
      <w:tabs>
        <w:tab w:val="left" w:pos="2160"/>
      </w:tabs>
      <w:spacing w:after="240" w:line="240" w:lineRule="auto"/>
      <w:outlineLvl w:val="2"/>
    </w:pPr>
    <w:rPr>
      <w:rFonts w:eastAsiaTheme="majorEastAsia"/>
      <w:b/>
    </w:rPr>
  </w:style>
  <w:style w:type="paragraph" w:styleId="Heading4">
    <w:name w:val="heading 4"/>
    <w:basedOn w:val="Normal"/>
    <w:next w:val="Normal"/>
    <w:link w:val="Heading4Char"/>
    <w:uiPriority w:val="9"/>
    <w:semiHidden/>
    <w:unhideWhenUsed/>
    <w:qFormat/>
    <w:rsid w:val="008D6622"/>
    <w:pPr>
      <w:numPr>
        <w:ilvl w:val="3"/>
        <w:numId w:val="1"/>
      </w:numPr>
      <w:tabs>
        <w:tab w:val="left" w:pos="2880"/>
      </w:tabs>
      <w:spacing w:after="240" w:line="240" w:lineRule="auto"/>
      <w:outlineLvl w:val="3"/>
    </w:pPr>
    <w:rPr>
      <w:rFonts w:eastAsiaTheme="majorEastAsia"/>
      <w:b/>
      <w:i/>
      <w:iCs/>
    </w:rPr>
  </w:style>
  <w:style w:type="paragraph" w:styleId="Heading5">
    <w:name w:val="heading 5"/>
    <w:basedOn w:val="Normal"/>
    <w:next w:val="Normal"/>
    <w:link w:val="Heading5Char"/>
    <w:uiPriority w:val="9"/>
    <w:semiHidden/>
    <w:unhideWhenUsed/>
    <w:qFormat/>
    <w:rsid w:val="008D6622"/>
    <w:pPr>
      <w:numPr>
        <w:ilvl w:val="4"/>
        <w:numId w:val="1"/>
      </w:numPr>
      <w:tabs>
        <w:tab w:val="left" w:pos="3600"/>
      </w:tabs>
      <w:spacing w:after="240" w:line="240" w:lineRule="auto"/>
      <w:outlineLvl w:val="4"/>
    </w:pPr>
    <w:rPr>
      <w:rFonts w:eastAsiaTheme="majorEastAsia"/>
      <w:color w:val="243F60" w:themeColor="accent1" w:themeShade="7F"/>
    </w:rPr>
  </w:style>
  <w:style w:type="paragraph" w:styleId="Heading6">
    <w:name w:val="heading 6"/>
    <w:basedOn w:val="Normal"/>
    <w:next w:val="Normal"/>
    <w:link w:val="Heading6Char"/>
    <w:uiPriority w:val="9"/>
    <w:semiHidden/>
    <w:unhideWhenUsed/>
    <w:qFormat/>
    <w:rsid w:val="008D6622"/>
    <w:pPr>
      <w:numPr>
        <w:ilvl w:val="5"/>
        <w:numId w:val="1"/>
      </w:numPr>
      <w:tabs>
        <w:tab w:val="left" w:pos="4320"/>
      </w:tabs>
      <w:spacing w:after="240" w:line="240" w:lineRule="auto"/>
      <w:outlineLvl w:val="5"/>
    </w:pPr>
    <w:rPr>
      <w:rFonts w:eastAsiaTheme="majorEastAsia"/>
      <w:color w:val="243F60" w:themeColor="accent1" w:themeShade="7F"/>
    </w:rPr>
  </w:style>
  <w:style w:type="paragraph" w:styleId="Heading7">
    <w:name w:val="heading 7"/>
    <w:basedOn w:val="Normal"/>
    <w:next w:val="Normal"/>
    <w:link w:val="Heading7Char"/>
    <w:uiPriority w:val="9"/>
    <w:semiHidden/>
    <w:unhideWhenUsed/>
    <w:qFormat/>
    <w:rsid w:val="008D6622"/>
    <w:pPr>
      <w:numPr>
        <w:ilvl w:val="6"/>
        <w:numId w:val="1"/>
      </w:numPr>
      <w:tabs>
        <w:tab w:val="left" w:pos="5040"/>
      </w:tabs>
      <w:spacing w:after="240" w:line="240" w:lineRule="auto"/>
      <w:outlineLvl w:val="6"/>
    </w:pPr>
    <w:rPr>
      <w:rFonts w:eastAsiaTheme="majorEastAsia"/>
      <w:iCs/>
      <w:color w:val="404040" w:themeColor="text1" w:themeTint="BF"/>
    </w:rPr>
  </w:style>
  <w:style w:type="paragraph" w:styleId="Heading8">
    <w:name w:val="heading 8"/>
    <w:basedOn w:val="Normal"/>
    <w:next w:val="Normal"/>
    <w:link w:val="Heading8Char"/>
    <w:uiPriority w:val="9"/>
    <w:semiHidden/>
    <w:unhideWhenUsed/>
    <w:qFormat/>
    <w:rsid w:val="008D6622"/>
    <w:pPr>
      <w:numPr>
        <w:ilvl w:val="7"/>
        <w:numId w:val="1"/>
      </w:numPr>
      <w:tabs>
        <w:tab w:val="left" w:pos="5760"/>
      </w:tabs>
      <w:spacing w:after="240" w:line="240" w:lineRule="auto"/>
      <w:outlineLvl w:val="7"/>
    </w:pPr>
    <w:rPr>
      <w:rFonts w:eastAsiaTheme="majorEastAsia"/>
      <w:color w:val="404040" w:themeColor="text1" w:themeTint="BF"/>
      <w:szCs w:val="21"/>
    </w:rPr>
  </w:style>
  <w:style w:type="paragraph" w:styleId="Heading9">
    <w:name w:val="heading 9"/>
    <w:basedOn w:val="Normal"/>
    <w:next w:val="Normal"/>
    <w:link w:val="Heading9Char"/>
    <w:uiPriority w:val="9"/>
    <w:semiHidden/>
    <w:unhideWhenUsed/>
    <w:qFormat/>
    <w:rsid w:val="008D6622"/>
    <w:pPr>
      <w:numPr>
        <w:ilvl w:val="8"/>
        <w:numId w:val="1"/>
      </w:numPr>
      <w:tabs>
        <w:tab w:val="left" w:pos="6480"/>
      </w:tabs>
      <w:spacing w:after="240" w:line="240" w:lineRule="auto"/>
      <w:outlineLvl w:val="8"/>
    </w:pPr>
    <w:rPr>
      <w:rFonts w:eastAsiaTheme="majorEastAsia"/>
      <w:iCs/>
      <w:color w:val="404040" w:themeColor="text1"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61C44"/>
    <w:pPr>
      <w:spacing w:after="120" w:line="240" w:lineRule="auto"/>
    </w:pPr>
    <w:rPr>
      <w:sz w:val="20"/>
      <w:szCs w:val="20"/>
    </w:rPr>
  </w:style>
  <w:style w:type="character" w:customStyle="1" w:styleId="FootnoteTextChar">
    <w:name w:val="Footnote Text Char"/>
    <w:basedOn w:val="DefaultParagraphFont"/>
    <w:link w:val="FootnoteText"/>
    <w:uiPriority w:val="99"/>
    <w:semiHidden/>
    <w:rsid w:val="00861C44"/>
    <w:rPr>
      <w:sz w:val="20"/>
      <w:szCs w:val="20"/>
    </w:rPr>
  </w:style>
  <w:style w:type="character" w:styleId="FootnoteReference">
    <w:name w:val="footnote reference"/>
    <w:basedOn w:val="DefaultParagraphFont"/>
    <w:uiPriority w:val="99"/>
    <w:semiHidden/>
    <w:unhideWhenUsed/>
    <w:rsid w:val="008635FF"/>
    <w:rPr>
      <w:vertAlign w:val="superscript"/>
    </w:rPr>
  </w:style>
  <w:style w:type="character" w:customStyle="1" w:styleId="Heading1Char">
    <w:name w:val="Heading 1 Char"/>
    <w:basedOn w:val="DefaultParagraphFont"/>
    <w:link w:val="Heading1"/>
    <w:uiPriority w:val="9"/>
    <w:rsid w:val="008D6622"/>
    <w:rPr>
      <w:rFonts w:eastAsiaTheme="majorEastAsia"/>
      <w:b/>
      <w:caps/>
      <w:szCs w:val="32"/>
      <w:u w:val="single"/>
    </w:rPr>
  </w:style>
  <w:style w:type="character" w:customStyle="1" w:styleId="Heading2Char">
    <w:name w:val="Heading 2 Char"/>
    <w:basedOn w:val="DefaultParagraphFont"/>
    <w:link w:val="Heading2"/>
    <w:uiPriority w:val="9"/>
    <w:rsid w:val="008D6622"/>
    <w:rPr>
      <w:rFonts w:eastAsiaTheme="majorEastAsia"/>
      <w:b/>
      <w:szCs w:val="26"/>
    </w:rPr>
  </w:style>
  <w:style w:type="character" w:customStyle="1" w:styleId="Heading3Char">
    <w:name w:val="Heading 3 Char"/>
    <w:basedOn w:val="DefaultParagraphFont"/>
    <w:link w:val="Heading3"/>
    <w:uiPriority w:val="9"/>
    <w:rsid w:val="008D6622"/>
    <w:rPr>
      <w:rFonts w:eastAsiaTheme="majorEastAsia"/>
      <w:b/>
    </w:rPr>
  </w:style>
  <w:style w:type="character" w:customStyle="1" w:styleId="Heading4Char">
    <w:name w:val="Heading 4 Char"/>
    <w:basedOn w:val="DefaultParagraphFont"/>
    <w:link w:val="Heading4"/>
    <w:uiPriority w:val="9"/>
    <w:semiHidden/>
    <w:rsid w:val="008D6622"/>
    <w:rPr>
      <w:rFonts w:eastAsiaTheme="majorEastAsia"/>
      <w:b/>
      <w:i/>
      <w:iCs/>
    </w:rPr>
  </w:style>
  <w:style w:type="character" w:customStyle="1" w:styleId="Heading5Char">
    <w:name w:val="Heading 5 Char"/>
    <w:basedOn w:val="DefaultParagraphFont"/>
    <w:link w:val="Heading5"/>
    <w:uiPriority w:val="9"/>
    <w:semiHidden/>
    <w:rsid w:val="008D6622"/>
    <w:rPr>
      <w:rFonts w:eastAsiaTheme="majorEastAsia"/>
      <w:color w:val="243F60" w:themeColor="accent1" w:themeShade="7F"/>
    </w:rPr>
  </w:style>
  <w:style w:type="character" w:customStyle="1" w:styleId="Heading6Char">
    <w:name w:val="Heading 6 Char"/>
    <w:basedOn w:val="DefaultParagraphFont"/>
    <w:link w:val="Heading6"/>
    <w:uiPriority w:val="9"/>
    <w:semiHidden/>
    <w:rsid w:val="008D6622"/>
    <w:rPr>
      <w:rFonts w:eastAsiaTheme="majorEastAsia"/>
      <w:color w:val="243F60" w:themeColor="accent1" w:themeShade="7F"/>
    </w:rPr>
  </w:style>
  <w:style w:type="character" w:customStyle="1" w:styleId="Heading7Char">
    <w:name w:val="Heading 7 Char"/>
    <w:basedOn w:val="DefaultParagraphFont"/>
    <w:link w:val="Heading7"/>
    <w:uiPriority w:val="9"/>
    <w:semiHidden/>
    <w:rsid w:val="008D6622"/>
    <w:rPr>
      <w:rFonts w:eastAsiaTheme="majorEastAsia"/>
      <w:iCs/>
      <w:color w:val="404040" w:themeColor="text1" w:themeTint="BF"/>
    </w:rPr>
  </w:style>
  <w:style w:type="character" w:customStyle="1" w:styleId="Heading8Char">
    <w:name w:val="Heading 8 Char"/>
    <w:basedOn w:val="DefaultParagraphFont"/>
    <w:link w:val="Heading8"/>
    <w:uiPriority w:val="9"/>
    <w:semiHidden/>
    <w:rsid w:val="008D6622"/>
    <w:rPr>
      <w:rFonts w:eastAsiaTheme="majorEastAsia"/>
      <w:color w:val="404040" w:themeColor="text1" w:themeTint="BF"/>
      <w:szCs w:val="21"/>
    </w:rPr>
  </w:style>
  <w:style w:type="character" w:customStyle="1" w:styleId="Heading9Char">
    <w:name w:val="Heading 9 Char"/>
    <w:basedOn w:val="DefaultParagraphFont"/>
    <w:link w:val="Heading9"/>
    <w:uiPriority w:val="9"/>
    <w:semiHidden/>
    <w:rsid w:val="008D6622"/>
    <w:rPr>
      <w:rFonts w:eastAsiaTheme="majorEastAsia"/>
      <w:iCs/>
      <w:color w:val="404040" w:themeColor="text1" w:themeTint="BF"/>
      <w:szCs w:val="21"/>
    </w:rPr>
  </w:style>
  <w:style w:type="paragraph" w:styleId="BodyText">
    <w:name w:val="Body Text"/>
    <w:basedOn w:val="Normal"/>
    <w:link w:val="BodyTextChar"/>
    <w:uiPriority w:val="99"/>
    <w:semiHidden/>
    <w:unhideWhenUsed/>
    <w:rsid w:val="008D6622"/>
    <w:pPr>
      <w:spacing w:after="120"/>
    </w:pPr>
  </w:style>
  <w:style w:type="character" w:customStyle="1" w:styleId="BodyTextChar">
    <w:name w:val="Body Text Char"/>
    <w:basedOn w:val="DefaultParagraphFont"/>
    <w:link w:val="BodyText"/>
    <w:uiPriority w:val="99"/>
    <w:semiHidden/>
    <w:rsid w:val="008D6622"/>
  </w:style>
  <w:style w:type="paragraph" w:styleId="Header">
    <w:name w:val="header"/>
    <w:basedOn w:val="Normal"/>
    <w:link w:val="HeaderChar"/>
    <w:uiPriority w:val="99"/>
    <w:unhideWhenUsed/>
    <w:rsid w:val="0019548F"/>
    <w:pPr>
      <w:tabs>
        <w:tab w:val="center" w:pos="4680"/>
        <w:tab w:val="right" w:pos="9360"/>
      </w:tabs>
      <w:spacing w:line="240" w:lineRule="auto"/>
    </w:pPr>
  </w:style>
  <w:style w:type="character" w:customStyle="1" w:styleId="HeaderChar">
    <w:name w:val="Header Char"/>
    <w:basedOn w:val="DefaultParagraphFont"/>
    <w:link w:val="Header"/>
    <w:uiPriority w:val="99"/>
    <w:rsid w:val="0019548F"/>
  </w:style>
  <w:style w:type="paragraph" w:styleId="Footer">
    <w:name w:val="footer"/>
    <w:basedOn w:val="Normal"/>
    <w:link w:val="FooterChar"/>
    <w:uiPriority w:val="99"/>
    <w:unhideWhenUsed/>
    <w:rsid w:val="0019548F"/>
    <w:pPr>
      <w:tabs>
        <w:tab w:val="center" w:pos="4680"/>
        <w:tab w:val="right" w:pos="9360"/>
      </w:tabs>
      <w:spacing w:line="240" w:lineRule="auto"/>
    </w:pPr>
  </w:style>
  <w:style w:type="character" w:customStyle="1" w:styleId="FooterChar">
    <w:name w:val="Footer Char"/>
    <w:basedOn w:val="DefaultParagraphFont"/>
    <w:link w:val="Footer"/>
    <w:uiPriority w:val="99"/>
    <w:rsid w:val="0019548F"/>
  </w:style>
  <w:style w:type="character" w:styleId="CommentReference">
    <w:name w:val="annotation reference"/>
    <w:basedOn w:val="DefaultParagraphFont"/>
    <w:uiPriority w:val="99"/>
    <w:semiHidden/>
    <w:unhideWhenUsed/>
    <w:rsid w:val="001E58C4"/>
    <w:rPr>
      <w:sz w:val="16"/>
      <w:szCs w:val="16"/>
    </w:rPr>
  </w:style>
  <w:style w:type="paragraph" w:styleId="CommentText">
    <w:name w:val="annotation text"/>
    <w:basedOn w:val="Normal"/>
    <w:link w:val="CommentTextChar"/>
    <w:uiPriority w:val="99"/>
    <w:semiHidden/>
    <w:unhideWhenUsed/>
    <w:rsid w:val="001E58C4"/>
    <w:pPr>
      <w:spacing w:line="240" w:lineRule="auto"/>
    </w:pPr>
    <w:rPr>
      <w:sz w:val="20"/>
      <w:szCs w:val="20"/>
    </w:rPr>
  </w:style>
  <w:style w:type="character" w:customStyle="1" w:styleId="CommentTextChar">
    <w:name w:val="Comment Text Char"/>
    <w:basedOn w:val="DefaultParagraphFont"/>
    <w:link w:val="CommentText"/>
    <w:uiPriority w:val="99"/>
    <w:semiHidden/>
    <w:rsid w:val="001E58C4"/>
    <w:rPr>
      <w:sz w:val="20"/>
      <w:szCs w:val="20"/>
    </w:rPr>
  </w:style>
  <w:style w:type="paragraph" w:styleId="CommentSubject">
    <w:name w:val="annotation subject"/>
    <w:basedOn w:val="CommentText"/>
    <w:next w:val="CommentText"/>
    <w:link w:val="CommentSubjectChar"/>
    <w:uiPriority w:val="99"/>
    <w:semiHidden/>
    <w:unhideWhenUsed/>
    <w:rsid w:val="001E58C4"/>
    <w:rPr>
      <w:b/>
      <w:bCs/>
    </w:rPr>
  </w:style>
  <w:style w:type="character" w:customStyle="1" w:styleId="CommentSubjectChar">
    <w:name w:val="Comment Subject Char"/>
    <w:basedOn w:val="CommentTextChar"/>
    <w:link w:val="CommentSubject"/>
    <w:uiPriority w:val="99"/>
    <w:semiHidden/>
    <w:rsid w:val="001E58C4"/>
    <w:rPr>
      <w:b/>
      <w:bCs/>
      <w:sz w:val="20"/>
      <w:szCs w:val="20"/>
    </w:rPr>
  </w:style>
  <w:style w:type="paragraph" w:styleId="Revision">
    <w:name w:val="Revision"/>
    <w:hidden/>
    <w:uiPriority w:val="99"/>
    <w:semiHidden/>
    <w:rsid w:val="001E58C4"/>
    <w:pPr>
      <w:jc w:val="left"/>
    </w:pPr>
  </w:style>
  <w:style w:type="paragraph" w:styleId="BalloonText">
    <w:name w:val="Balloon Text"/>
    <w:basedOn w:val="Normal"/>
    <w:link w:val="BalloonTextChar"/>
    <w:uiPriority w:val="99"/>
    <w:semiHidden/>
    <w:unhideWhenUsed/>
    <w:rsid w:val="001E58C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58C4"/>
    <w:rPr>
      <w:rFonts w:ascii="Segoe UI" w:hAnsi="Segoe UI" w:cs="Segoe UI"/>
      <w:sz w:val="18"/>
      <w:szCs w:val="18"/>
    </w:rPr>
  </w:style>
  <w:style w:type="paragraph" w:styleId="BodyText3">
    <w:name w:val="Body Text 3"/>
    <w:basedOn w:val="Normal"/>
    <w:link w:val="BodyText3Char"/>
    <w:uiPriority w:val="99"/>
    <w:semiHidden/>
    <w:unhideWhenUsed/>
    <w:rsid w:val="006F36FF"/>
    <w:pPr>
      <w:spacing w:after="120"/>
    </w:pPr>
    <w:rPr>
      <w:sz w:val="16"/>
      <w:szCs w:val="16"/>
    </w:rPr>
  </w:style>
  <w:style w:type="character" w:customStyle="1" w:styleId="BodyText3Char">
    <w:name w:val="Body Text 3 Char"/>
    <w:basedOn w:val="DefaultParagraphFont"/>
    <w:link w:val="BodyText3"/>
    <w:uiPriority w:val="99"/>
    <w:semiHidden/>
    <w:rsid w:val="006F36FF"/>
    <w:rPr>
      <w:sz w:val="16"/>
      <w:szCs w:val="16"/>
    </w:rPr>
  </w:style>
  <w:style w:type="character" w:styleId="Hyperlink">
    <w:name w:val="Hyperlink"/>
    <w:basedOn w:val="DefaultParagraphFont"/>
    <w:uiPriority w:val="99"/>
    <w:unhideWhenUsed/>
    <w:rsid w:val="006F36FF"/>
    <w:rPr>
      <w:color w:val="0000FF" w:themeColor="hyperlink"/>
      <w:u w:val="single"/>
    </w:rPr>
  </w:style>
  <w:style w:type="paragraph" w:styleId="Title">
    <w:name w:val="Title"/>
    <w:basedOn w:val="Normal"/>
    <w:link w:val="TitleChar"/>
    <w:qFormat/>
    <w:rsid w:val="006F36FF"/>
    <w:pPr>
      <w:spacing w:line="240" w:lineRule="auto"/>
      <w:jc w:val="center"/>
    </w:pPr>
    <w:rPr>
      <w:rFonts w:eastAsia="Times New Roman"/>
      <w:b/>
      <w:smallCaps/>
      <w:sz w:val="32"/>
    </w:rPr>
  </w:style>
  <w:style w:type="character" w:customStyle="1" w:styleId="TitleChar">
    <w:name w:val="Title Char"/>
    <w:basedOn w:val="DefaultParagraphFont"/>
    <w:link w:val="Title"/>
    <w:rsid w:val="006F36FF"/>
    <w:rPr>
      <w:rFonts w:eastAsia="Times New Roman"/>
      <w:b/>
      <w:smallCaps/>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060296">
      <w:bodyDiv w:val="1"/>
      <w:marLeft w:val="0"/>
      <w:marRight w:val="0"/>
      <w:marTop w:val="0"/>
      <w:marBottom w:val="0"/>
      <w:divBdr>
        <w:top w:val="none" w:sz="0" w:space="0" w:color="auto"/>
        <w:left w:val="none" w:sz="0" w:space="0" w:color="auto"/>
        <w:bottom w:val="none" w:sz="0" w:space="0" w:color="auto"/>
        <w:right w:val="none" w:sz="0" w:space="0" w:color="auto"/>
      </w:divBdr>
      <w:divsChild>
        <w:div w:id="55324818">
          <w:marLeft w:val="0"/>
          <w:marRight w:val="0"/>
          <w:marTop w:val="0"/>
          <w:marBottom w:val="0"/>
          <w:divBdr>
            <w:top w:val="none" w:sz="0" w:space="0" w:color="auto"/>
            <w:left w:val="none" w:sz="0" w:space="0" w:color="auto"/>
            <w:bottom w:val="none" w:sz="0" w:space="0" w:color="auto"/>
            <w:right w:val="none" w:sz="0" w:space="0" w:color="auto"/>
          </w:divBdr>
        </w:div>
        <w:div w:id="1753431765">
          <w:marLeft w:val="0"/>
          <w:marRight w:val="0"/>
          <w:marTop w:val="0"/>
          <w:marBottom w:val="0"/>
          <w:divBdr>
            <w:top w:val="none" w:sz="0" w:space="0" w:color="auto"/>
            <w:left w:val="none" w:sz="0" w:space="0" w:color="auto"/>
            <w:bottom w:val="none" w:sz="0" w:space="0" w:color="auto"/>
            <w:right w:val="none" w:sz="0" w:space="0" w:color="auto"/>
          </w:divBdr>
        </w:div>
        <w:div w:id="4314343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99236-BE54-4CF5-8D95-AB4256F13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1549</Words>
  <Characters>9562</Characters>
  <Application>Microsoft Office Word</Application>
  <DocSecurity>0</DocSecurity>
  <PresentationFormat>14|.DOCX</PresentationFormat>
  <Lines>252</Lines>
  <Paragraphs>150</Paragraphs>
  <ScaleCrop>false</ScaleCrop>
  <HeadingPairs>
    <vt:vector size="2" baseType="variant">
      <vt:variant>
        <vt:lpstr>Title</vt:lpstr>
      </vt:variant>
      <vt:variant>
        <vt:i4>1</vt:i4>
      </vt:variant>
    </vt:vector>
  </HeadingPairs>
  <TitlesOfParts>
    <vt:vector size="1" baseType="lpstr">
      <vt:lpstr>16-395 &amp; 15-180 IEU Memo Contra DP&amp;L's Scheduling Motion (C49881).DOCX</vt:lpstr>
    </vt:vector>
  </TitlesOfParts>
  <Company/>
  <LinksUpToDate>false</LinksUpToDate>
  <CharactersWithSpaces>11002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16-395 &amp; 15-180 IEU Memo Contra DP&amp;L's Scheduling Motion (C49881).DOCX</dc:title>
  <dc:subject>C49881: /font=8</dc:subject>
  <dc:creator>Debbie Ryan</dc:creator>
  <cp:keywords/>
  <dc:description/>
  <cp:lastModifiedBy>Debbie Ryan</cp:lastModifiedBy>
  <cp:revision>2</cp:revision>
  <cp:lastPrinted>2016-05-02T13:02:00Z</cp:lastPrinted>
  <dcterms:created xsi:type="dcterms:W3CDTF">2016-05-02T13:02:00Z</dcterms:created>
  <dcterms:modified xsi:type="dcterms:W3CDTF">2016-05-02T13:02:00Z</dcterms:modified>
</cp:coreProperties>
</file>