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66" w:rsidRPr="00A41E19" w:rsidRDefault="00905A66" w:rsidP="00905A66">
      <w:pPr>
        <w:pStyle w:val="Title"/>
        <w:widowControl w:val="0"/>
        <w:rPr>
          <w:rFonts w:ascii="Arial" w:hAnsi="Arial" w:cs="Arial"/>
          <w:szCs w:val="24"/>
        </w:rPr>
      </w:pPr>
      <w:r w:rsidRPr="00A41E19">
        <w:rPr>
          <w:rFonts w:ascii="Arial" w:hAnsi="Arial" w:cs="Arial"/>
          <w:szCs w:val="24"/>
        </w:rPr>
        <w:t>BEFORE</w:t>
      </w:r>
    </w:p>
    <w:p w:rsidR="00905A66" w:rsidRPr="00A41E19" w:rsidRDefault="00905A66" w:rsidP="00905A66">
      <w:pPr>
        <w:widowControl w:val="0"/>
        <w:jc w:val="center"/>
        <w:rPr>
          <w:b/>
          <w:sz w:val="24"/>
          <w:szCs w:val="24"/>
        </w:rPr>
      </w:pPr>
      <w:r w:rsidRPr="00A41E19">
        <w:rPr>
          <w:b/>
          <w:sz w:val="24"/>
          <w:szCs w:val="24"/>
        </w:rPr>
        <w:t>THE PUBLIC UTILITIES COMMISSION OF OHIO</w:t>
      </w:r>
    </w:p>
    <w:tbl>
      <w:tblPr>
        <w:tblW w:w="0" w:type="auto"/>
        <w:jc w:val="center"/>
        <w:tblLook w:val="01E0" w:firstRow="1" w:lastRow="1" w:firstColumn="1" w:lastColumn="1" w:noHBand="0" w:noVBand="0"/>
      </w:tblPr>
      <w:tblGrid>
        <w:gridCol w:w="4769"/>
        <w:gridCol w:w="634"/>
        <w:gridCol w:w="3954"/>
      </w:tblGrid>
      <w:tr w:rsidR="00905A66" w:rsidRPr="00A41E19" w:rsidTr="00140693">
        <w:trPr>
          <w:trHeight w:val="1288"/>
          <w:jc w:val="center"/>
        </w:trPr>
        <w:tc>
          <w:tcPr>
            <w:tcW w:w="4769" w:type="dxa"/>
          </w:tcPr>
          <w:p w:rsidR="00905A66" w:rsidRPr="00A41E19" w:rsidRDefault="00905A66" w:rsidP="00140693">
            <w:pPr>
              <w:widowControl w:val="0"/>
              <w:spacing w:after="0" w:line="240" w:lineRule="auto"/>
              <w:rPr>
                <w:sz w:val="24"/>
                <w:szCs w:val="24"/>
              </w:rPr>
            </w:pPr>
            <w:r w:rsidRPr="00A41E19">
              <w:rPr>
                <w:sz w:val="24"/>
                <w:szCs w:val="24"/>
              </w:rPr>
              <w:t>In the Matter of the Commission's Review of Chapter 4901:1-10, Ohio Administrative Cod</w:t>
            </w:r>
            <w:r>
              <w:rPr>
                <w:sz w:val="24"/>
                <w:szCs w:val="24"/>
              </w:rPr>
              <w:t>e, Regarding Electric Companies</w:t>
            </w:r>
          </w:p>
        </w:tc>
        <w:tc>
          <w:tcPr>
            <w:tcW w:w="634" w:type="dxa"/>
          </w:tcPr>
          <w:p w:rsidR="00905A66" w:rsidRPr="00A41E19" w:rsidRDefault="00905A66" w:rsidP="00140693">
            <w:pPr>
              <w:widowControl w:val="0"/>
              <w:spacing w:after="0" w:line="240" w:lineRule="auto"/>
              <w:jc w:val="center"/>
              <w:rPr>
                <w:sz w:val="24"/>
                <w:szCs w:val="24"/>
              </w:rPr>
            </w:pPr>
            <w:r w:rsidRPr="00A41E19">
              <w:rPr>
                <w:sz w:val="24"/>
                <w:szCs w:val="24"/>
              </w:rPr>
              <w:t>)</w:t>
            </w:r>
          </w:p>
          <w:p w:rsidR="00905A66" w:rsidRPr="00A41E19" w:rsidRDefault="00905A66" w:rsidP="00140693">
            <w:pPr>
              <w:widowControl w:val="0"/>
              <w:spacing w:after="0" w:line="240" w:lineRule="auto"/>
              <w:jc w:val="center"/>
              <w:rPr>
                <w:sz w:val="24"/>
                <w:szCs w:val="24"/>
              </w:rPr>
            </w:pPr>
            <w:r w:rsidRPr="00A41E19">
              <w:rPr>
                <w:sz w:val="24"/>
                <w:szCs w:val="24"/>
              </w:rPr>
              <w:t>)</w:t>
            </w:r>
          </w:p>
          <w:p w:rsidR="00905A66" w:rsidRPr="00A41E19" w:rsidRDefault="00905A66" w:rsidP="00140693">
            <w:pPr>
              <w:widowControl w:val="0"/>
              <w:spacing w:after="0" w:line="240" w:lineRule="auto"/>
              <w:jc w:val="center"/>
              <w:rPr>
                <w:sz w:val="24"/>
                <w:szCs w:val="24"/>
              </w:rPr>
            </w:pPr>
            <w:r w:rsidRPr="00A41E19">
              <w:rPr>
                <w:sz w:val="24"/>
                <w:szCs w:val="24"/>
              </w:rPr>
              <w:t>)</w:t>
            </w:r>
          </w:p>
        </w:tc>
        <w:tc>
          <w:tcPr>
            <w:tcW w:w="3954" w:type="dxa"/>
          </w:tcPr>
          <w:p w:rsidR="00905A66" w:rsidRPr="00A41E19" w:rsidRDefault="00905A66" w:rsidP="00140693">
            <w:pPr>
              <w:widowControl w:val="0"/>
              <w:spacing w:after="0" w:line="240" w:lineRule="auto"/>
              <w:rPr>
                <w:sz w:val="24"/>
                <w:szCs w:val="24"/>
              </w:rPr>
            </w:pPr>
          </w:p>
          <w:p w:rsidR="00905A66" w:rsidRPr="00A41E19" w:rsidRDefault="00905A66" w:rsidP="00140693">
            <w:pPr>
              <w:widowControl w:val="0"/>
              <w:spacing w:after="0" w:line="240" w:lineRule="auto"/>
              <w:rPr>
                <w:sz w:val="24"/>
                <w:szCs w:val="24"/>
              </w:rPr>
            </w:pPr>
            <w:r w:rsidRPr="00A41E19">
              <w:rPr>
                <w:sz w:val="24"/>
                <w:szCs w:val="24"/>
              </w:rPr>
              <w:t>Case No. 12-2050-EL-ORD</w:t>
            </w:r>
          </w:p>
          <w:p w:rsidR="00905A66" w:rsidRPr="00A41E19" w:rsidRDefault="00905A66" w:rsidP="00140693">
            <w:pPr>
              <w:widowControl w:val="0"/>
              <w:spacing w:after="0" w:line="240" w:lineRule="auto"/>
              <w:rPr>
                <w:sz w:val="24"/>
                <w:szCs w:val="24"/>
              </w:rPr>
            </w:pPr>
          </w:p>
        </w:tc>
      </w:tr>
    </w:tbl>
    <w:p w:rsidR="00905A66" w:rsidRPr="00A41E19" w:rsidRDefault="00905A66" w:rsidP="00905A66">
      <w:pPr>
        <w:pStyle w:val="Footer"/>
        <w:pBdr>
          <w:top w:val="single" w:sz="12" w:space="1" w:color="auto"/>
          <w:bottom w:val="single" w:sz="12" w:space="1" w:color="auto"/>
        </w:pBdr>
        <w:tabs>
          <w:tab w:val="left" w:pos="4320"/>
        </w:tabs>
        <w:rPr>
          <w:rFonts w:ascii="Arial" w:hAnsi="Arial" w:cs="Arial"/>
          <w:sz w:val="24"/>
          <w:szCs w:val="24"/>
        </w:rPr>
      </w:pPr>
    </w:p>
    <w:p w:rsidR="00905A66" w:rsidRDefault="00211BFD" w:rsidP="008857E0">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 xml:space="preserve">REPLY COMMENTS </w:t>
      </w:r>
      <w:r w:rsidR="008857E0">
        <w:rPr>
          <w:rFonts w:ascii="Arial" w:hAnsi="Arial" w:cs="Arial"/>
          <w:b/>
          <w:sz w:val="24"/>
          <w:szCs w:val="24"/>
        </w:rPr>
        <w:t xml:space="preserve">OF </w:t>
      </w:r>
      <w:r w:rsidR="008857E0" w:rsidRPr="008857E0">
        <w:rPr>
          <w:rFonts w:ascii="Arial" w:hAnsi="Arial" w:cs="Arial"/>
          <w:b/>
          <w:sz w:val="24"/>
          <w:szCs w:val="24"/>
        </w:rPr>
        <w:t>IGS SOLAR, LLC, IGS GENERATION, LLC, AND INTERSTATE GAS SUPPLY, INC.</w:t>
      </w:r>
    </w:p>
    <w:p w:rsidR="003247C9" w:rsidRPr="00A41E19" w:rsidRDefault="003247C9" w:rsidP="008857E0">
      <w:pPr>
        <w:pStyle w:val="Footer"/>
        <w:pBdr>
          <w:top w:val="single" w:sz="12" w:space="1" w:color="auto"/>
          <w:bottom w:val="single" w:sz="12" w:space="1" w:color="auto"/>
        </w:pBdr>
        <w:tabs>
          <w:tab w:val="left" w:pos="4320"/>
        </w:tabs>
        <w:jc w:val="center"/>
        <w:rPr>
          <w:rFonts w:ascii="Arial" w:hAnsi="Arial" w:cs="Arial"/>
          <w:b/>
          <w:sz w:val="24"/>
          <w:szCs w:val="24"/>
        </w:rPr>
      </w:pPr>
    </w:p>
    <w:p w:rsidR="00CA6856" w:rsidRDefault="00CA6856" w:rsidP="00886680">
      <w:pPr>
        <w:spacing w:after="120" w:line="480" w:lineRule="auto"/>
        <w:jc w:val="both"/>
        <w:rPr>
          <w:b/>
          <w:sz w:val="24"/>
          <w:szCs w:val="24"/>
          <w:u w:val="single"/>
        </w:rPr>
      </w:pPr>
    </w:p>
    <w:p w:rsidR="007953D5" w:rsidRPr="007953D5" w:rsidRDefault="007953D5" w:rsidP="007E461E">
      <w:pPr>
        <w:pStyle w:val="ListParagraph"/>
        <w:numPr>
          <w:ilvl w:val="0"/>
          <w:numId w:val="2"/>
        </w:numPr>
        <w:spacing w:after="120" w:line="480" w:lineRule="auto"/>
        <w:jc w:val="both"/>
        <w:rPr>
          <w:b/>
          <w:sz w:val="24"/>
          <w:szCs w:val="24"/>
        </w:rPr>
      </w:pPr>
      <w:r>
        <w:rPr>
          <w:b/>
          <w:sz w:val="24"/>
          <w:szCs w:val="24"/>
        </w:rPr>
        <w:t>INTRODUCTION</w:t>
      </w:r>
    </w:p>
    <w:p w:rsidR="005B586B" w:rsidRDefault="00211BFD" w:rsidP="00C94607">
      <w:pPr>
        <w:spacing w:after="120" w:line="480" w:lineRule="auto"/>
        <w:ind w:firstLine="720"/>
        <w:jc w:val="both"/>
        <w:rPr>
          <w:color w:val="auto"/>
          <w:sz w:val="24"/>
          <w:szCs w:val="24"/>
        </w:rPr>
      </w:pPr>
      <w:r>
        <w:rPr>
          <w:sz w:val="24"/>
        </w:rPr>
        <w:t>On November 18, 2015, the Public Utilities Commission of Ohio (“Commission”) solicited for comment draft net metering rules</w:t>
      </w:r>
      <w:r w:rsidR="005B1C05">
        <w:rPr>
          <w:sz w:val="24"/>
        </w:rPr>
        <w:t>.  As noted in their initial comments,</w:t>
      </w:r>
      <w:r>
        <w:rPr>
          <w:sz w:val="24"/>
        </w:rPr>
        <w:t xml:space="preserve"> </w:t>
      </w:r>
      <w:r w:rsidR="005B1C05" w:rsidRPr="005B1C05">
        <w:rPr>
          <w:color w:val="auto"/>
          <w:sz w:val="24"/>
          <w:szCs w:val="24"/>
        </w:rPr>
        <w:t>IGS Solar, LLC, IGS Generation, LLC, and Interstate Gas Supply, Inc. (collectively, “I</w:t>
      </w:r>
      <w:r w:rsidR="005B1C05">
        <w:rPr>
          <w:color w:val="auto"/>
          <w:sz w:val="24"/>
          <w:szCs w:val="24"/>
        </w:rPr>
        <w:t xml:space="preserve">GS”) </w:t>
      </w:r>
      <w:r w:rsidR="005B1C05" w:rsidRPr="005B1C05">
        <w:rPr>
          <w:color w:val="auto"/>
          <w:sz w:val="24"/>
          <w:szCs w:val="24"/>
        </w:rPr>
        <w:t>largely supports the draft</w:t>
      </w:r>
      <w:r w:rsidR="005B1C05">
        <w:rPr>
          <w:color w:val="auto"/>
          <w:sz w:val="24"/>
          <w:szCs w:val="24"/>
        </w:rPr>
        <w:t xml:space="preserve"> rules.  IGS hereby responds to the initial comments submitted by Ohio Power Company (“AEP”), Ohio Edison Company, Toledo Edison Company, and Cleveland Electric Illuminating Company (collectively, “FirstEnergy”)</w:t>
      </w:r>
      <w:r w:rsidR="00E441AA">
        <w:rPr>
          <w:color w:val="auto"/>
          <w:sz w:val="24"/>
          <w:szCs w:val="24"/>
        </w:rPr>
        <w:t>,</w:t>
      </w:r>
      <w:r w:rsidR="0012426E">
        <w:rPr>
          <w:color w:val="auto"/>
          <w:sz w:val="24"/>
          <w:szCs w:val="24"/>
        </w:rPr>
        <w:t xml:space="preserve"> and Duke Energy Ohio (“Duke”), and Dayton Power and Light (“DP&amp;L”), </w:t>
      </w:r>
      <w:r w:rsidR="00E441AA">
        <w:rPr>
          <w:color w:val="auto"/>
          <w:sz w:val="24"/>
          <w:szCs w:val="24"/>
        </w:rPr>
        <w:t>each of those parties propose modifications to the proposed rules, which would frustrate the development of distribut</w:t>
      </w:r>
      <w:r w:rsidR="00B2208A">
        <w:rPr>
          <w:color w:val="auto"/>
          <w:sz w:val="24"/>
          <w:szCs w:val="24"/>
        </w:rPr>
        <w:t>ed</w:t>
      </w:r>
      <w:r w:rsidR="00E441AA">
        <w:rPr>
          <w:color w:val="auto"/>
          <w:sz w:val="24"/>
          <w:szCs w:val="24"/>
        </w:rPr>
        <w:t xml:space="preserve"> generation resources.</w:t>
      </w:r>
    </w:p>
    <w:p w:rsidR="00E441AA" w:rsidRDefault="00E441AA" w:rsidP="00C94607">
      <w:pPr>
        <w:spacing w:after="120" w:line="480" w:lineRule="auto"/>
        <w:ind w:firstLine="720"/>
        <w:jc w:val="both"/>
        <w:rPr>
          <w:color w:val="auto"/>
          <w:sz w:val="24"/>
          <w:szCs w:val="24"/>
        </w:rPr>
      </w:pPr>
      <w:r>
        <w:rPr>
          <w:color w:val="auto"/>
          <w:sz w:val="24"/>
          <w:szCs w:val="24"/>
        </w:rPr>
        <w:t>While IGS does not respond to each of the proposals sub</w:t>
      </w:r>
      <w:r w:rsidR="0022611D">
        <w:rPr>
          <w:color w:val="auto"/>
          <w:sz w:val="24"/>
          <w:szCs w:val="24"/>
        </w:rPr>
        <w:t xml:space="preserve">mitted by AEP, FirstEnergy, </w:t>
      </w:r>
      <w:r>
        <w:rPr>
          <w:color w:val="auto"/>
          <w:sz w:val="24"/>
          <w:szCs w:val="24"/>
        </w:rPr>
        <w:t>Duke,</w:t>
      </w:r>
      <w:r w:rsidR="0022611D">
        <w:rPr>
          <w:color w:val="auto"/>
          <w:sz w:val="24"/>
          <w:szCs w:val="24"/>
        </w:rPr>
        <w:t xml:space="preserve"> and DP&amp;L,</w:t>
      </w:r>
      <w:bookmarkStart w:id="0" w:name="_GoBack"/>
      <w:bookmarkEnd w:id="0"/>
      <w:r>
        <w:rPr>
          <w:color w:val="auto"/>
          <w:sz w:val="24"/>
          <w:szCs w:val="24"/>
        </w:rPr>
        <w:t xml:space="preserve"> these reply comments address the following proposed modifications:</w:t>
      </w:r>
    </w:p>
    <w:p w:rsidR="005B1C05" w:rsidRDefault="00E441AA" w:rsidP="00C94607">
      <w:pPr>
        <w:pStyle w:val="ListParagraph"/>
        <w:numPr>
          <w:ilvl w:val="0"/>
          <w:numId w:val="5"/>
        </w:numPr>
        <w:spacing w:after="120" w:line="240" w:lineRule="auto"/>
        <w:ind w:left="1498"/>
        <w:jc w:val="both"/>
        <w:rPr>
          <w:color w:val="auto"/>
          <w:sz w:val="24"/>
          <w:szCs w:val="24"/>
        </w:rPr>
      </w:pPr>
      <w:r>
        <w:rPr>
          <w:color w:val="auto"/>
          <w:sz w:val="24"/>
          <w:szCs w:val="24"/>
        </w:rPr>
        <w:t>Limiting net metering compensation to electrical energy (and thus excluding demand and capacity);</w:t>
      </w:r>
    </w:p>
    <w:p w:rsidR="00E441AA" w:rsidRDefault="00E441AA" w:rsidP="00C94607">
      <w:pPr>
        <w:pStyle w:val="ListParagraph"/>
        <w:numPr>
          <w:ilvl w:val="0"/>
          <w:numId w:val="5"/>
        </w:numPr>
        <w:spacing w:after="120" w:line="240" w:lineRule="auto"/>
        <w:ind w:left="1498"/>
        <w:jc w:val="both"/>
        <w:rPr>
          <w:color w:val="auto"/>
          <w:sz w:val="24"/>
          <w:szCs w:val="24"/>
        </w:rPr>
      </w:pPr>
      <w:r>
        <w:rPr>
          <w:color w:val="auto"/>
          <w:sz w:val="24"/>
          <w:szCs w:val="24"/>
        </w:rPr>
        <w:t>Reducing the size of a microturbine eligible for net metering;</w:t>
      </w:r>
    </w:p>
    <w:p w:rsidR="00E441AA" w:rsidRDefault="00E441AA" w:rsidP="00C94607">
      <w:pPr>
        <w:pStyle w:val="ListParagraph"/>
        <w:numPr>
          <w:ilvl w:val="0"/>
          <w:numId w:val="5"/>
        </w:numPr>
        <w:spacing w:after="120" w:line="240" w:lineRule="auto"/>
        <w:ind w:left="1498"/>
        <w:jc w:val="both"/>
        <w:rPr>
          <w:color w:val="auto"/>
          <w:sz w:val="24"/>
          <w:szCs w:val="24"/>
        </w:rPr>
      </w:pPr>
      <w:r>
        <w:rPr>
          <w:color w:val="auto"/>
          <w:sz w:val="24"/>
          <w:szCs w:val="24"/>
        </w:rPr>
        <w:t>Reducing the cap on the amount of electricity a customer generator can place onto grid to 100% of a customer’s total usage requirements</w:t>
      </w:r>
      <w:r w:rsidR="00FC77DF">
        <w:rPr>
          <w:color w:val="auto"/>
          <w:sz w:val="24"/>
          <w:szCs w:val="24"/>
        </w:rPr>
        <w:t>;</w:t>
      </w:r>
    </w:p>
    <w:p w:rsidR="00EA6F68" w:rsidRPr="003247C9" w:rsidRDefault="00FC77DF" w:rsidP="00C94607">
      <w:pPr>
        <w:pStyle w:val="ListParagraph"/>
        <w:numPr>
          <w:ilvl w:val="0"/>
          <w:numId w:val="5"/>
        </w:numPr>
        <w:spacing w:after="120" w:line="240" w:lineRule="auto"/>
        <w:ind w:left="1498"/>
        <w:jc w:val="both"/>
        <w:rPr>
          <w:color w:val="auto"/>
          <w:sz w:val="24"/>
          <w:szCs w:val="24"/>
        </w:rPr>
      </w:pPr>
      <w:r>
        <w:rPr>
          <w:color w:val="auto"/>
          <w:sz w:val="24"/>
          <w:szCs w:val="24"/>
        </w:rPr>
        <w:lastRenderedPageBreak/>
        <w:t>Narrowing the locations that are eligible for a net metering system.</w:t>
      </w:r>
    </w:p>
    <w:p w:rsidR="00211BFD" w:rsidRDefault="00EA6F68" w:rsidP="00C94607">
      <w:pPr>
        <w:spacing w:after="120" w:line="480" w:lineRule="auto"/>
        <w:jc w:val="both"/>
        <w:rPr>
          <w:sz w:val="24"/>
          <w:szCs w:val="24"/>
        </w:rPr>
      </w:pPr>
      <w:r>
        <w:rPr>
          <w:sz w:val="24"/>
          <w:szCs w:val="24"/>
        </w:rPr>
        <w:t>As discussed fu</w:t>
      </w:r>
      <w:r w:rsidR="003B1486">
        <w:rPr>
          <w:sz w:val="24"/>
          <w:szCs w:val="24"/>
        </w:rPr>
        <w:t>r</w:t>
      </w:r>
      <w:r>
        <w:rPr>
          <w:sz w:val="24"/>
          <w:szCs w:val="24"/>
        </w:rPr>
        <w:t>ther in detail in these comments, many of the EDU proposals seem to</w:t>
      </w:r>
      <w:r w:rsidR="003B1486">
        <w:rPr>
          <w:sz w:val="24"/>
          <w:szCs w:val="24"/>
        </w:rPr>
        <w:t xml:space="preserve"> be</w:t>
      </w:r>
      <w:r>
        <w:rPr>
          <w:sz w:val="24"/>
          <w:szCs w:val="24"/>
        </w:rPr>
        <w:t xml:space="preserve"> designed simply to erect barriers to distributed generation, and otherwise stifle the development of distributed generation in Ohio.  </w:t>
      </w:r>
      <w:r w:rsidR="00E441AA">
        <w:rPr>
          <w:sz w:val="24"/>
          <w:szCs w:val="24"/>
        </w:rPr>
        <w:t>As discussed below, the Commission shou</w:t>
      </w:r>
      <w:r w:rsidR="00FC77DF">
        <w:rPr>
          <w:sz w:val="24"/>
          <w:szCs w:val="24"/>
        </w:rPr>
        <w:t>ld reject these proposals, which</w:t>
      </w:r>
      <w:r>
        <w:rPr>
          <w:sz w:val="24"/>
          <w:szCs w:val="24"/>
        </w:rPr>
        <w:t xml:space="preserve"> are contrary to the policy of the State of Ohio, and would</w:t>
      </w:r>
      <w:r w:rsidR="00FC77DF">
        <w:rPr>
          <w:sz w:val="24"/>
          <w:szCs w:val="24"/>
        </w:rPr>
        <w:t xml:space="preserve"> frustrate distributed generation development by reducing</w:t>
      </w:r>
      <w:r w:rsidR="00E441AA">
        <w:rPr>
          <w:sz w:val="24"/>
          <w:szCs w:val="24"/>
        </w:rPr>
        <w:t xml:space="preserve"> the compensation available t</w:t>
      </w:r>
      <w:r w:rsidR="00FC77DF">
        <w:rPr>
          <w:sz w:val="24"/>
          <w:szCs w:val="24"/>
        </w:rPr>
        <w:t>o customer generators and reducing</w:t>
      </w:r>
      <w:r w:rsidR="00E441AA">
        <w:rPr>
          <w:sz w:val="24"/>
          <w:szCs w:val="24"/>
        </w:rPr>
        <w:t xml:space="preserve"> the amount of facilities eligible to participate in net metering.</w:t>
      </w:r>
      <w:r w:rsidR="00FC77DF">
        <w:rPr>
          <w:sz w:val="24"/>
          <w:szCs w:val="24"/>
        </w:rPr>
        <w:t xml:space="preserve"> </w:t>
      </w:r>
    </w:p>
    <w:p w:rsidR="00E441AA" w:rsidRPr="00E441AA" w:rsidRDefault="00E441AA" w:rsidP="00C94607">
      <w:pPr>
        <w:pStyle w:val="ListParagraph"/>
        <w:numPr>
          <w:ilvl w:val="0"/>
          <w:numId w:val="2"/>
        </w:numPr>
        <w:spacing w:after="120" w:line="480" w:lineRule="auto"/>
        <w:jc w:val="both"/>
        <w:rPr>
          <w:b/>
          <w:sz w:val="24"/>
          <w:szCs w:val="24"/>
        </w:rPr>
      </w:pPr>
      <w:r>
        <w:rPr>
          <w:b/>
          <w:sz w:val="24"/>
          <w:szCs w:val="24"/>
        </w:rPr>
        <w:t>COMMENTS</w:t>
      </w:r>
    </w:p>
    <w:p w:rsidR="00001D91" w:rsidRDefault="000C02C6" w:rsidP="00C94607">
      <w:pPr>
        <w:spacing w:after="120" w:line="480" w:lineRule="auto"/>
        <w:ind w:firstLine="720"/>
        <w:jc w:val="both"/>
        <w:rPr>
          <w:sz w:val="24"/>
          <w:szCs w:val="24"/>
        </w:rPr>
      </w:pPr>
      <w:r>
        <w:rPr>
          <w:sz w:val="24"/>
          <w:szCs w:val="24"/>
        </w:rPr>
        <w:t>It is the policy of the state of Ohio to encourage the development of distribut</w:t>
      </w:r>
      <w:r w:rsidR="00B2208A">
        <w:rPr>
          <w:sz w:val="24"/>
          <w:szCs w:val="24"/>
        </w:rPr>
        <w:t>ed</w:t>
      </w:r>
      <w:r>
        <w:rPr>
          <w:sz w:val="24"/>
          <w:szCs w:val="24"/>
        </w:rPr>
        <w:t xml:space="preserve"> generation resources.</w:t>
      </w:r>
      <w:r>
        <w:rPr>
          <w:rStyle w:val="FootnoteReference"/>
          <w:sz w:val="24"/>
          <w:szCs w:val="24"/>
        </w:rPr>
        <w:footnoteReference w:id="1"/>
      </w:r>
      <w:r>
        <w:rPr>
          <w:sz w:val="24"/>
          <w:szCs w:val="24"/>
        </w:rPr>
        <w:t xml:space="preserve">  The General Assembly envisioned that net metering rules would, in part, be used to encourage that development.</w:t>
      </w:r>
      <w:r>
        <w:rPr>
          <w:rStyle w:val="FootnoteReference"/>
          <w:sz w:val="24"/>
          <w:szCs w:val="24"/>
        </w:rPr>
        <w:footnoteReference w:id="2"/>
      </w:r>
      <w:r w:rsidR="00001D91">
        <w:rPr>
          <w:sz w:val="24"/>
          <w:szCs w:val="24"/>
        </w:rPr>
        <w:t xml:space="preserve">  Thus, the Commission should ensure that any net m</w:t>
      </w:r>
      <w:r w:rsidR="00FC77DF">
        <w:rPr>
          <w:sz w:val="24"/>
          <w:szCs w:val="24"/>
        </w:rPr>
        <w:t>etering rules it adopts facilitates development of</w:t>
      </w:r>
      <w:r w:rsidR="00001D91">
        <w:rPr>
          <w:sz w:val="24"/>
          <w:szCs w:val="24"/>
        </w:rPr>
        <w:t xml:space="preserve"> distributed generation resources. If the Commission</w:t>
      </w:r>
      <w:r w:rsidR="00CF47B9">
        <w:rPr>
          <w:sz w:val="24"/>
          <w:szCs w:val="24"/>
        </w:rPr>
        <w:t>, however,</w:t>
      </w:r>
      <w:r w:rsidR="00001D91">
        <w:rPr>
          <w:sz w:val="24"/>
          <w:szCs w:val="24"/>
        </w:rPr>
        <w:t xml:space="preserve"> accepts the modifications discussed below, the Commission will fail in meeting its objective.</w:t>
      </w:r>
    </w:p>
    <w:p w:rsidR="008857E0" w:rsidRPr="008857E0" w:rsidRDefault="00530628" w:rsidP="00C94607">
      <w:pPr>
        <w:spacing w:after="120" w:line="480" w:lineRule="auto"/>
        <w:ind w:firstLine="720"/>
        <w:jc w:val="both"/>
        <w:rPr>
          <w:sz w:val="24"/>
          <w:szCs w:val="24"/>
        </w:rPr>
      </w:pPr>
      <w:r>
        <w:rPr>
          <w:sz w:val="24"/>
          <w:szCs w:val="24"/>
        </w:rPr>
        <w:t>Currently, the penetration of distributed generation in Ohio is extremely low.  Since 2009, for example, Ohio has certified only 132 megawatts of solar facilities—and only 25 megawatts of that amount was built in the past two years.</w:t>
      </w:r>
      <w:r w:rsidR="000E422C">
        <w:rPr>
          <w:sz w:val="24"/>
          <w:szCs w:val="24"/>
        </w:rPr>
        <w:t xml:space="preserve">  Moreover, the </w:t>
      </w:r>
      <w:r w:rsidR="000E422C">
        <w:rPr>
          <w:sz w:val="24"/>
          <w:szCs w:val="24"/>
        </w:rPr>
        <w:lastRenderedPageBreak/>
        <w:t>amounts identified above are inflated by utility scale projects that are completely unrelated to net metering and customer investment.</w:t>
      </w:r>
      <w:r w:rsidR="000E422C">
        <w:rPr>
          <w:rStyle w:val="FootnoteReference"/>
          <w:sz w:val="24"/>
          <w:szCs w:val="24"/>
        </w:rPr>
        <w:footnoteReference w:id="3"/>
      </w:r>
    </w:p>
    <w:tbl>
      <w:tblPr>
        <w:tblW w:w="2388" w:type="dxa"/>
        <w:tblInd w:w="3502" w:type="dxa"/>
        <w:tblLook w:val="04A0" w:firstRow="1" w:lastRow="0" w:firstColumn="1" w:lastColumn="0" w:noHBand="0" w:noVBand="1"/>
      </w:tblPr>
      <w:tblGrid>
        <w:gridCol w:w="1170"/>
        <w:gridCol w:w="1218"/>
      </w:tblGrid>
      <w:tr w:rsidR="008857E0" w:rsidRPr="00F22C19" w:rsidTr="009D5926">
        <w:trPr>
          <w:trHeight w:val="285"/>
        </w:trPr>
        <w:tc>
          <w:tcPr>
            <w:tcW w:w="23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857E0" w:rsidRPr="00F22C19" w:rsidRDefault="008857E0" w:rsidP="00C94607">
            <w:pPr>
              <w:spacing w:after="120" w:line="240" w:lineRule="auto"/>
              <w:jc w:val="both"/>
              <w:rPr>
                <w:rFonts w:eastAsia="Times New Roman"/>
                <w:b/>
                <w:bCs/>
                <w:color w:val="auto"/>
                <w:sz w:val="24"/>
                <w:szCs w:val="24"/>
              </w:rPr>
            </w:pPr>
            <w:r w:rsidRPr="00F22C19">
              <w:rPr>
                <w:rFonts w:eastAsia="Times New Roman"/>
                <w:b/>
                <w:bCs/>
                <w:color w:val="auto"/>
                <w:sz w:val="24"/>
                <w:szCs w:val="24"/>
              </w:rPr>
              <w:t>Ohio Solar by Year (MW)</w:t>
            </w:r>
          </w:p>
        </w:tc>
      </w:tr>
      <w:tr w:rsidR="008857E0" w:rsidRPr="00530628" w:rsidTr="009D5926">
        <w:trPr>
          <w:trHeight w:val="285"/>
        </w:trPr>
        <w:tc>
          <w:tcPr>
            <w:tcW w:w="1170" w:type="dxa"/>
            <w:tcBorders>
              <w:top w:val="nil"/>
              <w:left w:val="single" w:sz="4" w:space="0" w:color="auto"/>
              <w:bottom w:val="single" w:sz="4" w:space="0" w:color="auto"/>
              <w:right w:val="single" w:sz="4" w:space="0" w:color="auto"/>
            </w:tcBorders>
            <w:shd w:val="clear" w:color="auto" w:fill="auto"/>
            <w:noWrap/>
            <w:hideMark/>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2009</w:t>
            </w:r>
          </w:p>
        </w:tc>
        <w:tc>
          <w:tcPr>
            <w:tcW w:w="1218" w:type="dxa"/>
            <w:tcBorders>
              <w:top w:val="nil"/>
              <w:left w:val="nil"/>
              <w:bottom w:val="single" w:sz="4" w:space="0" w:color="auto"/>
              <w:right w:val="single" w:sz="4" w:space="0" w:color="auto"/>
            </w:tcBorders>
            <w:shd w:val="clear" w:color="auto" w:fill="auto"/>
            <w:noWrap/>
            <w:hideMark/>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13.4085</w:t>
            </w:r>
          </w:p>
        </w:tc>
      </w:tr>
      <w:tr w:rsidR="008857E0" w:rsidRPr="00530628" w:rsidTr="009D5926">
        <w:trPr>
          <w:trHeight w:val="285"/>
        </w:trPr>
        <w:tc>
          <w:tcPr>
            <w:tcW w:w="1170" w:type="dxa"/>
            <w:tcBorders>
              <w:top w:val="nil"/>
              <w:left w:val="single" w:sz="4" w:space="0" w:color="auto"/>
              <w:bottom w:val="single" w:sz="4" w:space="0" w:color="auto"/>
              <w:right w:val="single" w:sz="4" w:space="0" w:color="auto"/>
            </w:tcBorders>
            <w:shd w:val="clear" w:color="auto" w:fill="auto"/>
            <w:noWrap/>
            <w:hideMark/>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2010</w:t>
            </w:r>
          </w:p>
        </w:tc>
        <w:tc>
          <w:tcPr>
            <w:tcW w:w="1218" w:type="dxa"/>
            <w:tcBorders>
              <w:top w:val="nil"/>
              <w:left w:val="nil"/>
              <w:bottom w:val="single" w:sz="4" w:space="0" w:color="auto"/>
              <w:right w:val="single" w:sz="4" w:space="0" w:color="auto"/>
            </w:tcBorders>
            <w:shd w:val="clear" w:color="auto" w:fill="auto"/>
            <w:noWrap/>
            <w:hideMark/>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6.7349</w:t>
            </w:r>
          </w:p>
        </w:tc>
      </w:tr>
      <w:tr w:rsidR="008857E0" w:rsidRPr="00530628" w:rsidTr="009D5926">
        <w:trPr>
          <w:trHeight w:val="285"/>
        </w:trPr>
        <w:tc>
          <w:tcPr>
            <w:tcW w:w="1170" w:type="dxa"/>
            <w:tcBorders>
              <w:top w:val="nil"/>
              <w:left w:val="single" w:sz="4" w:space="0" w:color="auto"/>
              <w:bottom w:val="single" w:sz="4" w:space="0" w:color="auto"/>
              <w:right w:val="single" w:sz="4" w:space="0" w:color="auto"/>
            </w:tcBorders>
            <w:shd w:val="clear" w:color="auto" w:fill="auto"/>
            <w:noWrap/>
            <w:hideMark/>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2011</w:t>
            </w:r>
          </w:p>
        </w:tc>
        <w:tc>
          <w:tcPr>
            <w:tcW w:w="1218" w:type="dxa"/>
            <w:tcBorders>
              <w:top w:val="nil"/>
              <w:left w:val="nil"/>
              <w:bottom w:val="single" w:sz="4" w:space="0" w:color="auto"/>
              <w:right w:val="single" w:sz="4" w:space="0" w:color="auto"/>
            </w:tcBorders>
            <w:shd w:val="clear" w:color="auto" w:fill="auto"/>
            <w:noWrap/>
            <w:hideMark/>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22.3024</w:t>
            </w:r>
          </w:p>
        </w:tc>
      </w:tr>
      <w:tr w:rsidR="008857E0" w:rsidRPr="00530628" w:rsidTr="009D5926">
        <w:trPr>
          <w:trHeight w:val="285"/>
        </w:trPr>
        <w:tc>
          <w:tcPr>
            <w:tcW w:w="1170" w:type="dxa"/>
            <w:tcBorders>
              <w:top w:val="nil"/>
              <w:left w:val="single" w:sz="4" w:space="0" w:color="auto"/>
              <w:bottom w:val="single" w:sz="4" w:space="0" w:color="auto"/>
              <w:right w:val="single" w:sz="4" w:space="0" w:color="auto"/>
            </w:tcBorders>
            <w:shd w:val="clear" w:color="auto" w:fill="auto"/>
            <w:noWrap/>
            <w:hideMark/>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2012</w:t>
            </w:r>
          </w:p>
        </w:tc>
        <w:tc>
          <w:tcPr>
            <w:tcW w:w="1218" w:type="dxa"/>
            <w:tcBorders>
              <w:top w:val="nil"/>
              <w:left w:val="nil"/>
              <w:bottom w:val="single" w:sz="4" w:space="0" w:color="auto"/>
              <w:right w:val="single" w:sz="4" w:space="0" w:color="auto"/>
            </w:tcBorders>
            <w:shd w:val="clear" w:color="auto" w:fill="auto"/>
            <w:noWrap/>
            <w:hideMark/>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29.8351</w:t>
            </w:r>
          </w:p>
        </w:tc>
      </w:tr>
      <w:tr w:rsidR="008857E0" w:rsidRPr="00530628" w:rsidTr="009D5926">
        <w:trPr>
          <w:trHeight w:val="285"/>
        </w:trPr>
        <w:tc>
          <w:tcPr>
            <w:tcW w:w="1170" w:type="dxa"/>
            <w:tcBorders>
              <w:top w:val="nil"/>
              <w:left w:val="single" w:sz="4" w:space="0" w:color="auto"/>
              <w:bottom w:val="single" w:sz="4" w:space="0" w:color="auto"/>
              <w:right w:val="single" w:sz="4" w:space="0" w:color="auto"/>
            </w:tcBorders>
            <w:shd w:val="clear" w:color="auto" w:fill="auto"/>
            <w:noWrap/>
            <w:hideMark/>
          </w:tcPr>
          <w:p w:rsidR="008857E0" w:rsidRPr="00530628" w:rsidRDefault="008857E0" w:rsidP="00C94607">
            <w:pPr>
              <w:tabs>
                <w:tab w:val="center" w:pos="1442"/>
                <w:tab w:val="right" w:pos="2884"/>
              </w:tabs>
              <w:spacing w:after="120" w:line="240" w:lineRule="auto"/>
              <w:jc w:val="both"/>
              <w:rPr>
                <w:rFonts w:eastAsia="Times New Roman"/>
                <w:sz w:val="24"/>
                <w:szCs w:val="24"/>
              </w:rPr>
            </w:pPr>
            <w:r w:rsidRPr="00530628">
              <w:rPr>
                <w:rFonts w:eastAsia="Times New Roman"/>
                <w:sz w:val="24"/>
                <w:szCs w:val="24"/>
              </w:rPr>
              <w:t>2013</w:t>
            </w:r>
          </w:p>
        </w:tc>
        <w:tc>
          <w:tcPr>
            <w:tcW w:w="1218" w:type="dxa"/>
            <w:tcBorders>
              <w:top w:val="nil"/>
              <w:left w:val="nil"/>
              <w:bottom w:val="single" w:sz="4" w:space="0" w:color="auto"/>
              <w:right w:val="single" w:sz="4" w:space="0" w:color="auto"/>
            </w:tcBorders>
            <w:shd w:val="clear" w:color="auto" w:fill="auto"/>
            <w:noWrap/>
            <w:hideMark/>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36.2817</w:t>
            </w:r>
          </w:p>
        </w:tc>
      </w:tr>
      <w:tr w:rsidR="008857E0" w:rsidRPr="00530628" w:rsidTr="009D5926">
        <w:trPr>
          <w:trHeight w:val="285"/>
        </w:trPr>
        <w:tc>
          <w:tcPr>
            <w:tcW w:w="1170" w:type="dxa"/>
            <w:tcBorders>
              <w:top w:val="nil"/>
              <w:left w:val="single" w:sz="4" w:space="0" w:color="auto"/>
              <w:bottom w:val="single" w:sz="4" w:space="0" w:color="auto"/>
              <w:right w:val="single" w:sz="4" w:space="0" w:color="auto"/>
            </w:tcBorders>
            <w:shd w:val="clear" w:color="auto" w:fill="auto"/>
            <w:noWrap/>
            <w:hideMark/>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2014</w:t>
            </w:r>
          </w:p>
        </w:tc>
        <w:tc>
          <w:tcPr>
            <w:tcW w:w="1218" w:type="dxa"/>
            <w:tcBorders>
              <w:top w:val="nil"/>
              <w:left w:val="nil"/>
              <w:bottom w:val="single" w:sz="4" w:space="0" w:color="auto"/>
              <w:right w:val="single" w:sz="4" w:space="0" w:color="auto"/>
            </w:tcBorders>
            <w:shd w:val="clear" w:color="auto" w:fill="auto"/>
            <w:noWrap/>
            <w:hideMark/>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9.3133</w:t>
            </w:r>
          </w:p>
        </w:tc>
      </w:tr>
      <w:tr w:rsidR="008857E0" w:rsidRPr="00530628" w:rsidTr="009D5926">
        <w:trPr>
          <w:trHeight w:val="117"/>
        </w:trPr>
        <w:tc>
          <w:tcPr>
            <w:tcW w:w="1170" w:type="dxa"/>
            <w:tcBorders>
              <w:top w:val="nil"/>
              <w:left w:val="single" w:sz="4" w:space="0" w:color="auto"/>
              <w:bottom w:val="single" w:sz="4" w:space="0" w:color="auto"/>
              <w:right w:val="single" w:sz="4" w:space="0" w:color="auto"/>
            </w:tcBorders>
            <w:shd w:val="clear" w:color="auto" w:fill="auto"/>
            <w:noWrap/>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2015</w:t>
            </w:r>
          </w:p>
        </w:tc>
        <w:tc>
          <w:tcPr>
            <w:tcW w:w="1218" w:type="dxa"/>
            <w:tcBorders>
              <w:top w:val="nil"/>
              <w:left w:val="nil"/>
              <w:bottom w:val="single" w:sz="4" w:space="0" w:color="auto"/>
              <w:right w:val="single" w:sz="4" w:space="0" w:color="auto"/>
            </w:tcBorders>
            <w:shd w:val="clear" w:color="auto" w:fill="auto"/>
            <w:noWrap/>
          </w:tcPr>
          <w:p w:rsidR="008857E0" w:rsidRPr="00530628" w:rsidRDefault="008857E0" w:rsidP="00C94607">
            <w:pPr>
              <w:spacing w:after="120" w:line="240" w:lineRule="auto"/>
              <w:jc w:val="both"/>
              <w:rPr>
                <w:rFonts w:eastAsia="Times New Roman"/>
                <w:sz w:val="24"/>
                <w:szCs w:val="24"/>
              </w:rPr>
            </w:pPr>
            <w:r w:rsidRPr="00530628">
              <w:rPr>
                <w:rFonts w:eastAsia="Times New Roman"/>
                <w:sz w:val="24"/>
                <w:szCs w:val="24"/>
              </w:rPr>
              <w:t>14.6229</w:t>
            </w:r>
          </w:p>
        </w:tc>
      </w:tr>
      <w:tr w:rsidR="008857E0" w:rsidRPr="00530628" w:rsidTr="009D5926">
        <w:trPr>
          <w:trHeight w:val="285"/>
        </w:trPr>
        <w:tc>
          <w:tcPr>
            <w:tcW w:w="1170" w:type="dxa"/>
            <w:tcBorders>
              <w:top w:val="nil"/>
              <w:left w:val="single" w:sz="4" w:space="0" w:color="auto"/>
              <w:bottom w:val="single" w:sz="4" w:space="0" w:color="auto"/>
              <w:right w:val="single" w:sz="4" w:space="0" w:color="auto"/>
            </w:tcBorders>
            <w:shd w:val="clear" w:color="auto" w:fill="auto"/>
            <w:noWrap/>
            <w:hideMark/>
          </w:tcPr>
          <w:p w:rsidR="008857E0" w:rsidRPr="00F22C19" w:rsidRDefault="008857E0" w:rsidP="00C94607">
            <w:pPr>
              <w:spacing w:after="120" w:line="240" w:lineRule="auto"/>
              <w:jc w:val="both"/>
              <w:rPr>
                <w:rFonts w:eastAsia="Times New Roman"/>
                <w:color w:val="auto"/>
                <w:sz w:val="24"/>
                <w:szCs w:val="24"/>
              </w:rPr>
            </w:pPr>
            <w:r>
              <w:rPr>
                <w:rFonts w:eastAsia="Times New Roman"/>
                <w:b/>
                <w:bCs/>
                <w:color w:val="auto"/>
                <w:sz w:val="24"/>
                <w:szCs w:val="24"/>
              </w:rPr>
              <w:t>Total</w:t>
            </w:r>
          </w:p>
        </w:tc>
        <w:tc>
          <w:tcPr>
            <w:tcW w:w="1218" w:type="dxa"/>
            <w:tcBorders>
              <w:top w:val="nil"/>
              <w:left w:val="nil"/>
              <w:bottom w:val="single" w:sz="4" w:space="0" w:color="auto"/>
              <w:right w:val="single" w:sz="4" w:space="0" w:color="auto"/>
            </w:tcBorders>
            <w:shd w:val="clear" w:color="auto" w:fill="auto"/>
            <w:noWrap/>
            <w:hideMark/>
          </w:tcPr>
          <w:p w:rsidR="008857E0" w:rsidRPr="00F22C19" w:rsidRDefault="008857E0" w:rsidP="00C94607">
            <w:pPr>
              <w:spacing w:after="120" w:line="240" w:lineRule="auto"/>
              <w:jc w:val="both"/>
              <w:rPr>
                <w:rFonts w:eastAsia="Times New Roman"/>
                <w:color w:val="auto"/>
                <w:sz w:val="24"/>
                <w:szCs w:val="24"/>
              </w:rPr>
            </w:pPr>
            <w:r w:rsidRPr="00F22C19">
              <w:rPr>
                <w:rFonts w:eastAsia="Times New Roman"/>
                <w:b/>
                <w:bCs/>
                <w:color w:val="auto"/>
                <w:sz w:val="24"/>
                <w:szCs w:val="24"/>
              </w:rPr>
              <w:t>132.4988</w:t>
            </w:r>
          </w:p>
        </w:tc>
      </w:tr>
    </w:tbl>
    <w:p w:rsidR="008857E0" w:rsidRDefault="008857E0" w:rsidP="00C94607">
      <w:pPr>
        <w:spacing w:after="120" w:line="240" w:lineRule="auto"/>
        <w:jc w:val="both"/>
        <w:rPr>
          <w:color w:val="auto"/>
          <w:sz w:val="24"/>
          <w:szCs w:val="24"/>
        </w:rPr>
      </w:pPr>
    </w:p>
    <w:p w:rsidR="00530628" w:rsidRPr="00530628" w:rsidRDefault="00530628" w:rsidP="00F74351">
      <w:pPr>
        <w:spacing w:after="120" w:line="240" w:lineRule="auto"/>
        <w:rPr>
          <w:i/>
          <w:color w:val="1F497D" w:themeColor="text2"/>
          <w:sz w:val="24"/>
          <w:szCs w:val="24"/>
        </w:rPr>
      </w:pPr>
      <w:r w:rsidRPr="00530628">
        <w:rPr>
          <w:i/>
          <w:color w:val="1F497D" w:themeColor="text2"/>
          <w:sz w:val="24"/>
          <w:szCs w:val="24"/>
        </w:rPr>
        <w:t xml:space="preserve">Figure 1: Source: </w:t>
      </w:r>
      <w:hyperlink r:id="rId9" w:history="1">
        <w:r w:rsidRPr="00530628">
          <w:rPr>
            <w:rStyle w:val="Hyperlink"/>
            <w:i/>
            <w:color w:val="1F497D" w:themeColor="text2"/>
            <w:sz w:val="24"/>
            <w:szCs w:val="24"/>
            <w:u w:val="none"/>
          </w:rPr>
          <w:t>http://www.puco.ohio.gov/puco/index.cfm/industry-</w:t>
        </w:r>
      </w:hyperlink>
      <w:r w:rsidRPr="00530628">
        <w:rPr>
          <w:i/>
          <w:color w:val="1F497D" w:themeColor="text2"/>
          <w:sz w:val="24"/>
          <w:szCs w:val="24"/>
        </w:rPr>
        <w:t>information/industry-topics/ohioe28099s-renewable-and-advanced-energy-portfolio-standard/#sthash.KOdZ02wY.4QEix2Md.dpbs</w:t>
      </w:r>
    </w:p>
    <w:p w:rsidR="00530628" w:rsidRDefault="00530628" w:rsidP="00C94607">
      <w:pPr>
        <w:spacing w:after="120" w:line="480" w:lineRule="auto"/>
        <w:jc w:val="both"/>
        <w:rPr>
          <w:sz w:val="24"/>
          <w:szCs w:val="24"/>
        </w:rPr>
      </w:pPr>
      <w:r>
        <w:rPr>
          <w:sz w:val="24"/>
          <w:szCs w:val="24"/>
        </w:rPr>
        <w:t>In the 12 months period ending in October 2015, the electricity generated by distributed solar resources in Ohio was only 0.06% of retail sales.</w:t>
      </w:r>
      <w:r>
        <w:rPr>
          <w:rStyle w:val="FootnoteReference"/>
          <w:sz w:val="24"/>
          <w:szCs w:val="24"/>
        </w:rPr>
        <w:footnoteReference w:id="4"/>
      </w:r>
      <w:r>
        <w:rPr>
          <w:sz w:val="24"/>
          <w:szCs w:val="24"/>
        </w:rPr>
        <w:t xml:space="preserve">  The below chart compares the penetration of distribute</w:t>
      </w:r>
      <w:r w:rsidR="00B2208A">
        <w:rPr>
          <w:sz w:val="24"/>
          <w:szCs w:val="24"/>
        </w:rPr>
        <w:t>d</w:t>
      </w:r>
      <w:r>
        <w:rPr>
          <w:sz w:val="24"/>
          <w:szCs w:val="24"/>
        </w:rPr>
        <w:t xml:space="preserve"> solar generation as a percentage of retail sales in Ohio with Pennsylvania and Maryland – two nearby states that rank 13</w:t>
      </w:r>
      <w:r w:rsidRPr="006317C2">
        <w:rPr>
          <w:sz w:val="24"/>
          <w:szCs w:val="24"/>
          <w:vertAlign w:val="superscript"/>
        </w:rPr>
        <w:t>th</w:t>
      </w:r>
      <w:r>
        <w:rPr>
          <w:sz w:val="24"/>
          <w:szCs w:val="24"/>
        </w:rPr>
        <w:t xml:space="preserve"> and 12</w:t>
      </w:r>
      <w:r w:rsidRPr="006317C2">
        <w:rPr>
          <w:sz w:val="24"/>
          <w:szCs w:val="24"/>
          <w:vertAlign w:val="superscript"/>
        </w:rPr>
        <w:t>th</w:t>
      </w:r>
      <w:r>
        <w:rPr>
          <w:sz w:val="24"/>
          <w:szCs w:val="24"/>
        </w:rPr>
        <w:t xml:space="preserve"> respectively in cumulative installed solar nationally.  Maryland has almost 8 times more penetration and Pennsylvania almost 3 times more.  Clearly there is still room for the Commission to encourage distributed generation vis-à-vis its statutory mandate to do so.</w:t>
      </w:r>
    </w:p>
    <w:p w:rsidR="00530628" w:rsidRDefault="00530628" w:rsidP="00C94607">
      <w:pPr>
        <w:spacing w:after="120" w:line="480" w:lineRule="auto"/>
        <w:jc w:val="both"/>
        <w:rPr>
          <w:sz w:val="24"/>
          <w:szCs w:val="24"/>
        </w:rPr>
      </w:pPr>
    </w:p>
    <w:p w:rsidR="00530628" w:rsidRDefault="00530628" w:rsidP="009A457A">
      <w:pPr>
        <w:keepNext/>
        <w:spacing w:after="120" w:line="480" w:lineRule="auto"/>
        <w:jc w:val="center"/>
      </w:pPr>
      <w:r>
        <w:rPr>
          <w:noProof/>
        </w:rPr>
        <w:lastRenderedPageBreak/>
        <w:drawing>
          <wp:inline distT="0" distB="0" distL="0" distR="0" wp14:anchorId="40040334" wp14:editId="74FBC76A">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586B" w:rsidRDefault="00530628" w:rsidP="00C94607">
      <w:pPr>
        <w:pStyle w:val="Caption"/>
        <w:spacing w:after="120"/>
        <w:jc w:val="both"/>
        <w:rPr>
          <w:sz w:val="24"/>
          <w:szCs w:val="24"/>
        </w:rPr>
      </w:pPr>
      <w:r w:rsidRPr="00530628">
        <w:rPr>
          <w:sz w:val="24"/>
          <w:szCs w:val="24"/>
        </w:rPr>
        <w:t>Figure 2: Source: Solar Energy Industries Association, January 7, 2016</w:t>
      </w:r>
    </w:p>
    <w:p w:rsidR="00530628" w:rsidRPr="00530628" w:rsidRDefault="00530628" w:rsidP="00C94607">
      <w:pPr>
        <w:spacing w:after="120" w:line="480" w:lineRule="auto"/>
        <w:jc w:val="both"/>
        <w:rPr>
          <w:color w:val="auto"/>
          <w:sz w:val="24"/>
          <w:szCs w:val="24"/>
        </w:rPr>
      </w:pPr>
      <w:r w:rsidRPr="00530628">
        <w:rPr>
          <w:color w:val="auto"/>
          <w:sz w:val="24"/>
          <w:szCs w:val="24"/>
        </w:rPr>
        <w:t xml:space="preserve">Accordingly, IGS urges the Commission to reject the utility proposal discussed below, which would ensure that Ohio continues </w:t>
      </w:r>
      <w:r>
        <w:rPr>
          <w:color w:val="auto"/>
          <w:sz w:val="24"/>
          <w:szCs w:val="24"/>
        </w:rPr>
        <w:t>to lag behind</w:t>
      </w:r>
      <w:r w:rsidRPr="00530628">
        <w:rPr>
          <w:color w:val="auto"/>
          <w:sz w:val="24"/>
          <w:szCs w:val="24"/>
        </w:rPr>
        <w:t xml:space="preserve"> its neighbors in distributed generation development.</w:t>
      </w:r>
    </w:p>
    <w:p w:rsidR="00001D91" w:rsidRPr="00001D91" w:rsidRDefault="00001D91" w:rsidP="00C94607">
      <w:pPr>
        <w:pStyle w:val="ListParagraph"/>
        <w:numPr>
          <w:ilvl w:val="0"/>
          <w:numId w:val="6"/>
        </w:numPr>
        <w:spacing w:after="120" w:line="480" w:lineRule="auto"/>
        <w:jc w:val="both"/>
        <w:rPr>
          <w:sz w:val="24"/>
          <w:szCs w:val="24"/>
        </w:rPr>
      </w:pPr>
      <w:r>
        <w:rPr>
          <w:b/>
          <w:sz w:val="24"/>
          <w:szCs w:val="24"/>
        </w:rPr>
        <w:t>Compensation should include capacity</w:t>
      </w:r>
    </w:p>
    <w:p w:rsidR="006A5D18" w:rsidRDefault="00001D91" w:rsidP="00C94607">
      <w:pPr>
        <w:spacing w:after="120" w:line="480" w:lineRule="auto"/>
        <w:ind w:firstLine="720"/>
        <w:jc w:val="both"/>
        <w:rPr>
          <w:sz w:val="24"/>
          <w:szCs w:val="24"/>
        </w:rPr>
      </w:pPr>
      <w:r w:rsidRPr="00001D91">
        <w:rPr>
          <w:sz w:val="24"/>
          <w:szCs w:val="24"/>
        </w:rPr>
        <w:t>AEP and FirstEnergy claim that the proposed rules Entry should be modified to exclude capacity comp</w:t>
      </w:r>
      <w:r>
        <w:rPr>
          <w:sz w:val="24"/>
          <w:szCs w:val="24"/>
        </w:rPr>
        <w:t>ensation to customer generators.  They argue</w:t>
      </w:r>
      <w:r w:rsidRPr="00001D91">
        <w:rPr>
          <w:sz w:val="24"/>
          <w:szCs w:val="24"/>
        </w:rPr>
        <w:t xml:space="preserve"> that would violate </w:t>
      </w:r>
      <w:r w:rsidRPr="00001D91">
        <w:rPr>
          <w:i/>
          <w:sz w:val="24"/>
          <w:szCs w:val="24"/>
        </w:rPr>
        <w:t>FirstEnergy Corp. v. Pub. Util. Comm.</w:t>
      </w:r>
      <w:r w:rsidRPr="00001D91">
        <w:rPr>
          <w:sz w:val="24"/>
          <w:szCs w:val="24"/>
        </w:rPr>
        <w:t>, 95 Ohio St. 3d 401 (2002)</w:t>
      </w:r>
      <w:r>
        <w:rPr>
          <w:sz w:val="24"/>
          <w:szCs w:val="24"/>
        </w:rPr>
        <w:t xml:space="preserve"> as well as the Ohio Revised Code</w:t>
      </w:r>
      <w:r w:rsidRPr="00001D91">
        <w:rPr>
          <w:sz w:val="24"/>
          <w:szCs w:val="24"/>
        </w:rPr>
        <w:t>.</w:t>
      </w:r>
      <w:r>
        <w:rPr>
          <w:rStyle w:val="FootnoteReference"/>
          <w:sz w:val="24"/>
          <w:szCs w:val="24"/>
        </w:rPr>
        <w:footnoteReference w:id="5"/>
      </w:r>
      <w:r w:rsidR="00781C34">
        <w:rPr>
          <w:sz w:val="24"/>
          <w:szCs w:val="24"/>
        </w:rPr>
        <w:t xml:space="preserve">  </w:t>
      </w:r>
      <w:r>
        <w:rPr>
          <w:sz w:val="24"/>
          <w:szCs w:val="24"/>
        </w:rPr>
        <w:t>The Commission should reject</w:t>
      </w:r>
      <w:r w:rsidRPr="00001D91">
        <w:rPr>
          <w:sz w:val="24"/>
          <w:szCs w:val="24"/>
        </w:rPr>
        <w:t xml:space="preserve"> </w:t>
      </w:r>
      <w:r>
        <w:rPr>
          <w:sz w:val="24"/>
          <w:szCs w:val="24"/>
        </w:rPr>
        <w:t>both of those argu</w:t>
      </w:r>
      <w:r w:rsidR="006A5D18">
        <w:rPr>
          <w:sz w:val="24"/>
          <w:szCs w:val="24"/>
        </w:rPr>
        <w:t>ments</w:t>
      </w:r>
      <w:r w:rsidRPr="00001D91">
        <w:rPr>
          <w:sz w:val="24"/>
          <w:szCs w:val="24"/>
        </w:rPr>
        <w:t xml:space="preserve"> </w:t>
      </w:r>
      <w:r w:rsidR="003A6449" w:rsidRPr="00001D91">
        <w:rPr>
          <w:sz w:val="24"/>
          <w:szCs w:val="24"/>
        </w:rPr>
        <w:t>just as the Commis</w:t>
      </w:r>
      <w:r w:rsidR="006A5D18">
        <w:rPr>
          <w:sz w:val="24"/>
          <w:szCs w:val="24"/>
        </w:rPr>
        <w:t xml:space="preserve">sion rejected them on two </w:t>
      </w:r>
      <w:r w:rsidR="003A6449" w:rsidRPr="00001D91">
        <w:rPr>
          <w:sz w:val="24"/>
          <w:szCs w:val="24"/>
        </w:rPr>
        <w:t>dif</w:t>
      </w:r>
      <w:r w:rsidR="006A5D18">
        <w:rPr>
          <w:sz w:val="24"/>
          <w:szCs w:val="24"/>
        </w:rPr>
        <w:t>ferent earlier s</w:t>
      </w:r>
      <w:r w:rsidR="003A6449" w:rsidRPr="00001D91">
        <w:rPr>
          <w:sz w:val="24"/>
          <w:szCs w:val="24"/>
        </w:rPr>
        <w:t>tage</w:t>
      </w:r>
      <w:r w:rsidR="006A5D18">
        <w:rPr>
          <w:sz w:val="24"/>
          <w:szCs w:val="24"/>
        </w:rPr>
        <w:t>s</w:t>
      </w:r>
      <w:r w:rsidR="003A6449" w:rsidRPr="00001D91">
        <w:rPr>
          <w:sz w:val="24"/>
          <w:szCs w:val="24"/>
        </w:rPr>
        <w:t xml:space="preserve"> of this proceeding.</w:t>
      </w:r>
    </w:p>
    <w:p w:rsidR="004A2500" w:rsidRPr="00001D91" w:rsidRDefault="000C10A1" w:rsidP="00C94607">
      <w:pPr>
        <w:spacing w:after="120" w:line="480" w:lineRule="auto"/>
        <w:ind w:firstLine="720"/>
        <w:jc w:val="both"/>
        <w:rPr>
          <w:sz w:val="24"/>
          <w:szCs w:val="24"/>
        </w:rPr>
      </w:pPr>
      <w:r>
        <w:rPr>
          <w:sz w:val="24"/>
          <w:szCs w:val="24"/>
        </w:rPr>
        <w:t>Specifically, in its May 28, 2014 Entry on Rehearing, the Commission stated</w:t>
      </w:r>
      <w:r w:rsidR="004A2500" w:rsidRPr="00001D91">
        <w:rPr>
          <w:sz w:val="24"/>
          <w:szCs w:val="24"/>
        </w:rPr>
        <w:t>:</w:t>
      </w:r>
    </w:p>
    <w:p w:rsidR="00D27F9F" w:rsidRPr="005E6B28" w:rsidRDefault="00D27F9F" w:rsidP="00C94607">
      <w:pPr>
        <w:autoSpaceDE w:val="0"/>
        <w:autoSpaceDN w:val="0"/>
        <w:adjustRightInd w:val="0"/>
        <w:spacing w:after="120" w:line="240" w:lineRule="auto"/>
        <w:ind w:left="720" w:right="720"/>
        <w:jc w:val="both"/>
        <w:rPr>
          <w:i/>
          <w:sz w:val="24"/>
          <w:szCs w:val="24"/>
        </w:rPr>
      </w:pPr>
      <w:r>
        <w:rPr>
          <w:sz w:val="24"/>
          <w:szCs w:val="24"/>
        </w:rPr>
        <w:t xml:space="preserve">Pursuant to </w:t>
      </w:r>
      <w:r w:rsidRPr="00D27F9F">
        <w:rPr>
          <w:sz w:val="24"/>
          <w:szCs w:val="24"/>
        </w:rPr>
        <w:t xml:space="preserve">the Supreme Court's holding in </w:t>
      </w:r>
      <w:r w:rsidRPr="004A2500">
        <w:rPr>
          <w:i/>
          <w:sz w:val="24"/>
          <w:szCs w:val="24"/>
        </w:rPr>
        <w:t>FirstEnergy Corp.</w:t>
      </w:r>
      <w:r>
        <w:rPr>
          <w:sz w:val="24"/>
          <w:szCs w:val="24"/>
        </w:rPr>
        <w:t xml:space="preserve"> and R.C. 4928.67(B)(1) </w:t>
      </w:r>
      <w:r w:rsidRPr="00D27F9F">
        <w:rPr>
          <w:sz w:val="24"/>
          <w:szCs w:val="24"/>
        </w:rPr>
        <w:t xml:space="preserve">and (2), </w:t>
      </w:r>
      <w:r w:rsidRPr="004A2500">
        <w:rPr>
          <w:i/>
          <w:sz w:val="24"/>
          <w:szCs w:val="24"/>
        </w:rPr>
        <w:t xml:space="preserve">the refund for net excess generation must be for the electricity supplied and may not include distribution, transmission, ancillary services, transition, universal service fund, or energy efficiency </w:t>
      </w:r>
      <w:r w:rsidRPr="004A2500">
        <w:rPr>
          <w:i/>
          <w:sz w:val="24"/>
          <w:szCs w:val="24"/>
        </w:rPr>
        <w:lastRenderedPageBreak/>
        <w:t>fund costs</w:t>
      </w:r>
      <w:r>
        <w:rPr>
          <w:sz w:val="24"/>
          <w:szCs w:val="24"/>
        </w:rPr>
        <w:t xml:space="preserve">. </w:t>
      </w:r>
      <w:r w:rsidRPr="00D27F9F">
        <w:rPr>
          <w:i/>
          <w:sz w:val="24"/>
          <w:szCs w:val="24"/>
        </w:rPr>
        <w:t>FirstEnergy Corp. v. Pub. Util. Comm</w:t>
      </w:r>
      <w:r w:rsidRPr="004A2500">
        <w:rPr>
          <w:i/>
          <w:sz w:val="24"/>
          <w:szCs w:val="24"/>
        </w:rPr>
        <w:t>.</w:t>
      </w:r>
      <w:r>
        <w:rPr>
          <w:sz w:val="24"/>
          <w:szCs w:val="24"/>
        </w:rPr>
        <w:t xml:space="preserve">, 95 Ohio St.3d 401 (2002) </w:t>
      </w:r>
      <w:r w:rsidRPr="00D27F9F">
        <w:rPr>
          <w:sz w:val="24"/>
          <w:szCs w:val="24"/>
        </w:rPr>
        <w:t xml:space="preserve">at 405. </w:t>
      </w:r>
      <w:r w:rsidRPr="004A2500">
        <w:rPr>
          <w:i/>
          <w:sz w:val="24"/>
          <w:szCs w:val="24"/>
        </w:rPr>
        <w:t>The Court pointed out that R.C, 4928.67 speaks in terms of electricity generated and supplied, which is generation service</w:t>
      </w:r>
      <w:r w:rsidRPr="00D27F9F">
        <w:rPr>
          <w:sz w:val="24"/>
          <w:szCs w:val="24"/>
        </w:rPr>
        <w:t>. Include</w:t>
      </w:r>
      <w:r>
        <w:rPr>
          <w:sz w:val="24"/>
          <w:szCs w:val="24"/>
        </w:rPr>
        <w:t xml:space="preserve">d in generation service and the </w:t>
      </w:r>
      <w:r w:rsidRPr="00D27F9F">
        <w:rPr>
          <w:sz w:val="24"/>
          <w:szCs w:val="24"/>
        </w:rPr>
        <w:t>generation service rate ar</w:t>
      </w:r>
      <w:r>
        <w:rPr>
          <w:sz w:val="24"/>
          <w:szCs w:val="24"/>
        </w:rPr>
        <w:t xml:space="preserve">e energy, demand, and capacity. </w:t>
      </w:r>
      <w:r w:rsidRPr="00D27F9F">
        <w:rPr>
          <w:sz w:val="24"/>
          <w:szCs w:val="24"/>
        </w:rPr>
        <w:t>The Commission has care</w:t>
      </w:r>
      <w:r>
        <w:rPr>
          <w:sz w:val="24"/>
          <w:szCs w:val="24"/>
        </w:rPr>
        <w:t xml:space="preserve">fully considered its amendments and finds that using the SSO generation rate for calculating </w:t>
      </w:r>
      <w:r w:rsidRPr="00D27F9F">
        <w:rPr>
          <w:sz w:val="24"/>
          <w:szCs w:val="24"/>
        </w:rPr>
        <w:t>the monetary refund for cu</w:t>
      </w:r>
      <w:r>
        <w:rPr>
          <w:sz w:val="24"/>
          <w:szCs w:val="24"/>
        </w:rPr>
        <w:t xml:space="preserve">stomer-generators is consistent </w:t>
      </w:r>
      <w:r w:rsidRPr="00D27F9F">
        <w:rPr>
          <w:sz w:val="24"/>
          <w:szCs w:val="24"/>
        </w:rPr>
        <w:t>with the Revised Code and the Supreme Court</w:t>
      </w:r>
      <w:r>
        <w:rPr>
          <w:sz w:val="24"/>
          <w:szCs w:val="24"/>
        </w:rPr>
        <w:t xml:space="preserve">'s holding in </w:t>
      </w:r>
      <w:r w:rsidRPr="005E6B28">
        <w:rPr>
          <w:i/>
          <w:sz w:val="24"/>
          <w:szCs w:val="24"/>
        </w:rPr>
        <w:t>FirstEnergy Corp.</w:t>
      </w:r>
    </w:p>
    <w:p w:rsidR="00D27F9F" w:rsidRPr="00887A15" w:rsidRDefault="00D27F9F" w:rsidP="00C94607">
      <w:pPr>
        <w:autoSpaceDE w:val="0"/>
        <w:autoSpaceDN w:val="0"/>
        <w:adjustRightInd w:val="0"/>
        <w:spacing w:after="120" w:line="240" w:lineRule="auto"/>
        <w:ind w:left="720" w:right="720"/>
        <w:jc w:val="both"/>
        <w:rPr>
          <w:i/>
          <w:sz w:val="24"/>
          <w:szCs w:val="24"/>
        </w:rPr>
      </w:pPr>
      <w:r w:rsidRPr="00D27F9F">
        <w:rPr>
          <w:sz w:val="24"/>
          <w:szCs w:val="24"/>
        </w:rPr>
        <w:t xml:space="preserve">Further, </w:t>
      </w:r>
      <w:r w:rsidRPr="004A2500">
        <w:rPr>
          <w:i/>
          <w:sz w:val="24"/>
          <w:szCs w:val="24"/>
        </w:rPr>
        <w:t>the Commission notes that energy, demand, and capacity are the components of electricity, which is indicated on customer bills as generation</w:t>
      </w:r>
      <w:r>
        <w:rPr>
          <w:sz w:val="24"/>
          <w:szCs w:val="24"/>
        </w:rPr>
        <w:t xml:space="preserve">. Consistent with the </w:t>
      </w:r>
      <w:r w:rsidRPr="00D27F9F">
        <w:rPr>
          <w:sz w:val="24"/>
          <w:szCs w:val="24"/>
        </w:rPr>
        <w:t>Supreme Court's hol</w:t>
      </w:r>
      <w:r>
        <w:rPr>
          <w:sz w:val="24"/>
          <w:szCs w:val="24"/>
        </w:rPr>
        <w:t xml:space="preserve">ding, the adopted rule for Ohio </w:t>
      </w:r>
      <w:r w:rsidRPr="00D27F9F">
        <w:rPr>
          <w:sz w:val="24"/>
          <w:szCs w:val="24"/>
        </w:rPr>
        <w:t>Adm.Code 4901:l-10-28(B)(9)</w:t>
      </w:r>
      <w:r>
        <w:rPr>
          <w:sz w:val="24"/>
          <w:szCs w:val="24"/>
        </w:rPr>
        <w:t xml:space="preserve">(c) appropriately establishes a </w:t>
      </w:r>
      <w:r w:rsidRPr="00D27F9F">
        <w:rPr>
          <w:sz w:val="24"/>
          <w:szCs w:val="24"/>
        </w:rPr>
        <w:t>refund for net excess generation that</w:t>
      </w:r>
      <w:r>
        <w:rPr>
          <w:sz w:val="24"/>
          <w:szCs w:val="24"/>
        </w:rPr>
        <w:t xml:space="preserve"> compensates customer-generators </w:t>
      </w:r>
      <w:r w:rsidRPr="00D27F9F">
        <w:rPr>
          <w:sz w:val="24"/>
          <w:szCs w:val="24"/>
        </w:rPr>
        <w:t>for electricit</w:t>
      </w:r>
      <w:r>
        <w:rPr>
          <w:sz w:val="24"/>
          <w:szCs w:val="24"/>
        </w:rPr>
        <w:t xml:space="preserve">y generated and supplied to the EDU's distribution </w:t>
      </w:r>
      <w:r w:rsidRPr="00D27F9F">
        <w:rPr>
          <w:sz w:val="24"/>
          <w:szCs w:val="24"/>
        </w:rPr>
        <w:t>system, not just for the energy</w:t>
      </w:r>
      <w:r>
        <w:rPr>
          <w:sz w:val="24"/>
          <w:szCs w:val="24"/>
        </w:rPr>
        <w:t xml:space="preserve"> </w:t>
      </w:r>
      <w:r w:rsidRPr="00D27F9F">
        <w:rPr>
          <w:sz w:val="24"/>
          <w:szCs w:val="24"/>
        </w:rPr>
        <w:t xml:space="preserve">component of the generation. </w:t>
      </w:r>
      <w:r w:rsidRPr="004A2500">
        <w:rPr>
          <w:i/>
          <w:sz w:val="24"/>
          <w:szCs w:val="24"/>
        </w:rPr>
        <w:t>While Ohio Power may</w:t>
      </w:r>
      <w:r w:rsidR="00887A15">
        <w:rPr>
          <w:i/>
          <w:sz w:val="24"/>
          <w:szCs w:val="24"/>
        </w:rPr>
        <w:t xml:space="preserve"> </w:t>
      </w:r>
      <w:r w:rsidRPr="004A2500">
        <w:rPr>
          <w:i/>
          <w:sz w:val="24"/>
          <w:szCs w:val="24"/>
        </w:rPr>
        <w:t>contend that it does not receive capacity from the customer-generator, this is an oversimplification of the issue. In reality, the net metering customer-generator has offset their demand, which requires less capacity to be procured by the EDU for the area</w:t>
      </w:r>
      <w:r w:rsidRPr="00D27F9F">
        <w:rPr>
          <w:sz w:val="24"/>
          <w:szCs w:val="24"/>
        </w:rPr>
        <w:t>. While Ohio Power may not receive a</w:t>
      </w:r>
      <w:r w:rsidR="007E461E">
        <w:rPr>
          <w:sz w:val="24"/>
          <w:szCs w:val="24"/>
        </w:rPr>
        <w:t xml:space="preserve"> </w:t>
      </w:r>
      <w:r w:rsidRPr="00D27F9F">
        <w:rPr>
          <w:sz w:val="24"/>
          <w:szCs w:val="24"/>
        </w:rPr>
        <w:t>supply of capacity from th</w:t>
      </w:r>
      <w:r>
        <w:rPr>
          <w:sz w:val="24"/>
          <w:szCs w:val="24"/>
        </w:rPr>
        <w:t xml:space="preserve">e customer-generator, it has in </w:t>
      </w:r>
      <w:r w:rsidRPr="00D27F9F">
        <w:rPr>
          <w:sz w:val="24"/>
          <w:szCs w:val="24"/>
        </w:rPr>
        <w:t>actuality received a demand-</w:t>
      </w:r>
      <w:r>
        <w:rPr>
          <w:sz w:val="24"/>
          <w:szCs w:val="24"/>
        </w:rPr>
        <w:t xml:space="preserve">side reduction in the amount of </w:t>
      </w:r>
      <w:r w:rsidRPr="00D27F9F">
        <w:rPr>
          <w:sz w:val="24"/>
          <w:szCs w:val="24"/>
        </w:rPr>
        <w:t>capacity that it must procure.</w:t>
      </w:r>
    </w:p>
    <w:p w:rsidR="005E6B28" w:rsidRDefault="00D27F9F" w:rsidP="00C94607">
      <w:pPr>
        <w:autoSpaceDE w:val="0"/>
        <w:autoSpaceDN w:val="0"/>
        <w:adjustRightInd w:val="0"/>
        <w:spacing w:after="120" w:line="240" w:lineRule="auto"/>
        <w:ind w:left="720" w:right="720"/>
        <w:jc w:val="both"/>
        <w:rPr>
          <w:sz w:val="24"/>
          <w:szCs w:val="24"/>
        </w:rPr>
      </w:pPr>
      <w:r w:rsidRPr="00D27F9F">
        <w:rPr>
          <w:sz w:val="24"/>
          <w:szCs w:val="24"/>
        </w:rPr>
        <w:t>Additionally, the Commi</w:t>
      </w:r>
      <w:r>
        <w:rPr>
          <w:sz w:val="24"/>
          <w:szCs w:val="24"/>
        </w:rPr>
        <w:t xml:space="preserve">ssion believes that it would be </w:t>
      </w:r>
      <w:r w:rsidRPr="00D27F9F">
        <w:rPr>
          <w:sz w:val="24"/>
          <w:szCs w:val="24"/>
        </w:rPr>
        <w:t>impractical, if not impossi</w:t>
      </w:r>
      <w:r>
        <w:rPr>
          <w:sz w:val="24"/>
          <w:szCs w:val="24"/>
        </w:rPr>
        <w:t xml:space="preserve">ble, for each EDU to accurately </w:t>
      </w:r>
      <w:r w:rsidRPr="00D27F9F">
        <w:rPr>
          <w:sz w:val="24"/>
          <w:szCs w:val="24"/>
        </w:rPr>
        <w:t>isolate just the energ</w:t>
      </w:r>
      <w:r>
        <w:rPr>
          <w:sz w:val="24"/>
          <w:szCs w:val="24"/>
        </w:rPr>
        <w:t xml:space="preserve">y price component from its full </w:t>
      </w:r>
      <w:r w:rsidRPr="00D27F9F">
        <w:rPr>
          <w:sz w:val="24"/>
          <w:szCs w:val="24"/>
        </w:rPr>
        <w:t xml:space="preserve">requirements SSO products and </w:t>
      </w:r>
      <w:r>
        <w:rPr>
          <w:sz w:val="24"/>
          <w:szCs w:val="24"/>
        </w:rPr>
        <w:t xml:space="preserve">attribute it to the electricity </w:t>
      </w:r>
      <w:r w:rsidRPr="00D27F9F">
        <w:rPr>
          <w:sz w:val="24"/>
          <w:szCs w:val="24"/>
        </w:rPr>
        <w:t>generated by a custome</w:t>
      </w:r>
      <w:r>
        <w:rPr>
          <w:sz w:val="24"/>
          <w:szCs w:val="24"/>
        </w:rPr>
        <w:t xml:space="preserve">r-generator. Ohio Power has not </w:t>
      </w:r>
      <w:r w:rsidRPr="00D27F9F">
        <w:rPr>
          <w:sz w:val="24"/>
          <w:szCs w:val="24"/>
        </w:rPr>
        <w:t>demonstrated to us that</w:t>
      </w:r>
      <w:r>
        <w:rPr>
          <w:sz w:val="24"/>
          <w:szCs w:val="24"/>
        </w:rPr>
        <w:t xml:space="preserve"> it would be practical, or even </w:t>
      </w:r>
      <w:r w:rsidRPr="00D27F9F">
        <w:rPr>
          <w:sz w:val="24"/>
          <w:szCs w:val="24"/>
        </w:rPr>
        <w:t xml:space="preserve">possible, to attribute an </w:t>
      </w:r>
      <w:r>
        <w:rPr>
          <w:sz w:val="24"/>
          <w:szCs w:val="24"/>
        </w:rPr>
        <w:t xml:space="preserve">energy price to the electricity </w:t>
      </w:r>
      <w:r w:rsidRPr="00D27F9F">
        <w:rPr>
          <w:sz w:val="24"/>
          <w:szCs w:val="24"/>
        </w:rPr>
        <w:t>generated by a customer</w:t>
      </w:r>
      <w:r>
        <w:rPr>
          <w:sz w:val="24"/>
          <w:szCs w:val="24"/>
        </w:rPr>
        <w:t xml:space="preserve">-generator. Further, Ohio Power </w:t>
      </w:r>
      <w:r w:rsidRPr="00D27F9F">
        <w:rPr>
          <w:sz w:val="24"/>
          <w:szCs w:val="24"/>
        </w:rPr>
        <w:t>has not demonstrated that it is not being adequately</w:t>
      </w:r>
      <w:r w:rsidR="00887A15">
        <w:rPr>
          <w:sz w:val="24"/>
          <w:szCs w:val="24"/>
        </w:rPr>
        <w:t xml:space="preserve"> </w:t>
      </w:r>
      <w:r w:rsidRPr="00D27F9F">
        <w:rPr>
          <w:sz w:val="24"/>
          <w:szCs w:val="24"/>
        </w:rPr>
        <w:t>compensated for its capacity obliga</w:t>
      </w:r>
      <w:r>
        <w:rPr>
          <w:sz w:val="24"/>
          <w:szCs w:val="24"/>
        </w:rPr>
        <w:t xml:space="preserve">tion, as it receives </w:t>
      </w:r>
      <w:r w:rsidRPr="00D27F9F">
        <w:rPr>
          <w:sz w:val="24"/>
          <w:szCs w:val="24"/>
        </w:rPr>
        <w:t>capacity revenue</w:t>
      </w:r>
      <w:r>
        <w:rPr>
          <w:sz w:val="24"/>
          <w:szCs w:val="24"/>
        </w:rPr>
        <w:t xml:space="preserve">s from SSO customers through an </w:t>
      </w:r>
      <w:r w:rsidRPr="00D27F9F">
        <w:rPr>
          <w:sz w:val="24"/>
          <w:szCs w:val="24"/>
        </w:rPr>
        <w:t>established state co</w:t>
      </w:r>
      <w:r>
        <w:rPr>
          <w:sz w:val="24"/>
          <w:szCs w:val="24"/>
        </w:rPr>
        <w:t>mpensation mechanism. See</w:t>
      </w:r>
      <w:r w:rsidRPr="00D27F9F">
        <w:rPr>
          <w:i/>
          <w:sz w:val="24"/>
          <w:szCs w:val="24"/>
        </w:rPr>
        <w:t xml:space="preserve"> In re Commission Review of the Capacity Charges of Ohio Power</w:t>
      </w:r>
      <w:r>
        <w:rPr>
          <w:sz w:val="24"/>
          <w:szCs w:val="24"/>
        </w:rPr>
        <w:t>, 10-2929-EL-UNC Opinion and Order Ju</w:t>
      </w:r>
      <w:r w:rsidRPr="00D27F9F">
        <w:rPr>
          <w:sz w:val="24"/>
          <w:szCs w:val="24"/>
        </w:rPr>
        <w:t>ly 2, 2012) at 33.</w:t>
      </w:r>
      <w:r w:rsidR="007E461E">
        <w:rPr>
          <w:sz w:val="24"/>
          <w:szCs w:val="24"/>
        </w:rPr>
        <w:t xml:space="preserve">  A</w:t>
      </w:r>
      <w:r w:rsidRPr="00D27F9F">
        <w:rPr>
          <w:sz w:val="24"/>
          <w:szCs w:val="24"/>
        </w:rPr>
        <w:t>ccordingly, rehearing</w:t>
      </w:r>
      <w:r>
        <w:rPr>
          <w:sz w:val="24"/>
          <w:szCs w:val="24"/>
        </w:rPr>
        <w:t xml:space="preserve"> on the assignment of error raised by Ohio Power Company is denied.</w:t>
      </w:r>
      <w:r>
        <w:rPr>
          <w:rStyle w:val="FootnoteReference"/>
          <w:sz w:val="24"/>
          <w:szCs w:val="24"/>
        </w:rPr>
        <w:footnoteReference w:id="6"/>
      </w:r>
    </w:p>
    <w:p w:rsidR="003A6449" w:rsidRDefault="000C10A1" w:rsidP="00C94607">
      <w:pPr>
        <w:autoSpaceDE w:val="0"/>
        <w:autoSpaceDN w:val="0"/>
        <w:adjustRightInd w:val="0"/>
        <w:spacing w:after="120" w:line="480" w:lineRule="auto"/>
        <w:jc w:val="both"/>
        <w:rPr>
          <w:sz w:val="24"/>
          <w:szCs w:val="24"/>
        </w:rPr>
      </w:pPr>
      <w:r>
        <w:rPr>
          <w:sz w:val="24"/>
          <w:szCs w:val="24"/>
        </w:rPr>
        <w:t>Following FirstEnergy’s attempt to take a second bite at the capacity component of the rule, the Commission affirmed its prior holding</w:t>
      </w:r>
      <w:r w:rsidR="003A6449">
        <w:rPr>
          <w:sz w:val="24"/>
          <w:szCs w:val="24"/>
        </w:rPr>
        <w:t xml:space="preserve"> on July 23, 2014, stating:</w:t>
      </w:r>
    </w:p>
    <w:p w:rsidR="003A6449" w:rsidRDefault="003A6449" w:rsidP="00C94607">
      <w:pPr>
        <w:autoSpaceDE w:val="0"/>
        <w:autoSpaceDN w:val="0"/>
        <w:adjustRightInd w:val="0"/>
        <w:spacing w:after="120" w:line="240" w:lineRule="auto"/>
        <w:ind w:left="720" w:right="720"/>
        <w:jc w:val="both"/>
        <w:rPr>
          <w:sz w:val="24"/>
          <w:szCs w:val="24"/>
        </w:rPr>
      </w:pPr>
      <w:r>
        <w:rPr>
          <w:sz w:val="24"/>
          <w:szCs w:val="24"/>
        </w:rPr>
        <w:t>[E]</w:t>
      </w:r>
      <w:r w:rsidRPr="003A6449">
        <w:rPr>
          <w:sz w:val="24"/>
          <w:szCs w:val="24"/>
        </w:rPr>
        <w:t>ven if FirstEnergy's application for rehearing was</w:t>
      </w:r>
      <w:r>
        <w:rPr>
          <w:sz w:val="24"/>
          <w:szCs w:val="24"/>
        </w:rPr>
        <w:t xml:space="preserve"> </w:t>
      </w:r>
      <w:r w:rsidRPr="003A6449">
        <w:rPr>
          <w:sz w:val="24"/>
          <w:szCs w:val="24"/>
        </w:rPr>
        <w:t>not procedurally improper,</w:t>
      </w:r>
      <w:r>
        <w:rPr>
          <w:sz w:val="24"/>
          <w:szCs w:val="24"/>
        </w:rPr>
        <w:t xml:space="preserve"> the Commission would still den</w:t>
      </w:r>
      <w:r w:rsidR="000C10A1">
        <w:rPr>
          <w:sz w:val="24"/>
          <w:szCs w:val="24"/>
        </w:rPr>
        <w:t>y</w:t>
      </w:r>
      <w:r>
        <w:rPr>
          <w:sz w:val="24"/>
          <w:szCs w:val="24"/>
        </w:rPr>
        <w:t xml:space="preserve"> </w:t>
      </w:r>
      <w:r w:rsidRPr="003A6449">
        <w:rPr>
          <w:sz w:val="24"/>
          <w:szCs w:val="24"/>
        </w:rPr>
        <w:t>rehearing on the Compani</w:t>
      </w:r>
      <w:r>
        <w:rPr>
          <w:sz w:val="24"/>
          <w:szCs w:val="24"/>
        </w:rPr>
        <w:t xml:space="preserve">es' assignment of error because </w:t>
      </w:r>
      <w:r w:rsidRPr="003A6449">
        <w:rPr>
          <w:sz w:val="24"/>
          <w:szCs w:val="24"/>
        </w:rPr>
        <w:t xml:space="preserve">FirstEnergy has presented </w:t>
      </w:r>
      <w:r>
        <w:rPr>
          <w:sz w:val="24"/>
          <w:szCs w:val="24"/>
        </w:rPr>
        <w:t xml:space="preserve">an unreasonable reading of R.C. </w:t>
      </w:r>
      <w:r w:rsidRPr="003A6449">
        <w:rPr>
          <w:sz w:val="24"/>
          <w:szCs w:val="24"/>
        </w:rPr>
        <w:t>4928.67, which would prevent</w:t>
      </w:r>
      <w:r>
        <w:rPr>
          <w:sz w:val="24"/>
          <w:szCs w:val="24"/>
        </w:rPr>
        <w:t xml:space="preserve"> the Commission from furthering </w:t>
      </w:r>
      <w:r w:rsidRPr="003A6449">
        <w:rPr>
          <w:sz w:val="24"/>
          <w:szCs w:val="24"/>
        </w:rPr>
        <w:t>the policies of the state of O</w:t>
      </w:r>
      <w:r>
        <w:rPr>
          <w:sz w:val="24"/>
          <w:szCs w:val="24"/>
        </w:rPr>
        <w:t xml:space="preserve">hio enumerated in R.C. 4928.02. </w:t>
      </w:r>
      <w:r w:rsidRPr="003A6449">
        <w:rPr>
          <w:sz w:val="24"/>
          <w:szCs w:val="24"/>
        </w:rPr>
        <w:lastRenderedPageBreak/>
        <w:t>FirstEnergy makes multiple argu</w:t>
      </w:r>
      <w:r>
        <w:rPr>
          <w:sz w:val="24"/>
          <w:szCs w:val="24"/>
        </w:rPr>
        <w:t xml:space="preserve">ments in support of its single </w:t>
      </w:r>
      <w:r w:rsidRPr="003A6449">
        <w:rPr>
          <w:sz w:val="24"/>
          <w:szCs w:val="24"/>
        </w:rPr>
        <w:t>assignment of error that t</w:t>
      </w:r>
      <w:r>
        <w:rPr>
          <w:sz w:val="24"/>
          <w:szCs w:val="24"/>
        </w:rPr>
        <w:t xml:space="preserve">he Commission's Second Entry on </w:t>
      </w:r>
      <w:r w:rsidRPr="003A6449">
        <w:rPr>
          <w:sz w:val="24"/>
          <w:szCs w:val="24"/>
        </w:rPr>
        <w:t xml:space="preserve">Rehearing is unlawful or </w:t>
      </w:r>
      <w:r>
        <w:rPr>
          <w:sz w:val="24"/>
          <w:szCs w:val="24"/>
        </w:rPr>
        <w:t xml:space="preserve">unreasonable because the </w:t>
      </w:r>
      <w:r w:rsidRPr="003A6449">
        <w:rPr>
          <w:sz w:val="24"/>
          <w:szCs w:val="24"/>
        </w:rPr>
        <w:t>Commission's interpretat</w:t>
      </w:r>
      <w:r>
        <w:rPr>
          <w:sz w:val="24"/>
          <w:szCs w:val="24"/>
        </w:rPr>
        <w:t xml:space="preserve">ion of Ohio Adm.Code 4901:1-10- </w:t>
      </w:r>
      <w:r w:rsidRPr="003A6449">
        <w:rPr>
          <w:sz w:val="24"/>
          <w:szCs w:val="24"/>
        </w:rPr>
        <w:t>28(B)(9)(c) requires the EDUs</w:t>
      </w:r>
      <w:r>
        <w:rPr>
          <w:sz w:val="24"/>
          <w:szCs w:val="24"/>
        </w:rPr>
        <w:t xml:space="preserve"> to issue a monetary credit for </w:t>
      </w:r>
      <w:r w:rsidRPr="003A6449">
        <w:rPr>
          <w:sz w:val="24"/>
          <w:szCs w:val="24"/>
        </w:rPr>
        <w:t>excess generation in a manner</w:t>
      </w:r>
      <w:r>
        <w:rPr>
          <w:sz w:val="24"/>
          <w:szCs w:val="24"/>
        </w:rPr>
        <w:t xml:space="preserve"> that violates the Revised Code </w:t>
      </w:r>
      <w:r w:rsidRPr="003A6449">
        <w:rPr>
          <w:sz w:val="24"/>
          <w:szCs w:val="24"/>
        </w:rPr>
        <w:t xml:space="preserve">and </w:t>
      </w:r>
      <w:r w:rsidRPr="000C10A1">
        <w:rPr>
          <w:i/>
          <w:sz w:val="24"/>
          <w:szCs w:val="24"/>
        </w:rPr>
        <w:t>FirstEnergy Corp. v. Pub. Util. Comm.</w:t>
      </w:r>
      <w:r w:rsidRPr="003A6449">
        <w:rPr>
          <w:sz w:val="24"/>
          <w:szCs w:val="24"/>
        </w:rPr>
        <w:t>, 95 Ohio St</w:t>
      </w:r>
      <w:r>
        <w:rPr>
          <w:sz w:val="24"/>
          <w:szCs w:val="24"/>
        </w:rPr>
        <w:t xml:space="preserve">.3d 401 </w:t>
      </w:r>
      <w:r w:rsidRPr="003A6449">
        <w:rPr>
          <w:sz w:val="24"/>
          <w:szCs w:val="24"/>
        </w:rPr>
        <w:t>(2002). We will address these arguments below individually.</w:t>
      </w:r>
    </w:p>
    <w:p w:rsidR="003A6449" w:rsidRDefault="003A6449" w:rsidP="00C94607">
      <w:pPr>
        <w:autoSpaceDE w:val="0"/>
        <w:autoSpaceDN w:val="0"/>
        <w:adjustRightInd w:val="0"/>
        <w:spacing w:after="120" w:line="240" w:lineRule="auto"/>
        <w:ind w:left="720" w:right="720"/>
        <w:jc w:val="both"/>
        <w:rPr>
          <w:sz w:val="24"/>
          <w:szCs w:val="24"/>
        </w:rPr>
      </w:pPr>
      <w:r w:rsidRPr="003A6449">
        <w:rPr>
          <w:sz w:val="24"/>
          <w:szCs w:val="24"/>
        </w:rPr>
        <w:t>FirstEnergy first argues that the</w:t>
      </w:r>
      <w:r>
        <w:rPr>
          <w:sz w:val="24"/>
          <w:szCs w:val="24"/>
        </w:rPr>
        <w:t xml:space="preserve"> Commission's interpretation of </w:t>
      </w:r>
      <w:r w:rsidRPr="003A6449">
        <w:rPr>
          <w:sz w:val="24"/>
          <w:szCs w:val="24"/>
        </w:rPr>
        <w:t>the word "electricity" in Ohio</w:t>
      </w:r>
      <w:r>
        <w:rPr>
          <w:sz w:val="24"/>
          <w:szCs w:val="24"/>
        </w:rPr>
        <w:t xml:space="preserve"> Adm.Code 4901:l-10-28(B)(9)(c) </w:t>
      </w:r>
      <w:r w:rsidRPr="003A6449">
        <w:rPr>
          <w:sz w:val="24"/>
          <w:szCs w:val="24"/>
        </w:rPr>
        <w:t>is inconsistent with the plain la</w:t>
      </w:r>
      <w:r>
        <w:rPr>
          <w:sz w:val="24"/>
          <w:szCs w:val="24"/>
        </w:rPr>
        <w:t xml:space="preserve">nguage of R.C. 4928.01 (A)(31). </w:t>
      </w:r>
      <w:r w:rsidRPr="003A6449">
        <w:rPr>
          <w:sz w:val="24"/>
          <w:szCs w:val="24"/>
        </w:rPr>
        <w:t xml:space="preserve">According to FirstEnergy, R.C. </w:t>
      </w:r>
      <w:r>
        <w:rPr>
          <w:sz w:val="24"/>
          <w:szCs w:val="24"/>
        </w:rPr>
        <w:t xml:space="preserve">4928.01(A)(31) indicates that a </w:t>
      </w:r>
      <w:r w:rsidRPr="003A6449">
        <w:rPr>
          <w:sz w:val="24"/>
          <w:szCs w:val="24"/>
        </w:rPr>
        <w:t>net metering facility is a facility f</w:t>
      </w:r>
      <w:r>
        <w:rPr>
          <w:sz w:val="24"/>
          <w:szCs w:val="24"/>
        </w:rPr>
        <w:t xml:space="preserve">or the production of electrical </w:t>
      </w:r>
      <w:r w:rsidRPr="003A6449">
        <w:rPr>
          <w:sz w:val="24"/>
          <w:szCs w:val="24"/>
        </w:rPr>
        <w:t>energy, not for the produc</w:t>
      </w:r>
      <w:r>
        <w:rPr>
          <w:sz w:val="24"/>
          <w:szCs w:val="24"/>
        </w:rPr>
        <w:t xml:space="preserve">tion of electricity. Therefore, </w:t>
      </w:r>
      <w:r w:rsidRPr="003A6449">
        <w:rPr>
          <w:sz w:val="24"/>
          <w:szCs w:val="24"/>
        </w:rPr>
        <w:t>according to FirstEnergy, a cus</w:t>
      </w:r>
      <w:r>
        <w:rPr>
          <w:sz w:val="24"/>
          <w:szCs w:val="24"/>
        </w:rPr>
        <w:t xml:space="preserve">tomer-generator is permitted by </w:t>
      </w:r>
      <w:r w:rsidRPr="003A6449">
        <w:rPr>
          <w:sz w:val="24"/>
          <w:szCs w:val="24"/>
        </w:rPr>
        <w:t>law to only provide electrical</w:t>
      </w:r>
      <w:r>
        <w:rPr>
          <w:sz w:val="24"/>
          <w:szCs w:val="24"/>
        </w:rPr>
        <w:t xml:space="preserve"> energy to an EDU because a net </w:t>
      </w:r>
      <w:r w:rsidRPr="003A6449">
        <w:rPr>
          <w:sz w:val="24"/>
          <w:szCs w:val="24"/>
        </w:rPr>
        <w:t xml:space="preserve">metering system may </w:t>
      </w:r>
      <w:r>
        <w:rPr>
          <w:sz w:val="24"/>
          <w:szCs w:val="24"/>
        </w:rPr>
        <w:t xml:space="preserve">only produce electrical energy. </w:t>
      </w:r>
      <w:r w:rsidRPr="003A6449">
        <w:rPr>
          <w:sz w:val="24"/>
          <w:szCs w:val="24"/>
        </w:rPr>
        <w:t>FirstEnergy then asserts that</w:t>
      </w:r>
      <w:r>
        <w:rPr>
          <w:sz w:val="24"/>
          <w:szCs w:val="24"/>
        </w:rPr>
        <w:t xml:space="preserve"> the subsequent use of the term </w:t>
      </w:r>
      <w:r w:rsidRPr="003A6449">
        <w:rPr>
          <w:sz w:val="24"/>
          <w:szCs w:val="24"/>
        </w:rPr>
        <w:t>"electricity" in R.C. 4928</w:t>
      </w:r>
      <w:r>
        <w:rPr>
          <w:sz w:val="24"/>
          <w:szCs w:val="24"/>
        </w:rPr>
        <w:t xml:space="preserve">.67 must be interpreted to mean </w:t>
      </w:r>
      <w:r w:rsidRPr="003A6449">
        <w:rPr>
          <w:sz w:val="24"/>
          <w:szCs w:val="24"/>
        </w:rPr>
        <w:t>"electrical energy," to be co</w:t>
      </w:r>
      <w:r>
        <w:rPr>
          <w:sz w:val="24"/>
          <w:szCs w:val="24"/>
        </w:rPr>
        <w:t xml:space="preserve">nsistent with R.C. 4928.01(31). </w:t>
      </w:r>
      <w:r w:rsidRPr="003A6449">
        <w:rPr>
          <w:sz w:val="24"/>
          <w:szCs w:val="24"/>
        </w:rPr>
        <w:t>Further, FirstEner</w:t>
      </w:r>
      <w:r>
        <w:rPr>
          <w:sz w:val="24"/>
          <w:szCs w:val="24"/>
        </w:rPr>
        <w:t xml:space="preserve">gy argues that the Commission's </w:t>
      </w:r>
      <w:r w:rsidRPr="003A6449">
        <w:rPr>
          <w:sz w:val="24"/>
          <w:szCs w:val="24"/>
        </w:rPr>
        <w:t>interpretation of "electricity" t</w:t>
      </w:r>
      <w:r>
        <w:rPr>
          <w:sz w:val="24"/>
          <w:szCs w:val="24"/>
        </w:rPr>
        <w:t xml:space="preserve">o include all of the components </w:t>
      </w:r>
      <w:r w:rsidRPr="003A6449">
        <w:rPr>
          <w:sz w:val="24"/>
          <w:szCs w:val="24"/>
        </w:rPr>
        <w:t>of electricity creates a conflict between R.C. 4928.01 and</w:t>
      </w:r>
      <w:r>
        <w:rPr>
          <w:sz w:val="24"/>
          <w:szCs w:val="24"/>
        </w:rPr>
        <w:t xml:space="preserve"> </w:t>
      </w:r>
      <w:r w:rsidRPr="003A6449">
        <w:rPr>
          <w:sz w:val="24"/>
          <w:szCs w:val="24"/>
        </w:rPr>
        <w:t>4928.67. Specifically, FirstEner</w:t>
      </w:r>
      <w:r>
        <w:rPr>
          <w:sz w:val="24"/>
          <w:szCs w:val="24"/>
        </w:rPr>
        <w:t xml:space="preserve">gy argues that the Commission's </w:t>
      </w:r>
      <w:r w:rsidRPr="003A6449">
        <w:rPr>
          <w:sz w:val="24"/>
          <w:szCs w:val="24"/>
        </w:rPr>
        <w:t>interpretation rewrites t</w:t>
      </w:r>
      <w:r>
        <w:rPr>
          <w:sz w:val="24"/>
          <w:szCs w:val="24"/>
        </w:rPr>
        <w:t xml:space="preserve">he statute to include the words </w:t>
      </w:r>
      <w:r w:rsidRPr="003A6449">
        <w:rPr>
          <w:sz w:val="24"/>
          <w:szCs w:val="24"/>
        </w:rPr>
        <w:t>"demand" and "capacity" into</w:t>
      </w:r>
      <w:r>
        <w:rPr>
          <w:sz w:val="24"/>
          <w:szCs w:val="24"/>
        </w:rPr>
        <w:t xml:space="preserve"> the definition of net metering </w:t>
      </w:r>
      <w:r w:rsidRPr="003A6449">
        <w:rPr>
          <w:sz w:val="24"/>
          <w:szCs w:val="24"/>
        </w:rPr>
        <w:t>system in R.C. 4928.01(31). First</w:t>
      </w:r>
      <w:r>
        <w:rPr>
          <w:sz w:val="24"/>
          <w:szCs w:val="24"/>
        </w:rPr>
        <w:t xml:space="preserve">Energy asserts that the General </w:t>
      </w:r>
      <w:r w:rsidRPr="003A6449">
        <w:rPr>
          <w:sz w:val="24"/>
          <w:szCs w:val="24"/>
        </w:rPr>
        <w:t>Assembly's use of the term "electr</w:t>
      </w:r>
      <w:r>
        <w:rPr>
          <w:sz w:val="24"/>
          <w:szCs w:val="24"/>
        </w:rPr>
        <w:t xml:space="preserve">ical energy" signals then intent </w:t>
      </w:r>
      <w:r w:rsidRPr="003A6449">
        <w:rPr>
          <w:sz w:val="24"/>
          <w:szCs w:val="24"/>
        </w:rPr>
        <w:t>for a net metering sy</w:t>
      </w:r>
      <w:r>
        <w:rPr>
          <w:sz w:val="24"/>
          <w:szCs w:val="24"/>
        </w:rPr>
        <w:t xml:space="preserve">stem to provide just the energy </w:t>
      </w:r>
      <w:r w:rsidRPr="003A6449">
        <w:rPr>
          <w:sz w:val="24"/>
          <w:szCs w:val="24"/>
        </w:rPr>
        <w:t xml:space="preserve">component of electricity to </w:t>
      </w:r>
      <w:r>
        <w:rPr>
          <w:sz w:val="24"/>
          <w:szCs w:val="24"/>
        </w:rPr>
        <w:t xml:space="preserve">the EDU. Therefore, FirstEnergy </w:t>
      </w:r>
      <w:r w:rsidRPr="003A6449">
        <w:rPr>
          <w:sz w:val="24"/>
          <w:szCs w:val="24"/>
        </w:rPr>
        <w:t>asserts that the rate paid to cus</w:t>
      </w:r>
      <w:r>
        <w:rPr>
          <w:sz w:val="24"/>
          <w:szCs w:val="24"/>
        </w:rPr>
        <w:t xml:space="preserve">tomer-generators should include </w:t>
      </w:r>
      <w:r w:rsidRPr="003A6449">
        <w:rPr>
          <w:sz w:val="24"/>
          <w:szCs w:val="24"/>
        </w:rPr>
        <w:t>only the energy component of electricity.</w:t>
      </w:r>
    </w:p>
    <w:p w:rsidR="003A6449" w:rsidRDefault="00A17EAA" w:rsidP="00C94607">
      <w:pPr>
        <w:autoSpaceDE w:val="0"/>
        <w:autoSpaceDN w:val="0"/>
        <w:adjustRightInd w:val="0"/>
        <w:spacing w:after="120" w:line="240" w:lineRule="auto"/>
        <w:ind w:left="720" w:right="720"/>
        <w:jc w:val="both"/>
        <w:rPr>
          <w:sz w:val="24"/>
          <w:szCs w:val="24"/>
        </w:rPr>
      </w:pPr>
      <w:r>
        <w:rPr>
          <w:sz w:val="24"/>
          <w:szCs w:val="24"/>
        </w:rPr>
        <w:tab/>
      </w:r>
      <w:r>
        <w:rPr>
          <w:sz w:val="24"/>
          <w:szCs w:val="24"/>
        </w:rPr>
        <w:tab/>
      </w:r>
      <w:r>
        <w:rPr>
          <w:sz w:val="24"/>
          <w:szCs w:val="24"/>
        </w:rPr>
        <w:tab/>
      </w:r>
      <w:r>
        <w:rPr>
          <w:sz w:val="24"/>
          <w:szCs w:val="24"/>
        </w:rPr>
        <w:tab/>
      </w:r>
      <w:r w:rsidR="000C10A1">
        <w:rPr>
          <w:sz w:val="24"/>
          <w:szCs w:val="24"/>
        </w:rPr>
        <w:tab/>
      </w:r>
      <w:r w:rsidR="00781C34">
        <w:rPr>
          <w:sz w:val="24"/>
          <w:szCs w:val="24"/>
        </w:rPr>
        <w:t>****</w:t>
      </w:r>
    </w:p>
    <w:p w:rsidR="00A17EAA" w:rsidRDefault="00A17EAA" w:rsidP="00C94607">
      <w:pPr>
        <w:autoSpaceDE w:val="0"/>
        <w:autoSpaceDN w:val="0"/>
        <w:adjustRightInd w:val="0"/>
        <w:spacing w:after="120" w:line="240" w:lineRule="auto"/>
        <w:ind w:left="720" w:right="720"/>
        <w:jc w:val="both"/>
        <w:rPr>
          <w:sz w:val="24"/>
          <w:szCs w:val="24"/>
        </w:rPr>
      </w:pPr>
      <w:r>
        <w:rPr>
          <w:sz w:val="24"/>
          <w:szCs w:val="24"/>
        </w:rPr>
        <w:t>The Comm</w:t>
      </w:r>
      <w:r w:rsidRPr="00A17EAA">
        <w:rPr>
          <w:sz w:val="24"/>
          <w:szCs w:val="24"/>
        </w:rPr>
        <w:t>ission agrees with IGS</w:t>
      </w:r>
      <w:r>
        <w:rPr>
          <w:sz w:val="24"/>
          <w:szCs w:val="24"/>
        </w:rPr>
        <w:t xml:space="preserve"> that electricity supplied to a customer </w:t>
      </w:r>
      <w:r w:rsidRPr="00A17EAA">
        <w:rPr>
          <w:sz w:val="24"/>
          <w:szCs w:val="24"/>
        </w:rPr>
        <w:t>generator includ</w:t>
      </w:r>
      <w:r>
        <w:rPr>
          <w:sz w:val="24"/>
          <w:szCs w:val="24"/>
        </w:rPr>
        <w:t xml:space="preserve">es components such as capacity, </w:t>
      </w:r>
      <w:r w:rsidRPr="00A17EAA">
        <w:rPr>
          <w:sz w:val="24"/>
          <w:szCs w:val="24"/>
        </w:rPr>
        <w:t>demand, and energy; therefore, the electri</w:t>
      </w:r>
      <w:r>
        <w:rPr>
          <w:sz w:val="24"/>
          <w:szCs w:val="24"/>
        </w:rPr>
        <w:t xml:space="preserve">city generated by the </w:t>
      </w:r>
      <w:r w:rsidRPr="00A17EAA">
        <w:rPr>
          <w:sz w:val="24"/>
          <w:szCs w:val="24"/>
        </w:rPr>
        <w:t>customer-generator should al</w:t>
      </w:r>
      <w:r>
        <w:rPr>
          <w:sz w:val="24"/>
          <w:szCs w:val="24"/>
        </w:rPr>
        <w:t xml:space="preserve">so be recognized to include the </w:t>
      </w:r>
      <w:r w:rsidRPr="00A17EAA">
        <w:rPr>
          <w:sz w:val="24"/>
          <w:szCs w:val="24"/>
        </w:rPr>
        <w:t>components of capacity, dem</w:t>
      </w:r>
      <w:r>
        <w:rPr>
          <w:sz w:val="24"/>
          <w:szCs w:val="24"/>
        </w:rPr>
        <w:t xml:space="preserve">and, and energy. As the Supreme </w:t>
      </w:r>
      <w:r w:rsidRPr="00A17EAA">
        <w:rPr>
          <w:sz w:val="24"/>
          <w:szCs w:val="24"/>
        </w:rPr>
        <w:t>Court of Ohio has noted, "the</w:t>
      </w:r>
      <w:r>
        <w:rPr>
          <w:sz w:val="24"/>
          <w:szCs w:val="24"/>
        </w:rPr>
        <w:t xml:space="preserve"> net-generator provisions . . . </w:t>
      </w:r>
      <w:r w:rsidRPr="00A17EAA">
        <w:rPr>
          <w:sz w:val="24"/>
          <w:szCs w:val="24"/>
        </w:rPr>
        <w:t>speak solely in terms of electricity generated and sup</w:t>
      </w:r>
      <w:r>
        <w:rPr>
          <w:sz w:val="24"/>
          <w:szCs w:val="24"/>
        </w:rPr>
        <w:t xml:space="preserve">plied, as </w:t>
      </w:r>
      <w:r w:rsidRPr="00A17EAA">
        <w:rPr>
          <w:sz w:val="24"/>
          <w:szCs w:val="24"/>
        </w:rPr>
        <w:t>they should. A net-generat</w:t>
      </w:r>
      <w:r>
        <w:rPr>
          <w:sz w:val="24"/>
          <w:szCs w:val="24"/>
        </w:rPr>
        <w:t xml:space="preserve">or customer of FirstEnergy only </w:t>
      </w:r>
      <w:r w:rsidRPr="00A17EAA">
        <w:rPr>
          <w:sz w:val="24"/>
          <w:szCs w:val="24"/>
        </w:rPr>
        <w:t>generates and supplies e</w:t>
      </w:r>
      <w:r>
        <w:rPr>
          <w:sz w:val="24"/>
          <w:szCs w:val="24"/>
        </w:rPr>
        <w:t xml:space="preserve">lectricity; it does not provide </w:t>
      </w:r>
      <w:r w:rsidRPr="00A17EAA">
        <w:rPr>
          <w:sz w:val="24"/>
          <w:szCs w:val="24"/>
        </w:rPr>
        <w:t>transmission, distribution, or a</w:t>
      </w:r>
      <w:r>
        <w:rPr>
          <w:sz w:val="24"/>
          <w:szCs w:val="24"/>
        </w:rPr>
        <w:t xml:space="preserve">ncillary services." FirstEnergy </w:t>
      </w:r>
      <w:r w:rsidRPr="00A17EAA">
        <w:rPr>
          <w:sz w:val="24"/>
          <w:szCs w:val="24"/>
        </w:rPr>
        <w:t>Corp. V. Pub. Util. Comm., 95 Oh</w:t>
      </w:r>
      <w:r>
        <w:rPr>
          <w:sz w:val="24"/>
          <w:szCs w:val="24"/>
        </w:rPr>
        <w:t xml:space="preserve">io St.3d 401 (2002). Therefore, </w:t>
      </w:r>
      <w:r w:rsidRPr="00A17EAA">
        <w:rPr>
          <w:sz w:val="24"/>
          <w:szCs w:val="24"/>
        </w:rPr>
        <w:t>by using the SSO rate for the cr</w:t>
      </w:r>
      <w:r>
        <w:rPr>
          <w:sz w:val="24"/>
          <w:szCs w:val="24"/>
        </w:rPr>
        <w:t xml:space="preserve">edit to customer-generators, we </w:t>
      </w:r>
      <w:r w:rsidRPr="00A17EAA">
        <w:rPr>
          <w:sz w:val="24"/>
          <w:szCs w:val="24"/>
        </w:rPr>
        <w:t>have provided a full and complete rate, exclusive of</w:t>
      </w:r>
      <w:r>
        <w:rPr>
          <w:sz w:val="24"/>
          <w:szCs w:val="24"/>
        </w:rPr>
        <w:t xml:space="preserve"> </w:t>
      </w:r>
      <w:r w:rsidRPr="00A17EAA">
        <w:rPr>
          <w:sz w:val="24"/>
          <w:szCs w:val="24"/>
        </w:rPr>
        <w:t>transmission, distribution, or ancillary services, to be applied to</w:t>
      </w:r>
      <w:r>
        <w:rPr>
          <w:sz w:val="24"/>
          <w:szCs w:val="24"/>
        </w:rPr>
        <w:t xml:space="preserve"> </w:t>
      </w:r>
      <w:r w:rsidRPr="00A17EAA">
        <w:rPr>
          <w:sz w:val="24"/>
          <w:szCs w:val="24"/>
        </w:rPr>
        <w:t>the electricity generated and supplied by the customer</w:t>
      </w:r>
      <w:r>
        <w:rPr>
          <w:sz w:val="24"/>
          <w:szCs w:val="24"/>
        </w:rPr>
        <w:t xml:space="preserve"> </w:t>
      </w:r>
      <w:r w:rsidRPr="00A17EAA">
        <w:rPr>
          <w:sz w:val="24"/>
          <w:szCs w:val="24"/>
        </w:rPr>
        <w:t>generator.</w:t>
      </w:r>
    </w:p>
    <w:p w:rsidR="00A17EAA" w:rsidRDefault="00A17EAA" w:rsidP="00C94607">
      <w:pPr>
        <w:autoSpaceDE w:val="0"/>
        <w:autoSpaceDN w:val="0"/>
        <w:adjustRightInd w:val="0"/>
        <w:spacing w:after="120" w:line="240" w:lineRule="auto"/>
        <w:ind w:left="720" w:right="720"/>
        <w:jc w:val="both"/>
        <w:rPr>
          <w:sz w:val="24"/>
          <w:szCs w:val="24"/>
        </w:rPr>
      </w:pPr>
      <w:r w:rsidRPr="00A17EAA">
        <w:rPr>
          <w:sz w:val="24"/>
          <w:szCs w:val="24"/>
        </w:rPr>
        <w:t xml:space="preserve">We find no merit to </w:t>
      </w:r>
      <w:r>
        <w:rPr>
          <w:sz w:val="24"/>
          <w:szCs w:val="24"/>
        </w:rPr>
        <w:t xml:space="preserve">FirstEnergy's argument that the </w:t>
      </w:r>
      <w:r w:rsidRPr="00A17EAA">
        <w:rPr>
          <w:sz w:val="24"/>
          <w:szCs w:val="24"/>
        </w:rPr>
        <w:t>Commission's interpretation of</w:t>
      </w:r>
      <w:r>
        <w:rPr>
          <w:sz w:val="24"/>
          <w:szCs w:val="24"/>
        </w:rPr>
        <w:t xml:space="preserve"> "electricity" in Ohio Adm.Code </w:t>
      </w:r>
      <w:r w:rsidRPr="00A17EAA">
        <w:rPr>
          <w:sz w:val="24"/>
          <w:szCs w:val="24"/>
        </w:rPr>
        <w:t>4901:l-10-28(B)(9)(c) is inconsiste</w:t>
      </w:r>
      <w:r w:rsidR="00CF47B9">
        <w:rPr>
          <w:sz w:val="24"/>
          <w:szCs w:val="24"/>
        </w:rPr>
        <w:t>nt with th</w:t>
      </w:r>
      <w:r>
        <w:rPr>
          <w:sz w:val="24"/>
          <w:szCs w:val="24"/>
        </w:rPr>
        <w:t xml:space="preserve">e definition of "net </w:t>
      </w:r>
      <w:r w:rsidRPr="00A17EAA">
        <w:rPr>
          <w:sz w:val="24"/>
          <w:szCs w:val="24"/>
        </w:rPr>
        <w:t>metering system" set</w:t>
      </w:r>
      <w:r>
        <w:rPr>
          <w:sz w:val="24"/>
          <w:szCs w:val="24"/>
        </w:rPr>
        <w:t xml:space="preserve"> forth in R.C. </w:t>
      </w:r>
      <w:r>
        <w:rPr>
          <w:sz w:val="24"/>
          <w:szCs w:val="24"/>
        </w:rPr>
        <w:lastRenderedPageBreak/>
        <w:t xml:space="preserve">4928.01(31). The </w:t>
      </w:r>
      <w:r w:rsidRPr="00A17EAA">
        <w:rPr>
          <w:sz w:val="24"/>
          <w:szCs w:val="24"/>
        </w:rPr>
        <w:t>Commission notes that the definitio</w:t>
      </w:r>
      <w:r>
        <w:rPr>
          <w:sz w:val="24"/>
          <w:szCs w:val="24"/>
        </w:rPr>
        <w:t xml:space="preserve">n of "net metering" in R.C. </w:t>
      </w:r>
      <w:r w:rsidRPr="00A17EAA">
        <w:rPr>
          <w:sz w:val="24"/>
          <w:szCs w:val="24"/>
        </w:rPr>
        <w:t>4928.01(30) states that n</w:t>
      </w:r>
      <w:r>
        <w:rPr>
          <w:sz w:val="24"/>
          <w:szCs w:val="24"/>
        </w:rPr>
        <w:t xml:space="preserve">et metering means measuring the </w:t>
      </w:r>
      <w:r w:rsidRPr="00A17EAA">
        <w:rPr>
          <w:sz w:val="24"/>
          <w:szCs w:val="24"/>
        </w:rPr>
        <w:t>difference in an applicable billing</w:t>
      </w:r>
      <w:r>
        <w:rPr>
          <w:sz w:val="24"/>
          <w:szCs w:val="24"/>
        </w:rPr>
        <w:t xml:space="preserve"> period between the electricity </w:t>
      </w:r>
      <w:r w:rsidRPr="00A17EAA">
        <w:rPr>
          <w:sz w:val="24"/>
          <w:szCs w:val="24"/>
        </w:rPr>
        <w:t>supplied by an electric servi</w:t>
      </w:r>
      <w:r>
        <w:rPr>
          <w:sz w:val="24"/>
          <w:szCs w:val="24"/>
        </w:rPr>
        <w:t xml:space="preserve">ce provider and the electricity </w:t>
      </w:r>
      <w:r w:rsidRPr="00A17EAA">
        <w:rPr>
          <w:sz w:val="24"/>
          <w:szCs w:val="24"/>
        </w:rPr>
        <w:t>generated by a customer-generator that is f</w:t>
      </w:r>
      <w:r>
        <w:rPr>
          <w:sz w:val="24"/>
          <w:szCs w:val="24"/>
        </w:rPr>
        <w:t xml:space="preserve">ed back to the </w:t>
      </w:r>
      <w:r w:rsidRPr="00A17EAA">
        <w:rPr>
          <w:sz w:val="24"/>
          <w:szCs w:val="24"/>
        </w:rPr>
        <w:t>electric service provider. This def</w:t>
      </w:r>
      <w:r>
        <w:rPr>
          <w:sz w:val="24"/>
          <w:szCs w:val="24"/>
        </w:rPr>
        <w:t xml:space="preserve">inition is consistent with the </w:t>
      </w:r>
      <w:r w:rsidRPr="00A17EAA">
        <w:rPr>
          <w:sz w:val="24"/>
          <w:szCs w:val="24"/>
        </w:rPr>
        <w:t>use of "electricity" in R.C. 4928</w:t>
      </w:r>
      <w:r>
        <w:rPr>
          <w:sz w:val="24"/>
          <w:szCs w:val="24"/>
        </w:rPr>
        <w:t xml:space="preserve">.67, which also speaks in terms </w:t>
      </w:r>
      <w:r w:rsidRPr="00A17EAA">
        <w:rPr>
          <w:sz w:val="24"/>
          <w:szCs w:val="24"/>
        </w:rPr>
        <w:t>of electricity supplied and electricity generated.</w:t>
      </w:r>
    </w:p>
    <w:p w:rsidR="00A17EAA" w:rsidRDefault="00A17EAA" w:rsidP="00C94607">
      <w:pPr>
        <w:autoSpaceDE w:val="0"/>
        <w:autoSpaceDN w:val="0"/>
        <w:adjustRightInd w:val="0"/>
        <w:spacing w:after="120" w:line="240" w:lineRule="auto"/>
        <w:ind w:left="720" w:right="720"/>
        <w:jc w:val="both"/>
        <w:rPr>
          <w:sz w:val="24"/>
          <w:szCs w:val="24"/>
        </w:rPr>
      </w:pPr>
      <w:r w:rsidRPr="00A17EAA">
        <w:rPr>
          <w:sz w:val="24"/>
          <w:szCs w:val="24"/>
        </w:rPr>
        <w:t>We also disagree with FirstEnergy</w:t>
      </w:r>
      <w:r>
        <w:rPr>
          <w:sz w:val="24"/>
          <w:szCs w:val="24"/>
        </w:rPr>
        <w:t xml:space="preserve">'s assertion that the statutory </w:t>
      </w:r>
      <w:r w:rsidRPr="00A17EAA">
        <w:rPr>
          <w:sz w:val="24"/>
          <w:szCs w:val="24"/>
        </w:rPr>
        <w:t>references in R.C. 4928.67 to the</w:t>
      </w:r>
      <w:r>
        <w:rPr>
          <w:sz w:val="24"/>
          <w:szCs w:val="24"/>
        </w:rPr>
        <w:t xml:space="preserve"> term electricity actually mean </w:t>
      </w:r>
      <w:r w:rsidRPr="00A17EAA">
        <w:rPr>
          <w:sz w:val="24"/>
          <w:szCs w:val="24"/>
        </w:rPr>
        <w:t>electrical energy. We note t</w:t>
      </w:r>
      <w:r>
        <w:rPr>
          <w:sz w:val="24"/>
          <w:szCs w:val="24"/>
        </w:rPr>
        <w:t xml:space="preserve">hat FirstEnergy's arguments are </w:t>
      </w:r>
      <w:r w:rsidRPr="00A17EAA">
        <w:rPr>
          <w:sz w:val="24"/>
          <w:szCs w:val="24"/>
        </w:rPr>
        <w:t>internally inconsistent, as Firs</w:t>
      </w:r>
      <w:r>
        <w:rPr>
          <w:sz w:val="24"/>
          <w:szCs w:val="24"/>
        </w:rPr>
        <w:t xml:space="preserve">tEnergy argues that the General </w:t>
      </w:r>
      <w:r w:rsidRPr="00A17EAA">
        <w:rPr>
          <w:sz w:val="24"/>
          <w:szCs w:val="24"/>
        </w:rPr>
        <w:t>Assembly knew exactly what</w:t>
      </w:r>
      <w:r>
        <w:rPr>
          <w:sz w:val="24"/>
          <w:szCs w:val="24"/>
        </w:rPr>
        <w:t xml:space="preserve"> it meant when it used the term </w:t>
      </w:r>
      <w:r w:rsidRPr="00A17EAA">
        <w:rPr>
          <w:sz w:val="24"/>
          <w:szCs w:val="24"/>
        </w:rPr>
        <w:t>electrical energy in R.C. 4928.0</w:t>
      </w:r>
      <w:r>
        <w:rPr>
          <w:sz w:val="24"/>
          <w:szCs w:val="24"/>
        </w:rPr>
        <w:t xml:space="preserve">1(31), but that it did not know </w:t>
      </w:r>
      <w:r w:rsidRPr="00A17EAA">
        <w:rPr>
          <w:sz w:val="24"/>
          <w:szCs w:val="24"/>
        </w:rPr>
        <w:t>what it meant when it used the t</w:t>
      </w:r>
      <w:r>
        <w:rPr>
          <w:sz w:val="24"/>
          <w:szCs w:val="24"/>
        </w:rPr>
        <w:t xml:space="preserve">erm electricity throughout R.C. </w:t>
      </w:r>
      <w:r w:rsidRPr="00A17EAA">
        <w:rPr>
          <w:sz w:val="24"/>
          <w:szCs w:val="24"/>
        </w:rPr>
        <w:t>4928.67,4928.01(30), and 4928.01(31).</w:t>
      </w:r>
    </w:p>
    <w:p w:rsidR="00A17EAA" w:rsidRDefault="00A17EAA" w:rsidP="00C94607">
      <w:pPr>
        <w:autoSpaceDE w:val="0"/>
        <w:autoSpaceDN w:val="0"/>
        <w:adjustRightInd w:val="0"/>
        <w:spacing w:after="120" w:line="240" w:lineRule="auto"/>
        <w:ind w:left="720" w:right="720"/>
        <w:jc w:val="both"/>
        <w:rPr>
          <w:sz w:val="24"/>
          <w:szCs w:val="24"/>
        </w:rPr>
      </w:pPr>
      <w:r>
        <w:rPr>
          <w:sz w:val="24"/>
          <w:szCs w:val="24"/>
        </w:rPr>
        <w:tab/>
      </w:r>
      <w:r>
        <w:rPr>
          <w:sz w:val="24"/>
          <w:szCs w:val="24"/>
        </w:rPr>
        <w:tab/>
      </w:r>
      <w:r>
        <w:rPr>
          <w:sz w:val="24"/>
          <w:szCs w:val="24"/>
        </w:rPr>
        <w:tab/>
      </w:r>
      <w:r>
        <w:rPr>
          <w:sz w:val="24"/>
          <w:szCs w:val="24"/>
        </w:rPr>
        <w:tab/>
      </w:r>
      <w:r w:rsidR="000C10A1">
        <w:rPr>
          <w:sz w:val="24"/>
          <w:szCs w:val="24"/>
        </w:rPr>
        <w:tab/>
      </w:r>
      <w:r>
        <w:rPr>
          <w:sz w:val="24"/>
          <w:szCs w:val="24"/>
        </w:rPr>
        <w:t>****</w:t>
      </w:r>
    </w:p>
    <w:p w:rsidR="00A17EAA" w:rsidRDefault="00A17EAA" w:rsidP="00C94607">
      <w:pPr>
        <w:autoSpaceDE w:val="0"/>
        <w:autoSpaceDN w:val="0"/>
        <w:adjustRightInd w:val="0"/>
        <w:spacing w:after="120" w:line="240" w:lineRule="auto"/>
        <w:ind w:left="720" w:right="720"/>
        <w:jc w:val="both"/>
        <w:rPr>
          <w:sz w:val="24"/>
          <w:szCs w:val="24"/>
        </w:rPr>
      </w:pPr>
      <w:r w:rsidRPr="00A17EAA">
        <w:rPr>
          <w:sz w:val="24"/>
          <w:szCs w:val="24"/>
        </w:rPr>
        <w:t>We find, as we did in our Order, th</w:t>
      </w:r>
      <w:r>
        <w:rPr>
          <w:sz w:val="24"/>
          <w:szCs w:val="24"/>
        </w:rPr>
        <w:t xml:space="preserve">at the EDUs should credit </w:t>
      </w:r>
      <w:r w:rsidRPr="00A17EAA">
        <w:rPr>
          <w:sz w:val="24"/>
          <w:szCs w:val="24"/>
        </w:rPr>
        <w:t>customer-generators for electri</w:t>
      </w:r>
      <w:r>
        <w:rPr>
          <w:sz w:val="24"/>
          <w:szCs w:val="24"/>
        </w:rPr>
        <w:t xml:space="preserve">city at the SSO rate, which has </w:t>
      </w:r>
      <w:r w:rsidRPr="00A17EAA">
        <w:rPr>
          <w:sz w:val="24"/>
          <w:szCs w:val="24"/>
        </w:rPr>
        <w:t>energy, demand, and capaci</w:t>
      </w:r>
      <w:r>
        <w:rPr>
          <w:sz w:val="24"/>
          <w:szCs w:val="24"/>
        </w:rPr>
        <w:t xml:space="preserve">ty components built into it. We </w:t>
      </w:r>
      <w:r w:rsidRPr="00A17EAA">
        <w:rPr>
          <w:sz w:val="24"/>
          <w:szCs w:val="24"/>
        </w:rPr>
        <w:t>agree with IGS that this determ</w:t>
      </w:r>
      <w:r>
        <w:rPr>
          <w:sz w:val="24"/>
          <w:szCs w:val="24"/>
        </w:rPr>
        <w:t xml:space="preserve">ination is consistent with R.C. </w:t>
      </w:r>
      <w:r w:rsidRPr="00A17EAA">
        <w:rPr>
          <w:sz w:val="24"/>
          <w:szCs w:val="24"/>
        </w:rPr>
        <w:t>4928.67(A)(1), which requires that the contrac</w:t>
      </w:r>
      <w:r>
        <w:rPr>
          <w:sz w:val="24"/>
          <w:szCs w:val="24"/>
        </w:rPr>
        <w:t xml:space="preserve">t or tariff for net </w:t>
      </w:r>
      <w:r w:rsidRPr="00A17EAA">
        <w:rPr>
          <w:sz w:val="24"/>
          <w:szCs w:val="24"/>
        </w:rPr>
        <w:t xml:space="preserve">metering must be identical in </w:t>
      </w:r>
      <w:r>
        <w:rPr>
          <w:sz w:val="24"/>
          <w:szCs w:val="24"/>
        </w:rPr>
        <w:t xml:space="preserve">rate structure, all retail rate </w:t>
      </w:r>
      <w:r w:rsidRPr="00A17EAA">
        <w:rPr>
          <w:sz w:val="24"/>
          <w:szCs w:val="24"/>
        </w:rPr>
        <w:t>components, and any monthly ch</w:t>
      </w:r>
      <w:r>
        <w:rPr>
          <w:sz w:val="24"/>
          <w:szCs w:val="24"/>
        </w:rPr>
        <w:t xml:space="preserve">arges to the contract or tariff </w:t>
      </w:r>
      <w:r w:rsidRPr="00A17EAA">
        <w:rPr>
          <w:sz w:val="24"/>
          <w:szCs w:val="24"/>
        </w:rPr>
        <w:t>to which the same customer wou</w:t>
      </w:r>
      <w:r>
        <w:rPr>
          <w:sz w:val="24"/>
          <w:szCs w:val="24"/>
        </w:rPr>
        <w:t xml:space="preserve">ld be assigned if that customer </w:t>
      </w:r>
      <w:r w:rsidRPr="00A17EAA">
        <w:rPr>
          <w:sz w:val="24"/>
          <w:szCs w:val="24"/>
        </w:rPr>
        <w:t>were not a customer-generator. The SSO rate is the generation</w:t>
      </w:r>
      <w:r>
        <w:rPr>
          <w:sz w:val="24"/>
          <w:szCs w:val="24"/>
        </w:rPr>
        <w:t xml:space="preserve"> </w:t>
      </w:r>
      <w:r w:rsidRPr="00A17EAA">
        <w:rPr>
          <w:sz w:val="24"/>
          <w:szCs w:val="24"/>
        </w:rPr>
        <w:t>rate authorized by the Commi</w:t>
      </w:r>
      <w:r>
        <w:rPr>
          <w:sz w:val="24"/>
          <w:szCs w:val="24"/>
        </w:rPr>
        <w:t xml:space="preserve">ssion pursuant to R.C. 4928.141 </w:t>
      </w:r>
      <w:r w:rsidRPr="00A17EAA">
        <w:rPr>
          <w:sz w:val="24"/>
          <w:szCs w:val="24"/>
        </w:rPr>
        <w:t>for the EDUs to provide the compe</w:t>
      </w:r>
      <w:r>
        <w:rPr>
          <w:sz w:val="24"/>
          <w:szCs w:val="24"/>
        </w:rPr>
        <w:t xml:space="preserve">titive retail electric services </w:t>
      </w:r>
      <w:r w:rsidRPr="00A17EAA">
        <w:rPr>
          <w:sz w:val="24"/>
          <w:szCs w:val="24"/>
        </w:rPr>
        <w:t>necessary to maintain essential</w:t>
      </w:r>
      <w:r>
        <w:rPr>
          <w:sz w:val="24"/>
          <w:szCs w:val="24"/>
        </w:rPr>
        <w:t xml:space="preserve"> electric service to consumers. </w:t>
      </w:r>
      <w:r w:rsidRPr="00A17EAA">
        <w:rPr>
          <w:sz w:val="24"/>
          <w:szCs w:val="24"/>
        </w:rPr>
        <w:t>The electric services necessary to maintain electric serv</w:t>
      </w:r>
      <w:r>
        <w:rPr>
          <w:sz w:val="24"/>
          <w:szCs w:val="24"/>
        </w:rPr>
        <w:t xml:space="preserve">ice to </w:t>
      </w:r>
      <w:r w:rsidRPr="00A17EAA">
        <w:rPr>
          <w:sz w:val="24"/>
          <w:szCs w:val="24"/>
        </w:rPr>
        <w:t>customers includes energy,</w:t>
      </w:r>
      <w:r>
        <w:rPr>
          <w:sz w:val="24"/>
          <w:szCs w:val="24"/>
        </w:rPr>
        <w:t xml:space="preserve"> capacity, and demand. By using </w:t>
      </w:r>
      <w:r w:rsidRPr="00A17EAA">
        <w:rPr>
          <w:sz w:val="24"/>
          <w:szCs w:val="24"/>
        </w:rPr>
        <w:t>the SSO rate, the Commission e</w:t>
      </w:r>
      <w:r>
        <w:rPr>
          <w:sz w:val="24"/>
          <w:szCs w:val="24"/>
        </w:rPr>
        <w:t xml:space="preserve">nsures that customer-generators </w:t>
      </w:r>
      <w:r w:rsidRPr="00A17EAA">
        <w:rPr>
          <w:sz w:val="24"/>
          <w:szCs w:val="24"/>
        </w:rPr>
        <w:t>are credited for all of the comp</w:t>
      </w:r>
      <w:r>
        <w:rPr>
          <w:sz w:val="24"/>
          <w:szCs w:val="24"/>
        </w:rPr>
        <w:t xml:space="preserve">onents of electricity that they </w:t>
      </w:r>
      <w:r w:rsidRPr="00A17EAA">
        <w:rPr>
          <w:sz w:val="24"/>
          <w:szCs w:val="24"/>
        </w:rPr>
        <w:t>provide to the distribution sys</w:t>
      </w:r>
      <w:r>
        <w:rPr>
          <w:sz w:val="24"/>
          <w:szCs w:val="24"/>
        </w:rPr>
        <w:t xml:space="preserve">tem and only for the components </w:t>
      </w:r>
      <w:r w:rsidRPr="00A17EAA">
        <w:rPr>
          <w:sz w:val="24"/>
          <w:szCs w:val="24"/>
        </w:rPr>
        <w:t>of electricity that they prov</w:t>
      </w:r>
      <w:r>
        <w:rPr>
          <w:sz w:val="24"/>
          <w:szCs w:val="24"/>
        </w:rPr>
        <w:t xml:space="preserve">ide to the distribution system. </w:t>
      </w:r>
      <w:r w:rsidRPr="00A17EAA">
        <w:rPr>
          <w:sz w:val="24"/>
          <w:szCs w:val="24"/>
        </w:rPr>
        <w:t>Additionally, by using the S</w:t>
      </w:r>
      <w:r>
        <w:rPr>
          <w:sz w:val="24"/>
          <w:szCs w:val="24"/>
        </w:rPr>
        <w:t xml:space="preserve">SO rate, the Commission ensures </w:t>
      </w:r>
      <w:r w:rsidRPr="00A17EAA">
        <w:rPr>
          <w:sz w:val="24"/>
          <w:szCs w:val="24"/>
        </w:rPr>
        <w:t>that customer-generators are cre</w:t>
      </w:r>
      <w:r>
        <w:rPr>
          <w:sz w:val="24"/>
          <w:szCs w:val="24"/>
        </w:rPr>
        <w:t xml:space="preserve">dited for providing electricity </w:t>
      </w:r>
      <w:r w:rsidRPr="00A17EAA">
        <w:rPr>
          <w:sz w:val="24"/>
          <w:szCs w:val="24"/>
        </w:rPr>
        <w:t>without requiring that a demand meter be installed.</w:t>
      </w:r>
    </w:p>
    <w:p w:rsidR="000C10A1" w:rsidRDefault="000C10A1" w:rsidP="00C94607">
      <w:pPr>
        <w:autoSpaceDE w:val="0"/>
        <w:autoSpaceDN w:val="0"/>
        <w:adjustRightInd w:val="0"/>
        <w:spacing w:after="120" w:line="240" w:lineRule="auto"/>
        <w:ind w:left="3600" w:right="720" w:firstLine="720"/>
        <w:jc w:val="both"/>
        <w:rPr>
          <w:sz w:val="24"/>
          <w:szCs w:val="24"/>
        </w:rPr>
      </w:pPr>
      <w:r>
        <w:rPr>
          <w:sz w:val="24"/>
          <w:szCs w:val="24"/>
        </w:rPr>
        <w:t>****</w:t>
      </w:r>
    </w:p>
    <w:p w:rsidR="00A17EAA" w:rsidRDefault="00A17EAA" w:rsidP="00C94607">
      <w:pPr>
        <w:autoSpaceDE w:val="0"/>
        <w:autoSpaceDN w:val="0"/>
        <w:adjustRightInd w:val="0"/>
        <w:spacing w:after="120" w:line="240" w:lineRule="auto"/>
        <w:ind w:left="720" w:right="720"/>
        <w:jc w:val="both"/>
        <w:rPr>
          <w:sz w:val="24"/>
          <w:szCs w:val="24"/>
        </w:rPr>
      </w:pPr>
      <w:r w:rsidRPr="00A17EAA">
        <w:rPr>
          <w:sz w:val="24"/>
          <w:szCs w:val="24"/>
        </w:rPr>
        <w:t>We find no merit to FirstEnergy's argument that the</w:t>
      </w:r>
      <w:r w:rsidR="000C10A1">
        <w:rPr>
          <w:sz w:val="24"/>
          <w:szCs w:val="24"/>
        </w:rPr>
        <w:t xml:space="preserve"> </w:t>
      </w:r>
      <w:r w:rsidRPr="00A17EAA">
        <w:rPr>
          <w:sz w:val="24"/>
          <w:szCs w:val="24"/>
        </w:rPr>
        <w:t>Commission's Second Entry on Rehearing nullifies the Ohio</w:t>
      </w:r>
      <w:r w:rsidR="000C10A1">
        <w:rPr>
          <w:sz w:val="24"/>
          <w:szCs w:val="24"/>
        </w:rPr>
        <w:t xml:space="preserve"> </w:t>
      </w:r>
      <w:r w:rsidRPr="00A17EAA">
        <w:rPr>
          <w:sz w:val="24"/>
          <w:szCs w:val="24"/>
        </w:rPr>
        <w:t xml:space="preserve">Supreme Court's holding in </w:t>
      </w:r>
      <w:r>
        <w:rPr>
          <w:sz w:val="24"/>
          <w:szCs w:val="24"/>
        </w:rPr>
        <w:t xml:space="preserve">FirstEnergy Corp. v. Pub. Util. </w:t>
      </w:r>
      <w:r w:rsidRPr="00A17EAA">
        <w:rPr>
          <w:sz w:val="24"/>
          <w:szCs w:val="24"/>
        </w:rPr>
        <w:t>Comm., 95 Ohio St.3d 401 (2002</w:t>
      </w:r>
      <w:r>
        <w:rPr>
          <w:sz w:val="24"/>
          <w:szCs w:val="24"/>
        </w:rPr>
        <w:t xml:space="preserve">). The single issue in that case </w:t>
      </w:r>
      <w:r w:rsidRPr="00A17EAA">
        <w:rPr>
          <w:sz w:val="24"/>
          <w:szCs w:val="24"/>
        </w:rPr>
        <w:t>was whether the</w:t>
      </w:r>
      <w:r>
        <w:rPr>
          <w:sz w:val="24"/>
          <w:szCs w:val="24"/>
        </w:rPr>
        <w:t xml:space="preserve"> Commission acted unlawfully or </w:t>
      </w:r>
      <w:r w:rsidRPr="00A17EAA">
        <w:rPr>
          <w:sz w:val="24"/>
          <w:szCs w:val="24"/>
        </w:rPr>
        <w:t>unreasonably in ordering F</w:t>
      </w:r>
      <w:r>
        <w:rPr>
          <w:sz w:val="24"/>
          <w:szCs w:val="24"/>
        </w:rPr>
        <w:t xml:space="preserve">irstEnergy to modify a proposed </w:t>
      </w:r>
      <w:r w:rsidRPr="00A17EAA">
        <w:rPr>
          <w:sz w:val="24"/>
          <w:szCs w:val="24"/>
        </w:rPr>
        <w:t xml:space="preserve">net-energy metering rider </w:t>
      </w:r>
      <w:r>
        <w:rPr>
          <w:sz w:val="24"/>
          <w:szCs w:val="24"/>
        </w:rPr>
        <w:t xml:space="preserve">(August Rider) that FirstEnergy </w:t>
      </w:r>
      <w:r w:rsidRPr="00A17EAA">
        <w:rPr>
          <w:sz w:val="24"/>
          <w:szCs w:val="24"/>
        </w:rPr>
        <w:t>argued was consistent</w:t>
      </w:r>
      <w:r>
        <w:rPr>
          <w:sz w:val="24"/>
          <w:szCs w:val="24"/>
        </w:rPr>
        <w:t xml:space="preserve"> with R.C. Chapter 4928 and the </w:t>
      </w:r>
      <w:r w:rsidRPr="00A17EAA">
        <w:rPr>
          <w:sz w:val="24"/>
          <w:szCs w:val="24"/>
        </w:rPr>
        <w:t>Commission's rules. The Ohio Supreme Cou</w:t>
      </w:r>
      <w:r>
        <w:rPr>
          <w:sz w:val="24"/>
          <w:szCs w:val="24"/>
        </w:rPr>
        <w:t xml:space="preserve">rt held that the </w:t>
      </w:r>
      <w:r w:rsidRPr="00A17EAA">
        <w:rPr>
          <w:sz w:val="24"/>
          <w:szCs w:val="24"/>
        </w:rPr>
        <w:t>Commission acted unlawfu</w:t>
      </w:r>
      <w:r>
        <w:rPr>
          <w:sz w:val="24"/>
          <w:szCs w:val="24"/>
        </w:rPr>
        <w:t xml:space="preserve">lly or unreasonably in ordering </w:t>
      </w:r>
      <w:r w:rsidRPr="00A17EAA">
        <w:rPr>
          <w:sz w:val="24"/>
          <w:szCs w:val="24"/>
        </w:rPr>
        <w:t>modifications to Firs</w:t>
      </w:r>
      <w:r>
        <w:rPr>
          <w:sz w:val="24"/>
          <w:szCs w:val="24"/>
        </w:rPr>
        <w:t xml:space="preserve">tEnergy's August Rider when the </w:t>
      </w:r>
      <w:r w:rsidRPr="00A17EAA">
        <w:rPr>
          <w:sz w:val="24"/>
          <w:szCs w:val="24"/>
        </w:rPr>
        <w:t>proposed rider was alre</w:t>
      </w:r>
      <w:r>
        <w:rPr>
          <w:sz w:val="24"/>
          <w:szCs w:val="24"/>
        </w:rPr>
        <w:t xml:space="preserve">ady in compliance with the R.C. </w:t>
      </w:r>
      <w:r w:rsidRPr="00A17EAA">
        <w:rPr>
          <w:sz w:val="24"/>
          <w:szCs w:val="24"/>
        </w:rPr>
        <w:t xml:space="preserve">Chapter 4928 and the Ohio </w:t>
      </w:r>
      <w:r w:rsidRPr="00A17EAA">
        <w:rPr>
          <w:sz w:val="24"/>
          <w:szCs w:val="24"/>
        </w:rPr>
        <w:lastRenderedPageBreak/>
        <w:t>Ad</w:t>
      </w:r>
      <w:r>
        <w:rPr>
          <w:sz w:val="24"/>
          <w:szCs w:val="24"/>
        </w:rPr>
        <w:t xml:space="preserve">ministrative Code. Further, the </w:t>
      </w:r>
      <w:r w:rsidRPr="00A17EAA">
        <w:rPr>
          <w:sz w:val="24"/>
          <w:szCs w:val="24"/>
        </w:rPr>
        <w:t>Court provided direction on how the rules could have been</w:t>
      </w:r>
      <w:r>
        <w:rPr>
          <w:sz w:val="24"/>
          <w:szCs w:val="24"/>
        </w:rPr>
        <w:t xml:space="preserve"> </w:t>
      </w:r>
      <w:r w:rsidRPr="00A17EAA">
        <w:rPr>
          <w:sz w:val="24"/>
          <w:szCs w:val="24"/>
        </w:rPr>
        <w:t>drafted to violate the Revise</w:t>
      </w:r>
      <w:r>
        <w:rPr>
          <w:sz w:val="24"/>
          <w:szCs w:val="24"/>
        </w:rPr>
        <w:t xml:space="preserve">d Code; specifically, the Court </w:t>
      </w:r>
      <w:r w:rsidRPr="00A17EAA">
        <w:rPr>
          <w:sz w:val="24"/>
          <w:szCs w:val="24"/>
        </w:rPr>
        <w:t>indicated that the rules sho</w:t>
      </w:r>
      <w:r>
        <w:rPr>
          <w:sz w:val="24"/>
          <w:szCs w:val="24"/>
        </w:rPr>
        <w:t xml:space="preserve">uld not require the EDUs to pay </w:t>
      </w:r>
      <w:r w:rsidRPr="00A17EAA">
        <w:rPr>
          <w:sz w:val="24"/>
          <w:szCs w:val="24"/>
        </w:rPr>
        <w:t>customer-generators for distrib</w:t>
      </w:r>
      <w:r>
        <w:rPr>
          <w:sz w:val="24"/>
          <w:szCs w:val="24"/>
        </w:rPr>
        <w:t xml:space="preserve">ution or transmission service. </w:t>
      </w:r>
      <w:r w:rsidRPr="00A17EAA">
        <w:rPr>
          <w:sz w:val="24"/>
          <w:szCs w:val="24"/>
        </w:rPr>
        <w:t>The Ohio Supreme Court then re</w:t>
      </w:r>
      <w:r>
        <w:rPr>
          <w:sz w:val="24"/>
          <w:szCs w:val="24"/>
        </w:rPr>
        <w:t xml:space="preserve">manded the case to the </w:t>
      </w:r>
      <w:r w:rsidRPr="00A17EAA">
        <w:rPr>
          <w:sz w:val="24"/>
          <w:szCs w:val="24"/>
        </w:rPr>
        <w:t>Commission with instruction</w:t>
      </w:r>
      <w:r>
        <w:rPr>
          <w:sz w:val="24"/>
          <w:szCs w:val="24"/>
        </w:rPr>
        <w:t xml:space="preserve">s for the Commission to approve </w:t>
      </w:r>
      <w:r w:rsidRPr="00A17EAA">
        <w:rPr>
          <w:sz w:val="24"/>
          <w:szCs w:val="24"/>
        </w:rPr>
        <w:t>the August Rider without mod</w:t>
      </w:r>
      <w:r>
        <w:rPr>
          <w:sz w:val="24"/>
          <w:szCs w:val="24"/>
        </w:rPr>
        <w:t xml:space="preserve">ification. FirstEnergy Corp. v. </w:t>
      </w:r>
      <w:r w:rsidRPr="00A17EAA">
        <w:rPr>
          <w:sz w:val="24"/>
          <w:szCs w:val="24"/>
        </w:rPr>
        <w:t>Pub. Util. Comm., 9</w:t>
      </w:r>
      <w:r>
        <w:rPr>
          <w:sz w:val="24"/>
          <w:szCs w:val="24"/>
        </w:rPr>
        <w:t>5 Ohio St.3d 401 (2002) at ¶19.</w:t>
      </w:r>
    </w:p>
    <w:p w:rsidR="00A17EAA" w:rsidRDefault="00A17EAA" w:rsidP="00C94607">
      <w:pPr>
        <w:autoSpaceDE w:val="0"/>
        <w:autoSpaceDN w:val="0"/>
        <w:adjustRightInd w:val="0"/>
        <w:spacing w:after="120" w:line="240" w:lineRule="auto"/>
        <w:ind w:left="720" w:right="720"/>
        <w:jc w:val="both"/>
        <w:rPr>
          <w:sz w:val="24"/>
          <w:szCs w:val="24"/>
        </w:rPr>
      </w:pPr>
      <w:r w:rsidRPr="00A17EAA">
        <w:rPr>
          <w:sz w:val="24"/>
          <w:szCs w:val="24"/>
        </w:rPr>
        <w:t>We find no merit to the argume</w:t>
      </w:r>
      <w:r>
        <w:rPr>
          <w:sz w:val="24"/>
          <w:szCs w:val="24"/>
        </w:rPr>
        <w:t xml:space="preserve">nt proposed by FirstEnergy that </w:t>
      </w:r>
      <w:r w:rsidRPr="00A17EAA">
        <w:rPr>
          <w:sz w:val="24"/>
          <w:szCs w:val="24"/>
        </w:rPr>
        <w:t>the only way the rules c</w:t>
      </w:r>
      <w:r>
        <w:rPr>
          <w:sz w:val="24"/>
          <w:szCs w:val="24"/>
        </w:rPr>
        <w:t xml:space="preserve">an comply with the Ohio Supreme </w:t>
      </w:r>
      <w:r w:rsidRPr="00A17EAA">
        <w:rPr>
          <w:sz w:val="24"/>
          <w:szCs w:val="24"/>
        </w:rPr>
        <w:t>Court's holding is to provide a</w:t>
      </w:r>
      <w:r>
        <w:rPr>
          <w:sz w:val="24"/>
          <w:szCs w:val="24"/>
        </w:rPr>
        <w:t xml:space="preserve">n energy-only credit for excess </w:t>
      </w:r>
      <w:r w:rsidRPr="00A17EAA">
        <w:rPr>
          <w:sz w:val="24"/>
          <w:szCs w:val="24"/>
        </w:rPr>
        <w:t xml:space="preserve">generation. We recognize </w:t>
      </w:r>
      <w:r>
        <w:rPr>
          <w:sz w:val="24"/>
          <w:szCs w:val="24"/>
        </w:rPr>
        <w:t xml:space="preserve">that customer-generators do not </w:t>
      </w:r>
      <w:r w:rsidRPr="00A17EAA">
        <w:rPr>
          <w:sz w:val="24"/>
          <w:szCs w:val="24"/>
        </w:rPr>
        <w:t>provide a distribution or trans</w:t>
      </w:r>
      <w:r>
        <w:rPr>
          <w:sz w:val="24"/>
          <w:szCs w:val="24"/>
        </w:rPr>
        <w:t xml:space="preserve">mission service to the EDUs, as </w:t>
      </w:r>
      <w:r w:rsidRPr="00A17EAA">
        <w:rPr>
          <w:sz w:val="24"/>
          <w:szCs w:val="24"/>
        </w:rPr>
        <w:t>the Court indicated; the</w:t>
      </w:r>
      <w:r>
        <w:rPr>
          <w:sz w:val="24"/>
          <w:szCs w:val="24"/>
        </w:rPr>
        <w:t xml:space="preserve">refore, we did not adopt a rule </w:t>
      </w:r>
      <w:r w:rsidRPr="00A17EAA">
        <w:rPr>
          <w:sz w:val="24"/>
          <w:szCs w:val="24"/>
        </w:rPr>
        <w:t>requiring that custome</w:t>
      </w:r>
      <w:r>
        <w:rPr>
          <w:sz w:val="24"/>
          <w:szCs w:val="24"/>
        </w:rPr>
        <w:t xml:space="preserve">r-generators be compensated for </w:t>
      </w:r>
      <w:r w:rsidRPr="00A17EAA">
        <w:rPr>
          <w:sz w:val="24"/>
          <w:szCs w:val="24"/>
        </w:rPr>
        <w:t>distribution or transmission ser</w:t>
      </w:r>
      <w:r>
        <w:rPr>
          <w:sz w:val="24"/>
          <w:szCs w:val="24"/>
        </w:rPr>
        <w:t xml:space="preserve">vice. FirstEnergy Corp. v. Pub. </w:t>
      </w:r>
      <w:r w:rsidRPr="00A17EAA">
        <w:rPr>
          <w:sz w:val="24"/>
          <w:szCs w:val="24"/>
        </w:rPr>
        <w:t>Util Comm., 95 Ohio St</w:t>
      </w:r>
      <w:r>
        <w:rPr>
          <w:sz w:val="24"/>
          <w:szCs w:val="24"/>
        </w:rPr>
        <w:t xml:space="preserve">.3d 401 (2002). Under the newly </w:t>
      </w:r>
      <w:r w:rsidRPr="00A17EAA">
        <w:rPr>
          <w:sz w:val="24"/>
          <w:szCs w:val="24"/>
        </w:rPr>
        <w:t>adopted Ohio Adm.Code 4901:l-10-28(B)(9)(c), c</w:t>
      </w:r>
      <w:r>
        <w:rPr>
          <w:sz w:val="24"/>
          <w:szCs w:val="24"/>
        </w:rPr>
        <w:t>ustomer</w:t>
      </w:r>
      <w:r w:rsidR="00CF47B9">
        <w:rPr>
          <w:sz w:val="24"/>
          <w:szCs w:val="24"/>
        </w:rPr>
        <w:t xml:space="preserve"> </w:t>
      </w:r>
      <w:r>
        <w:rPr>
          <w:sz w:val="24"/>
          <w:szCs w:val="24"/>
        </w:rPr>
        <w:t xml:space="preserve">generators </w:t>
      </w:r>
      <w:r w:rsidRPr="00A17EAA">
        <w:rPr>
          <w:sz w:val="24"/>
          <w:szCs w:val="24"/>
        </w:rPr>
        <w:t>will still pay distrib</w:t>
      </w:r>
      <w:r>
        <w:rPr>
          <w:sz w:val="24"/>
          <w:szCs w:val="24"/>
        </w:rPr>
        <w:t xml:space="preserve">ution and transmission charges, </w:t>
      </w:r>
      <w:r w:rsidRPr="00A17EAA">
        <w:rPr>
          <w:sz w:val="24"/>
          <w:szCs w:val="24"/>
        </w:rPr>
        <w:t xml:space="preserve">as well as other nonbypassable </w:t>
      </w:r>
      <w:r>
        <w:rPr>
          <w:sz w:val="24"/>
          <w:szCs w:val="24"/>
        </w:rPr>
        <w:t xml:space="preserve">charges, in compliance with the </w:t>
      </w:r>
      <w:r w:rsidRPr="00A17EAA">
        <w:rPr>
          <w:sz w:val="24"/>
          <w:szCs w:val="24"/>
        </w:rPr>
        <w:t xml:space="preserve">Revised Code and the </w:t>
      </w:r>
      <w:r>
        <w:rPr>
          <w:sz w:val="24"/>
          <w:szCs w:val="24"/>
        </w:rPr>
        <w:t xml:space="preserve">Ohio Supreme Court's holding in </w:t>
      </w:r>
      <w:r w:rsidRPr="00A17EAA">
        <w:rPr>
          <w:sz w:val="24"/>
          <w:szCs w:val="24"/>
        </w:rPr>
        <w:t xml:space="preserve">FirstEnergy Corp. Under </w:t>
      </w:r>
      <w:r>
        <w:rPr>
          <w:sz w:val="24"/>
          <w:szCs w:val="24"/>
        </w:rPr>
        <w:t xml:space="preserve">the newly adopted Ohio Adm.Code </w:t>
      </w:r>
      <w:r w:rsidRPr="00A17EAA">
        <w:rPr>
          <w:sz w:val="24"/>
          <w:szCs w:val="24"/>
        </w:rPr>
        <w:t>4901:1-10-28, customer-gene</w:t>
      </w:r>
      <w:r>
        <w:rPr>
          <w:sz w:val="24"/>
          <w:szCs w:val="24"/>
        </w:rPr>
        <w:t xml:space="preserve">rators will still be billed for </w:t>
      </w:r>
      <w:r w:rsidRPr="00A17EAA">
        <w:rPr>
          <w:sz w:val="24"/>
          <w:szCs w:val="24"/>
        </w:rPr>
        <w:t xml:space="preserve">distribution and transmission </w:t>
      </w:r>
      <w:r>
        <w:rPr>
          <w:sz w:val="24"/>
          <w:szCs w:val="24"/>
        </w:rPr>
        <w:t xml:space="preserve">service, and will still pay their share </w:t>
      </w:r>
      <w:r w:rsidRPr="00A17EAA">
        <w:rPr>
          <w:sz w:val="24"/>
          <w:szCs w:val="24"/>
        </w:rPr>
        <w:t xml:space="preserve">of non-bypassable riders, </w:t>
      </w:r>
      <w:r>
        <w:rPr>
          <w:sz w:val="24"/>
          <w:szCs w:val="24"/>
        </w:rPr>
        <w:t xml:space="preserve">even if their credit for excess </w:t>
      </w:r>
      <w:r w:rsidRPr="00A17EAA">
        <w:rPr>
          <w:sz w:val="24"/>
          <w:szCs w:val="24"/>
        </w:rPr>
        <w:t>generation is applied to th</w:t>
      </w:r>
      <w:r>
        <w:rPr>
          <w:sz w:val="24"/>
          <w:szCs w:val="24"/>
        </w:rPr>
        <w:t xml:space="preserve">eir total bill pursuant to R.C. </w:t>
      </w:r>
      <w:r w:rsidRPr="00A17EAA">
        <w:rPr>
          <w:sz w:val="24"/>
          <w:szCs w:val="24"/>
        </w:rPr>
        <w:t>4928.67(B)(1</w:t>
      </w:r>
      <w:r>
        <w:rPr>
          <w:sz w:val="24"/>
          <w:szCs w:val="24"/>
        </w:rPr>
        <w:t>)(b).</w:t>
      </w:r>
      <w:r w:rsidR="00890E3F">
        <w:rPr>
          <w:rStyle w:val="FootnoteReference"/>
          <w:sz w:val="24"/>
          <w:szCs w:val="24"/>
        </w:rPr>
        <w:footnoteReference w:id="7"/>
      </w:r>
    </w:p>
    <w:p w:rsidR="00BC39C9" w:rsidRDefault="00AF50BB" w:rsidP="00C94607">
      <w:pPr>
        <w:autoSpaceDE w:val="0"/>
        <w:autoSpaceDN w:val="0"/>
        <w:adjustRightInd w:val="0"/>
        <w:spacing w:after="120" w:line="480" w:lineRule="auto"/>
        <w:jc w:val="both"/>
        <w:rPr>
          <w:sz w:val="24"/>
          <w:szCs w:val="24"/>
        </w:rPr>
      </w:pPr>
      <w:r>
        <w:rPr>
          <w:sz w:val="24"/>
          <w:szCs w:val="24"/>
        </w:rPr>
        <w:t xml:space="preserve">Despite the </w:t>
      </w:r>
      <w:r w:rsidR="00781C34">
        <w:rPr>
          <w:sz w:val="24"/>
          <w:szCs w:val="24"/>
        </w:rPr>
        <w:t>Commission’s well-reasoned prior Entries</w:t>
      </w:r>
      <w:r>
        <w:rPr>
          <w:sz w:val="24"/>
          <w:szCs w:val="24"/>
        </w:rPr>
        <w:t>, FirstEnergy</w:t>
      </w:r>
      <w:r w:rsidR="00CF47B9">
        <w:rPr>
          <w:sz w:val="24"/>
          <w:szCs w:val="24"/>
        </w:rPr>
        <w:t xml:space="preserve"> and AEP</w:t>
      </w:r>
      <w:r>
        <w:rPr>
          <w:i/>
          <w:sz w:val="24"/>
          <w:szCs w:val="24"/>
        </w:rPr>
        <w:t xml:space="preserve"> again </w:t>
      </w:r>
      <w:r w:rsidR="00CF47B9">
        <w:rPr>
          <w:sz w:val="24"/>
          <w:szCs w:val="24"/>
        </w:rPr>
        <w:t>ask</w:t>
      </w:r>
      <w:r>
        <w:rPr>
          <w:sz w:val="24"/>
          <w:szCs w:val="24"/>
        </w:rPr>
        <w:t xml:space="preserve"> the Commission </w:t>
      </w:r>
      <w:r w:rsidR="00781C34">
        <w:rPr>
          <w:sz w:val="24"/>
          <w:szCs w:val="24"/>
        </w:rPr>
        <w:t>to limit net metering compensation to the energy portion of the SSO rate</w:t>
      </w:r>
      <w:r>
        <w:rPr>
          <w:sz w:val="24"/>
          <w:szCs w:val="24"/>
        </w:rPr>
        <w:t>.</w:t>
      </w:r>
      <w:r w:rsidR="00781C34">
        <w:rPr>
          <w:sz w:val="24"/>
          <w:szCs w:val="24"/>
        </w:rPr>
        <w:t xml:space="preserve"> </w:t>
      </w:r>
      <w:r w:rsidR="000C10A1">
        <w:rPr>
          <w:sz w:val="24"/>
          <w:szCs w:val="24"/>
        </w:rPr>
        <w:t xml:space="preserve"> The Commission has already addressed their arguments at length; the Commission should not indulge AEP and FirstEnergy further, especially given that they have entered into stipulations that require them to remove barriers to developing distributed generation.</w:t>
      </w:r>
      <w:r w:rsidR="003247C9">
        <w:rPr>
          <w:rStyle w:val="FootnoteReference"/>
          <w:sz w:val="24"/>
          <w:szCs w:val="24"/>
        </w:rPr>
        <w:footnoteReference w:id="8"/>
      </w:r>
      <w:r w:rsidR="00BC39C9">
        <w:rPr>
          <w:sz w:val="24"/>
          <w:szCs w:val="24"/>
        </w:rPr>
        <w:t xml:space="preserve">   </w:t>
      </w:r>
    </w:p>
    <w:p w:rsidR="00CF47B9" w:rsidRDefault="00CF47B9" w:rsidP="00C94607">
      <w:pPr>
        <w:pStyle w:val="ListParagraph"/>
        <w:numPr>
          <w:ilvl w:val="0"/>
          <w:numId w:val="6"/>
        </w:numPr>
        <w:autoSpaceDE w:val="0"/>
        <w:autoSpaceDN w:val="0"/>
        <w:adjustRightInd w:val="0"/>
        <w:spacing w:after="120" w:line="240" w:lineRule="auto"/>
        <w:jc w:val="both"/>
        <w:rPr>
          <w:b/>
          <w:sz w:val="24"/>
          <w:szCs w:val="24"/>
        </w:rPr>
      </w:pPr>
      <w:r w:rsidRPr="00CF47B9">
        <w:rPr>
          <w:b/>
          <w:sz w:val="24"/>
          <w:szCs w:val="24"/>
        </w:rPr>
        <w:lastRenderedPageBreak/>
        <w:t>The Commission should not reduce the size of a micro</w:t>
      </w:r>
      <w:r>
        <w:rPr>
          <w:b/>
          <w:sz w:val="24"/>
          <w:szCs w:val="24"/>
        </w:rPr>
        <w:t xml:space="preserve"> turbine eli</w:t>
      </w:r>
      <w:r w:rsidRPr="00CF47B9">
        <w:rPr>
          <w:b/>
          <w:sz w:val="24"/>
          <w:szCs w:val="24"/>
        </w:rPr>
        <w:t xml:space="preserve">gible for net metering </w:t>
      </w:r>
    </w:p>
    <w:p w:rsidR="005A19B5" w:rsidRDefault="005A19B5" w:rsidP="00C94607">
      <w:pPr>
        <w:spacing w:after="120" w:line="480" w:lineRule="auto"/>
        <w:ind w:firstLine="720"/>
        <w:jc w:val="both"/>
        <w:rPr>
          <w:sz w:val="24"/>
          <w:szCs w:val="24"/>
        </w:rPr>
      </w:pPr>
      <w:r>
        <w:rPr>
          <w:sz w:val="24"/>
          <w:szCs w:val="24"/>
        </w:rPr>
        <w:t>FirstEnergy recommends that the Commission</w:t>
      </w:r>
      <w:r w:rsidR="00CF47B9" w:rsidRPr="00DD56E8">
        <w:rPr>
          <w:sz w:val="24"/>
          <w:szCs w:val="24"/>
        </w:rPr>
        <w:t xml:space="preserve"> </w:t>
      </w:r>
      <w:r w:rsidR="00DD56E8">
        <w:rPr>
          <w:sz w:val="24"/>
          <w:szCs w:val="24"/>
        </w:rPr>
        <w:t>reduce the proposed 2 megawatt</w:t>
      </w:r>
      <w:r w:rsidR="00CF47B9" w:rsidRPr="00DD56E8">
        <w:rPr>
          <w:sz w:val="24"/>
          <w:szCs w:val="24"/>
        </w:rPr>
        <w:t xml:space="preserve"> definition of micro turbine to a combustion turbi</w:t>
      </w:r>
      <w:r w:rsidR="00DD56E8">
        <w:rPr>
          <w:sz w:val="24"/>
          <w:szCs w:val="24"/>
        </w:rPr>
        <w:t xml:space="preserve">ne of a threshold </w:t>
      </w:r>
      <w:r>
        <w:rPr>
          <w:sz w:val="24"/>
          <w:szCs w:val="24"/>
        </w:rPr>
        <w:t>size of 500 kw or smaller</w:t>
      </w:r>
      <w:r w:rsidR="00CF47B9" w:rsidRPr="00DD56E8">
        <w:rPr>
          <w:sz w:val="24"/>
          <w:szCs w:val="24"/>
        </w:rPr>
        <w:t>.</w:t>
      </w:r>
      <w:r w:rsidR="00890E3F">
        <w:rPr>
          <w:rStyle w:val="FootnoteReference"/>
          <w:sz w:val="24"/>
          <w:szCs w:val="24"/>
        </w:rPr>
        <w:footnoteReference w:id="9"/>
      </w:r>
      <w:r w:rsidR="00DD56E8">
        <w:rPr>
          <w:sz w:val="24"/>
          <w:szCs w:val="24"/>
        </w:rPr>
        <w:t xml:space="preserve">  FirstEnergy claims</w:t>
      </w:r>
      <w:r>
        <w:rPr>
          <w:sz w:val="24"/>
          <w:szCs w:val="24"/>
        </w:rPr>
        <w:t xml:space="preserve"> that its proposed definition is</w:t>
      </w:r>
      <w:r w:rsidR="00DD56E8">
        <w:rPr>
          <w:sz w:val="24"/>
          <w:szCs w:val="24"/>
        </w:rPr>
        <w:t xml:space="preserve"> supported by the language of R.C. 4928.01(A)(31), that allegedly distinguishes between a microturbine and “other types of combustion turbines.”  FirstEnergy further claims that industry standards support its proposed size reduction, though it fails to identify </w:t>
      </w:r>
      <w:r w:rsidR="00577E6C">
        <w:rPr>
          <w:sz w:val="24"/>
          <w:szCs w:val="24"/>
        </w:rPr>
        <w:t>any standard limiting a microturbine to smaller than 250 kilowatts.</w:t>
      </w:r>
      <w:r>
        <w:rPr>
          <w:sz w:val="24"/>
          <w:szCs w:val="24"/>
        </w:rPr>
        <w:t xml:space="preserve">  IGS recommends that the Commission reject FirstEnergy’s proposed modification.</w:t>
      </w:r>
    </w:p>
    <w:p w:rsidR="005A19B5" w:rsidRDefault="005A19B5" w:rsidP="00C94607">
      <w:pPr>
        <w:spacing w:after="120" w:line="480" w:lineRule="auto"/>
        <w:ind w:firstLine="720"/>
        <w:jc w:val="both"/>
        <w:rPr>
          <w:sz w:val="24"/>
          <w:szCs w:val="24"/>
        </w:rPr>
      </w:pPr>
      <w:r>
        <w:rPr>
          <w:sz w:val="24"/>
          <w:szCs w:val="24"/>
        </w:rPr>
        <w:t>Initially, FirstEnergy incorrectly asserts that the language of R.C. 4928.01(A)(31) su</w:t>
      </w:r>
      <w:r w:rsidRPr="005A19B5">
        <w:rPr>
          <w:sz w:val="24"/>
          <w:szCs w:val="24"/>
        </w:rPr>
        <w:t xml:space="preserve">pports its proposed limited definition of microturbine.  </w:t>
      </w:r>
      <w:r w:rsidR="0044330F">
        <w:rPr>
          <w:sz w:val="24"/>
          <w:szCs w:val="24"/>
        </w:rPr>
        <w:t xml:space="preserve">That section contains the </w:t>
      </w:r>
      <w:r w:rsidR="0044330F">
        <w:rPr>
          <w:i/>
          <w:sz w:val="24"/>
          <w:szCs w:val="24"/>
        </w:rPr>
        <w:t xml:space="preserve">only </w:t>
      </w:r>
      <w:r w:rsidR="0044330F">
        <w:rPr>
          <w:sz w:val="24"/>
          <w:szCs w:val="24"/>
        </w:rPr>
        <w:t>reference to microturbine in all of the Revised Code:</w:t>
      </w:r>
    </w:p>
    <w:p w:rsidR="005A19B5" w:rsidRPr="005A19B5" w:rsidRDefault="00C94607" w:rsidP="00C94607">
      <w:pPr>
        <w:spacing w:after="120"/>
        <w:ind w:left="720" w:right="720"/>
        <w:jc w:val="both"/>
        <w:rPr>
          <w:rFonts w:eastAsia="Times New Roman"/>
          <w:color w:val="auto"/>
          <w:sz w:val="24"/>
          <w:szCs w:val="24"/>
        </w:rPr>
      </w:pPr>
      <w:r>
        <w:rPr>
          <w:rFonts w:eastAsia="Times New Roman"/>
          <w:color w:val="auto"/>
          <w:sz w:val="24"/>
          <w:szCs w:val="24"/>
        </w:rPr>
        <w:t>“</w:t>
      </w:r>
      <w:r w:rsidR="005A19B5" w:rsidRPr="005A19B5">
        <w:rPr>
          <w:rFonts w:eastAsia="Times New Roman"/>
          <w:color w:val="auto"/>
          <w:sz w:val="24"/>
          <w:szCs w:val="24"/>
        </w:rPr>
        <w:t>Net metering system" means a facility for the production of electrical energy that does all of the following:</w:t>
      </w:r>
    </w:p>
    <w:p w:rsidR="005A19B5" w:rsidRPr="005A19B5" w:rsidRDefault="005A19B5" w:rsidP="00C94607">
      <w:pPr>
        <w:pStyle w:val="ListParagraph"/>
        <w:numPr>
          <w:ilvl w:val="0"/>
          <w:numId w:val="7"/>
        </w:numPr>
        <w:spacing w:after="120" w:line="240" w:lineRule="auto"/>
        <w:ind w:right="720"/>
        <w:jc w:val="both"/>
        <w:rPr>
          <w:rFonts w:eastAsia="Times New Roman"/>
          <w:color w:val="auto"/>
          <w:sz w:val="24"/>
          <w:szCs w:val="24"/>
        </w:rPr>
      </w:pPr>
      <w:r w:rsidRPr="005A19B5">
        <w:rPr>
          <w:rFonts w:eastAsia="Times New Roman"/>
          <w:color w:val="auto"/>
          <w:sz w:val="24"/>
          <w:szCs w:val="24"/>
        </w:rPr>
        <w:t>Uses as its fuel either solar, wind, biomass, landfill gas, or hydropower, or uses a microturbine or a fuel cell.</w:t>
      </w:r>
    </w:p>
    <w:p w:rsidR="005A19B5" w:rsidRDefault="0044330F" w:rsidP="00C94607">
      <w:pPr>
        <w:spacing w:after="120" w:line="480" w:lineRule="auto"/>
        <w:jc w:val="both"/>
        <w:rPr>
          <w:rFonts w:eastAsia="Times New Roman"/>
          <w:color w:val="auto"/>
          <w:sz w:val="24"/>
          <w:szCs w:val="24"/>
        </w:rPr>
      </w:pPr>
      <w:r>
        <w:rPr>
          <w:rFonts w:eastAsia="Times New Roman"/>
          <w:color w:val="auto"/>
          <w:sz w:val="24"/>
          <w:szCs w:val="24"/>
        </w:rPr>
        <w:t>Thus, microturbine is not specifically defined.  Given the Gen</w:t>
      </w:r>
      <w:r w:rsidR="00962193">
        <w:rPr>
          <w:rFonts w:eastAsia="Times New Roman"/>
          <w:color w:val="auto"/>
          <w:sz w:val="24"/>
          <w:szCs w:val="24"/>
        </w:rPr>
        <w:t xml:space="preserve">eral Assembly did not </w:t>
      </w:r>
      <w:r>
        <w:rPr>
          <w:rFonts w:eastAsia="Times New Roman"/>
          <w:color w:val="auto"/>
          <w:sz w:val="24"/>
          <w:szCs w:val="24"/>
        </w:rPr>
        <w:t>specific</w:t>
      </w:r>
      <w:r w:rsidR="00962193">
        <w:rPr>
          <w:rFonts w:eastAsia="Times New Roman"/>
          <w:color w:val="auto"/>
          <w:sz w:val="24"/>
          <w:szCs w:val="24"/>
        </w:rPr>
        <w:t>ally codify the definition of microturbine</w:t>
      </w:r>
      <w:r>
        <w:rPr>
          <w:rFonts w:eastAsia="Times New Roman"/>
          <w:color w:val="auto"/>
          <w:sz w:val="24"/>
          <w:szCs w:val="24"/>
        </w:rPr>
        <w:t>, the Commission has wide latitude to rely upon its own expertise, judgment, and state policy</w:t>
      </w:r>
      <w:r w:rsidR="00962193">
        <w:rPr>
          <w:rFonts w:eastAsia="Times New Roman"/>
          <w:color w:val="auto"/>
          <w:sz w:val="24"/>
          <w:szCs w:val="24"/>
        </w:rPr>
        <w:t xml:space="preserve"> to define it in its own rules.  Because state policy favors the use of net metering to facilitate the development of distributed generation resources, it is reasonable and appropriate to adopt an expansive definition of microturbine.  </w:t>
      </w:r>
    </w:p>
    <w:p w:rsidR="0018551F" w:rsidRDefault="00E23091" w:rsidP="00C94607">
      <w:pPr>
        <w:pStyle w:val="ListParagraph"/>
        <w:numPr>
          <w:ilvl w:val="0"/>
          <w:numId w:val="6"/>
        </w:numPr>
        <w:spacing w:after="120" w:line="240" w:lineRule="auto"/>
        <w:jc w:val="both"/>
        <w:rPr>
          <w:rFonts w:eastAsia="Times New Roman"/>
          <w:b/>
          <w:color w:val="auto"/>
          <w:sz w:val="24"/>
          <w:szCs w:val="24"/>
        </w:rPr>
      </w:pPr>
      <w:r>
        <w:rPr>
          <w:rFonts w:eastAsia="Times New Roman"/>
          <w:b/>
          <w:color w:val="auto"/>
          <w:sz w:val="24"/>
          <w:szCs w:val="24"/>
        </w:rPr>
        <w:t>The 120% cap is</w:t>
      </w:r>
      <w:r w:rsidR="0018551F">
        <w:rPr>
          <w:rFonts w:eastAsia="Times New Roman"/>
          <w:b/>
          <w:color w:val="auto"/>
          <w:sz w:val="24"/>
          <w:szCs w:val="24"/>
        </w:rPr>
        <w:t xml:space="preserve"> appropriate</w:t>
      </w:r>
      <w:r w:rsidR="00C94607">
        <w:rPr>
          <w:rFonts w:eastAsia="Times New Roman"/>
          <w:b/>
          <w:color w:val="auto"/>
          <w:sz w:val="24"/>
          <w:szCs w:val="24"/>
        </w:rPr>
        <w:t xml:space="preserve"> and should be expanded for resources that are coupled with battery technology</w:t>
      </w:r>
    </w:p>
    <w:p w:rsidR="00E23091" w:rsidRDefault="00C94607" w:rsidP="00C94607">
      <w:pPr>
        <w:spacing w:after="120" w:line="480" w:lineRule="auto"/>
        <w:ind w:firstLine="720"/>
        <w:jc w:val="both"/>
        <w:rPr>
          <w:rFonts w:eastAsia="Times New Roman"/>
          <w:color w:val="auto"/>
          <w:sz w:val="24"/>
          <w:szCs w:val="24"/>
        </w:rPr>
      </w:pPr>
      <w:r>
        <w:rPr>
          <w:rFonts w:eastAsia="Times New Roman"/>
          <w:color w:val="auto"/>
          <w:sz w:val="24"/>
          <w:szCs w:val="24"/>
        </w:rPr>
        <w:lastRenderedPageBreak/>
        <w:t xml:space="preserve">Each of the electric distribution utilities </w:t>
      </w:r>
      <w:r w:rsidR="00E23091">
        <w:rPr>
          <w:rFonts w:eastAsia="Times New Roman"/>
          <w:color w:val="auto"/>
          <w:sz w:val="24"/>
          <w:szCs w:val="24"/>
        </w:rPr>
        <w:t xml:space="preserve">recommend that the Commission modify the proposed rules to require that a customer-generator not size their facilities to </w:t>
      </w:r>
      <w:r w:rsidR="00CD02E7">
        <w:rPr>
          <w:rFonts w:eastAsia="Times New Roman"/>
          <w:color w:val="auto"/>
          <w:sz w:val="24"/>
          <w:szCs w:val="24"/>
        </w:rPr>
        <w:t xml:space="preserve">produce </w:t>
      </w:r>
      <w:r w:rsidR="00E23091">
        <w:rPr>
          <w:rFonts w:eastAsia="Times New Roman"/>
          <w:color w:val="auto"/>
          <w:sz w:val="24"/>
          <w:szCs w:val="24"/>
        </w:rPr>
        <w:t>more than 100% of their total energy usage.</w:t>
      </w:r>
      <w:r>
        <w:rPr>
          <w:rStyle w:val="FootnoteReference"/>
          <w:rFonts w:eastAsia="Times New Roman"/>
          <w:color w:val="auto"/>
          <w:sz w:val="24"/>
          <w:szCs w:val="24"/>
        </w:rPr>
        <w:footnoteReference w:id="10"/>
      </w:r>
      <w:r w:rsidR="004B6A22">
        <w:rPr>
          <w:rFonts w:eastAsia="Times New Roman"/>
          <w:color w:val="auto"/>
          <w:sz w:val="24"/>
          <w:szCs w:val="24"/>
        </w:rPr>
        <w:t xml:space="preserve">  Duke further recommends that the limitation apply to both the customer’s energy and capacity requirements.</w:t>
      </w:r>
      <w:r w:rsidR="00195E6B">
        <w:rPr>
          <w:rFonts w:eastAsia="Times New Roman"/>
          <w:color w:val="auto"/>
          <w:sz w:val="24"/>
          <w:szCs w:val="24"/>
        </w:rPr>
        <w:t xml:space="preserve">  Finally, Duke and DP&amp;L recommend that the Commission limit residential customer generation facilities to 10 kw.</w:t>
      </w:r>
      <w:r w:rsidR="004B6A22">
        <w:rPr>
          <w:rFonts w:eastAsia="Times New Roman"/>
          <w:color w:val="auto"/>
          <w:sz w:val="24"/>
          <w:szCs w:val="24"/>
        </w:rPr>
        <w:t xml:space="preserve">  Th</w:t>
      </w:r>
      <w:r w:rsidR="00031E4E">
        <w:rPr>
          <w:rFonts w:eastAsia="Times New Roman"/>
          <w:color w:val="auto"/>
          <w:sz w:val="24"/>
          <w:szCs w:val="24"/>
        </w:rPr>
        <w:t>e Commission should reject these modifications for several reasons</w:t>
      </w:r>
      <w:r w:rsidR="004B6A22">
        <w:rPr>
          <w:rFonts w:eastAsia="Times New Roman"/>
          <w:color w:val="auto"/>
          <w:sz w:val="24"/>
          <w:szCs w:val="24"/>
        </w:rPr>
        <w:t xml:space="preserve">. </w:t>
      </w:r>
    </w:p>
    <w:p w:rsidR="0012426E" w:rsidRDefault="004B6A22" w:rsidP="00C94607">
      <w:pPr>
        <w:spacing w:after="120" w:line="480" w:lineRule="auto"/>
        <w:jc w:val="both"/>
        <w:rPr>
          <w:rFonts w:eastAsia="Times New Roman"/>
          <w:color w:val="auto"/>
          <w:sz w:val="24"/>
          <w:szCs w:val="24"/>
        </w:rPr>
      </w:pPr>
      <w:r>
        <w:rPr>
          <w:rFonts w:eastAsia="Times New Roman"/>
          <w:color w:val="auto"/>
          <w:sz w:val="24"/>
          <w:szCs w:val="24"/>
        </w:rPr>
        <w:tab/>
        <w:t xml:space="preserve">Many distributed generation resources, such as solar, produce varying levels of generation output depending on weather conditions.  Thus, it may be appropriate to construct a distributed generation resource that is slightly larger than a customer’s total usage requirements to ensure it satisfies its intended purpose </w:t>
      </w:r>
      <w:r w:rsidR="00031E4E">
        <w:rPr>
          <w:rFonts w:eastAsia="Times New Roman"/>
          <w:color w:val="auto"/>
          <w:sz w:val="24"/>
          <w:szCs w:val="24"/>
        </w:rPr>
        <w:t xml:space="preserve">of offsetting customer usage </w:t>
      </w:r>
      <w:r>
        <w:rPr>
          <w:rFonts w:eastAsia="Times New Roman"/>
          <w:color w:val="auto"/>
          <w:sz w:val="24"/>
          <w:szCs w:val="24"/>
        </w:rPr>
        <w:t>in all types of weather.</w:t>
      </w:r>
      <w:r w:rsidR="0012426E">
        <w:rPr>
          <w:rFonts w:eastAsia="Times New Roman"/>
          <w:color w:val="auto"/>
          <w:sz w:val="24"/>
          <w:szCs w:val="24"/>
        </w:rPr>
        <w:t xml:space="preserve">  </w:t>
      </w:r>
    </w:p>
    <w:p w:rsidR="00D54A73" w:rsidRDefault="0012426E" w:rsidP="00C94607">
      <w:pPr>
        <w:spacing w:after="120" w:line="480" w:lineRule="auto"/>
        <w:jc w:val="both"/>
        <w:rPr>
          <w:rFonts w:eastAsia="Times New Roman"/>
          <w:color w:val="auto"/>
          <w:sz w:val="24"/>
          <w:szCs w:val="24"/>
        </w:rPr>
      </w:pPr>
      <w:r>
        <w:rPr>
          <w:rFonts w:eastAsia="Times New Roman"/>
          <w:color w:val="auto"/>
          <w:sz w:val="24"/>
          <w:szCs w:val="24"/>
        </w:rPr>
        <w:tab/>
        <w:t>Sizing distributed generation facilities larger than total customer usage may also enable the coupling of solar with battery technology. In so doing, a customer may reduce the necessity to take electricity from the grid in all hours regardless of the intermittency of the distributed generation resource technology the customer selects.  This type of efficient customer investment would reduce the total capacity and energy requirements of the grid and benefit all customers in the form of lower wholesale prices and avoided distribution infrastructure investment costs.  While this practice is not yet widespread, further technological advancement is expected in the near term.  The Commission should adopt forward thinking net metering rules that enable innovation rather than waiting until the next five year review.</w:t>
      </w:r>
      <w:r w:rsidR="00D54A73">
        <w:rPr>
          <w:rFonts w:eastAsia="Times New Roman"/>
          <w:color w:val="auto"/>
          <w:sz w:val="24"/>
          <w:szCs w:val="24"/>
        </w:rPr>
        <w:t xml:space="preserve">  </w:t>
      </w:r>
      <w:r w:rsidR="00D54A73" w:rsidRPr="00D54A73">
        <w:rPr>
          <w:rFonts w:eastAsia="Times New Roman"/>
          <w:color w:val="auto"/>
          <w:sz w:val="24"/>
          <w:szCs w:val="24"/>
        </w:rPr>
        <w:t xml:space="preserve">Indeed, the Commission should </w:t>
      </w:r>
      <w:r w:rsidR="00D54A73" w:rsidRPr="00D54A73">
        <w:rPr>
          <w:rFonts w:eastAsia="Times New Roman"/>
          <w:color w:val="auto"/>
          <w:sz w:val="24"/>
          <w:szCs w:val="24"/>
        </w:rPr>
        <w:lastRenderedPageBreak/>
        <w:t>consider allowing cu</w:t>
      </w:r>
      <w:r w:rsidR="001341D0">
        <w:rPr>
          <w:rFonts w:eastAsia="Times New Roman"/>
          <w:color w:val="auto"/>
          <w:sz w:val="24"/>
          <w:szCs w:val="24"/>
        </w:rPr>
        <w:t>stomers to size distributed generation</w:t>
      </w:r>
      <w:r w:rsidR="00D54A73" w:rsidRPr="00D54A73">
        <w:rPr>
          <w:rFonts w:eastAsia="Times New Roman"/>
          <w:color w:val="auto"/>
          <w:sz w:val="24"/>
          <w:szCs w:val="24"/>
        </w:rPr>
        <w:t xml:space="preserve"> larger than 120% of their total usage when such facilities are coupled with battery technology.  Such innovative technological synergies clearly fit within t</w:t>
      </w:r>
      <w:r w:rsidR="001341D0">
        <w:rPr>
          <w:rFonts w:eastAsia="Times New Roman"/>
          <w:color w:val="auto"/>
          <w:sz w:val="24"/>
          <w:szCs w:val="24"/>
        </w:rPr>
        <w:t>he statutory</w:t>
      </w:r>
      <w:r w:rsidR="00D54A73" w:rsidRPr="00D54A73">
        <w:rPr>
          <w:rFonts w:eastAsia="Times New Roman"/>
          <w:color w:val="auto"/>
          <w:sz w:val="24"/>
          <w:szCs w:val="24"/>
        </w:rPr>
        <w:t xml:space="preserve"> net metering</w:t>
      </w:r>
      <w:r w:rsidR="001341D0">
        <w:rPr>
          <w:rFonts w:eastAsia="Times New Roman"/>
          <w:color w:val="auto"/>
          <w:sz w:val="24"/>
          <w:szCs w:val="24"/>
        </w:rPr>
        <w:t xml:space="preserve"> criteria</w:t>
      </w:r>
      <w:r w:rsidR="00D54A73" w:rsidRPr="00D54A73">
        <w:rPr>
          <w:rFonts w:eastAsia="Times New Roman"/>
          <w:color w:val="auto"/>
          <w:sz w:val="24"/>
          <w:szCs w:val="24"/>
        </w:rPr>
        <w:t xml:space="preserve"> because they are “intended primarily to offset part or all of the customer-generator's requirements for electricity.”</w:t>
      </w:r>
      <w:r w:rsidR="00D54A73">
        <w:rPr>
          <w:rStyle w:val="FootnoteReference"/>
          <w:rFonts w:eastAsia="Times New Roman"/>
          <w:color w:val="auto"/>
          <w:sz w:val="24"/>
          <w:szCs w:val="24"/>
        </w:rPr>
        <w:footnoteReference w:id="11"/>
      </w:r>
      <w:r w:rsidR="00D54A73">
        <w:rPr>
          <w:rFonts w:eastAsia="Times New Roman"/>
          <w:color w:val="auto"/>
          <w:sz w:val="24"/>
          <w:szCs w:val="24"/>
        </w:rPr>
        <w:t xml:space="preserve"> </w:t>
      </w:r>
    </w:p>
    <w:p w:rsidR="004B6A22" w:rsidRDefault="004B6A22" w:rsidP="00C94607">
      <w:pPr>
        <w:spacing w:after="120" w:line="480" w:lineRule="auto"/>
        <w:jc w:val="both"/>
        <w:rPr>
          <w:rFonts w:eastAsia="Times New Roman"/>
          <w:color w:val="auto"/>
          <w:sz w:val="24"/>
          <w:szCs w:val="24"/>
        </w:rPr>
      </w:pPr>
      <w:r>
        <w:rPr>
          <w:rFonts w:eastAsia="Times New Roman"/>
          <w:color w:val="auto"/>
          <w:sz w:val="24"/>
          <w:szCs w:val="24"/>
        </w:rPr>
        <w:tab/>
        <w:t xml:space="preserve">Moreover, allowing a customer to size a distributed generation resource to be slightly larger than the </w:t>
      </w:r>
      <w:r w:rsidRPr="009F362E">
        <w:rPr>
          <w:rFonts w:eastAsia="Times New Roman"/>
          <w:color w:val="auto"/>
          <w:sz w:val="24"/>
          <w:szCs w:val="24"/>
        </w:rPr>
        <w:t xml:space="preserve">total usage requirements allows a customer to account for potential future growth.  It would be inefficient </w:t>
      </w:r>
      <w:r w:rsidR="00031E4E" w:rsidRPr="009F362E">
        <w:rPr>
          <w:rFonts w:eastAsia="Times New Roman"/>
          <w:color w:val="auto"/>
          <w:sz w:val="24"/>
          <w:szCs w:val="24"/>
        </w:rPr>
        <w:t>or potentially impossible for a</w:t>
      </w:r>
      <w:r w:rsidR="00EB5E11" w:rsidRPr="009F362E">
        <w:rPr>
          <w:rFonts w:eastAsia="Times New Roman"/>
          <w:color w:val="auto"/>
          <w:sz w:val="24"/>
          <w:szCs w:val="24"/>
        </w:rPr>
        <w:t xml:space="preserve"> customer to add </w:t>
      </w:r>
      <w:r w:rsidR="00031E4E" w:rsidRPr="009F362E">
        <w:rPr>
          <w:rFonts w:eastAsia="Times New Roman"/>
          <w:color w:val="auto"/>
          <w:sz w:val="24"/>
          <w:szCs w:val="24"/>
        </w:rPr>
        <w:t xml:space="preserve">on </w:t>
      </w:r>
      <w:r w:rsidR="00EB5E11" w:rsidRPr="009F362E">
        <w:rPr>
          <w:rFonts w:eastAsia="Times New Roman"/>
          <w:color w:val="auto"/>
          <w:sz w:val="24"/>
          <w:szCs w:val="24"/>
        </w:rPr>
        <w:t>to their d</w:t>
      </w:r>
      <w:r w:rsidR="00031E4E" w:rsidRPr="009F362E">
        <w:rPr>
          <w:rFonts w:eastAsia="Times New Roman"/>
          <w:color w:val="auto"/>
          <w:sz w:val="24"/>
          <w:szCs w:val="24"/>
        </w:rPr>
        <w:t>istributed generation resource</w:t>
      </w:r>
      <w:r w:rsidR="00EB5E11" w:rsidRPr="009F362E">
        <w:rPr>
          <w:rFonts w:eastAsia="Times New Roman"/>
          <w:color w:val="auto"/>
          <w:sz w:val="24"/>
          <w:szCs w:val="24"/>
        </w:rPr>
        <w:t xml:space="preserve"> in a piecemeal fashion only after</w:t>
      </w:r>
      <w:r w:rsidR="009F362E">
        <w:rPr>
          <w:rFonts w:eastAsia="Times New Roman"/>
          <w:color w:val="auto"/>
          <w:sz w:val="24"/>
          <w:szCs w:val="24"/>
        </w:rPr>
        <w:t xml:space="preserve"> their usage increases</w:t>
      </w:r>
      <w:r w:rsidR="00EB5E11" w:rsidRPr="009F362E">
        <w:rPr>
          <w:rFonts w:eastAsia="Times New Roman"/>
          <w:color w:val="auto"/>
          <w:sz w:val="24"/>
          <w:szCs w:val="24"/>
        </w:rPr>
        <w:t>.</w:t>
      </w:r>
    </w:p>
    <w:p w:rsidR="00CD02E7" w:rsidRDefault="00C63DA2" w:rsidP="00C94607">
      <w:pPr>
        <w:spacing w:after="120" w:line="480" w:lineRule="auto"/>
        <w:jc w:val="both"/>
        <w:rPr>
          <w:rFonts w:eastAsia="Times New Roman"/>
          <w:color w:val="auto"/>
          <w:sz w:val="24"/>
          <w:szCs w:val="24"/>
        </w:rPr>
      </w:pPr>
      <w:r>
        <w:rPr>
          <w:rFonts w:eastAsia="Times New Roman"/>
          <w:color w:val="auto"/>
          <w:sz w:val="24"/>
          <w:szCs w:val="24"/>
        </w:rPr>
        <w:tab/>
        <w:t>Duke provides no evidence to support its claim that it would threaten the integrity of the distribution system to allow customers to construct facilities greater than 100% of their usage or peak demand.</w:t>
      </w:r>
      <w:r w:rsidR="00031E4E">
        <w:rPr>
          <w:rFonts w:eastAsia="Times New Roman"/>
          <w:color w:val="auto"/>
          <w:sz w:val="24"/>
          <w:szCs w:val="24"/>
        </w:rPr>
        <w:t xml:space="preserve"> </w:t>
      </w:r>
      <w:r>
        <w:rPr>
          <w:rFonts w:eastAsia="Times New Roman"/>
          <w:color w:val="auto"/>
          <w:sz w:val="24"/>
          <w:szCs w:val="24"/>
        </w:rPr>
        <w:t xml:space="preserve">Duke’s assertion </w:t>
      </w:r>
      <w:r w:rsidR="002125C6">
        <w:rPr>
          <w:rFonts w:eastAsia="Times New Roman"/>
          <w:color w:val="auto"/>
          <w:sz w:val="24"/>
          <w:szCs w:val="24"/>
        </w:rPr>
        <w:t>is unreasonable on its face.  A customer’</w:t>
      </w:r>
      <w:r w:rsidR="00B954AA">
        <w:rPr>
          <w:rFonts w:eastAsia="Times New Roman"/>
          <w:color w:val="auto"/>
          <w:sz w:val="24"/>
          <w:szCs w:val="24"/>
        </w:rPr>
        <w:t>s peak demand</w:t>
      </w:r>
      <w:r w:rsidR="002125C6">
        <w:rPr>
          <w:rFonts w:eastAsia="Times New Roman"/>
          <w:color w:val="auto"/>
          <w:sz w:val="24"/>
          <w:szCs w:val="24"/>
        </w:rPr>
        <w:t xml:space="preserve"> </w:t>
      </w:r>
      <w:r w:rsidR="00B954AA">
        <w:rPr>
          <w:rFonts w:eastAsia="Times New Roman"/>
          <w:color w:val="auto"/>
          <w:sz w:val="24"/>
          <w:szCs w:val="24"/>
        </w:rPr>
        <w:t xml:space="preserve">may change </w:t>
      </w:r>
      <w:r w:rsidR="002125C6">
        <w:rPr>
          <w:rFonts w:eastAsia="Times New Roman"/>
          <w:color w:val="auto"/>
          <w:sz w:val="24"/>
          <w:szCs w:val="24"/>
        </w:rPr>
        <w:t>from year to year</w:t>
      </w:r>
      <w:r w:rsidR="00B954AA">
        <w:rPr>
          <w:rFonts w:eastAsia="Times New Roman"/>
          <w:color w:val="auto"/>
          <w:sz w:val="24"/>
          <w:szCs w:val="24"/>
        </w:rPr>
        <w:t xml:space="preserve"> depending on a number of different factors such as economic conditions.  It is not unusual for a customer’s peak demand to </w:t>
      </w:r>
      <w:r w:rsidR="003D7CEE">
        <w:rPr>
          <w:rFonts w:eastAsia="Times New Roman"/>
          <w:color w:val="auto"/>
          <w:sz w:val="24"/>
          <w:szCs w:val="24"/>
        </w:rPr>
        <w:t>increase or decrease by 20%.  Given that</w:t>
      </w:r>
      <w:r w:rsidR="00B954AA">
        <w:rPr>
          <w:rFonts w:eastAsia="Times New Roman"/>
          <w:color w:val="auto"/>
          <w:sz w:val="24"/>
          <w:szCs w:val="24"/>
        </w:rPr>
        <w:t xml:space="preserve"> the dist</w:t>
      </w:r>
      <w:r w:rsidR="003D7CEE">
        <w:rPr>
          <w:rFonts w:eastAsia="Times New Roman"/>
          <w:color w:val="auto"/>
          <w:sz w:val="24"/>
          <w:szCs w:val="24"/>
        </w:rPr>
        <w:t>ribution grid has historically maintained reliability at times when it is necessary to deliver additional electricity to a customer above and beyond historical usage requirements</w:t>
      </w:r>
      <w:r w:rsidR="00B954AA">
        <w:rPr>
          <w:rFonts w:eastAsia="Times New Roman"/>
          <w:color w:val="auto"/>
          <w:sz w:val="24"/>
          <w:szCs w:val="24"/>
        </w:rPr>
        <w:t>, there is no</w:t>
      </w:r>
      <w:r w:rsidR="00031E4E">
        <w:rPr>
          <w:rFonts w:eastAsia="Times New Roman"/>
          <w:color w:val="auto"/>
          <w:sz w:val="24"/>
          <w:szCs w:val="24"/>
        </w:rPr>
        <w:t xml:space="preserve"> reason why the grid</w:t>
      </w:r>
      <w:r w:rsidR="003D7CEE">
        <w:rPr>
          <w:rFonts w:eastAsia="Times New Roman"/>
          <w:color w:val="auto"/>
          <w:sz w:val="24"/>
          <w:szCs w:val="24"/>
        </w:rPr>
        <w:t xml:space="preserve"> cannot maintain reliability when the customer produces power back onto the grid</w:t>
      </w:r>
      <w:r w:rsidR="00B954AA">
        <w:rPr>
          <w:rFonts w:eastAsia="Times New Roman"/>
          <w:color w:val="auto"/>
          <w:sz w:val="24"/>
          <w:szCs w:val="24"/>
        </w:rPr>
        <w:t xml:space="preserve"> in a </w:t>
      </w:r>
      <w:r w:rsidR="003D7CEE">
        <w:rPr>
          <w:rFonts w:eastAsia="Times New Roman"/>
          <w:color w:val="auto"/>
          <w:sz w:val="24"/>
          <w:szCs w:val="24"/>
        </w:rPr>
        <w:t>similar volume.</w:t>
      </w:r>
      <w:r w:rsidR="00B954AA">
        <w:rPr>
          <w:rFonts w:eastAsia="Times New Roman"/>
          <w:color w:val="auto"/>
          <w:sz w:val="24"/>
          <w:szCs w:val="24"/>
        </w:rPr>
        <w:t xml:space="preserve">     </w:t>
      </w:r>
      <w:r w:rsidR="00EA6F68">
        <w:rPr>
          <w:rFonts w:eastAsia="Times New Roman"/>
          <w:color w:val="auto"/>
          <w:sz w:val="24"/>
          <w:szCs w:val="24"/>
        </w:rPr>
        <w:t xml:space="preserve"> </w:t>
      </w:r>
    </w:p>
    <w:p w:rsidR="00195E6B" w:rsidRDefault="00195E6B" w:rsidP="00C94607">
      <w:pPr>
        <w:spacing w:after="120" w:line="480" w:lineRule="auto"/>
        <w:jc w:val="both"/>
        <w:rPr>
          <w:rFonts w:eastAsia="Times New Roman"/>
          <w:color w:val="auto"/>
          <w:sz w:val="24"/>
          <w:szCs w:val="24"/>
        </w:rPr>
      </w:pPr>
      <w:r>
        <w:rPr>
          <w:rFonts w:eastAsia="Times New Roman"/>
          <w:color w:val="auto"/>
          <w:sz w:val="24"/>
          <w:szCs w:val="24"/>
        </w:rPr>
        <w:tab/>
        <w:t>Finally, there is no reason to limit the size of residential customer distributed generation resources to 10 kw.</w:t>
      </w:r>
      <w:r w:rsidR="00031E4E">
        <w:rPr>
          <w:rFonts w:eastAsia="Times New Roman"/>
          <w:color w:val="auto"/>
          <w:sz w:val="24"/>
          <w:szCs w:val="24"/>
        </w:rPr>
        <w:t xml:space="preserve">  Duke provides no evidentiary support for its proposed </w:t>
      </w:r>
      <w:r w:rsidR="00031E4E">
        <w:rPr>
          <w:rFonts w:eastAsia="Times New Roman"/>
          <w:color w:val="auto"/>
          <w:sz w:val="24"/>
          <w:szCs w:val="24"/>
        </w:rPr>
        <w:lastRenderedPageBreak/>
        <w:t>size limitation.  IGS believes that it should be rejected, given that industry participa</w:t>
      </w:r>
      <w:r w:rsidR="00336B5B">
        <w:rPr>
          <w:rFonts w:eastAsia="Times New Roman"/>
          <w:color w:val="auto"/>
          <w:sz w:val="24"/>
          <w:szCs w:val="24"/>
        </w:rPr>
        <w:t>nts</w:t>
      </w:r>
      <w:r w:rsidR="00031E4E">
        <w:rPr>
          <w:rFonts w:eastAsia="Times New Roman"/>
          <w:color w:val="auto"/>
          <w:sz w:val="24"/>
          <w:szCs w:val="24"/>
        </w:rPr>
        <w:t xml:space="preserve"> are currently</w:t>
      </w:r>
      <w:r>
        <w:rPr>
          <w:rFonts w:eastAsia="Times New Roman"/>
          <w:color w:val="auto"/>
          <w:sz w:val="24"/>
          <w:szCs w:val="24"/>
        </w:rPr>
        <w:t xml:space="preserve"> con</w:t>
      </w:r>
      <w:r w:rsidR="00031E4E">
        <w:rPr>
          <w:rFonts w:eastAsia="Times New Roman"/>
          <w:color w:val="auto"/>
          <w:sz w:val="24"/>
          <w:szCs w:val="24"/>
        </w:rPr>
        <w:t>structing</w:t>
      </w:r>
      <w:r>
        <w:rPr>
          <w:rFonts w:eastAsia="Times New Roman"/>
          <w:color w:val="auto"/>
          <w:sz w:val="24"/>
          <w:szCs w:val="24"/>
        </w:rPr>
        <w:t xml:space="preserve"> residential facilities above the size withou</w:t>
      </w:r>
      <w:r w:rsidRPr="009F362E">
        <w:rPr>
          <w:rFonts w:eastAsia="Times New Roman"/>
          <w:color w:val="auto"/>
          <w:sz w:val="24"/>
          <w:szCs w:val="24"/>
        </w:rPr>
        <w:t xml:space="preserve">t </w:t>
      </w:r>
      <w:r w:rsidR="009F362E" w:rsidRPr="009F362E">
        <w:rPr>
          <w:rFonts w:eastAsia="Times New Roman"/>
          <w:color w:val="auto"/>
          <w:sz w:val="24"/>
          <w:szCs w:val="24"/>
        </w:rPr>
        <w:t>experiencing</w:t>
      </w:r>
      <w:r>
        <w:rPr>
          <w:rFonts w:eastAsia="Times New Roman"/>
          <w:color w:val="auto"/>
          <w:sz w:val="24"/>
          <w:szCs w:val="24"/>
        </w:rPr>
        <w:t xml:space="preserve"> reliability consequences.    </w:t>
      </w:r>
    </w:p>
    <w:p w:rsidR="00EA6F68" w:rsidRPr="00E23091" w:rsidRDefault="00EA6F68" w:rsidP="00C94607">
      <w:pPr>
        <w:spacing w:after="120" w:line="480" w:lineRule="auto"/>
        <w:jc w:val="both"/>
        <w:rPr>
          <w:rFonts w:eastAsia="Times New Roman"/>
          <w:color w:val="auto"/>
          <w:sz w:val="24"/>
          <w:szCs w:val="24"/>
        </w:rPr>
      </w:pPr>
      <w:r>
        <w:rPr>
          <w:rFonts w:eastAsia="Times New Roman"/>
          <w:color w:val="auto"/>
          <w:sz w:val="24"/>
          <w:szCs w:val="24"/>
        </w:rPr>
        <w:tab/>
        <w:t xml:space="preserve">Given the current low level of distributed generation penetration in Ohio there is no legitimate reason to consider lowering size caps for distributed generation technology.  At a minimum the Commission should wait until there is much greater penetration of distributed generation, before it takes action to reduce the size of distributed generation projects.  </w:t>
      </w:r>
    </w:p>
    <w:p w:rsidR="005B586B" w:rsidRPr="000C21DF" w:rsidRDefault="000C21DF" w:rsidP="00C94607">
      <w:pPr>
        <w:pStyle w:val="ListParagraph"/>
        <w:numPr>
          <w:ilvl w:val="0"/>
          <w:numId w:val="6"/>
        </w:numPr>
        <w:autoSpaceDE w:val="0"/>
        <w:autoSpaceDN w:val="0"/>
        <w:adjustRightInd w:val="0"/>
        <w:spacing w:after="120" w:line="240" w:lineRule="auto"/>
        <w:jc w:val="both"/>
        <w:rPr>
          <w:sz w:val="24"/>
          <w:szCs w:val="24"/>
        </w:rPr>
      </w:pPr>
      <w:r>
        <w:rPr>
          <w:b/>
          <w:sz w:val="24"/>
          <w:szCs w:val="24"/>
        </w:rPr>
        <w:t xml:space="preserve">The Commission should allow customers to construct distributed generation on contiguous property </w:t>
      </w:r>
    </w:p>
    <w:p w:rsidR="001B2F54" w:rsidRDefault="001B2F54" w:rsidP="00C94607">
      <w:pPr>
        <w:autoSpaceDE w:val="0"/>
        <w:autoSpaceDN w:val="0"/>
        <w:adjustRightInd w:val="0"/>
        <w:spacing w:after="120" w:line="480" w:lineRule="auto"/>
        <w:ind w:firstLine="720"/>
        <w:jc w:val="both"/>
        <w:rPr>
          <w:sz w:val="24"/>
          <w:szCs w:val="24"/>
        </w:rPr>
      </w:pPr>
      <w:r w:rsidRPr="001B2F54">
        <w:rPr>
          <w:sz w:val="24"/>
          <w:szCs w:val="24"/>
        </w:rPr>
        <w:t>FirstEnergy and DP&amp;L oppose the proposed rule defining a customers’ premises.</w:t>
      </w:r>
      <w:r>
        <w:rPr>
          <w:sz w:val="24"/>
          <w:szCs w:val="24"/>
        </w:rPr>
        <w:t xml:space="preserve">  FirstEnergy alleges the Staff’s proposed definition would potentially result in customers violating Ohio law regarding exclusive distribution service territories and extending their own distribution lines across highways.</w:t>
      </w:r>
      <w:r w:rsidR="00890E3F">
        <w:rPr>
          <w:rStyle w:val="FootnoteReference"/>
          <w:sz w:val="24"/>
          <w:szCs w:val="24"/>
        </w:rPr>
        <w:footnoteReference w:id="12"/>
      </w:r>
      <w:r>
        <w:rPr>
          <w:sz w:val="24"/>
          <w:szCs w:val="24"/>
        </w:rPr>
        <w:t xml:space="preserve">  FirstEnergy proposes that the Commission delete the last sentence from the proposed rule, which reads “</w:t>
      </w:r>
      <w:r w:rsidRPr="001B2F54">
        <w:rPr>
          <w:sz w:val="24"/>
          <w:szCs w:val="24"/>
        </w:rPr>
        <w:t>For purposes of this rule, an area is considered a contiguous lot regardless of easements, public thoroughfares, transportation rights-of-</w:t>
      </w:r>
      <w:r>
        <w:rPr>
          <w:sz w:val="24"/>
          <w:szCs w:val="24"/>
        </w:rPr>
        <w:t>way, or utility rights-of-way.”</w:t>
      </w:r>
      <w:r w:rsidR="00890E3F">
        <w:rPr>
          <w:rStyle w:val="FootnoteReference"/>
          <w:sz w:val="24"/>
          <w:szCs w:val="24"/>
        </w:rPr>
        <w:footnoteReference w:id="13"/>
      </w:r>
      <w:r>
        <w:rPr>
          <w:sz w:val="24"/>
          <w:szCs w:val="24"/>
        </w:rPr>
        <w:t xml:space="preserve">  IGS recommends that the Commission reject FirstEnergy’s proposed modification, which is overly restrictive.</w:t>
      </w:r>
    </w:p>
    <w:p w:rsidR="00CF47B9" w:rsidRPr="00C94607" w:rsidRDefault="001B2F54" w:rsidP="00C94607">
      <w:pPr>
        <w:autoSpaceDE w:val="0"/>
        <w:autoSpaceDN w:val="0"/>
        <w:adjustRightInd w:val="0"/>
        <w:spacing w:after="120" w:line="480" w:lineRule="auto"/>
        <w:ind w:firstLine="720"/>
        <w:jc w:val="both"/>
        <w:rPr>
          <w:sz w:val="24"/>
          <w:szCs w:val="24"/>
        </w:rPr>
      </w:pPr>
      <w:r>
        <w:rPr>
          <w:sz w:val="24"/>
          <w:szCs w:val="24"/>
        </w:rPr>
        <w:t xml:space="preserve">The proposed rule as drafted recognizes that property laws </w:t>
      </w:r>
      <w:r w:rsidR="00C94607">
        <w:rPr>
          <w:sz w:val="24"/>
          <w:szCs w:val="24"/>
        </w:rPr>
        <w:t xml:space="preserve">are complicated </w:t>
      </w:r>
      <w:r>
        <w:rPr>
          <w:sz w:val="24"/>
          <w:szCs w:val="24"/>
        </w:rPr>
        <w:t xml:space="preserve">and generation siting is a complex process.  And the mere fact that a distributed generation facility is located on contiguous property connected by an easement should not automatically disqualify the facility from participating in net metering.  Of course, if an </w:t>
      </w:r>
      <w:r>
        <w:rPr>
          <w:sz w:val="24"/>
          <w:szCs w:val="24"/>
        </w:rPr>
        <w:lastRenderedPageBreak/>
        <w:t xml:space="preserve">individual project cannot be constructed safely, the </w:t>
      </w:r>
      <w:r w:rsidR="00C94607">
        <w:rPr>
          <w:sz w:val="24"/>
          <w:szCs w:val="24"/>
        </w:rPr>
        <w:t xml:space="preserve">electric distribution </w:t>
      </w:r>
      <w:r>
        <w:rPr>
          <w:sz w:val="24"/>
          <w:szCs w:val="24"/>
        </w:rPr>
        <w:t>utility can identify that risk during the interconnection process.  The net metering rules would not change that fact.</w:t>
      </w:r>
    </w:p>
    <w:p w:rsidR="00081D81" w:rsidRDefault="00081D81" w:rsidP="00C94607">
      <w:pPr>
        <w:pStyle w:val="ListParagraph"/>
        <w:numPr>
          <w:ilvl w:val="0"/>
          <w:numId w:val="2"/>
        </w:numPr>
        <w:spacing w:after="120" w:line="480" w:lineRule="auto"/>
        <w:jc w:val="both"/>
        <w:rPr>
          <w:b/>
          <w:sz w:val="24"/>
          <w:szCs w:val="24"/>
        </w:rPr>
      </w:pPr>
      <w:r w:rsidRPr="00081D81">
        <w:rPr>
          <w:b/>
          <w:sz w:val="24"/>
          <w:szCs w:val="24"/>
        </w:rPr>
        <w:t>CONCLUSION</w:t>
      </w:r>
    </w:p>
    <w:p w:rsidR="005B586B" w:rsidRDefault="00530628" w:rsidP="007D4559">
      <w:pPr>
        <w:spacing w:after="120" w:line="480" w:lineRule="auto"/>
        <w:ind w:firstLine="720"/>
        <w:jc w:val="both"/>
        <w:rPr>
          <w:sz w:val="24"/>
          <w:szCs w:val="24"/>
        </w:rPr>
      </w:pPr>
      <w:r>
        <w:rPr>
          <w:sz w:val="24"/>
          <w:szCs w:val="24"/>
        </w:rPr>
        <w:t>For the reasons discussed herein, IGS recommends that the Commission reject the proposals submitted by FirstEnergy, Duke, DP&amp;L, and AEP and adopt the recommendations submitted by IGS in its Initial Comments.</w:t>
      </w:r>
    </w:p>
    <w:p w:rsidR="00851859" w:rsidRPr="003A174A" w:rsidRDefault="00851859" w:rsidP="00851859">
      <w:pPr>
        <w:autoSpaceDE w:val="0"/>
        <w:autoSpaceDN w:val="0"/>
        <w:adjustRightInd w:val="0"/>
        <w:spacing w:line="480" w:lineRule="auto"/>
        <w:ind w:left="4320" w:firstLine="720"/>
        <w:rPr>
          <w:sz w:val="24"/>
          <w:szCs w:val="24"/>
        </w:rPr>
      </w:pPr>
      <w:r>
        <w:rPr>
          <w:sz w:val="24"/>
          <w:szCs w:val="24"/>
        </w:rPr>
        <w:t>Respectfully Submitted,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4518"/>
      </w:tblGrid>
      <w:tr w:rsidR="00851859" w:rsidTr="00FE771E">
        <w:tc>
          <w:tcPr>
            <w:tcW w:w="4950" w:type="dxa"/>
          </w:tcPr>
          <w:p w:rsidR="00851859" w:rsidRDefault="00851859" w:rsidP="00FE771E">
            <w:pPr>
              <w:ind w:left="5040"/>
              <w:rPr>
                <w:rFonts w:ascii="Arial" w:eastAsia="Calibri" w:hAnsi="Arial" w:cs="Arial"/>
                <w:sz w:val="24"/>
                <w:szCs w:val="24"/>
              </w:rPr>
            </w:pPr>
          </w:p>
          <w:p w:rsidR="00851859" w:rsidRDefault="00851859" w:rsidP="00FE771E">
            <w:pPr>
              <w:ind w:left="5040"/>
              <w:rPr>
                <w:rFonts w:ascii="Arial" w:eastAsia="Calibri" w:hAnsi="Arial" w:cs="Arial"/>
                <w:sz w:val="24"/>
                <w:szCs w:val="24"/>
              </w:rPr>
            </w:pPr>
          </w:p>
          <w:p w:rsidR="00851859" w:rsidRDefault="00851859" w:rsidP="00FE771E">
            <w:pPr>
              <w:jc w:val="both"/>
              <w:rPr>
                <w:rFonts w:ascii="Arial" w:eastAsia="Arial" w:hAnsi="Arial" w:cs="Arial"/>
                <w:i/>
                <w:sz w:val="24"/>
                <w:szCs w:val="24"/>
                <w:u w:val="single"/>
              </w:rPr>
            </w:pPr>
          </w:p>
          <w:p w:rsidR="00851859" w:rsidRDefault="00851859" w:rsidP="00FE771E">
            <w:pPr>
              <w:jc w:val="both"/>
              <w:rPr>
                <w:rFonts w:ascii="Arial" w:eastAsia="Arial" w:hAnsi="Arial" w:cs="Arial"/>
                <w:i/>
                <w:sz w:val="24"/>
                <w:szCs w:val="24"/>
                <w:u w:val="single"/>
              </w:rPr>
            </w:pPr>
          </w:p>
          <w:p w:rsidR="00851859" w:rsidRDefault="00851859" w:rsidP="00FE771E">
            <w:pPr>
              <w:ind w:left="5040"/>
              <w:rPr>
                <w:rFonts w:ascii="Arial" w:hAnsi="Arial" w:cs="Arial"/>
                <w:sz w:val="24"/>
                <w:szCs w:val="24"/>
              </w:rPr>
            </w:pPr>
          </w:p>
          <w:p w:rsidR="00851859" w:rsidRPr="00C52308" w:rsidRDefault="00851859" w:rsidP="00FE771E">
            <w:pPr>
              <w:autoSpaceDE w:val="0"/>
              <w:autoSpaceDN w:val="0"/>
              <w:adjustRightInd w:val="0"/>
              <w:spacing w:line="360" w:lineRule="auto"/>
              <w:ind w:firstLine="360"/>
              <w:rPr>
                <w:rFonts w:ascii="Arial" w:hAnsi="Arial" w:cs="Arial"/>
                <w:sz w:val="24"/>
                <w:szCs w:val="24"/>
              </w:rPr>
            </w:pPr>
          </w:p>
          <w:p w:rsidR="00851859" w:rsidRDefault="00851859" w:rsidP="00FE771E">
            <w:pPr>
              <w:rPr>
                <w:rFonts w:ascii="Arial" w:eastAsia="Calibri" w:hAnsi="Arial" w:cs="Arial"/>
                <w:sz w:val="24"/>
                <w:szCs w:val="24"/>
              </w:rPr>
            </w:pPr>
          </w:p>
        </w:tc>
        <w:tc>
          <w:tcPr>
            <w:tcW w:w="4518" w:type="dxa"/>
          </w:tcPr>
          <w:p w:rsidR="00851859" w:rsidRPr="00094915" w:rsidRDefault="00851859" w:rsidP="00FE771E">
            <w:pPr>
              <w:jc w:val="both"/>
              <w:rPr>
                <w:rFonts w:ascii="Arial" w:eastAsia="Arial" w:hAnsi="Arial" w:cs="Arial"/>
                <w:sz w:val="24"/>
                <w:szCs w:val="24"/>
                <w:u w:val="single"/>
              </w:rPr>
            </w:pPr>
            <w:r w:rsidRPr="00851859">
              <w:rPr>
                <w:rFonts w:ascii="Arial" w:eastAsia="Arial" w:hAnsi="Arial" w:cs="Arial"/>
                <w:b/>
                <w:i/>
                <w:sz w:val="24"/>
                <w:szCs w:val="24"/>
                <w:u w:val="single"/>
              </w:rPr>
              <w:t>/s/ Joseph Oliker</w:t>
            </w:r>
            <w:r w:rsidRPr="00851859">
              <w:rPr>
                <w:rFonts w:ascii="Arial" w:eastAsia="Arial" w:hAnsi="Arial" w:cs="Arial"/>
                <w:b/>
                <w:sz w:val="24"/>
                <w:szCs w:val="24"/>
                <w:u w:val="single"/>
              </w:rPr>
              <w:tab/>
            </w:r>
          </w:p>
          <w:p w:rsidR="00851859" w:rsidRDefault="00851859" w:rsidP="00FE771E">
            <w:pPr>
              <w:rPr>
                <w:rFonts w:ascii="Arial" w:hAnsi="Arial" w:cs="Arial"/>
                <w:sz w:val="24"/>
                <w:szCs w:val="24"/>
              </w:rPr>
            </w:pPr>
            <w:r>
              <w:rPr>
                <w:rFonts w:ascii="Arial" w:hAnsi="Arial" w:cs="Arial"/>
                <w:sz w:val="24"/>
                <w:szCs w:val="24"/>
              </w:rPr>
              <w:t>Matthew White (0082859)</w:t>
            </w:r>
          </w:p>
          <w:p w:rsidR="00851859" w:rsidRDefault="00851859" w:rsidP="00FE771E">
            <w:pPr>
              <w:rPr>
                <w:rFonts w:ascii="Arial" w:hAnsi="Arial" w:cs="Arial"/>
                <w:sz w:val="24"/>
                <w:szCs w:val="24"/>
              </w:rPr>
            </w:pPr>
            <w:r>
              <w:rPr>
                <w:rFonts w:ascii="Arial" w:hAnsi="Arial" w:cs="Arial"/>
                <w:sz w:val="24"/>
                <w:szCs w:val="24"/>
              </w:rPr>
              <w:t>Counsel of Record</w:t>
            </w:r>
          </w:p>
          <w:p w:rsidR="00851859" w:rsidRDefault="00851859" w:rsidP="00851859">
            <w:pPr>
              <w:rPr>
                <w:rFonts w:ascii="Arial" w:hAnsi="Arial" w:cs="Arial"/>
                <w:sz w:val="24"/>
                <w:szCs w:val="24"/>
              </w:rPr>
            </w:pPr>
            <w:r>
              <w:rPr>
                <w:rFonts w:ascii="Arial" w:hAnsi="Arial" w:cs="Arial"/>
                <w:sz w:val="24"/>
                <w:szCs w:val="24"/>
              </w:rPr>
              <w:t>Email: mswhite@igsenergy.com</w:t>
            </w:r>
          </w:p>
          <w:p w:rsidR="00851859" w:rsidRDefault="00851859" w:rsidP="00FE771E">
            <w:pPr>
              <w:rPr>
                <w:rFonts w:ascii="Arial" w:hAnsi="Arial" w:cs="Arial"/>
                <w:sz w:val="24"/>
                <w:szCs w:val="24"/>
              </w:rPr>
            </w:pPr>
            <w:r>
              <w:rPr>
                <w:rFonts w:ascii="Arial" w:hAnsi="Arial" w:cs="Arial"/>
                <w:sz w:val="24"/>
                <w:szCs w:val="24"/>
              </w:rPr>
              <w:t>Joseph Oliker</w:t>
            </w:r>
            <w:r w:rsidR="00D04C9C">
              <w:rPr>
                <w:rFonts w:ascii="Arial" w:hAnsi="Arial" w:cs="Arial"/>
                <w:sz w:val="24"/>
                <w:szCs w:val="24"/>
              </w:rPr>
              <w:t xml:space="preserve"> (0086088)</w:t>
            </w:r>
          </w:p>
          <w:p w:rsidR="00851859" w:rsidRDefault="00851859" w:rsidP="00FE771E">
            <w:pPr>
              <w:rPr>
                <w:rFonts w:ascii="Arial" w:hAnsi="Arial" w:cs="Arial"/>
                <w:sz w:val="24"/>
                <w:szCs w:val="24"/>
              </w:rPr>
            </w:pPr>
            <w:r>
              <w:rPr>
                <w:rFonts w:ascii="Arial" w:hAnsi="Arial" w:cs="Arial"/>
                <w:sz w:val="24"/>
                <w:szCs w:val="24"/>
              </w:rPr>
              <w:t>Email:  joliker@igsenergy.com</w:t>
            </w:r>
          </w:p>
          <w:p w:rsidR="00851859" w:rsidRPr="00E43B52" w:rsidRDefault="00851859" w:rsidP="00FE771E">
            <w:pPr>
              <w:rPr>
                <w:rFonts w:ascii="Arial" w:hAnsi="Arial" w:cs="Arial"/>
                <w:sz w:val="24"/>
                <w:szCs w:val="24"/>
              </w:rPr>
            </w:pPr>
            <w:r w:rsidRPr="00E43B52">
              <w:rPr>
                <w:rFonts w:ascii="Arial" w:hAnsi="Arial" w:cs="Arial"/>
                <w:sz w:val="24"/>
                <w:szCs w:val="24"/>
              </w:rPr>
              <w:t>Interstate Gas Supply, Inc.</w:t>
            </w:r>
          </w:p>
          <w:p w:rsidR="00851859" w:rsidRDefault="00851859" w:rsidP="00FE771E">
            <w:pPr>
              <w:rPr>
                <w:rFonts w:ascii="Arial" w:hAnsi="Arial" w:cs="Arial"/>
                <w:sz w:val="24"/>
                <w:szCs w:val="24"/>
              </w:rPr>
            </w:pPr>
            <w:r>
              <w:rPr>
                <w:rFonts w:ascii="Arial" w:hAnsi="Arial" w:cs="Arial"/>
                <w:sz w:val="24"/>
                <w:szCs w:val="24"/>
              </w:rPr>
              <w:t>6100 Emerald Parkway</w:t>
            </w:r>
          </w:p>
          <w:p w:rsidR="00851859" w:rsidRDefault="00851859" w:rsidP="00FE771E">
            <w:pPr>
              <w:rPr>
                <w:rFonts w:ascii="Arial" w:hAnsi="Arial" w:cs="Arial"/>
                <w:sz w:val="24"/>
                <w:szCs w:val="24"/>
              </w:rPr>
            </w:pPr>
            <w:r>
              <w:rPr>
                <w:rFonts w:ascii="Arial" w:hAnsi="Arial" w:cs="Arial"/>
                <w:sz w:val="24"/>
                <w:szCs w:val="24"/>
              </w:rPr>
              <w:t>Dublin, Ohio 43016</w:t>
            </w:r>
          </w:p>
          <w:p w:rsidR="00851859" w:rsidRDefault="00851859" w:rsidP="00FE771E">
            <w:pPr>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rsidR="00851859" w:rsidRDefault="00851859" w:rsidP="00FE771E">
            <w:pPr>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851859" w:rsidRDefault="00851859" w:rsidP="00FE771E">
            <w:pPr>
              <w:rPr>
                <w:rFonts w:ascii="Arial" w:eastAsia="Calibri" w:hAnsi="Arial" w:cs="Arial"/>
                <w:sz w:val="24"/>
                <w:szCs w:val="24"/>
              </w:rPr>
            </w:pPr>
          </w:p>
          <w:p w:rsidR="00851859" w:rsidRDefault="00851859" w:rsidP="00FE771E">
            <w:pPr>
              <w:rPr>
                <w:rFonts w:ascii="Arial" w:eastAsia="Calibri" w:hAnsi="Arial" w:cs="Arial"/>
                <w:sz w:val="24"/>
                <w:szCs w:val="24"/>
              </w:rPr>
            </w:pPr>
          </w:p>
          <w:p w:rsidR="00851859" w:rsidRDefault="00851859" w:rsidP="00FE771E">
            <w:pPr>
              <w:jc w:val="both"/>
              <w:rPr>
                <w:rFonts w:ascii="Arial" w:eastAsia="Arial" w:hAnsi="Arial" w:cs="Arial"/>
                <w:i/>
                <w:sz w:val="24"/>
                <w:szCs w:val="24"/>
                <w:u w:val="single"/>
              </w:rPr>
            </w:pPr>
          </w:p>
          <w:p w:rsidR="00851859" w:rsidRDefault="00851859" w:rsidP="00FE771E">
            <w:pPr>
              <w:jc w:val="both"/>
              <w:rPr>
                <w:rFonts w:ascii="Arial" w:eastAsia="Arial" w:hAnsi="Arial" w:cs="Arial"/>
                <w:i/>
                <w:sz w:val="24"/>
                <w:szCs w:val="24"/>
                <w:u w:val="single"/>
              </w:rPr>
            </w:pPr>
          </w:p>
          <w:p w:rsidR="00851859" w:rsidRDefault="00851859" w:rsidP="00FE771E">
            <w:pPr>
              <w:jc w:val="both"/>
              <w:rPr>
                <w:rFonts w:ascii="Arial" w:eastAsia="Arial" w:hAnsi="Arial" w:cs="Arial"/>
                <w:i/>
                <w:sz w:val="24"/>
                <w:szCs w:val="24"/>
                <w:u w:val="single"/>
              </w:rPr>
            </w:pPr>
          </w:p>
          <w:p w:rsidR="00851859" w:rsidRDefault="00851859" w:rsidP="00FE771E">
            <w:pPr>
              <w:jc w:val="both"/>
              <w:rPr>
                <w:rFonts w:ascii="Arial" w:eastAsia="Arial" w:hAnsi="Arial" w:cs="Arial"/>
                <w:i/>
                <w:sz w:val="24"/>
                <w:szCs w:val="24"/>
                <w:u w:val="single"/>
              </w:rPr>
            </w:pPr>
          </w:p>
          <w:p w:rsidR="00851859" w:rsidRDefault="00851859" w:rsidP="00FE771E">
            <w:pPr>
              <w:jc w:val="both"/>
              <w:rPr>
                <w:rFonts w:ascii="Arial" w:eastAsia="Arial" w:hAnsi="Arial" w:cs="Arial"/>
                <w:i/>
                <w:sz w:val="24"/>
                <w:szCs w:val="24"/>
                <w:u w:val="single"/>
              </w:rPr>
            </w:pPr>
          </w:p>
          <w:p w:rsidR="00851859" w:rsidRDefault="00851859" w:rsidP="00FE771E">
            <w:pPr>
              <w:rPr>
                <w:rFonts w:ascii="Arial" w:eastAsia="Calibri" w:hAnsi="Arial" w:cs="Arial"/>
                <w:sz w:val="24"/>
                <w:szCs w:val="24"/>
              </w:rPr>
            </w:pPr>
          </w:p>
        </w:tc>
      </w:tr>
    </w:tbl>
    <w:p w:rsidR="00887A15" w:rsidRDefault="00887A15">
      <w:pPr>
        <w:rPr>
          <w:sz w:val="24"/>
          <w:szCs w:val="24"/>
        </w:rPr>
      </w:pPr>
    </w:p>
    <w:p w:rsidR="009F362E" w:rsidRDefault="009F362E">
      <w:pPr>
        <w:rPr>
          <w:sz w:val="24"/>
          <w:szCs w:val="24"/>
        </w:rPr>
      </w:pPr>
    </w:p>
    <w:p w:rsidR="007D4559" w:rsidRDefault="007D4559">
      <w:pPr>
        <w:rPr>
          <w:sz w:val="24"/>
          <w:szCs w:val="24"/>
        </w:rPr>
      </w:pPr>
    </w:p>
    <w:p w:rsidR="007D4559" w:rsidRDefault="007D4559">
      <w:pPr>
        <w:rPr>
          <w:sz w:val="24"/>
          <w:szCs w:val="24"/>
        </w:rPr>
      </w:pPr>
    </w:p>
    <w:p w:rsidR="009F362E" w:rsidRDefault="009F362E">
      <w:pPr>
        <w:rPr>
          <w:sz w:val="24"/>
          <w:szCs w:val="24"/>
        </w:rPr>
      </w:pPr>
    </w:p>
    <w:p w:rsidR="005F3A27" w:rsidRPr="005F3A27" w:rsidRDefault="005F3A27" w:rsidP="005F3A27">
      <w:pPr>
        <w:spacing w:line="480" w:lineRule="auto"/>
        <w:jc w:val="center"/>
        <w:rPr>
          <w:rFonts w:eastAsia="Times New Roman"/>
          <w:b/>
          <w:sz w:val="24"/>
          <w:szCs w:val="24"/>
        </w:rPr>
      </w:pPr>
      <w:r w:rsidRPr="005F3A27">
        <w:rPr>
          <w:rFonts w:eastAsia="Times New Roman"/>
          <w:b/>
          <w:sz w:val="24"/>
          <w:szCs w:val="24"/>
        </w:rPr>
        <w:lastRenderedPageBreak/>
        <w:t>CERTIFICATE OF SERVICE</w:t>
      </w:r>
    </w:p>
    <w:p w:rsidR="005F3A27" w:rsidRPr="005F3A27" w:rsidRDefault="005F3A27" w:rsidP="005F3A27">
      <w:pPr>
        <w:spacing w:after="0" w:line="480" w:lineRule="auto"/>
        <w:ind w:firstLine="720"/>
        <w:jc w:val="both"/>
        <w:rPr>
          <w:rFonts w:eastAsia="Times New Roman"/>
          <w:sz w:val="24"/>
          <w:szCs w:val="24"/>
        </w:rPr>
      </w:pPr>
      <w:r w:rsidRPr="005F3A27">
        <w:rPr>
          <w:rFonts w:eastAsia="Times New Roman"/>
          <w:sz w:val="24"/>
          <w:szCs w:val="24"/>
        </w:rPr>
        <w:t xml:space="preserve">I hereby certify that I served a true copy of the foregoing </w:t>
      </w:r>
      <w:r w:rsidR="009F362E">
        <w:rPr>
          <w:rFonts w:eastAsia="Times New Roman"/>
          <w:i/>
          <w:sz w:val="24"/>
          <w:szCs w:val="24"/>
        </w:rPr>
        <w:t xml:space="preserve">Reply Comments of IGS Solar, LLC, IGS Generation, LLC, and Interstate Gas Supply, Inc. </w:t>
      </w:r>
      <w:r w:rsidRPr="005F3A27">
        <w:rPr>
          <w:rFonts w:eastAsia="Times New Roman"/>
          <w:sz w:val="24"/>
          <w:szCs w:val="24"/>
        </w:rPr>
        <w:t xml:space="preserve">upon the following </w:t>
      </w:r>
      <w:r w:rsidR="00851859">
        <w:rPr>
          <w:rFonts w:eastAsia="Times New Roman"/>
          <w:sz w:val="24"/>
          <w:szCs w:val="24"/>
        </w:rPr>
        <w:t xml:space="preserve">parties </w:t>
      </w:r>
      <w:r w:rsidRPr="005F3A27">
        <w:rPr>
          <w:rFonts w:eastAsia="Times New Roman"/>
          <w:sz w:val="24"/>
          <w:szCs w:val="24"/>
        </w:rPr>
        <w:t>v</w:t>
      </w:r>
      <w:r w:rsidR="009F362E">
        <w:rPr>
          <w:rFonts w:eastAsia="Times New Roman"/>
          <w:sz w:val="24"/>
          <w:szCs w:val="24"/>
        </w:rPr>
        <w:t>ia electric transmission, this 8</w:t>
      </w:r>
      <w:r w:rsidRPr="005F3A27">
        <w:rPr>
          <w:rFonts w:eastAsia="Times New Roman"/>
          <w:sz w:val="24"/>
          <w:szCs w:val="24"/>
        </w:rPr>
        <w:t xml:space="preserve">th day of </w:t>
      </w:r>
      <w:r w:rsidR="009F362E">
        <w:rPr>
          <w:rFonts w:eastAsia="Times New Roman"/>
          <w:sz w:val="24"/>
          <w:szCs w:val="24"/>
        </w:rPr>
        <w:t>January, 2016</w:t>
      </w:r>
      <w:r w:rsidRPr="005F3A27">
        <w:rPr>
          <w:rFonts w:eastAsia="Times New Roman"/>
          <w:sz w:val="24"/>
          <w:szCs w:val="24"/>
        </w:rPr>
        <w:t>.</w:t>
      </w:r>
    </w:p>
    <w:p w:rsidR="00851859" w:rsidRDefault="005F3A27" w:rsidP="005F3A27">
      <w:pPr>
        <w:spacing w:after="0" w:line="240" w:lineRule="auto"/>
        <w:ind w:firstLine="720"/>
        <w:rPr>
          <w:rFonts w:eastAsia="Times New Roman"/>
          <w:i/>
          <w:sz w:val="24"/>
          <w:szCs w:val="24"/>
        </w:rPr>
      </w:pPr>
      <w:r w:rsidRPr="005F3A27">
        <w:rPr>
          <w:rFonts w:eastAsia="Times New Roman"/>
          <w:i/>
          <w:sz w:val="24"/>
          <w:szCs w:val="24"/>
        </w:rPr>
        <w:tab/>
      </w:r>
      <w:r w:rsidRPr="005F3A27">
        <w:rPr>
          <w:rFonts w:eastAsia="Times New Roman"/>
          <w:i/>
          <w:sz w:val="24"/>
          <w:szCs w:val="24"/>
        </w:rPr>
        <w:tab/>
      </w:r>
      <w:r w:rsidRPr="005F3A27">
        <w:rPr>
          <w:rFonts w:eastAsia="Times New Roman"/>
          <w:i/>
          <w:sz w:val="24"/>
          <w:szCs w:val="24"/>
        </w:rPr>
        <w:tab/>
      </w:r>
      <w:r w:rsidRPr="005F3A27">
        <w:rPr>
          <w:rFonts w:eastAsia="Times New Roman"/>
          <w:i/>
          <w:sz w:val="24"/>
          <w:szCs w:val="24"/>
        </w:rPr>
        <w:tab/>
      </w:r>
      <w:r w:rsidRPr="005F3A27">
        <w:rPr>
          <w:rFonts w:eastAsia="Times New Roman"/>
          <w:i/>
          <w:sz w:val="24"/>
          <w:szCs w:val="24"/>
        </w:rPr>
        <w:tab/>
      </w:r>
    </w:p>
    <w:p w:rsidR="005F3A27" w:rsidRPr="00851859" w:rsidRDefault="00851859" w:rsidP="005F3A27">
      <w:pPr>
        <w:spacing w:after="0" w:line="240" w:lineRule="auto"/>
        <w:ind w:firstLine="720"/>
        <w:rPr>
          <w:rFonts w:eastAsia="Times New Roman"/>
          <w:b/>
          <w:i/>
          <w:sz w:val="24"/>
          <w:szCs w:val="24"/>
        </w:rPr>
      </w:pP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r>
      <w:r w:rsidR="005F3A27" w:rsidRPr="00851859">
        <w:rPr>
          <w:rFonts w:eastAsia="Times New Roman"/>
          <w:b/>
          <w:i/>
          <w:sz w:val="24"/>
          <w:szCs w:val="24"/>
          <w:u w:val="single"/>
        </w:rPr>
        <w:t>/s/ Joseph Oliker</w:t>
      </w:r>
    </w:p>
    <w:p w:rsidR="005F3A27" w:rsidRPr="005F3A27" w:rsidRDefault="005F3A27" w:rsidP="005F3A27">
      <w:pPr>
        <w:spacing w:after="0" w:line="240" w:lineRule="auto"/>
        <w:ind w:firstLine="720"/>
        <w:rPr>
          <w:rFonts w:eastAsia="Times New Roman"/>
          <w:sz w:val="24"/>
          <w:szCs w:val="24"/>
        </w:rPr>
      </w:pPr>
      <w:r w:rsidRPr="005F3A27">
        <w:rPr>
          <w:rFonts w:eastAsia="Times New Roman"/>
          <w:sz w:val="24"/>
          <w:szCs w:val="24"/>
        </w:rPr>
        <w:tab/>
      </w:r>
      <w:r w:rsidRPr="005F3A27">
        <w:rPr>
          <w:rFonts w:eastAsia="Times New Roman"/>
          <w:sz w:val="24"/>
          <w:szCs w:val="24"/>
        </w:rPr>
        <w:tab/>
      </w:r>
      <w:r w:rsidRPr="005F3A27">
        <w:rPr>
          <w:rFonts w:eastAsia="Times New Roman"/>
          <w:sz w:val="24"/>
          <w:szCs w:val="24"/>
        </w:rPr>
        <w:tab/>
      </w:r>
      <w:r w:rsidRPr="005F3A27">
        <w:rPr>
          <w:rFonts w:eastAsia="Times New Roman"/>
          <w:sz w:val="24"/>
          <w:szCs w:val="24"/>
        </w:rPr>
        <w:tab/>
      </w:r>
      <w:r w:rsidRPr="005F3A27">
        <w:rPr>
          <w:rFonts w:eastAsia="Times New Roman"/>
          <w:sz w:val="24"/>
          <w:szCs w:val="24"/>
        </w:rPr>
        <w:tab/>
      </w:r>
      <w:r w:rsidR="00851859">
        <w:rPr>
          <w:rFonts w:eastAsia="Times New Roman"/>
          <w:sz w:val="24"/>
          <w:szCs w:val="24"/>
        </w:rPr>
        <w:tab/>
      </w:r>
      <w:r w:rsidR="00851859">
        <w:rPr>
          <w:rFonts w:eastAsia="Times New Roman"/>
          <w:sz w:val="24"/>
          <w:szCs w:val="24"/>
        </w:rPr>
        <w:tab/>
      </w:r>
      <w:r w:rsidR="00851859">
        <w:rPr>
          <w:rFonts w:eastAsia="Times New Roman"/>
          <w:sz w:val="24"/>
          <w:szCs w:val="24"/>
        </w:rPr>
        <w:tab/>
      </w:r>
      <w:r w:rsidRPr="005F3A27">
        <w:rPr>
          <w:rFonts w:eastAsia="Times New Roman"/>
          <w:sz w:val="24"/>
          <w:szCs w:val="24"/>
        </w:rPr>
        <w:t>Joseph Oliker</w:t>
      </w:r>
    </w:p>
    <w:p w:rsidR="005F3A27" w:rsidRPr="005F3A27" w:rsidRDefault="005F3A27" w:rsidP="005F3A27">
      <w:pPr>
        <w:spacing w:after="0" w:line="240" w:lineRule="auto"/>
        <w:ind w:firstLine="720"/>
        <w:rPr>
          <w:rFonts w:eastAsia="Times New Roman"/>
          <w:sz w:val="24"/>
          <w:szCs w:val="24"/>
        </w:rPr>
      </w:pPr>
      <w:r w:rsidRPr="005F3A27">
        <w:rPr>
          <w:rFonts w:eastAsia="Times New Roman"/>
          <w:sz w:val="24"/>
          <w:szCs w:val="24"/>
        </w:rPr>
        <w:tab/>
      </w:r>
      <w:r w:rsidRPr="005F3A27">
        <w:rPr>
          <w:rFonts w:eastAsia="Times New Roman"/>
          <w:sz w:val="24"/>
          <w:szCs w:val="24"/>
        </w:rPr>
        <w:tab/>
      </w:r>
      <w:r w:rsidRPr="005F3A27">
        <w:rPr>
          <w:rFonts w:eastAsia="Times New Roman"/>
          <w:sz w:val="24"/>
          <w:szCs w:val="24"/>
        </w:rPr>
        <w:tab/>
      </w:r>
      <w:r w:rsidRPr="005F3A27">
        <w:rPr>
          <w:rFonts w:eastAsia="Times New Roman"/>
          <w:sz w:val="24"/>
          <w:szCs w:val="24"/>
        </w:rPr>
        <w:tab/>
      </w:r>
      <w:r w:rsidRPr="005F3A27">
        <w:rPr>
          <w:rFonts w:eastAsia="Times New Roman"/>
          <w:sz w:val="24"/>
          <w:szCs w:val="24"/>
        </w:rPr>
        <w:tab/>
      </w:r>
    </w:p>
    <w:p w:rsidR="005F3A27" w:rsidRPr="005F3A27" w:rsidRDefault="005F3A27" w:rsidP="005F3A27">
      <w:pPr>
        <w:spacing w:after="0" w:line="480" w:lineRule="auto"/>
        <w:ind w:firstLine="720"/>
        <w:rPr>
          <w:rFonts w:eastAsia="Times New Roman"/>
          <w:sz w:val="24"/>
          <w:szCs w:val="24"/>
        </w:rPr>
      </w:pPr>
    </w:p>
    <w:p w:rsidR="005F3A27" w:rsidRPr="005F3A27" w:rsidRDefault="005F3A27" w:rsidP="005F3A27">
      <w:pPr>
        <w:spacing w:after="0" w:line="240" w:lineRule="auto"/>
        <w:rPr>
          <w:rFonts w:eastAsia="Times New Roman"/>
          <w:sz w:val="24"/>
          <w:szCs w:val="24"/>
        </w:rPr>
      </w:pPr>
    </w:p>
    <w:tbl>
      <w:tblPr>
        <w:tblW w:w="0" w:type="auto"/>
        <w:tblLook w:val="04A0" w:firstRow="1" w:lastRow="0" w:firstColumn="1" w:lastColumn="0" w:noHBand="0" w:noVBand="1"/>
      </w:tblPr>
      <w:tblGrid>
        <w:gridCol w:w="4428"/>
        <w:gridCol w:w="4428"/>
      </w:tblGrid>
      <w:tr w:rsidR="005F3A27" w:rsidRPr="005F3A27" w:rsidTr="00FE771E">
        <w:tc>
          <w:tcPr>
            <w:tcW w:w="4428" w:type="dxa"/>
            <w:shd w:val="clear" w:color="auto" w:fill="auto"/>
          </w:tcPr>
          <w:p w:rsidR="005F3A27" w:rsidRPr="005F3A27" w:rsidRDefault="005F3A27" w:rsidP="00FE771E">
            <w:pPr>
              <w:spacing w:after="0" w:line="240" w:lineRule="auto"/>
              <w:rPr>
                <w:rFonts w:eastAsia="Times New Roman"/>
                <w:sz w:val="24"/>
                <w:szCs w:val="24"/>
              </w:rPr>
            </w:pPr>
            <w:r w:rsidRPr="005F3A27">
              <w:rPr>
                <w:rFonts w:eastAsia="Times New Roman"/>
                <w:sz w:val="24"/>
                <w:szCs w:val="24"/>
              </w:rPr>
              <w:t>William Wright</w:t>
            </w:r>
          </w:p>
          <w:p w:rsidR="005F3A27" w:rsidRPr="005F3A27" w:rsidRDefault="005F3A27" w:rsidP="00FE771E">
            <w:pPr>
              <w:spacing w:after="0" w:line="240" w:lineRule="auto"/>
              <w:rPr>
                <w:rFonts w:eastAsia="Times New Roman"/>
                <w:sz w:val="24"/>
                <w:szCs w:val="24"/>
              </w:rPr>
            </w:pPr>
            <w:r w:rsidRPr="005F3A27">
              <w:rPr>
                <w:rFonts w:eastAsia="Times New Roman"/>
                <w:sz w:val="24"/>
                <w:szCs w:val="24"/>
              </w:rPr>
              <w:t>Chief, Public Utilities Section</w:t>
            </w:r>
          </w:p>
          <w:p w:rsidR="005F3A27" w:rsidRPr="005F3A27" w:rsidRDefault="005F3A27" w:rsidP="00FE771E">
            <w:pPr>
              <w:spacing w:after="0" w:line="240" w:lineRule="auto"/>
              <w:rPr>
                <w:rFonts w:eastAsia="Times New Roman"/>
                <w:sz w:val="24"/>
                <w:szCs w:val="24"/>
              </w:rPr>
            </w:pPr>
            <w:r w:rsidRPr="005F3A27">
              <w:rPr>
                <w:rFonts w:eastAsia="Times New Roman"/>
                <w:sz w:val="24"/>
                <w:szCs w:val="24"/>
              </w:rPr>
              <w:t>Public Utilities Commission of Ohio</w:t>
            </w:r>
          </w:p>
          <w:p w:rsidR="005F3A27" w:rsidRPr="005F3A27" w:rsidRDefault="005F3A27" w:rsidP="00FE771E">
            <w:pPr>
              <w:spacing w:after="0" w:line="240" w:lineRule="auto"/>
              <w:rPr>
                <w:rFonts w:eastAsia="Times New Roman"/>
                <w:sz w:val="24"/>
                <w:szCs w:val="24"/>
              </w:rPr>
            </w:pPr>
            <w:r w:rsidRPr="005F3A27">
              <w:rPr>
                <w:rFonts w:eastAsia="Times New Roman"/>
                <w:sz w:val="24"/>
                <w:szCs w:val="24"/>
              </w:rPr>
              <w:t>180 East Broad Street</w:t>
            </w:r>
          </w:p>
          <w:p w:rsidR="005F3A27" w:rsidRPr="005F3A27" w:rsidRDefault="005F3A27" w:rsidP="00FE771E">
            <w:pPr>
              <w:spacing w:after="0" w:line="240" w:lineRule="auto"/>
              <w:rPr>
                <w:rFonts w:eastAsia="Times New Roman"/>
                <w:sz w:val="24"/>
                <w:szCs w:val="24"/>
              </w:rPr>
            </w:pPr>
            <w:r w:rsidRPr="005F3A27">
              <w:rPr>
                <w:rFonts w:eastAsia="Times New Roman"/>
                <w:sz w:val="24"/>
                <w:szCs w:val="24"/>
              </w:rPr>
              <w:t>Columbus, Ohio  43215</w:t>
            </w:r>
          </w:p>
          <w:p w:rsidR="005F3A27" w:rsidRPr="005F3A27" w:rsidRDefault="0005044A" w:rsidP="00FE771E">
            <w:pPr>
              <w:spacing w:after="0" w:line="240" w:lineRule="auto"/>
              <w:rPr>
                <w:rFonts w:eastAsia="Times New Roman"/>
                <w:sz w:val="24"/>
                <w:szCs w:val="24"/>
              </w:rPr>
            </w:pPr>
            <w:hyperlink r:id="rId11" w:history="1">
              <w:r w:rsidR="005F3A27" w:rsidRPr="005F3A27">
                <w:rPr>
                  <w:rFonts w:eastAsia="Times New Roman"/>
                  <w:color w:val="0000FF"/>
                  <w:sz w:val="24"/>
                  <w:szCs w:val="24"/>
                  <w:u w:val="single"/>
                </w:rPr>
                <w:t>William.wright@puc.state.oh.us</w:t>
              </w:r>
            </w:hyperlink>
          </w:p>
          <w:p w:rsidR="005F3A27" w:rsidRPr="005F3A27" w:rsidRDefault="0005044A" w:rsidP="00FE771E">
            <w:pPr>
              <w:spacing w:after="0" w:line="240" w:lineRule="auto"/>
              <w:rPr>
                <w:rFonts w:eastAsia="Times New Roman"/>
                <w:sz w:val="24"/>
                <w:szCs w:val="24"/>
              </w:rPr>
            </w:pPr>
            <w:hyperlink r:id="rId12" w:history="1">
              <w:r w:rsidR="005F3A27" w:rsidRPr="005F3A27">
                <w:rPr>
                  <w:rFonts w:eastAsia="Times New Roman"/>
                  <w:color w:val="0000FF"/>
                  <w:sz w:val="24"/>
                  <w:szCs w:val="24"/>
                  <w:u w:val="single"/>
                </w:rPr>
                <w:t>Bryce.mckenney@puc.state.oh.us</w:t>
              </w:r>
            </w:hyperlink>
          </w:p>
          <w:p w:rsidR="005F3A27" w:rsidRPr="005F3A27" w:rsidRDefault="005F3A27" w:rsidP="00FE771E">
            <w:pPr>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Thadeus B. Culley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Keyes, Fox &amp; Wiedman LLP</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436 14th Street, Suite 1305</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Oakland, California 94612</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510-314-8203</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510-314-8205</w:t>
            </w:r>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13" w:history="1">
              <w:r w:rsidR="005F3A27" w:rsidRPr="005F3A27">
                <w:rPr>
                  <w:rFonts w:eastAsia="Times New Roman"/>
                  <w:color w:val="0000FF"/>
                  <w:sz w:val="24"/>
                  <w:szCs w:val="24"/>
                  <w:u w:val="single"/>
                </w:rPr>
                <w:t>jkeyes@kfwlaw.com</w:t>
              </w:r>
            </w:hyperlink>
          </w:p>
          <w:p w:rsidR="005F3A27" w:rsidRPr="005F3A27" w:rsidRDefault="0005044A" w:rsidP="00FE771E">
            <w:pPr>
              <w:spacing w:after="0" w:line="240" w:lineRule="auto"/>
              <w:rPr>
                <w:rFonts w:eastAsia="Times New Roman"/>
                <w:color w:val="0000FF"/>
                <w:sz w:val="24"/>
                <w:szCs w:val="24"/>
              </w:rPr>
            </w:pPr>
            <w:hyperlink r:id="rId14" w:history="1">
              <w:r w:rsidR="005F3A27" w:rsidRPr="005F3A27">
                <w:rPr>
                  <w:rFonts w:eastAsia="Times New Roman"/>
                  <w:color w:val="0000FF"/>
                  <w:sz w:val="24"/>
                  <w:szCs w:val="24"/>
                  <w:u w:val="single"/>
                </w:rPr>
                <w:t>tculley@kfwlaw.com</w:t>
              </w:r>
            </w:hyperlink>
          </w:p>
          <w:p w:rsidR="005F3A27" w:rsidRPr="005F3A27" w:rsidRDefault="005F3A27" w:rsidP="00FE771E">
            <w:pPr>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Christopher J. Allwein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Advanced Energy Economy - Ohio</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Williams Allwein &amp; Moser, LLC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1373 Grandview Ave., Suite 212</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43212</w:t>
            </w:r>
          </w:p>
          <w:p w:rsidR="005F3A27" w:rsidRPr="005F3A27" w:rsidRDefault="0005044A" w:rsidP="00FE771E">
            <w:pPr>
              <w:tabs>
                <w:tab w:val="left" w:pos="1065"/>
              </w:tabs>
              <w:spacing w:after="0" w:line="240" w:lineRule="auto"/>
              <w:rPr>
                <w:rFonts w:eastAsia="Times New Roman"/>
                <w:color w:val="0000FF"/>
                <w:sz w:val="24"/>
                <w:szCs w:val="24"/>
              </w:rPr>
            </w:pPr>
            <w:hyperlink r:id="rId15" w:history="1">
              <w:r w:rsidR="005F3A27" w:rsidRPr="005F3A27">
                <w:rPr>
                  <w:rFonts w:eastAsia="Times New Roman"/>
                  <w:color w:val="0000FF"/>
                  <w:sz w:val="24"/>
                  <w:szCs w:val="24"/>
                  <w:u w:val="single"/>
                </w:rPr>
                <w:t>callwein@wamenergylaw.com</w:t>
              </w:r>
            </w:hyperlink>
          </w:p>
          <w:p w:rsidR="005F3A27" w:rsidRPr="005F3A27" w:rsidRDefault="005F3A27" w:rsidP="00FE771E">
            <w:pPr>
              <w:tabs>
                <w:tab w:val="left" w:pos="1065"/>
              </w:tabs>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Nicholas McDaniel</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Environmental Law &amp; Policy Center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1207 Grandview Avenue, Suite 201</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43212</w:t>
            </w:r>
          </w:p>
          <w:p w:rsidR="005F3A27" w:rsidRPr="005F3A27" w:rsidRDefault="0005044A" w:rsidP="00FE771E">
            <w:pPr>
              <w:spacing w:after="0" w:line="240" w:lineRule="auto"/>
              <w:rPr>
                <w:rFonts w:eastAsia="Times New Roman"/>
                <w:sz w:val="24"/>
                <w:szCs w:val="24"/>
              </w:rPr>
            </w:pPr>
            <w:hyperlink r:id="rId16" w:history="1">
              <w:r w:rsidR="005F3A27" w:rsidRPr="005F3A27">
                <w:rPr>
                  <w:rFonts w:eastAsia="Times New Roman"/>
                  <w:color w:val="0000FF"/>
                  <w:sz w:val="24"/>
                  <w:szCs w:val="24"/>
                  <w:u w:val="single"/>
                </w:rPr>
                <w:t>NMcDaniel@elpc.org</w:t>
              </w:r>
            </w:hyperlink>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Nolan Moser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Ohio Environmental Council</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1207 Grandview Avenue, Suite 201</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43212-3449</w:t>
            </w:r>
          </w:p>
          <w:p w:rsidR="005F3A27" w:rsidRPr="005F3A27" w:rsidRDefault="0005044A" w:rsidP="00FE771E">
            <w:pPr>
              <w:autoSpaceDE w:val="0"/>
              <w:autoSpaceDN w:val="0"/>
              <w:adjustRightInd w:val="0"/>
              <w:spacing w:after="0" w:line="240" w:lineRule="auto"/>
              <w:rPr>
                <w:rFonts w:eastAsia="Times New Roman"/>
                <w:sz w:val="24"/>
                <w:szCs w:val="24"/>
              </w:rPr>
            </w:pPr>
            <w:hyperlink r:id="rId17" w:history="1">
              <w:r w:rsidR="005F3A27" w:rsidRPr="005F3A27">
                <w:rPr>
                  <w:rFonts w:eastAsia="Times New Roman"/>
                  <w:color w:val="0000FF"/>
                  <w:sz w:val="24"/>
                  <w:szCs w:val="24"/>
                  <w:u w:val="single"/>
                </w:rPr>
                <w:t>Nolan@theoec.org</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Annie C. Lappé</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Solar Policy Director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The Vote Solar Initiative</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1120 Pearl Street, Suite 200</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Boulder, Colorado 80302</w:t>
            </w:r>
          </w:p>
          <w:p w:rsidR="005F3A27" w:rsidRPr="005F3A27" w:rsidRDefault="0005044A" w:rsidP="00FE771E">
            <w:pPr>
              <w:autoSpaceDE w:val="0"/>
              <w:autoSpaceDN w:val="0"/>
              <w:adjustRightInd w:val="0"/>
              <w:spacing w:after="0" w:line="240" w:lineRule="auto"/>
              <w:rPr>
                <w:rFonts w:eastAsia="Times New Roman"/>
                <w:sz w:val="24"/>
                <w:szCs w:val="24"/>
              </w:rPr>
            </w:pPr>
            <w:hyperlink r:id="rId18" w:history="1">
              <w:r w:rsidR="005F3A27" w:rsidRPr="005F3A27">
                <w:rPr>
                  <w:rFonts w:eastAsia="Times New Roman"/>
                  <w:color w:val="0000FF"/>
                  <w:sz w:val="24"/>
                  <w:szCs w:val="24"/>
                  <w:u w:val="single"/>
                </w:rPr>
                <w:t>annie@votesolar.org</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Kimberly W. Bojko</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Carpenter Lipps &amp; Leland LLP</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280 North High Street, Suite 1300</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w:t>
            </w:r>
          </w:p>
          <w:p w:rsidR="005F3A27" w:rsidRPr="005F3A27" w:rsidRDefault="0005044A" w:rsidP="00FE771E">
            <w:pPr>
              <w:autoSpaceDE w:val="0"/>
              <w:autoSpaceDN w:val="0"/>
              <w:adjustRightInd w:val="0"/>
              <w:spacing w:after="0" w:line="240" w:lineRule="auto"/>
              <w:rPr>
                <w:rFonts w:eastAsia="Times New Roman"/>
                <w:sz w:val="24"/>
                <w:szCs w:val="24"/>
              </w:rPr>
            </w:pPr>
            <w:hyperlink r:id="rId19" w:history="1">
              <w:r w:rsidR="005F3A27" w:rsidRPr="005F3A27">
                <w:rPr>
                  <w:rFonts w:eastAsia="Times New Roman"/>
                  <w:color w:val="0000FF"/>
                  <w:sz w:val="24"/>
                  <w:szCs w:val="24"/>
                  <w:u w:val="single"/>
                </w:rPr>
                <w:t>bojko@carpenterlipps.com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Elizabeth Watts</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Jeanne W. Kingery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Duke Energy Retail Sales, LLC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155 East Broad Street, 21 Fl</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w:t>
            </w:r>
          </w:p>
          <w:p w:rsidR="005F3A27" w:rsidRPr="005F3A27" w:rsidRDefault="0005044A" w:rsidP="00FE771E">
            <w:pPr>
              <w:autoSpaceDE w:val="0"/>
              <w:autoSpaceDN w:val="0"/>
              <w:adjustRightInd w:val="0"/>
              <w:spacing w:after="0" w:line="240" w:lineRule="auto"/>
              <w:rPr>
                <w:rFonts w:eastAsia="Times New Roman"/>
                <w:sz w:val="24"/>
                <w:szCs w:val="24"/>
              </w:rPr>
            </w:pPr>
            <w:hyperlink r:id="rId20" w:history="1">
              <w:r w:rsidR="005F3A27" w:rsidRPr="005F3A27">
                <w:rPr>
                  <w:rFonts w:eastAsia="Times New Roman"/>
                  <w:color w:val="0000FF"/>
                  <w:sz w:val="24"/>
                  <w:szCs w:val="24"/>
                  <w:u w:val="single"/>
                </w:rPr>
                <w:t>Jeanne.kingery@duke-energy.com</w:t>
              </w:r>
            </w:hyperlink>
          </w:p>
          <w:p w:rsidR="005F3A27" w:rsidRPr="005F3A27" w:rsidRDefault="0005044A" w:rsidP="00FE771E">
            <w:pPr>
              <w:autoSpaceDE w:val="0"/>
              <w:autoSpaceDN w:val="0"/>
              <w:adjustRightInd w:val="0"/>
              <w:spacing w:after="0" w:line="240" w:lineRule="auto"/>
              <w:rPr>
                <w:rFonts w:eastAsia="Times New Roman"/>
                <w:sz w:val="24"/>
                <w:szCs w:val="24"/>
              </w:rPr>
            </w:pPr>
            <w:hyperlink r:id="rId21" w:history="1">
              <w:r w:rsidR="005F3A27" w:rsidRPr="005F3A27">
                <w:rPr>
                  <w:rFonts w:eastAsia="Times New Roman"/>
                  <w:color w:val="0000FF"/>
                  <w:sz w:val="24"/>
                  <w:szCs w:val="24"/>
                  <w:u w:val="single"/>
                </w:rPr>
                <w:t>Elizabeth.watts@duke-energy.com</w:t>
              </w:r>
            </w:hyperlink>
          </w:p>
        </w:tc>
      </w:tr>
    </w:tbl>
    <w:p w:rsidR="005F3A27" w:rsidRPr="007A1505" w:rsidRDefault="005F3A27" w:rsidP="007A1505"/>
    <w:tbl>
      <w:tblPr>
        <w:tblW w:w="0" w:type="auto"/>
        <w:tblLook w:val="04A0" w:firstRow="1" w:lastRow="0" w:firstColumn="1" w:lastColumn="0" w:noHBand="0" w:noVBand="1"/>
      </w:tblPr>
      <w:tblGrid>
        <w:gridCol w:w="4428"/>
        <w:gridCol w:w="4428"/>
      </w:tblGrid>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lastRenderedPageBreak/>
              <w:t>Amy B. Spiller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Elizabeth H. Watts</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Duke Energy Business Services, LLC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139 East Fourth Street, 1303 Main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Cincinnati, Ohio  45202</w:t>
            </w:r>
          </w:p>
          <w:p w:rsidR="005F3A27" w:rsidRPr="005F3A27" w:rsidRDefault="0005044A" w:rsidP="00FE771E">
            <w:pPr>
              <w:autoSpaceDE w:val="0"/>
              <w:autoSpaceDN w:val="0"/>
              <w:adjustRightInd w:val="0"/>
              <w:spacing w:after="0" w:line="240" w:lineRule="auto"/>
              <w:rPr>
                <w:rFonts w:eastAsia="Times New Roman"/>
                <w:sz w:val="24"/>
                <w:szCs w:val="24"/>
              </w:rPr>
            </w:pPr>
            <w:hyperlink r:id="rId22" w:history="1">
              <w:r w:rsidR="005F3A27" w:rsidRPr="005F3A27">
                <w:rPr>
                  <w:rFonts w:eastAsia="Times New Roman"/>
                  <w:color w:val="0000FF"/>
                  <w:sz w:val="24"/>
                  <w:szCs w:val="24"/>
                  <w:u w:val="single"/>
                </w:rPr>
                <w:t>Elizabeth.watts@duke-energy.com</w:t>
              </w:r>
            </w:hyperlink>
          </w:p>
          <w:p w:rsidR="005F3A27" w:rsidRPr="005F3A27" w:rsidRDefault="0005044A" w:rsidP="00FE771E">
            <w:pPr>
              <w:autoSpaceDE w:val="0"/>
              <w:autoSpaceDN w:val="0"/>
              <w:adjustRightInd w:val="0"/>
              <w:spacing w:after="0" w:line="240" w:lineRule="auto"/>
              <w:rPr>
                <w:rFonts w:eastAsia="Times New Roman"/>
                <w:sz w:val="24"/>
                <w:szCs w:val="24"/>
              </w:rPr>
            </w:pPr>
            <w:hyperlink r:id="rId23" w:history="1">
              <w:r w:rsidR="005F3A27" w:rsidRPr="005F3A27">
                <w:rPr>
                  <w:rFonts w:eastAsia="Times New Roman"/>
                  <w:color w:val="0000FF"/>
                  <w:sz w:val="24"/>
                  <w:szCs w:val="24"/>
                  <w:u w:val="single"/>
                </w:rPr>
                <w:t>Amy.spiller@duke-energy.com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Judi L. Sobecki</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Dayton Power and Light Company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1065 Woodman Drive</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Dayton, Ohio  45432</w:t>
            </w:r>
          </w:p>
          <w:p w:rsidR="005F3A27" w:rsidRPr="005F3A27" w:rsidRDefault="0005044A" w:rsidP="00FE771E">
            <w:pPr>
              <w:autoSpaceDE w:val="0"/>
              <w:autoSpaceDN w:val="0"/>
              <w:adjustRightInd w:val="0"/>
              <w:spacing w:after="0" w:line="240" w:lineRule="auto"/>
              <w:rPr>
                <w:rFonts w:eastAsia="Times New Roman"/>
                <w:sz w:val="24"/>
                <w:szCs w:val="24"/>
              </w:rPr>
            </w:pPr>
            <w:hyperlink r:id="rId24" w:history="1">
              <w:r w:rsidR="005F3A27" w:rsidRPr="005F3A27">
                <w:rPr>
                  <w:rFonts w:eastAsia="Times New Roman"/>
                  <w:color w:val="0000FF"/>
                  <w:sz w:val="24"/>
                  <w:szCs w:val="24"/>
                  <w:u w:val="single"/>
                </w:rPr>
                <w:t>Judi.sobecki@dplinc.com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Nathan G. Johnson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Staff Attorney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Buckeye Forest Council</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1200 W. Fifth Ave., STE 103</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43212</w:t>
            </w:r>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25" w:history="1">
              <w:r w:rsidR="005F3A27" w:rsidRPr="005F3A27">
                <w:rPr>
                  <w:rFonts w:eastAsia="Times New Roman"/>
                  <w:color w:val="0000FF"/>
                  <w:sz w:val="24"/>
                  <w:szCs w:val="24"/>
                  <w:u w:val="single"/>
                </w:rPr>
                <w:t>nathan@buckeyeforestcouncil.org</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Trent A. Dougherty, Esq.</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Director of Legal Affairs</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Ohio Environmental Council</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1207 Grandview Ave. Suite 201</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43212</w:t>
            </w:r>
          </w:p>
          <w:p w:rsidR="005F3A27" w:rsidRPr="005F3A27" w:rsidRDefault="0005044A" w:rsidP="00FE771E">
            <w:pPr>
              <w:autoSpaceDE w:val="0"/>
              <w:autoSpaceDN w:val="0"/>
              <w:adjustRightInd w:val="0"/>
              <w:spacing w:after="0" w:line="240" w:lineRule="auto"/>
              <w:rPr>
                <w:rFonts w:eastAsia="Times New Roman"/>
                <w:sz w:val="24"/>
                <w:szCs w:val="24"/>
              </w:rPr>
            </w:pPr>
            <w:hyperlink r:id="rId26" w:history="1">
              <w:r w:rsidR="005F3A27" w:rsidRPr="005F3A27">
                <w:rPr>
                  <w:rFonts w:eastAsia="Times New Roman"/>
                  <w:color w:val="0000FF"/>
                  <w:sz w:val="24"/>
                  <w:szCs w:val="24"/>
                  <w:u w:val="single"/>
                </w:rPr>
                <w:t>trent@theoec.org</w:t>
              </w:r>
            </w:hyperlink>
          </w:p>
          <w:p w:rsidR="005F3A27" w:rsidRPr="005F3A27" w:rsidRDefault="005F3A27" w:rsidP="00FE771E">
            <w:pPr>
              <w:autoSpaceDE w:val="0"/>
              <w:autoSpaceDN w:val="0"/>
              <w:adjustRightInd w:val="0"/>
              <w:spacing w:after="0" w:line="240" w:lineRule="auto"/>
              <w:ind w:firstLine="720"/>
              <w:rPr>
                <w:rFonts w:eastAsia="Times New Roman"/>
                <w:color w:val="0000FF"/>
                <w:sz w:val="24"/>
                <w:szCs w:val="24"/>
              </w:rPr>
            </w:pPr>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Scotte Elliott, MSEE, CEM</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NABCEP Certified Solar PV</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InstallerTM</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Metro CD Engineering, LLC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7003 Post Road, Suite 204</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Dublin, Ohio 43016</w:t>
            </w:r>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27" w:history="1">
              <w:r w:rsidR="005F3A27" w:rsidRPr="005F3A27">
                <w:rPr>
                  <w:rFonts w:eastAsia="Times New Roman"/>
                  <w:color w:val="0000FF"/>
                  <w:sz w:val="24"/>
                  <w:szCs w:val="24"/>
                  <w:u w:val="single"/>
                </w:rPr>
                <w:t>selliott@metrocdengineering.com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Mark A. Hayden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Scott J. Casto</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FirstEnergy Service Company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76 South Main Street</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Akron, Ohio  44308</w:t>
            </w:r>
          </w:p>
          <w:p w:rsidR="005F3A27" w:rsidRPr="005F3A27" w:rsidRDefault="0005044A" w:rsidP="00FE771E">
            <w:pPr>
              <w:autoSpaceDE w:val="0"/>
              <w:autoSpaceDN w:val="0"/>
              <w:adjustRightInd w:val="0"/>
              <w:spacing w:after="0" w:line="240" w:lineRule="auto"/>
              <w:rPr>
                <w:rFonts w:eastAsia="Times New Roman"/>
                <w:sz w:val="24"/>
                <w:szCs w:val="24"/>
              </w:rPr>
            </w:pPr>
            <w:hyperlink r:id="rId28" w:history="1">
              <w:r w:rsidR="005F3A27" w:rsidRPr="005F3A27">
                <w:rPr>
                  <w:rFonts w:eastAsia="Times New Roman"/>
                  <w:color w:val="0000FF"/>
                  <w:sz w:val="24"/>
                  <w:szCs w:val="24"/>
                  <w:u w:val="single"/>
                </w:rPr>
                <w:t>haydenm@firstenergycorp.com</w:t>
              </w:r>
            </w:hyperlink>
          </w:p>
          <w:p w:rsidR="005F3A27" w:rsidRPr="005F3A27" w:rsidRDefault="0005044A" w:rsidP="00FE771E">
            <w:pPr>
              <w:autoSpaceDE w:val="0"/>
              <w:autoSpaceDN w:val="0"/>
              <w:adjustRightInd w:val="0"/>
              <w:spacing w:after="0" w:line="240" w:lineRule="auto"/>
              <w:rPr>
                <w:rFonts w:eastAsia="Times New Roman"/>
                <w:sz w:val="24"/>
                <w:szCs w:val="24"/>
              </w:rPr>
            </w:pPr>
            <w:hyperlink r:id="rId29" w:history="1">
              <w:r w:rsidR="005F3A27" w:rsidRPr="005F3A27">
                <w:rPr>
                  <w:rFonts w:eastAsia="Times New Roman"/>
                  <w:color w:val="0000FF"/>
                  <w:sz w:val="24"/>
                  <w:szCs w:val="24"/>
                  <w:u w:val="single"/>
                </w:rPr>
                <w:t>scasto@firstenergycorp.com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M. Howard Petricoff</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Stephen M. Howard</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Vorys, Sater, Seymour and Pease LLP</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i/>
                <w:iCs/>
                <w:sz w:val="24"/>
                <w:szCs w:val="24"/>
              </w:rPr>
              <w:t xml:space="preserve">52 </w:t>
            </w:r>
            <w:r w:rsidRPr="005F3A27">
              <w:rPr>
                <w:rFonts w:eastAsia="Times New Roman"/>
                <w:sz w:val="24"/>
                <w:szCs w:val="24"/>
              </w:rPr>
              <w:t>East Gay Street</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P. 0. Box 1008</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43216-1008</w:t>
            </w:r>
          </w:p>
          <w:p w:rsidR="005F3A27" w:rsidRPr="005F3A27" w:rsidRDefault="0005044A" w:rsidP="00FE771E">
            <w:pPr>
              <w:autoSpaceDE w:val="0"/>
              <w:autoSpaceDN w:val="0"/>
              <w:adjustRightInd w:val="0"/>
              <w:spacing w:after="0" w:line="240" w:lineRule="auto"/>
              <w:rPr>
                <w:rFonts w:eastAsia="Times New Roman"/>
                <w:sz w:val="24"/>
                <w:szCs w:val="24"/>
              </w:rPr>
            </w:pPr>
            <w:hyperlink r:id="rId30" w:history="1">
              <w:r w:rsidR="005F3A27" w:rsidRPr="005F3A27">
                <w:rPr>
                  <w:rFonts w:eastAsia="Times New Roman"/>
                  <w:color w:val="0000FF"/>
                  <w:sz w:val="24"/>
                  <w:szCs w:val="24"/>
                  <w:u w:val="single"/>
                </w:rPr>
                <w:t>mhpetricoff@vorys.com</w:t>
              </w:r>
            </w:hyperlink>
          </w:p>
          <w:p w:rsidR="005F3A27" w:rsidRPr="005F3A27" w:rsidRDefault="0005044A" w:rsidP="00FE771E">
            <w:pPr>
              <w:autoSpaceDE w:val="0"/>
              <w:autoSpaceDN w:val="0"/>
              <w:adjustRightInd w:val="0"/>
              <w:spacing w:after="0" w:line="240" w:lineRule="auto"/>
              <w:rPr>
                <w:rFonts w:eastAsia="Times New Roman"/>
                <w:sz w:val="24"/>
                <w:szCs w:val="24"/>
              </w:rPr>
            </w:pPr>
            <w:hyperlink r:id="rId31" w:history="1">
              <w:r w:rsidR="005F3A27" w:rsidRPr="005F3A27">
                <w:rPr>
                  <w:rFonts w:eastAsia="Times New Roman"/>
                  <w:color w:val="0000FF"/>
                  <w:sz w:val="24"/>
                  <w:szCs w:val="24"/>
                  <w:u w:val="single"/>
                </w:rPr>
                <w:t>smhoward@vorys.com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James W. Burk </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Counsel of Record</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Carrie M. Dunn </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FirstEnergy Corporation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76 South Main Street</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Akron, Ohio 44308</w:t>
            </w:r>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32" w:history="1">
              <w:r w:rsidR="005F3A27" w:rsidRPr="005F3A27">
                <w:rPr>
                  <w:rFonts w:eastAsia="Times New Roman"/>
                  <w:color w:val="0000FF"/>
                  <w:sz w:val="24"/>
                  <w:szCs w:val="24"/>
                  <w:u w:val="single"/>
                </w:rPr>
                <w:t>burkj@firstenergycorp.com</w:t>
              </w:r>
            </w:hyperlink>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33" w:history="1">
              <w:r w:rsidR="005F3A27" w:rsidRPr="005F3A27">
                <w:rPr>
                  <w:rFonts w:eastAsia="Times New Roman"/>
                  <w:color w:val="0000FF"/>
                  <w:sz w:val="24"/>
                  <w:szCs w:val="24"/>
                  <w:u w:val="single"/>
                </w:rPr>
                <w:t>cdunn@firstenergycorp.com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Colleen L. Mooney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Cathryn N. Loucas</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Ohio Partners for Affordable Energy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231 West Lima Street</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Findlay, Ohio 45840</w:t>
            </w:r>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34" w:history="1">
              <w:r w:rsidR="005F3A27" w:rsidRPr="005F3A27">
                <w:rPr>
                  <w:rFonts w:eastAsia="Times New Roman"/>
                  <w:color w:val="0000FF"/>
                  <w:sz w:val="24"/>
                  <w:szCs w:val="24"/>
                  <w:u w:val="single"/>
                </w:rPr>
                <w:t>cmooney@ohiopartners.org</w:t>
              </w:r>
            </w:hyperlink>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35" w:history="1">
              <w:r w:rsidR="005F3A27" w:rsidRPr="005F3A27">
                <w:rPr>
                  <w:rFonts w:eastAsia="Times New Roman"/>
                  <w:color w:val="0000FF"/>
                  <w:sz w:val="24"/>
                  <w:szCs w:val="24"/>
                  <w:u w:val="single"/>
                </w:rPr>
                <w:t>cloucas@ohiopartners.org</w:t>
              </w:r>
            </w:hyperlink>
          </w:p>
          <w:p w:rsidR="005F3A27" w:rsidRPr="005F3A27" w:rsidRDefault="005F3A27" w:rsidP="00FE771E">
            <w:pPr>
              <w:autoSpaceDE w:val="0"/>
              <w:autoSpaceDN w:val="0"/>
              <w:adjustRightInd w:val="0"/>
              <w:spacing w:after="0" w:line="240" w:lineRule="auto"/>
              <w:rPr>
                <w:rFonts w:eastAsia="Times New Roman"/>
                <w:color w:val="0000FF"/>
                <w:sz w:val="24"/>
                <w:szCs w:val="24"/>
              </w:rPr>
            </w:pPr>
          </w:p>
          <w:p w:rsidR="005F3A27" w:rsidRPr="005F3A27" w:rsidRDefault="005F3A27" w:rsidP="00FE771E">
            <w:pPr>
              <w:autoSpaceDE w:val="0"/>
              <w:autoSpaceDN w:val="0"/>
              <w:adjustRightInd w:val="0"/>
              <w:spacing w:after="0" w:line="240" w:lineRule="auto"/>
              <w:rPr>
                <w:rFonts w:eastAsia="Times New Roman"/>
                <w:sz w:val="24"/>
                <w:szCs w:val="24"/>
              </w:rPr>
            </w:pPr>
          </w:p>
        </w:tc>
      </w:tr>
    </w:tbl>
    <w:p w:rsidR="005F3A27" w:rsidRPr="005F3A27" w:rsidRDefault="005F3A27" w:rsidP="005F3A27">
      <w:pPr>
        <w:spacing w:after="0" w:line="240" w:lineRule="auto"/>
        <w:rPr>
          <w:rFonts w:eastAsia="Times New Roman"/>
          <w:sz w:val="24"/>
          <w:szCs w:val="24"/>
        </w:rPr>
      </w:pPr>
    </w:p>
    <w:tbl>
      <w:tblPr>
        <w:tblW w:w="0" w:type="auto"/>
        <w:tblLook w:val="04A0" w:firstRow="1" w:lastRow="0" w:firstColumn="1" w:lastColumn="0" w:noHBand="0" w:noVBand="1"/>
      </w:tblPr>
      <w:tblGrid>
        <w:gridCol w:w="4428"/>
        <w:gridCol w:w="4428"/>
      </w:tblGrid>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Matthew J. Satterwhite</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Steven T. Nourse</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American Electric Power Corporation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lastRenderedPageBreak/>
              <w:t>1 Riverside Plaza, 29th Floor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w:t>
            </w:r>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36" w:history="1">
              <w:r w:rsidR="005F3A27" w:rsidRPr="005F3A27">
                <w:rPr>
                  <w:rFonts w:eastAsia="Times New Roman"/>
                  <w:color w:val="0000FF"/>
                  <w:sz w:val="24"/>
                  <w:szCs w:val="24"/>
                  <w:u w:val="single"/>
                </w:rPr>
                <w:t>mjstatterwhite@aep.com</w:t>
              </w:r>
            </w:hyperlink>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37" w:history="1">
              <w:r w:rsidR="005F3A27" w:rsidRPr="005F3A27">
                <w:rPr>
                  <w:rFonts w:eastAsia="Times New Roman"/>
                  <w:color w:val="0000FF"/>
                  <w:sz w:val="24"/>
                  <w:szCs w:val="24"/>
                  <w:u w:val="single"/>
                </w:rPr>
                <w:t>stnourse@aep.com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lastRenderedPageBreak/>
              <w:t>Richard L. Sites</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General Counsel and Senior Director of Health Policy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lastRenderedPageBreak/>
              <w:t>155 East Broad Street, 15th Floor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43215-3620</w:t>
            </w:r>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38" w:history="1">
              <w:r w:rsidR="005F3A27" w:rsidRPr="005F3A27">
                <w:rPr>
                  <w:rFonts w:eastAsia="Times New Roman"/>
                  <w:color w:val="0000FF"/>
                  <w:sz w:val="24"/>
                  <w:szCs w:val="24"/>
                  <w:u w:val="single"/>
                </w:rPr>
                <w:t>ricks@OHANET.org</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lastRenderedPageBreak/>
              <w:t>Thomas J. O’Brien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Bricker &amp; Eckler LLP</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100 South Third Street</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43215-4291</w:t>
            </w:r>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39" w:history="1">
              <w:r w:rsidR="005F3A27" w:rsidRPr="005F3A27">
                <w:rPr>
                  <w:rFonts w:eastAsia="Times New Roman"/>
                  <w:color w:val="0000FF"/>
                  <w:sz w:val="24"/>
                  <w:szCs w:val="24"/>
                  <w:u w:val="single"/>
                </w:rPr>
                <w:t>tobrien@bricker.com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Matthew White </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In-House Counsel</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Interstate Gas Supply, Inc.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6100 Emerald Parkway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Dublin, Ohio 43016</w:t>
            </w:r>
          </w:p>
          <w:p w:rsidR="005F3A27" w:rsidRPr="005F3A27" w:rsidRDefault="0005044A" w:rsidP="00FE771E">
            <w:pPr>
              <w:autoSpaceDE w:val="0"/>
              <w:autoSpaceDN w:val="0"/>
              <w:adjustRightInd w:val="0"/>
              <w:spacing w:after="0" w:line="240" w:lineRule="auto"/>
              <w:rPr>
                <w:rFonts w:eastAsia="Times New Roman"/>
                <w:sz w:val="24"/>
                <w:szCs w:val="24"/>
              </w:rPr>
            </w:pPr>
            <w:hyperlink r:id="rId40" w:history="1">
              <w:r w:rsidR="005F3A27" w:rsidRPr="005F3A27">
                <w:rPr>
                  <w:rFonts w:eastAsia="Times New Roman"/>
                  <w:color w:val="0000FF"/>
                  <w:sz w:val="24"/>
                  <w:szCs w:val="24"/>
                  <w:u w:val="single"/>
                </w:rPr>
                <w:t>mswhite@igsenergy.com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Steven Giles</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Vice President – Alternative Energy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Hull &amp; Associate, Inc.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6397 Emerald Parkway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Dublin, Ohio 43016</w:t>
            </w:r>
          </w:p>
          <w:p w:rsidR="005F3A27" w:rsidRPr="005F3A27" w:rsidRDefault="0005044A" w:rsidP="00FE771E">
            <w:pPr>
              <w:autoSpaceDE w:val="0"/>
              <w:autoSpaceDN w:val="0"/>
              <w:adjustRightInd w:val="0"/>
              <w:spacing w:after="0" w:line="240" w:lineRule="auto"/>
              <w:rPr>
                <w:rFonts w:eastAsia="Times New Roman"/>
                <w:sz w:val="24"/>
                <w:szCs w:val="24"/>
              </w:rPr>
            </w:pPr>
            <w:hyperlink r:id="rId41" w:history="1">
              <w:r w:rsidR="005F3A27" w:rsidRPr="005F3A27">
                <w:rPr>
                  <w:rFonts w:eastAsia="Times New Roman"/>
                  <w:color w:val="0000FF"/>
                  <w:sz w:val="24"/>
                  <w:szCs w:val="24"/>
                  <w:u w:val="single"/>
                </w:rPr>
                <w:t>sgiles@hullinc.com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bCs/>
                <w:sz w:val="24"/>
                <w:szCs w:val="24"/>
              </w:rPr>
            </w:pPr>
            <w:r w:rsidRPr="005F3A27">
              <w:rPr>
                <w:rFonts w:eastAsia="Times New Roman"/>
                <w:bCs/>
                <w:sz w:val="24"/>
                <w:szCs w:val="24"/>
              </w:rPr>
              <w:t>Jennifer L. Lause</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Direct Energy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Fifth Third Building</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21 East State Street, 19th Floor</w:t>
            </w:r>
          </w:p>
          <w:p w:rsidR="005F3A27" w:rsidRPr="00890E3F"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w:t>
            </w:r>
            <w:r w:rsidRPr="005F3A27">
              <w:rPr>
                <w:rFonts w:eastAsia="Times New Roman"/>
                <w:color w:val="0000FF"/>
                <w:sz w:val="24"/>
                <w:szCs w:val="24"/>
                <w:u w:val="single"/>
              </w:rPr>
              <w:t>j</w:t>
            </w:r>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42" w:history="1">
              <w:r w:rsidR="005F3A27" w:rsidRPr="005F3A27">
                <w:rPr>
                  <w:rFonts w:eastAsia="Times New Roman"/>
                  <w:color w:val="0000FF"/>
                  <w:sz w:val="24"/>
                  <w:szCs w:val="24"/>
                  <w:u w:val="single"/>
                </w:rPr>
                <w:t>jennifer.lause@directenergy.com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Emma Berndt</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Opower, Inc.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1515 North Courthouse Road</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Arlington, Virginia 22201</w:t>
            </w:r>
          </w:p>
          <w:p w:rsidR="005F3A27" w:rsidRPr="005F3A27" w:rsidRDefault="0005044A" w:rsidP="00FE771E">
            <w:pPr>
              <w:autoSpaceDE w:val="0"/>
              <w:autoSpaceDN w:val="0"/>
              <w:adjustRightInd w:val="0"/>
              <w:spacing w:after="0" w:line="240" w:lineRule="auto"/>
              <w:rPr>
                <w:rFonts w:eastAsia="Times New Roman"/>
                <w:sz w:val="24"/>
                <w:szCs w:val="24"/>
              </w:rPr>
            </w:pPr>
            <w:hyperlink r:id="rId43" w:history="1">
              <w:r w:rsidR="005F3A27" w:rsidRPr="005F3A27">
                <w:rPr>
                  <w:rFonts w:eastAsia="Times New Roman"/>
                  <w:color w:val="0000FF"/>
                  <w:sz w:val="24"/>
                  <w:szCs w:val="24"/>
                  <w:u w:val="single"/>
                </w:rPr>
                <w:t>Emma.berndt@opower.com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James Nice</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230 W. Huron, Ste. 85-53</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Cleveland, Ohio 44113</w:t>
            </w:r>
          </w:p>
          <w:p w:rsidR="005F3A27" w:rsidRPr="005F3A27" w:rsidRDefault="0005044A" w:rsidP="00FE771E">
            <w:pPr>
              <w:autoSpaceDE w:val="0"/>
              <w:autoSpaceDN w:val="0"/>
              <w:adjustRightInd w:val="0"/>
              <w:spacing w:after="0" w:line="240" w:lineRule="auto"/>
              <w:rPr>
                <w:rFonts w:eastAsia="Times New Roman"/>
                <w:color w:val="0000FF"/>
                <w:sz w:val="24"/>
                <w:szCs w:val="24"/>
              </w:rPr>
            </w:pPr>
            <w:hyperlink r:id="rId44" w:history="1">
              <w:r w:rsidR="005F3A27" w:rsidRPr="005F3A27">
                <w:rPr>
                  <w:rFonts w:eastAsia="Times New Roman"/>
                  <w:color w:val="0000FF"/>
                  <w:sz w:val="24"/>
                  <w:szCs w:val="24"/>
                  <w:u w:val="single"/>
                </w:rPr>
                <w:t>jnice@energy-avenue.com</w:t>
              </w:r>
            </w:hyperlink>
          </w:p>
          <w:p w:rsidR="005F3A27" w:rsidRPr="005F3A27" w:rsidRDefault="005F3A27" w:rsidP="00FE771E">
            <w:pPr>
              <w:autoSpaceDE w:val="0"/>
              <w:autoSpaceDN w:val="0"/>
              <w:adjustRightInd w:val="0"/>
              <w:spacing w:after="0" w:line="240" w:lineRule="auto"/>
              <w:rPr>
                <w:rFonts w:eastAsia="Times New Roman"/>
                <w:color w:val="0000FF"/>
                <w:sz w:val="24"/>
                <w:szCs w:val="24"/>
              </w:rPr>
            </w:pPr>
          </w:p>
          <w:p w:rsidR="005F3A27" w:rsidRPr="005F3A27" w:rsidRDefault="005F3A27" w:rsidP="00FE771E">
            <w:pPr>
              <w:autoSpaceDE w:val="0"/>
              <w:autoSpaceDN w:val="0"/>
              <w:adjustRightInd w:val="0"/>
              <w:spacing w:after="0" w:line="240" w:lineRule="auto"/>
              <w:rPr>
                <w:rFonts w:eastAsia="Times New Roman"/>
                <w:bCs/>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Mallory M. Mohler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Carpenter Lipps &amp; Leland LLP</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280 North High St., Ste. 1300</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w:t>
            </w:r>
          </w:p>
          <w:p w:rsidR="005F3A27" w:rsidRPr="005F3A27" w:rsidRDefault="0005044A" w:rsidP="00FE771E">
            <w:pPr>
              <w:autoSpaceDE w:val="0"/>
              <w:autoSpaceDN w:val="0"/>
              <w:adjustRightInd w:val="0"/>
              <w:spacing w:after="0" w:line="240" w:lineRule="auto"/>
              <w:rPr>
                <w:rFonts w:eastAsia="Times New Roman"/>
                <w:sz w:val="24"/>
                <w:szCs w:val="24"/>
              </w:rPr>
            </w:pPr>
            <w:hyperlink r:id="rId45" w:history="1">
              <w:r w:rsidR="005F3A27" w:rsidRPr="005F3A27">
                <w:rPr>
                  <w:rFonts w:eastAsia="Times New Roman"/>
                  <w:color w:val="0000FF"/>
                  <w:sz w:val="24"/>
                  <w:szCs w:val="24"/>
                  <w:u w:val="single"/>
                </w:rPr>
                <w:t>mohler@carpenterlipps.com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pStyle w:val="Default"/>
              <w:rPr>
                <w:rFonts w:ascii="Arial" w:hAnsi="Arial" w:cs="Arial"/>
                <w:bCs/>
              </w:rPr>
            </w:pPr>
            <w:r w:rsidRPr="005F3A27">
              <w:rPr>
                <w:rFonts w:ascii="Arial" w:hAnsi="Arial" w:cs="Arial"/>
                <w:bCs/>
              </w:rPr>
              <w:t>Melissa Yost</w:t>
            </w:r>
          </w:p>
          <w:p w:rsidR="005F3A27" w:rsidRPr="005F3A27" w:rsidRDefault="005F3A27" w:rsidP="00FE771E">
            <w:pPr>
              <w:pStyle w:val="Default"/>
              <w:rPr>
                <w:rFonts w:ascii="Arial" w:hAnsi="Arial" w:cs="Arial"/>
              </w:rPr>
            </w:pPr>
            <w:r w:rsidRPr="005F3A27">
              <w:rPr>
                <w:rFonts w:ascii="Arial" w:hAnsi="Arial" w:cs="Arial"/>
                <w:bCs/>
              </w:rPr>
              <w:t xml:space="preserve">Office of the Ohio Consumers’ Counsel </w:t>
            </w:r>
          </w:p>
          <w:p w:rsidR="005F3A27" w:rsidRPr="005F3A27" w:rsidRDefault="005F3A27" w:rsidP="00FE771E">
            <w:pPr>
              <w:pStyle w:val="Default"/>
              <w:rPr>
                <w:rFonts w:ascii="Arial" w:hAnsi="Arial" w:cs="Arial"/>
              </w:rPr>
            </w:pPr>
            <w:r w:rsidRPr="005F3A27">
              <w:rPr>
                <w:rFonts w:ascii="Arial" w:hAnsi="Arial" w:cs="Arial"/>
              </w:rPr>
              <w:t xml:space="preserve">10 West Broad Street, Suite 1800 </w:t>
            </w:r>
          </w:p>
          <w:p w:rsidR="005F3A27" w:rsidRPr="005F3A27" w:rsidRDefault="005F3A27" w:rsidP="00FE771E">
            <w:pPr>
              <w:pStyle w:val="Default"/>
              <w:rPr>
                <w:rFonts w:ascii="Arial" w:hAnsi="Arial" w:cs="Arial"/>
              </w:rPr>
            </w:pPr>
            <w:r w:rsidRPr="005F3A27">
              <w:rPr>
                <w:rFonts w:ascii="Arial" w:hAnsi="Arial" w:cs="Arial"/>
              </w:rPr>
              <w:t xml:space="preserve">Columbus, Ohio 43215-3485 </w:t>
            </w:r>
          </w:p>
          <w:p w:rsidR="005F3A27" w:rsidRPr="005F3A27" w:rsidRDefault="005F3A27" w:rsidP="00FE771E">
            <w:pPr>
              <w:pStyle w:val="Default"/>
              <w:rPr>
                <w:rFonts w:ascii="Arial" w:hAnsi="Arial" w:cs="Arial"/>
              </w:rPr>
            </w:pPr>
            <w:r w:rsidRPr="005F3A27">
              <w:rPr>
                <w:rFonts w:ascii="Arial" w:hAnsi="Arial" w:cs="Arial"/>
              </w:rPr>
              <w:t xml:space="preserve">(614) 466-1291 – Telephone </w:t>
            </w:r>
          </w:p>
          <w:p w:rsidR="005F3A27" w:rsidRPr="005F3A27" w:rsidRDefault="0005044A" w:rsidP="00FE771E">
            <w:pPr>
              <w:pStyle w:val="Default"/>
              <w:rPr>
                <w:rStyle w:val="Hyperlink"/>
                <w:rFonts w:ascii="Arial" w:hAnsi="Arial" w:cs="Arial"/>
              </w:rPr>
            </w:pPr>
            <w:hyperlink r:id="rId46" w:history="1">
              <w:r w:rsidR="005F3A27" w:rsidRPr="005F3A27">
                <w:rPr>
                  <w:rStyle w:val="Hyperlink"/>
                  <w:rFonts w:ascii="Arial" w:hAnsi="Arial" w:cs="Arial"/>
                </w:rPr>
                <w:t>yost@occ.state.oh.us</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bl>
    <w:p w:rsidR="005F3A27" w:rsidRPr="005F3A27" w:rsidRDefault="005F3A27" w:rsidP="005F3A27">
      <w:pPr>
        <w:spacing w:after="0" w:line="240" w:lineRule="auto"/>
        <w:rPr>
          <w:rFonts w:eastAsia="Times New Roman"/>
          <w:sz w:val="24"/>
          <w:szCs w:val="24"/>
        </w:rPr>
      </w:pPr>
    </w:p>
    <w:p w:rsidR="00B51CF2" w:rsidRPr="005F3A27" w:rsidRDefault="00B51CF2" w:rsidP="00081D81">
      <w:pPr>
        <w:spacing w:after="120" w:line="480" w:lineRule="auto"/>
        <w:jc w:val="both"/>
        <w:rPr>
          <w:sz w:val="24"/>
          <w:szCs w:val="24"/>
        </w:rPr>
      </w:pPr>
    </w:p>
    <w:p w:rsidR="005F3A27" w:rsidRPr="005F3A27" w:rsidRDefault="005F3A27">
      <w:pPr>
        <w:spacing w:after="120" w:line="480" w:lineRule="auto"/>
        <w:jc w:val="both"/>
        <w:rPr>
          <w:sz w:val="24"/>
          <w:szCs w:val="24"/>
        </w:rPr>
      </w:pPr>
    </w:p>
    <w:sectPr w:rsidR="005F3A27" w:rsidRPr="005F3A27">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4A" w:rsidRDefault="0005044A" w:rsidP="00C26F34">
      <w:pPr>
        <w:spacing w:after="0" w:line="240" w:lineRule="auto"/>
      </w:pPr>
      <w:r>
        <w:separator/>
      </w:r>
    </w:p>
  </w:endnote>
  <w:endnote w:type="continuationSeparator" w:id="0">
    <w:p w:rsidR="0005044A" w:rsidRDefault="0005044A" w:rsidP="00C2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E0" w:rsidRDefault="00F34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82740"/>
      <w:docPartObj>
        <w:docPartGallery w:val="Page Numbers (Bottom of Page)"/>
        <w:docPartUnique/>
      </w:docPartObj>
    </w:sdtPr>
    <w:sdtEndPr>
      <w:rPr>
        <w:noProof/>
      </w:rPr>
    </w:sdtEndPr>
    <w:sdtContent>
      <w:p w:rsidR="00886680" w:rsidRDefault="00886680">
        <w:pPr>
          <w:pStyle w:val="Footer"/>
          <w:jc w:val="center"/>
        </w:pPr>
        <w:r>
          <w:fldChar w:fldCharType="begin"/>
        </w:r>
        <w:r>
          <w:instrText xml:space="preserve"> PAGE   \* MERGEFORMAT </w:instrText>
        </w:r>
        <w:r>
          <w:fldChar w:fldCharType="separate"/>
        </w:r>
        <w:r w:rsidR="0022611D">
          <w:rPr>
            <w:noProof/>
          </w:rPr>
          <w:t>2</w:t>
        </w:r>
        <w:r>
          <w:rPr>
            <w:noProof/>
          </w:rPr>
          <w:fldChar w:fldCharType="end"/>
        </w:r>
      </w:p>
    </w:sdtContent>
  </w:sdt>
  <w:p w:rsidR="00886680" w:rsidRDefault="00886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E0" w:rsidRDefault="00F34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4A" w:rsidRDefault="0005044A" w:rsidP="00C26F34">
      <w:pPr>
        <w:spacing w:after="0" w:line="240" w:lineRule="auto"/>
      </w:pPr>
      <w:r>
        <w:separator/>
      </w:r>
    </w:p>
  </w:footnote>
  <w:footnote w:type="continuationSeparator" w:id="0">
    <w:p w:rsidR="0005044A" w:rsidRDefault="0005044A" w:rsidP="00C26F34">
      <w:pPr>
        <w:spacing w:after="0" w:line="240" w:lineRule="auto"/>
      </w:pPr>
      <w:r>
        <w:continuationSeparator/>
      </w:r>
    </w:p>
  </w:footnote>
  <w:footnote w:id="1">
    <w:p w:rsidR="000C02C6" w:rsidRDefault="000C02C6">
      <w:pPr>
        <w:pStyle w:val="FootnoteText"/>
      </w:pPr>
      <w:r>
        <w:rPr>
          <w:rStyle w:val="FootnoteReference"/>
        </w:rPr>
        <w:footnoteRef/>
      </w:r>
      <w:r w:rsidR="00F74351">
        <w:t xml:space="preserve"> R.C. 4928.02(C),(F), </w:t>
      </w:r>
      <w:r>
        <w:t>and (K).</w:t>
      </w:r>
    </w:p>
    <w:p w:rsidR="000C02C6" w:rsidRDefault="000C02C6">
      <w:pPr>
        <w:pStyle w:val="FootnoteText"/>
      </w:pPr>
    </w:p>
  </w:footnote>
  <w:footnote w:id="2">
    <w:p w:rsidR="000C02C6" w:rsidRDefault="000C02C6">
      <w:pPr>
        <w:pStyle w:val="FootnoteText"/>
      </w:pPr>
      <w:r>
        <w:rPr>
          <w:rStyle w:val="FootnoteReference"/>
        </w:rPr>
        <w:footnoteRef/>
      </w:r>
      <w:r>
        <w:t xml:space="preserve"> R.C. 4928.02(K) “E</w:t>
      </w:r>
      <w:r w:rsidRPr="000C02C6">
        <w:t>ncourage implementation of distributed generation across customer classes through regular review and updating of administrative rules governing critical issues such as, but not limited to, interconnection standards, standby charges, and</w:t>
      </w:r>
      <w:r w:rsidRPr="000C02C6">
        <w:rPr>
          <w:b/>
          <w:i/>
        </w:rPr>
        <w:t xml:space="preserve"> net metering</w:t>
      </w:r>
      <w:r w:rsidRPr="000C02C6">
        <w:t>.”</w:t>
      </w:r>
      <w:r>
        <w:t xml:space="preserve"> (emphasis added).</w:t>
      </w:r>
      <w:r w:rsidRPr="000C02C6">
        <w:t xml:space="preserve">  </w:t>
      </w:r>
    </w:p>
    <w:p w:rsidR="000C02C6" w:rsidRDefault="000C02C6">
      <w:pPr>
        <w:pStyle w:val="FootnoteText"/>
      </w:pPr>
    </w:p>
  </w:footnote>
  <w:footnote w:id="3">
    <w:p w:rsidR="000E422C" w:rsidRDefault="000E422C">
      <w:pPr>
        <w:pStyle w:val="FootnoteText"/>
      </w:pPr>
      <w:r>
        <w:rPr>
          <w:rStyle w:val="FootnoteReference"/>
        </w:rPr>
        <w:footnoteRef/>
      </w:r>
      <w:r>
        <w:t xml:space="preserve"> Indeed, 58 megawatts are comprised of projects of 1 mw or greater. </w:t>
      </w:r>
      <w:r w:rsidRPr="000E422C">
        <w:t>Source: http://www.puco.ohio.gov/puco/index.cfm/industry- information/industry-topics/ohioe28099s-renewable-and-advanced-energy-portfolio-standard/#sthash.KOdZ02wY.4QEix2Md.dpbs</w:t>
      </w:r>
    </w:p>
    <w:p w:rsidR="000E422C" w:rsidRDefault="000E422C">
      <w:pPr>
        <w:pStyle w:val="FootnoteText"/>
      </w:pPr>
    </w:p>
  </w:footnote>
  <w:footnote w:id="4">
    <w:p w:rsidR="00530628" w:rsidRDefault="00530628" w:rsidP="00530628">
      <w:pPr>
        <w:pStyle w:val="FootnoteText"/>
      </w:pPr>
      <w:r>
        <w:rPr>
          <w:rStyle w:val="FootnoteReference"/>
        </w:rPr>
        <w:footnoteRef/>
      </w:r>
      <w:r>
        <w:t xml:space="preserve"> Solar Energy Industries Association, January 7, 2016</w:t>
      </w:r>
    </w:p>
  </w:footnote>
  <w:footnote w:id="5">
    <w:p w:rsidR="00001D91" w:rsidRDefault="00001D91" w:rsidP="00001D91">
      <w:pPr>
        <w:pStyle w:val="FootnoteText"/>
      </w:pPr>
      <w:r>
        <w:rPr>
          <w:rStyle w:val="FootnoteReference"/>
        </w:rPr>
        <w:footnoteRef/>
      </w:r>
      <w:r w:rsidR="00890E3F">
        <w:t xml:space="preserve"> FirstEnergy Comments at 9-11; AEP Comments at 3-9. </w:t>
      </w:r>
    </w:p>
    <w:p w:rsidR="00001D91" w:rsidRDefault="00001D91" w:rsidP="00001D91">
      <w:pPr>
        <w:pStyle w:val="FootnoteText"/>
      </w:pPr>
    </w:p>
  </w:footnote>
  <w:footnote w:id="6">
    <w:p w:rsidR="00D27F9F" w:rsidRDefault="00D27F9F">
      <w:pPr>
        <w:pStyle w:val="FootnoteText"/>
      </w:pPr>
      <w:r>
        <w:rPr>
          <w:rStyle w:val="FootnoteReference"/>
        </w:rPr>
        <w:footnoteRef/>
      </w:r>
      <w:r w:rsidR="00C703BB">
        <w:t xml:space="preserve"> Entry at 20-21</w:t>
      </w:r>
      <w:r>
        <w:t xml:space="preserve"> (May 28, 2014)</w:t>
      </w:r>
      <w:r w:rsidR="00826227">
        <w:t xml:space="preserve"> (emphasis added)</w:t>
      </w:r>
      <w:r>
        <w:t>.</w:t>
      </w:r>
    </w:p>
  </w:footnote>
  <w:footnote w:id="7">
    <w:p w:rsidR="00890E3F" w:rsidRDefault="00890E3F">
      <w:pPr>
        <w:pStyle w:val="FootnoteText"/>
      </w:pPr>
      <w:r>
        <w:rPr>
          <w:rStyle w:val="FootnoteReference"/>
        </w:rPr>
        <w:footnoteRef/>
      </w:r>
      <w:r>
        <w:t xml:space="preserve"> Entry at 3-8 (July 23, 2014).</w:t>
      </w:r>
    </w:p>
    <w:p w:rsidR="00890E3F" w:rsidRDefault="00890E3F">
      <w:pPr>
        <w:pStyle w:val="FootnoteText"/>
      </w:pPr>
    </w:p>
  </w:footnote>
  <w:footnote w:id="8">
    <w:p w:rsidR="003247C9" w:rsidRPr="003247C9" w:rsidRDefault="003247C9" w:rsidP="0043269F">
      <w:pPr>
        <w:pStyle w:val="FootnoteText"/>
        <w:jc w:val="both"/>
        <w:rPr>
          <w:i/>
        </w:rPr>
      </w:pPr>
      <w:r>
        <w:rPr>
          <w:rStyle w:val="FootnoteReference"/>
        </w:rPr>
        <w:footnoteRef/>
      </w:r>
      <w:r w:rsidRPr="003247C9">
        <w:rPr>
          <w:i/>
        </w:rPr>
        <w:t xml:space="preserve"> In the Matter of the Application Seeking Approval of Ohio Power Company’s Proposal to Enter into an Affiliate Power Purchase Agreement for Inclusion in the Power Purchase Agreement Rider</w:t>
      </w:r>
      <w:r>
        <w:t xml:space="preserve">, Case Nos. 14-1693-EL-RDR, </w:t>
      </w:r>
      <w:r>
        <w:rPr>
          <w:i/>
        </w:rPr>
        <w:t>et al.</w:t>
      </w:r>
      <w:r>
        <w:t>, Stipulation and Recommendation</w:t>
      </w:r>
      <w:r w:rsidR="0043269F">
        <w:t xml:space="preserve"> at 29 (Dec. 14, 2015)</w:t>
      </w:r>
      <w:r>
        <w:t xml:space="preserve">; </w:t>
      </w:r>
      <w:r>
        <w:rPr>
          <w:i/>
        </w:rPr>
        <w:t xml:space="preserve"> </w:t>
      </w:r>
      <w:r w:rsidRPr="003247C9">
        <w:rPr>
          <w:i/>
        </w:rPr>
        <w:t>In the Ma</w:t>
      </w:r>
      <w:r>
        <w:rPr>
          <w:i/>
        </w:rPr>
        <w:t xml:space="preserve">tter of the Application of Ohio </w:t>
      </w:r>
      <w:r w:rsidRPr="003247C9">
        <w:rPr>
          <w:i/>
        </w:rPr>
        <w:t xml:space="preserve">Edison </w:t>
      </w:r>
      <w:r>
        <w:rPr>
          <w:i/>
        </w:rPr>
        <w:t xml:space="preserve">Company, The Cleveland Electric </w:t>
      </w:r>
      <w:r w:rsidRPr="003247C9">
        <w:rPr>
          <w:i/>
        </w:rPr>
        <w:t>Illu</w:t>
      </w:r>
      <w:r>
        <w:rPr>
          <w:i/>
        </w:rPr>
        <w:t xml:space="preserve">minating Company and The Toledo </w:t>
      </w:r>
      <w:r w:rsidRPr="003247C9">
        <w:rPr>
          <w:i/>
        </w:rPr>
        <w:t>Edison C</w:t>
      </w:r>
      <w:r>
        <w:rPr>
          <w:i/>
        </w:rPr>
        <w:t xml:space="preserve">ompany for Authority to Provide </w:t>
      </w:r>
      <w:r w:rsidRPr="003247C9">
        <w:rPr>
          <w:i/>
        </w:rPr>
        <w:t>for a Standard Service Offer Pursuant to R.C. 4928.143 in the Form of an Electric Security Plan</w:t>
      </w:r>
      <w:r>
        <w:t>, Case No. 14-1297-EL-SSO, Stipulation and Recommendation at 9 (Dec. 1, 2015).</w:t>
      </w:r>
    </w:p>
  </w:footnote>
  <w:footnote w:id="9">
    <w:p w:rsidR="00890E3F" w:rsidRDefault="00890E3F">
      <w:pPr>
        <w:pStyle w:val="FootnoteText"/>
      </w:pPr>
      <w:r>
        <w:rPr>
          <w:rStyle w:val="FootnoteReference"/>
        </w:rPr>
        <w:footnoteRef/>
      </w:r>
      <w:r>
        <w:t xml:space="preserve"> FirstEnergy Comments at 2-3.</w:t>
      </w:r>
    </w:p>
  </w:footnote>
  <w:footnote w:id="10">
    <w:p w:rsidR="00C94607" w:rsidRDefault="00C94607">
      <w:pPr>
        <w:pStyle w:val="FootnoteText"/>
      </w:pPr>
      <w:r>
        <w:rPr>
          <w:rStyle w:val="FootnoteReference"/>
        </w:rPr>
        <w:footnoteRef/>
      </w:r>
      <w:r>
        <w:t xml:space="preserve"> DP&amp;L at 3-5; Duke Comments at 2-3; FirstEnergy Comments at 6-8; AEP Comments at 12-17.</w:t>
      </w:r>
    </w:p>
  </w:footnote>
  <w:footnote w:id="11">
    <w:p w:rsidR="00D54A73" w:rsidRPr="00A80A94" w:rsidRDefault="00D54A73">
      <w:pPr>
        <w:pStyle w:val="FootnoteText"/>
      </w:pPr>
      <w:r w:rsidRPr="00A80A94">
        <w:rPr>
          <w:rStyle w:val="FootnoteReference"/>
        </w:rPr>
        <w:footnoteRef/>
      </w:r>
      <w:r w:rsidRPr="00A80A94">
        <w:t xml:space="preserve"> </w:t>
      </w:r>
      <w:r w:rsidRPr="00A80A94">
        <w:rPr>
          <w:rFonts w:eastAsia="Times New Roman"/>
          <w:color w:val="auto"/>
        </w:rPr>
        <w:t>R.C. 4928.01(A)(31)(d).</w:t>
      </w:r>
    </w:p>
  </w:footnote>
  <w:footnote w:id="12">
    <w:p w:rsidR="00890E3F" w:rsidRDefault="00890E3F">
      <w:pPr>
        <w:pStyle w:val="FootnoteText"/>
      </w:pPr>
      <w:r>
        <w:rPr>
          <w:rStyle w:val="FootnoteReference"/>
        </w:rPr>
        <w:footnoteRef/>
      </w:r>
      <w:r>
        <w:t xml:space="preserve"> DP&amp;L Comments at 2; FirstEnergy Comments at 3-4.</w:t>
      </w:r>
    </w:p>
    <w:p w:rsidR="00890E3F" w:rsidRDefault="00890E3F">
      <w:pPr>
        <w:pStyle w:val="FootnoteText"/>
      </w:pPr>
    </w:p>
  </w:footnote>
  <w:footnote w:id="13">
    <w:p w:rsidR="00890E3F" w:rsidRDefault="00890E3F">
      <w:pPr>
        <w:pStyle w:val="FootnoteText"/>
      </w:pPr>
      <w:r>
        <w:rPr>
          <w:rStyle w:val="FootnoteReference"/>
        </w:rPr>
        <w:footnoteRef/>
      </w:r>
      <w:r>
        <w:t xml:space="preserve"> FirstEnergy Comments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E0" w:rsidRDefault="00F34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E0" w:rsidRDefault="00F34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E0" w:rsidRDefault="00F34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462"/>
    <w:multiLevelType w:val="hybridMultilevel"/>
    <w:tmpl w:val="A6AA75E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nsid w:val="106C392E"/>
    <w:multiLevelType w:val="hybridMultilevel"/>
    <w:tmpl w:val="ECAACD8C"/>
    <w:lvl w:ilvl="0" w:tplc="68E22A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36AB9"/>
    <w:multiLevelType w:val="hybridMultilevel"/>
    <w:tmpl w:val="B42C9BE0"/>
    <w:lvl w:ilvl="0" w:tplc="87C4D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840E56"/>
    <w:multiLevelType w:val="hybridMultilevel"/>
    <w:tmpl w:val="411E68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E0273A2"/>
    <w:multiLevelType w:val="hybridMultilevel"/>
    <w:tmpl w:val="66368634"/>
    <w:lvl w:ilvl="0" w:tplc="E1D2F2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56EE3"/>
    <w:multiLevelType w:val="hybridMultilevel"/>
    <w:tmpl w:val="0B122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42001"/>
    <w:multiLevelType w:val="hybridMultilevel"/>
    <w:tmpl w:val="FD30C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97"/>
    <w:rsid w:val="00001D91"/>
    <w:rsid w:val="00031E4E"/>
    <w:rsid w:val="00045D7B"/>
    <w:rsid w:val="0005044A"/>
    <w:rsid w:val="00081D81"/>
    <w:rsid w:val="000864E0"/>
    <w:rsid w:val="000C02C6"/>
    <w:rsid w:val="000C10A1"/>
    <w:rsid w:val="000C21DF"/>
    <w:rsid w:val="000C4088"/>
    <w:rsid w:val="000E39DB"/>
    <w:rsid w:val="000E422C"/>
    <w:rsid w:val="000F276C"/>
    <w:rsid w:val="0012426E"/>
    <w:rsid w:val="001341D0"/>
    <w:rsid w:val="0018551F"/>
    <w:rsid w:val="00195E6B"/>
    <w:rsid w:val="001B2F54"/>
    <w:rsid w:val="001B4139"/>
    <w:rsid w:val="001D45A8"/>
    <w:rsid w:val="001E379A"/>
    <w:rsid w:val="00201DF7"/>
    <w:rsid w:val="00211BFD"/>
    <w:rsid w:val="002125C6"/>
    <w:rsid w:val="0022611D"/>
    <w:rsid w:val="00260999"/>
    <w:rsid w:val="0028385E"/>
    <w:rsid w:val="00290870"/>
    <w:rsid w:val="002D277B"/>
    <w:rsid w:val="002E0F64"/>
    <w:rsid w:val="003247C9"/>
    <w:rsid w:val="00336B5B"/>
    <w:rsid w:val="003A2B19"/>
    <w:rsid w:val="003A6449"/>
    <w:rsid w:val="003B1486"/>
    <w:rsid w:val="003D7CEE"/>
    <w:rsid w:val="003F5B91"/>
    <w:rsid w:val="00404592"/>
    <w:rsid w:val="0043269F"/>
    <w:rsid w:val="0044330F"/>
    <w:rsid w:val="0047259F"/>
    <w:rsid w:val="00491905"/>
    <w:rsid w:val="004A2500"/>
    <w:rsid w:val="004B6A22"/>
    <w:rsid w:val="004D0B5A"/>
    <w:rsid w:val="004E1830"/>
    <w:rsid w:val="00505266"/>
    <w:rsid w:val="00505A66"/>
    <w:rsid w:val="00527579"/>
    <w:rsid w:val="00530628"/>
    <w:rsid w:val="00577E6C"/>
    <w:rsid w:val="005A19B5"/>
    <w:rsid w:val="005A1B52"/>
    <w:rsid w:val="005A5997"/>
    <w:rsid w:val="005B1C05"/>
    <w:rsid w:val="005B586B"/>
    <w:rsid w:val="005E6B28"/>
    <w:rsid w:val="005F3A27"/>
    <w:rsid w:val="0061040B"/>
    <w:rsid w:val="00624A45"/>
    <w:rsid w:val="00694B29"/>
    <w:rsid w:val="006A18D0"/>
    <w:rsid w:val="006A5D18"/>
    <w:rsid w:val="006B7902"/>
    <w:rsid w:val="00707B69"/>
    <w:rsid w:val="007207CF"/>
    <w:rsid w:val="00742D54"/>
    <w:rsid w:val="00781C34"/>
    <w:rsid w:val="007953D5"/>
    <w:rsid w:val="007A1505"/>
    <w:rsid w:val="007A211B"/>
    <w:rsid w:val="007C368D"/>
    <w:rsid w:val="007D4559"/>
    <w:rsid w:val="007E461E"/>
    <w:rsid w:val="00801CBE"/>
    <w:rsid w:val="008241B8"/>
    <w:rsid w:val="00826227"/>
    <w:rsid w:val="00851859"/>
    <w:rsid w:val="00865E23"/>
    <w:rsid w:val="008857E0"/>
    <w:rsid w:val="00886680"/>
    <w:rsid w:val="00887A15"/>
    <w:rsid w:val="00890E3F"/>
    <w:rsid w:val="008B2756"/>
    <w:rsid w:val="00905A66"/>
    <w:rsid w:val="00914BF1"/>
    <w:rsid w:val="0094303A"/>
    <w:rsid w:val="00962193"/>
    <w:rsid w:val="009A457A"/>
    <w:rsid w:val="009B6B9D"/>
    <w:rsid w:val="009C3798"/>
    <w:rsid w:val="009F362E"/>
    <w:rsid w:val="009F5B55"/>
    <w:rsid w:val="00A010D7"/>
    <w:rsid w:val="00A139E8"/>
    <w:rsid w:val="00A13B8F"/>
    <w:rsid w:val="00A17EAA"/>
    <w:rsid w:val="00A80A94"/>
    <w:rsid w:val="00AA4866"/>
    <w:rsid w:val="00AA6ACD"/>
    <w:rsid w:val="00AA7BAE"/>
    <w:rsid w:val="00AC5097"/>
    <w:rsid w:val="00AF50BB"/>
    <w:rsid w:val="00B11434"/>
    <w:rsid w:val="00B14BF2"/>
    <w:rsid w:val="00B2208A"/>
    <w:rsid w:val="00B27667"/>
    <w:rsid w:val="00B333C0"/>
    <w:rsid w:val="00B40E95"/>
    <w:rsid w:val="00B51CF2"/>
    <w:rsid w:val="00B954AA"/>
    <w:rsid w:val="00BC39C9"/>
    <w:rsid w:val="00C023F0"/>
    <w:rsid w:val="00C26F34"/>
    <w:rsid w:val="00C63DA2"/>
    <w:rsid w:val="00C703BB"/>
    <w:rsid w:val="00C94607"/>
    <w:rsid w:val="00CA4A09"/>
    <w:rsid w:val="00CA4B6F"/>
    <w:rsid w:val="00CA6856"/>
    <w:rsid w:val="00CD02E7"/>
    <w:rsid w:val="00CF47B9"/>
    <w:rsid w:val="00D04C9C"/>
    <w:rsid w:val="00D27F9F"/>
    <w:rsid w:val="00D54A73"/>
    <w:rsid w:val="00D56E92"/>
    <w:rsid w:val="00D57981"/>
    <w:rsid w:val="00D71E02"/>
    <w:rsid w:val="00DD56E8"/>
    <w:rsid w:val="00E23091"/>
    <w:rsid w:val="00E441AA"/>
    <w:rsid w:val="00E741A1"/>
    <w:rsid w:val="00EA4238"/>
    <w:rsid w:val="00EA468F"/>
    <w:rsid w:val="00EA6F68"/>
    <w:rsid w:val="00EB2EFF"/>
    <w:rsid w:val="00EB5E11"/>
    <w:rsid w:val="00ED7B3E"/>
    <w:rsid w:val="00EE428C"/>
    <w:rsid w:val="00F34BE0"/>
    <w:rsid w:val="00F671A1"/>
    <w:rsid w:val="00F74351"/>
    <w:rsid w:val="00FC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856"/>
    <w:pPr>
      <w:ind w:left="720"/>
      <w:contextualSpacing/>
    </w:pPr>
  </w:style>
  <w:style w:type="paragraph" w:styleId="FootnoteText">
    <w:name w:val="footnote text"/>
    <w:basedOn w:val="Normal"/>
    <w:link w:val="FootnoteTextChar"/>
    <w:uiPriority w:val="99"/>
    <w:semiHidden/>
    <w:unhideWhenUsed/>
    <w:rsid w:val="00C26F34"/>
    <w:pPr>
      <w:spacing w:after="0" w:line="240" w:lineRule="auto"/>
    </w:pPr>
  </w:style>
  <w:style w:type="character" w:customStyle="1" w:styleId="FootnoteTextChar">
    <w:name w:val="Footnote Text Char"/>
    <w:basedOn w:val="DefaultParagraphFont"/>
    <w:link w:val="FootnoteText"/>
    <w:uiPriority w:val="99"/>
    <w:semiHidden/>
    <w:rsid w:val="00C26F34"/>
  </w:style>
  <w:style w:type="character" w:styleId="FootnoteReference">
    <w:name w:val="footnote reference"/>
    <w:basedOn w:val="DefaultParagraphFont"/>
    <w:uiPriority w:val="99"/>
    <w:semiHidden/>
    <w:unhideWhenUsed/>
    <w:rsid w:val="00C26F34"/>
    <w:rPr>
      <w:vertAlign w:val="superscript"/>
    </w:rPr>
  </w:style>
  <w:style w:type="paragraph" w:styleId="Footer">
    <w:name w:val="footer"/>
    <w:basedOn w:val="Normal"/>
    <w:link w:val="FooterChar"/>
    <w:uiPriority w:val="99"/>
    <w:unhideWhenUsed/>
    <w:rsid w:val="00905A66"/>
    <w:pPr>
      <w:tabs>
        <w:tab w:val="center" w:pos="4680"/>
        <w:tab w:val="right" w:pos="9360"/>
      </w:tabs>
      <w:spacing w:after="0" w:line="240" w:lineRule="auto"/>
    </w:pPr>
    <w:rPr>
      <w:rFonts w:asciiTheme="minorHAnsi" w:eastAsiaTheme="minorEastAsia" w:hAnsiTheme="minorHAnsi" w:cstheme="minorBidi"/>
      <w:color w:val="auto"/>
      <w:sz w:val="22"/>
      <w:szCs w:val="22"/>
    </w:rPr>
  </w:style>
  <w:style w:type="character" w:customStyle="1" w:styleId="FooterChar">
    <w:name w:val="Footer Char"/>
    <w:basedOn w:val="DefaultParagraphFont"/>
    <w:link w:val="Footer"/>
    <w:uiPriority w:val="99"/>
    <w:rsid w:val="00905A66"/>
    <w:rPr>
      <w:rFonts w:asciiTheme="minorHAnsi" w:eastAsiaTheme="minorEastAsia" w:hAnsiTheme="minorHAnsi" w:cstheme="minorBidi"/>
      <w:color w:val="auto"/>
      <w:sz w:val="22"/>
      <w:szCs w:val="22"/>
    </w:rPr>
  </w:style>
  <w:style w:type="paragraph" w:styleId="Title">
    <w:name w:val="Title"/>
    <w:basedOn w:val="Normal"/>
    <w:link w:val="TitleChar"/>
    <w:qFormat/>
    <w:rsid w:val="00905A66"/>
    <w:pPr>
      <w:spacing w:after="0" w:line="240" w:lineRule="auto"/>
      <w:jc w:val="center"/>
    </w:pPr>
    <w:rPr>
      <w:rFonts w:ascii="Times New Roman" w:eastAsia="Times New Roman" w:hAnsi="Times New Roman" w:cs="Times New Roman"/>
      <w:b/>
      <w:color w:val="auto"/>
      <w:sz w:val="24"/>
    </w:rPr>
  </w:style>
  <w:style w:type="character" w:customStyle="1" w:styleId="TitleChar">
    <w:name w:val="Title Char"/>
    <w:basedOn w:val="DefaultParagraphFont"/>
    <w:link w:val="Title"/>
    <w:rsid w:val="00905A66"/>
    <w:rPr>
      <w:rFonts w:ascii="Times New Roman" w:eastAsia="Times New Roman" w:hAnsi="Times New Roman" w:cs="Times New Roman"/>
      <w:b/>
      <w:color w:val="auto"/>
      <w:sz w:val="24"/>
    </w:rPr>
  </w:style>
  <w:style w:type="paragraph" w:styleId="Header">
    <w:name w:val="header"/>
    <w:basedOn w:val="Normal"/>
    <w:link w:val="HeaderChar"/>
    <w:uiPriority w:val="99"/>
    <w:unhideWhenUsed/>
    <w:rsid w:val="00886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80"/>
  </w:style>
  <w:style w:type="paragraph" w:styleId="BalloonText">
    <w:name w:val="Balloon Text"/>
    <w:basedOn w:val="Normal"/>
    <w:link w:val="BalloonTextChar"/>
    <w:uiPriority w:val="99"/>
    <w:semiHidden/>
    <w:unhideWhenUsed/>
    <w:rsid w:val="004E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30"/>
    <w:rPr>
      <w:rFonts w:ascii="Tahoma" w:hAnsi="Tahoma" w:cs="Tahoma"/>
      <w:sz w:val="16"/>
      <w:szCs w:val="16"/>
    </w:rPr>
  </w:style>
  <w:style w:type="character" w:styleId="CommentReference">
    <w:name w:val="annotation reference"/>
    <w:basedOn w:val="DefaultParagraphFont"/>
    <w:uiPriority w:val="99"/>
    <w:semiHidden/>
    <w:unhideWhenUsed/>
    <w:rsid w:val="002E0F64"/>
    <w:rPr>
      <w:sz w:val="16"/>
      <w:szCs w:val="16"/>
    </w:rPr>
  </w:style>
  <w:style w:type="paragraph" w:styleId="CommentText">
    <w:name w:val="annotation text"/>
    <w:basedOn w:val="Normal"/>
    <w:link w:val="CommentTextChar"/>
    <w:uiPriority w:val="99"/>
    <w:semiHidden/>
    <w:unhideWhenUsed/>
    <w:rsid w:val="002E0F64"/>
    <w:pPr>
      <w:spacing w:line="240" w:lineRule="auto"/>
    </w:pPr>
  </w:style>
  <w:style w:type="character" w:customStyle="1" w:styleId="CommentTextChar">
    <w:name w:val="Comment Text Char"/>
    <w:basedOn w:val="DefaultParagraphFont"/>
    <w:link w:val="CommentText"/>
    <w:uiPriority w:val="99"/>
    <w:semiHidden/>
    <w:rsid w:val="002E0F64"/>
  </w:style>
  <w:style w:type="paragraph" w:styleId="CommentSubject">
    <w:name w:val="annotation subject"/>
    <w:basedOn w:val="CommentText"/>
    <w:next w:val="CommentText"/>
    <w:link w:val="CommentSubjectChar"/>
    <w:uiPriority w:val="99"/>
    <w:semiHidden/>
    <w:unhideWhenUsed/>
    <w:rsid w:val="002E0F64"/>
    <w:rPr>
      <w:b/>
      <w:bCs/>
    </w:rPr>
  </w:style>
  <w:style w:type="character" w:customStyle="1" w:styleId="CommentSubjectChar">
    <w:name w:val="Comment Subject Char"/>
    <w:basedOn w:val="CommentTextChar"/>
    <w:link w:val="CommentSubject"/>
    <w:uiPriority w:val="99"/>
    <w:semiHidden/>
    <w:rsid w:val="002E0F64"/>
    <w:rPr>
      <w:b/>
      <w:bCs/>
    </w:rPr>
  </w:style>
  <w:style w:type="character" w:styleId="Hyperlink">
    <w:name w:val="Hyperlink"/>
    <w:basedOn w:val="DefaultParagraphFont"/>
    <w:uiPriority w:val="99"/>
    <w:rsid w:val="005F3A27"/>
    <w:rPr>
      <w:color w:val="0000FF"/>
      <w:u w:val="single"/>
    </w:rPr>
  </w:style>
  <w:style w:type="paragraph" w:customStyle="1" w:styleId="Default">
    <w:name w:val="Default"/>
    <w:rsid w:val="005F3A27"/>
    <w:pPr>
      <w:autoSpaceDE w:val="0"/>
      <w:autoSpaceDN w:val="0"/>
      <w:adjustRightInd w:val="0"/>
      <w:spacing w:after="0" w:line="240" w:lineRule="auto"/>
    </w:pPr>
    <w:rPr>
      <w:rFonts w:ascii="Times New Roman" w:eastAsia="Calibri" w:hAnsi="Times New Roman" w:cs="Times New Roman"/>
      <w:sz w:val="24"/>
      <w:szCs w:val="24"/>
    </w:rPr>
  </w:style>
  <w:style w:type="table" w:styleId="TableGrid">
    <w:name w:val="Table Grid"/>
    <w:basedOn w:val="TableNormal"/>
    <w:uiPriority w:val="59"/>
    <w:rsid w:val="00851859"/>
    <w:pPr>
      <w:spacing w:after="0" w:line="240" w:lineRule="auto"/>
    </w:pPr>
    <w:rPr>
      <w:rFonts w:asciiTheme="minorHAnsi" w:eastAsiaTheme="minorEastAsia" w:hAnsiTheme="minorHAnsi" w:cstheme="minorBid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530628"/>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856"/>
    <w:pPr>
      <w:ind w:left="720"/>
      <w:contextualSpacing/>
    </w:pPr>
  </w:style>
  <w:style w:type="paragraph" w:styleId="FootnoteText">
    <w:name w:val="footnote text"/>
    <w:basedOn w:val="Normal"/>
    <w:link w:val="FootnoteTextChar"/>
    <w:uiPriority w:val="99"/>
    <w:semiHidden/>
    <w:unhideWhenUsed/>
    <w:rsid w:val="00C26F34"/>
    <w:pPr>
      <w:spacing w:after="0" w:line="240" w:lineRule="auto"/>
    </w:pPr>
  </w:style>
  <w:style w:type="character" w:customStyle="1" w:styleId="FootnoteTextChar">
    <w:name w:val="Footnote Text Char"/>
    <w:basedOn w:val="DefaultParagraphFont"/>
    <w:link w:val="FootnoteText"/>
    <w:uiPriority w:val="99"/>
    <w:semiHidden/>
    <w:rsid w:val="00C26F34"/>
  </w:style>
  <w:style w:type="character" w:styleId="FootnoteReference">
    <w:name w:val="footnote reference"/>
    <w:basedOn w:val="DefaultParagraphFont"/>
    <w:uiPriority w:val="99"/>
    <w:semiHidden/>
    <w:unhideWhenUsed/>
    <w:rsid w:val="00C26F34"/>
    <w:rPr>
      <w:vertAlign w:val="superscript"/>
    </w:rPr>
  </w:style>
  <w:style w:type="paragraph" w:styleId="Footer">
    <w:name w:val="footer"/>
    <w:basedOn w:val="Normal"/>
    <w:link w:val="FooterChar"/>
    <w:uiPriority w:val="99"/>
    <w:unhideWhenUsed/>
    <w:rsid w:val="00905A66"/>
    <w:pPr>
      <w:tabs>
        <w:tab w:val="center" w:pos="4680"/>
        <w:tab w:val="right" w:pos="9360"/>
      </w:tabs>
      <w:spacing w:after="0" w:line="240" w:lineRule="auto"/>
    </w:pPr>
    <w:rPr>
      <w:rFonts w:asciiTheme="minorHAnsi" w:eastAsiaTheme="minorEastAsia" w:hAnsiTheme="minorHAnsi" w:cstheme="minorBidi"/>
      <w:color w:val="auto"/>
      <w:sz w:val="22"/>
      <w:szCs w:val="22"/>
    </w:rPr>
  </w:style>
  <w:style w:type="character" w:customStyle="1" w:styleId="FooterChar">
    <w:name w:val="Footer Char"/>
    <w:basedOn w:val="DefaultParagraphFont"/>
    <w:link w:val="Footer"/>
    <w:uiPriority w:val="99"/>
    <w:rsid w:val="00905A66"/>
    <w:rPr>
      <w:rFonts w:asciiTheme="minorHAnsi" w:eastAsiaTheme="minorEastAsia" w:hAnsiTheme="minorHAnsi" w:cstheme="minorBidi"/>
      <w:color w:val="auto"/>
      <w:sz w:val="22"/>
      <w:szCs w:val="22"/>
    </w:rPr>
  </w:style>
  <w:style w:type="paragraph" w:styleId="Title">
    <w:name w:val="Title"/>
    <w:basedOn w:val="Normal"/>
    <w:link w:val="TitleChar"/>
    <w:qFormat/>
    <w:rsid w:val="00905A66"/>
    <w:pPr>
      <w:spacing w:after="0" w:line="240" w:lineRule="auto"/>
      <w:jc w:val="center"/>
    </w:pPr>
    <w:rPr>
      <w:rFonts w:ascii="Times New Roman" w:eastAsia="Times New Roman" w:hAnsi="Times New Roman" w:cs="Times New Roman"/>
      <w:b/>
      <w:color w:val="auto"/>
      <w:sz w:val="24"/>
    </w:rPr>
  </w:style>
  <w:style w:type="character" w:customStyle="1" w:styleId="TitleChar">
    <w:name w:val="Title Char"/>
    <w:basedOn w:val="DefaultParagraphFont"/>
    <w:link w:val="Title"/>
    <w:rsid w:val="00905A66"/>
    <w:rPr>
      <w:rFonts w:ascii="Times New Roman" w:eastAsia="Times New Roman" w:hAnsi="Times New Roman" w:cs="Times New Roman"/>
      <w:b/>
      <w:color w:val="auto"/>
      <w:sz w:val="24"/>
    </w:rPr>
  </w:style>
  <w:style w:type="paragraph" w:styleId="Header">
    <w:name w:val="header"/>
    <w:basedOn w:val="Normal"/>
    <w:link w:val="HeaderChar"/>
    <w:uiPriority w:val="99"/>
    <w:unhideWhenUsed/>
    <w:rsid w:val="00886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80"/>
  </w:style>
  <w:style w:type="paragraph" w:styleId="BalloonText">
    <w:name w:val="Balloon Text"/>
    <w:basedOn w:val="Normal"/>
    <w:link w:val="BalloonTextChar"/>
    <w:uiPriority w:val="99"/>
    <w:semiHidden/>
    <w:unhideWhenUsed/>
    <w:rsid w:val="004E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30"/>
    <w:rPr>
      <w:rFonts w:ascii="Tahoma" w:hAnsi="Tahoma" w:cs="Tahoma"/>
      <w:sz w:val="16"/>
      <w:szCs w:val="16"/>
    </w:rPr>
  </w:style>
  <w:style w:type="character" w:styleId="CommentReference">
    <w:name w:val="annotation reference"/>
    <w:basedOn w:val="DefaultParagraphFont"/>
    <w:uiPriority w:val="99"/>
    <w:semiHidden/>
    <w:unhideWhenUsed/>
    <w:rsid w:val="002E0F64"/>
    <w:rPr>
      <w:sz w:val="16"/>
      <w:szCs w:val="16"/>
    </w:rPr>
  </w:style>
  <w:style w:type="paragraph" w:styleId="CommentText">
    <w:name w:val="annotation text"/>
    <w:basedOn w:val="Normal"/>
    <w:link w:val="CommentTextChar"/>
    <w:uiPriority w:val="99"/>
    <w:semiHidden/>
    <w:unhideWhenUsed/>
    <w:rsid w:val="002E0F64"/>
    <w:pPr>
      <w:spacing w:line="240" w:lineRule="auto"/>
    </w:pPr>
  </w:style>
  <w:style w:type="character" w:customStyle="1" w:styleId="CommentTextChar">
    <w:name w:val="Comment Text Char"/>
    <w:basedOn w:val="DefaultParagraphFont"/>
    <w:link w:val="CommentText"/>
    <w:uiPriority w:val="99"/>
    <w:semiHidden/>
    <w:rsid w:val="002E0F64"/>
  </w:style>
  <w:style w:type="paragraph" w:styleId="CommentSubject">
    <w:name w:val="annotation subject"/>
    <w:basedOn w:val="CommentText"/>
    <w:next w:val="CommentText"/>
    <w:link w:val="CommentSubjectChar"/>
    <w:uiPriority w:val="99"/>
    <w:semiHidden/>
    <w:unhideWhenUsed/>
    <w:rsid w:val="002E0F64"/>
    <w:rPr>
      <w:b/>
      <w:bCs/>
    </w:rPr>
  </w:style>
  <w:style w:type="character" w:customStyle="1" w:styleId="CommentSubjectChar">
    <w:name w:val="Comment Subject Char"/>
    <w:basedOn w:val="CommentTextChar"/>
    <w:link w:val="CommentSubject"/>
    <w:uiPriority w:val="99"/>
    <w:semiHidden/>
    <w:rsid w:val="002E0F64"/>
    <w:rPr>
      <w:b/>
      <w:bCs/>
    </w:rPr>
  </w:style>
  <w:style w:type="character" w:styleId="Hyperlink">
    <w:name w:val="Hyperlink"/>
    <w:basedOn w:val="DefaultParagraphFont"/>
    <w:uiPriority w:val="99"/>
    <w:rsid w:val="005F3A27"/>
    <w:rPr>
      <w:color w:val="0000FF"/>
      <w:u w:val="single"/>
    </w:rPr>
  </w:style>
  <w:style w:type="paragraph" w:customStyle="1" w:styleId="Default">
    <w:name w:val="Default"/>
    <w:rsid w:val="005F3A27"/>
    <w:pPr>
      <w:autoSpaceDE w:val="0"/>
      <w:autoSpaceDN w:val="0"/>
      <w:adjustRightInd w:val="0"/>
      <w:spacing w:after="0" w:line="240" w:lineRule="auto"/>
    </w:pPr>
    <w:rPr>
      <w:rFonts w:ascii="Times New Roman" w:eastAsia="Calibri" w:hAnsi="Times New Roman" w:cs="Times New Roman"/>
      <w:sz w:val="24"/>
      <w:szCs w:val="24"/>
    </w:rPr>
  </w:style>
  <w:style w:type="table" w:styleId="TableGrid">
    <w:name w:val="Table Grid"/>
    <w:basedOn w:val="TableNormal"/>
    <w:uiPriority w:val="59"/>
    <w:rsid w:val="00851859"/>
    <w:pPr>
      <w:spacing w:after="0" w:line="240" w:lineRule="auto"/>
    </w:pPr>
    <w:rPr>
      <w:rFonts w:asciiTheme="minorHAnsi" w:eastAsiaTheme="minorEastAsia" w:hAnsiTheme="minorHAnsi" w:cstheme="minorBid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53062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2561">
      <w:bodyDiv w:val="1"/>
      <w:marLeft w:val="0"/>
      <w:marRight w:val="0"/>
      <w:marTop w:val="0"/>
      <w:marBottom w:val="0"/>
      <w:divBdr>
        <w:top w:val="none" w:sz="0" w:space="0" w:color="auto"/>
        <w:left w:val="none" w:sz="0" w:space="0" w:color="auto"/>
        <w:bottom w:val="none" w:sz="0" w:space="0" w:color="auto"/>
        <w:right w:val="none" w:sz="0" w:space="0" w:color="auto"/>
      </w:divBdr>
    </w:div>
    <w:div w:id="1666323534">
      <w:bodyDiv w:val="1"/>
      <w:marLeft w:val="0"/>
      <w:marRight w:val="0"/>
      <w:marTop w:val="0"/>
      <w:marBottom w:val="0"/>
      <w:divBdr>
        <w:top w:val="none" w:sz="0" w:space="0" w:color="auto"/>
        <w:left w:val="none" w:sz="0" w:space="0" w:color="auto"/>
        <w:bottom w:val="none" w:sz="0" w:space="0" w:color="auto"/>
        <w:right w:val="none" w:sz="0" w:space="0" w:color="auto"/>
      </w:divBdr>
      <w:divsChild>
        <w:div w:id="391003656">
          <w:marLeft w:val="0"/>
          <w:marRight w:val="-5040"/>
          <w:marTop w:val="0"/>
          <w:marBottom w:val="0"/>
          <w:divBdr>
            <w:top w:val="none" w:sz="0" w:space="0" w:color="auto"/>
            <w:left w:val="none" w:sz="0" w:space="0" w:color="auto"/>
            <w:bottom w:val="none" w:sz="0" w:space="0" w:color="auto"/>
            <w:right w:val="none" w:sz="0" w:space="0" w:color="auto"/>
          </w:divBdr>
          <w:divsChild>
            <w:div w:id="53473787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keyes@kfwlaw.com" TargetMode="External"/><Relationship Id="rId18" Type="http://schemas.openxmlformats.org/officeDocument/2006/relationships/hyperlink" Target="mailto:annie@votesolar.org" TargetMode="External"/><Relationship Id="rId26" Type="http://schemas.openxmlformats.org/officeDocument/2006/relationships/hyperlink" Target="mailto:trent@theoec.org" TargetMode="External"/><Relationship Id="rId39" Type="http://schemas.openxmlformats.org/officeDocument/2006/relationships/hyperlink" Target="mailto:tobrien@bricker.com" TargetMode="External"/><Relationship Id="rId3" Type="http://schemas.openxmlformats.org/officeDocument/2006/relationships/styles" Target="styles.xml"/><Relationship Id="rId21" Type="http://schemas.openxmlformats.org/officeDocument/2006/relationships/hyperlink" Target="mailto:Elizabeth.watts@duke-energy.com" TargetMode="External"/><Relationship Id="rId34" Type="http://schemas.openxmlformats.org/officeDocument/2006/relationships/hyperlink" Target="mailto:cmooney@ohiopartners.org" TargetMode="External"/><Relationship Id="rId42" Type="http://schemas.openxmlformats.org/officeDocument/2006/relationships/hyperlink" Target="mailto:jennifer.lause@directenergy.co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Bryce.mckenney@puc.state.oh.us" TargetMode="External"/><Relationship Id="rId17" Type="http://schemas.openxmlformats.org/officeDocument/2006/relationships/hyperlink" Target="mailto:Nolan@theoec.org" TargetMode="External"/><Relationship Id="rId25" Type="http://schemas.openxmlformats.org/officeDocument/2006/relationships/hyperlink" Target="mailto:nathan@buckeyeforestcouncil.org" TargetMode="External"/><Relationship Id="rId33" Type="http://schemas.openxmlformats.org/officeDocument/2006/relationships/hyperlink" Target="mailto:cdunn@firstenergycorp.com" TargetMode="External"/><Relationship Id="rId38" Type="http://schemas.openxmlformats.org/officeDocument/2006/relationships/hyperlink" Target="mailto:ricks@OHANET.org" TargetMode="External"/><Relationship Id="rId46" Type="http://schemas.openxmlformats.org/officeDocument/2006/relationships/hyperlink" Target="mailto:yost@occ.state.oh.us" TargetMode="External"/><Relationship Id="rId2" Type="http://schemas.openxmlformats.org/officeDocument/2006/relationships/numbering" Target="numbering.xml"/><Relationship Id="rId16" Type="http://schemas.openxmlformats.org/officeDocument/2006/relationships/hyperlink" Target="mailto:NMcDaniel@elpc.org" TargetMode="External"/><Relationship Id="rId20" Type="http://schemas.openxmlformats.org/officeDocument/2006/relationships/hyperlink" Target="mailto:Jeanne.kingery@duke-energy.com" TargetMode="External"/><Relationship Id="rId29" Type="http://schemas.openxmlformats.org/officeDocument/2006/relationships/hyperlink" Target="mailto:scasto@firstenergycorp.com" TargetMode="External"/><Relationship Id="rId41" Type="http://schemas.openxmlformats.org/officeDocument/2006/relationships/hyperlink" Target="mailto:sgiles@hullinc.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wright@puc.state.oh.us" TargetMode="External"/><Relationship Id="rId24" Type="http://schemas.openxmlformats.org/officeDocument/2006/relationships/hyperlink" Target="mailto:Judi.sobecki@dplinc.com" TargetMode="External"/><Relationship Id="rId32" Type="http://schemas.openxmlformats.org/officeDocument/2006/relationships/hyperlink" Target="mailto:burkj@firstenergycorp.com" TargetMode="External"/><Relationship Id="rId37" Type="http://schemas.openxmlformats.org/officeDocument/2006/relationships/hyperlink" Target="mailto:stnourse@aep.com" TargetMode="External"/><Relationship Id="rId40" Type="http://schemas.openxmlformats.org/officeDocument/2006/relationships/hyperlink" Target="mailto:mswhite@igsenergy.com" TargetMode="External"/><Relationship Id="rId45" Type="http://schemas.openxmlformats.org/officeDocument/2006/relationships/hyperlink" Target="mailto:mohler@carpenterlipps.co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allwein@wamenergylaw.com" TargetMode="External"/><Relationship Id="rId23" Type="http://schemas.openxmlformats.org/officeDocument/2006/relationships/hyperlink" Target="mailto:Amy.spiller@duke-energy.com" TargetMode="External"/><Relationship Id="rId28" Type="http://schemas.openxmlformats.org/officeDocument/2006/relationships/hyperlink" Target="mailto:haydenm@firstenergycorp.com" TargetMode="External"/><Relationship Id="rId36" Type="http://schemas.openxmlformats.org/officeDocument/2006/relationships/hyperlink" Target="mailto:mjstatterwhite@aep.com" TargetMode="External"/><Relationship Id="rId49"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mailto:bojko@carpenterlipps.com" TargetMode="External"/><Relationship Id="rId31" Type="http://schemas.openxmlformats.org/officeDocument/2006/relationships/hyperlink" Target="mailto:smhoward@vorys.com" TargetMode="External"/><Relationship Id="rId44" Type="http://schemas.openxmlformats.org/officeDocument/2006/relationships/hyperlink" Target="mailto:jnice@energy-avenue.co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uco.ohio.gov/puco/index.cfm/industry-" TargetMode="External"/><Relationship Id="rId14" Type="http://schemas.openxmlformats.org/officeDocument/2006/relationships/hyperlink" Target="mailto:tculley@kfwlaw.com" TargetMode="External"/><Relationship Id="rId22" Type="http://schemas.openxmlformats.org/officeDocument/2006/relationships/hyperlink" Target="mailto:Elizabeth.watts@duke-energy.com" TargetMode="External"/><Relationship Id="rId27" Type="http://schemas.openxmlformats.org/officeDocument/2006/relationships/hyperlink" Target="mailto:selliott@metrocdengineering.com" TargetMode="External"/><Relationship Id="rId30" Type="http://schemas.openxmlformats.org/officeDocument/2006/relationships/hyperlink" Target="mailto:mhpetricoff@vorys.com" TargetMode="External"/><Relationship Id="rId35" Type="http://schemas.openxmlformats.org/officeDocument/2006/relationships/hyperlink" Target="mailto:cloucas@ohiopartners.org" TargetMode="External"/><Relationship Id="rId43" Type="http://schemas.openxmlformats.org/officeDocument/2006/relationships/hyperlink" Target="mailto:Emma.berndt@opower.com"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76159230096237"/>
          <c:y val="0.17171296296296298"/>
          <c:w val="0.86601618547681536"/>
          <c:h val="0.72088764946048411"/>
        </c:manualLayout>
      </c:layout>
      <c:barChart>
        <c:barDir val="col"/>
        <c:grouping val="clustered"/>
        <c:varyColors val="0"/>
        <c:ser>
          <c:idx val="0"/>
          <c:order val="0"/>
          <c:tx>
            <c:strRef>
              <c:f>Sheet1!$L$36</c:f>
              <c:strCache>
                <c:ptCount val="1"/>
                <c:pt idx="0">
                  <c:v>Distributed PV as Percent of Total Retail Sales</c:v>
                </c:pt>
              </c:strCache>
            </c:strRef>
          </c:tx>
          <c:spPr>
            <a:solidFill>
              <a:schemeClr val="accent1"/>
            </a:solidFill>
            <a:ln>
              <a:noFill/>
            </a:ln>
            <a:effectLst/>
          </c:spPr>
          <c:invertIfNegative val="0"/>
          <c:cat>
            <c:strRef>
              <c:f>Sheet1!$K$37:$K$39</c:f>
              <c:strCache>
                <c:ptCount val="3"/>
                <c:pt idx="0">
                  <c:v>Ohio </c:v>
                </c:pt>
                <c:pt idx="1">
                  <c:v>Pennsylvania </c:v>
                </c:pt>
                <c:pt idx="2">
                  <c:v>Maryland </c:v>
                </c:pt>
              </c:strCache>
            </c:strRef>
          </c:cat>
          <c:val>
            <c:numRef>
              <c:f>Sheet1!$L$37:$L$39</c:f>
              <c:numCache>
                <c:formatCode>0.00%</c:formatCode>
                <c:ptCount val="3"/>
                <c:pt idx="0">
                  <c:v>5.9999999999999995E-4</c:v>
                </c:pt>
                <c:pt idx="1">
                  <c:v>1.5E-3</c:v>
                </c:pt>
                <c:pt idx="2">
                  <c:v>4.0000000000000001E-3</c:v>
                </c:pt>
              </c:numCache>
            </c:numRef>
          </c:val>
        </c:ser>
        <c:dLbls>
          <c:showLegendKey val="0"/>
          <c:showVal val="0"/>
          <c:showCatName val="0"/>
          <c:showSerName val="0"/>
          <c:showPercent val="0"/>
          <c:showBubbleSize val="0"/>
        </c:dLbls>
        <c:gapWidth val="219"/>
        <c:overlap val="-27"/>
        <c:axId val="39152256"/>
        <c:axId val="77497856"/>
      </c:barChart>
      <c:catAx>
        <c:axId val="3915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97856"/>
        <c:crosses val="autoZero"/>
        <c:auto val="1"/>
        <c:lblAlgn val="ctr"/>
        <c:lblOffset val="100"/>
        <c:noMultiLvlLbl val="0"/>
      </c:catAx>
      <c:valAx>
        <c:axId val="77497856"/>
        <c:scaling>
          <c:orientation val="minMax"/>
          <c:max val="4.000000000000001E-3"/>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5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6AF1-8537-4138-A544-2E59A2B4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4255</Words>
  <Characters>25235</Characters>
  <Application>Microsoft Office Word</Application>
  <DocSecurity>0</DocSecurity>
  <Lines>647</Lines>
  <Paragraphs>320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2016-01-08T21:09:00Z</dcterms:created>
  <dcterms:modified xsi:type="dcterms:W3CDTF">2016-01-08T21:15:00Z</dcterms:modified>
</cp:coreProperties>
</file>