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112FEC" w:rsidRPr="00112FEC" w:rsidP="00112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Courier New"/>
          <w:b/>
          <w:bCs/>
          <w:szCs w:val="20"/>
        </w:rPr>
      </w:pPr>
      <w:bookmarkStart w:id="0" w:name="_GoBack"/>
      <w:bookmarkEnd w:id="0"/>
      <w:r w:rsidRPr="00112FEC">
        <w:rPr>
          <w:rFonts w:eastAsia="Courier New" w:cs="Courier New"/>
          <w:b/>
          <w:bCs/>
          <w:szCs w:val="20"/>
        </w:rPr>
        <w:t>BEFORE</w:t>
      </w:r>
    </w:p>
    <w:p w:rsidR="00112FEC" w:rsidRPr="00112FEC" w:rsidP="00112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cs="Courier New"/>
          <w:szCs w:val="20"/>
        </w:rPr>
      </w:pPr>
      <w:r w:rsidRPr="00112FEC">
        <w:rPr>
          <w:rFonts w:eastAsia="Courier New" w:cs="Courier New"/>
          <w:b/>
          <w:bCs/>
          <w:szCs w:val="20"/>
        </w:rPr>
        <w:t>THE PUBLIC UTILITIES COMMISSION OF OHIO</w:t>
      </w:r>
    </w:p>
    <w:p w:rsidR="00112FEC" w:rsidRPr="00112FEC" w:rsidP="00112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360"/>
        <w:gridCol w:w="4400"/>
      </w:tblGrid>
      <w:tr w:rsidTr="005C7DD6">
        <w:tblPrEx>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07"/>
        </w:trPr>
        <w:tc>
          <w:tcPr>
            <w:tcW w:w="5148" w:type="dxa"/>
            <w:tcBorders>
              <w:top w:val="nil"/>
              <w:left w:val="nil"/>
              <w:bottom w:val="nil"/>
              <w:right w:val="nil"/>
            </w:tcBorders>
            <w:shd w:val="clear" w:color="auto" w:fill="auto"/>
          </w:tcPr>
          <w:p w:rsidR="00B52E02" w:rsidRPr="00112FEC" w:rsidP="005C7DD6">
            <w:r>
              <w:t>In the Matter of the Application of The Dayton Power and Light Company to Update its Economic Development Rider.</w:t>
            </w:r>
          </w:p>
        </w:tc>
        <w:tc>
          <w:tcPr>
            <w:tcW w:w="360" w:type="dxa"/>
            <w:tcBorders>
              <w:top w:val="nil"/>
              <w:left w:val="nil"/>
              <w:bottom w:val="nil"/>
              <w:right w:val="nil"/>
            </w:tcBorders>
            <w:shd w:val="clear" w:color="auto" w:fill="auto"/>
          </w:tcPr>
          <w:p w:rsidR="00B52E02" w:rsidRPr="00112FEC" w:rsidP="005C7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r w:rsidRPr="00112FEC">
              <w:rPr>
                <w:rFonts w:eastAsia="Courier New" w:cs="Courier New"/>
                <w:szCs w:val="20"/>
              </w:rPr>
              <w:t>)</w:t>
            </w:r>
          </w:p>
          <w:p w:rsidR="00B52E02" w:rsidRPr="00112FEC" w:rsidP="005C7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r w:rsidRPr="00112FEC">
              <w:rPr>
                <w:rFonts w:eastAsia="Courier New" w:cs="Courier New"/>
                <w:szCs w:val="20"/>
              </w:rPr>
              <w:t>)</w:t>
            </w:r>
          </w:p>
          <w:p w:rsidR="00B52E02" w:rsidRPr="00112FEC" w:rsidP="005C7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r w:rsidRPr="00112FEC">
              <w:rPr>
                <w:rFonts w:eastAsia="Courier New" w:cs="Courier New"/>
                <w:szCs w:val="20"/>
              </w:rPr>
              <w:t>)</w:t>
            </w:r>
          </w:p>
        </w:tc>
        <w:tc>
          <w:tcPr>
            <w:tcW w:w="4400" w:type="dxa"/>
            <w:tcBorders>
              <w:top w:val="nil"/>
              <w:left w:val="nil"/>
              <w:bottom w:val="nil"/>
              <w:right w:val="nil"/>
            </w:tcBorders>
            <w:shd w:val="clear" w:color="auto" w:fill="auto"/>
          </w:tcPr>
          <w:p w:rsidR="00B52E02" w:rsidRPr="00112FEC" w:rsidP="005C7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p>
          <w:p w:rsidR="00B52E02" w:rsidRPr="00112FEC" w:rsidP="005C7DD6">
            <w:pPr>
              <w:rPr>
                <w:szCs w:val="20"/>
              </w:rPr>
            </w:pPr>
            <w:r w:rsidRPr="00112FEC">
              <w:t xml:space="preserve">Case No. </w:t>
            </w:r>
            <w:r>
              <w:t>18-0374-EL-RDR</w:t>
            </w:r>
          </w:p>
          <w:p w:rsidR="00B52E02" w:rsidRPr="00112FEC" w:rsidP="005C7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p>
        </w:tc>
      </w:tr>
    </w:tbl>
    <w:p w:rsidR="00112FEC" w:rsidRPr="00112FEC" w:rsidP="00112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p>
    <w:p w:rsidR="00112FEC" w:rsidRPr="00112FEC" w:rsidP="00112FEC">
      <w:pPr>
        <w:pBdr>
          <w:top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cs="Courier New"/>
          <w:szCs w:val="20"/>
        </w:rPr>
      </w:pPr>
    </w:p>
    <w:p w:rsidR="00112FEC" w:rsidRPr="00112FEC" w:rsidP="00112FEC">
      <w:pPr>
        <w:jc w:val="center"/>
        <w:rPr>
          <w:b/>
          <w:bCs/>
          <w:szCs w:val="20"/>
        </w:rPr>
      </w:pPr>
      <w:r>
        <w:rPr>
          <w:b/>
          <w:bCs/>
          <w:szCs w:val="20"/>
        </w:rPr>
        <w:t>COMMENTS</w:t>
      </w:r>
    </w:p>
    <w:p w:rsidR="00112FEC" w:rsidRPr="00112FEC" w:rsidP="00112FEC">
      <w:pPr>
        <w:jc w:val="center"/>
        <w:rPr>
          <w:b/>
          <w:bCs/>
          <w:szCs w:val="20"/>
        </w:rPr>
      </w:pPr>
      <w:r w:rsidRPr="00112FEC">
        <w:rPr>
          <w:b/>
          <w:bCs/>
          <w:szCs w:val="20"/>
        </w:rPr>
        <w:t>BY</w:t>
      </w:r>
    </w:p>
    <w:p w:rsidR="00112FEC" w:rsidRPr="00112FEC" w:rsidP="00112FEC">
      <w:pPr>
        <w:jc w:val="center"/>
        <w:rPr>
          <w:b/>
          <w:bCs/>
          <w:szCs w:val="20"/>
        </w:rPr>
      </w:pPr>
      <w:r w:rsidRPr="00112FEC">
        <w:rPr>
          <w:b/>
          <w:bCs/>
          <w:szCs w:val="20"/>
        </w:rPr>
        <w:t>THE OFFICE OF THE OHIO CONSUMERS’ COUNSEL</w:t>
      </w:r>
    </w:p>
    <w:p w:rsidR="00112FEC" w:rsidRPr="00112FEC" w:rsidP="00112FEC">
      <w:pPr>
        <w:pBdr>
          <w:bottom w:val="single" w:sz="12" w:space="1" w:color="auto"/>
        </w:pBdr>
        <w:tabs>
          <w:tab w:val="left" w:pos="4320"/>
        </w:tabs>
        <w:rPr>
          <w:szCs w:val="20"/>
        </w:rPr>
      </w:pPr>
    </w:p>
    <w:p w:rsidR="00112FEC" w:rsidP="00C1464E">
      <w:pPr>
        <w:rPr>
          <w:b/>
        </w:rPr>
      </w:pPr>
    </w:p>
    <w:p w:rsidR="00DB490A" w:rsidP="006B0AF8">
      <w:pPr>
        <w:pStyle w:val="Heading1"/>
      </w:pPr>
      <w:bookmarkStart w:id="1" w:name="_Toc509839222"/>
      <w:r w:rsidRPr="00FB329D">
        <w:rPr>
          <w:b w:val="0"/>
          <w:bCs w:val="0"/>
          <w:caps w:val="0"/>
        </w:rPr>
        <w:t>I.</w:t>
      </w:r>
      <w:r>
        <w:tab/>
      </w:r>
      <w:r w:rsidRPr="006B0AF8" w:rsidR="00435807">
        <w:t>INTRODUCTION</w:t>
      </w:r>
      <w:bookmarkEnd w:id="1"/>
    </w:p>
    <w:p w:rsidR="00FB329D" w:rsidP="000121E7">
      <w:pPr>
        <w:spacing w:line="480" w:lineRule="auto"/>
      </w:pPr>
      <w:r>
        <w:tab/>
        <w:t>This case involves charges that Dayton Power and Light Company (“DP&amp;L”) seek</w:t>
      </w:r>
      <w:r w:rsidR="00016242">
        <w:t>s</w:t>
      </w:r>
      <w:r>
        <w:t xml:space="preserve"> to collect </w:t>
      </w:r>
      <w:r w:rsidR="00016242">
        <w:t xml:space="preserve">from customers </w:t>
      </w:r>
      <w:r>
        <w:t>through its Economic Development Rider (“EDR”).  Under the EDR, DP&amp;L seeks to collect, from customers, the costs associated with incentives given to signatory or non-opposing parties of its latest electric security plan (“ESP”).</w:t>
      </w:r>
      <w:r>
        <w:rPr>
          <w:rStyle w:val="FootnoteReference"/>
        </w:rPr>
        <w:footnoteReference w:id="2"/>
      </w:r>
      <w:r>
        <w:t xml:space="preserve"> </w:t>
      </w:r>
      <w:r w:rsidR="00BD1D87">
        <w:t xml:space="preserve">The incentives offer large customers a discounted rate based on their </w:t>
      </w:r>
      <w:r w:rsidR="000A72BD">
        <w:t xml:space="preserve">usage. </w:t>
      </w:r>
      <w:r>
        <w:t>The Office of the Ohio Consumers’ Counsel (“OCC”), an intervenor in this case, files these Comments on behalf of</w:t>
      </w:r>
      <w:r w:rsidR="006A6BE1">
        <w:t xml:space="preserve"> DP&amp;L’s residential</w:t>
      </w:r>
      <w:r>
        <w:t xml:space="preserve"> customers. </w:t>
      </w:r>
    </w:p>
    <w:p w:rsidR="00F83F83" w:rsidP="000121E7">
      <w:pPr>
        <w:spacing w:line="480" w:lineRule="auto"/>
        <w:sectPr w:rsidSect="006B0AF8">
          <w:footerReference w:type="default" r:id="rId5"/>
          <w:pgSz w:w="12240" w:h="15840"/>
          <w:pgMar w:top="1440" w:right="1800" w:bottom="1440" w:left="1800" w:header="720" w:footer="720" w:gutter="0"/>
          <w:pgNumType w:start="2"/>
          <w:cols w:space="720"/>
          <w:docGrid w:linePitch="360"/>
        </w:sectPr>
      </w:pPr>
      <w:r>
        <w:tab/>
        <w:t>On June 24, 2009, the Public Utilities Commission of Ohio (“PUCO”) approved DP&amp;L’s request to implement the EDR.</w:t>
      </w:r>
      <w:r>
        <w:rPr>
          <w:rStyle w:val="FootnoteReference"/>
        </w:rPr>
        <w:footnoteReference w:id="3"/>
      </w:r>
      <w:r w:rsidR="00AB7989">
        <w:t xml:space="preserve"> The EDR was initially set at zero </w:t>
      </w:r>
      <w:r w:rsidR="00CC1A10">
        <w:t xml:space="preserve">dollars ($0.00) </w:t>
      </w:r>
      <w:r w:rsidR="00AB7989">
        <w:t>as a placeholder rider</w:t>
      </w:r>
      <w:r w:rsidR="000A72BD">
        <w:t xml:space="preserve">, </w:t>
      </w:r>
      <w:r>
        <w:rPr>
          <w:rStyle w:val="FootnoteReference"/>
        </w:rPr>
        <w:footnoteReference w:id="4"/>
      </w:r>
      <w:r w:rsidR="00AB7989">
        <w:t xml:space="preserve"> </w:t>
      </w:r>
      <w:r w:rsidR="000A72BD">
        <w:t>meaning that</w:t>
      </w:r>
      <w:r w:rsidR="002015E9">
        <w:t xml:space="preserve"> no party, including the PUCO, could fully </w:t>
      </w:r>
    </w:p>
    <w:p w:rsidR="00D25B9C" w:rsidP="000121E7">
      <w:pPr>
        <w:spacing w:line="480" w:lineRule="auto"/>
      </w:pPr>
      <w:r>
        <w:t xml:space="preserve">understand the impact of the EDR on customers. </w:t>
      </w:r>
      <w:r w:rsidR="00AB7989">
        <w:t>On October 26, 2011, the PUCO approved DP&amp;L’s request to modify</w:t>
      </w:r>
      <w:r w:rsidR="006A6BE1">
        <w:t xml:space="preserve"> </w:t>
      </w:r>
      <w:r w:rsidR="00AB7989">
        <w:t>its accounting procedures associated with the EDR.</w:t>
      </w:r>
      <w:r>
        <w:rPr>
          <w:rStyle w:val="FootnoteReference"/>
        </w:rPr>
        <w:footnoteReference w:id="5"/>
      </w:r>
      <w:r w:rsidR="00AB7989">
        <w:t xml:space="preserve"> In addition</w:t>
      </w:r>
      <w:r w:rsidR="006A6BE1">
        <w:t>,</w:t>
      </w:r>
      <w:r w:rsidR="00AB7989">
        <w:t xml:space="preserve"> the PUCO authorized DP&amp;L to defer costs associated with implementing any reasonable arrangement </w:t>
      </w:r>
      <w:r w:rsidR="000A72BD">
        <w:t xml:space="preserve">for later collection from customers.  </w:t>
      </w:r>
      <w:r w:rsidR="00AB7989">
        <w:t xml:space="preserve"> On October 20, 2017, the PUCO </w:t>
      </w:r>
      <w:r>
        <w:t>approved DP&amp;L’s current EDR.</w:t>
      </w:r>
      <w:r>
        <w:rPr>
          <w:rStyle w:val="FootnoteReference"/>
        </w:rPr>
        <w:footnoteReference w:id="6"/>
      </w:r>
      <w:r>
        <w:t xml:space="preserve">  </w:t>
      </w:r>
    </w:p>
    <w:p w:rsidR="00D67E60" w:rsidRPr="00FB329D" w:rsidP="000121E7">
      <w:pPr>
        <w:spacing w:line="480" w:lineRule="auto"/>
      </w:pPr>
      <w:r>
        <w:tab/>
        <w:t>On March 15, 2018, DP&amp;L filed its application for semi</w:t>
      </w:r>
      <w:r w:rsidR="006A6BE1">
        <w:t>-</w:t>
      </w:r>
      <w:r>
        <w:t>annual reconciliation as required by O.A.C. 4903:1-38-08(A)(5).</w:t>
      </w:r>
      <w:r w:rsidR="00EF5B76">
        <w:t xml:space="preserve"> In the application</w:t>
      </w:r>
      <w:r w:rsidR="006A6BE1">
        <w:t>,</w:t>
      </w:r>
      <w:r w:rsidR="00EF5B76">
        <w:t xml:space="preserve"> DP&amp;L offers proposed language to make the EDR subject to refund. </w:t>
      </w:r>
      <w:r w:rsidR="000A72BD">
        <w:t>But, t</w:t>
      </w:r>
      <w:r w:rsidR="00EF5B76">
        <w:t>he proposed language fails to adequately protect customers. Accordingly, the PUCO should not approve DP&amp;L’s EDR tariff without, at minimum, incorporati</w:t>
      </w:r>
      <w:r w:rsidR="009A381B">
        <w:t>ng the following</w:t>
      </w:r>
      <w:r w:rsidR="00D8631F">
        <w:t xml:space="preserve"> OCC</w:t>
      </w:r>
      <w:r w:rsidR="009A381B">
        <w:t xml:space="preserve"> recommend</w:t>
      </w:r>
      <w:r w:rsidR="000A72BD">
        <w:t>ed language to protect customers.</w:t>
      </w:r>
      <w:r w:rsidR="00EF5B76">
        <w:t xml:space="preserve"> </w:t>
      </w:r>
    </w:p>
    <w:p w:rsidR="00FB007B" w:rsidP="00FB007B">
      <w:pPr>
        <w:ind w:firstLine="720"/>
        <w:rPr>
          <w:b/>
        </w:rPr>
      </w:pPr>
    </w:p>
    <w:p w:rsidR="007874F5" w:rsidP="00FB329D">
      <w:pPr>
        <w:pStyle w:val="Heading1"/>
      </w:pPr>
      <w:bookmarkStart w:id="2" w:name="_Toc509839224"/>
      <w:r>
        <w:t>I</w:t>
      </w:r>
      <w:r w:rsidR="00435807">
        <w:t>I.</w:t>
      </w:r>
      <w:r w:rsidR="00435807">
        <w:tab/>
      </w:r>
      <w:r w:rsidRPr="001179DA" w:rsidR="00435807">
        <w:t>RECOMMENDATION</w:t>
      </w:r>
      <w:bookmarkStart w:id="3" w:name="_Toc398131522"/>
      <w:bookmarkStart w:id="4" w:name="_Toc437517408"/>
      <w:bookmarkEnd w:id="2"/>
      <w:r w:rsidR="00435807">
        <w:tab/>
      </w:r>
    </w:p>
    <w:p w:rsidR="00EF5B76" w:rsidP="006B0AF8">
      <w:pPr>
        <w:pStyle w:val="Heading2"/>
      </w:pPr>
      <w:r>
        <w:t xml:space="preserve">The EDR should include refund language to </w:t>
      </w:r>
      <w:r w:rsidR="00016242">
        <w:t>enable the PUCO</w:t>
      </w:r>
      <w:r>
        <w:t xml:space="preserve"> </w:t>
      </w:r>
      <w:r w:rsidR="00016242">
        <w:t xml:space="preserve">to </w:t>
      </w:r>
      <w:r>
        <w:t xml:space="preserve">get </w:t>
      </w:r>
      <w:r w:rsidR="00016242">
        <w:t xml:space="preserve">customers’ </w:t>
      </w:r>
      <w:r>
        <w:t xml:space="preserve">money back </w:t>
      </w:r>
      <w:r w:rsidR="00016242">
        <w:t xml:space="preserve">to them </w:t>
      </w:r>
      <w:r>
        <w:t xml:space="preserve">for charges later found to be imprudent, unreasonable, or unlawful. </w:t>
      </w:r>
    </w:p>
    <w:p w:rsidR="000A72BD" w:rsidP="00EF5B76">
      <w:pPr>
        <w:spacing w:line="480" w:lineRule="auto"/>
        <w:ind w:firstLine="720"/>
      </w:pPr>
      <w:r>
        <w:t xml:space="preserve">DP&amp;L’s proposed language offers to make the EDR rider subject to refund based upon audits by the </w:t>
      </w:r>
      <w:r w:rsidR="00CC1A10">
        <w:t>PUCO</w:t>
      </w:r>
      <w:r>
        <w:t xml:space="preserve">. This language is narrow and limits the actual protection afforded customers. </w:t>
      </w:r>
      <w:r>
        <w:t>It fails to address the far reaching and negative ramifications for customers of a recent Supreme Court of Ohio</w:t>
      </w:r>
      <w:r w:rsidR="006A6BE1">
        <w:t xml:space="preserve"> (“Court”)</w:t>
      </w:r>
      <w:r>
        <w:t xml:space="preserve"> holding concerning FirstEnergy's alternative energy rider.</w:t>
      </w:r>
      <w:r>
        <w:rPr>
          <w:rStyle w:val="FootnoteReference"/>
        </w:rPr>
        <w:footnoteReference w:id="7"/>
      </w:r>
    </w:p>
    <w:p w:rsidR="00EF5B76" w:rsidP="00EF5B76">
      <w:pPr>
        <w:spacing w:line="480" w:lineRule="auto"/>
        <w:ind w:firstLine="720"/>
      </w:pPr>
      <w:r>
        <w:t xml:space="preserve">The </w:t>
      </w:r>
      <w:r w:rsidRPr="00097BC5" w:rsidR="00F83F83">
        <w:rPr>
          <w:i/>
        </w:rPr>
        <w:t>FirstEnergy</w:t>
      </w:r>
      <w:r w:rsidRPr="00097BC5">
        <w:rPr>
          <w:i/>
        </w:rPr>
        <w:t xml:space="preserve"> </w:t>
      </w:r>
      <w:r>
        <w:t xml:space="preserve">case </w:t>
      </w:r>
      <w:r>
        <w:t>involved a rider that was updated quarterly and approved automatically unless the PUCO acted otherwise within 30 days.</w:t>
      </w:r>
      <w:r>
        <w:rPr>
          <w:rStyle w:val="FootnoteReference"/>
        </w:rPr>
        <w:footnoteReference w:id="8"/>
      </w:r>
      <w:r>
        <w:t xml:space="preserve">  The rider was subject to true-up</w:t>
      </w:r>
      <w:r>
        <w:t>,</w:t>
      </w:r>
      <w:r>
        <w:t xml:space="preserve"> based on an annual prudency audit.  After one such audit, the PUCO ordered FirstEnergy to return more than $43 million in imprudently incurred charges to customers.</w:t>
      </w:r>
      <w:r>
        <w:rPr>
          <w:rStyle w:val="FootnoteReference"/>
        </w:rPr>
        <w:footnoteReference w:id="9"/>
      </w:r>
      <w:r>
        <w:t xml:space="preserve"> </w:t>
      </w:r>
    </w:p>
    <w:p w:rsidR="00EF5B76" w:rsidP="00EF5B76">
      <w:pPr>
        <w:spacing w:line="480" w:lineRule="auto"/>
        <w:ind w:firstLine="720"/>
      </w:pPr>
      <w:r>
        <w:t>On FirstEnergy's appeal, the Court determined that the automatic approval of FirstEnergy’s quarterly filings constituted PUCO approval of new rates.</w:t>
      </w:r>
      <w:r>
        <w:rPr>
          <w:rStyle w:val="FootnoteReference"/>
        </w:rPr>
        <w:footnoteReference w:id="10"/>
      </w:r>
      <w:r>
        <w:t xml:space="preserve"> The Court also emphasized that the alternative energy rider tariff did not state that the rates were subject to refund.</w:t>
      </w:r>
      <w:r>
        <w:rPr>
          <w:rStyle w:val="FootnoteReference"/>
        </w:rPr>
        <w:footnoteReference w:id="11"/>
      </w:r>
      <w:r>
        <w:t xml:space="preserve"> Thus, even though the order approving FirstEnergy’s alternative energy rider stated that it could only collect prudently incurred costs, the Court held that the PUCO’s order that FirstEnergy refund the overcharges to customers involved unlawful retroactive ratemaking.</w:t>
      </w:r>
      <w:r>
        <w:rPr>
          <w:rStyle w:val="FootnoteReference"/>
        </w:rPr>
        <w:footnoteReference w:id="12"/>
      </w:r>
      <w:r>
        <w:t xml:space="preserve">  FirstEnergy was allowed to keep more than $43 million in imprudently incurred costs it had collected from customers.</w:t>
      </w:r>
    </w:p>
    <w:p w:rsidR="00EF5B76" w:rsidP="00EF5B76">
      <w:pPr>
        <w:spacing w:line="480" w:lineRule="auto"/>
        <w:ind w:firstLine="720"/>
      </w:pPr>
      <w:r>
        <w:t>Unless the PUCO takes action to conform the tariff language in these riders to the Court’s decision, any subsequently-conducted review of riders could be rendered meaningless. Customers could be overcharged without any way to be reimbursed. This circumstance can result in an unfair windfall</w:t>
      </w:r>
      <w:r>
        <w:rPr>
          <w:rStyle w:val="FootnoteReference"/>
        </w:rPr>
        <w:footnoteReference w:id="13"/>
      </w:r>
      <w:r>
        <w:t xml:space="preserve"> </w:t>
      </w:r>
      <w:r w:rsidR="000A72BD">
        <w:t>f</w:t>
      </w:r>
      <w:r>
        <w:t xml:space="preserve">or utilities who already </w:t>
      </w:r>
      <w:r w:rsidR="00016242">
        <w:t xml:space="preserve">are </w:t>
      </w:r>
      <w:r>
        <w:t xml:space="preserve">benefiting (to the detriment of consumers) from an exception to traditional regulation that allows single-issue ratemaking for </w:t>
      </w:r>
      <w:r w:rsidR="000A72BD">
        <w:t xml:space="preserve">electric distribution utilities </w:t>
      </w:r>
      <w:r>
        <w:t>(Chapter 492</w:t>
      </w:r>
      <w:r w:rsidR="000A72BD">
        <w:t>8</w:t>
      </w:r>
      <w:r>
        <w:t>, alternative ratemaking.)</w:t>
      </w:r>
      <w:r>
        <w:rPr>
          <w:rStyle w:val="FootnoteReference"/>
        </w:rPr>
        <w:footnoteReference w:id="14"/>
      </w:r>
      <w:r>
        <w:t xml:space="preserve"> </w:t>
      </w:r>
    </w:p>
    <w:p w:rsidR="000A72BD" w:rsidP="00D8631F">
      <w:pPr>
        <w:spacing w:line="480" w:lineRule="auto"/>
        <w:ind w:firstLine="720"/>
      </w:pPr>
      <w:r>
        <w:t xml:space="preserve">The language proposed by DP&amp;L fails to adequately protect customers from the </w:t>
      </w:r>
      <w:r>
        <w:t xml:space="preserve">harmful </w:t>
      </w:r>
      <w:r>
        <w:t xml:space="preserve">impact of the </w:t>
      </w:r>
      <w:r w:rsidR="00FA4B94">
        <w:rPr>
          <w:i/>
        </w:rPr>
        <w:t>First</w:t>
      </w:r>
      <w:r>
        <w:rPr>
          <w:i/>
        </w:rPr>
        <w:t xml:space="preserve">Energy </w:t>
      </w:r>
      <w:r>
        <w:t xml:space="preserve">decision. It is not clear </w:t>
      </w:r>
      <w:r>
        <w:t>(</w:t>
      </w:r>
      <w:r>
        <w:t>based on DP&amp;L’s proposed language</w:t>
      </w:r>
      <w:r>
        <w:t>)</w:t>
      </w:r>
      <w:r>
        <w:t xml:space="preserve"> if the EDR is subject to refund only if there is a prudency review </w:t>
      </w:r>
      <w:r>
        <w:t xml:space="preserve">through </w:t>
      </w:r>
      <w:r>
        <w:t xml:space="preserve">an audit. This lack of clarity leaves </w:t>
      </w:r>
      <w:r w:rsidR="00FA4B94">
        <w:t>uncertainty as to what</w:t>
      </w:r>
      <w:r>
        <w:t xml:space="preserve"> would happen</w:t>
      </w:r>
      <w:r w:rsidR="006A6BE1">
        <w:t>, outside the context of an audit proceeding,</w:t>
      </w:r>
      <w:r>
        <w:t xml:space="preserve"> if the PUCO</w:t>
      </w:r>
      <w:r w:rsidR="00D8631F">
        <w:t xml:space="preserve"> </w:t>
      </w:r>
      <w:r>
        <w:t xml:space="preserve">determined that the charges were </w:t>
      </w:r>
      <w:r w:rsidR="00D8631F">
        <w:t xml:space="preserve">unlawful, imprudent, and/or </w:t>
      </w:r>
      <w:r>
        <w:t>unreasonable.</w:t>
      </w:r>
      <w:r w:rsidR="006A6BE1">
        <w:t xml:space="preserve"> There would also be uncertainty as to what would happen if the Supreme Court of Ohio determined that the charges were unlawful, imprudent, and/or unreasonable.</w:t>
      </w:r>
    </w:p>
    <w:p w:rsidR="00EF5B76" w:rsidRPr="00EF5B76" w:rsidP="00D8631F">
      <w:pPr>
        <w:spacing w:line="480" w:lineRule="auto"/>
        <w:ind w:firstLine="720"/>
      </w:pPr>
      <w:r>
        <w:t xml:space="preserve"> </w:t>
      </w:r>
      <w:r>
        <w:t xml:space="preserve">The PUCO must </w:t>
      </w:r>
      <w:r w:rsidR="00FA4B94">
        <w:t xml:space="preserve">guarantee customers are </w:t>
      </w:r>
      <w:r>
        <w:t>protect</w:t>
      </w:r>
      <w:r w:rsidR="00FA4B94">
        <w:t>ed</w:t>
      </w:r>
      <w:r>
        <w:t xml:space="preserve"> from unjust </w:t>
      </w:r>
      <w:r w:rsidR="00CC1A10">
        <w:t xml:space="preserve">or </w:t>
      </w:r>
      <w:r>
        <w:t>unreasonable rates.</w:t>
      </w:r>
      <w:r>
        <w:rPr>
          <w:rStyle w:val="FootnoteReference"/>
        </w:rPr>
        <w:footnoteReference w:id="15"/>
      </w:r>
      <w:r>
        <w:t xml:space="preserve"> Thus, OCC recommends that the PUCO add the following language to the </w:t>
      </w:r>
      <w:r w:rsidR="00947555">
        <w:t>EDR</w:t>
      </w:r>
      <w:r>
        <w:t xml:space="preserve">: </w:t>
      </w:r>
      <w:r w:rsidRPr="005B5C7C">
        <w:rPr>
          <w:b/>
        </w:rPr>
        <w:t>“Any charge</w:t>
      </w:r>
      <w:r w:rsidR="00666561">
        <w:rPr>
          <w:b/>
        </w:rPr>
        <w:t>s</w:t>
      </w:r>
      <w:r w:rsidRPr="005B5C7C">
        <w:rPr>
          <w:b/>
        </w:rPr>
        <w:t xml:space="preserve"> collected from customers under this </w:t>
      </w:r>
      <w:r w:rsidR="000A72BD">
        <w:rPr>
          <w:b/>
        </w:rPr>
        <w:t xml:space="preserve">tariff that are </w:t>
      </w:r>
      <w:r w:rsidRPr="005B5C7C">
        <w:rPr>
          <w:b/>
        </w:rPr>
        <w:t>later determined unlawful</w:t>
      </w:r>
      <w:r>
        <w:rPr>
          <w:b/>
        </w:rPr>
        <w:t>,</w:t>
      </w:r>
      <w:r w:rsidRPr="005B5C7C">
        <w:rPr>
          <w:b/>
        </w:rPr>
        <w:t xml:space="preserve"> unreasonable</w:t>
      </w:r>
      <w:r>
        <w:rPr>
          <w:b/>
        </w:rPr>
        <w:t>, or imprudent</w:t>
      </w:r>
      <w:r w:rsidRPr="005B5C7C">
        <w:rPr>
          <w:b/>
        </w:rPr>
        <w:t xml:space="preserve"> by the PUCO or Ohio Supreme Court is refundable to customers.”</w:t>
      </w:r>
      <w:r>
        <w:t xml:space="preserve"> This language should be permanent</w:t>
      </w:r>
      <w:r w:rsidR="00B73E72">
        <w:t>ly placed</w:t>
      </w:r>
      <w:r>
        <w:t xml:space="preserve"> in the </w:t>
      </w:r>
      <w:r w:rsidR="00A42527">
        <w:t xml:space="preserve">EDR </w:t>
      </w:r>
      <w:r w:rsidR="00D8631F">
        <w:t>tariff. This modification would make clear that any charges paid by consumers later found to be unlawful, imprudent, or unreasonable</w:t>
      </w:r>
      <w:r w:rsidR="00B73E72">
        <w:t xml:space="preserve"> (by the Court or the PUCO)</w:t>
      </w:r>
      <w:r w:rsidR="006A6BE1">
        <w:t>, for any reason,</w:t>
      </w:r>
      <w:r w:rsidR="00D8631F">
        <w:t xml:space="preserve"> </w:t>
      </w:r>
      <w:r w:rsidR="00B73E72">
        <w:t xml:space="preserve">may </w:t>
      </w:r>
      <w:r w:rsidR="00D8631F">
        <w:t>be refunded to them.</w:t>
      </w:r>
    </w:p>
    <w:p w:rsidR="00FB329D" w:rsidRPr="00FB329D" w:rsidP="00FB329D"/>
    <w:p w:rsidR="007874F5" w:rsidP="00FB007B">
      <w:pPr>
        <w:pStyle w:val="Heading1"/>
      </w:pPr>
      <w:bookmarkStart w:id="5" w:name="_Toc509839227"/>
      <w:r>
        <w:t>I</w:t>
      </w:r>
      <w:r w:rsidR="00EF2250">
        <w:t>II</w:t>
      </w:r>
      <w:r>
        <w:t>.</w:t>
      </w:r>
      <w:r>
        <w:tab/>
      </w:r>
      <w:r w:rsidRPr="007874F5">
        <w:t>CONCLUSION</w:t>
      </w:r>
      <w:bookmarkEnd w:id="5"/>
    </w:p>
    <w:p w:rsidR="00FB329D" w:rsidRPr="00945126" w:rsidP="00945126">
      <w:pPr>
        <w:spacing w:line="480" w:lineRule="auto"/>
      </w:pPr>
      <w:r>
        <w:tab/>
        <w:t xml:space="preserve">DP&amp;L filed proposed tariff language that </w:t>
      </w:r>
      <w:r w:rsidR="00B73E72">
        <w:t xml:space="preserve">fails to protect customers from the negative ramifications of </w:t>
      </w:r>
      <w:r>
        <w:t xml:space="preserve">the Court’s </w:t>
      </w:r>
      <w:r>
        <w:rPr>
          <w:i/>
        </w:rPr>
        <w:t xml:space="preserve">FirstEnergy </w:t>
      </w:r>
      <w:r>
        <w:t xml:space="preserve">decision. DP&amp;L’s proposed language is ambiguous. The language, at best, only guarantees </w:t>
      </w:r>
      <w:r w:rsidR="00B73E72">
        <w:t>refunds associated with a</w:t>
      </w:r>
      <w:r>
        <w:t xml:space="preserve"> prudency review. But, even this </w:t>
      </w:r>
      <w:r w:rsidR="00B73E72">
        <w:t xml:space="preserve">language </w:t>
      </w:r>
      <w:r>
        <w:t>is unclear</w:t>
      </w:r>
      <w:r w:rsidR="00B73E72">
        <w:t>.</w:t>
      </w:r>
      <w:r>
        <w:t xml:space="preserve"> </w:t>
      </w:r>
      <w:r w:rsidR="00AA4AF6">
        <w:t xml:space="preserve">The PUCO should remove any ambiguity </w:t>
      </w:r>
      <w:r w:rsidR="00B73E72">
        <w:t xml:space="preserve">that remains so that </w:t>
      </w:r>
      <w:r w:rsidR="00AA4AF6">
        <w:t>customers</w:t>
      </w:r>
      <w:r w:rsidR="00B73E72">
        <w:t xml:space="preserve"> are protected from paying for charges that are found to be unjust, unreasonable, or imprudent by the PUCO and the Court</w:t>
      </w:r>
      <w:r w:rsidR="00AA4AF6">
        <w:t xml:space="preserve">. Thus, the PUCO should incorporate OCC’s recommendations to guarantee customers are protected from paying more than is just and reasonable under Ohio law. </w:t>
      </w:r>
    </w:p>
    <w:p w:rsidR="00FB329D" w:rsidP="00945126">
      <w:pPr>
        <w:spacing w:line="480" w:lineRule="auto"/>
      </w:pPr>
      <w:r>
        <w:tab/>
      </w:r>
    </w:p>
    <w:p w:rsidR="00FB329D" w:rsidP="00FB329D"/>
    <w:p w:rsidR="00FB329D" w:rsidRPr="00FB329D" w:rsidP="00FB329D"/>
    <w:p w:rsidR="00FB329D" w:rsidP="00FB329D">
      <w:pPr>
        <w:pStyle w:val="BodyTextIndent3"/>
        <w:widowControl w:val="0"/>
        <w:ind w:left="3600" w:right="-672"/>
        <w:rPr>
          <w:szCs w:val="24"/>
        </w:rPr>
      </w:pPr>
      <w:bookmarkEnd w:id="3"/>
      <w:bookmarkEnd w:id="4"/>
      <w:r>
        <w:rPr>
          <w:szCs w:val="24"/>
        </w:rPr>
        <w:t>Respectfully submitted,</w:t>
      </w:r>
    </w:p>
    <w:p w:rsidR="00FB329D" w:rsidP="00FB329D">
      <w:pPr>
        <w:pStyle w:val="Footer"/>
        <w:tabs>
          <w:tab w:val="left" w:pos="4320"/>
        </w:tabs>
        <w:spacing w:before="240"/>
      </w:pPr>
      <w:r>
        <w:tab/>
        <w:t>BRUCE WESTON (0016973)</w:t>
      </w:r>
    </w:p>
    <w:p w:rsidR="00FB329D" w:rsidP="00FB329D">
      <w:pPr>
        <w:tabs>
          <w:tab w:val="left" w:pos="4320"/>
        </w:tabs>
      </w:pPr>
      <w:r>
        <w:tab/>
        <w:t>OHIO CONSUMERS’ COUNSEL</w:t>
      </w:r>
    </w:p>
    <w:p w:rsidR="00FB329D" w:rsidP="00FB329D">
      <w:pPr>
        <w:tabs>
          <w:tab w:val="left" w:pos="4320"/>
        </w:tabs>
      </w:pPr>
      <w:r>
        <w:tab/>
      </w:r>
    </w:p>
    <w:p w:rsidR="00FB329D" w:rsidP="00FB329D">
      <w:pPr>
        <w:tabs>
          <w:tab w:val="left" w:pos="4320"/>
        </w:tabs>
      </w:pPr>
      <w:r>
        <w:tab/>
      </w:r>
      <w:r>
        <w:rPr>
          <w:i/>
          <w:u w:val="single"/>
        </w:rPr>
        <w:t xml:space="preserve">/s/ Zachary E. Woltz </w:t>
      </w:r>
      <w:r>
        <w:t>_</w:t>
      </w:r>
    </w:p>
    <w:p w:rsidR="00FB329D" w:rsidP="00FB329D">
      <w:pPr>
        <w:tabs>
          <w:tab w:val="left" w:pos="4320"/>
        </w:tabs>
      </w:pPr>
      <w:r>
        <w:tab/>
        <w:t>Kevin F. Moore (0089228)</w:t>
      </w:r>
    </w:p>
    <w:p w:rsidR="00FB329D" w:rsidP="00FB329D">
      <w:pPr>
        <w:tabs>
          <w:tab w:val="left" w:pos="4320"/>
        </w:tabs>
      </w:pPr>
      <w:r>
        <w:tab/>
        <w:t>Counsel of Record</w:t>
      </w:r>
    </w:p>
    <w:p w:rsidR="00FB329D" w:rsidP="00FB329D">
      <w:pPr>
        <w:tabs>
          <w:tab w:val="left" w:pos="4320"/>
        </w:tabs>
      </w:pPr>
      <w:r>
        <w:tab/>
      </w:r>
      <w:r>
        <w:t>Zachary E. Woltz (0096669)</w:t>
      </w:r>
    </w:p>
    <w:p w:rsidR="00FB329D" w:rsidP="00FB329D">
      <w:pPr>
        <w:tabs>
          <w:tab w:val="left" w:pos="4320"/>
        </w:tabs>
      </w:pPr>
      <w:r>
        <w:tab/>
        <w:t>Assistant Consumers’ Counsel</w:t>
      </w:r>
    </w:p>
    <w:p w:rsidR="00FB329D" w:rsidP="00FB329D">
      <w:pPr>
        <w:rPr>
          <w:sz w:val="16"/>
        </w:rPr>
      </w:pPr>
      <w:r>
        <w:tab/>
      </w:r>
    </w:p>
    <w:p w:rsidR="00FB329D" w:rsidRPr="00FB329D" w:rsidP="00FB329D">
      <w:pPr>
        <w:rPr>
          <w:b/>
        </w:rPr>
      </w:pPr>
      <w:r>
        <w:tab/>
      </w:r>
      <w:r>
        <w:tab/>
      </w:r>
      <w:r>
        <w:tab/>
      </w:r>
      <w:r>
        <w:tab/>
      </w:r>
      <w:r>
        <w:tab/>
      </w:r>
      <w:r>
        <w:tab/>
      </w:r>
      <w:r w:rsidRPr="00FB329D">
        <w:rPr>
          <w:b/>
        </w:rPr>
        <w:t>Office of the Ohio Consumers’ Counsel</w:t>
      </w:r>
    </w:p>
    <w:p w:rsidR="00FB329D" w:rsidRPr="00FB329D" w:rsidP="00FB329D">
      <w:r w:rsidRPr="00FB329D">
        <w:tab/>
      </w:r>
      <w:r>
        <w:tab/>
      </w:r>
      <w:r>
        <w:tab/>
      </w:r>
      <w:r>
        <w:tab/>
      </w:r>
      <w:r>
        <w:tab/>
      </w:r>
      <w:r>
        <w:tab/>
      </w:r>
      <w:r w:rsidRPr="00FB329D">
        <w:t>65 East State Street, 7</w:t>
      </w:r>
      <w:r w:rsidRPr="00FB329D">
        <w:rPr>
          <w:vertAlign w:val="superscript"/>
        </w:rPr>
        <w:t>th</w:t>
      </w:r>
      <w:r w:rsidRPr="00FB329D">
        <w:t xml:space="preserve"> Floor</w:t>
      </w:r>
    </w:p>
    <w:p w:rsidR="00FB329D" w:rsidP="00FB329D">
      <w:pPr>
        <w:rPr>
          <w:b/>
        </w:rPr>
      </w:pPr>
      <w:r w:rsidRPr="00FB329D">
        <w:tab/>
      </w:r>
      <w:r>
        <w:tab/>
      </w:r>
      <w:r>
        <w:tab/>
      </w:r>
      <w:r>
        <w:tab/>
      </w:r>
      <w:r>
        <w:tab/>
      </w:r>
      <w:r>
        <w:tab/>
      </w:r>
      <w:r w:rsidRPr="00FB329D">
        <w:t>Columbus</w:t>
      </w:r>
      <w:r>
        <w:rPr>
          <w:b/>
        </w:rPr>
        <w:t xml:space="preserve">, </w:t>
      </w:r>
      <w:r w:rsidRPr="00FB329D">
        <w:t>Ohio 43215</w:t>
      </w:r>
    </w:p>
    <w:p w:rsidR="00FB329D" w:rsidP="00FB329D">
      <w:pPr>
        <w:autoSpaceDE w:val="0"/>
        <w:autoSpaceDN w:val="0"/>
        <w:adjustRightInd w:val="0"/>
        <w:ind w:left="3600" w:firstLine="720"/>
      </w:pPr>
      <w:r>
        <w:t>Telephone [Moore]: (614) 387-2965</w:t>
      </w:r>
    </w:p>
    <w:p w:rsidR="00FB329D" w:rsidP="00FB329D">
      <w:pPr>
        <w:autoSpaceDE w:val="0"/>
        <w:autoSpaceDN w:val="0"/>
        <w:adjustRightInd w:val="0"/>
        <w:ind w:left="3600" w:firstLine="720"/>
      </w:pPr>
      <w:r>
        <w:t>Telephone [Woltz]: (614) 466-9565</w:t>
      </w:r>
    </w:p>
    <w:p w:rsidR="00FB329D" w:rsidRPr="007E62B1" w:rsidP="00FB329D">
      <w:r>
        <w:tab/>
      </w:r>
      <w:r>
        <w:tab/>
      </w:r>
      <w:r>
        <w:tab/>
      </w:r>
      <w:r>
        <w:tab/>
      </w:r>
      <w:r>
        <w:tab/>
      </w:r>
      <w:r>
        <w:tab/>
      </w:r>
      <w:r w:rsidRPr="007E62B1">
        <w:rPr>
          <w:rStyle w:val="DefaultParagraphFont"/>
          <w:color w:val="auto"/>
          <w:u w:val="none"/>
        </w:rPr>
        <w:t>Kevin.moore@occ.ohio.gov</w:t>
      </w:r>
      <w:r w:rsidRPr="007E62B1">
        <w:t xml:space="preserve"> </w:t>
      </w:r>
    </w:p>
    <w:p w:rsidR="00FB329D" w:rsidP="00FB329D">
      <w:r w:rsidRPr="007E62B1">
        <w:tab/>
      </w:r>
      <w:r w:rsidRPr="007E62B1">
        <w:tab/>
      </w:r>
      <w:r w:rsidRPr="007E62B1">
        <w:tab/>
      </w:r>
      <w:r w:rsidRPr="007E62B1">
        <w:tab/>
      </w:r>
      <w:r w:rsidRPr="007E62B1">
        <w:tab/>
      </w:r>
      <w:r w:rsidRPr="007E62B1">
        <w:tab/>
      </w:r>
      <w:r w:rsidRPr="007E62B1">
        <w:rPr>
          <w:rStyle w:val="DefaultParagraphFont"/>
          <w:color w:val="auto"/>
          <w:u w:val="none"/>
        </w:rPr>
        <w:t>Zachary.woltz@occ.ohio.gov</w:t>
      </w:r>
      <w:r>
        <w:t xml:space="preserve"> </w:t>
      </w:r>
    </w:p>
    <w:p w:rsidR="00FB329D" w:rsidP="00FB329D">
      <w:r>
        <w:t xml:space="preserve"> </w:t>
      </w:r>
      <w:r>
        <w:tab/>
      </w:r>
      <w:r>
        <w:tab/>
      </w:r>
      <w:r>
        <w:tab/>
      </w:r>
      <w:r>
        <w:tab/>
      </w:r>
      <w:r>
        <w:tab/>
      </w:r>
      <w:r>
        <w:tab/>
        <w:t>(will accept service via email)</w:t>
      </w:r>
    </w:p>
    <w:p w:rsidR="00A65635" w:rsidP="00B92445">
      <w:pPr>
        <w:ind w:left="4320"/>
        <w:rPr>
          <w:rStyle w:val="Hyperlink"/>
          <w:color w:val="auto"/>
          <w:u w:val="none"/>
        </w:rPr>
        <w:sectPr w:rsidSect="006B0AF8">
          <w:footerReference w:type="default" r:id="rId6"/>
          <w:pgSz w:w="12240" w:h="15840"/>
          <w:pgMar w:top="1440" w:right="1800" w:bottom="1440" w:left="1800" w:header="720" w:footer="720" w:gutter="0"/>
          <w:pgNumType w:start="2"/>
          <w:cols w:space="720"/>
          <w:docGrid w:linePitch="360"/>
        </w:sectPr>
      </w:pPr>
    </w:p>
    <w:p w:rsidR="00FB329D" w:rsidP="00FB329D">
      <w:pPr>
        <w:jc w:val="center"/>
        <w:rPr>
          <w:b/>
          <w:bCs/>
          <w:szCs w:val="20"/>
          <w:u w:val="single"/>
        </w:rPr>
      </w:pPr>
      <w:r>
        <w:rPr>
          <w:b/>
          <w:bCs/>
          <w:u w:val="single"/>
        </w:rPr>
        <w:t>CERTIFICATE OF SERVICE</w:t>
      </w:r>
    </w:p>
    <w:p w:rsidR="00FB329D" w:rsidP="00FB329D">
      <w:pPr>
        <w:spacing w:line="480" w:lineRule="atLeast"/>
        <w:ind w:firstLine="720"/>
      </w:pPr>
      <w:r>
        <w:t xml:space="preserve">I hereby certify that a copy of the Comments was served on the persons stated below </w:t>
      </w:r>
      <w:r>
        <w:rPr>
          <w:i/>
        </w:rPr>
        <w:t>via</w:t>
      </w:r>
      <w:r>
        <w:t xml:space="preserve"> electronic transmission, this </w:t>
      </w:r>
      <w:r w:rsidR="006B0AF8">
        <w:t>4</w:t>
      </w:r>
      <w:r w:rsidRPr="006B0AF8" w:rsidR="006B0AF8">
        <w:rPr>
          <w:vertAlign w:val="superscript"/>
        </w:rPr>
        <w:t>th</w:t>
      </w:r>
      <w:r w:rsidR="006B0AF8">
        <w:t xml:space="preserve"> </w:t>
      </w:r>
      <w:r>
        <w:t xml:space="preserve">day of </w:t>
      </w:r>
      <w:r w:rsidR="00857B0F">
        <w:t>April</w:t>
      </w:r>
      <w:r>
        <w:t xml:space="preserve"> 2018.</w:t>
      </w:r>
    </w:p>
    <w:p w:rsidR="00FB329D" w:rsidP="00FB329D">
      <w:pPr>
        <w:spacing w:line="480" w:lineRule="atLeast"/>
      </w:pPr>
    </w:p>
    <w:p w:rsidR="00FB329D" w:rsidP="00FB329D">
      <w:pPr>
        <w:tabs>
          <w:tab w:val="left" w:pos="4320"/>
        </w:tabs>
      </w:pPr>
      <w:r>
        <w:tab/>
      </w:r>
      <w:r>
        <w:rPr>
          <w:i/>
          <w:u w:val="single"/>
        </w:rPr>
        <w:t>/s/ Zachary E. Woltz</w:t>
      </w:r>
      <w:r>
        <w:t>__</w:t>
      </w:r>
    </w:p>
    <w:p w:rsidR="00FB329D" w:rsidP="00FB329D">
      <w:pPr>
        <w:tabs>
          <w:tab w:val="left" w:pos="4320"/>
        </w:tabs>
      </w:pPr>
      <w:r>
        <w:tab/>
        <w:t>Zachary E. Woltz</w:t>
      </w:r>
    </w:p>
    <w:p w:rsidR="00FB329D" w:rsidP="00FB329D">
      <w:pPr>
        <w:tabs>
          <w:tab w:val="left" w:pos="4320"/>
        </w:tabs>
      </w:pPr>
      <w:r>
        <w:tab/>
        <w:t>Assistant Consumers’ Counsel</w:t>
      </w:r>
    </w:p>
    <w:p w:rsidR="00FB329D" w:rsidP="00FB329D">
      <w:pPr>
        <w:pStyle w:val="CommentSubject"/>
      </w:pPr>
    </w:p>
    <w:p w:rsidR="00FB329D" w:rsidP="00FB329D">
      <w:pPr>
        <w:pStyle w:val="CommentText"/>
      </w:pPr>
    </w:p>
    <w:p w:rsidR="00FB329D" w:rsidP="00FB329D">
      <w:pPr>
        <w:pStyle w:val="CommentText"/>
        <w:jc w:val="center"/>
        <w:rPr>
          <w:b/>
          <w:u w:val="single"/>
        </w:rPr>
      </w:pPr>
      <w:r w:rsidRPr="00FB329D">
        <w:rPr>
          <w:b/>
          <w:sz w:val="24"/>
          <w:u w:val="single"/>
        </w:rPr>
        <w:t>SERVICE</w:t>
      </w:r>
      <w:r>
        <w:rPr>
          <w:b/>
          <w:u w:val="single"/>
        </w:rPr>
        <w:t xml:space="preserve"> </w:t>
      </w:r>
      <w:r w:rsidRPr="00FB329D">
        <w:rPr>
          <w:b/>
          <w:sz w:val="24"/>
          <w:u w:val="single"/>
        </w:rPr>
        <w:t>LIST</w:t>
      </w:r>
    </w:p>
    <w:p w:rsidR="00FB329D" w:rsidP="00FB329D">
      <w:pPr>
        <w:pStyle w:val="CommentText"/>
        <w:jc w:val="center"/>
        <w:rPr>
          <w:b/>
          <w:u w:val="single"/>
        </w:rPr>
      </w:pPr>
    </w:p>
    <w:tbl>
      <w:tblPr>
        <w:tblW w:w="0" w:type="auto"/>
        <w:tblLook w:val="04A0"/>
      </w:tblPr>
      <w:tblGrid>
        <w:gridCol w:w="4408"/>
        <w:gridCol w:w="4232"/>
      </w:tblGrid>
      <w:tr w:rsidTr="00FB329D">
        <w:tblPrEx>
          <w:tblW w:w="0" w:type="auto"/>
          <w:tblLook w:val="04A0"/>
        </w:tblPrEx>
        <w:tc>
          <w:tcPr>
            <w:tcW w:w="4428" w:type="dxa"/>
            <w:hideMark/>
          </w:tcPr>
          <w:p w:rsidR="00FB329D" w:rsidRPr="007E62B1">
            <w:pPr>
              <w:pStyle w:val="BodyText"/>
              <w:rPr>
                <w:b/>
                <w:bCs/>
              </w:rPr>
            </w:pPr>
            <w:r w:rsidRPr="007E62B1">
              <w:rPr>
                <w:rStyle w:val="DefaultParagraphFont"/>
                <w:color w:val="auto"/>
                <w:u w:val="none"/>
              </w:rPr>
              <w:t>William.wright@ohioattorneygeneral.gov</w:t>
            </w:r>
            <w:r w:rsidRPr="007E62B1">
              <w:rPr>
                <w:b/>
                <w:bCs/>
              </w:rPr>
              <w:t xml:space="preserve"> </w:t>
            </w:r>
          </w:p>
        </w:tc>
        <w:tc>
          <w:tcPr>
            <w:tcW w:w="4428" w:type="dxa"/>
            <w:hideMark/>
          </w:tcPr>
          <w:p w:rsidR="00FB329D" w:rsidRPr="007E62B1">
            <w:pPr>
              <w:pStyle w:val="BodyText"/>
              <w:rPr>
                <w:b/>
                <w:bCs/>
              </w:rPr>
            </w:pPr>
            <w:r w:rsidRPr="007E62B1">
              <w:rPr>
                <w:rStyle w:val="DefaultParagraphFont"/>
                <w:color w:val="auto"/>
                <w:u w:val="none"/>
              </w:rPr>
              <w:t>michael.schuler@aes.com</w:t>
            </w:r>
          </w:p>
        </w:tc>
      </w:tr>
    </w:tbl>
    <w:p w:rsidR="00FB329D" w:rsidP="00FB329D">
      <w:pPr>
        <w:pStyle w:val="BodyText"/>
        <w:rPr>
          <w:b/>
          <w:bCs/>
          <w:szCs w:val="20"/>
        </w:rPr>
      </w:pPr>
    </w:p>
    <w:p w:rsidR="00DB490A" w:rsidRPr="00513CF7" w:rsidP="00FB329D">
      <w:pPr>
        <w:jc w:val="center"/>
        <w:rPr>
          <w:u w:val="single"/>
        </w:rPr>
      </w:pPr>
    </w:p>
    <w:sectPr w:rsidSect="00C1464E">
      <w:footerReference w:type="default" r:id="rI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B0AF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2696781"/>
      <w:docPartObj>
        <w:docPartGallery w:val="Page Numbers (Bottom of Page)"/>
        <w:docPartUnique/>
      </w:docPartObj>
    </w:sdtPr>
    <w:sdtEndPr>
      <w:rPr>
        <w:noProof/>
      </w:rPr>
    </w:sdtEndPr>
    <w:sdtContent>
      <w:p w:rsidR="00F83F83">
        <w:pPr>
          <w:pStyle w:val="Footer"/>
          <w:jc w:val="center"/>
        </w:pPr>
        <w:r>
          <w:fldChar w:fldCharType="begin"/>
        </w:r>
        <w:r>
          <w:instrText xml:space="preserve"> PAGE   \* MERGEFORMAT </w:instrText>
        </w:r>
        <w:r>
          <w:fldChar w:fldCharType="separate"/>
        </w:r>
        <w:r w:rsidR="00666561">
          <w:rPr>
            <w:noProof/>
          </w:rPr>
          <w:t>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563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83B2A" w:rsidP="003D6A7C">
      <w:r>
        <w:separator/>
      </w:r>
    </w:p>
  </w:footnote>
  <w:footnote w:type="continuationSeparator" w:id="1">
    <w:p w:rsidR="00783B2A" w:rsidP="003D6A7C">
      <w:r>
        <w:continuationSeparator/>
      </w:r>
    </w:p>
  </w:footnote>
  <w:footnote w:id="2">
    <w:p w:rsidR="000121E7" w:rsidRPr="000121E7">
      <w:pPr>
        <w:pStyle w:val="FootnoteText"/>
      </w:pPr>
      <w:r>
        <w:rPr>
          <w:rStyle w:val="FootnoteReference"/>
        </w:rPr>
        <w:footnoteRef/>
      </w:r>
      <w:r>
        <w:t xml:space="preserve"> </w:t>
      </w:r>
      <w:r>
        <w:rPr>
          <w:i/>
        </w:rPr>
        <w:t>In the Matter of the Application of the Dayton Power and Light Company to Establish a Standard Service Offer in the Fo</w:t>
      </w:r>
      <w:r w:rsidR="00566B02">
        <w:rPr>
          <w:i/>
        </w:rPr>
        <w:t xml:space="preserve">rm of an Electric Security Plan, </w:t>
      </w:r>
      <w:r>
        <w:t xml:space="preserve">Case No. 16-395-EL-SSO, </w:t>
      </w:r>
      <w:r>
        <w:rPr>
          <w:i/>
        </w:rPr>
        <w:t xml:space="preserve">et al., </w:t>
      </w:r>
      <w:r>
        <w:t>Opinion and Order (Oct. 20, 2017) at pp 8-9.</w:t>
      </w:r>
    </w:p>
  </w:footnote>
  <w:footnote w:id="3">
    <w:p w:rsidR="00566B02" w:rsidRPr="00AB7989">
      <w:pPr>
        <w:pStyle w:val="FootnoteText"/>
      </w:pPr>
      <w:r>
        <w:rPr>
          <w:rStyle w:val="FootnoteReference"/>
        </w:rPr>
        <w:footnoteRef/>
      </w:r>
      <w:r>
        <w:t xml:space="preserve"> </w:t>
      </w:r>
      <w:r w:rsidR="00AB7989">
        <w:rPr>
          <w:i/>
        </w:rPr>
        <w:t xml:space="preserve">In the Matter of the Application of the Dayton Power and Light Company to Establish a Standard Service Offer in the Form of an Electric Security Plan, </w:t>
      </w:r>
      <w:r w:rsidR="00AB7989">
        <w:t xml:space="preserve">Case No. 08-1094-EL-SSO, </w:t>
      </w:r>
      <w:r w:rsidR="00AB7989">
        <w:rPr>
          <w:i/>
        </w:rPr>
        <w:t xml:space="preserve">et al., </w:t>
      </w:r>
      <w:r w:rsidR="00AB7989">
        <w:t xml:space="preserve">Opinion and Order (June 24, 2009). </w:t>
      </w:r>
    </w:p>
  </w:footnote>
  <w:footnote w:id="4">
    <w:p w:rsidR="00AB7989" w:rsidRPr="00AB7989">
      <w:pPr>
        <w:pStyle w:val="FootnoteText"/>
      </w:pPr>
      <w:r>
        <w:rPr>
          <w:rStyle w:val="FootnoteReference"/>
        </w:rPr>
        <w:footnoteRef/>
      </w:r>
      <w:r>
        <w:t xml:space="preserve"> </w:t>
      </w:r>
      <w:r>
        <w:rPr>
          <w:i/>
        </w:rPr>
        <w:t xml:space="preserve">Id. </w:t>
      </w:r>
    </w:p>
  </w:footnote>
  <w:footnote w:id="5">
    <w:p w:rsidR="00AB7989" w:rsidRPr="00AB7989">
      <w:pPr>
        <w:pStyle w:val="FootnoteText"/>
      </w:pPr>
      <w:r>
        <w:rPr>
          <w:rStyle w:val="FootnoteReference"/>
        </w:rPr>
        <w:footnoteRef/>
      </w:r>
      <w:r>
        <w:t xml:space="preserve"> </w:t>
      </w:r>
      <w:r>
        <w:rPr>
          <w:i/>
        </w:rPr>
        <w:t>In re the Application of Dayton Power and Light Company to Modify its Accounting Procedures for Purposes of Deferring Costs Associated with Reasonable Arrangements.</w:t>
      </w:r>
      <w:r>
        <w:t xml:space="preserve"> Case No. 11-3399-EL-AAM, </w:t>
      </w:r>
      <w:r>
        <w:rPr>
          <w:i/>
        </w:rPr>
        <w:t xml:space="preserve">et al., </w:t>
      </w:r>
      <w:r>
        <w:t xml:space="preserve">Opinion and Order (October 26, 2011). </w:t>
      </w:r>
    </w:p>
  </w:footnote>
  <w:footnote w:id="6">
    <w:p w:rsidR="00D25B9C">
      <w:pPr>
        <w:pStyle w:val="FootnoteText"/>
      </w:pPr>
      <w:r>
        <w:rPr>
          <w:rStyle w:val="FootnoteReference"/>
        </w:rPr>
        <w:footnoteRef/>
      </w:r>
      <w:r>
        <w:t xml:space="preserve"> Case No. 16-395-EL-SSO, at pp. 8-9. </w:t>
      </w:r>
    </w:p>
  </w:footnote>
  <w:footnote w:id="7">
    <w:p w:rsidR="000A72BD">
      <w:pPr>
        <w:pStyle w:val="FootnoteText"/>
      </w:pPr>
      <w:r>
        <w:rPr>
          <w:rStyle w:val="FootnoteReference"/>
        </w:rPr>
        <w:footnoteRef/>
      </w:r>
      <w:r>
        <w:rPr>
          <w:i/>
        </w:rPr>
        <w:t xml:space="preserve">In re Rev. of Alternative Energy Rider Contained in the Tariffs of Ohio Edison Co., </w:t>
      </w:r>
      <w:r>
        <w:t>Slip Op. 2018-Ohio-229 (“</w:t>
      </w:r>
      <w:r w:rsidRPr="004F035C">
        <w:rPr>
          <w:i/>
        </w:rPr>
        <w:t>FirstEnergy</w:t>
      </w:r>
      <w:r>
        <w:t xml:space="preserve">”). </w:t>
      </w:r>
      <w:r>
        <w:rPr>
          <w:i/>
        </w:rPr>
        <w:t xml:space="preserve"> </w:t>
      </w:r>
      <w:r>
        <w:t xml:space="preserve"> </w:t>
      </w:r>
    </w:p>
  </w:footnote>
  <w:footnote w:id="8">
    <w:p w:rsidR="00EF5B76" w:rsidRPr="007A4C28" w:rsidP="00EF5B76">
      <w:pPr>
        <w:pStyle w:val="FootnoteText"/>
      </w:pPr>
      <w:r>
        <w:rPr>
          <w:rStyle w:val="FootnoteReference"/>
        </w:rPr>
        <w:footnoteRef/>
      </w:r>
      <w:r>
        <w:t xml:space="preserve"> </w:t>
      </w:r>
      <w:r>
        <w:rPr>
          <w:i/>
        </w:rPr>
        <w:t>Id.</w:t>
      </w:r>
      <w:r>
        <w:t xml:space="preserve"> at ¶ 18.</w:t>
      </w:r>
    </w:p>
  </w:footnote>
  <w:footnote w:id="9">
    <w:p w:rsidR="00EF5B76" w:rsidRPr="007A4C28" w:rsidP="00EF5B76">
      <w:pPr>
        <w:pStyle w:val="FootnoteText"/>
      </w:pPr>
      <w:r>
        <w:rPr>
          <w:rStyle w:val="FootnoteReference"/>
        </w:rPr>
        <w:footnoteRef/>
      </w:r>
      <w:r>
        <w:t xml:space="preserve"> </w:t>
      </w:r>
      <w:r>
        <w:rPr>
          <w:i/>
        </w:rPr>
        <w:t>Id.</w:t>
      </w:r>
      <w:r>
        <w:t xml:space="preserve"> at ¶ 10.</w:t>
      </w:r>
    </w:p>
  </w:footnote>
  <w:footnote w:id="10">
    <w:p w:rsidR="00EF5B76" w:rsidRPr="005405A7" w:rsidP="00EF5B76">
      <w:pPr>
        <w:pStyle w:val="FootnoteText"/>
      </w:pPr>
      <w:r>
        <w:rPr>
          <w:rStyle w:val="FootnoteReference"/>
        </w:rPr>
        <w:footnoteRef/>
      </w:r>
      <w:r>
        <w:t xml:space="preserve"> </w:t>
      </w:r>
      <w:r>
        <w:rPr>
          <w:i/>
        </w:rPr>
        <w:t xml:space="preserve">Id. </w:t>
      </w:r>
      <w:r>
        <w:t>at ¶ 10.</w:t>
      </w:r>
    </w:p>
  </w:footnote>
  <w:footnote w:id="11">
    <w:p w:rsidR="00EF5B76" w:rsidRPr="0005468D" w:rsidP="00EF5B76">
      <w:pPr>
        <w:pStyle w:val="FootnoteText"/>
        <w:rPr>
          <w:i/>
        </w:rPr>
      </w:pPr>
      <w:r>
        <w:rPr>
          <w:rStyle w:val="FootnoteReference"/>
        </w:rPr>
        <w:footnoteRef/>
      </w:r>
      <w:r>
        <w:t xml:space="preserve"> </w:t>
      </w:r>
      <w:r>
        <w:rPr>
          <w:i/>
        </w:rPr>
        <w:t>Id.</w:t>
      </w:r>
      <w:r>
        <w:t>at ¶ 18.</w:t>
      </w:r>
      <w:r>
        <w:rPr>
          <w:i/>
        </w:rPr>
        <w:t xml:space="preserve"> </w:t>
      </w:r>
    </w:p>
  </w:footnote>
  <w:footnote w:id="12">
    <w:p w:rsidR="00EF5B76" w:rsidRPr="0005468D" w:rsidP="00EF5B76">
      <w:pPr>
        <w:pStyle w:val="FootnoteText"/>
      </w:pPr>
      <w:r>
        <w:rPr>
          <w:rStyle w:val="FootnoteReference"/>
        </w:rPr>
        <w:footnoteRef/>
      </w:r>
      <w:r>
        <w:t xml:space="preserve"> </w:t>
      </w:r>
      <w:r>
        <w:rPr>
          <w:i/>
        </w:rPr>
        <w:t>Id.</w:t>
      </w:r>
      <w:r>
        <w:t>at 8, 19.</w:t>
      </w:r>
    </w:p>
  </w:footnote>
  <w:footnote w:id="13">
    <w:p w:rsidR="00EF5B76" w:rsidRPr="0088118E" w:rsidP="00EF5B76">
      <w:pPr>
        <w:pStyle w:val="FootnoteText"/>
      </w:pPr>
      <w:r>
        <w:rPr>
          <w:rStyle w:val="FootnoteReference"/>
        </w:rPr>
        <w:footnoteRef/>
      </w:r>
      <w:r>
        <w:t xml:space="preserve"> </w:t>
      </w:r>
      <w:r>
        <w:rPr>
          <w:i/>
        </w:rPr>
        <w:t>Id.</w:t>
      </w:r>
      <w:r>
        <w:t xml:space="preserve"> ¶ 18.</w:t>
      </w:r>
    </w:p>
  </w:footnote>
  <w:footnote w:id="14">
    <w:p w:rsidR="00EF5B76" w:rsidP="00EF5B76">
      <w:pPr>
        <w:pStyle w:val="FootnoteText"/>
      </w:pPr>
      <w:r>
        <w:rPr>
          <w:rStyle w:val="FootnoteReference"/>
        </w:rPr>
        <w:footnoteRef/>
      </w:r>
      <w:r>
        <w:t xml:space="preserve"> See R.C. Chapter 4927.  </w:t>
      </w:r>
    </w:p>
  </w:footnote>
  <w:footnote w:id="15">
    <w:p w:rsidR="00D8631F">
      <w:pPr>
        <w:pStyle w:val="FootnoteText"/>
      </w:pPr>
      <w:r>
        <w:rPr>
          <w:rStyle w:val="FootnoteReference"/>
        </w:rPr>
        <w:footnoteRef/>
      </w:r>
      <w:r w:rsidR="00371EEA">
        <w:t xml:space="preserve"> </w:t>
      </w:r>
      <w:r w:rsidR="00371EEA">
        <w:rPr>
          <w:i/>
        </w:rPr>
        <w:t xml:space="preserve">See </w:t>
      </w:r>
      <w:r w:rsidR="00371EEA">
        <w:t>R.C. 4905.22; R.C. 4905.26.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0"/>
    <w:multiLevelType w:val="singleLevel"/>
    <w:tmpl w:val="6B30AD44"/>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9D7E5A4C"/>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19CCF898"/>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A1A6DAA8"/>
    <w:lvl w:ilvl="0">
      <w:start w:val="1"/>
      <w:numFmt w:val="bullet"/>
      <w:lvlText w:val=""/>
      <w:lvlJc w:val="left"/>
      <w:pPr>
        <w:tabs>
          <w:tab w:val="num" w:pos="720"/>
        </w:tabs>
        <w:ind w:left="720" w:hanging="360"/>
      </w:pPr>
      <w:rPr>
        <w:rFonts w:ascii="Symbol" w:hAnsi="Symbol" w:hint="default"/>
      </w:rPr>
    </w:lvl>
  </w:abstractNum>
  <w:abstractNum w:abstractNumId="4">
    <w:nsid w:val="FFFFFF89"/>
    <w:multiLevelType w:val="singleLevel"/>
    <w:tmpl w:val="D1509384"/>
    <w:lvl w:ilvl="0">
      <w:start w:val="1"/>
      <w:numFmt w:val="bullet"/>
      <w:lvlText w:val=""/>
      <w:lvlJc w:val="left"/>
      <w:pPr>
        <w:tabs>
          <w:tab w:val="num" w:pos="360"/>
        </w:tabs>
        <w:ind w:left="360" w:hanging="360"/>
      </w:pPr>
      <w:rPr>
        <w:rFonts w:ascii="Symbol" w:hAnsi="Symbol" w:hint="default"/>
      </w:rPr>
    </w:lvl>
  </w:abstractNum>
  <w:abstractNum w:abstractNumId="5">
    <w:nsid w:val="014E34EA"/>
    <w:multiLevelType w:val="hybridMultilevel"/>
    <w:tmpl w:val="51D60F52"/>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BA278CE"/>
    <w:multiLevelType w:val="hybridMultilevel"/>
    <w:tmpl w:val="F58CB896"/>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C11180E"/>
    <w:multiLevelType w:val="hybridMultilevel"/>
    <w:tmpl w:val="65C4725C"/>
    <w:lvl w:ilvl="0">
      <w:start w:val="1"/>
      <w:numFmt w:val="upperLetter"/>
      <w:lvlText w:val="%1."/>
      <w:lvlJc w:val="left"/>
      <w:pPr>
        <w:ind w:left="1080" w:hanging="360"/>
      </w:pPr>
      <w:rPr>
        <w:rFonts w:hint="default"/>
      </w:rPr>
    </w:lvl>
    <w:lvl w:ilvl="1">
      <w:start w:val="1"/>
      <w:numFmt w:val="decimal"/>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4C9237FE"/>
    <w:multiLevelType w:val="hybridMultilevel"/>
    <w:tmpl w:val="0898EB94"/>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5A1F1928"/>
    <w:multiLevelType w:val="hybridMultilevel"/>
    <w:tmpl w:val="E2660236"/>
    <w:lvl w:ilvl="0">
      <w:start w:val="1"/>
      <w:numFmt w:val="upperLetter"/>
      <w:pStyle w:val="Heading2"/>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658C0595"/>
    <w:multiLevelType w:val="hybridMultilevel"/>
    <w:tmpl w:val="24DC93F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9454568"/>
    <w:multiLevelType w:val="hybridMultilevel"/>
    <w:tmpl w:val="6FC8AB4A"/>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5"/>
  </w:num>
  <w:num w:numId="2">
    <w:abstractNumId w:val="10"/>
  </w:num>
  <w:num w:numId="3">
    <w:abstractNumId w:val="7"/>
  </w:num>
  <w:num w:numId="4">
    <w:abstractNumId w:val="11"/>
  </w:num>
  <w:num w:numId="5">
    <w:abstractNumId w:val="4"/>
  </w:num>
  <w:num w:numId="6">
    <w:abstractNumId w:val="3"/>
  </w:num>
  <w:num w:numId="7">
    <w:abstractNumId w:val="2"/>
  </w:num>
  <w:num w:numId="8">
    <w:abstractNumId w:val="1"/>
  </w:num>
  <w:num w:numId="9">
    <w:abstractNumId w:val="0"/>
  </w:num>
  <w:num w:numId="10">
    <w:abstractNumId w:val="6"/>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07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6B0AF8"/>
    <w:pPr>
      <w:keepNext/>
      <w:keepLines/>
      <w:spacing w:after="240"/>
      <w:ind w:left="720" w:hanging="720"/>
      <w:outlineLvl w:val="0"/>
    </w:pPr>
    <w:rPr>
      <w:rFonts w:ascii="Times New Roman Bold" w:hAnsi="Times New Roman Bold" w:eastAsiaTheme="majorEastAsia" w:cstheme="majorBidi"/>
      <w:b/>
      <w:bCs/>
      <w:caps/>
      <w:szCs w:val="28"/>
    </w:rPr>
  </w:style>
  <w:style w:type="paragraph" w:styleId="Heading2">
    <w:name w:val="heading 2"/>
    <w:basedOn w:val="Normal"/>
    <w:next w:val="Normal"/>
    <w:link w:val="Heading2Char"/>
    <w:autoRedefine/>
    <w:uiPriority w:val="9"/>
    <w:unhideWhenUsed/>
    <w:qFormat/>
    <w:rsid w:val="006B0AF8"/>
    <w:pPr>
      <w:keepNext/>
      <w:keepLines/>
      <w:numPr>
        <w:numId w:val="12"/>
      </w:numPr>
      <w:spacing w:after="240"/>
      <w:ind w:left="1440" w:right="720" w:hanging="720"/>
      <w:outlineLvl w:val="1"/>
    </w:pPr>
    <w:rPr>
      <w:rFonts w:ascii="Times New Roman Bold" w:hAnsi="Times New Roman Bold" w:eastAsiaTheme="majorEastAsia" w:cstheme="majorBidi"/>
      <w:b/>
      <w:bCs/>
      <w:szCs w:val="26"/>
    </w:rPr>
  </w:style>
  <w:style w:type="paragraph" w:styleId="Heading3">
    <w:name w:val="heading 3"/>
    <w:basedOn w:val="Normal"/>
    <w:next w:val="Normal"/>
    <w:link w:val="Heading3Char"/>
    <w:autoRedefine/>
    <w:uiPriority w:val="9"/>
    <w:unhideWhenUsed/>
    <w:qFormat/>
    <w:rsid w:val="00FB007B"/>
    <w:pPr>
      <w:keepNext/>
      <w:keepLines/>
      <w:spacing w:after="240"/>
      <w:ind w:left="2160" w:right="720" w:hanging="72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Footnote Text Char Char Char1,Footnote Text Char Char1,Footnote Text Char1 Char Char,Footnote Text Char1 Char1,Footnote Text Char2,Footnote Text Char4 Char Char Char Char"/>
    <w:basedOn w:val="Normal"/>
    <w:link w:val="FootnoteTextChar3"/>
    <w:autoRedefine/>
    <w:uiPriority w:val="99"/>
    <w:semiHidden/>
    <w:rsid w:val="003D6A7C"/>
    <w:pPr>
      <w:spacing w:after="120"/>
    </w:pPr>
    <w:rPr>
      <w:sz w:val="20"/>
      <w:szCs w:val="20"/>
    </w:rPr>
  </w:style>
  <w:style w:type="character" w:customStyle="1" w:styleId="FootnoteTextChar">
    <w:name w:val="Footnote Text Char"/>
    <w:basedOn w:val="DefaultParagraphFont"/>
    <w:uiPriority w:val="99"/>
    <w:semiHidden/>
    <w:rsid w:val="003D6A7C"/>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1,Footnote Text Char Char Char1 Char1,Footnote Text Char Char1 Char1,Footnote Text Char1 Char Char Char1,Footnote Text Char1 Char1 Char1,Footnote Text Char2 Char1"/>
    <w:link w:val="FootnoteText"/>
    <w:uiPriority w:val="99"/>
    <w:semiHidden/>
    <w:locked/>
    <w:rsid w:val="003D6A7C"/>
    <w:rPr>
      <w:rFonts w:ascii="Times New Roman" w:eastAsia="Times New Roman" w:hAnsi="Times New Roman" w:cs="Times New Roman"/>
      <w:sz w:val="20"/>
      <w:szCs w:val="20"/>
    </w:rPr>
  </w:style>
  <w:style w:type="character" w:styleId="FootnoteReference">
    <w:name w:val="footnote reference"/>
    <w:aliases w:val="(NECG) Footnote Reference,Appel note de bas de p,Style 12,Style 124,Style 13,Style 3,fr,o"/>
    <w:uiPriority w:val="99"/>
    <w:semiHidden/>
    <w:rsid w:val="003D6A7C"/>
    <w:rPr>
      <w:vertAlign w:val="superscript"/>
    </w:rPr>
  </w:style>
  <w:style w:type="character" w:customStyle="1" w:styleId="FootnoteTextChar1">
    <w:name w:val="Footnote Text Char1"/>
    <w:aliases w:val="Footnote Text Char Char Char Char Char,Footnote Text Char Char Char1 Char,Footnote Text Char Char1 Char,Footnote Text Char1 Char Char Char,Footnote Text Char1 Char1 Char,Footnote Text Char2 Char"/>
    <w:uiPriority w:val="99"/>
    <w:semiHidden/>
    <w:locked/>
    <w:rsid w:val="00DB490A"/>
    <w:rPr>
      <w:rFonts w:ascii="Times New Roman" w:eastAsia="Times New Roman" w:hAnsi="Times New Roman" w:cs="Times New Roman"/>
      <w:sz w:val="20"/>
      <w:szCs w:val="20"/>
    </w:rPr>
  </w:style>
  <w:style w:type="character" w:styleId="Hyperlink">
    <w:name w:val="Hyperlink"/>
    <w:uiPriority w:val="99"/>
    <w:rsid w:val="00DB490A"/>
    <w:rPr>
      <w:color w:val="0000FF"/>
      <w:u w:val="single"/>
    </w:rPr>
  </w:style>
  <w:style w:type="table" w:styleId="TableGrid">
    <w:name w:val="Table Grid"/>
    <w:basedOn w:val="TableNormal"/>
    <w:uiPriority w:val="99"/>
    <w:rsid w:val="00DB49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490A"/>
    <w:rPr>
      <w:sz w:val="16"/>
      <w:szCs w:val="16"/>
    </w:rPr>
  </w:style>
  <w:style w:type="paragraph" w:styleId="CommentText">
    <w:name w:val="annotation text"/>
    <w:basedOn w:val="Normal"/>
    <w:link w:val="CommentTextChar"/>
    <w:semiHidden/>
    <w:unhideWhenUsed/>
    <w:rsid w:val="00DB490A"/>
    <w:rPr>
      <w:sz w:val="20"/>
      <w:szCs w:val="20"/>
    </w:rPr>
  </w:style>
  <w:style w:type="character" w:customStyle="1" w:styleId="CommentTextChar">
    <w:name w:val="Comment Text Char"/>
    <w:basedOn w:val="DefaultParagraphFont"/>
    <w:link w:val="CommentText"/>
    <w:semiHidden/>
    <w:rsid w:val="00DB490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B490A"/>
    <w:rPr>
      <w:rFonts w:ascii="Tahoma" w:hAnsi="Tahoma" w:cs="Tahoma"/>
      <w:sz w:val="16"/>
      <w:szCs w:val="16"/>
    </w:rPr>
  </w:style>
  <w:style w:type="character" w:customStyle="1" w:styleId="BalloonTextChar">
    <w:name w:val="Balloon Text Char"/>
    <w:basedOn w:val="DefaultParagraphFont"/>
    <w:link w:val="BalloonText"/>
    <w:uiPriority w:val="99"/>
    <w:semiHidden/>
    <w:rsid w:val="00DB490A"/>
    <w:rPr>
      <w:rFonts w:ascii="Tahoma" w:eastAsia="Times New Roman" w:hAnsi="Tahoma" w:cs="Tahoma"/>
      <w:sz w:val="16"/>
      <w:szCs w:val="16"/>
    </w:rPr>
  </w:style>
  <w:style w:type="paragraph" w:styleId="CommentSubject">
    <w:name w:val="annotation subject"/>
    <w:basedOn w:val="CommentText"/>
    <w:next w:val="CommentText"/>
    <w:link w:val="CommentSubjectChar"/>
    <w:semiHidden/>
    <w:unhideWhenUsed/>
    <w:rsid w:val="007E79D5"/>
    <w:rPr>
      <w:b/>
      <w:bCs/>
    </w:rPr>
  </w:style>
  <w:style w:type="character" w:customStyle="1" w:styleId="CommentSubjectChar">
    <w:name w:val="Comment Subject Char"/>
    <w:basedOn w:val="CommentTextChar"/>
    <w:link w:val="CommentSubject"/>
    <w:semiHidden/>
    <w:rsid w:val="007E79D5"/>
    <w:rPr>
      <w:rFonts w:ascii="Times New Roman" w:eastAsia="Times New Roman" w:hAnsi="Times New Roman" w:cs="Times New Roman"/>
      <w:b/>
      <w:bCs/>
      <w:sz w:val="20"/>
      <w:szCs w:val="20"/>
    </w:rPr>
  </w:style>
  <w:style w:type="paragraph" w:styleId="ListParagraph">
    <w:name w:val="List Paragraph"/>
    <w:basedOn w:val="Normal"/>
    <w:uiPriority w:val="34"/>
    <w:qFormat/>
    <w:rsid w:val="005F1A0F"/>
    <w:pPr>
      <w:ind w:left="720"/>
      <w:contextualSpacing/>
    </w:pPr>
  </w:style>
  <w:style w:type="paragraph" w:styleId="Footer">
    <w:name w:val="footer"/>
    <w:aliases w:val="Char1"/>
    <w:basedOn w:val="Normal"/>
    <w:link w:val="FooterChar"/>
    <w:uiPriority w:val="99"/>
    <w:rsid w:val="00B92445"/>
    <w:pPr>
      <w:tabs>
        <w:tab w:val="center" w:pos="4320"/>
        <w:tab w:val="right" w:pos="8640"/>
      </w:tabs>
    </w:pPr>
  </w:style>
  <w:style w:type="character" w:customStyle="1" w:styleId="FooterChar">
    <w:name w:val="Footer Char"/>
    <w:aliases w:val="Char1 Char"/>
    <w:basedOn w:val="DefaultParagraphFont"/>
    <w:link w:val="Footer"/>
    <w:uiPriority w:val="99"/>
    <w:rsid w:val="00B92445"/>
    <w:rPr>
      <w:rFonts w:ascii="Times New Roman" w:eastAsia="Times New Roman" w:hAnsi="Times New Roman" w:cs="Times New Roman"/>
      <w:sz w:val="24"/>
      <w:szCs w:val="24"/>
    </w:rPr>
  </w:style>
  <w:style w:type="paragraph" w:customStyle="1" w:styleId="InsideAddress">
    <w:name w:val="Inside Address"/>
    <w:basedOn w:val="Normal"/>
    <w:uiPriority w:val="99"/>
    <w:rsid w:val="00B92445"/>
    <w:rPr>
      <w:rFonts w:ascii="Times" w:eastAsia="Calibri" w:hAnsi="Times" w:cs="Times"/>
    </w:rPr>
  </w:style>
  <w:style w:type="paragraph" w:styleId="Header">
    <w:name w:val="header"/>
    <w:basedOn w:val="Normal"/>
    <w:link w:val="HeaderChar"/>
    <w:uiPriority w:val="99"/>
    <w:unhideWhenUsed/>
    <w:rsid w:val="00FB007B"/>
    <w:pPr>
      <w:tabs>
        <w:tab w:val="center" w:pos="4680"/>
        <w:tab w:val="right" w:pos="9360"/>
      </w:tabs>
    </w:pPr>
  </w:style>
  <w:style w:type="character" w:customStyle="1" w:styleId="HeaderChar">
    <w:name w:val="Header Char"/>
    <w:basedOn w:val="DefaultParagraphFont"/>
    <w:link w:val="Header"/>
    <w:uiPriority w:val="99"/>
    <w:rsid w:val="00FB007B"/>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B0AF8"/>
    <w:rPr>
      <w:rFonts w:ascii="Times New Roman Bold" w:hAnsi="Times New Roman Bold" w:eastAsiaTheme="majorEastAsia" w:cstheme="majorBidi"/>
      <w:b/>
      <w:bCs/>
      <w:caps/>
      <w:sz w:val="24"/>
      <w:szCs w:val="28"/>
    </w:rPr>
  </w:style>
  <w:style w:type="character" w:customStyle="1" w:styleId="Heading2Char">
    <w:name w:val="Heading 2 Char"/>
    <w:basedOn w:val="DefaultParagraphFont"/>
    <w:link w:val="Heading2"/>
    <w:uiPriority w:val="9"/>
    <w:rsid w:val="006B0AF8"/>
    <w:rPr>
      <w:rFonts w:ascii="Times New Roman Bold" w:hAnsi="Times New Roman Bold" w:eastAsiaTheme="majorEastAsia" w:cstheme="majorBidi"/>
      <w:b/>
      <w:bCs/>
      <w:sz w:val="24"/>
      <w:szCs w:val="26"/>
    </w:rPr>
  </w:style>
  <w:style w:type="character" w:customStyle="1" w:styleId="Heading3Char">
    <w:name w:val="Heading 3 Char"/>
    <w:basedOn w:val="DefaultParagraphFont"/>
    <w:link w:val="Heading3"/>
    <w:uiPriority w:val="9"/>
    <w:rsid w:val="00FB007B"/>
    <w:rPr>
      <w:rFonts w:ascii="Times New Roman" w:hAnsi="Times New Roman" w:eastAsiaTheme="majorEastAsia" w:cstheme="majorBidi"/>
      <w:b/>
      <w:bCs/>
      <w:sz w:val="24"/>
      <w:szCs w:val="24"/>
    </w:rPr>
  </w:style>
  <w:style w:type="paragraph" w:styleId="TOC1">
    <w:name w:val="toc 1"/>
    <w:basedOn w:val="Normal"/>
    <w:next w:val="Normal"/>
    <w:autoRedefine/>
    <w:uiPriority w:val="39"/>
    <w:unhideWhenUsed/>
    <w:qFormat/>
    <w:rsid w:val="001B22AD"/>
    <w:pPr>
      <w:tabs>
        <w:tab w:val="decimal" w:leader="dot" w:pos="8640"/>
      </w:tabs>
      <w:spacing w:after="240"/>
      <w:ind w:left="720" w:hanging="720"/>
      <w:outlineLvl w:val="0"/>
    </w:pPr>
    <w:rPr>
      <w:caps/>
    </w:rPr>
  </w:style>
  <w:style w:type="paragraph" w:styleId="TOC2">
    <w:name w:val="toc 2"/>
    <w:basedOn w:val="Normal"/>
    <w:next w:val="Normal"/>
    <w:autoRedefine/>
    <w:uiPriority w:val="39"/>
    <w:unhideWhenUsed/>
    <w:qFormat/>
    <w:rsid w:val="001B22AD"/>
    <w:pPr>
      <w:tabs>
        <w:tab w:val="decimal" w:leader="dot" w:pos="8640"/>
      </w:tabs>
      <w:spacing w:after="240"/>
      <w:ind w:left="1440" w:hanging="720"/>
      <w:outlineLvl w:val="1"/>
    </w:pPr>
  </w:style>
  <w:style w:type="paragraph" w:styleId="TOC3">
    <w:name w:val="toc 3"/>
    <w:basedOn w:val="Normal"/>
    <w:next w:val="Normal"/>
    <w:autoRedefine/>
    <w:uiPriority w:val="39"/>
    <w:unhideWhenUsed/>
    <w:qFormat/>
    <w:rsid w:val="001B22AD"/>
    <w:pPr>
      <w:tabs>
        <w:tab w:val="decimal" w:leader="dot" w:pos="8640"/>
      </w:tabs>
      <w:spacing w:after="240"/>
      <w:ind w:left="2160" w:hanging="720"/>
    </w:pPr>
  </w:style>
  <w:style w:type="paragraph" w:styleId="BodyTextIndent3">
    <w:name w:val="Body Text Indent 3"/>
    <w:basedOn w:val="Normal"/>
    <w:link w:val="BodyTextIndent3Char"/>
    <w:semiHidden/>
    <w:unhideWhenUsed/>
    <w:rsid w:val="00FB329D"/>
    <w:pPr>
      <w:spacing w:line="480" w:lineRule="atLeast"/>
      <w:ind w:firstLine="720"/>
    </w:pPr>
    <w:rPr>
      <w:szCs w:val="20"/>
    </w:rPr>
  </w:style>
  <w:style w:type="character" w:customStyle="1" w:styleId="BodyTextIndent3Char">
    <w:name w:val="Body Text Indent 3 Char"/>
    <w:basedOn w:val="DefaultParagraphFont"/>
    <w:link w:val="BodyTextIndent3"/>
    <w:semiHidden/>
    <w:rsid w:val="00FB329D"/>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FB329D"/>
    <w:pPr>
      <w:spacing w:after="120"/>
    </w:pPr>
  </w:style>
  <w:style w:type="character" w:customStyle="1" w:styleId="BodyTextChar">
    <w:name w:val="Body Text Char"/>
    <w:basedOn w:val="DefaultParagraphFont"/>
    <w:link w:val="BodyText"/>
    <w:uiPriority w:val="99"/>
    <w:semiHidden/>
    <w:rsid w:val="00FB329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18-374-EL-RDR Comments DPL w-dfs mrw.docx ls.docx v2.docx zw [Read-Only].docx</vt:lpstr>
    </vt:vector>
  </TitlesOfParts>
  <Company/>
  <LinksUpToDate>false</LinksUpToDate>
  <CharactersWithSpaces>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2018-04-04T20:52:17Z</dcterms:created>
  <dcterms:modified xsi:type="dcterms:W3CDTF">2018-04-04T20:52:17Z</dcterms:modified>
</cp:coreProperties>
</file>