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F3CD8" w:rsidRPr="008A7E68" w:rsidP="002F3CD8">
      <w:pPr>
        <w:pStyle w:val="HTMLPreformatted"/>
        <w:jc w:val="center"/>
        <w:rPr>
          <w:rFonts w:ascii="Times New Roman" w:hAnsi="Times New Roman" w:cs="Times New Roman"/>
          <w:b/>
          <w:bCs/>
          <w:sz w:val="24"/>
          <w:szCs w:val="24"/>
        </w:rPr>
      </w:pPr>
      <w:bookmarkStart w:id="0" w:name="_GoBack"/>
      <w:bookmarkEnd w:id="0"/>
      <w:r w:rsidRPr="008A7E68">
        <w:rPr>
          <w:rFonts w:ascii="Times New Roman" w:hAnsi="Times New Roman" w:cs="Times New Roman"/>
          <w:b/>
          <w:bCs/>
          <w:sz w:val="24"/>
          <w:szCs w:val="24"/>
        </w:rPr>
        <w:t>BEFORE</w:t>
      </w:r>
    </w:p>
    <w:p w:rsidR="002F3CD8" w:rsidRPr="008A7E68" w:rsidP="002F3CD8">
      <w:pPr>
        <w:pStyle w:val="HTMLPreformatted"/>
        <w:jc w:val="center"/>
        <w:rPr>
          <w:rFonts w:ascii="Times New Roman" w:hAnsi="Times New Roman" w:cs="Times New Roman"/>
          <w:sz w:val="24"/>
          <w:szCs w:val="24"/>
        </w:rPr>
      </w:pPr>
      <w:r w:rsidRPr="008A7E68">
        <w:rPr>
          <w:rFonts w:ascii="Times New Roman" w:hAnsi="Times New Roman" w:cs="Times New Roman"/>
          <w:b/>
          <w:bCs/>
          <w:sz w:val="24"/>
          <w:szCs w:val="24"/>
        </w:rPr>
        <w:t>THE PUBLIC UTILITIES COMMISSION OF OHIO</w:t>
      </w:r>
    </w:p>
    <w:p w:rsidR="002F3CD8" w:rsidRPr="008A7E68" w:rsidP="002F3CD8">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362E8">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F3CD8" w:rsidRPr="008A7E68" w:rsidP="00F674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8A7E68">
              <w:rPr>
                <w:rFonts w:ascii="Times New Roman" w:eastAsia="Courier New" w:hAnsi="Times New Roman" w:cs="Times New Roman"/>
                <w:sz w:val="24"/>
                <w:szCs w:val="24"/>
                <w:lang w:val="en-US" w:eastAsia="en-US" w:bidi="ar-SA"/>
              </w:rPr>
              <w:t xml:space="preserve">In the Matter of the Commission’s Review of Chapter 4901:1-36 of the Ohio Administrative Code. </w:t>
            </w:r>
          </w:p>
        </w:tc>
        <w:tc>
          <w:tcPr>
            <w:tcW w:w="360" w:type="dxa"/>
            <w:shd w:val="clear" w:color="auto" w:fill="auto"/>
          </w:tcPr>
          <w:p w:rsidR="002F3CD8" w:rsidRPr="008A7E68" w:rsidP="00B362E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8A7E68">
              <w:rPr>
                <w:rFonts w:ascii="Times New Roman" w:eastAsia="Courier New" w:hAnsi="Times New Roman" w:cs="Times New Roman"/>
                <w:sz w:val="24"/>
                <w:szCs w:val="24"/>
                <w:lang w:val="en-US" w:eastAsia="en-US" w:bidi="ar-SA"/>
              </w:rPr>
              <w:t>)</w:t>
            </w:r>
          </w:p>
          <w:p w:rsidR="002F3CD8" w:rsidRPr="008A7E68" w:rsidP="00B362E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8A7E68">
              <w:rPr>
                <w:rFonts w:ascii="Times New Roman" w:eastAsia="Courier New" w:hAnsi="Times New Roman" w:cs="Times New Roman"/>
                <w:sz w:val="24"/>
                <w:szCs w:val="24"/>
                <w:lang w:val="en-US" w:eastAsia="en-US" w:bidi="ar-SA"/>
              </w:rPr>
              <w:t>)</w:t>
            </w:r>
          </w:p>
          <w:p w:rsidR="002F3CD8" w:rsidRPr="008A7E68" w:rsidP="00B362E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8A7E68">
              <w:rPr>
                <w:rFonts w:ascii="Times New Roman" w:eastAsia="Courier New" w:hAnsi="Times New Roman" w:cs="Times New Roman"/>
                <w:sz w:val="24"/>
                <w:szCs w:val="24"/>
                <w:lang w:val="en-US" w:eastAsia="en-US" w:bidi="ar-SA"/>
              </w:rPr>
              <w:t>)</w:t>
            </w:r>
          </w:p>
        </w:tc>
        <w:tc>
          <w:tcPr>
            <w:tcW w:w="4400" w:type="dxa"/>
            <w:shd w:val="clear" w:color="auto" w:fill="auto"/>
          </w:tcPr>
          <w:p w:rsidR="002F3CD8" w:rsidRPr="008A7E68" w:rsidP="00B362E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F3CD8" w:rsidRPr="008A7E68" w:rsidP="00F6748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8A7E68">
              <w:rPr>
                <w:rFonts w:ascii="Times New Roman" w:eastAsia="Courier New" w:hAnsi="Times New Roman" w:cs="Times New Roman"/>
                <w:sz w:val="24"/>
                <w:szCs w:val="24"/>
                <w:lang w:val="en-US" w:eastAsia="en-US" w:bidi="ar-SA"/>
              </w:rPr>
              <w:t>Case No. 18-1189-EL-ORD</w:t>
            </w:r>
          </w:p>
        </w:tc>
      </w:tr>
    </w:tbl>
    <w:p w:rsidR="002F3CD8" w:rsidRPr="008A7E68" w:rsidP="002F3CD8">
      <w:pPr>
        <w:pStyle w:val="HTMLPreformatted"/>
        <w:rPr>
          <w:rFonts w:ascii="Times New Roman" w:hAnsi="Times New Roman" w:cs="Times New Roman"/>
          <w:sz w:val="24"/>
          <w:szCs w:val="24"/>
        </w:rPr>
      </w:pPr>
    </w:p>
    <w:p w:rsidR="002F3CD8" w:rsidRPr="008A7E68" w:rsidP="002F3CD8">
      <w:pPr>
        <w:pStyle w:val="HTMLPreformatted"/>
        <w:pBdr>
          <w:top w:val="single" w:sz="12" w:space="1" w:color="auto"/>
        </w:pBdr>
        <w:rPr>
          <w:rFonts w:ascii="Times New Roman" w:hAnsi="Times New Roman" w:cs="Times New Roman"/>
          <w:sz w:val="24"/>
          <w:szCs w:val="24"/>
        </w:rPr>
      </w:pPr>
    </w:p>
    <w:p w:rsidR="002F3CD8" w:rsidRPr="008A7E68" w:rsidP="002F3CD8">
      <w:pPr>
        <w:jc w:val="center"/>
        <w:rPr>
          <w:rFonts w:cs="Times New Roman"/>
          <w:b/>
          <w:bCs/>
          <w:szCs w:val="24"/>
        </w:rPr>
      </w:pPr>
      <w:r w:rsidRPr="008A7E68">
        <w:rPr>
          <w:rFonts w:cs="Times New Roman"/>
          <w:b/>
          <w:bCs/>
          <w:szCs w:val="24"/>
        </w:rPr>
        <w:t xml:space="preserve">COMMENTS ON RULES TO PROTECT CONSUMERS FROM PAYING UNREASONABLE TRANSMISSION COST RECOVERY CHARGES </w:t>
      </w:r>
    </w:p>
    <w:p w:rsidR="002F3CD8" w:rsidRPr="008A7E68" w:rsidP="002F3CD8">
      <w:pPr>
        <w:jc w:val="center"/>
        <w:rPr>
          <w:rFonts w:cs="Times New Roman"/>
          <w:b/>
          <w:bCs/>
          <w:szCs w:val="24"/>
        </w:rPr>
      </w:pPr>
      <w:r w:rsidRPr="008A7E68">
        <w:rPr>
          <w:rFonts w:cs="Times New Roman"/>
          <w:b/>
          <w:bCs/>
          <w:szCs w:val="24"/>
        </w:rPr>
        <w:t>BY</w:t>
      </w:r>
    </w:p>
    <w:p w:rsidR="002F3CD8" w:rsidRPr="008A7E68" w:rsidP="002F3CD8">
      <w:pPr>
        <w:jc w:val="center"/>
        <w:rPr>
          <w:rFonts w:cs="Times New Roman"/>
          <w:b/>
          <w:bCs/>
          <w:szCs w:val="24"/>
        </w:rPr>
      </w:pPr>
      <w:r w:rsidRPr="008A7E68">
        <w:rPr>
          <w:rFonts w:cs="Times New Roman"/>
          <w:b/>
          <w:bCs/>
          <w:szCs w:val="24"/>
        </w:rPr>
        <w:t>THE OFFICE OF THE OHIO CONSUMERS’ COUNSEL</w:t>
      </w:r>
    </w:p>
    <w:p w:rsidR="002F3CD8" w:rsidRPr="008A7E68" w:rsidP="002F3CD8">
      <w:pPr>
        <w:pBdr>
          <w:bottom w:val="single" w:sz="12" w:space="1" w:color="auto"/>
        </w:pBdr>
        <w:tabs>
          <w:tab w:val="left" w:pos="4320"/>
        </w:tabs>
        <w:rPr>
          <w:rFonts w:cs="Times New Roman"/>
          <w:szCs w:val="24"/>
        </w:rPr>
      </w:pPr>
    </w:p>
    <w:p w:rsidR="002F3CD8" w:rsidRPr="008A7E68" w:rsidP="002F3CD8">
      <w:pPr>
        <w:tabs>
          <w:tab w:val="left" w:pos="4320"/>
        </w:tabs>
        <w:rPr>
          <w:rFonts w:cs="Times New Roman"/>
          <w:szCs w:val="24"/>
        </w:rPr>
      </w:pPr>
    </w:p>
    <w:p w:rsidR="002F3CD8" w:rsidRPr="008A7E68" w:rsidP="00F67489">
      <w:pPr>
        <w:pStyle w:val="Heading1"/>
      </w:pPr>
      <w:bookmarkStart w:id="1" w:name="_Toc7705420"/>
      <w:r w:rsidRPr="008A7E68">
        <w:t>I.</w:t>
      </w:r>
      <w:r w:rsidRPr="008A7E68">
        <w:tab/>
        <w:t>INTRODUCTION</w:t>
      </w:r>
      <w:bookmarkEnd w:id="1"/>
    </w:p>
    <w:p w:rsidR="00101D70" w:rsidRPr="008A7E68" w:rsidP="002F3CD8">
      <w:pPr>
        <w:pStyle w:val="BodyTextIndent3"/>
        <w:widowControl w:val="0"/>
        <w:spacing w:line="480" w:lineRule="auto"/>
        <w:ind w:right="-312"/>
        <w:rPr>
          <w:szCs w:val="24"/>
        </w:rPr>
      </w:pPr>
      <w:r w:rsidRPr="008A7E68">
        <w:rPr>
          <w:szCs w:val="24"/>
        </w:rPr>
        <w:t>The Public Utilities Commission of Ohio (“PUCO”) seeks comments on its proposal to modify rules related to electric transmission cost recovery</w:t>
      </w:r>
      <w:r>
        <w:rPr>
          <w:rStyle w:val="FootnoteReference"/>
          <w:szCs w:val="24"/>
        </w:rPr>
        <w:footnoteReference w:id="2"/>
      </w:r>
      <w:r w:rsidRPr="008A7E68" w:rsidR="0013690E">
        <w:rPr>
          <w:szCs w:val="24"/>
        </w:rPr>
        <w:t xml:space="preserve">, </w:t>
      </w:r>
      <w:r w:rsidR="00FA6C76">
        <w:rPr>
          <w:szCs w:val="24"/>
        </w:rPr>
        <w:t>which OCC notes is becoming more costly to customers over the years.</w:t>
      </w:r>
      <w:r w:rsidRPr="008A7E68" w:rsidR="0013690E">
        <w:rPr>
          <w:szCs w:val="24"/>
        </w:rPr>
        <w:t xml:space="preserve"> </w:t>
      </w:r>
      <w:r w:rsidRPr="008A7E68" w:rsidR="008C1D5F">
        <w:rPr>
          <w:szCs w:val="24"/>
        </w:rPr>
        <w:t xml:space="preserve">The purpose of Chapter 4901:1-36 </w:t>
      </w:r>
      <w:r w:rsidR="000A7A3D">
        <w:rPr>
          <w:szCs w:val="24"/>
        </w:rPr>
        <w:t xml:space="preserve">is to provide </w:t>
      </w:r>
      <w:r w:rsidRPr="008A7E68" w:rsidR="008C1D5F">
        <w:rPr>
          <w:szCs w:val="24"/>
        </w:rPr>
        <w:t xml:space="preserve">a framework for an electric utility to </w:t>
      </w:r>
      <w:r w:rsidRPr="008A7E68" w:rsidR="00260749">
        <w:rPr>
          <w:szCs w:val="24"/>
        </w:rPr>
        <w:t>collect from</w:t>
      </w:r>
      <w:r w:rsidRPr="008A7E68" w:rsidR="008C1D5F">
        <w:rPr>
          <w:szCs w:val="24"/>
        </w:rPr>
        <w:t xml:space="preserve"> its customers, via a reconcilable </w:t>
      </w:r>
      <w:r w:rsidR="00C448D4">
        <w:rPr>
          <w:szCs w:val="24"/>
        </w:rPr>
        <w:t>charge</w:t>
      </w:r>
      <w:r w:rsidRPr="008A7E68" w:rsidR="008C1D5F">
        <w:rPr>
          <w:szCs w:val="24"/>
        </w:rPr>
        <w:t xml:space="preserve"> on the electric utility’s distribution rates, </w:t>
      </w:r>
      <w:r w:rsidRPr="008A7E68" w:rsidR="00DB015F">
        <w:rPr>
          <w:szCs w:val="24"/>
        </w:rPr>
        <w:t xml:space="preserve">the </w:t>
      </w:r>
      <w:r w:rsidRPr="008A7E68" w:rsidR="008C1D5F">
        <w:rPr>
          <w:szCs w:val="24"/>
        </w:rPr>
        <w:t xml:space="preserve">transmission and </w:t>
      </w:r>
      <w:r w:rsidRPr="008A7E68" w:rsidR="0013690E">
        <w:rPr>
          <w:szCs w:val="24"/>
        </w:rPr>
        <w:t xml:space="preserve">transmission-related costs that the </w:t>
      </w:r>
      <w:r w:rsidRPr="008A7E68" w:rsidR="008C1D5F">
        <w:rPr>
          <w:szCs w:val="24"/>
        </w:rPr>
        <w:t>Federal Energy Regulatory Commission (</w:t>
      </w:r>
      <w:r w:rsidR="00970ED2">
        <w:rPr>
          <w:szCs w:val="24"/>
        </w:rPr>
        <w:t>“</w:t>
      </w:r>
      <w:r w:rsidRPr="008A7E68" w:rsidR="0013690E">
        <w:rPr>
          <w:szCs w:val="24"/>
        </w:rPr>
        <w:t>FERC</w:t>
      </w:r>
      <w:r w:rsidR="00970ED2">
        <w:rPr>
          <w:szCs w:val="24"/>
        </w:rPr>
        <w:t>”</w:t>
      </w:r>
      <w:r w:rsidRPr="008A7E68" w:rsidR="008C1D5F">
        <w:rPr>
          <w:szCs w:val="24"/>
        </w:rPr>
        <w:t xml:space="preserve">) or </w:t>
      </w:r>
      <w:r w:rsidRPr="008A7E68" w:rsidR="0013690E">
        <w:rPr>
          <w:szCs w:val="24"/>
        </w:rPr>
        <w:t>a regional transmission organization</w:t>
      </w:r>
      <w:r w:rsidRPr="008A7E68" w:rsidR="008C1D5F">
        <w:rPr>
          <w:szCs w:val="24"/>
        </w:rPr>
        <w:t xml:space="preserve"> or</w:t>
      </w:r>
      <w:r w:rsidRPr="008A7E68" w:rsidR="0013690E">
        <w:rPr>
          <w:szCs w:val="24"/>
        </w:rPr>
        <w:t xml:space="preserve"> independent </w:t>
      </w:r>
      <w:r w:rsidR="002D7668">
        <w:rPr>
          <w:szCs w:val="24"/>
        </w:rPr>
        <w:t>system</w:t>
      </w:r>
      <w:r w:rsidRPr="008A7E68" w:rsidR="002D7668">
        <w:rPr>
          <w:szCs w:val="24"/>
        </w:rPr>
        <w:t xml:space="preserve"> </w:t>
      </w:r>
      <w:r w:rsidRPr="008A7E68" w:rsidR="0013690E">
        <w:rPr>
          <w:szCs w:val="24"/>
        </w:rPr>
        <w:t>operator charges to the utility.</w:t>
      </w:r>
      <w:r>
        <w:rPr>
          <w:rStyle w:val="FootnoteReference"/>
          <w:szCs w:val="24"/>
        </w:rPr>
        <w:footnoteReference w:id="3"/>
      </w:r>
      <w:r w:rsidRPr="008A7E68" w:rsidR="0013690E">
        <w:rPr>
          <w:szCs w:val="24"/>
        </w:rPr>
        <w:t xml:space="preserve"> </w:t>
      </w:r>
      <w:r w:rsidRPr="008A7E68" w:rsidR="008C1D5F">
        <w:rPr>
          <w:szCs w:val="24"/>
        </w:rPr>
        <w:t xml:space="preserve">The chapter establishes the means by which an electric utility may file an application </w:t>
      </w:r>
      <w:r w:rsidRPr="008A7E68" w:rsidR="00260749">
        <w:rPr>
          <w:szCs w:val="24"/>
        </w:rPr>
        <w:t>to collect</w:t>
      </w:r>
      <w:r w:rsidRPr="008A7E68" w:rsidR="008C1D5F">
        <w:rPr>
          <w:szCs w:val="24"/>
        </w:rPr>
        <w:t xml:space="preserve"> transmission and transmission-related costs </w:t>
      </w:r>
      <w:r w:rsidR="00C448D4">
        <w:rPr>
          <w:szCs w:val="24"/>
        </w:rPr>
        <w:t xml:space="preserve">from customers </w:t>
      </w:r>
      <w:r w:rsidRPr="008A7E68" w:rsidR="008C1D5F">
        <w:rPr>
          <w:szCs w:val="24"/>
        </w:rPr>
        <w:t>through a transmission cost recovery rider (</w:t>
      </w:r>
      <w:r w:rsidR="00970ED2">
        <w:rPr>
          <w:szCs w:val="24"/>
        </w:rPr>
        <w:t>“</w:t>
      </w:r>
      <w:r w:rsidRPr="008A7E68" w:rsidR="008C1D5F">
        <w:rPr>
          <w:szCs w:val="24"/>
        </w:rPr>
        <w:t>TCRR</w:t>
      </w:r>
      <w:r w:rsidR="00970ED2">
        <w:rPr>
          <w:szCs w:val="24"/>
        </w:rPr>
        <w:t>”</w:t>
      </w:r>
      <w:r w:rsidRPr="008A7E68" w:rsidR="008C1D5F">
        <w:rPr>
          <w:szCs w:val="24"/>
        </w:rPr>
        <w:t xml:space="preserve">). </w:t>
      </w:r>
      <w:r w:rsidRPr="008A7E68" w:rsidR="0007086C">
        <w:rPr>
          <w:szCs w:val="24"/>
        </w:rPr>
        <w:t xml:space="preserve">If the rider </w:t>
      </w:r>
      <w:r w:rsidR="000A7A3D">
        <w:rPr>
          <w:szCs w:val="24"/>
        </w:rPr>
        <w:t xml:space="preserve">application </w:t>
      </w:r>
      <w:r w:rsidRPr="008A7E68" w:rsidR="0007086C">
        <w:rPr>
          <w:szCs w:val="24"/>
        </w:rPr>
        <w:t xml:space="preserve">is approved, each utility is required to update the rider annually. </w:t>
      </w:r>
    </w:p>
    <w:p w:rsidR="00B36EC0" w:rsidP="002F3CD8">
      <w:pPr>
        <w:pStyle w:val="BodyTextIndent3"/>
        <w:widowControl w:val="0"/>
        <w:spacing w:line="480" w:lineRule="auto"/>
        <w:ind w:right="-312"/>
        <w:rPr>
          <w:szCs w:val="24"/>
        </w:rPr>
        <w:sectPr w:rsidSect="00B36EC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rsidRPr="008A7E68">
        <w:rPr>
          <w:szCs w:val="24"/>
        </w:rPr>
        <w:t xml:space="preserve">The only change in the </w:t>
      </w:r>
      <w:r w:rsidRPr="008A7E68" w:rsidR="006E332D">
        <w:rPr>
          <w:szCs w:val="24"/>
        </w:rPr>
        <w:t xml:space="preserve">Entry’s </w:t>
      </w:r>
      <w:r w:rsidRPr="008A7E68">
        <w:rPr>
          <w:szCs w:val="24"/>
        </w:rPr>
        <w:t xml:space="preserve">circulated draft rules is </w:t>
      </w:r>
      <w:r w:rsidRPr="008A7E68" w:rsidR="00101D70">
        <w:rPr>
          <w:szCs w:val="24"/>
        </w:rPr>
        <w:t xml:space="preserve">a </w:t>
      </w:r>
      <w:r w:rsidRPr="008A7E68" w:rsidR="00260749">
        <w:rPr>
          <w:szCs w:val="24"/>
        </w:rPr>
        <w:t>“</w:t>
      </w:r>
      <w:r w:rsidRPr="008A7E68" w:rsidR="00101D70">
        <w:rPr>
          <w:szCs w:val="24"/>
        </w:rPr>
        <w:t>nonsubstantive</w:t>
      </w:r>
      <w:r w:rsidRPr="008A7E68" w:rsidR="00260749">
        <w:rPr>
          <w:szCs w:val="24"/>
        </w:rPr>
        <w:t>”</w:t>
      </w:r>
      <w:r w:rsidRPr="008A7E68" w:rsidR="00101D70">
        <w:rPr>
          <w:szCs w:val="24"/>
        </w:rPr>
        <w:t xml:space="preserve"> language change proposed by Staff to </w:t>
      </w:r>
      <w:r w:rsidRPr="008A7E68">
        <w:rPr>
          <w:szCs w:val="24"/>
        </w:rPr>
        <w:t>Ohio Adm.Code 4901:1-36-02</w:t>
      </w:r>
      <w:r w:rsidRPr="008A7E68" w:rsidR="00101D70">
        <w:rPr>
          <w:szCs w:val="24"/>
        </w:rPr>
        <w:t xml:space="preserve">, which concerns purpose and </w:t>
      </w:r>
    </w:p>
    <w:p w:rsidR="0007086C" w:rsidRPr="008A7E68" w:rsidP="00B36EC0">
      <w:pPr>
        <w:pStyle w:val="BodyTextIndent3"/>
        <w:widowControl w:val="0"/>
        <w:spacing w:line="480" w:lineRule="auto"/>
        <w:ind w:right="-312" w:firstLine="0"/>
        <w:rPr>
          <w:szCs w:val="24"/>
        </w:rPr>
      </w:pPr>
      <w:r w:rsidRPr="008A7E68">
        <w:rPr>
          <w:szCs w:val="24"/>
        </w:rPr>
        <w:t>scope of the chapter, and Ohio Adm.Code 4901:1-36-04, which concerns limitation</w:t>
      </w:r>
      <w:r w:rsidR="000A7A3D">
        <w:rPr>
          <w:szCs w:val="24"/>
        </w:rPr>
        <w:t>s</w:t>
      </w:r>
      <w:r w:rsidRPr="008A7E68">
        <w:rPr>
          <w:szCs w:val="24"/>
        </w:rPr>
        <w:t xml:space="preserve"> on the TCRR. Staff pro</w:t>
      </w:r>
      <w:r w:rsidRPr="008A7E68" w:rsidR="008C1D5F">
        <w:rPr>
          <w:szCs w:val="24"/>
        </w:rPr>
        <w:t>p</w:t>
      </w:r>
      <w:r w:rsidRPr="008A7E68">
        <w:rPr>
          <w:szCs w:val="24"/>
        </w:rPr>
        <w:t xml:space="preserve">osed changing language </w:t>
      </w:r>
      <w:r w:rsidR="00936F19">
        <w:rPr>
          <w:szCs w:val="24"/>
        </w:rPr>
        <w:t>that</w:t>
      </w:r>
      <w:r w:rsidRPr="008A7E68" w:rsidR="00936F19">
        <w:rPr>
          <w:szCs w:val="24"/>
        </w:rPr>
        <w:t xml:space="preserve"> </w:t>
      </w:r>
      <w:r w:rsidRPr="008A7E68">
        <w:rPr>
          <w:szCs w:val="24"/>
        </w:rPr>
        <w:t>currently refers to an “</w:t>
      </w:r>
      <w:r w:rsidRPr="008A7E68">
        <w:rPr>
          <w:szCs w:val="24"/>
        </w:rPr>
        <w:t>independent transmission operator” to an “independent system operator.”</w:t>
      </w:r>
      <w:r>
        <w:rPr>
          <w:rStyle w:val="FootnoteReference"/>
          <w:szCs w:val="24"/>
        </w:rPr>
        <w:footnoteReference w:id="4"/>
      </w:r>
      <w:r w:rsidRPr="008A7E68">
        <w:rPr>
          <w:szCs w:val="24"/>
        </w:rPr>
        <w:t xml:space="preserve"> </w:t>
      </w:r>
    </w:p>
    <w:p w:rsidR="001C1D08" w:rsidRPr="008A7E68" w:rsidP="002F3CD8">
      <w:pPr>
        <w:pStyle w:val="BodyTextIndent3"/>
        <w:widowControl w:val="0"/>
        <w:spacing w:line="480" w:lineRule="auto"/>
        <w:ind w:right="-312"/>
        <w:rPr>
          <w:szCs w:val="24"/>
        </w:rPr>
      </w:pPr>
      <w:r w:rsidRPr="008A7E68">
        <w:rPr>
          <w:szCs w:val="24"/>
        </w:rPr>
        <w:t xml:space="preserve">No explanation is given for this </w:t>
      </w:r>
      <w:r w:rsidRPr="008A7E68" w:rsidR="008C1D5F">
        <w:rPr>
          <w:szCs w:val="24"/>
        </w:rPr>
        <w:t xml:space="preserve">language </w:t>
      </w:r>
      <w:r w:rsidRPr="008A7E68">
        <w:rPr>
          <w:szCs w:val="24"/>
        </w:rPr>
        <w:t>change. The Office of the Ohio Consumers’ Counsel (</w:t>
      </w:r>
      <w:r w:rsidR="00970ED2">
        <w:rPr>
          <w:szCs w:val="24"/>
        </w:rPr>
        <w:t>“</w:t>
      </w:r>
      <w:r w:rsidRPr="008A7E68">
        <w:rPr>
          <w:szCs w:val="24"/>
        </w:rPr>
        <w:t>OCC</w:t>
      </w:r>
      <w:r w:rsidR="00970ED2">
        <w:rPr>
          <w:szCs w:val="24"/>
        </w:rPr>
        <w:t>”</w:t>
      </w:r>
      <w:r w:rsidRPr="008A7E68">
        <w:rPr>
          <w:szCs w:val="24"/>
        </w:rPr>
        <w:t xml:space="preserve">) does not object to </w:t>
      </w:r>
      <w:r w:rsidRPr="008A7E68" w:rsidR="007D3C26">
        <w:rPr>
          <w:szCs w:val="24"/>
        </w:rPr>
        <w:t>this change but</w:t>
      </w:r>
      <w:r w:rsidRPr="008A7E68" w:rsidR="008C1D5F">
        <w:rPr>
          <w:szCs w:val="24"/>
        </w:rPr>
        <w:t xml:space="preserve"> suggests in these comments two </w:t>
      </w:r>
      <w:r w:rsidRPr="008A7E68">
        <w:rPr>
          <w:szCs w:val="24"/>
        </w:rPr>
        <w:t xml:space="preserve">modifications to this chapter to protect Ohio consumers. One, that language be added in the </w:t>
      </w:r>
      <w:r w:rsidRPr="008A7E68" w:rsidR="00260749">
        <w:rPr>
          <w:szCs w:val="24"/>
        </w:rPr>
        <w:t>Application</w:t>
      </w:r>
      <w:r w:rsidRPr="008A7E68">
        <w:rPr>
          <w:szCs w:val="24"/>
        </w:rPr>
        <w:t xml:space="preserve"> section, 4901:1-36-0</w:t>
      </w:r>
      <w:r w:rsidRPr="008A7E68" w:rsidR="009D0E1D">
        <w:rPr>
          <w:szCs w:val="24"/>
        </w:rPr>
        <w:t>3</w:t>
      </w:r>
      <w:r w:rsidRPr="008A7E68">
        <w:rPr>
          <w:szCs w:val="24"/>
        </w:rPr>
        <w:t>, that rider application</w:t>
      </w:r>
      <w:r w:rsidRPr="008A7E68" w:rsidR="00260749">
        <w:rPr>
          <w:szCs w:val="24"/>
        </w:rPr>
        <w:t>s</w:t>
      </w:r>
      <w:r w:rsidRPr="008A7E68">
        <w:rPr>
          <w:szCs w:val="24"/>
        </w:rPr>
        <w:t xml:space="preserve"> must include language that they are subject to re</w:t>
      </w:r>
      <w:r w:rsidRPr="008A7E68" w:rsidR="00260749">
        <w:rPr>
          <w:szCs w:val="24"/>
        </w:rPr>
        <w:t>conciliation and re</w:t>
      </w:r>
      <w:r w:rsidRPr="008A7E68">
        <w:rPr>
          <w:szCs w:val="24"/>
        </w:rPr>
        <w:t>fund. Second, OCC proposes that the 75-day automatic approval of TCRR applications be ended.</w:t>
      </w:r>
    </w:p>
    <w:p w:rsidR="002F3CD8" w:rsidRPr="008A7E68" w:rsidP="002F3CD8">
      <w:pPr>
        <w:pStyle w:val="BodyTextIndent3"/>
        <w:widowControl w:val="0"/>
        <w:spacing w:line="480" w:lineRule="auto"/>
        <w:ind w:right="-312"/>
        <w:rPr>
          <w:szCs w:val="24"/>
        </w:rPr>
      </w:pPr>
      <w:r w:rsidRPr="008A7E68">
        <w:rPr>
          <w:szCs w:val="24"/>
        </w:rPr>
        <w:t xml:space="preserve">OCC’s proposed changes to the </w:t>
      </w:r>
      <w:r w:rsidRPr="008A7E68">
        <w:rPr>
          <w:szCs w:val="24"/>
        </w:rPr>
        <w:t xml:space="preserve">PUCO’s rules </w:t>
      </w:r>
      <w:r w:rsidRPr="008A7E68" w:rsidR="006E332D">
        <w:rPr>
          <w:szCs w:val="24"/>
        </w:rPr>
        <w:t xml:space="preserve">accomplish two significant </w:t>
      </w:r>
      <w:r w:rsidR="00936F19">
        <w:rPr>
          <w:szCs w:val="24"/>
        </w:rPr>
        <w:t xml:space="preserve">consumer </w:t>
      </w:r>
      <w:r w:rsidRPr="008A7E68" w:rsidR="006E332D">
        <w:rPr>
          <w:szCs w:val="24"/>
        </w:rPr>
        <w:t xml:space="preserve">protections. </w:t>
      </w:r>
      <w:r w:rsidR="00C448D4">
        <w:rPr>
          <w:szCs w:val="24"/>
        </w:rPr>
        <w:t xml:space="preserve">Consumers should be protected </w:t>
      </w:r>
      <w:r w:rsidRPr="008A7E68">
        <w:rPr>
          <w:szCs w:val="24"/>
        </w:rPr>
        <w:t xml:space="preserve">from paying for </w:t>
      </w:r>
      <w:r w:rsidRPr="008A7E68">
        <w:rPr>
          <w:szCs w:val="24"/>
        </w:rPr>
        <w:t>rider c</w:t>
      </w:r>
      <w:r w:rsidRPr="008A7E68" w:rsidR="00260749">
        <w:rPr>
          <w:szCs w:val="24"/>
        </w:rPr>
        <w:t>ollections</w:t>
      </w:r>
      <w:r w:rsidRPr="008A7E68">
        <w:rPr>
          <w:szCs w:val="24"/>
        </w:rPr>
        <w:t xml:space="preserve"> later deemed </w:t>
      </w:r>
      <w:r w:rsidR="00587259">
        <w:rPr>
          <w:szCs w:val="24"/>
        </w:rPr>
        <w:t>improper</w:t>
      </w:r>
      <w:r w:rsidRPr="008A7E68" w:rsidR="00587259">
        <w:rPr>
          <w:szCs w:val="24"/>
        </w:rPr>
        <w:t>.</w:t>
      </w:r>
      <w:r w:rsidR="00C448D4">
        <w:rPr>
          <w:szCs w:val="24"/>
        </w:rPr>
        <w:t xml:space="preserve">  And proceedings which establish rates that customers pay should </w:t>
      </w:r>
      <w:r w:rsidRPr="008A7E68" w:rsidR="006E332D">
        <w:rPr>
          <w:szCs w:val="24"/>
        </w:rPr>
        <w:t>allow for</w:t>
      </w:r>
      <w:r w:rsidR="00C448D4">
        <w:rPr>
          <w:szCs w:val="24"/>
        </w:rPr>
        <w:t xml:space="preserve"> adequate </w:t>
      </w:r>
      <w:r w:rsidRPr="008A7E68" w:rsidR="006E332D">
        <w:rPr>
          <w:szCs w:val="24"/>
        </w:rPr>
        <w:t>time for intervention, discovery</w:t>
      </w:r>
      <w:r w:rsidR="00936F19">
        <w:rPr>
          <w:szCs w:val="24"/>
        </w:rPr>
        <w:t>,</w:t>
      </w:r>
      <w:r w:rsidRPr="008A7E68" w:rsidR="006E332D">
        <w:rPr>
          <w:szCs w:val="24"/>
        </w:rPr>
        <w:t xml:space="preserve"> and comments</w:t>
      </w:r>
      <w:r w:rsidR="00C448D4">
        <w:rPr>
          <w:szCs w:val="24"/>
        </w:rPr>
        <w:t>.  This will</w:t>
      </w:r>
      <w:r w:rsidR="00936F19">
        <w:rPr>
          <w:szCs w:val="24"/>
        </w:rPr>
        <w:t xml:space="preserve"> allow for a more thorough review of the </w:t>
      </w:r>
      <w:r w:rsidR="00C448D4">
        <w:rPr>
          <w:szCs w:val="24"/>
        </w:rPr>
        <w:t>charges to customers</w:t>
      </w:r>
      <w:r w:rsidRPr="008A7E68" w:rsidR="006E332D">
        <w:rPr>
          <w:szCs w:val="24"/>
        </w:rPr>
        <w:t>. O</w:t>
      </w:r>
      <w:r w:rsidRPr="008A7E68">
        <w:rPr>
          <w:szCs w:val="24"/>
        </w:rPr>
        <w:t xml:space="preserve">CC submits these comments regarding the PUCO’s </w:t>
      </w:r>
      <w:r w:rsidRPr="008A7E68" w:rsidR="006E332D">
        <w:rPr>
          <w:szCs w:val="24"/>
        </w:rPr>
        <w:t>TCRR</w:t>
      </w:r>
      <w:r w:rsidRPr="008A7E68">
        <w:rPr>
          <w:szCs w:val="24"/>
        </w:rPr>
        <w:t xml:space="preserve"> rules on behalf of all of Ohio’s residential utility consumers.  </w:t>
      </w:r>
    </w:p>
    <w:p w:rsidR="002F3CD8" w:rsidRPr="008A7E68" w:rsidP="002F3CD8">
      <w:pPr>
        <w:pStyle w:val="BodyTextIndent3"/>
        <w:widowControl w:val="0"/>
        <w:spacing w:line="240" w:lineRule="auto"/>
        <w:ind w:right="-312"/>
        <w:rPr>
          <w:szCs w:val="24"/>
        </w:rPr>
      </w:pPr>
    </w:p>
    <w:p w:rsidR="002F3CD8" w:rsidRPr="008A7E68" w:rsidP="00F67489">
      <w:pPr>
        <w:pStyle w:val="Heading1"/>
      </w:pPr>
      <w:bookmarkStart w:id="2" w:name="_Toc7705421"/>
      <w:r w:rsidRPr="008A7E68">
        <w:t>II.</w:t>
      </w:r>
      <w:r w:rsidRPr="008A7E68">
        <w:tab/>
        <w:t>RECOMMENDATIONS</w:t>
      </w:r>
      <w:bookmarkEnd w:id="2"/>
    </w:p>
    <w:p w:rsidR="002F3CD8" w:rsidRPr="008A7E68" w:rsidP="006E332D">
      <w:pPr>
        <w:pStyle w:val="Heading2"/>
        <w:numPr>
          <w:ilvl w:val="0"/>
          <w:numId w:val="1"/>
        </w:numPr>
        <w:rPr>
          <w:rFonts w:ascii="Times New Roman" w:hAnsi="Times New Roman"/>
        </w:rPr>
      </w:pPr>
      <w:bookmarkStart w:id="3" w:name="_Toc7705422"/>
      <w:r w:rsidRPr="008A7E68">
        <w:rPr>
          <w:rFonts w:ascii="Times New Roman" w:hAnsi="Times New Roman"/>
        </w:rPr>
        <w:t>The PUCO should amend Ohio Adm.Code 4901:1-3</w:t>
      </w:r>
      <w:r w:rsidRPr="008A7E68" w:rsidR="006E332D">
        <w:rPr>
          <w:rFonts w:ascii="Times New Roman" w:hAnsi="Times New Roman"/>
        </w:rPr>
        <w:t>6-03 to provide that all TCRR applications include language that the</w:t>
      </w:r>
      <w:r w:rsidR="00936F19">
        <w:rPr>
          <w:rFonts w:ascii="Times New Roman" w:hAnsi="Times New Roman"/>
        </w:rPr>
        <w:t xml:space="preserve"> rider is </w:t>
      </w:r>
      <w:r w:rsidRPr="008A7E68" w:rsidR="006E332D">
        <w:rPr>
          <w:rFonts w:ascii="Times New Roman" w:hAnsi="Times New Roman"/>
        </w:rPr>
        <w:t xml:space="preserve">subject to </w:t>
      </w:r>
      <w:r w:rsidRPr="008A7E68" w:rsidR="008958A7">
        <w:rPr>
          <w:rFonts w:ascii="Times New Roman" w:hAnsi="Times New Roman"/>
        </w:rPr>
        <w:t xml:space="preserve">reconciliation and </w:t>
      </w:r>
      <w:r w:rsidRPr="008A7E68" w:rsidR="006E332D">
        <w:rPr>
          <w:rFonts w:ascii="Times New Roman" w:hAnsi="Times New Roman"/>
        </w:rPr>
        <w:t>refund.</w:t>
      </w:r>
      <w:bookmarkEnd w:id="3"/>
    </w:p>
    <w:p w:rsidR="00206172" w:rsidP="0086647C">
      <w:pPr>
        <w:spacing w:line="480" w:lineRule="auto"/>
        <w:ind w:firstLine="720"/>
        <w:rPr>
          <w:rFonts w:cs="Times New Roman"/>
          <w:szCs w:val="24"/>
        </w:rPr>
      </w:pPr>
      <w:r>
        <w:rPr>
          <w:rFonts w:cs="Times New Roman"/>
          <w:szCs w:val="24"/>
        </w:rPr>
        <w:t xml:space="preserve">The PUCO should amend </w:t>
      </w:r>
      <w:r w:rsidR="00D46902">
        <w:rPr>
          <w:rFonts w:cs="Times New Roman"/>
          <w:szCs w:val="24"/>
        </w:rPr>
        <w:t xml:space="preserve">Ohio Adm. Code 4901:1-36-03 to add that each transmission cost recovery rider application should include language that the rider is subject to reconciliation and refund. </w:t>
      </w:r>
      <w:r w:rsidR="00366AD5">
        <w:rPr>
          <w:rFonts w:cs="Times New Roman"/>
          <w:szCs w:val="24"/>
        </w:rPr>
        <w:t xml:space="preserve">There exists multiple </w:t>
      </w:r>
      <w:r w:rsidR="005D1F09">
        <w:rPr>
          <w:rFonts w:cs="Times New Roman"/>
          <w:szCs w:val="24"/>
        </w:rPr>
        <w:t xml:space="preserve">recent </w:t>
      </w:r>
      <w:r w:rsidR="00366AD5">
        <w:rPr>
          <w:rFonts w:cs="Times New Roman"/>
          <w:szCs w:val="24"/>
        </w:rPr>
        <w:t xml:space="preserve">precedent where the </w:t>
      </w:r>
      <w:r w:rsidR="00366AD5">
        <w:rPr>
          <w:rFonts w:cs="Times New Roman"/>
          <w:szCs w:val="24"/>
        </w:rPr>
        <w:t xml:space="preserve">PUCO has adopted </w:t>
      </w:r>
      <w:r w:rsidR="005D1F09">
        <w:rPr>
          <w:rFonts w:cs="Times New Roman"/>
          <w:szCs w:val="24"/>
        </w:rPr>
        <w:t>tariff language stating that electric utility riders are subject to reconciliation and refund.</w:t>
      </w:r>
      <w:r>
        <w:rPr>
          <w:rStyle w:val="FootnoteReference"/>
          <w:rFonts w:cs="Times New Roman"/>
          <w:szCs w:val="24"/>
        </w:rPr>
        <w:footnoteReference w:id="5"/>
      </w:r>
      <w:r w:rsidR="005D1F09">
        <w:rPr>
          <w:rFonts w:cs="Times New Roman"/>
          <w:szCs w:val="24"/>
        </w:rPr>
        <w:t xml:space="preserve"> This language is necessary to remedy the </w:t>
      </w:r>
      <w:r w:rsidRPr="005A2C5A" w:rsidR="005D1F09">
        <w:rPr>
          <w:rFonts w:cs="Times New Roman"/>
          <w:i/>
          <w:iCs/>
          <w:szCs w:val="24"/>
        </w:rPr>
        <w:t>Keco</w:t>
      </w:r>
      <w:r>
        <w:rPr>
          <w:rStyle w:val="FootnoteReference"/>
          <w:rFonts w:cs="Times New Roman"/>
          <w:szCs w:val="24"/>
        </w:rPr>
        <w:footnoteReference w:id="6"/>
      </w:r>
      <w:r w:rsidRPr="0086647C" w:rsidR="00D46902">
        <w:rPr>
          <w:rFonts w:cs="Times New Roman"/>
          <w:szCs w:val="24"/>
        </w:rPr>
        <w:t xml:space="preserve"> </w:t>
      </w:r>
      <w:r w:rsidR="00D46902">
        <w:rPr>
          <w:rFonts w:cs="Times New Roman"/>
          <w:szCs w:val="24"/>
        </w:rPr>
        <w:t>no</w:t>
      </w:r>
      <w:r>
        <w:rPr>
          <w:rFonts w:cs="Times New Roman"/>
          <w:szCs w:val="24"/>
        </w:rPr>
        <w:t xml:space="preserve"> refund issue</w:t>
      </w:r>
      <w:r w:rsidR="0086647C">
        <w:rPr>
          <w:rFonts w:cs="Times New Roman"/>
          <w:szCs w:val="24"/>
        </w:rPr>
        <w:t xml:space="preserve"> which has cost customers over $1 billion since 2009</w:t>
      </w:r>
      <w:r w:rsidR="00180765">
        <w:rPr>
          <w:rFonts w:cs="Times New Roman"/>
          <w:szCs w:val="24"/>
        </w:rPr>
        <w:t xml:space="preserve"> </w:t>
      </w:r>
      <w:r>
        <w:rPr>
          <w:rStyle w:val="FootnoteReference"/>
          <w:rFonts w:cs="Times New Roman"/>
          <w:szCs w:val="24"/>
        </w:rPr>
        <w:footnoteReference w:id="7"/>
      </w:r>
      <w:r w:rsidR="00D46902">
        <w:rPr>
          <w:rFonts w:cs="Times New Roman"/>
          <w:szCs w:val="24"/>
        </w:rPr>
        <w:t xml:space="preserve"> Customers have lost out on </w:t>
      </w:r>
      <w:r w:rsidR="00B61C2B">
        <w:rPr>
          <w:rFonts w:cs="Times New Roman"/>
          <w:szCs w:val="24"/>
        </w:rPr>
        <w:t xml:space="preserve">refunds under </w:t>
      </w:r>
      <w:r w:rsidR="009A390E">
        <w:rPr>
          <w:rFonts w:cs="Times New Roman"/>
          <w:szCs w:val="24"/>
        </w:rPr>
        <w:t xml:space="preserve">Ohio Supreme Court </w:t>
      </w:r>
      <w:r w:rsidR="00B61C2B">
        <w:rPr>
          <w:rFonts w:cs="Times New Roman"/>
          <w:szCs w:val="24"/>
        </w:rPr>
        <w:t>precedent allowing utilities to keep (without refunding) charges they collected from consumers even after the Court’s decisions finding that the charges were unlawful.</w:t>
      </w:r>
      <w:r>
        <w:rPr>
          <w:rStyle w:val="FootnoteReference"/>
          <w:rFonts w:cs="Times New Roman"/>
          <w:szCs w:val="24"/>
        </w:rPr>
        <w:footnoteReference w:id="8"/>
      </w:r>
      <w:r w:rsidR="00B61C2B">
        <w:rPr>
          <w:rFonts w:cs="Times New Roman"/>
          <w:szCs w:val="24"/>
        </w:rPr>
        <w:t xml:space="preserve"> </w:t>
      </w:r>
    </w:p>
    <w:p w:rsidR="009A390E" w:rsidP="0086647C">
      <w:pPr>
        <w:spacing w:line="480" w:lineRule="auto"/>
        <w:ind w:firstLine="720"/>
        <w:rPr>
          <w:rFonts w:cs="Times New Roman"/>
          <w:szCs w:val="24"/>
        </w:rPr>
      </w:pPr>
      <w:r>
        <w:rPr>
          <w:rFonts w:cs="Times New Roman"/>
          <w:szCs w:val="24"/>
        </w:rPr>
        <w:t xml:space="preserve">Supreme Court </w:t>
      </w:r>
      <w:r w:rsidR="00587259">
        <w:rPr>
          <w:rFonts w:cs="Times New Roman"/>
          <w:szCs w:val="24"/>
        </w:rPr>
        <w:t xml:space="preserve">of Ohio </w:t>
      </w:r>
      <w:r>
        <w:rPr>
          <w:rFonts w:cs="Times New Roman"/>
          <w:szCs w:val="24"/>
        </w:rPr>
        <w:t>precedent has interpreted as R.C. 4905.32 as barring any refund of recovered rates unless the tariff applicable to those rates sets forth a refund mechanism.</w:t>
      </w:r>
      <w:r>
        <w:rPr>
          <w:rStyle w:val="FootnoteReference"/>
          <w:rFonts w:cs="Times New Roman"/>
          <w:szCs w:val="24"/>
        </w:rPr>
        <w:footnoteReference w:id="9"/>
      </w:r>
      <w:r>
        <w:rPr>
          <w:rFonts w:cs="Times New Roman"/>
          <w:szCs w:val="24"/>
        </w:rPr>
        <w:t xml:space="preserve"> To avoid this problem, </w:t>
      </w:r>
      <w:r w:rsidRPr="008A7E68" w:rsidR="00C7573C">
        <w:rPr>
          <w:rFonts w:cs="Times New Roman"/>
          <w:szCs w:val="24"/>
        </w:rPr>
        <w:t>OCC recommends that each rider application include the language “subject to re</w:t>
      </w:r>
      <w:r w:rsidRPr="008A7E68" w:rsidR="008958A7">
        <w:rPr>
          <w:rFonts w:cs="Times New Roman"/>
          <w:szCs w:val="24"/>
        </w:rPr>
        <w:t>conciliation and re</w:t>
      </w:r>
      <w:r w:rsidRPr="008A7E68" w:rsidR="00C7573C">
        <w:rPr>
          <w:rFonts w:cs="Times New Roman"/>
          <w:szCs w:val="24"/>
        </w:rPr>
        <w:t>fund</w:t>
      </w:r>
      <w:r w:rsidRPr="008A7E68" w:rsidR="008958A7">
        <w:rPr>
          <w:rFonts w:cs="Times New Roman"/>
          <w:szCs w:val="24"/>
        </w:rPr>
        <w:t>”</w:t>
      </w:r>
      <w:r w:rsidRPr="008A7E68" w:rsidR="00460F58">
        <w:rPr>
          <w:rFonts w:cs="Times New Roman"/>
          <w:szCs w:val="24"/>
        </w:rPr>
        <w:t xml:space="preserve"> so that </w:t>
      </w:r>
      <w:r w:rsidRPr="008A7E68" w:rsidR="0088042A">
        <w:rPr>
          <w:rFonts w:cs="Times New Roman"/>
          <w:szCs w:val="24"/>
        </w:rPr>
        <w:t xml:space="preserve">in the event that a </w:t>
      </w:r>
      <w:r w:rsidR="00206172">
        <w:rPr>
          <w:rFonts w:cs="Times New Roman"/>
          <w:szCs w:val="24"/>
        </w:rPr>
        <w:t>transmission cost recovery rider</w:t>
      </w:r>
      <w:r w:rsidRPr="008A7E68" w:rsidR="00460F58">
        <w:rPr>
          <w:rFonts w:cs="Times New Roman"/>
          <w:szCs w:val="24"/>
        </w:rPr>
        <w:t xml:space="preserve"> happens to be reviewed </w:t>
      </w:r>
      <w:r w:rsidRPr="008A7E68" w:rsidR="00D26FF2">
        <w:rPr>
          <w:rFonts w:cs="Times New Roman"/>
          <w:szCs w:val="24"/>
        </w:rPr>
        <w:t xml:space="preserve">by an independent auditor, court, or the PUCO itself, </w:t>
      </w:r>
      <w:r w:rsidRPr="008A7E68" w:rsidR="00460F58">
        <w:rPr>
          <w:rFonts w:cs="Times New Roman"/>
          <w:szCs w:val="24"/>
        </w:rPr>
        <w:t xml:space="preserve">and found to be unlawful, refunds </w:t>
      </w:r>
      <w:r w:rsidR="00970ED2">
        <w:rPr>
          <w:rFonts w:cs="Times New Roman"/>
          <w:szCs w:val="24"/>
        </w:rPr>
        <w:t xml:space="preserve">to consumers </w:t>
      </w:r>
      <w:r w:rsidRPr="008A7E68" w:rsidR="00460F58">
        <w:rPr>
          <w:rFonts w:cs="Times New Roman"/>
          <w:szCs w:val="24"/>
        </w:rPr>
        <w:t>are able to be ordered</w:t>
      </w:r>
      <w:r w:rsidRPr="008A7E68" w:rsidR="008958A7">
        <w:rPr>
          <w:rFonts w:cs="Times New Roman"/>
          <w:szCs w:val="24"/>
        </w:rPr>
        <w:t xml:space="preserve"> and </w:t>
      </w:r>
      <w:r w:rsidRPr="008A7E68" w:rsidR="00E65DDB">
        <w:rPr>
          <w:rFonts w:cs="Times New Roman"/>
          <w:szCs w:val="24"/>
        </w:rPr>
        <w:t>implemented</w:t>
      </w:r>
      <w:r w:rsidRPr="008A7E68" w:rsidR="00460F58">
        <w:rPr>
          <w:rFonts w:cs="Times New Roman"/>
          <w:szCs w:val="24"/>
        </w:rPr>
        <w:t>. Currently there is no language in this chapter allowing for this.</w:t>
      </w:r>
      <w:r w:rsidRPr="008A7E68" w:rsidR="00C7573C">
        <w:rPr>
          <w:rFonts w:cs="Times New Roman"/>
          <w:szCs w:val="24"/>
        </w:rPr>
        <w:t xml:space="preserve"> </w:t>
      </w:r>
    </w:p>
    <w:p w:rsidR="0086647C" w:rsidRPr="008A7E68" w:rsidP="0086647C">
      <w:pPr>
        <w:spacing w:line="480" w:lineRule="auto"/>
        <w:ind w:firstLine="720"/>
        <w:rPr>
          <w:rFonts w:cs="Times New Roman"/>
          <w:szCs w:val="24"/>
        </w:rPr>
      </w:pPr>
      <w:r>
        <w:rPr>
          <w:rFonts w:cs="Times New Roman"/>
          <w:szCs w:val="24"/>
        </w:rPr>
        <w:t xml:space="preserve">OCC proposes the following additional language to </w:t>
      </w:r>
      <w:r w:rsidRPr="008A7E68">
        <w:rPr>
          <w:rFonts w:cs="Times New Roman"/>
          <w:szCs w:val="24"/>
        </w:rPr>
        <w:t>Section 4901:1-36-03</w:t>
      </w:r>
      <w:r w:rsidR="008C7387">
        <w:rPr>
          <w:rFonts w:cs="Times New Roman"/>
          <w:szCs w:val="24"/>
        </w:rPr>
        <w:t>(B)</w:t>
      </w:r>
      <w:r w:rsidR="009A390E">
        <w:rPr>
          <w:rFonts w:cs="Times New Roman"/>
          <w:szCs w:val="24"/>
        </w:rPr>
        <w:t>:</w:t>
      </w:r>
      <w:r w:rsidRPr="008A7E68">
        <w:rPr>
          <w:rFonts w:cs="Times New Roman"/>
          <w:szCs w:val="24"/>
        </w:rPr>
        <w:t xml:space="preserve"> </w:t>
      </w:r>
    </w:p>
    <w:p w:rsidR="001E7B8B" w:rsidRPr="00206172" w:rsidP="00B36EC0">
      <w:pPr>
        <w:ind w:left="1440" w:right="720"/>
        <w:rPr>
          <w:sz w:val="22"/>
          <w:u w:val="single"/>
        </w:rPr>
      </w:pPr>
      <w:r w:rsidRPr="008A7E68">
        <w:rPr>
          <w:rFonts w:cs="Times New Roman"/>
          <w:szCs w:val="24"/>
        </w:rPr>
        <w:t>Each electric utility with an approved transmission cost recovery rider shall update the rider on an annual basis pursuant to a schedule set forth by commission order. Each application to update the transmission cost recovery rider shall include all information set forth in the appendix to this rule</w:t>
      </w:r>
      <w:r w:rsidR="008C7387">
        <w:rPr>
          <w:rFonts w:cs="Times New Roman"/>
          <w:szCs w:val="24"/>
        </w:rPr>
        <w:t xml:space="preserve">. </w:t>
      </w:r>
      <w:r w:rsidRPr="00206172">
        <w:rPr>
          <w:u w:val="single"/>
        </w:rPr>
        <w:t xml:space="preserve">This Rider is subject to </w:t>
      </w:r>
      <w:r w:rsidRPr="00206172">
        <w:rPr>
          <w:u w:val="single"/>
        </w:rPr>
        <w:t>reconciliation or adjustment, including but not limited to,</w:t>
      </w:r>
      <w:r w:rsidR="00113AD9">
        <w:rPr>
          <w:u w:val="single"/>
        </w:rPr>
        <w:t xml:space="preserve"> </w:t>
      </w:r>
      <w:r w:rsidRPr="00206172">
        <w:rPr>
          <w:u w:val="single"/>
        </w:rPr>
        <w:t>increases or refunds if determined to be unlawful, unreasonable, or imprudent by the Commission or Supreme Court of Ohio in the docket those rates were approved, or the docket where the audit of those rates occurred.</w:t>
      </w:r>
    </w:p>
    <w:p w:rsidR="00F67489" w:rsidRPr="00206172" w:rsidP="00F67489">
      <w:pPr>
        <w:ind w:firstLine="720"/>
        <w:rPr>
          <w:rFonts w:cs="Times New Roman"/>
          <w:szCs w:val="24"/>
          <w:u w:val="single"/>
        </w:rPr>
      </w:pPr>
    </w:p>
    <w:p w:rsidR="00DB015F" w:rsidRPr="008A7E68" w:rsidP="002646D4">
      <w:pPr>
        <w:spacing w:line="480" w:lineRule="auto"/>
        <w:ind w:firstLine="720"/>
        <w:rPr>
          <w:rFonts w:cs="Times New Roman"/>
          <w:szCs w:val="24"/>
        </w:rPr>
      </w:pPr>
      <w:r w:rsidRPr="008A7E68">
        <w:rPr>
          <w:rFonts w:cs="Times New Roman"/>
          <w:szCs w:val="24"/>
        </w:rPr>
        <w:t>Section 4901:1-36-04 describes the limitations pertaining to a utility’s transmission cost recovery rider. Paragraph (A) states:</w:t>
      </w:r>
    </w:p>
    <w:p w:rsidR="00DB015F" w:rsidRPr="008A7E68" w:rsidP="00F67489">
      <w:pPr>
        <w:ind w:left="1440" w:right="720"/>
        <w:rPr>
          <w:rFonts w:cs="Times New Roman"/>
          <w:szCs w:val="24"/>
        </w:rPr>
      </w:pPr>
      <w:r w:rsidRPr="008A7E68">
        <w:rPr>
          <w:rFonts w:cs="Times New Roman"/>
          <w:szCs w:val="24"/>
        </w:rPr>
        <w:t>The transmission cost recovery rider costs are reconcilable on an annual basis, with carrying charges to be applied to both over-and-under recovery of costs.</w:t>
      </w:r>
      <w:r>
        <w:rPr>
          <w:rStyle w:val="FootnoteReference"/>
          <w:rFonts w:cs="Times New Roman"/>
          <w:szCs w:val="24"/>
        </w:rPr>
        <w:footnoteReference w:id="10"/>
      </w:r>
    </w:p>
    <w:p w:rsidR="00DF7B5C" w:rsidRPr="008A7E68" w:rsidP="00DB015F">
      <w:pPr>
        <w:ind w:left="720"/>
        <w:rPr>
          <w:rFonts w:cs="Times New Roman"/>
          <w:szCs w:val="24"/>
        </w:rPr>
      </w:pPr>
    </w:p>
    <w:p w:rsidR="00DF7B5C" w:rsidRPr="008A7E68" w:rsidP="002646D4">
      <w:pPr>
        <w:spacing w:line="480" w:lineRule="auto"/>
        <w:rPr>
          <w:rFonts w:cs="Times New Roman"/>
          <w:szCs w:val="24"/>
        </w:rPr>
      </w:pPr>
      <w:r w:rsidRPr="008A7E68">
        <w:rPr>
          <w:rFonts w:cs="Times New Roman"/>
          <w:szCs w:val="24"/>
        </w:rPr>
        <w:t>This provision applies to the annual reconciliation of rider costs in the event that such reconciliation finds an over-or under-collection.</w:t>
      </w:r>
      <w:r w:rsidRPr="008A7E68" w:rsidR="00460F58">
        <w:rPr>
          <w:rFonts w:cs="Times New Roman"/>
          <w:szCs w:val="24"/>
        </w:rPr>
        <w:t xml:space="preserve"> However, it does not address the situation where a rider </w:t>
      </w:r>
      <w:r w:rsidR="000A7A3D">
        <w:rPr>
          <w:rFonts w:cs="Times New Roman"/>
          <w:szCs w:val="24"/>
        </w:rPr>
        <w:t xml:space="preserve">charge </w:t>
      </w:r>
      <w:r w:rsidRPr="008A7E68" w:rsidR="00460F58">
        <w:rPr>
          <w:rFonts w:cs="Times New Roman"/>
          <w:szCs w:val="24"/>
        </w:rPr>
        <w:t xml:space="preserve">is found to be unlawful </w:t>
      </w:r>
      <w:r w:rsidRPr="008A7E68" w:rsidR="00260749">
        <w:rPr>
          <w:rFonts w:cs="Times New Roman"/>
          <w:szCs w:val="24"/>
        </w:rPr>
        <w:t>and refunds are ordered implemented.</w:t>
      </w:r>
      <w:r w:rsidRPr="008A7E68" w:rsidR="00460F58">
        <w:rPr>
          <w:rFonts w:cs="Times New Roman"/>
          <w:szCs w:val="24"/>
        </w:rPr>
        <w:t xml:space="preserve"> Thus, the re</w:t>
      </w:r>
      <w:r w:rsidRPr="008A7E68" w:rsidR="00260749">
        <w:rPr>
          <w:rFonts w:cs="Times New Roman"/>
          <w:szCs w:val="24"/>
        </w:rPr>
        <w:t>conciliation and re</w:t>
      </w:r>
      <w:r w:rsidRPr="008A7E68" w:rsidR="00460F58">
        <w:rPr>
          <w:rFonts w:cs="Times New Roman"/>
          <w:szCs w:val="24"/>
        </w:rPr>
        <w:t>fund language proposed for 4901:1</w:t>
      </w:r>
      <w:r w:rsidRPr="008A7E68" w:rsidR="0088042A">
        <w:rPr>
          <w:rFonts w:cs="Times New Roman"/>
          <w:szCs w:val="24"/>
        </w:rPr>
        <w:t xml:space="preserve">-36-03 (B) is a necessary consumer protection. </w:t>
      </w:r>
    </w:p>
    <w:p w:rsidR="0088042A" w:rsidRPr="008A7E68" w:rsidP="0088042A">
      <w:pPr>
        <w:pStyle w:val="Heading2"/>
        <w:rPr>
          <w:rFonts w:ascii="Times New Roman" w:hAnsi="Times New Roman"/>
        </w:rPr>
      </w:pPr>
      <w:bookmarkStart w:id="4" w:name="_Toc7705423"/>
      <w:bookmarkStart w:id="5" w:name="_Hlk7679717"/>
      <w:r w:rsidRPr="008A7E68">
        <w:rPr>
          <w:rFonts w:ascii="Times New Roman" w:hAnsi="Times New Roman"/>
        </w:rPr>
        <w:t>B.</w:t>
      </w:r>
      <w:r w:rsidRPr="008A7E68">
        <w:rPr>
          <w:rFonts w:ascii="Times New Roman" w:hAnsi="Times New Roman"/>
        </w:rPr>
        <w:tab/>
        <w:t xml:space="preserve">The PUCO should amend Ohio Adm.Code 4901:1-36-05 to </w:t>
      </w:r>
      <w:r w:rsidRPr="008A7E68" w:rsidR="00D002FA">
        <w:rPr>
          <w:rFonts w:ascii="Times New Roman" w:hAnsi="Times New Roman"/>
        </w:rPr>
        <w:t xml:space="preserve">eliminate the 75-day automatic approval of </w:t>
      </w:r>
      <w:r w:rsidRPr="008A7E68" w:rsidR="008958A7">
        <w:rPr>
          <w:rFonts w:ascii="Times New Roman" w:hAnsi="Times New Roman"/>
        </w:rPr>
        <w:t xml:space="preserve">electric </w:t>
      </w:r>
      <w:r w:rsidRPr="008A7E68" w:rsidR="00D002FA">
        <w:rPr>
          <w:rFonts w:ascii="Times New Roman" w:hAnsi="Times New Roman"/>
        </w:rPr>
        <w:t>utility TCRR applications.</w:t>
      </w:r>
      <w:bookmarkEnd w:id="4"/>
      <w:r w:rsidRPr="008A7E68">
        <w:rPr>
          <w:rFonts w:ascii="Times New Roman" w:hAnsi="Times New Roman"/>
        </w:rPr>
        <w:t xml:space="preserve"> </w:t>
      </w:r>
    </w:p>
    <w:p w:rsidR="00531DE9" w:rsidRPr="008A7E68" w:rsidP="00A25906">
      <w:pPr>
        <w:spacing w:line="480" w:lineRule="auto"/>
        <w:ind w:firstLine="720"/>
        <w:rPr>
          <w:rFonts w:cs="Times New Roman"/>
          <w:bCs/>
          <w:szCs w:val="24"/>
        </w:rPr>
      </w:pPr>
      <w:bookmarkEnd w:id="5"/>
      <w:r w:rsidRPr="008A7E68">
        <w:rPr>
          <w:rFonts w:cs="Times New Roman"/>
          <w:bCs/>
          <w:szCs w:val="24"/>
        </w:rPr>
        <w:t>Current rules in Ohio Adm.Code 4901:1-3</w:t>
      </w:r>
      <w:r w:rsidRPr="008A7E68" w:rsidR="0055199B">
        <w:rPr>
          <w:rFonts w:cs="Times New Roman"/>
          <w:bCs/>
          <w:szCs w:val="24"/>
        </w:rPr>
        <w:t xml:space="preserve">6-05 </w:t>
      </w:r>
      <w:r w:rsidR="00C448D4">
        <w:rPr>
          <w:rFonts w:cs="Times New Roman"/>
          <w:bCs/>
          <w:szCs w:val="24"/>
        </w:rPr>
        <w:t xml:space="preserve">allow </w:t>
      </w:r>
      <w:r w:rsidRPr="008A7E68" w:rsidR="00D002FA">
        <w:rPr>
          <w:rFonts w:cs="Times New Roman"/>
          <w:bCs/>
          <w:szCs w:val="24"/>
        </w:rPr>
        <w:t xml:space="preserve">proposed rates in a utility’s TCRR application </w:t>
      </w:r>
      <w:r w:rsidR="00C448D4">
        <w:rPr>
          <w:rFonts w:cs="Times New Roman"/>
          <w:bCs/>
          <w:szCs w:val="24"/>
        </w:rPr>
        <w:t>to be</w:t>
      </w:r>
      <w:r w:rsidRPr="008A7E68" w:rsidR="00D002FA">
        <w:rPr>
          <w:rFonts w:cs="Times New Roman"/>
          <w:bCs/>
          <w:szCs w:val="24"/>
        </w:rPr>
        <w:t xml:space="preserve"> automatically approved within 75 days of the filing of the application, unless the matter is set for hearing. </w:t>
      </w:r>
      <w:r w:rsidRPr="008A7E68">
        <w:rPr>
          <w:rFonts w:cs="Times New Roman"/>
          <w:bCs/>
          <w:szCs w:val="24"/>
        </w:rPr>
        <w:t>Rules 4901:1-36-05 reads as follows:</w:t>
      </w:r>
    </w:p>
    <w:p w:rsidR="00531DE9" w:rsidRPr="008A7E68" w:rsidP="002646D4">
      <w:pPr>
        <w:ind w:left="1440" w:right="720"/>
        <w:rPr>
          <w:rFonts w:cs="Times New Roman"/>
          <w:color w:val="000000"/>
          <w:szCs w:val="24"/>
          <w:shd w:val="clear" w:color="auto" w:fill="FFFFFF"/>
        </w:rPr>
      </w:pPr>
      <w:r w:rsidRPr="008A7E68">
        <w:rPr>
          <w:rFonts w:cs="Times New Roman"/>
          <w:color w:val="000000"/>
          <w:szCs w:val="24"/>
          <w:shd w:val="clear" w:color="auto" w:fill="FFFFFF"/>
        </w:rPr>
        <w:t>Unless otherwise ordered by the commission, the legal director, the deputy legal director, or the attorney examiner, the commission shall approve the application or set the matter for hearing within seventy-five days after the filing of a complete application under this chapter. Proposed rates will become effective on the seventh-fifth day subject to reconciliation adjustments following any hearing, if necessary, or in its subsequent filing.</w:t>
      </w:r>
    </w:p>
    <w:p w:rsidR="002646D4" w:rsidRPr="008A7E68" w:rsidP="002646D4">
      <w:pPr>
        <w:ind w:left="1440" w:right="720"/>
        <w:rPr>
          <w:rFonts w:cs="Times New Roman"/>
          <w:color w:val="000000"/>
          <w:szCs w:val="24"/>
          <w:shd w:val="clear" w:color="auto" w:fill="FFFFFF"/>
        </w:rPr>
      </w:pPr>
    </w:p>
    <w:p w:rsidR="00C448D4" w:rsidP="00A25906">
      <w:pPr>
        <w:spacing w:line="480" w:lineRule="auto"/>
        <w:ind w:firstLine="720"/>
        <w:rPr>
          <w:rFonts w:cs="Times New Roman"/>
          <w:bCs/>
          <w:szCs w:val="24"/>
        </w:rPr>
      </w:pPr>
      <w:r w:rsidRPr="008A7E68">
        <w:rPr>
          <w:rFonts w:cs="Times New Roman"/>
          <w:bCs/>
          <w:szCs w:val="24"/>
        </w:rPr>
        <w:t>OCC recommends that the portion of the rule allowing for automatic approval of these applications be eliminated</w:t>
      </w:r>
      <w:r w:rsidRPr="008A7E68" w:rsidR="008958A7">
        <w:rPr>
          <w:rFonts w:cs="Times New Roman"/>
          <w:bCs/>
          <w:szCs w:val="24"/>
        </w:rPr>
        <w:t xml:space="preserve"> because t</w:t>
      </w:r>
      <w:r w:rsidRPr="008A7E68">
        <w:rPr>
          <w:rFonts w:cs="Times New Roman"/>
          <w:bCs/>
          <w:szCs w:val="24"/>
        </w:rPr>
        <w:t>his short procedural time frame is an inadequate amount of time in which to intervene and conduct discovery</w:t>
      </w:r>
      <w:r w:rsidR="00970ED2">
        <w:rPr>
          <w:rFonts w:cs="Times New Roman"/>
          <w:bCs/>
          <w:szCs w:val="24"/>
        </w:rPr>
        <w:t xml:space="preserve"> necessary </w:t>
      </w:r>
      <w:r>
        <w:rPr>
          <w:rFonts w:cs="Times New Roman"/>
          <w:bCs/>
          <w:szCs w:val="24"/>
        </w:rPr>
        <w:t>to protect customers.</w:t>
      </w:r>
      <w:r w:rsidRPr="008A7E68">
        <w:rPr>
          <w:rFonts w:cs="Times New Roman"/>
          <w:bCs/>
          <w:szCs w:val="24"/>
        </w:rPr>
        <w:t xml:space="preserve"> </w:t>
      </w:r>
      <w:r w:rsidRPr="008A7E68" w:rsidR="004E35BD">
        <w:rPr>
          <w:rFonts w:cs="Times New Roman"/>
          <w:bCs/>
          <w:szCs w:val="24"/>
        </w:rPr>
        <w:t>It is an u</w:t>
      </w:r>
      <w:r w:rsidRPr="008A7E68" w:rsidR="00A25906">
        <w:rPr>
          <w:rFonts w:cs="Times New Roman"/>
          <w:bCs/>
          <w:szCs w:val="24"/>
        </w:rPr>
        <w:t>nreasonably short</w:t>
      </w:r>
      <w:r w:rsidRPr="008A7E68" w:rsidR="004E35BD">
        <w:rPr>
          <w:rFonts w:cs="Times New Roman"/>
          <w:bCs/>
          <w:szCs w:val="24"/>
        </w:rPr>
        <w:t xml:space="preserve"> time period in which to allow for </w:t>
      </w:r>
      <w:r w:rsidRPr="008A7E68" w:rsidR="00A25906">
        <w:rPr>
          <w:rFonts w:cs="Times New Roman"/>
          <w:bCs/>
          <w:szCs w:val="24"/>
        </w:rPr>
        <w:t xml:space="preserve">discovery, particularly given the twenty-day turnaround for discovery under PUCO rules. Thus, thorough review is </w:t>
      </w:r>
      <w:r w:rsidR="002256F2">
        <w:rPr>
          <w:rFonts w:cs="Times New Roman"/>
          <w:bCs/>
          <w:szCs w:val="24"/>
        </w:rPr>
        <w:t>hampered</w:t>
      </w:r>
      <w:r w:rsidR="00587259">
        <w:rPr>
          <w:rFonts w:cs="Times New Roman"/>
          <w:bCs/>
          <w:szCs w:val="24"/>
        </w:rPr>
        <w:t>,</w:t>
      </w:r>
      <w:r w:rsidR="002256F2">
        <w:rPr>
          <w:rFonts w:cs="Times New Roman"/>
          <w:bCs/>
          <w:szCs w:val="24"/>
        </w:rPr>
        <w:t xml:space="preserve"> </w:t>
      </w:r>
      <w:r w:rsidRPr="008A7E68" w:rsidR="00A25906">
        <w:rPr>
          <w:rFonts w:cs="Times New Roman"/>
          <w:bCs/>
          <w:szCs w:val="24"/>
        </w:rPr>
        <w:t xml:space="preserve">and due process is </w:t>
      </w:r>
      <w:r>
        <w:rPr>
          <w:rFonts w:cs="Times New Roman"/>
          <w:bCs/>
          <w:szCs w:val="24"/>
        </w:rPr>
        <w:t xml:space="preserve">sorely </w:t>
      </w:r>
      <w:r w:rsidRPr="008A7E68" w:rsidR="00A25906">
        <w:rPr>
          <w:rFonts w:cs="Times New Roman"/>
          <w:bCs/>
          <w:szCs w:val="24"/>
        </w:rPr>
        <w:t xml:space="preserve">lacking. </w:t>
      </w:r>
    </w:p>
    <w:p w:rsidR="00FA6C76" w:rsidP="00FA6C76">
      <w:pPr>
        <w:pStyle w:val="BodyTextDouble"/>
        <w:rPr>
          <w:lang w:val="en"/>
        </w:rPr>
      </w:pPr>
      <w:r>
        <w:rPr>
          <w:bCs/>
        </w:rPr>
        <w:t>In support of this recommendation, OCC notes that s</w:t>
      </w:r>
      <w:r>
        <w:t>ince the adoption of FERC Order No. 679 in 2006, the level of investment in electric transmission infrastructure across the nation has increased dramatically. The Energy Information Administration (“EIA”) reports that FERC-jurisdictional utilities spent $21 billion in capital additions in 2016 alone.</w:t>
      </w:r>
      <w:r>
        <w:rPr>
          <w:rStyle w:val="FootnoteReference"/>
        </w:rPr>
        <w:footnoteReference w:id="11"/>
      </w:r>
      <w:r>
        <w:t xml:space="preserve">  EIA reported that “[s]</w:t>
      </w:r>
      <w:r w:rsidRPr="00A66991">
        <w:rPr>
          <w:lang w:val="en"/>
        </w:rPr>
        <w:t xml:space="preserve">pending on infrastructure to deliver power to homes and businesses has increased steadily over the past </w:t>
      </w:r>
      <w:r>
        <w:rPr>
          <w:lang w:val="en"/>
        </w:rPr>
        <w:t xml:space="preserve">ten </w:t>
      </w:r>
      <w:r w:rsidRPr="00A66991">
        <w:rPr>
          <w:lang w:val="en"/>
        </w:rPr>
        <w:t>years as utilities build, upgrade, and replace station equipment, poles, fixtures, and overhead lines and devices.</w:t>
      </w:r>
      <w:r>
        <w:rPr>
          <w:lang w:val="en"/>
        </w:rPr>
        <w:t>”</w:t>
      </w:r>
      <w:r>
        <w:rPr>
          <w:rStyle w:val="FootnoteReference"/>
          <w:lang w:val="en"/>
        </w:rPr>
        <w:footnoteReference w:id="12"/>
      </w:r>
      <w:r>
        <w:rPr>
          <w:lang w:val="en"/>
        </w:rPr>
        <w:t xml:space="preserve">  Over that ten-year period, investment in transmission infrastructure increased from approximately $8 billion per year to more than $21 billion per year in 2016, with a total investment between 2010 and 2016 of almost $115 billion and an additional $62 billion in planned investment through 2019.</w:t>
      </w:r>
      <w:r>
        <w:rPr>
          <w:rStyle w:val="FootnoteReference"/>
          <w:lang w:val="en"/>
        </w:rPr>
        <w:footnoteReference w:id="13"/>
      </w:r>
      <w:r>
        <w:rPr>
          <w:lang w:val="en"/>
        </w:rPr>
        <w:t xml:space="preserve">  </w:t>
      </w:r>
    </w:p>
    <w:p w:rsidR="00A25906" w:rsidP="00A25906">
      <w:pPr>
        <w:spacing w:line="480" w:lineRule="auto"/>
        <w:ind w:firstLine="720"/>
        <w:rPr>
          <w:rFonts w:cs="Times New Roman"/>
          <w:szCs w:val="24"/>
        </w:rPr>
      </w:pPr>
      <w:r>
        <w:rPr>
          <w:rFonts w:cs="Times New Roman"/>
          <w:bCs/>
          <w:szCs w:val="24"/>
        </w:rPr>
        <w:t xml:space="preserve">In light of this significant increase in </w:t>
      </w:r>
      <w:r w:rsidR="008E43A9">
        <w:rPr>
          <w:rFonts w:cs="Times New Roman"/>
          <w:bCs/>
          <w:szCs w:val="24"/>
        </w:rPr>
        <w:t xml:space="preserve">utility </w:t>
      </w:r>
      <w:r>
        <w:rPr>
          <w:rFonts w:cs="Times New Roman"/>
          <w:bCs/>
          <w:szCs w:val="24"/>
        </w:rPr>
        <w:t>transmission infrastructure</w:t>
      </w:r>
      <w:r w:rsidR="00D77681">
        <w:rPr>
          <w:rFonts w:cs="Times New Roman"/>
          <w:bCs/>
          <w:szCs w:val="24"/>
        </w:rPr>
        <w:t xml:space="preserve"> spending</w:t>
      </w:r>
      <w:r w:rsidR="008E43A9">
        <w:rPr>
          <w:rFonts w:cs="Times New Roman"/>
          <w:bCs/>
          <w:szCs w:val="24"/>
        </w:rPr>
        <w:t xml:space="preserve"> and subsequent costs to customers</w:t>
      </w:r>
      <w:r>
        <w:rPr>
          <w:rFonts w:cs="Times New Roman"/>
          <w:bCs/>
          <w:szCs w:val="24"/>
        </w:rPr>
        <w:t>, t</w:t>
      </w:r>
      <w:r w:rsidRPr="008A7E68">
        <w:rPr>
          <w:rFonts w:cs="Times New Roman"/>
          <w:bCs/>
          <w:szCs w:val="24"/>
        </w:rPr>
        <w:t>he PUCO should amend Ohio Adm.Code 4901:1-3</w:t>
      </w:r>
      <w:r w:rsidRPr="008A7E68" w:rsidR="009D0E1D">
        <w:rPr>
          <w:rFonts w:cs="Times New Roman"/>
          <w:bCs/>
          <w:szCs w:val="24"/>
        </w:rPr>
        <w:t xml:space="preserve">6-05 to allow </w:t>
      </w:r>
      <w:r w:rsidRPr="008A7E68">
        <w:rPr>
          <w:rFonts w:cs="Times New Roman"/>
          <w:bCs/>
          <w:szCs w:val="24"/>
        </w:rPr>
        <w:t xml:space="preserve">parties </w:t>
      </w:r>
      <w:r w:rsidRPr="008A7E68" w:rsidR="009A6B88">
        <w:rPr>
          <w:rFonts w:cs="Times New Roman"/>
          <w:bCs/>
          <w:szCs w:val="24"/>
        </w:rPr>
        <w:t xml:space="preserve">75 </w:t>
      </w:r>
      <w:r w:rsidRPr="008A7E68">
        <w:rPr>
          <w:rFonts w:cs="Times New Roman"/>
          <w:bCs/>
          <w:szCs w:val="24"/>
        </w:rPr>
        <w:t xml:space="preserve">days </w:t>
      </w:r>
      <w:r w:rsidRPr="008A7E68" w:rsidR="009D0E1D">
        <w:rPr>
          <w:rFonts w:cs="Times New Roman"/>
          <w:bCs/>
          <w:szCs w:val="24"/>
        </w:rPr>
        <w:t xml:space="preserve">for intervention and </w:t>
      </w:r>
      <w:r w:rsidRPr="008A7E68">
        <w:rPr>
          <w:rFonts w:cs="Times New Roman"/>
          <w:bCs/>
          <w:szCs w:val="24"/>
        </w:rPr>
        <w:t xml:space="preserve">to file comments after the date of the filing of an application, unless otherwise </w:t>
      </w:r>
      <w:r w:rsidR="00C448D4">
        <w:rPr>
          <w:rFonts w:cs="Times New Roman"/>
          <w:bCs/>
          <w:szCs w:val="24"/>
        </w:rPr>
        <w:t>ordered</w:t>
      </w:r>
      <w:r w:rsidRPr="008A7E68">
        <w:rPr>
          <w:rFonts w:cs="Times New Roman"/>
          <w:bCs/>
          <w:szCs w:val="24"/>
        </w:rPr>
        <w:t xml:space="preserve"> by the PUCO.  The </w:t>
      </w:r>
      <w:r w:rsidRPr="008A7E68" w:rsidR="009A6B88">
        <w:rPr>
          <w:rFonts w:cs="Times New Roman"/>
          <w:bCs/>
          <w:szCs w:val="24"/>
        </w:rPr>
        <w:t>75-</w:t>
      </w:r>
      <w:r w:rsidRPr="008A7E68">
        <w:rPr>
          <w:rFonts w:cs="Times New Roman"/>
          <w:bCs/>
          <w:szCs w:val="24"/>
        </w:rPr>
        <w:t>day period should be coupled with an expedited discovery process allowing for</w:t>
      </w:r>
      <w:r w:rsidR="00C448D4">
        <w:rPr>
          <w:rFonts w:cs="Times New Roman"/>
          <w:bCs/>
          <w:szCs w:val="24"/>
        </w:rPr>
        <w:t xml:space="preserve"> a</w:t>
      </w:r>
      <w:r w:rsidRPr="008A7E68">
        <w:rPr>
          <w:rFonts w:cs="Times New Roman"/>
          <w:bCs/>
          <w:szCs w:val="24"/>
        </w:rPr>
        <w:t xml:space="preserve"> seven</w:t>
      </w:r>
      <w:r w:rsidR="002256F2">
        <w:rPr>
          <w:rFonts w:cs="Times New Roman"/>
          <w:bCs/>
          <w:szCs w:val="24"/>
        </w:rPr>
        <w:t>-</w:t>
      </w:r>
      <w:r w:rsidRPr="008A7E68">
        <w:rPr>
          <w:rFonts w:cs="Times New Roman"/>
          <w:bCs/>
          <w:szCs w:val="24"/>
        </w:rPr>
        <w:t>day</w:t>
      </w:r>
      <w:r w:rsidR="00C448D4">
        <w:rPr>
          <w:rFonts w:cs="Times New Roman"/>
          <w:bCs/>
          <w:szCs w:val="24"/>
        </w:rPr>
        <w:t xml:space="preserve"> turnaround</w:t>
      </w:r>
      <w:r w:rsidRPr="008A7E68">
        <w:rPr>
          <w:rFonts w:cs="Times New Roman"/>
          <w:bCs/>
          <w:szCs w:val="24"/>
        </w:rPr>
        <w:t xml:space="preserve"> for discovery responses. A </w:t>
      </w:r>
      <w:r w:rsidRPr="008A7E68" w:rsidR="009A6B88">
        <w:rPr>
          <w:rFonts w:cs="Times New Roman"/>
          <w:bCs/>
          <w:szCs w:val="24"/>
        </w:rPr>
        <w:t>75</w:t>
      </w:r>
      <w:r w:rsidRPr="008A7E68">
        <w:rPr>
          <w:rFonts w:cs="Times New Roman"/>
          <w:bCs/>
          <w:szCs w:val="24"/>
        </w:rPr>
        <w:t>-day comment period with expedited discovery would allow for a more thorough review by the parties and</w:t>
      </w:r>
      <w:r w:rsidR="00C448D4">
        <w:rPr>
          <w:rFonts w:cs="Times New Roman"/>
          <w:bCs/>
          <w:szCs w:val="24"/>
        </w:rPr>
        <w:t xml:space="preserve"> assist the PUCO in its review of these applications which may increase rates to customers</w:t>
      </w:r>
      <w:r w:rsidRPr="008A7E68">
        <w:rPr>
          <w:rFonts w:cs="Times New Roman"/>
          <w:szCs w:val="24"/>
        </w:rPr>
        <w:t xml:space="preserve">. </w:t>
      </w:r>
    </w:p>
    <w:p w:rsidR="00A975BC" w:rsidRPr="008A7E68" w:rsidP="00A25906">
      <w:pPr>
        <w:spacing w:line="480" w:lineRule="auto"/>
        <w:ind w:firstLine="720"/>
        <w:rPr>
          <w:rFonts w:cs="Times New Roman"/>
          <w:szCs w:val="24"/>
        </w:rPr>
      </w:pPr>
      <w:r>
        <w:rPr>
          <w:rFonts w:cs="Times New Roman"/>
          <w:szCs w:val="24"/>
        </w:rPr>
        <w:t xml:space="preserve">OCC recommends the following amendment:  </w:t>
      </w:r>
    </w:p>
    <w:p w:rsidR="002646D4" w:rsidP="002646D4">
      <w:pPr>
        <w:ind w:left="1440" w:right="720"/>
        <w:rPr>
          <w:rFonts w:cs="Times New Roman"/>
          <w:color w:val="000000"/>
          <w:szCs w:val="24"/>
          <w:shd w:val="clear" w:color="auto" w:fill="FFFFFF"/>
        </w:rPr>
      </w:pPr>
      <w:r w:rsidRPr="008A7E68">
        <w:rPr>
          <w:rFonts w:cs="Times New Roman"/>
          <w:color w:val="000000"/>
          <w:szCs w:val="24"/>
          <w:shd w:val="clear" w:color="auto" w:fill="FFFFFF"/>
        </w:rPr>
        <w:t xml:space="preserve">Unless otherwise ordered by the commission, the legal director, the deputy legal director, or the attorney examiner, the commission shall </w:t>
      </w:r>
      <w:r w:rsidRPr="008A7E68" w:rsidR="00153698">
        <w:rPr>
          <w:rFonts w:cs="Times New Roman"/>
          <w:color w:val="000000"/>
          <w:szCs w:val="24"/>
          <w:u w:val="single"/>
          <w:shd w:val="clear" w:color="auto" w:fill="FFFFFF"/>
        </w:rPr>
        <w:t xml:space="preserve">allow for </w:t>
      </w:r>
      <w:r w:rsidRPr="008A7E68" w:rsidR="009A6B88">
        <w:rPr>
          <w:rFonts w:cs="Times New Roman"/>
          <w:color w:val="000000"/>
          <w:szCs w:val="24"/>
          <w:u w:val="single"/>
          <w:shd w:val="clear" w:color="auto" w:fill="FFFFFF"/>
        </w:rPr>
        <w:t>75</w:t>
      </w:r>
      <w:r w:rsidRPr="008A7E68" w:rsidR="00153698">
        <w:rPr>
          <w:rFonts w:cs="Times New Roman"/>
          <w:color w:val="000000"/>
          <w:szCs w:val="24"/>
          <w:u w:val="single"/>
          <w:shd w:val="clear" w:color="auto" w:fill="FFFFFF"/>
        </w:rPr>
        <w:t xml:space="preserve"> days from the filing of the application for intervention and comments</w:t>
      </w:r>
      <w:r w:rsidRPr="008A7E68" w:rsidR="009A6B88">
        <w:rPr>
          <w:rFonts w:cs="Times New Roman"/>
          <w:color w:val="000000"/>
          <w:szCs w:val="24"/>
          <w:u w:val="single"/>
          <w:shd w:val="clear" w:color="auto" w:fill="FFFFFF"/>
        </w:rPr>
        <w:t xml:space="preserve">, including an </w:t>
      </w:r>
      <w:r w:rsidRPr="008A7E68" w:rsidR="00153698">
        <w:rPr>
          <w:rFonts w:cs="Times New Roman"/>
          <w:color w:val="000000"/>
          <w:szCs w:val="24"/>
          <w:u w:val="single"/>
          <w:shd w:val="clear" w:color="auto" w:fill="FFFFFF"/>
        </w:rPr>
        <w:t>expedited discovery process allowing for seven (7) days</w:t>
      </w:r>
      <w:r w:rsidRPr="008A7E68" w:rsidR="009A6B88">
        <w:rPr>
          <w:rFonts w:cs="Times New Roman"/>
          <w:color w:val="000000"/>
          <w:szCs w:val="24"/>
          <w:u w:val="single"/>
          <w:shd w:val="clear" w:color="auto" w:fill="FFFFFF"/>
        </w:rPr>
        <w:t xml:space="preserve"> for discovery responses.</w:t>
      </w:r>
      <w:r w:rsidRPr="008A7E68" w:rsidR="009A6B88">
        <w:rPr>
          <w:rFonts w:cs="Times New Roman"/>
          <w:color w:val="000000"/>
          <w:szCs w:val="24"/>
          <w:shd w:val="clear" w:color="auto" w:fill="FFFFFF"/>
        </w:rPr>
        <w:t xml:space="preserve"> </w:t>
      </w:r>
      <w:r w:rsidRPr="008A7E68">
        <w:rPr>
          <w:rFonts w:cs="Times New Roman"/>
          <w:color w:val="000000"/>
          <w:szCs w:val="24"/>
          <w:shd w:val="clear" w:color="auto" w:fill="FFFFFF"/>
        </w:rPr>
        <w:t xml:space="preserve"> </w:t>
      </w:r>
    </w:p>
    <w:p w:rsidR="00B36EC0" w:rsidRPr="008A7E68" w:rsidP="00B36EC0">
      <w:pPr>
        <w:ind w:left="1440" w:right="720"/>
        <w:rPr>
          <w:rFonts w:cs="Times New Roman"/>
          <w:color w:val="000000"/>
          <w:szCs w:val="24"/>
          <w:u w:val="single"/>
          <w:shd w:val="clear" w:color="auto" w:fill="FFFFFF"/>
        </w:rPr>
      </w:pPr>
    </w:p>
    <w:p w:rsidR="00E80984" w:rsidRPr="008A7E68" w:rsidP="00DB015F">
      <w:pPr>
        <w:ind w:left="720"/>
        <w:rPr>
          <w:rFonts w:cs="Times New Roman"/>
          <w:szCs w:val="24"/>
        </w:rPr>
      </w:pPr>
    </w:p>
    <w:p w:rsidR="007D3C26" w:rsidRPr="008A7E68" w:rsidP="00F67489">
      <w:pPr>
        <w:pStyle w:val="Heading1"/>
      </w:pPr>
      <w:r w:rsidRPr="008A7E68">
        <w:t>III.</w:t>
      </w:r>
      <w:r w:rsidRPr="008A7E68">
        <w:tab/>
        <w:t>CONCLUSION</w:t>
      </w:r>
    </w:p>
    <w:p w:rsidR="007D3C26" w:rsidRPr="008A7E68" w:rsidP="007D3C26">
      <w:pPr>
        <w:pStyle w:val="BodyTextIndent3"/>
        <w:widowControl w:val="0"/>
        <w:spacing w:line="480" w:lineRule="auto"/>
        <w:ind w:right="-312"/>
        <w:rPr>
          <w:szCs w:val="24"/>
        </w:rPr>
      </w:pPr>
      <w:r w:rsidRPr="008A7E68">
        <w:rPr>
          <w:szCs w:val="24"/>
        </w:rPr>
        <w:t xml:space="preserve">The PUCO should amend </w:t>
      </w:r>
      <w:r w:rsidRPr="008A7E68" w:rsidR="009D0E1D">
        <w:rPr>
          <w:szCs w:val="24"/>
        </w:rPr>
        <w:t>Ohio Adm.Code 4901:1-36-03 to include that transmission cost recovery rider applications must include language that they are subject to re</w:t>
      </w:r>
      <w:r w:rsidRPr="008A7E68" w:rsidR="008958A7">
        <w:rPr>
          <w:szCs w:val="24"/>
        </w:rPr>
        <w:t>conciliation and re</w:t>
      </w:r>
      <w:r w:rsidRPr="008A7E68" w:rsidR="009D0E1D">
        <w:rPr>
          <w:szCs w:val="24"/>
        </w:rPr>
        <w:t>fund</w:t>
      </w:r>
      <w:r w:rsidR="009A390E">
        <w:rPr>
          <w:szCs w:val="24"/>
        </w:rPr>
        <w:t>. A</w:t>
      </w:r>
      <w:r w:rsidR="00A975BC">
        <w:rPr>
          <w:szCs w:val="24"/>
        </w:rPr>
        <w:t xml:space="preserve">dditionally, the rules should be changed to </w:t>
      </w:r>
      <w:r w:rsidRPr="008A7E68" w:rsidR="009D0E1D">
        <w:rPr>
          <w:szCs w:val="24"/>
        </w:rPr>
        <w:t xml:space="preserve">rescind </w:t>
      </w:r>
      <w:r w:rsidRPr="008A7E68">
        <w:rPr>
          <w:szCs w:val="24"/>
        </w:rPr>
        <w:t>part of Ohio Adm.Code 4901:1-3</w:t>
      </w:r>
      <w:r w:rsidRPr="008A7E68" w:rsidR="009D0E1D">
        <w:rPr>
          <w:szCs w:val="24"/>
        </w:rPr>
        <w:t>6-05</w:t>
      </w:r>
      <w:r w:rsidRPr="008A7E68">
        <w:rPr>
          <w:szCs w:val="24"/>
        </w:rPr>
        <w:t xml:space="preserve"> </w:t>
      </w:r>
      <w:r w:rsidRPr="008A7E68" w:rsidR="009D0E1D">
        <w:rPr>
          <w:szCs w:val="24"/>
        </w:rPr>
        <w:t>to eliminate the 75-day automatic approval of TCRR applications</w:t>
      </w:r>
      <w:r w:rsidR="00D77681">
        <w:rPr>
          <w:szCs w:val="24"/>
        </w:rPr>
        <w:t>.</w:t>
      </w:r>
      <w:r w:rsidRPr="008A7E68" w:rsidR="009D0E1D">
        <w:rPr>
          <w:szCs w:val="24"/>
        </w:rPr>
        <w:t xml:space="preserve"> These </w:t>
      </w:r>
      <w:r w:rsidR="002256F2">
        <w:rPr>
          <w:szCs w:val="24"/>
        </w:rPr>
        <w:t>proposed changes</w:t>
      </w:r>
      <w:r w:rsidRPr="008A7E68" w:rsidR="009D0E1D">
        <w:rPr>
          <w:szCs w:val="24"/>
        </w:rPr>
        <w:t xml:space="preserve"> are necessary to</w:t>
      </w:r>
      <w:r w:rsidRPr="008A7E68">
        <w:rPr>
          <w:szCs w:val="24"/>
        </w:rPr>
        <w:t xml:space="preserve"> protect consumers </w:t>
      </w:r>
      <w:r w:rsidRPr="008A7E68" w:rsidR="009D0E1D">
        <w:rPr>
          <w:szCs w:val="24"/>
        </w:rPr>
        <w:t xml:space="preserve">from paying for rider costs later deemed </w:t>
      </w:r>
      <w:r w:rsidR="00A975BC">
        <w:rPr>
          <w:szCs w:val="24"/>
        </w:rPr>
        <w:t>improper</w:t>
      </w:r>
      <w:r w:rsidRPr="008A7E68" w:rsidR="009D0E1D">
        <w:rPr>
          <w:szCs w:val="24"/>
        </w:rPr>
        <w:t xml:space="preserve">, </w:t>
      </w:r>
      <w:r w:rsidR="00EF2998">
        <w:rPr>
          <w:szCs w:val="24"/>
        </w:rPr>
        <w:t xml:space="preserve">and </w:t>
      </w:r>
      <w:r w:rsidRPr="008A7E68" w:rsidR="009D0E1D">
        <w:rPr>
          <w:szCs w:val="24"/>
        </w:rPr>
        <w:t xml:space="preserve">allow for additional time for </w:t>
      </w:r>
      <w:r w:rsidR="00A975BC">
        <w:rPr>
          <w:szCs w:val="24"/>
        </w:rPr>
        <w:t>parties to intervene, conduct discovery, and provide comments to assi</w:t>
      </w:r>
      <w:r w:rsidR="002256F2">
        <w:rPr>
          <w:szCs w:val="24"/>
        </w:rPr>
        <w:t>s</w:t>
      </w:r>
      <w:r w:rsidR="00A975BC">
        <w:rPr>
          <w:szCs w:val="24"/>
        </w:rPr>
        <w:t>t the PUCO in its review of these applications</w:t>
      </w:r>
      <w:r w:rsidR="00D77681">
        <w:rPr>
          <w:szCs w:val="24"/>
        </w:rPr>
        <w:t xml:space="preserve"> in light of the significant costs to customers.</w:t>
      </w:r>
      <w:r w:rsidRPr="008A7E68" w:rsidR="009D0E1D">
        <w:rPr>
          <w:szCs w:val="24"/>
        </w:rPr>
        <w:t xml:space="preserve"> </w:t>
      </w:r>
    </w:p>
    <w:p w:rsidR="00B36EC0">
      <w:pPr>
        <w:spacing w:after="160" w:line="259" w:lineRule="auto"/>
        <w:rPr>
          <w:rFonts w:cs="Times New Roman"/>
          <w:szCs w:val="24"/>
        </w:rPr>
      </w:pPr>
      <w:r>
        <w:rPr>
          <w:rFonts w:cs="Times New Roman"/>
          <w:szCs w:val="24"/>
        </w:rPr>
        <w:br w:type="page"/>
      </w:r>
    </w:p>
    <w:p w:rsidR="007D3C26" w:rsidRPr="008A7E68" w:rsidP="007D3C26">
      <w:pPr>
        <w:ind w:left="3600" w:firstLine="720"/>
        <w:rPr>
          <w:rFonts w:cs="Times New Roman"/>
          <w:szCs w:val="24"/>
        </w:rPr>
      </w:pPr>
      <w:r w:rsidRPr="008A7E68">
        <w:rPr>
          <w:rFonts w:cs="Times New Roman"/>
          <w:szCs w:val="24"/>
        </w:rPr>
        <w:t>Respectfully submitted,</w:t>
      </w:r>
    </w:p>
    <w:p w:rsidR="007D3C26" w:rsidRPr="008A7E68" w:rsidP="007D3C26">
      <w:pPr>
        <w:ind w:left="3600" w:firstLine="720"/>
        <w:rPr>
          <w:rFonts w:cs="Times New Roman"/>
          <w:szCs w:val="24"/>
        </w:rPr>
      </w:pPr>
    </w:p>
    <w:p w:rsidR="007D3C26" w:rsidRPr="008A7E68" w:rsidP="007D3C26">
      <w:pPr>
        <w:pStyle w:val="Footer"/>
        <w:tabs>
          <w:tab w:val="left" w:pos="4320"/>
        </w:tabs>
        <w:rPr>
          <w:rFonts w:cs="Times New Roman"/>
          <w:szCs w:val="24"/>
        </w:rPr>
      </w:pPr>
      <w:r w:rsidRPr="008A7E68">
        <w:rPr>
          <w:rFonts w:cs="Times New Roman"/>
          <w:szCs w:val="24"/>
        </w:rPr>
        <w:tab/>
      </w:r>
      <w:r w:rsidRPr="008A7E68">
        <w:rPr>
          <w:rFonts w:cs="Times New Roman"/>
          <w:szCs w:val="24"/>
        </w:rPr>
        <w:tab/>
        <w:t>Bruce Weston (#0016973)</w:t>
      </w:r>
    </w:p>
    <w:p w:rsidR="007D3C26" w:rsidRPr="008A7E68" w:rsidP="007D3C26">
      <w:pPr>
        <w:tabs>
          <w:tab w:val="left" w:pos="4320"/>
        </w:tabs>
        <w:rPr>
          <w:rFonts w:cs="Times New Roman"/>
          <w:szCs w:val="24"/>
        </w:rPr>
      </w:pPr>
      <w:r w:rsidRPr="008A7E68">
        <w:rPr>
          <w:rFonts w:cs="Times New Roman"/>
          <w:szCs w:val="24"/>
        </w:rPr>
        <w:tab/>
        <w:t>Ohio Consumers’ Counsel</w:t>
      </w:r>
    </w:p>
    <w:p w:rsidR="007D3C26" w:rsidRPr="008A7E68" w:rsidP="007D3C26">
      <w:pPr>
        <w:tabs>
          <w:tab w:val="left" w:pos="4320"/>
        </w:tabs>
        <w:rPr>
          <w:rFonts w:cs="Times New Roman"/>
          <w:szCs w:val="24"/>
        </w:rPr>
      </w:pPr>
      <w:r w:rsidRPr="008A7E68">
        <w:rPr>
          <w:rFonts w:cs="Times New Roman"/>
          <w:szCs w:val="24"/>
        </w:rPr>
        <w:tab/>
      </w:r>
    </w:p>
    <w:p w:rsidR="008A68C0" w:rsidP="007D3C26">
      <w:pPr>
        <w:tabs>
          <w:tab w:val="left" w:pos="4320"/>
        </w:tabs>
        <w:rPr>
          <w:rFonts w:cs="Times New Roman"/>
          <w:i/>
          <w:szCs w:val="24"/>
          <w:u w:val="single"/>
        </w:rPr>
      </w:pPr>
      <w:r w:rsidRPr="008A7E68">
        <w:rPr>
          <w:rFonts w:cs="Times New Roman"/>
          <w:szCs w:val="24"/>
        </w:rPr>
        <w:tab/>
      </w:r>
      <w:r w:rsidRPr="008A7E68">
        <w:rPr>
          <w:rFonts w:cs="Times New Roman"/>
          <w:i/>
          <w:szCs w:val="24"/>
          <w:u w:val="single"/>
        </w:rPr>
        <w:t>/s/ Amy Botschner O’Brien</w:t>
      </w:r>
    </w:p>
    <w:p w:rsidR="007D3C26" w:rsidRPr="008A7E68" w:rsidP="007D3C26">
      <w:pPr>
        <w:tabs>
          <w:tab w:val="left" w:pos="4320"/>
        </w:tabs>
        <w:rPr>
          <w:rFonts w:cs="Times New Roman"/>
          <w:szCs w:val="24"/>
        </w:rPr>
      </w:pPr>
      <w:r w:rsidRPr="008A7E68">
        <w:rPr>
          <w:rFonts w:cs="Times New Roman"/>
          <w:szCs w:val="24"/>
        </w:rPr>
        <w:tab/>
        <w:t>Amy Botschner O’Brien (0074423)</w:t>
      </w:r>
    </w:p>
    <w:p w:rsidR="007D3C26" w:rsidRPr="008A7E68" w:rsidP="007D3C26">
      <w:pPr>
        <w:tabs>
          <w:tab w:val="left" w:pos="4320"/>
        </w:tabs>
        <w:rPr>
          <w:rFonts w:cs="Times New Roman"/>
          <w:szCs w:val="24"/>
        </w:rPr>
      </w:pPr>
      <w:r w:rsidRPr="008A7E68">
        <w:rPr>
          <w:rFonts w:cs="Times New Roman"/>
          <w:szCs w:val="24"/>
        </w:rPr>
        <w:tab/>
        <w:t>Assistant Consumers’ Counsel</w:t>
      </w:r>
    </w:p>
    <w:p w:rsidR="008A68C0" w:rsidP="007D3C26">
      <w:pPr>
        <w:ind w:left="4320"/>
        <w:rPr>
          <w:rFonts w:cs="Times New Roman"/>
          <w:b/>
          <w:szCs w:val="24"/>
        </w:rPr>
      </w:pPr>
    </w:p>
    <w:p w:rsidR="007D3C26" w:rsidRPr="008A7E68" w:rsidP="007D3C26">
      <w:pPr>
        <w:ind w:left="4320"/>
        <w:rPr>
          <w:rFonts w:cs="Times New Roman"/>
          <w:b/>
          <w:szCs w:val="24"/>
        </w:rPr>
      </w:pPr>
      <w:r w:rsidRPr="008A7E68">
        <w:rPr>
          <w:rFonts w:cs="Times New Roman"/>
          <w:b/>
          <w:szCs w:val="24"/>
        </w:rPr>
        <w:t>Office of the Ohio Consumers’ Counsel</w:t>
      </w:r>
    </w:p>
    <w:p w:rsidR="007D3C26" w:rsidRPr="008A7E68" w:rsidP="007D3C26">
      <w:pPr>
        <w:ind w:left="3600" w:firstLine="720"/>
        <w:rPr>
          <w:rFonts w:cs="Times New Roman"/>
          <w:b/>
          <w:szCs w:val="24"/>
        </w:rPr>
      </w:pPr>
      <w:r w:rsidRPr="008A7E68">
        <w:rPr>
          <w:rFonts w:cs="Times New Roman"/>
          <w:szCs w:val="24"/>
        </w:rPr>
        <w:t>65 East State Street, 7</w:t>
      </w:r>
      <w:r w:rsidRPr="008A7E68">
        <w:rPr>
          <w:rFonts w:cs="Times New Roman"/>
          <w:szCs w:val="24"/>
          <w:vertAlign w:val="superscript"/>
        </w:rPr>
        <w:t>th</w:t>
      </w:r>
      <w:r w:rsidRPr="008A7E68">
        <w:rPr>
          <w:rFonts w:cs="Times New Roman"/>
          <w:szCs w:val="24"/>
        </w:rPr>
        <w:t xml:space="preserve"> Floor</w:t>
      </w:r>
    </w:p>
    <w:p w:rsidR="007D3C26" w:rsidRPr="008A7E68" w:rsidP="007D3C26">
      <w:pPr>
        <w:ind w:left="3600" w:firstLine="720"/>
        <w:rPr>
          <w:rFonts w:cs="Times New Roman"/>
          <w:b/>
          <w:szCs w:val="24"/>
        </w:rPr>
      </w:pPr>
      <w:r w:rsidRPr="008A7E68">
        <w:rPr>
          <w:rFonts w:cs="Times New Roman"/>
          <w:szCs w:val="24"/>
        </w:rPr>
        <w:t>Columbus, Ohio 43215-4213</w:t>
      </w:r>
    </w:p>
    <w:p w:rsidR="007D3C26" w:rsidRPr="008A7E68" w:rsidP="007D3C26">
      <w:pPr>
        <w:autoSpaceDE w:val="0"/>
        <w:autoSpaceDN w:val="0"/>
        <w:adjustRightInd w:val="0"/>
        <w:ind w:left="4320"/>
        <w:rPr>
          <w:rFonts w:cs="Times New Roman"/>
          <w:szCs w:val="24"/>
        </w:rPr>
      </w:pPr>
      <w:r w:rsidRPr="008A7E68">
        <w:rPr>
          <w:rFonts w:cs="Times New Roman"/>
          <w:szCs w:val="24"/>
        </w:rPr>
        <w:t xml:space="preserve">Telephone [Botschner-O’Brien]: </w:t>
      </w:r>
    </w:p>
    <w:p w:rsidR="007D3C26" w:rsidRPr="008A7E68" w:rsidP="007D3C26">
      <w:pPr>
        <w:autoSpaceDE w:val="0"/>
        <w:autoSpaceDN w:val="0"/>
        <w:adjustRightInd w:val="0"/>
        <w:ind w:left="4320"/>
        <w:rPr>
          <w:rFonts w:cs="Times New Roman"/>
          <w:szCs w:val="24"/>
        </w:rPr>
      </w:pPr>
      <w:r w:rsidRPr="008A7E68">
        <w:rPr>
          <w:rFonts w:cs="Times New Roman"/>
          <w:szCs w:val="24"/>
        </w:rPr>
        <w:t>(614) 466-9575</w:t>
      </w:r>
    </w:p>
    <w:p w:rsidR="007D3C26" w:rsidRPr="008A7E68" w:rsidP="007D3C26">
      <w:pPr>
        <w:ind w:left="4320"/>
        <w:rPr>
          <w:rFonts w:cs="Times New Roman"/>
          <w:szCs w:val="24"/>
        </w:rPr>
      </w:pPr>
      <w:r>
        <w:fldChar w:fldCharType="begin"/>
      </w:r>
      <w:r>
        <w:instrText xml:space="preserve"> HYPERLINK "mailto:amy.botschner.obrien@occ.ohio.gov" </w:instrText>
      </w:r>
      <w:r>
        <w:fldChar w:fldCharType="separate"/>
      </w:r>
      <w:r w:rsidRPr="008A7E68">
        <w:rPr>
          <w:rStyle w:val="Hyperlink"/>
          <w:rFonts w:cs="Times New Roman"/>
          <w:szCs w:val="24"/>
        </w:rPr>
        <w:t>amy.botschner.obrien@occ.ohio.gov</w:t>
      </w:r>
      <w:r>
        <w:fldChar w:fldCharType="end"/>
      </w:r>
    </w:p>
    <w:p w:rsidR="00B36EC0" w:rsidP="00B36EC0">
      <w:pPr>
        <w:ind w:left="2160" w:firstLine="720"/>
        <w:jc w:val="center"/>
        <w:rPr>
          <w:rFonts w:cs="Times New Roman"/>
          <w:szCs w:val="24"/>
        </w:rPr>
      </w:pPr>
      <w:r w:rsidRPr="008A7E68">
        <w:rPr>
          <w:rFonts w:cs="Times New Roman"/>
          <w:szCs w:val="24"/>
        </w:rPr>
        <w:t>(Will accept service via email)</w:t>
      </w:r>
    </w:p>
    <w:p w:rsidR="00B36EC0">
      <w:pPr>
        <w:spacing w:after="160" w:line="259" w:lineRule="auto"/>
        <w:rPr>
          <w:rFonts w:cs="Times New Roman"/>
          <w:szCs w:val="24"/>
        </w:rPr>
      </w:pPr>
      <w:r>
        <w:rPr>
          <w:rFonts w:cs="Times New Roman"/>
          <w:szCs w:val="24"/>
        </w:rPr>
        <w:br w:type="page"/>
      </w:r>
    </w:p>
    <w:p w:rsidR="007D3C26" w:rsidRPr="008A7E68" w:rsidP="007D3C26">
      <w:pPr>
        <w:jc w:val="center"/>
        <w:rPr>
          <w:rFonts w:cs="Times New Roman"/>
          <w:b/>
          <w:bCs/>
          <w:szCs w:val="24"/>
          <w:u w:val="single"/>
        </w:rPr>
      </w:pPr>
      <w:r w:rsidRPr="008A7E68">
        <w:rPr>
          <w:rFonts w:cs="Times New Roman"/>
          <w:b/>
          <w:bCs/>
          <w:szCs w:val="24"/>
          <w:u w:val="single"/>
        </w:rPr>
        <w:t>CERTIFICATE OF SERVICE</w:t>
      </w:r>
    </w:p>
    <w:p w:rsidR="007D3C26" w:rsidRPr="008A7E68" w:rsidP="007D3C26">
      <w:pPr>
        <w:spacing w:line="480" w:lineRule="atLeast"/>
        <w:rPr>
          <w:rFonts w:cs="Times New Roman"/>
          <w:szCs w:val="24"/>
        </w:rPr>
      </w:pPr>
      <w:r w:rsidRPr="008A7E68">
        <w:rPr>
          <w:rFonts w:cs="Times New Roman"/>
          <w:szCs w:val="24"/>
        </w:rPr>
        <w:tab/>
        <w:t xml:space="preserve">I hereby certify that a copy of these Comments were served on the persons stated below </w:t>
      </w:r>
      <w:r w:rsidRPr="00B36EC0">
        <w:rPr>
          <w:rFonts w:cs="Times New Roman"/>
          <w:iCs/>
          <w:szCs w:val="24"/>
        </w:rPr>
        <w:t>via</w:t>
      </w:r>
      <w:r w:rsidRPr="008A7E68">
        <w:rPr>
          <w:rFonts w:cs="Times New Roman"/>
          <w:szCs w:val="24"/>
        </w:rPr>
        <w:t xml:space="preserve"> electronic transmission, this 12th day of July 2019.</w:t>
      </w:r>
    </w:p>
    <w:p w:rsidR="007D3C26" w:rsidRPr="008A7E68" w:rsidP="007D3C26">
      <w:pPr>
        <w:spacing w:line="480" w:lineRule="atLeast"/>
        <w:rPr>
          <w:rFonts w:cs="Times New Roman"/>
          <w:szCs w:val="24"/>
        </w:rPr>
      </w:pPr>
    </w:p>
    <w:p w:rsidR="007D3C26" w:rsidRPr="008A7E68" w:rsidP="007D3C26">
      <w:pPr>
        <w:tabs>
          <w:tab w:val="left" w:pos="4320"/>
        </w:tabs>
        <w:rPr>
          <w:rFonts w:cs="Times New Roman"/>
          <w:i/>
          <w:szCs w:val="24"/>
          <w:u w:val="single"/>
        </w:rPr>
      </w:pPr>
      <w:r w:rsidRPr="008A7E68">
        <w:rPr>
          <w:rFonts w:cs="Times New Roman"/>
          <w:szCs w:val="24"/>
        </w:rPr>
        <w:tab/>
      </w:r>
      <w:r w:rsidRPr="008A7E68">
        <w:rPr>
          <w:rFonts w:cs="Times New Roman"/>
          <w:i/>
          <w:szCs w:val="24"/>
          <w:u w:val="single"/>
        </w:rPr>
        <w:t>/s/ Amy Botschner O’Brien</w:t>
      </w:r>
    </w:p>
    <w:p w:rsidR="007D3C26" w:rsidRPr="008A7E68" w:rsidP="007D3C26">
      <w:pPr>
        <w:tabs>
          <w:tab w:val="left" w:pos="4320"/>
        </w:tabs>
        <w:rPr>
          <w:rFonts w:cs="Times New Roman"/>
          <w:szCs w:val="24"/>
        </w:rPr>
      </w:pPr>
      <w:r w:rsidRPr="008A7E68">
        <w:rPr>
          <w:rFonts w:cs="Times New Roman"/>
          <w:szCs w:val="24"/>
        </w:rPr>
        <w:tab/>
        <w:t>Amy Botschner O’Brien</w:t>
      </w:r>
    </w:p>
    <w:p w:rsidR="007D3C26" w:rsidRPr="008A7E68" w:rsidP="007D3C26">
      <w:pPr>
        <w:tabs>
          <w:tab w:val="left" w:pos="4320"/>
        </w:tabs>
        <w:rPr>
          <w:rFonts w:cs="Times New Roman"/>
          <w:szCs w:val="24"/>
        </w:rPr>
      </w:pPr>
      <w:r w:rsidRPr="008A7E68">
        <w:rPr>
          <w:rFonts w:cs="Times New Roman"/>
          <w:szCs w:val="24"/>
        </w:rPr>
        <w:tab/>
        <w:t>Assistant Consumers’ Counsel</w:t>
      </w:r>
    </w:p>
    <w:p w:rsidR="007D3C26" w:rsidRPr="008A7E68" w:rsidP="007D3C26">
      <w:pPr>
        <w:pStyle w:val="CommentSubject"/>
        <w:rPr>
          <w:rFonts w:cs="Times New Roman"/>
          <w:sz w:val="24"/>
          <w:szCs w:val="24"/>
        </w:rPr>
      </w:pPr>
    </w:p>
    <w:p w:rsidR="007D3C26" w:rsidRPr="008A7E68" w:rsidP="007D3C26">
      <w:pPr>
        <w:pStyle w:val="CommentText"/>
        <w:rPr>
          <w:rFonts w:cs="Times New Roman"/>
          <w:sz w:val="24"/>
          <w:szCs w:val="24"/>
        </w:rPr>
      </w:pPr>
    </w:p>
    <w:p w:rsidR="007D3C26" w:rsidRPr="008A7E68" w:rsidP="007D3C26">
      <w:pPr>
        <w:pStyle w:val="CommentText"/>
        <w:jc w:val="center"/>
        <w:rPr>
          <w:rFonts w:cs="Times New Roman"/>
          <w:b/>
          <w:sz w:val="24"/>
          <w:szCs w:val="24"/>
          <w:u w:val="single"/>
        </w:rPr>
      </w:pPr>
      <w:r w:rsidRPr="008A7E68">
        <w:rPr>
          <w:rFonts w:cs="Times New Roman"/>
          <w:b/>
          <w:sz w:val="24"/>
          <w:szCs w:val="24"/>
          <w:u w:val="single"/>
        </w:rPr>
        <w:t>SERVICE LIST</w:t>
      </w:r>
    </w:p>
    <w:p w:rsidR="008A7E68" w:rsidRPr="008A7E68" w:rsidP="007D3C26">
      <w:pPr>
        <w:pStyle w:val="CommentText"/>
        <w:jc w:val="center"/>
        <w:rPr>
          <w:rFonts w:cs="Times New Roman"/>
          <w:b/>
          <w:sz w:val="24"/>
          <w:szCs w:val="24"/>
          <w:u w:val="single"/>
        </w:rPr>
      </w:pPr>
    </w:p>
    <w:p w:rsidR="008A7E68" w:rsidRPr="008A7E68" w:rsidP="007D3C26">
      <w:pPr>
        <w:pStyle w:val="CommentText"/>
        <w:jc w:val="center"/>
        <w:rPr>
          <w:rFonts w:cs="Times New Roman"/>
          <w:b/>
          <w:sz w:val="24"/>
          <w:szCs w:val="24"/>
          <w:u w:val="single"/>
        </w:rPr>
      </w:pPr>
    </w:p>
    <w:p w:rsidR="007D3C26" w:rsidRPr="008A7E68" w:rsidP="007D3C26">
      <w:pPr>
        <w:pStyle w:val="BodyText"/>
        <w:rPr>
          <w:rFonts w:cs="Times New Roman"/>
          <w:szCs w:val="24"/>
        </w:rPr>
      </w:pPr>
      <w:r>
        <w:fldChar w:fldCharType="begin"/>
      </w:r>
      <w:r>
        <w:instrText xml:space="preserve"> HYPERLINK "mailto:John.jones@ohioattorneygeneral.gov" </w:instrText>
      </w:r>
      <w:r>
        <w:fldChar w:fldCharType="separate"/>
      </w:r>
      <w:r w:rsidRPr="008A7E68" w:rsidR="008A7E68">
        <w:rPr>
          <w:rStyle w:val="Hyperlink"/>
          <w:rFonts w:cs="Times New Roman"/>
          <w:szCs w:val="24"/>
        </w:rPr>
        <w:t>John.jones@ohioattorneygeneral.gov</w:t>
      </w:r>
      <w:r>
        <w:fldChar w:fldCharType="end"/>
      </w:r>
    </w:p>
    <w:p w:rsidR="008A7E68" w:rsidRPr="008A7E68" w:rsidP="007D3C26">
      <w:pPr>
        <w:pStyle w:val="BodyText"/>
        <w:rPr>
          <w:rFonts w:cs="Times New Roman"/>
          <w:b/>
          <w:bCs/>
          <w:szCs w:val="24"/>
        </w:rPr>
      </w:pPr>
    </w:p>
    <w:p w:rsidR="007D3C26" w:rsidRPr="008A7E68" w:rsidP="007D3C26">
      <w:pPr>
        <w:rPr>
          <w:rFonts w:cs="Times New Roman"/>
          <w:szCs w:val="24"/>
        </w:rPr>
      </w:pPr>
      <w:r w:rsidRPr="008A7E68">
        <w:rPr>
          <w:rFonts w:cs="Times New Roman"/>
          <w:szCs w:val="24"/>
        </w:rPr>
        <w:t>Attorney Examiner:</w:t>
      </w:r>
    </w:p>
    <w:p w:rsidR="007D3C26" w:rsidRPr="008A7E68" w:rsidP="007D3C26">
      <w:pPr>
        <w:rPr>
          <w:rFonts w:cs="Times New Roman"/>
          <w:szCs w:val="24"/>
        </w:rPr>
      </w:pPr>
    </w:p>
    <w:p w:rsidR="007D3C26" w:rsidRPr="008A7E68" w:rsidP="007D3C26">
      <w:pPr>
        <w:rPr>
          <w:rFonts w:cs="Times New Roman"/>
          <w:szCs w:val="24"/>
        </w:rPr>
      </w:pPr>
      <w:r>
        <w:fldChar w:fldCharType="begin"/>
      </w:r>
      <w:r>
        <w:instrText xml:space="preserve"> HYPERLINK "mailto:James.lynn@puco.ohio.gov" </w:instrText>
      </w:r>
      <w:r>
        <w:fldChar w:fldCharType="separate"/>
      </w:r>
      <w:r w:rsidRPr="008A7E68">
        <w:rPr>
          <w:rStyle w:val="Hyperlink"/>
          <w:rFonts w:cs="Times New Roman"/>
          <w:szCs w:val="24"/>
        </w:rPr>
        <w:t>James.lynn@puco.ohio.gov</w:t>
      </w:r>
      <w:r>
        <w:fldChar w:fldCharType="end"/>
      </w:r>
    </w:p>
    <w:p w:rsidR="007D3C26" w:rsidRPr="008A7E68" w:rsidP="007D3C26">
      <w:pPr>
        <w:rPr>
          <w:rFonts w:cs="Times New Roman"/>
          <w:szCs w:val="24"/>
        </w:rPr>
      </w:pPr>
    </w:p>
    <w:p w:rsidR="00E80984" w:rsidRPr="008A7E68" w:rsidP="00DB015F">
      <w:pPr>
        <w:ind w:left="720"/>
        <w:rPr>
          <w:rFonts w:cs="Times New Roman"/>
          <w:szCs w:val="24"/>
        </w:rPr>
      </w:pPr>
    </w:p>
    <w:p w:rsidR="00E80984" w:rsidRPr="008A7E68" w:rsidP="00DB015F">
      <w:pPr>
        <w:ind w:left="720"/>
        <w:rPr>
          <w:rFonts w:cs="Times New Roman"/>
          <w:szCs w:val="24"/>
        </w:rPr>
      </w:pPr>
    </w:p>
    <w:sectPr w:rsidSect="00B36EC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C0">
    <w:pPr>
      <w:pStyle w:val="Footer"/>
      <w:jc w:val="center"/>
    </w:pPr>
  </w:p>
  <w:p w:rsidR="00062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6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2217727"/>
      <w:docPartObj>
        <w:docPartGallery w:val="Page Numbers (Bottom of Page)"/>
        <w:docPartUnique/>
      </w:docPartObj>
    </w:sdtPr>
    <w:sdtEndPr>
      <w:rPr>
        <w:noProof/>
      </w:rPr>
    </w:sdtEndPr>
    <w:sdtContent>
      <w:p w:rsidR="00B36E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3C6A" w:rsidP="002F3CD8">
      <w:r>
        <w:separator/>
      </w:r>
    </w:p>
  </w:footnote>
  <w:footnote w:type="continuationSeparator" w:id="1">
    <w:p w:rsidR="00383C6A" w:rsidP="002F3CD8">
      <w:r>
        <w:continuationSeparator/>
      </w:r>
    </w:p>
  </w:footnote>
  <w:footnote w:id="2">
    <w:p w:rsidR="00104B0B" w:rsidP="00F67489">
      <w:pPr>
        <w:pStyle w:val="FootnoteText"/>
      </w:pPr>
      <w:r>
        <w:rPr>
          <w:rStyle w:val="FootnoteReference"/>
        </w:rPr>
        <w:footnoteRef/>
      </w:r>
      <w:r>
        <w:t xml:space="preserve"> </w:t>
      </w:r>
      <w:r w:rsidRPr="006E332D">
        <w:rPr>
          <w:i/>
          <w:iCs/>
        </w:rPr>
        <w:t>In the Matter of the Commission’s Review of Chapter 4901:1-36 of the Ohio Adm.Code</w:t>
      </w:r>
      <w:r>
        <w:t>, Case No. 18-1189-EL-ORD, Entry (June 19, 2019); Ohio Adm.Code 4901:1-36.</w:t>
      </w:r>
    </w:p>
  </w:footnote>
  <w:footnote w:id="3">
    <w:p w:rsidR="008C1D5F" w:rsidP="00F67489">
      <w:pPr>
        <w:pStyle w:val="FootnoteText"/>
      </w:pPr>
      <w:r>
        <w:rPr>
          <w:rStyle w:val="FootnoteReference"/>
        </w:rPr>
        <w:footnoteRef/>
      </w:r>
      <w:r>
        <w:t xml:space="preserve"> Ohio Adm.Code 4901:1-36-02.</w:t>
      </w:r>
    </w:p>
  </w:footnote>
  <w:footnote w:id="4">
    <w:p w:rsidR="0007086C" w:rsidP="00F67489">
      <w:pPr>
        <w:pStyle w:val="FootnoteText"/>
      </w:pPr>
      <w:r>
        <w:rPr>
          <w:rStyle w:val="FootnoteReference"/>
        </w:rPr>
        <w:footnoteRef/>
      </w:r>
      <w:r>
        <w:t xml:space="preserve"> Case No. 18-1189-EL-ORD, Entry at 2-3</w:t>
      </w:r>
      <w:r w:rsidR="00101D70">
        <w:t>.</w:t>
      </w:r>
    </w:p>
  </w:footnote>
  <w:footnote w:id="5">
    <w:p w:rsidR="005D1F09" w:rsidP="00F67489">
      <w:pPr>
        <w:pStyle w:val="FootnoteText"/>
      </w:pPr>
      <w:r>
        <w:rPr>
          <w:rStyle w:val="FootnoteReference"/>
        </w:rPr>
        <w:footnoteRef/>
      </w:r>
      <w:r>
        <w:t xml:space="preserve"> See, e.g., Duke Energy Ohio, Rider DCI Distribution Capital Investment Rider, Case No. 18-1378-EL-RDR, PUCO Electric No. 16, Sheet No. 103.16, effective July 1, 2019.</w:t>
      </w:r>
    </w:p>
  </w:footnote>
  <w:footnote w:id="6">
    <w:p w:rsidR="0086647C" w:rsidP="00F67489">
      <w:pPr>
        <w:pStyle w:val="FootnoteText"/>
      </w:pPr>
      <w:r>
        <w:rPr>
          <w:rStyle w:val="FootnoteReference"/>
        </w:rPr>
        <w:footnoteRef/>
      </w:r>
      <w:r>
        <w:t xml:space="preserve"> </w:t>
      </w:r>
      <w:r w:rsidR="009A390E">
        <w:t xml:space="preserve">See, </w:t>
      </w:r>
      <w:r w:rsidRPr="00035B8C" w:rsidR="009A390E">
        <w:rPr>
          <w:i/>
          <w:iCs/>
        </w:rPr>
        <w:t>Keco Industries, Inc. v. Cincinnati &amp; Suburban Bell Tel Co.</w:t>
      </w:r>
      <w:r w:rsidR="009A390E">
        <w:t xml:space="preserve">, 166 Ohio St. 254, 141 N.E.2d 465 (1957) (The commission was prohibited from later ordering a refund of costs under a “filed” rate schedule.) </w:t>
      </w:r>
    </w:p>
  </w:footnote>
  <w:footnote w:id="7">
    <w:p w:rsidR="00D46902" w:rsidP="00F67489">
      <w:pPr>
        <w:pStyle w:val="CommentText"/>
        <w:spacing w:after="120"/>
      </w:pPr>
      <w:r>
        <w:rPr>
          <w:rStyle w:val="FootnoteReference"/>
        </w:rPr>
        <w:footnoteRef/>
      </w:r>
      <w:r>
        <w:t xml:space="preserve"> </w:t>
      </w:r>
      <w:r w:rsidRPr="00035B8C" w:rsidR="009A390E">
        <w:t>See</w:t>
      </w:r>
      <w:r w:rsidR="009A390E">
        <w:rPr>
          <w:i/>
          <w:iCs/>
        </w:rPr>
        <w:t>,</w:t>
      </w:r>
      <w:r w:rsidRPr="003F6994" w:rsidR="009A390E">
        <w:rPr>
          <w:i/>
          <w:iCs/>
        </w:rPr>
        <w:t xml:space="preserve"> </w:t>
      </w:r>
      <w:r w:rsidR="009A390E">
        <w:rPr>
          <w:i/>
          <w:iCs/>
        </w:rPr>
        <w:t>I</w:t>
      </w:r>
      <w:r w:rsidRPr="003F6994" w:rsidR="009A390E">
        <w:rPr>
          <w:i/>
          <w:iCs/>
        </w:rPr>
        <w:t>n re: Columbus S. Power Co</w:t>
      </w:r>
      <w:r w:rsidR="009A390E">
        <w:t xml:space="preserve">., 128 Ohio St.3d 512, 2011-Ohio-1788,847 N.E.2d 655, ¶17-20 ($63 million); </w:t>
      </w:r>
      <w:r w:rsidRPr="003F6994" w:rsidR="009A390E">
        <w:rPr>
          <w:i/>
          <w:iCs/>
        </w:rPr>
        <w:t>In re: Columbus Southern Power Co.,</w:t>
      </w:r>
      <w:r w:rsidR="009A390E">
        <w:t xml:space="preserve"> 138 Ohio St.3d 448, 2014-Ohio-462, 8 N.E.3d 863, ¶56 ($368 million); </w:t>
      </w:r>
      <w:r w:rsidRPr="003F6994" w:rsidR="009A390E">
        <w:rPr>
          <w:i/>
          <w:iCs/>
        </w:rPr>
        <w:t>In re: Application of Dayton Power &amp; Light Co.,</w:t>
      </w:r>
      <w:r w:rsidR="009A390E">
        <w:t xml:space="preserve"> 147 Ohio St.3d 166, 2016-3490 ($330 million); </w:t>
      </w:r>
      <w:r w:rsidRPr="003F6994" w:rsidR="009A390E">
        <w:rPr>
          <w:i/>
          <w:iCs/>
        </w:rPr>
        <w:t>In re  Application of Ohio Edison Co</w:t>
      </w:r>
      <w:r w:rsidR="009A390E">
        <w:t>., Slip Opinion No. 2019-Ohio-2401, ¶23 ($442 million) for this concept</w:t>
      </w:r>
      <w:r w:rsidR="008A68C0">
        <w:t>.</w:t>
      </w:r>
    </w:p>
  </w:footnote>
  <w:footnote w:id="8">
    <w:p w:rsidR="00B61C2B" w:rsidP="00F67489">
      <w:pPr>
        <w:pStyle w:val="CommentText"/>
        <w:spacing w:after="120"/>
      </w:pPr>
      <w:r>
        <w:rPr>
          <w:rStyle w:val="FootnoteReference"/>
        </w:rPr>
        <w:footnoteRef/>
      </w:r>
      <w:r>
        <w:t xml:space="preserve"> </w:t>
      </w:r>
      <w:r w:rsidRPr="005A2C5A" w:rsidR="009A390E">
        <w:rPr>
          <w:i/>
          <w:iCs/>
        </w:rPr>
        <w:t>Id.</w:t>
      </w:r>
    </w:p>
  </w:footnote>
  <w:footnote w:id="9">
    <w:p w:rsidR="0086647C" w:rsidP="00F67489">
      <w:pPr>
        <w:pStyle w:val="FootnoteText"/>
      </w:pPr>
      <w:r>
        <w:rPr>
          <w:rStyle w:val="FootnoteReference"/>
        </w:rPr>
        <w:footnoteRef/>
      </w:r>
      <w:r>
        <w:t xml:space="preserve"> </w:t>
      </w:r>
      <w:r w:rsidRPr="00035B8C">
        <w:rPr>
          <w:i/>
          <w:iCs/>
        </w:rPr>
        <w:t>In re Application of Ohio Edison Co.</w:t>
      </w:r>
      <w:r>
        <w:t xml:space="preserve">, Slip Op. No. 2019-Ohio-2401 citing </w:t>
      </w:r>
      <w:r w:rsidRPr="00035B8C">
        <w:rPr>
          <w:i/>
          <w:iCs/>
        </w:rPr>
        <w:t>In re Rev. of Alternative Energy Rider Contained in Tariffs of Ohio Edison Co.</w:t>
      </w:r>
      <w:r>
        <w:t>, 153 Ohio St.3d 289, 106 N.E.3d 1 (2018).</w:t>
      </w:r>
    </w:p>
  </w:footnote>
  <w:footnote w:id="10">
    <w:p w:rsidR="00DF7B5C" w:rsidP="00F67489">
      <w:pPr>
        <w:pStyle w:val="FootnoteText"/>
      </w:pPr>
      <w:r>
        <w:rPr>
          <w:rStyle w:val="FootnoteReference"/>
        </w:rPr>
        <w:footnoteRef/>
      </w:r>
      <w:r>
        <w:t xml:space="preserve"> Ohio Adm.Code 4901:1-36-04(A).</w:t>
      </w:r>
    </w:p>
  </w:footnote>
  <w:footnote w:id="11">
    <w:p w:rsidR="00FA6C76" w:rsidRPr="00D11ECB" w:rsidP="00F67489">
      <w:pPr>
        <w:pStyle w:val="FootnoteText"/>
        <w:rPr>
          <w:szCs w:val="20"/>
        </w:rPr>
      </w:pPr>
      <w:r w:rsidRPr="00D11ECB">
        <w:rPr>
          <w:rStyle w:val="FootnoteReference"/>
          <w:szCs w:val="20"/>
        </w:rPr>
        <w:footnoteRef/>
      </w:r>
      <w:r w:rsidRPr="00D11ECB">
        <w:rPr>
          <w:szCs w:val="20"/>
        </w:rPr>
        <w:t xml:space="preserve"> </w:t>
      </w:r>
      <w:r w:rsidRPr="00D11ECB">
        <w:rPr>
          <w:i/>
          <w:szCs w:val="20"/>
        </w:rPr>
        <w:t>Utilities Continue to Increase Spending on Transmission Infrastructure</w:t>
      </w:r>
      <w:r w:rsidRPr="00D11ECB">
        <w:rPr>
          <w:szCs w:val="20"/>
        </w:rPr>
        <w:t xml:space="preserve"> at 8-9(February 9, 2018), available at https://www.eia.gov/todayinenergy/detail.php?id=34892.</w:t>
      </w:r>
    </w:p>
  </w:footnote>
  <w:footnote w:id="12">
    <w:p w:rsidR="00FA6C76" w:rsidRPr="00D11ECB" w:rsidP="00F67489">
      <w:pPr>
        <w:pStyle w:val="FootnoteText"/>
        <w:rPr>
          <w:szCs w:val="20"/>
        </w:rPr>
      </w:pPr>
      <w:r w:rsidRPr="00D11ECB">
        <w:rPr>
          <w:rStyle w:val="FootnoteReference"/>
          <w:szCs w:val="20"/>
        </w:rPr>
        <w:footnoteRef/>
      </w:r>
      <w:r w:rsidRPr="00D11ECB">
        <w:rPr>
          <w:szCs w:val="20"/>
        </w:rPr>
        <w:t xml:space="preserve"> </w:t>
      </w:r>
      <w:r w:rsidRPr="00D11ECB">
        <w:rPr>
          <w:i/>
          <w:szCs w:val="20"/>
        </w:rPr>
        <w:t>Id.</w:t>
      </w:r>
    </w:p>
  </w:footnote>
  <w:footnote w:id="13">
    <w:p w:rsidR="00FA6C76" w:rsidRPr="00D11ECB" w:rsidP="00F67489">
      <w:pPr>
        <w:pStyle w:val="FootnoteText"/>
        <w:rPr>
          <w:i/>
          <w:szCs w:val="20"/>
        </w:rPr>
      </w:pPr>
      <w:r w:rsidRPr="00D11ECB">
        <w:rPr>
          <w:rStyle w:val="FootnoteReference"/>
          <w:szCs w:val="20"/>
        </w:rPr>
        <w:footnoteRef/>
      </w:r>
      <w:r w:rsidRPr="00D11ECB">
        <w:rPr>
          <w:szCs w:val="20"/>
        </w:rPr>
        <w:t xml:space="preserve"> </w:t>
      </w:r>
      <w:r w:rsidRPr="00D11ECB">
        <w:rPr>
          <w:i/>
          <w:szCs w:val="20"/>
        </w:rPr>
        <w:t>Id.</w:t>
      </w:r>
      <w:r w:rsidRPr="00D11ECB">
        <w:rPr>
          <w:szCs w:val="20"/>
        </w:rPr>
        <w:t xml:space="preserve"> at 8,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4E0357"/>
    <w:multiLevelType w:val="hybridMultilevel"/>
    <w:tmpl w:val="EA9E383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D8"/>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F67489"/>
    <w:pPr>
      <w:keepNext/>
      <w:spacing w:after="240"/>
      <w:outlineLvl w:val="0"/>
    </w:pPr>
    <w:rPr>
      <w:rFonts w:ascii="Times New Roman Bold" w:eastAsia="Times New Roman" w:hAnsi="Times New Roman Bold" w:cs="Times New Roman"/>
      <w:b/>
      <w:caps/>
      <w:szCs w:val="24"/>
    </w:rPr>
  </w:style>
  <w:style w:type="paragraph" w:styleId="Heading2">
    <w:name w:val="heading 2"/>
    <w:basedOn w:val="Normal"/>
    <w:next w:val="Normal"/>
    <w:link w:val="Heading2Char"/>
    <w:autoRedefine/>
    <w:uiPriority w:val="9"/>
    <w:unhideWhenUsed/>
    <w:qFormat/>
    <w:rsid w:val="002F3CD8"/>
    <w:pPr>
      <w:keepNext/>
      <w:keepLines/>
      <w:spacing w:after="240"/>
      <w:ind w:left="1440" w:right="720" w:hanging="720"/>
      <w:outlineLvl w:val="1"/>
    </w:pPr>
    <w:rPr>
      <w:rFonts w:ascii="Times New Roman Bold" w:hAnsi="Times New Roman Bold"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489"/>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uiPriority w:val="9"/>
    <w:rsid w:val="002F3CD8"/>
    <w:rPr>
      <w:rFonts w:ascii="Times New Roman Bold" w:hAnsi="Times New Roman Bold" w:eastAsiaTheme="majorEastAsia" w:cs="Times New Roman"/>
      <w:b/>
      <w:sz w:val="24"/>
      <w:szCs w:val="24"/>
    </w:rPr>
  </w:style>
  <w:style w:type="paragraph" w:styleId="FootnoteText">
    <w:name w:val="footnote text"/>
    <w:aliases w:val="Footnote Text Char Ch,Footnote Text Char Char,Footnote Text Char2,Footnote Text Char2 Char Char,Footnote Text Char2 Char1 Char1 Char Char,Footnote Text Char3 Char1 Char Char,Footnote Text Char3 Char1 Char Char Char Char,f,fn,fn Char2 Char"/>
    <w:basedOn w:val="Normal"/>
    <w:link w:val="FootnoteTextChar"/>
    <w:uiPriority w:val="99"/>
    <w:qFormat/>
    <w:rsid w:val="002F3CD8"/>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uiPriority w:val="99"/>
    <w:rsid w:val="002F3CD8"/>
    <w:rPr>
      <w:rFonts w:ascii="Times New Roman" w:hAnsi="Times New Roman"/>
      <w:sz w:val="20"/>
    </w:rPr>
  </w:style>
  <w:style w:type="character" w:styleId="FootnoteReference">
    <w:name w:val="footnote reference"/>
    <w:aliases w:val="(NECG) Footnote Reference,.,Footnote Reference (EIS),Sty,Styl,Style 11,Style 12,Style 13,Style 15,Style 16,Style 17,Style 18,Style 19,Style 20,Style 21,Style 28,Style 30,Style 4,Style 7,Style 8,Style 9,fnr,fr,fr1,fr2,fr3,o,o1,o2,o3"/>
    <w:basedOn w:val="DefaultParagraphFont"/>
    <w:uiPriority w:val="99"/>
    <w:unhideWhenUsed/>
    <w:qFormat/>
    <w:rsid w:val="002F3CD8"/>
    <w:rPr>
      <w:vertAlign w:val="superscript"/>
    </w:rPr>
  </w:style>
  <w:style w:type="paragraph" w:styleId="BodyTextIndent3">
    <w:name w:val="Body Text Indent 3"/>
    <w:basedOn w:val="Normal"/>
    <w:link w:val="BodyTextIndent3Char"/>
    <w:rsid w:val="002F3CD8"/>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2F3CD8"/>
    <w:rPr>
      <w:rFonts w:ascii="Times New Roman" w:eastAsia="Times New Roman" w:hAnsi="Times New Roman" w:cs="Times New Roman"/>
      <w:sz w:val="24"/>
      <w:szCs w:val="20"/>
    </w:rPr>
  </w:style>
  <w:style w:type="paragraph" w:styleId="HTMLPreformatted">
    <w:name w:val="HTML Preformatted"/>
    <w:basedOn w:val="Normal"/>
    <w:link w:val="HTMLPreformattedChar"/>
    <w:rsid w:val="002F3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F3CD8"/>
    <w:rPr>
      <w:rFonts w:ascii="Courier New" w:eastAsia="Courier New" w:hAnsi="Courier New" w:cs="Courier New"/>
      <w:sz w:val="20"/>
      <w:szCs w:val="20"/>
    </w:rPr>
  </w:style>
  <w:style w:type="paragraph" w:styleId="Header">
    <w:name w:val="header"/>
    <w:basedOn w:val="Normal"/>
    <w:link w:val="HeaderChar"/>
    <w:uiPriority w:val="99"/>
    <w:unhideWhenUsed/>
    <w:rsid w:val="00062861"/>
    <w:pPr>
      <w:tabs>
        <w:tab w:val="center" w:pos="4680"/>
        <w:tab w:val="right" w:pos="9360"/>
      </w:tabs>
    </w:pPr>
  </w:style>
  <w:style w:type="character" w:customStyle="1" w:styleId="HeaderChar">
    <w:name w:val="Header Char"/>
    <w:basedOn w:val="DefaultParagraphFont"/>
    <w:link w:val="Header"/>
    <w:uiPriority w:val="99"/>
    <w:rsid w:val="00062861"/>
    <w:rPr>
      <w:rFonts w:ascii="Times New Roman" w:hAnsi="Times New Roman"/>
      <w:sz w:val="24"/>
    </w:rPr>
  </w:style>
  <w:style w:type="paragraph" w:styleId="Footer">
    <w:name w:val="footer"/>
    <w:basedOn w:val="Normal"/>
    <w:link w:val="FooterChar"/>
    <w:uiPriority w:val="99"/>
    <w:unhideWhenUsed/>
    <w:rsid w:val="00062861"/>
    <w:pPr>
      <w:tabs>
        <w:tab w:val="center" w:pos="4680"/>
        <w:tab w:val="right" w:pos="9360"/>
      </w:tabs>
    </w:pPr>
  </w:style>
  <w:style w:type="character" w:customStyle="1" w:styleId="FooterChar">
    <w:name w:val="Footer Char"/>
    <w:basedOn w:val="DefaultParagraphFont"/>
    <w:link w:val="Footer"/>
    <w:uiPriority w:val="99"/>
    <w:rsid w:val="00062861"/>
    <w:rPr>
      <w:rFonts w:ascii="Times New Roman" w:hAnsi="Times New Roman"/>
      <w:sz w:val="24"/>
    </w:rPr>
  </w:style>
  <w:style w:type="character" w:styleId="Hyperlink">
    <w:name w:val="Hyperlink"/>
    <w:basedOn w:val="DefaultParagraphFont"/>
    <w:uiPriority w:val="99"/>
    <w:unhideWhenUsed/>
    <w:rsid w:val="007D3C26"/>
    <w:rPr>
      <w:color w:val="0000FF"/>
      <w:u w:val="single"/>
    </w:rPr>
  </w:style>
  <w:style w:type="paragraph" w:styleId="CommentText">
    <w:name w:val="annotation text"/>
    <w:basedOn w:val="Normal"/>
    <w:link w:val="CommentTextChar"/>
    <w:unhideWhenUsed/>
    <w:rsid w:val="007D3C26"/>
    <w:rPr>
      <w:sz w:val="20"/>
      <w:szCs w:val="20"/>
    </w:rPr>
  </w:style>
  <w:style w:type="character" w:customStyle="1" w:styleId="CommentTextChar">
    <w:name w:val="Comment Text Char"/>
    <w:basedOn w:val="DefaultParagraphFont"/>
    <w:link w:val="CommentText"/>
    <w:rsid w:val="007D3C26"/>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7D3C26"/>
    <w:rPr>
      <w:b/>
      <w:bCs/>
    </w:rPr>
  </w:style>
  <w:style w:type="character" w:customStyle="1" w:styleId="CommentSubjectChar">
    <w:name w:val="Comment Subject Char"/>
    <w:basedOn w:val="CommentTextChar"/>
    <w:link w:val="CommentSubject"/>
    <w:semiHidden/>
    <w:rsid w:val="007D3C26"/>
    <w:rPr>
      <w:rFonts w:ascii="Times New Roman" w:hAnsi="Times New Roman"/>
      <w:b/>
      <w:bCs/>
      <w:sz w:val="20"/>
      <w:szCs w:val="20"/>
    </w:rPr>
  </w:style>
  <w:style w:type="paragraph" w:styleId="BodyText">
    <w:name w:val="Body Text"/>
    <w:basedOn w:val="Normal"/>
    <w:link w:val="BodyTextChar"/>
    <w:uiPriority w:val="99"/>
    <w:semiHidden/>
    <w:unhideWhenUsed/>
    <w:rsid w:val="007D3C26"/>
    <w:pPr>
      <w:spacing w:after="120"/>
    </w:pPr>
  </w:style>
  <w:style w:type="character" w:customStyle="1" w:styleId="BodyTextChar">
    <w:name w:val="Body Text Char"/>
    <w:basedOn w:val="DefaultParagraphFont"/>
    <w:link w:val="BodyText"/>
    <w:uiPriority w:val="99"/>
    <w:semiHidden/>
    <w:rsid w:val="007D3C26"/>
    <w:rPr>
      <w:rFonts w:ascii="Times New Roman" w:hAnsi="Times New Roman"/>
      <w:sz w:val="24"/>
    </w:rPr>
  </w:style>
  <w:style w:type="character" w:customStyle="1" w:styleId="UnresolvedMention">
    <w:name w:val="Unresolved Mention"/>
    <w:basedOn w:val="DefaultParagraphFont"/>
    <w:uiPriority w:val="99"/>
    <w:semiHidden/>
    <w:unhideWhenUsed/>
    <w:rsid w:val="008A7E68"/>
    <w:rPr>
      <w:color w:val="605E5C"/>
      <w:shd w:val="clear" w:color="auto" w:fill="E1DFDD"/>
    </w:rPr>
  </w:style>
  <w:style w:type="character" w:styleId="CommentReference">
    <w:name w:val="annotation reference"/>
    <w:basedOn w:val="DefaultParagraphFont"/>
    <w:uiPriority w:val="99"/>
    <w:semiHidden/>
    <w:unhideWhenUsed/>
    <w:rsid w:val="00C448D4"/>
    <w:rPr>
      <w:sz w:val="16"/>
      <w:szCs w:val="16"/>
    </w:rPr>
  </w:style>
  <w:style w:type="paragraph" w:styleId="BalloonText">
    <w:name w:val="Balloon Text"/>
    <w:basedOn w:val="Normal"/>
    <w:link w:val="BalloonTextChar"/>
    <w:uiPriority w:val="99"/>
    <w:semiHidden/>
    <w:unhideWhenUsed/>
    <w:rsid w:val="00C44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D4"/>
    <w:rPr>
      <w:rFonts w:ascii="Segoe UI" w:hAnsi="Segoe UI" w:cs="Segoe UI"/>
      <w:sz w:val="18"/>
      <w:szCs w:val="18"/>
    </w:rPr>
  </w:style>
  <w:style w:type="paragraph" w:customStyle="1" w:styleId="BodyTextDouble">
    <w:name w:val="Body Text Double"/>
    <w:basedOn w:val="Normal"/>
    <w:uiPriority w:val="99"/>
    <w:rsid w:val="005A31F9"/>
    <w:pPr>
      <w:spacing w:line="480" w:lineRule="auto"/>
      <w:ind w:firstLine="720"/>
    </w:pPr>
    <w:rPr>
      <w:rFonts w:cs="Times New Roman"/>
      <w:szCs w:val="24"/>
      <w:lang w:eastAsia="ja-JP"/>
    </w:rPr>
  </w:style>
  <w:style w:type="paragraph" w:styleId="ListParagraph">
    <w:name w:val="List Paragraph"/>
    <w:basedOn w:val="Normal"/>
    <w:uiPriority w:val="34"/>
    <w:qFormat/>
    <w:rsid w:val="0049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TCRR Comments 18-1189--final edits  (00136969.DOCX;1)</vt:lpstr>
    </vt:vector>
  </TitlesOfParts>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2019-07-12T20:53:19Z</dcterms:created>
  <dcterms:modified xsi:type="dcterms:W3CDTF">2019-07-12T20:53:19Z</dcterms:modified>
</cp:coreProperties>
</file>