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841E5F" w:rsidP="00841E5F">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rsidR="00841E5F" w:rsidP="00841E5F">
      <w:pPr>
        <w:pStyle w:val="HTMLPreformatted"/>
        <w:jc w:val="center"/>
        <w:rPr>
          <w:rFonts w:ascii="Times New Roman" w:hAnsi="Times New Roman"/>
          <w:sz w:val="24"/>
        </w:rPr>
      </w:pPr>
      <w:r>
        <w:rPr>
          <w:rFonts w:ascii="Times New Roman" w:hAnsi="Times New Roman"/>
          <w:b/>
          <w:bCs/>
          <w:sz w:val="24"/>
        </w:rPr>
        <w:t>THE PUBLIC UTILITIES COMMISSION OF OHIO</w:t>
      </w:r>
    </w:p>
    <w:p w:rsidR="00841E5F" w:rsidP="00841E5F">
      <w:pPr>
        <w:pStyle w:val="HTMLPreformatted"/>
        <w:rPr>
          <w:rFonts w:ascii="Times New Roman" w:hAnsi="Times New Roman"/>
          <w:sz w:val="24"/>
        </w:rPr>
      </w:pPr>
    </w:p>
    <w:tbl>
      <w:tblPr>
        <w:tblW w:w="9468" w:type="dxa"/>
        <w:tblLook w:val="01E0"/>
      </w:tblPr>
      <w:tblGrid>
        <w:gridCol w:w="4669"/>
        <w:gridCol w:w="299"/>
        <w:gridCol w:w="4500"/>
      </w:tblGrid>
      <w:tr w:rsidTr="00814BD8">
        <w:tblPrEx>
          <w:tblW w:w="9468" w:type="dxa"/>
          <w:tblLook w:val="01E0"/>
        </w:tblPrEx>
        <w:trPr>
          <w:trHeight w:val="807"/>
        </w:trPr>
        <w:tc>
          <w:tcPr>
            <w:tcW w:w="4669" w:type="dxa"/>
            <w:shd w:val="clear" w:color="auto" w:fill="auto"/>
          </w:tcPr>
          <w:p w:rsidR="00841E5F" w:rsidRPr="00A044B5" w:rsidP="00814BD8">
            <w:pPr>
              <w:pStyle w:val="HTMLPreformatted"/>
              <w:rPr>
                <w:rFonts w:ascii="Times New Roman" w:hAnsi="Times New Roman"/>
                <w:sz w:val="24"/>
                <w:szCs w:val="24"/>
              </w:rPr>
            </w:pPr>
            <w:r w:rsidRPr="00A044B5">
              <w:rPr>
                <w:rFonts w:ascii="Times New Roman" w:hAnsi="Times New Roman" w:cs="Times New Roman"/>
                <w:sz w:val="24"/>
                <w:szCs w:val="24"/>
              </w:rPr>
              <w:t>In the Matter of</w:t>
            </w:r>
            <w:r>
              <w:rPr>
                <w:rFonts w:ascii="Times New Roman" w:hAnsi="Times New Roman" w:cs="Times New Roman"/>
                <w:sz w:val="24"/>
                <w:szCs w:val="24"/>
              </w:rPr>
              <w:t xml:space="preserve"> the East Ohio Gas Company d/b/a Dominion Energy Ohio for Approval of an Alternative Form of Regulation.</w:t>
            </w:r>
          </w:p>
        </w:tc>
        <w:tc>
          <w:tcPr>
            <w:tcW w:w="299" w:type="dxa"/>
            <w:shd w:val="clear" w:color="auto" w:fill="auto"/>
          </w:tcPr>
          <w:p w:rsidR="00841E5F" w:rsidRPr="00A044B5" w:rsidP="00814BD8">
            <w:pPr>
              <w:pStyle w:val="HTMLPreformatted"/>
              <w:rPr>
                <w:rFonts w:ascii="Times New Roman" w:hAnsi="Times New Roman"/>
                <w:sz w:val="24"/>
              </w:rPr>
            </w:pPr>
            <w:r w:rsidRPr="00A044B5">
              <w:rPr>
                <w:rFonts w:ascii="Times New Roman" w:hAnsi="Times New Roman"/>
                <w:sz w:val="24"/>
              </w:rPr>
              <w:t>)</w:t>
            </w:r>
          </w:p>
          <w:p w:rsidR="00841E5F" w:rsidRPr="00A044B5" w:rsidP="00814BD8">
            <w:pPr>
              <w:pStyle w:val="HTMLPreformatted"/>
              <w:rPr>
                <w:rFonts w:ascii="Times New Roman" w:hAnsi="Times New Roman"/>
                <w:sz w:val="24"/>
              </w:rPr>
            </w:pPr>
            <w:r w:rsidRPr="00A044B5">
              <w:rPr>
                <w:rFonts w:ascii="Times New Roman" w:hAnsi="Times New Roman"/>
                <w:sz w:val="24"/>
              </w:rPr>
              <w:t>)</w:t>
            </w:r>
          </w:p>
          <w:p w:rsidR="00841E5F" w:rsidRPr="00A044B5" w:rsidP="00814BD8">
            <w:pPr>
              <w:pStyle w:val="HTMLPreformatted"/>
              <w:rPr>
                <w:rFonts w:ascii="Times New Roman" w:hAnsi="Times New Roman"/>
                <w:sz w:val="24"/>
              </w:rPr>
            </w:pPr>
            <w:r w:rsidRPr="00A044B5">
              <w:rPr>
                <w:rFonts w:ascii="Times New Roman" w:hAnsi="Times New Roman"/>
                <w:sz w:val="24"/>
              </w:rPr>
              <w:t>)</w:t>
            </w:r>
          </w:p>
        </w:tc>
        <w:tc>
          <w:tcPr>
            <w:tcW w:w="4500" w:type="dxa"/>
            <w:shd w:val="clear" w:color="auto" w:fill="auto"/>
          </w:tcPr>
          <w:p w:rsidR="00841E5F" w:rsidRPr="00A044B5" w:rsidP="00814BD8">
            <w:pPr>
              <w:pStyle w:val="HTMLPreformatted"/>
              <w:rPr>
                <w:rFonts w:ascii="Times New Roman" w:hAnsi="Times New Roman"/>
                <w:sz w:val="24"/>
              </w:rPr>
            </w:pPr>
          </w:p>
          <w:p w:rsidR="00841E5F" w:rsidRPr="00A044B5" w:rsidP="00814BD8">
            <w:pPr>
              <w:pStyle w:val="HTMLPreformatted"/>
              <w:rPr>
                <w:rFonts w:ascii="Times New Roman" w:hAnsi="Times New Roman"/>
                <w:sz w:val="24"/>
              </w:rPr>
            </w:pPr>
            <w:r w:rsidRPr="00A044B5">
              <w:rPr>
                <w:rFonts w:ascii="Times New Roman" w:hAnsi="Times New Roman"/>
                <w:sz w:val="24"/>
              </w:rPr>
              <w:t xml:space="preserve">Case No. </w:t>
            </w:r>
            <w:r>
              <w:rPr>
                <w:rFonts w:ascii="Times New Roman" w:hAnsi="Times New Roman"/>
                <w:sz w:val="24"/>
              </w:rPr>
              <w:t>19-468-GA-ALT</w:t>
            </w:r>
          </w:p>
          <w:p w:rsidR="00841E5F" w:rsidRPr="00A044B5" w:rsidP="00814BD8">
            <w:pPr>
              <w:pStyle w:val="HTMLPreformatted"/>
              <w:rPr>
                <w:rFonts w:ascii="Times New Roman" w:hAnsi="Times New Roman"/>
                <w:sz w:val="24"/>
              </w:rPr>
            </w:pPr>
          </w:p>
        </w:tc>
      </w:tr>
    </w:tbl>
    <w:p w:rsidR="00841E5F" w:rsidP="00841E5F">
      <w:pPr>
        <w:pStyle w:val="HTMLPreformatted"/>
        <w:rPr>
          <w:rFonts w:ascii="Times New Roman" w:hAnsi="Times New Roman"/>
          <w:sz w:val="24"/>
        </w:rPr>
      </w:pPr>
    </w:p>
    <w:p w:rsidR="00841E5F" w:rsidP="00841E5F">
      <w:pPr>
        <w:pStyle w:val="HTMLPreformatted"/>
        <w:pBdr>
          <w:top w:val="single" w:sz="12" w:space="1" w:color="auto"/>
        </w:pBdr>
        <w:rPr>
          <w:rFonts w:ascii="Times New Roman" w:hAnsi="Times New Roman"/>
          <w:sz w:val="24"/>
        </w:rPr>
      </w:pPr>
    </w:p>
    <w:p w:rsidR="00841E5F" w:rsidP="00841E5F">
      <w:pPr>
        <w:jc w:val="center"/>
        <w:rPr>
          <w:b/>
          <w:bCs/>
        </w:rPr>
      </w:pPr>
      <w:r>
        <w:rPr>
          <w:b/>
          <w:bCs/>
        </w:rPr>
        <w:t>OBJECTIONS</w:t>
      </w:r>
    </w:p>
    <w:p w:rsidR="00841E5F" w:rsidP="00841E5F">
      <w:pPr>
        <w:jc w:val="center"/>
        <w:rPr>
          <w:b/>
          <w:bCs/>
        </w:rPr>
      </w:pPr>
      <w:r>
        <w:rPr>
          <w:b/>
          <w:bCs/>
        </w:rPr>
        <w:t>BY</w:t>
      </w:r>
    </w:p>
    <w:p w:rsidR="00841E5F" w:rsidP="00841E5F">
      <w:pPr>
        <w:jc w:val="center"/>
        <w:rPr>
          <w:b/>
          <w:bCs/>
        </w:rPr>
      </w:pPr>
      <w:r>
        <w:rPr>
          <w:b/>
          <w:bCs/>
        </w:rPr>
        <w:t>THE OFFICE OF THE OHIO CONSUMERS’ COUNSEL</w:t>
      </w:r>
    </w:p>
    <w:p w:rsidR="00841E5F" w:rsidP="00841E5F">
      <w:pPr>
        <w:pBdr>
          <w:bottom w:val="single" w:sz="12" w:space="1" w:color="auto"/>
        </w:pBdr>
        <w:tabs>
          <w:tab w:val="left" w:pos="4320"/>
        </w:tabs>
      </w:pPr>
    </w:p>
    <w:p w:rsidR="00841E5F" w:rsidP="00841E5F">
      <w:pPr>
        <w:tabs>
          <w:tab w:val="left" w:pos="4320"/>
        </w:tabs>
      </w:pPr>
    </w:p>
    <w:p w:rsidR="00841E5F" w:rsidP="00D4185C">
      <w:pPr>
        <w:pStyle w:val="HTMLPreformatted"/>
        <w:jc w:val="center"/>
        <w:rPr>
          <w:rFonts w:ascii="Times New Roman" w:hAnsi="Times New Roman"/>
          <w:b/>
          <w:bCs/>
          <w:sz w:val="24"/>
        </w:rPr>
      </w:pPr>
    </w:p>
    <w:p w:rsidR="00841E5F" w:rsidP="00D4185C">
      <w:pPr>
        <w:pStyle w:val="HTMLPreformatted"/>
        <w:jc w:val="center"/>
        <w:rPr>
          <w:rFonts w:ascii="Times New Roman" w:hAnsi="Times New Roman"/>
          <w:b/>
          <w:bCs/>
          <w:sz w:val="24"/>
        </w:rPr>
      </w:pPr>
    </w:p>
    <w:p w:rsidR="00841E5F" w:rsidP="00D4185C">
      <w:pPr>
        <w:pStyle w:val="HTMLPreformatted"/>
        <w:jc w:val="center"/>
        <w:rPr>
          <w:rFonts w:ascii="Times New Roman" w:hAnsi="Times New Roman"/>
          <w:b/>
          <w:bCs/>
          <w:sz w:val="24"/>
        </w:rPr>
      </w:pPr>
    </w:p>
    <w:p w:rsidR="00841E5F" w:rsidP="00841E5F">
      <w:pPr>
        <w:pStyle w:val="Footer"/>
        <w:tabs>
          <w:tab w:val="left" w:pos="4320"/>
          <w:tab w:val="clear" w:pos="8640"/>
        </w:tabs>
        <w:spacing w:before="240"/>
        <w:ind w:firstLine="4320"/>
        <w:rPr>
          <w:sz w:val="24"/>
          <w:szCs w:val="24"/>
        </w:rPr>
      </w:pPr>
      <w:r>
        <w:rPr>
          <w:sz w:val="24"/>
          <w:szCs w:val="24"/>
        </w:rPr>
        <w:t>Bruce Weston (0016973)</w:t>
      </w:r>
    </w:p>
    <w:p w:rsidR="00841E5F" w:rsidP="00841E5F">
      <w:pPr>
        <w:tabs>
          <w:tab w:val="left" w:pos="4320"/>
        </w:tabs>
        <w:rPr>
          <w:szCs w:val="24"/>
        </w:rPr>
      </w:pPr>
      <w:r>
        <w:rPr>
          <w:szCs w:val="24"/>
        </w:rPr>
        <w:tab/>
        <w:t>Ohio Consumers’ Counsel</w:t>
      </w:r>
    </w:p>
    <w:p w:rsidR="00841E5F" w:rsidP="00841E5F">
      <w:pPr>
        <w:tabs>
          <w:tab w:val="left" w:pos="4320"/>
        </w:tabs>
        <w:rPr>
          <w:szCs w:val="24"/>
        </w:rPr>
      </w:pPr>
      <w:r>
        <w:rPr>
          <w:szCs w:val="24"/>
        </w:rPr>
        <w:tab/>
      </w:r>
    </w:p>
    <w:p w:rsidR="00841E5F" w:rsidP="00841E5F">
      <w:pPr>
        <w:tabs>
          <w:tab w:val="left" w:pos="4320"/>
        </w:tabs>
        <w:rPr>
          <w:szCs w:val="24"/>
        </w:rPr>
      </w:pPr>
      <w:r>
        <w:rPr>
          <w:szCs w:val="24"/>
        </w:rPr>
        <w:tab/>
        <w:t>Christopher Healey (0086027)</w:t>
      </w:r>
    </w:p>
    <w:p w:rsidR="00841E5F" w:rsidP="00841E5F">
      <w:pPr>
        <w:tabs>
          <w:tab w:val="left" w:pos="4320"/>
        </w:tabs>
        <w:ind w:firstLine="4320"/>
        <w:rPr>
          <w:szCs w:val="24"/>
        </w:rPr>
      </w:pPr>
      <w:r>
        <w:rPr>
          <w:szCs w:val="24"/>
        </w:rPr>
        <w:t>Counsel of Record</w:t>
      </w:r>
    </w:p>
    <w:p w:rsidR="00841E5F" w:rsidP="00841E5F">
      <w:pPr>
        <w:tabs>
          <w:tab w:val="left" w:pos="4320"/>
        </w:tabs>
        <w:rPr>
          <w:szCs w:val="24"/>
        </w:rPr>
      </w:pPr>
      <w:r>
        <w:rPr>
          <w:szCs w:val="24"/>
        </w:rPr>
        <w:tab/>
        <w:t>William J. Michael (0070921)</w:t>
      </w:r>
    </w:p>
    <w:p w:rsidR="00841E5F" w:rsidP="00841E5F">
      <w:pPr>
        <w:tabs>
          <w:tab w:val="left" w:pos="4320"/>
        </w:tabs>
        <w:ind w:firstLine="4320"/>
        <w:rPr>
          <w:szCs w:val="24"/>
        </w:rPr>
      </w:pPr>
      <w:r>
        <w:rPr>
          <w:szCs w:val="24"/>
        </w:rPr>
        <w:t>Assistant Consumers’ Counsel</w:t>
      </w:r>
    </w:p>
    <w:p w:rsidR="00841E5F" w:rsidP="00DF6691">
      <w:r>
        <w:tab/>
      </w:r>
    </w:p>
    <w:p w:rsidR="00841E5F" w:rsidRPr="00DF6691" w:rsidP="00DF6691">
      <w:pPr>
        <w:rPr>
          <w:b/>
          <w:bCs/>
        </w:rPr>
      </w:pPr>
      <w:r>
        <w:tab/>
      </w:r>
      <w:r w:rsidR="00DF6691">
        <w:tab/>
      </w:r>
      <w:r w:rsidR="00DF6691">
        <w:tab/>
      </w:r>
      <w:r w:rsidR="00DF6691">
        <w:tab/>
      </w:r>
      <w:r w:rsidR="00DF6691">
        <w:tab/>
      </w:r>
      <w:r w:rsidR="00DF6691">
        <w:tab/>
      </w:r>
      <w:r w:rsidRPr="00DF6691">
        <w:rPr>
          <w:b/>
          <w:bCs/>
        </w:rPr>
        <w:t>Office of the Ohio Consumers’ Counsel</w:t>
      </w:r>
    </w:p>
    <w:p w:rsidR="00841E5F" w:rsidP="00DF6691">
      <w:pPr>
        <w:rPr>
          <w:b/>
        </w:rPr>
      </w:pPr>
      <w:r>
        <w:tab/>
      </w:r>
      <w:r w:rsidR="00DF6691">
        <w:tab/>
      </w:r>
      <w:r w:rsidR="00DF6691">
        <w:tab/>
      </w:r>
      <w:r w:rsidR="00DF6691">
        <w:tab/>
      </w:r>
      <w:r w:rsidR="00DF6691">
        <w:tab/>
      </w:r>
      <w:r w:rsidR="00DF6691">
        <w:tab/>
      </w:r>
      <w:r>
        <w:t>65 East State Street, 7th Floor</w:t>
      </w:r>
    </w:p>
    <w:p w:rsidR="00841E5F" w:rsidP="00DF6691">
      <w:pPr>
        <w:rPr>
          <w:b/>
        </w:rPr>
      </w:pPr>
      <w:r>
        <w:tab/>
      </w:r>
      <w:r w:rsidR="00DF6691">
        <w:tab/>
      </w:r>
      <w:r w:rsidR="00DF6691">
        <w:tab/>
      </w:r>
      <w:r w:rsidR="00DF6691">
        <w:tab/>
      </w:r>
      <w:r w:rsidR="00DF6691">
        <w:tab/>
      </w:r>
      <w:r w:rsidR="00DF6691">
        <w:tab/>
      </w:r>
      <w:r>
        <w:t>Columbus, Ohio 43215-4213</w:t>
      </w:r>
    </w:p>
    <w:p w:rsidR="00841E5F" w:rsidP="00841E5F">
      <w:pPr>
        <w:autoSpaceDE w:val="0"/>
        <w:autoSpaceDN w:val="0"/>
        <w:adjustRightInd w:val="0"/>
        <w:ind w:left="3600" w:firstLine="720"/>
        <w:rPr>
          <w:szCs w:val="24"/>
        </w:rPr>
      </w:pPr>
      <w:r>
        <w:rPr>
          <w:szCs w:val="24"/>
        </w:rPr>
        <w:t>Telephone [Healey]: (614) 466-9571</w:t>
      </w:r>
    </w:p>
    <w:p w:rsidR="00841E5F" w:rsidP="00841E5F">
      <w:pPr>
        <w:autoSpaceDE w:val="0"/>
        <w:autoSpaceDN w:val="0"/>
        <w:adjustRightInd w:val="0"/>
        <w:ind w:left="3600" w:firstLine="720"/>
        <w:rPr>
          <w:szCs w:val="24"/>
        </w:rPr>
      </w:pPr>
      <w:r>
        <w:rPr>
          <w:szCs w:val="24"/>
        </w:rPr>
        <w:t>Telephone [Michael]: (614) 466-1291</w:t>
      </w:r>
    </w:p>
    <w:p w:rsidR="00841E5F" w:rsidP="00841E5F">
      <w:pPr>
        <w:rPr>
          <w:szCs w:val="24"/>
        </w:rPr>
      </w:pPr>
      <w:r>
        <w:rPr>
          <w:szCs w:val="24"/>
        </w:rPr>
        <w:tab/>
      </w:r>
      <w:r>
        <w:rPr>
          <w:szCs w:val="24"/>
        </w:rPr>
        <w:tab/>
      </w:r>
      <w:r>
        <w:rPr>
          <w:szCs w:val="24"/>
        </w:rPr>
        <w:tab/>
      </w:r>
      <w:r>
        <w:rPr>
          <w:szCs w:val="24"/>
        </w:rPr>
        <w:tab/>
      </w:r>
      <w:r>
        <w:rPr>
          <w:szCs w:val="24"/>
        </w:rPr>
        <w:tab/>
      </w:r>
      <w:r>
        <w:rPr>
          <w:szCs w:val="24"/>
        </w:rPr>
        <w:tab/>
      </w:r>
      <w:hyperlink r:id="rId6" w:history="1">
        <w:r w:rsidRPr="00742DDD">
          <w:rPr>
            <w:rStyle w:val="Hyperlink"/>
            <w:szCs w:val="24"/>
          </w:rPr>
          <w:t>christopher.healey@occ.ohio.gov</w:t>
        </w:r>
      </w:hyperlink>
    </w:p>
    <w:p w:rsidR="00841E5F" w:rsidP="00841E5F">
      <w:pPr>
        <w:rPr>
          <w:szCs w:val="24"/>
        </w:rPr>
      </w:pPr>
      <w:r>
        <w:rPr>
          <w:szCs w:val="24"/>
        </w:rPr>
        <w:tab/>
      </w:r>
      <w:r>
        <w:rPr>
          <w:szCs w:val="24"/>
        </w:rPr>
        <w:tab/>
      </w:r>
      <w:r>
        <w:rPr>
          <w:szCs w:val="24"/>
        </w:rPr>
        <w:tab/>
      </w:r>
      <w:r>
        <w:rPr>
          <w:szCs w:val="24"/>
        </w:rPr>
        <w:tab/>
      </w:r>
      <w:r>
        <w:rPr>
          <w:szCs w:val="24"/>
        </w:rPr>
        <w:tab/>
      </w:r>
      <w:r>
        <w:rPr>
          <w:szCs w:val="24"/>
        </w:rPr>
        <w:tab/>
      </w:r>
      <w:hyperlink r:id="rId7" w:history="1">
        <w:r w:rsidRPr="00742DDD">
          <w:rPr>
            <w:rStyle w:val="Hyperlink"/>
            <w:szCs w:val="24"/>
          </w:rPr>
          <w:t>william.michael@occ.ohio.gov</w:t>
        </w:r>
      </w:hyperlink>
    </w:p>
    <w:p w:rsidR="00841E5F" w:rsidP="00841E5F">
      <w:pPr>
        <w:rPr>
          <w:szCs w:val="24"/>
        </w:rPr>
      </w:pPr>
      <w:r>
        <w:rPr>
          <w:szCs w:val="24"/>
        </w:rPr>
        <w:t>June 10, 2020</w:t>
      </w:r>
      <w:r>
        <w:rPr>
          <w:szCs w:val="24"/>
        </w:rPr>
        <w:tab/>
      </w:r>
      <w:r>
        <w:rPr>
          <w:szCs w:val="24"/>
        </w:rPr>
        <w:tab/>
      </w:r>
      <w:r>
        <w:rPr>
          <w:szCs w:val="24"/>
        </w:rPr>
        <w:tab/>
      </w:r>
      <w:r>
        <w:rPr>
          <w:szCs w:val="24"/>
        </w:rPr>
        <w:tab/>
      </w:r>
      <w:r>
        <w:rPr>
          <w:szCs w:val="24"/>
        </w:rPr>
        <w:tab/>
        <w:t>(willing to accept service by email)</w:t>
      </w:r>
    </w:p>
    <w:p w:rsidR="00841E5F" w:rsidP="00D4185C">
      <w:pPr>
        <w:pStyle w:val="HTMLPreformatted"/>
        <w:jc w:val="center"/>
        <w:rPr>
          <w:rFonts w:ascii="Times New Roman" w:hAnsi="Times New Roman"/>
          <w:b/>
          <w:bCs/>
          <w:sz w:val="24"/>
        </w:rPr>
      </w:pPr>
    </w:p>
    <w:p w:rsidR="00841E5F" w:rsidP="00D4185C">
      <w:pPr>
        <w:pStyle w:val="HTMLPreformatted"/>
        <w:jc w:val="center"/>
        <w:rPr>
          <w:rFonts w:ascii="Times New Roman" w:hAnsi="Times New Roman"/>
          <w:b/>
          <w:bCs/>
          <w:sz w:val="24"/>
        </w:rPr>
      </w:pPr>
    </w:p>
    <w:p w:rsidR="00841E5F" w:rsidP="00D4185C">
      <w:pPr>
        <w:pStyle w:val="HTMLPreformatted"/>
        <w:jc w:val="center"/>
        <w:rPr>
          <w:rFonts w:ascii="Times New Roman" w:hAnsi="Times New Roman"/>
          <w:b/>
          <w:bCs/>
          <w:sz w:val="24"/>
        </w:rPr>
        <w:sectPr w:rsidSect="00AB22E0">
          <w:footerReference w:type="default" r:id="rId8"/>
          <w:pgSz w:w="12240" w:h="15840"/>
          <w:pgMar w:top="1440" w:right="1440" w:bottom="1440" w:left="1440" w:header="720" w:footer="720" w:gutter="0"/>
          <w:pgNumType w:start="1"/>
          <w:cols w:space="720"/>
          <w:titlePg/>
          <w:docGrid w:linePitch="326"/>
        </w:sectPr>
      </w:pPr>
    </w:p>
    <w:p w:rsidR="00841E5F" w:rsidRPr="00841E5F" w:rsidP="00D4185C">
      <w:pPr>
        <w:pStyle w:val="HTMLPreformatted"/>
        <w:jc w:val="center"/>
        <w:rPr>
          <w:rFonts w:ascii="Times New Roman" w:hAnsi="Times New Roman"/>
          <w:b/>
          <w:bCs/>
          <w:sz w:val="24"/>
          <w:u w:val="single"/>
        </w:rPr>
      </w:pPr>
      <w:r w:rsidRPr="00841E5F">
        <w:rPr>
          <w:rFonts w:ascii="Times New Roman" w:hAnsi="Times New Roman"/>
          <w:b/>
          <w:bCs/>
          <w:sz w:val="24"/>
          <w:u w:val="single"/>
        </w:rPr>
        <w:t>TABLE OF CONTENTS</w:t>
      </w:r>
    </w:p>
    <w:p w:rsidR="00841E5F" w:rsidP="00D4185C">
      <w:pPr>
        <w:pStyle w:val="HTMLPreformatted"/>
        <w:jc w:val="center"/>
        <w:rPr>
          <w:rFonts w:ascii="Times New Roman" w:hAnsi="Times New Roman"/>
          <w:b/>
          <w:bCs/>
          <w:sz w:val="24"/>
        </w:rPr>
      </w:pPr>
    </w:p>
    <w:p w:rsidR="00841E5F" w:rsidP="00841E5F">
      <w:pPr>
        <w:pStyle w:val="HTMLPreformatted"/>
        <w:jc w:val="right"/>
        <w:rPr>
          <w:rFonts w:ascii="Times New Roman" w:hAnsi="Times New Roman"/>
          <w:b/>
          <w:bCs/>
          <w:sz w:val="24"/>
        </w:rPr>
      </w:pPr>
      <w:r>
        <w:rPr>
          <w:rFonts w:ascii="Times New Roman" w:hAnsi="Times New Roman"/>
          <w:b/>
          <w:bCs/>
          <w:sz w:val="24"/>
        </w:rPr>
        <w:t>PAGE</w:t>
      </w:r>
    </w:p>
    <w:p w:rsidR="00841E5F" w:rsidRPr="00841E5F" w:rsidP="00841E5F">
      <w:pPr>
        <w:pStyle w:val="HTMLPreformatted"/>
        <w:jc w:val="right"/>
        <w:rPr>
          <w:rFonts w:ascii="Times New Roman" w:hAnsi="Times New Roman"/>
          <w:b/>
          <w:bCs/>
          <w:sz w:val="24"/>
        </w:rPr>
      </w:pPr>
    </w:p>
    <w:p w:rsidR="00DB1C53" w:rsidP="00DB1C53">
      <w:pPr>
        <w:pStyle w:val="TOC1"/>
        <w:rPr>
          <w:rFonts w:asciiTheme="minorHAnsi" w:eastAsiaTheme="minorEastAsia" w:hAnsiTheme="minorHAnsi" w:cstheme="minorBidi"/>
          <w:noProof/>
          <w:sz w:val="22"/>
          <w:szCs w:val="22"/>
        </w:rPr>
      </w:pPr>
      <w:r>
        <w:rPr>
          <w:b/>
          <w:bCs/>
        </w:rPr>
        <w:fldChar w:fldCharType="begin"/>
      </w:r>
      <w:r>
        <w:rPr>
          <w:b/>
          <w:bCs/>
        </w:rPr>
        <w:instrText xml:space="preserve"> TOC \o "1-3" \h \z \u </w:instrText>
      </w:r>
      <w:r>
        <w:rPr>
          <w:b/>
          <w:bCs/>
        </w:rPr>
        <w:fldChar w:fldCharType="separate"/>
      </w:r>
      <w:hyperlink w:anchor="_Toc42694216" w:history="1">
        <w:r w:rsidRPr="00C410BE">
          <w:rPr>
            <w:rStyle w:val="Hyperlink"/>
            <w:noProof/>
          </w:rPr>
          <w:t>I.</w:t>
        </w:r>
        <w:r>
          <w:rPr>
            <w:rFonts w:asciiTheme="minorHAnsi" w:eastAsiaTheme="minorEastAsia" w:hAnsiTheme="minorHAnsi" w:cstheme="minorBidi"/>
            <w:noProof/>
            <w:sz w:val="22"/>
            <w:szCs w:val="22"/>
          </w:rPr>
          <w:tab/>
        </w:r>
        <w:r w:rsidRPr="00C410BE">
          <w:rPr>
            <w:rStyle w:val="Hyperlink"/>
            <w:noProof/>
          </w:rPr>
          <w:t>BACKGROUND</w:t>
        </w:r>
        <w:r>
          <w:rPr>
            <w:noProof/>
            <w:webHidden/>
          </w:rPr>
          <w:tab/>
        </w:r>
        <w:r>
          <w:rPr>
            <w:noProof/>
            <w:webHidden/>
          </w:rPr>
          <w:fldChar w:fldCharType="begin"/>
        </w:r>
        <w:r>
          <w:rPr>
            <w:noProof/>
            <w:webHidden/>
          </w:rPr>
          <w:instrText xml:space="preserve"> PAGEREF _Toc42694216 \h </w:instrText>
        </w:r>
        <w:r>
          <w:rPr>
            <w:noProof/>
            <w:webHidden/>
          </w:rPr>
          <w:fldChar w:fldCharType="separate"/>
        </w:r>
        <w:r>
          <w:rPr>
            <w:noProof/>
            <w:webHidden/>
          </w:rPr>
          <w:t>2</w:t>
        </w:r>
        <w:r>
          <w:rPr>
            <w:noProof/>
            <w:webHidden/>
          </w:rPr>
          <w:fldChar w:fldCharType="end"/>
        </w:r>
      </w:hyperlink>
    </w:p>
    <w:p w:rsidR="00DB1C53" w:rsidP="00DB1C53">
      <w:pPr>
        <w:pStyle w:val="TOC1"/>
        <w:rPr>
          <w:rFonts w:asciiTheme="minorHAnsi" w:eastAsiaTheme="minorEastAsia" w:hAnsiTheme="minorHAnsi" w:cstheme="minorBidi"/>
          <w:noProof/>
          <w:sz w:val="22"/>
          <w:szCs w:val="22"/>
        </w:rPr>
      </w:pPr>
      <w:hyperlink w:anchor="_Toc42694217" w:history="1">
        <w:r w:rsidRPr="00C410BE">
          <w:rPr>
            <w:rStyle w:val="Hyperlink"/>
            <w:noProof/>
          </w:rPr>
          <w:t>II.</w:t>
        </w:r>
        <w:r>
          <w:rPr>
            <w:rFonts w:asciiTheme="minorHAnsi" w:eastAsiaTheme="minorEastAsia" w:hAnsiTheme="minorHAnsi" w:cstheme="minorBidi"/>
            <w:noProof/>
            <w:sz w:val="22"/>
            <w:szCs w:val="22"/>
          </w:rPr>
          <w:tab/>
        </w:r>
        <w:r w:rsidRPr="00C410BE">
          <w:rPr>
            <w:rStyle w:val="Hyperlink"/>
            <w:noProof/>
          </w:rPr>
          <w:t>OBJECTIONS</w:t>
        </w:r>
        <w:r>
          <w:rPr>
            <w:noProof/>
            <w:webHidden/>
          </w:rPr>
          <w:tab/>
        </w:r>
        <w:r>
          <w:rPr>
            <w:noProof/>
            <w:webHidden/>
          </w:rPr>
          <w:fldChar w:fldCharType="begin"/>
        </w:r>
        <w:r>
          <w:rPr>
            <w:noProof/>
            <w:webHidden/>
          </w:rPr>
          <w:instrText xml:space="preserve"> PAGEREF _Toc42694217 \h </w:instrText>
        </w:r>
        <w:r>
          <w:rPr>
            <w:noProof/>
            <w:webHidden/>
          </w:rPr>
          <w:fldChar w:fldCharType="separate"/>
        </w:r>
        <w:r>
          <w:rPr>
            <w:noProof/>
            <w:webHidden/>
          </w:rPr>
          <w:t>5</w:t>
        </w:r>
        <w:r>
          <w:rPr>
            <w:noProof/>
            <w:webHidden/>
          </w:rPr>
          <w:fldChar w:fldCharType="end"/>
        </w:r>
      </w:hyperlink>
    </w:p>
    <w:p w:rsidR="00DB1C53" w:rsidP="00DB1C53">
      <w:pPr>
        <w:pStyle w:val="TOC2"/>
        <w:ind w:left="2126" w:hanging="1406"/>
        <w:rPr>
          <w:rFonts w:asciiTheme="minorHAnsi" w:eastAsiaTheme="minorEastAsia" w:hAnsiTheme="minorHAnsi" w:cstheme="minorBidi"/>
          <w:noProof/>
          <w:sz w:val="22"/>
          <w:szCs w:val="22"/>
        </w:rPr>
      </w:pPr>
      <w:hyperlink w:anchor="_Toc42694218" w:history="1">
        <w:r w:rsidRPr="00C410BE">
          <w:rPr>
            <w:rStyle w:val="Hyperlink"/>
            <w:noProof/>
          </w:rPr>
          <w:t>Objection 1.</w:t>
        </w:r>
        <w:r>
          <w:rPr>
            <w:rFonts w:asciiTheme="minorHAnsi" w:eastAsiaTheme="minorEastAsia" w:hAnsiTheme="minorHAnsi" w:cstheme="minorBidi"/>
            <w:noProof/>
            <w:sz w:val="22"/>
            <w:szCs w:val="22"/>
          </w:rPr>
          <w:tab/>
        </w:r>
        <w:r w:rsidRPr="00C410BE">
          <w:rPr>
            <w:rStyle w:val="Hyperlink"/>
            <w:noProof/>
          </w:rPr>
          <w:t>To protect consumers, the Staff Report should have recommended that customers not pay new charges until after the coronavirus emergency is over (and not pay new charges for a reasonable time after).</w:t>
        </w:r>
        <w:r>
          <w:rPr>
            <w:noProof/>
            <w:webHidden/>
          </w:rPr>
          <w:tab/>
        </w:r>
        <w:r>
          <w:rPr>
            <w:noProof/>
            <w:webHidden/>
          </w:rPr>
          <w:fldChar w:fldCharType="begin"/>
        </w:r>
        <w:r>
          <w:rPr>
            <w:noProof/>
            <w:webHidden/>
          </w:rPr>
          <w:instrText xml:space="preserve"> PAGEREF _Toc42694218 \h </w:instrText>
        </w:r>
        <w:r>
          <w:rPr>
            <w:noProof/>
            <w:webHidden/>
          </w:rPr>
          <w:fldChar w:fldCharType="separate"/>
        </w:r>
        <w:r>
          <w:rPr>
            <w:noProof/>
            <w:webHidden/>
          </w:rPr>
          <w:t>5</w:t>
        </w:r>
        <w:r>
          <w:rPr>
            <w:noProof/>
            <w:webHidden/>
          </w:rPr>
          <w:fldChar w:fldCharType="end"/>
        </w:r>
      </w:hyperlink>
    </w:p>
    <w:p w:rsidR="00DB1C53" w:rsidP="00DB1C53">
      <w:pPr>
        <w:pStyle w:val="TOC2"/>
        <w:ind w:left="2126" w:hanging="1406"/>
        <w:rPr>
          <w:rFonts w:asciiTheme="minorHAnsi" w:eastAsiaTheme="minorEastAsia" w:hAnsiTheme="minorHAnsi" w:cstheme="minorBidi"/>
          <w:noProof/>
          <w:sz w:val="22"/>
          <w:szCs w:val="22"/>
        </w:rPr>
      </w:pPr>
      <w:hyperlink w:anchor="_Toc42694219" w:history="1">
        <w:r w:rsidRPr="00C410BE">
          <w:rPr>
            <w:rStyle w:val="Hyperlink"/>
            <w:noProof/>
          </w:rPr>
          <w:t>Objection 2.</w:t>
        </w:r>
        <w:r>
          <w:rPr>
            <w:rFonts w:asciiTheme="minorHAnsi" w:eastAsiaTheme="minorEastAsia" w:hAnsiTheme="minorHAnsi" w:cstheme="minorBidi"/>
            <w:noProof/>
            <w:sz w:val="22"/>
            <w:szCs w:val="22"/>
          </w:rPr>
          <w:tab/>
        </w:r>
        <w:r w:rsidRPr="00C410BE">
          <w:rPr>
            <w:rStyle w:val="Hyperlink"/>
            <w:noProof/>
          </w:rPr>
          <w:t>The Staff Report properly recommended limits on increases to charges to customers under Rider CEP, but to better protect consumers, the limit should be based on annual investment as opposed to a rate cap.</w:t>
        </w:r>
        <w:r>
          <w:rPr>
            <w:noProof/>
            <w:webHidden/>
          </w:rPr>
          <w:tab/>
        </w:r>
        <w:r>
          <w:rPr>
            <w:noProof/>
            <w:webHidden/>
          </w:rPr>
          <w:fldChar w:fldCharType="begin"/>
        </w:r>
        <w:r>
          <w:rPr>
            <w:noProof/>
            <w:webHidden/>
          </w:rPr>
          <w:instrText xml:space="preserve"> PAGEREF _Toc42694219 \h </w:instrText>
        </w:r>
        <w:r>
          <w:rPr>
            <w:noProof/>
            <w:webHidden/>
          </w:rPr>
          <w:fldChar w:fldCharType="separate"/>
        </w:r>
        <w:r>
          <w:rPr>
            <w:noProof/>
            <w:webHidden/>
          </w:rPr>
          <w:t>6</w:t>
        </w:r>
        <w:r>
          <w:rPr>
            <w:noProof/>
            <w:webHidden/>
          </w:rPr>
          <w:fldChar w:fldCharType="end"/>
        </w:r>
      </w:hyperlink>
    </w:p>
    <w:p w:rsidR="00DB1C53" w:rsidP="00DB1C53">
      <w:pPr>
        <w:pStyle w:val="TOC2"/>
        <w:ind w:left="2126" w:hanging="1406"/>
        <w:rPr>
          <w:rFonts w:asciiTheme="minorHAnsi" w:eastAsiaTheme="minorEastAsia" w:hAnsiTheme="minorHAnsi" w:cstheme="minorBidi"/>
          <w:noProof/>
          <w:sz w:val="22"/>
          <w:szCs w:val="22"/>
        </w:rPr>
      </w:pPr>
      <w:hyperlink w:anchor="_Toc42694220" w:history="1">
        <w:r w:rsidRPr="00C410BE">
          <w:rPr>
            <w:rStyle w:val="Hyperlink"/>
            <w:noProof/>
          </w:rPr>
          <w:t>Objection 3.</w:t>
        </w:r>
        <w:r>
          <w:rPr>
            <w:rFonts w:asciiTheme="minorHAnsi" w:eastAsiaTheme="minorEastAsia" w:hAnsiTheme="minorHAnsi" w:cstheme="minorBidi"/>
            <w:noProof/>
            <w:sz w:val="22"/>
            <w:szCs w:val="22"/>
          </w:rPr>
          <w:tab/>
        </w:r>
        <w:r w:rsidRPr="00C410BE">
          <w:rPr>
            <w:rStyle w:val="Hyperlink"/>
            <w:noProof/>
          </w:rPr>
          <w:t>The Staff Report should have recommended that plant in service and depreciation reserve adjustments be made now for the benefit of customers, rather than waiting until a future rate case.</w:t>
        </w:r>
        <w:r>
          <w:rPr>
            <w:noProof/>
            <w:webHidden/>
          </w:rPr>
          <w:tab/>
        </w:r>
        <w:r>
          <w:rPr>
            <w:noProof/>
            <w:webHidden/>
          </w:rPr>
          <w:fldChar w:fldCharType="begin"/>
        </w:r>
        <w:r>
          <w:rPr>
            <w:noProof/>
            <w:webHidden/>
          </w:rPr>
          <w:instrText xml:space="preserve"> PAGEREF _Toc42694220 \h </w:instrText>
        </w:r>
        <w:r>
          <w:rPr>
            <w:noProof/>
            <w:webHidden/>
          </w:rPr>
          <w:fldChar w:fldCharType="separate"/>
        </w:r>
        <w:r>
          <w:rPr>
            <w:noProof/>
            <w:webHidden/>
          </w:rPr>
          <w:t>8</w:t>
        </w:r>
        <w:r>
          <w:rPr>
            <w:noProof/>
            <w:webHidden/>
          </w:rPr>
          <w:fldChar w:fldCharType="end"/>
        </w:r>
      </w:hyperlink>
    </w:p>
    <w:p w:rsidR="00DB1C53" w:rsidP="00DB1C53">
      <w:pPr>
        <w:pStyle w:val="TOC2"/>
        <w:ind w:left="2126" w:hanging="1406"/>
        <w:rPr>
          <w:rFonts w:asciiTheme="minorHAnsi" w:eastAsiaTheme="minorEastAsia" w:hAnsiTheme="minorHAnsi" w:cstheme="minorBidi"/>
          <w:noProof/>
          <w:sz w:val="22"/>
          <w:szCs w:val="22"/>
        </w:rPr>
      </w:pPr>
      <w:hyperlink w:anchor="_Toc42694221" w:history="1">
        <w:r w:rsidRPr="00C410BE">
          <w:rPr>
            <w:rStyle w:val="Hyperlink"/>
            <w:noProof/>
          </w:rPr>
          <w:t>Objection 4.</w:t>
        </w:r>
        <w:r>
          <w:rPr>
            <w:rFonts w:asciiTheme="minorHAnsi" w:eastAsiaTheme="minorEastAsia" w:hAnsiTheme="minorHAnsi" w:cstheme="minorBidi"/>
            <w:noProof/>
            <w:sz w:val="22"/>
            <w:szCs w:val="22"/>
          </w:rPr>
          <w:tab/>
        </w:r>
        <w:r w:rsidRPr="00C410BE">
          <w:rPr>
            <w:rStyle w:val="Hyperlink"/>
            <w:noProof/>
          </w:rPr>
          <w:t>To protect consumers, any charges to customers under Rider CEP should be calculated using the most recently available customer count.</w:t>
        </w:r>
        <w:r>
          <w:rPr>
            <w:noProof/>
            <w:webHidden/>
          </w:rPr>
          <w:tab/>
        </w:r>
        <w:r>
          <w:rPr>
            <w:noProof/>
            <w:webHidden/>
          </w:rPr>
          <w:fldChar w:fldCharType="begin"/>
        </w:r>
        <w:r>
          <w:rPr>
            <w:noProof/>
            <w:webHidden/>
          </w:rPr>
          <w:instrText xml:space="preserve"> PAGEREF _Toc42694221 \h </w:instrText>
        </w:r>
        <w:r>
          <w:rPr>
            <w:noProof/>
            <w:webHidden/>
          </w:rPr>
          <w:fldChar w:fldCharType="separate"/>
        </w:r>
        <w:r>
          <w:rPr>
            <w:noProof/>
            <w:webHidden/>
          </w:rPr>
          <w:t>9</w:t>
        </w:r>
        <w:r>
          <w:rPr>
            <w:noProof/>
            <w:webHidden/>
          </w:rPr>
          <w:fldChar w:fldCharType="end"/>
        </w:r>
      </w:hyperlink>
    </w:p>
    <w:p w:rsidR="00DB1C53" w:rsidP="00DB1C53">
      <w:pPr>
        <w:pStyle w:val="TOC2"/>
        <w:ind w:left="2126" w:hanging="1406"/>
        <w:rPr>
          <w:rFonts w:asciiTheme="minorHAnsi" w:eastAsiaTheme="minorEastAsia" w:hAnsiTheme="minorHAnsi" w:cstheme="minorBidi"/>
          <w:noProof/>
          <w:sz w:val="22"/>
          <w:szCs w:val="22"/>
        </w:rPr>
      </w:pPr>
      <w:hyperlink w:anchor="_Toc42694222" w:history="1">
        <w:r w:rsidRPr="00C410BE">
          <w:rPr>
            <w:rStyle w:val="Hyperlink"/>
            <w:noProof/>
          </w:rPr>
          <w:t>Objection 5.</w:t>
        </w:r>
        <w:r>
          <w:rPr>
            <w:rFonts w:asciiTheme="minorHAnsi" w:eastAsiaTheme="minorEastAsia" w:hAnsiTheme="minorHAnsi" w:cstheme="minorBidi"/>
            <w:noProof/>
            <w:sz w:val="22"/>
            <w:szCs w:val="22"/>
          </w:rPr>
          <w:tab/>
        </w:r>
        <w:r w:rsidRPr="00C410BE">
          <w:rPr>
            <w:rStyle w:val="Hyperlink"/>
            <w:noProof/>
          </w:rPr>
          <w:t>Dominion’s replacement of its older infrastructure should result in operational savings, and those operational savings should be passed on to customers through an offset to the CEP Rider.</w:t>
        </w:r>
        <w:r>
          <w:rPr>
            <w:noProof/>
            <w:webHidden/>
          </w:rPr>
          <w:tab/>
        </w:r>
        <w:r>
          <w:rPr>
            <w:noProof/>
            <w:webHidden/>
          </w:rPr>
          <w:fldChar w:fldCharType="begin"/>
        </w:r>
        <w:r>
          <w:rPr>
            <w:noProof/>
            <w:webHidden/>
          </w:rPr>
          <w:instrText xml:space="preserve"> PAGEREF _Toc42694222 \h </w:instrText>
        </w:r>
        <w:r>
          <w:rPr>
            <w:noProof/>
            <w:webHidden/>
          </w:rPr>
          <w:fldChar w:fldCharType="separate"/>
        </w:r>
        <w:r>
          <w:rPr>
            <w:noProof/>
            <w:webHidden/>
          </w:rPr>
          <w:t>10</w:t>
        </w:r>
        <w:r>
          <w:rPr>
            <w:noProof/>
            <w:webHidden/>
          </w:rPr>
          <w:fldChar w:fldCharType="end"/>
        </w:r>
      </w:hyperlink>
    </w:p>
    <w:p w:rsidR="00DB1C53" w:rsidP="00DB1C53">
      <w:pPr>
        <w:pStyle w:val="TOC2"/>
        <w:ind w:left="2126" w:hanging="1406"/>
        <w:rPr>
          <w:rFonts w:asciiTheme="minorHAnsi" w:eastAsiaTheme="minorEastAsia" w:hAnsiTheme="minorHAnsi" w:cstheme="minorBidi"/>
          <w:noProof/>
          <w:sz w:val="22"/>
          <w:szCs w:val="22"/>
        </w:rPr>
      </w:pPr>
      <w:hyperlink w:anchor="_Toc42694223" w:history="1">
        <w:r w:rsidRPr="00C410BE">
          <w:rPr>
            <w:rStyle w:val="Hyperlink"/>
            <w:noProof/>
          </w:rPr>
          <w:t>Objection 6.</w:t>
        </w:r>
        <w:r>
          <w:rPr>
            <w:rFonts w:asciiTheme="minorHAnsi" w:eastAsiaTheme="minorEastAsia" w:hAnsiTheme="minorHAnsi" w:cstheme="minorBidi"/>
            <w:noProof/>
            <w:sz w:val="22"/>
            <w:szCs w:val="22"/>
          </w:rPr>
          <w:tab/>
        </w:r>
        <w:r w:rsidRPr="00C410BE">
          <w:rPr>
            <w:rStyle w:val="Hyperlink"/>
            <w:noProof/>
          </w:rPr>
          <w:t>To protect consumers, the PUCO should reduce the rate of return that Dominion proposes to charge customers (9.91% before tax) because it is too high under current circumstances.</w:t>
        </w:r>
        <w:r>
          <w:rPr>
            <w:noProof/>
            <w:webHidden/>
          </w:rPr>
          <w:tab/>
        </w:r>
        <w:r>
          <w:rPr>
            <w:noProof/>
            <w:webHidden/>
          </w:rPr>
          <w:fldChar w:fldCharType="begin"/>
        </w:r>
        <w:r>
          <w:rPr>
            <w:noProof/>
            <w:webHidden/>
          </w:rPr>
          <w:instrText xml:space="preserve"> PAGEREF _Toc42694223 \h </w:instrText>
        </w:r>
        <w:r>
          <w:rPr>
            <w:noProof/>
            <w:webHidden/>
          </w:rPr>
          <w:fldChar w:fldCharType="separate"/>
        </w:r>
        <w:r>
          <w:rPr>
            <w:noProof/>
            <w:webHidden/>
          </w:rPr>
          <w:t>11</w:t>
        </w:r>
        <w:r>
          <w:rPr>
            <w:noProof/>
            <w:webHidden/>
          </w:rPr>
          <w:fldChar w:fldCharType="end"/>
        </w:r>
      </w:hyperlink>
    </w:p>
    <w:p w:rsidR="00DB1C53" w:rsidP="00DB1C53">
      <w:pPr>
        <w:pStyle w:val="TOC1"/>
        <w:rPr>
          <w:rFonts w:asciiTheme="minorHAnsi" w:eastAsiaTheme="minorEastAsia" w:hAnsiTheme="minorHAnsi" w:cstheme="minorBidi"/>
          <w:noProof/>
          <w:sz w:val="22"/>
          <w:szCs w:val="22"/>
        </w:rPr>
      </w:pPr>
      <w:hyperlink w:anchor="_Toc42694224" w:history="1">
        <w:r w:rsidRPr="00C410BE">
          <w:rPr>
            <w:rStyle w:val="Hyperlink"/>
            <w:noProof/>
          </w:rPr>
          <w:t>III.</w:t>
        </w:r>
        <w:r>
          <w:rPr>
            <w:rFonts w:asciiTheme="minorHAnsi" w:eastAsiaTheme="minorEastAsia" w:hAnsiTheme="minorHAnsi" w:cstheme="minorBidi"/>
            <w:noProof/>
            <w:sz w:val="22"/>
            <w:szCs w:val="22"/>
          </w:rPr>
          <w:tab/>
        </w:r>
        <w:r w:rsidRPr="00C410BE">
          <w:rPr>
            <w:rStyle w:val="Hyperlink"/>
            <w:noProof/>
          </w:rPr>
          <w:t>CONCLUSION</w:t>
        </w:r>
        <w:r>
          <w:rPr>
            <w:noProof/>
            <w:webHidden/>
          </w:rPr>
          <w:tab/>
        </w:r>
        <w:r>
          <w:rPr>
            <w:noProof/>
            <w:webHidden/>
          </w:rPr>
          <w:fldChar w:fldCharType="begin"/>
        </w:r>
        <w:r>
          <w:rPr>
            <w:noProof/>
            <w:webHidden/>
          </w:rPr>
          <w:instrText xml:space="preserve"> PAGEREF _Toc42694224 \h </w:instrText>
        </w:r>
        <w:r>
          <w:rPr>
            <w:noProof/>
            <w:webHidden/>
          </w:rPr>
          <w:fldChar w:fldCharType="separate"/>
        </w:r>
        <w:r>
          <w:rPr>
            <w:noProof/>
            <w:webHidden/>
          </w:rPr>
          <w:t>12</w:t>
        </w:r>
        <w:r>
          <w:rPr>
            <w:noProof/>
            <w:webHidden/>
          </w:rPr>
          <w:fldChar w:fldCharType="end"/>
        </w:r>
      </w:hyperlink>
    </w:p>
    <w:p w:rsidR="00841E5F" w:rsidP="00D4185C">
      <w:pPr>
        <w:pStyle w:val="HTMLPreformatted"/>
        <w:jc w:val="center"/>
        <w:rPr>
          <w:rFonts w:ascii="Times New Roman" w:hAnsi="Times New Roman"/>
          <w:b/>
          <w:bCs/>
          <w:sz w:val="24"/>
        </w:rPr>
      </w:pPr>
      <w:r>
        <w:rPr>
          <w:rFonts w:ascii="Times New Roman" w:hAnsi="Times New Roman"/>
          <w:b/>
          <w:bCs/>
          <w:sz w:val="24"/>
        </w:rPr>
        <w:fldChar w:fldCharType="end"/>
      </w:r>
    </w:p>
    <w:p w:rsidR="00920B1D" w:rsidP="00D4185C">
      <w:pPr>
        <w:pStyle w:val="HTMLPreformatted"/>
        <w:jc w:val="center"/>
        <w:rPr>
          <w:rFonts w:ascii="Times New Roman" w:hAnsi="Times New Roman"/>
          <w:b/>
          <w:bCs/>
          <w:sz w:val="24"/>
        </w:rPr>
      </w:pPr>
    </w:p>
    <w:p w:rsidR="00841E5F" w:rsidP="00D4185C">
      <w:pPr>
        <w:pStyle w:val="HTMLPreformatted"/>
        <w:jc w:val="center"/>
        <w:rPr>
          <w:rFonts w:ascii="Times New Roman" w:hAnsi="Times New Roman"/>
          <w:b/>
          <w:bCs/>
          <w:sz w:val="24"/>
        </w:rPr>
        <w:sectPr w:rsidSect="0080038A">
          <w:footerReference w:type="first" r:id="rId9"/>
          <w:pgSz w:w="12240" w:h="15840"/>
          <w:pgMar w:top="1440" w:right="1440" w:bottom="1440" w:left="1440" w:header="720" w:footer="720" w:gutter="0"/>
          <w:pgNumType w:fmt="lowerRoman" w:start="1"/>
          <w:cols w:space="720"/>
          <w:titlePg/>
          <w:docGrid w:linePitch="326"/>
        </w:sectPr>
      </w:pPr>
    </w:p>
    <w:p w:rsidR="00836BDA" w:rsidP="00D4185C">
      <w:pPr>
        <w:pStyle w:val="HTMLPreformatted"/>
        <w:jc w:val="center"/>
        <w:rPr>
          <w:rFonts w:ascii="Times New Roman" w:hAnsi="Times New Roman"/>
          <w:b/>
          <w:bCs/>
          <w:sz w:val="24"/>
        </w:rPr>
      </w:pPr>
      <w:r>
        <w:rPr>
          <w:rFonts w:ascii="Times New Roman" w:hAnsi="Times New Roman"/>
          <w:b/>
          <w:bCs/>
          <w:sz w:val="24"/>
        </w:rPr>
        <w:t>BEFORE</w:t>
      </w:r>
    </w:p>
    <w:p w:rsidR="00836BDA" w:rsidP="00D4185C">
      <w:pPr>
        <w:pStyle w:val="HTMLPreformatted"/>
        <w:jc w:val="center"/>
        <w:rPr>
          <w:rFonts w:ascii="Times New Roman" w:hAnsi="Times New Roman"/>
          <w:sz w:val="24"/>
        </w:rPr>
      </w:pPr>
      <w:r>
        <w:rPr>
          <w:rFonts w:ascii="Times New Roman" w:hAnsi="Times New Roman"/>
          <w:b/>
          <w:bCs/>
          <w:sz w:val="24"/>
        </w:rPr>
        <w:t>THE PUBLIC UTILITIES COMMISSION OF OHIO</w:t>
      </w:r>
    </w:p>
    <w:p w:rsidR="00836BDA" w:rsidP="00D4185C">
      <w:pPr>
        <w:pStyle w:val="HTMLPreformatted"/>
        <w:rPr>
          <w:rFonts w:ascii="Times New Roman" w:hAnsi="Times New Roman"/>
          <w:sz w:val="24"/>
        </w:rPr>
      </w:pPr>
    </w:p>
    <w:tbl>
      <w:tblPr>
        <w:tblW w:w="9468" w:type="dxa"/>
        <w:tblLook w:val="01E0"/>
      </w:tblPr>
      <w:tblGrid>
        <w:gridCol w:w="4669"/>
        <w:gridCol w:w="299"/>
        <w:gridCol w:w="4500"/>
      </w:tblGrid>
      <w:tr w:rsidTr="00CB5D16">
        <w:tblPrEx>
          <w:tblW w:w="9468" w:type="dxa"/>
          <w:tblLook w:val="01E0"/>
        </w:tblPrEx>
        <w:trPr>
          <w:trHeight w:val="807"/>
        </w:trPr>
        <w:tc>
          <w:tcPr>
            <w:tcW w:w="4669" w:type="dxa"/>
            <w:shd w:val="clear" w:color="auto" w:fill="auto"/>
          </w:tcPr>
          <w:p w:rsidR="00836BDA" w:rsidRPr="00A044B5" w:rsidP="00D4185C">
            <w:pPr>
              <w:pStyle w:val="HTMLPreformatted"/>
              <w:rPr>
                <w:rFonts w:ascii="Times New Roman" w:hAnsi="Times New Roman"/>
                <w:sz w:val="24"/>
                <w:szCs w:val="24"/>
              </w:rPr>
            </w:pPr>
            <w:r w:rsidRPr="00A044B5">
              <w:rPr>
                <w:rFonts w:ascii="Times New Roman" w:hAnsi="Times New Roman" w:cs="Times New Roman"/>
                <w:sz w:val="24"/>
                <w:szCs w:val="24"/>
              </w:rPr>
              <w:t>In the Matter of</w:t>
            </w:r>
            <w:r>
              <w:rPr>
                <w:rFonts w:ascii="Times New Roman" w:hAnsi="Times New Roman" w:cs="Times New Roman"/>
                <w:sz w:val="24"/>
                <w:szCs w:val="24"/>
              </w:rPr>
              <w:t xml:space="preserve"> the East Ohio Gas Company d/b/a Dominion Energy Ohio for Approval of an Alternative Form of Regulation.</w:t>
            </w:r>
          </w:p>
        </w:tc>
        <w:tc>
          <w:tcPr>
            <w:tcW w:w="299" w:type="dxa"/>
            <w:shd w:val="clear" w:color="auto" w:fill="auto"/>
          </w:tcPr>
          <w:p w:rsidR="00836BDA" w:rsidRPr="00A044B5" w:rsidP="00D4185C">
            <w:pPr>
              <w:pStyle w:val="HTMLPreformatted"/>
              <w:rPr>
                <w:rFonts w:ascii="Times New Roman" w:hAnsi="Times New Roman"/>
                <w:sz w:val="24"/>
              </w:rPr>
            </w:pPr>
            <w:r w:rsidRPr="00A044B5">
              <w:rPr>
                <w:rFonts w:ascii="Times New Roman" w:hAnsi="Times New Roman"/>
                <w:sz w:val="24"/>
              </w:rPr>
              <w:t>)</w:t>
            </w:r>
          </w:p>
          <w:p w:rsidR="00836BDA" w:rsidRPr="00A044B5" w:rsidP="00D4185C">
            <w:pPr>
              <w:pStyle w:val="HTMLPreformatted"/>
              <w:rPr>
                <w:rFonts w:ascii="Times New Roman" w:hAnsi="Times New Roman"/>
                <w:sz w:val="24"/>
              </w:rPr>
            </w:pPr>
            <w:r w:rsidRPr="00A044B5">
              <w:rPr>
                <w:rFonts w:ascii="Times New Roman" w:hAnsi="Times New Roman"/>
                <w:sz w:val="24"/>
              </w:rPr>
              <w:t>)</w:t>
            </w:r>
          </w:p>
          <w:p w:rsidR="00836BDA" w:rsidRPr="00A044B5" w:rsidP="00D4185C">
            <w:pPr>
              <w:pStyle w:val="HTMLPreformatted"/>
              <w:rPr>
                <w:rFonts w:ascii="Times New Roman" w:hAnsi="Times New Roman"/>
                <w:sz w:val="24"/>
              </w:rPr>
            </w:pPr>
            <w:r w:rsidRPr="00A044B5">
              <w:rPr>
                <w:rFonts w:ascii="Times New Roman" w:hAnsi="Times New Roman"/>
                <w:sz w:val="24"/>
              </w:rPr>
              <w:t>)</w:t>
            </w:r>
          </w:p>
        </w:tc>
        <w:tc>
          <w:tcPr>
            <w:tcW w:w="4500" w:type="dxa"/>
            <w:shd w:val="clear" w:color="auto" w:fill="auto"/>
          </w:tcPr>
          <w:p w:rsidR="00836BDA" w:rsidRPr="00A044B5" w:rsidP="00D4185C">
            <w:pPr>
              <w:pStyle w:val="HTMLPreformatted"/>
              <w:rPr>
                <w:rFonts w:ascii="Times New Roman" w:hAnsi="Times New Roman"/>
                <w:sz w:val="24"/>
              </w:rPr>
            </w:pPr>
          </w:p>
          <w:p w:rsidR="00836BDA" w:rsidRPr="00A044B5" w:rsidP="00D4185C">
            <w:pPr>
              <w:pStyle w:val="HTMLPreformatted"/>
              <w:rPr>
                <w:rFonts w:ascii="Times New Roman" w:hAnsi="Times New Roman"/>
                <w:sz w:val="24"/>
              </w:rPr>
            </w:pPr>
            <w:r w:rsidRPr="00A044B5">
              <w:rPr>
                <w:rFonts w:ascii="Times New Roman" w:hAnsi="Times New Roman"/>
                <w:sz w:val="24"/>
              </w:rPr>
              <w:t xml:space="preserve">Case No. </w:t>
            </w:r>
            <w:r>
              <w:rPr>
                <w:rFonts w:ascii="Times New Roman" w:hAnsi="Times New Roman"/>
                <w:sz w:val="24"/>
              </w:rPr>
              <w:t>19-468-GA-ALT</w:t>
            </w:r>
          </w:p>
          <w:p w:rsidR="00836BDA" w:rsidRPr="00A044B5" w:rsidP="00D4185C">
            <w:pPr>
              <w:pStyle w:val="HTMLPreformatted"/>
              <w:rPr>
                <w:rFonts w:ascii="Times New Roman" w:hAnsi="Times New Roman"/>
                <w:sz w:val="24"/>
              </w:rPr>
            </w:pPr>
          </w:p>
        </w:tc>
      </w:tr>
    </w:tbl>
    <w:p w:rsidR="00836BDA" w:rsidP="00D4185C">
      <w:pPr>
        <w:pStyle w:val="HTMLPreformatted"/>
        <w:rPr>
          <w:rFonts w:ascii="Times New Roman" w:hAnsi="Times New Roman"/>
          <w:sz w:val="24"/>
        </w:rPr>
      </w:pPr>
    </w:p>
    <w:p w:rsidR="00836BDA" w:rsidP="00D4185C">
      <w:pPr>
        <w:pStyle w:val="HTMLPreformatted"/>
        <w:pBdr>
          <w:top w:val="single" w:sz="12" w:space="1" w:color="auto"/>
        </w:pBdr>
        <w:rPr>
          <w:rFonts w:ascii="Times New Roman" w:hAnsi="Times New Roman"/>
          <w:sz w:val="24"/>
        </w:rPr>
      </w:pPr>
    </w:p>
    <w:p w:rsidR="00836BDA" w:rsidP="00D4185C">
      <w:pPr>
        <w:jc w:val="center"/>
        <w:rPr>
          <w:b/>
          <w:bCs/>
        </w:rPr>
      </w:pPr>
      <w:r>
        <w:rPr>
          <w:b/>
          <w:bCs/>
        </w:rPr>
        <w:t>OBJECTIONS</w:t>
      </w:r>
    </w:p>
    <w:p w:rsidR="00836BDA" w:rsidP="00D4185C">
      <w:pPr>
        <w:jc w:val="center"/>
        <w:rPr>
          <w:b/>
          <w:bCs/>
        </w:rPr>
      </w:pPr>
      <w:r>
        <w:rPr>
          <w:b/>
          <w:bCs/>
        </w:rPr>
        <w:t>BY</w:t>
      </w:r>
    </w:p>
    <w:p w:rsidR="00836BDA" w:rsidP="00D4185C">
      <w:pPr>
        <w:jc w:val="center"/>
        <w:rPr>
          <w:b/>
          <w:bCs/>
        </w:rPr>
      </w:pPr>
      <w:r>
        <w:rPr>
          <w:b/>
          <w:bCs/>
        </w:rPr>
        <w:t>THE OFFICE OF THE OHIO CONSUMERS’ COUNSEL</w:t>
      </w:r>
    </w:p>
    <w:p w:rsidR="00836BDA" w:rsidP="00D4185C">
      <w:pPr>
        <w:pBdr>
          <w:bottom w:val="single" w:sz="12" w:space="1" w:color="auto"/>
        </w:pBdr>
        <w:tabs>
          <w:tab w:val="left" w:pos="4320"/>
        </w:tabs>
      </w:pPr>
    </w:p>
    <w:p w:rsidR="00836BDA" w:rsidP="00D4185C">
      <w:pPr>
        <w:tabs>
          <w:tab w:val="left" w:pos="4320"/>
        </w:tabs>
      </w:pPr>
    </w:p>
    <w:p w:rsidR="00DC61DF" w:rsidP="00D4185C">
      <w:pPr>
        <w:pStyle w:val="BodyTextIndent3"/>
        <w:spacing w:line="480" w:lineRule="auto"/>
      </w:pPr>
      <w:r>
        <w:t xml:space="preserve">Dominion Energy Ohio wants to </w:t>
      </w:r>
      <w:r w:rsidR="00A457B3">
        <w:t xml:space="preserve">increase </w:t>
      </w:r>
      <w:r>
        <w:t>its customers</w:t>
      </w:r>
      <w:r w:rsidR="00BC170B">
        <w:t>’</w:t>
      </w:r>
      <w:r>
        <w:t xml:space="preserve"> bills</w:t>
      </w:r>
      <w:r w:rsidR="00A457B3">
        <w:t xml:space="preserve"> with a new charge</w:t>
      </w:r>
      <w:r w:rsidR="002054C3">
        <w:t xml:space="preserve"> (a so-called “capital expenditure program rider”</w:t>
      </w:r>
      <w:r w:rsidR="005A2A37">
        <w:t xml:space="preserve"> or “CEP Rider”</w:t>
      </w:r>
      <w:r w:rsidR="002054C3">
        <w:t>)</w:t>
      </w:r>
      <w:r w:rsidR="001450FB">
        <w:t>, starting at nearly $50 per year and to be increased annually,</w:t>
      </w:r>
      <w:r>
        <w:t xml:space="preserve"> to pay for capital investments it made from 2011 to 2018.</w:t>
      </w:r>
      <w:r w:rsidR="007644B2">
        <w:t xml:space="preserve"> Already, Dominion is charging</w:t>
      </w:r>
      <w:r w:rsidR="00326FA5">
        <w:t xml:space="preserve"> its 1.</w:t>
      </w:r>
      <w:r w:rsidR="00D4185C">
        <w:t>1</w:t>
      </w:r>
      <w:r w:rsidR="00326FA5">
        <w:t xml:space="preserve"> million </w:t>
      </w:r>
      <w:r w:rsidR="00D4185C">
        <w:t xml:space="preserve">residential </w:t>
      </w:r>
      <w:r w:rsidR="00326FA5">
        <w:t>consumers</w:t>
      </w:r>
      <w:r w:rsidR="0083461E">
        <w:t xml:space="preserve"> $</w:t>
      </w:r>
      <w:r w:rsidR="00D4185C">
        <w:t xml:space="preserve">13.45 </w:t>
      </w:r>
      <w:r w:rsidR="0083461E">
        <w:t xml:space="preserve">monthly </w:t>
      </w:r>
      <w:r w:rsidR="00326FA5">
        <w:t xml:space="preserve">for </w:t>
      </w:r>
      <w:r w:rsidR="00E951E7">
        <w:t xml:space="preserve">a </w:t>
      </w:r>
      <w:r w:rsidR="00326FA5">
        <w:t>pipeline replacement</w:t>
      </w:r>
      <w:r w:rsidR="00E951E7">
        <w:t xml:space="preserve"> charge</w:t>
      </w:r>
      <w:r w:rsidR="00326FA5">
        <w:t>. Th</w:t>
      </w:r>
      <w:r w:rsidR="0083461E">
        <w:t>e</w:t>
      </w:r>
      <w:r w:rsidR="00326FA5">
        <w:t xml:space="preserve"> new charge</w:t>
      </w:r>
      <w:r w:rsidR="002C6022">
        <w:t xml:space="preserve"> (a so-called “rider”)</w:t>
      </w:r>
      <w:r w:rsidR="00326FA5">
        <w:t xml:space="preserve"> is for other pipelines and additional costs including for information technology, software, training facilities, other things. </w:t>
      </w:r>
      <w:r w:rsidR="00DB2909">
        <w:t xml:space="preserve">Dominion is asking to increase charges </w:t>
      </w:r>
      <w:r w:rsidR="001450FB">
        <w:t xml:space="preserve">to its million consumers </w:t>
      </w:r>
      <w:r>
        <w:t xml:space="preserve">right when </w:t>
      </w:r>
      <w:r w:rsidR="001450FB">
        <w:t xml:space="preserve">they </w:t>
      </w:r>
      <w:r w:rsidR="00F87C07">
        <w:t xml:space="preserve">are facing the challenges of a once-in-a-lifetime health and financial emergency resulting from the coronavirus. </w:t>
      </w:r>
      <w:r w:rsidR="00592F22">
        <w:t>Now is not the time for t</w:t>
      </w:r>
      <w:r w:rsidR="001450FB">
        <w:t xml:space="preserve">he Public Utilities Commission of Ohio (“PUCO”) </w:t>
      </w:r>
      <w:r w:rsidR="00592F22">
        <w:t>to</w:t>
      </w:r>
      <w:r w:rsidR="001450FB">
        <w:t xml:space="preserve"> approve th</w:t>
      </w:r>
      <w:r w:rsidR="002C6022">
        <w:t>is</w:t>
      </w:r>
      <w:r w:rsidR="001450FB">
        <w:t xml:space="preserve"> new charge</w:t>
      </w:r>
      <w:r w:rsidR="0083461E">
        <w:t xml:space="preserve"> to consumers</w:t>
      </w:r>
      <w:r w:rsidR="00A457B3">
        <w:t xml:space="preserve">. If the PUCO does allow any part of Dominion’s rate increase, then the PUCO should also order </w:t>
      </w:r>
      <w:r w:rsidR="00F87C07">
        <w:t>certain consumer</w:t>
      </w:r>
      <w:r w:rsidR="0083461E">
        <w:t xml:space="preserve"> </w:t>
      </w:r>
      <w:r w:rsidR="00F87C07">
        <w:t>protection</w:t>
      </w:r>
      <w:r w:rsidR="008539FB">
        <w:t>s</w:t>
      </w:r>
      <w:r w:rsidR="00D875C7">
        <w:t xml:space="preserve"> that are expanded upon in OCC’s objections below</w:t>
      </w:r>
      <w:r w:rsidR="00F87C07">
        <w:t>.</w:t>
      </w:r>
    </w:p>
    <w:p w:rsidR="00C0060E" w:rsidP="00EF4251">
      <w:pPr>
        <w:pStyle w:val="BodyTextIndent3"/>
        <w:spacing w:line="480" w:lineRule="auto"/>
      </w:pPr>
      <w:r>
        <w:t>The Office of the Ohio Consumers’ Counsel (“OCC”) respectfully requests that the PUCO adopt the following recommendations to protect Dominion’s residential customers from paying unjust and unreasonable rates.</w:t>
      </w:r>
    </w:p>
    <w:p w:rsidR="00C0060E" w:rsidP="00D4185C">
      <w:pPr>
        <w:pStyle w:val="BodyTextIndent3"/>
        <w:spacing w:line="480" w:lineRule="auto"/>
        <w:ind w:right="-312"/>
      </w:pPr>
    </w:p>
    <w:p w:rsidR="00C0060E" w:rsidP="00D4185C">
      <w:pPr>
        <w:pStyle w:val="BodyTextIndent3"/>
        <w:spacing w:line="480" w:lineRule="auto"/>
        <w:ind w:right="-312"/>
        <w:sectPr w:rsidSect="00AB22E0">
          <w:footerReference w:type="first" r:id="rId10"/>
          <w:pgSz w:w="12240" w:h="15840"/>
          <w:pgMar w:top="1440" w:right="1440" w:bottom="1440" w:left="1440" w:header="720" w:footer="720" w:gutter="0"/>
          <w:pgNumType w:start="1"/>
          <w:cols w:space="720"/>
          <w:titlePg/>
          <w:docGrid w:linePitch="326"/>
        </w:sectPr>
      </w:pPr>
    </w:p>
    <w:p w:rsidR="004515C4" w:rsidRPr="004515C4" w:rsidP="00EF4251">
      <w:pPr>
        <w:pStyle w:val="Heading1"/>
      </w:pPr>
      <w:bookmarkStart w:id="1" w:name="_Toc42694216"/>
      <w:r>
        <w:t>I.</w:t>
      </w:r>
      <w:r>
        <w:tab/>
        <w:t>BACKGROUND</w:t>
      </w:r>
      <w:bookmarkEnd w:id="1"/>
    </w:p>
    <w:p w:rsidR="006E3F2E" w:rsidP="00D4185C">
      <w:pPr>
        <w:pStyle w:val="BodyTextIndent3"/>
        <w:spacing w:line="480" w:lineRule="auto"/>
      </w:pPr>
      <w:r>
        <w:t xml:space="preserve">Dominion’s capital expenditure program began in late 2011. </w:t>
      </w:r>
      <w:r w:rsidR="00DB2909">
        <w:t>From</w:t>
      </w:r>
      <w:r>
        <w:t xml:space="preserve"> 2011</w:t>
      </w:r>
      <w:r w:rsidR="00890AFE">
        <w:t xml:space="preserve"> through 2018</w:t>
      </w:r>
      <w:r>
        <w:t xml:space="preserve">, Dominion </w:t>
      </w:r>
      <w:r w:rsidR="00DB2909">
        <w:t xml:space="preserve">states that it </w:t>
      </w:r>
      <w:r>
        <w:t>made $723 million in capital investments, including $461 million on infrastructure expansion, improvement, and replacement projects; $62 million on information technology</w:t>
      </w:r>
      <w:r w:rsidR="00166062">
        <w:t>;</w:t>
      </w:r>
      <w:r>
        <w:t xml:space="preserve"> and $200 million on compliance and operations projects</w:t>
      </w:r>
      <w:r w:rsidR="00890AFE">
        <w:t xml:space="preserve"> (collectively</w:t>
      </w:r>
      <w:r w:rsidR="00DB2909">
        <w:t>, the</w:t>
      </w:r>
      <w:r w:rsidR="00CB5D16">
        <w:t xml:space="preserve"> </w:t>
      </w:r>
      <w:r w:rsidR="00890AFE">
        <w:t>“CEP Investments”)</w:t>
      </w:r>
      <w:r>
        <w:t>.</w:t>
      </w:r>
      <w:r>
        <w:rPr>
          <w:rStyle w:val="FootnoteReference"/>
        </w:rPr>
        <w:footnoteReference w:id="2"/>
      </w:r>
      <w:r>
        <w:t xml:space="preserve"> </w:t>
      </w:r>
    </w:p>
    <w:p w:rsidR="006E3F2E" w:rsidP="00D4185C">
      <w:pPr>
        <w:pStyle w:val="BodyTextIndent3"/>
        <w:spacing w:line="480" w:lineRule="auto"/>
      </w:pPr>
      <w:r>
        <w:t xml:space="preserve">Under </w:t>
      </w:r>
      <w:r w:rsidR="00367582">
        <w:t xml:space="preserve">the </w:t>
      </w:r>
      <w:r>
        <w:t>traditional ratemaking</w:t>
      </w:r>
      <w:r w:rsidR="00367582">
        <w:t xml:space="preserve"> that we recommend for consumer protection (instead of the singe-issue approach of this alternative regulation case)</w:t>
      </w:r>
      <w:r>
        <w:t>, Dominion’s shareholders would fund these investments, and Dominion would have the opportunity to earn a return of and on those investments through a base rate case. In such a case, Dominion would need to show that the property was used and useful to customers and that the expenses associated with those investments were</w:t>
      </w:r>
      <w:r w:rsidR="00367582">
        <w:t xml:space="preserve"> necessary for adequate utility service</w:t>
      </w:r>
      <w:r>
        <w:t xml:space="preserve"> </w:t>
      </w:r>
      <w:r w:rsidR="00367582">
        <w:t xml:space="preserve">and </w:t>
      </w:r>
      <w:r>
        <w:t xml:space="preserve">prudently incurred. The PUCO would also review Dominion’s other </w:t>
      </w:r>
      <w:r w:rsidR="00367582">
        <w:t>expenses, revenues</w:t>
      </w:r>
      <w:r w:rsidR="00D4185C">
        <w:t>,</w:t>
      </w:r>
      <w:r w:rsidR="00367582">
        <w:t xml:space="preserve"> and its profit needs </w:t>
      </w:r>
      <w:r>
        <w:t xml:space="preserve">to ensure that customers are </w:t>
      </w:r>
      <w:r w:rsidR="00367582">
        <w:t xml:space="preserve">not made </w:t>
      </w:r>
      <w:r>
        <w:t xml:space="preserve">to </w:t>
      </w:r>
      <w:r w:rsidR="00367582">
        <w:t xml:space="preserve">pay </w:t>
      </w:r>
      <w:r>
        <w:t xml:space="preserve">higher rates </w:t>
      </w:r>
      <w:r w:rsidR="00367582">
        <w:t xml:space="preserve">for a single charge where in total the utility’s charges meet the standards in the law. In other words, a PUCO review of Dominion’s financials and operations for consumers, in total, could include the potential </w:t>
      </w:r>
      <w:r w:rsidR="00D4185C">
        <w:t xml:space="preserve">to </w:t>
      </w:r>
      <w:r w:rsidR="00367582">
        <w:t>reflect offsets to higher rates where costs have been or should have been reduced and/or where the appropriate level of Dominion’s profit should be lower</w:t>
      </w:r>
      <w:r>
        <w:t>.</w:t>
      </w:r>
    </w:p>
    <w:p w:rsidR="006E3F2E" w:rsidP="00D4185C">
      <w:pPr>
        <w:pStyle w:val="BodyTextIndent3"/>
        <w:spacing w:line="480" w:lineRule="auto"/>
      </w:pPr>
      <w:r>
        <w:t xml:space="preserve">Under Ohio’s ratemaking laws, however, utilities benefit from being able to charge customers for capital investments and related expenses without filing a rate case. The utility benefits because it can charge customers more quickly for its new investments. The utility benefits because </w:t>
      </w:r>
      <w:r w:rsidR="000B3D25">
        <w:t xml:space="preserve">the </w:t>
      </w:r>
      <w:r>
        <w:t xml:space="preserve">riders </w:t>
      </w:r>
      <w:r w:rsidR="000B3D25">
        <w:t xml:space="preserve">tend to go primarily </w:t>
      </w:r>
      <w:r>
        <w:t xml:space="preserve">in one direction: </w:t>
      </w:r>
      <w:r w:rsidR="000B3D25">
        <w:t xml:space="preserve">rate increases for </w:t>
      </w:r>
      <w:r>
        <w:t>consumers.</w:t>
      </w:r>
      <w:r w:rsidR="000B3D25">
        <w:t xml:space="preserve"> That is an unfair and losing proposition for Ohio consumers</w:t>
      </w:r>
      <w:r w:rsidR="00D4185C">
        <w:t>—</w:t>
      </w:r>
      <w:r w:rsidR="00474101">
        <w:t>a</w:t>
      </w:r>
      <w:r w:rsidR="000B3D25">
        <w:t xml:space="preserve">nd unfortunately </w:t>
      </w:r>
      <w:r w:rsidR="00474101">
        <w:t>it</w:t>
      </w:r>
      <w:r w:rsidR="000B3D25">
        <w:t xml:space="preserve"> tends to be a feature of alternative regulation.</w:t>
      </w:r>
      <w:r>
        <w:t xml:space="preserve"> </w:t>
      </w:r>
      <w:r w:rsidR="009617A4">
        <w:t>T</w:t>
      </w:r>
      <w:r>
        <w:t>he utility benefits because these riders allow utilities to delay filing rate cases that might otherwise result in a more thorough review of their finances, including both increases and decreases</w:t>
      </w:r>
      <w:r w:rsidR="000B3D25">
        <w:t xml:space="preserve"> in their expenses and need for profit</w:t>
      </w:r>
      <w:r>
        <w:t>. Dominion hasn’t filed a base rate case since 2007, and it may not file another one until at least 2024—a period of 17 years.</w:t>
      </w:r>
      <w:r>
        <w:rPr>
          <w:rStyle w:val="FootnoteReference"/>
        </w:rPr>
        <w:footnoteReference w:id="3"/>
      </w:r>
    </w:p>
    <w:p w:rsidR="006B45D4" w:rsidP="00D4185C">
      <w:pPr>
        <w:pStyle w:val="BodyTextIndent3"/>
        <w:spacing w:line="480" w:lineRule="auto"/>
      </w:pPr>
      <w:r>
        <w:t xml:space="preserve">Until now, Dominion has been deferring </w:t>
      </w:r>
      <w:r w:rsidR="00890AFE">
        <w:t xml:space="preserve">post in-service carrying costs (“PISCC”) and property tax and depreciation expenses associated with the CEP Investments. </w:t>
      </w:r>
      <w:r>
        <w:t xml:space="preserve">This case is Dominion’s request to begin charging </w:t>
      </w:r>
      <w:r w:rsidR="00890AFE">
        <w:t xml:space="preserve">customers for </w:t>
      </w:r>
      <w:r w:rsidR="00DB2909">
        <w:t xml:space="preserve">the </w:t>
      </w:r>
      <w:r w:rsidR="00890AFE">
        <w:t xml:space="preserve">CEP deferrals as well as </w:t>
      </w:r>
      <w:r>
        <w:t xml:space="preserve">a return of </w:t>
      </w:r>
      <w:r w:rsidR="006C187E">
        <w:t>and on the CEP</w:t>
      </w:r>
      <w:r>
        <w:t xml:space="preserve"> investments</w:t>
      </w:r>
      <w:r w:rsidR="000E6B41">
        <w:t xml:space="preserve"> (</w:t>
      </w:r>
      <w:r w:rsidRPr="00347BCC" w:rsidR="00347BCC">
        <w:rPr>
          <w:i/>
          <w:iCs/>
        </w:rPr>
        <w:t>i.e.,</w:t>
      </w:r>
      <w:r w:rsidR="00BC170B">
        <w:t xml:space="preserve"> </w:t>
      </w:r>
      <w:r w:rsidR="000E6B41">
        <w:t xml:space="preserve">$615 million </w:t>
      </w:r>
      <w:r w:rsidR="006C187E">
        <w:t xml:space="preserve">for the CEP Investments </w:t>
      </w:r>
      <w:r w:rsidR="000E6B41">
        <w:t>after accounting for cost of removal and retirements</w:t>
      </w:r>
      <w:r w:rsidR="00DB2909">
        <w:t>,</w:t>
      </w:r>
      <w:r>
        <w:rPr>
          <w:rStyle w:val="FootnoteReference"/>
        </w:rPr>
        <w:footnoteReference w:id="4"/>
      </w:r>
      <w:r w:rsidR="006C187E">
        <w:t xml:space="preserve"> plus $204 million for the accrued CEP deferrals</w:t>
      </w:r>
      <w:r>
        <w:rPr>
          <w:rStyle w:val="FootnoteReference"/>
        </w:rPr>
        <w:footnoteReference w:id="5"/>
      </w:r>
      <w:r w:rsidR="000E6B41">
        <w:t>)</w:t>
      </w:r>
      <w:r>
        <w:t xml:space="preserve">. If Dominion’s Application is approved, residential customers will each pay </w:t>
      </w:r>
      <w:r w:rsidR="00BC170B">
        <w:t xml:space="preserve">an additional </w:t>
      </w:r>
      <w:r>
        <w:t>$3.89 per month initially, with higher charges in the future as Dominion continues to make capital investments under its program.</w:t>
      </w:r>
      <w:r>
        <w:rPr>
          <w:rStyle w:val="FootnoteReference"/>
        </w:rPr>
        <w:footnoteReference w:id="6"/>
      </w:r>
      <w:r>
        <w:t xml:space="preserve"> This is equivalent to $52.5 million in charges to residential customers over a one-year period.</w:t>
      </w:r>
      <w:r>
        <w:rPr>
          <w:rStyle w:val="FootnoteReference"/>
        </w:rPr>
        <w:footnoteReference w:id="7"/>
      </w:r>
      <w:r>
        <w:t xml:space="preserve"> Residential customers would pay nearly two-thirds of all ca</w:t>
      </w:r>
      <w:r w:rsidR="00565FA7">
        <w:t>pital expenditure program costs.</w:t>
      </w:r>
      <w:r>
        <w:rPr>
          <w:rStyle w:val="FootnoteReference"/>
        </w:rPr>
        <w:footnoteReference w:id="8"/>
      </w:r>
    </w:p>
    <w:p w:rsidR="004515C4" w:rsidP="00D4185C">
      <w:pPr>
        <w:pStyle w:val="BodyTextIndent3"/>
        <w:spacing w:line="480" w:lineRule="auto"/>
      </w:pPr>
      <w:r>
        <w:t>On behalf of the PUCO Staff, Blue Ridge Consulting Services performed an audit of Dominion’s capital spending under the capital expenditure program.</w:t>
      </w:r>
      <w:r>
        <w:rPr>
          <w:rStyle w:val="FootnoteReference"/>
        </w:rPr>
        <w:footnoteReference w:id="9"/>
      </w:r>
      <w:r w:rsidR="00BC05C0">
        <w:t xml:space="preserve"> Blue Ridge recommended </w:t>
      </w:r>
      <w:r w:rsidR="00EE75BA">
        <w:t xml:space="preserve">only </w:t>
      </w:r>
      <w:r w:rsidR="00BC05C0">
        <w:t>minimal adjustments to Dominion’s Application. In sum, Blue Ridge recommended a reduction in the capital expenditure program plant in service balance from $614.8 million to $612.9 million.</w:t>
      </w:r>
      <w:r>
        <w:rPr>
          <w:rStyle w:val="FootnoteReference"/>
        </w:rPr>
        <w:footnoteReference w:id="10"/>
      </w:r>
      <w:r w:rsidR="00BC05C0">
        <w:t xml:space="preserve"> As a result of Blue Ridge’s recommendation, charges to residential customers would be</w:t>
      </w:r>
      <w:r w:rsidR="001E7860">
        <w:t xml:space="preserve"> $3.87 per month, </w:t>
      </w:r>
      <w:r w:rsidR="00BC05C0">
        <w:t>just two cents lower per month as compared to Dominion’s Application.</w:t>
      </w:r>
      <w:r>
        <w:rPr>
          <w:rStyle w:val="FootnoteReference"/>
        </w:rPr>
        <w:footnoteReference w:id="11"/>
      </w:r>
    </w:p>
    <w:p w:rsidR="00BC05C0" w:rsidP="00D4185C">
      <w:pPr>
        <w:pStyle w:val="BodyTextIndent3"/>
        <w:spacing w:line="480" w:lineRule="auto"/>
      </w:pPr>
      <w:r>
        <w:t xml:space="preserve">The PUCO Staff filed its Staff Report shortly after the Audit Report. In the Staff Report, the PUCO Staff </w:t>
      </w:r>
      <w:r w:rsidR="001E7860">
        <w:t xml:space="preserve">largely adopted the recommendations found in the Audit Report, including Blue Ridge’s </w:t>
      </w:r>
      <w:r w:rsidR="006C187E">
        <w:t xml:space="preserve">small adjustments to Dominion’s proposed </w:t>
      </w:r>
      <w:r w:rsidR="001E7860">
        <w:t xml:space="preserve">charges to customers. </w:t>
      </w:r>
      <w:r w:rsidR="00166062">
        <w:t>W</w:t>
      </w:r>
      <w:r w:rsidR="001E7860">
        <w:t xml:space="preserve">hile OCC objects to some of the Staff Report’s recommendations as discussed below, the Staff Report includes </w:t>
      </w:r>
      <w:r w:rsidR="008E4E01">
        <w:t>various recommendations that would benefit consumers if implemented:</w:t>
      </w:r>
    </w:p>
    <w:p w:rsidR="008E4E01" w:rsidP="00D4185C">
      <w:pPr>
        <w:pStyle w:val="BodyTextIndent3"/>
        <w:keepLines/>
        <w:numPr>
          <w:ilvl w:val="0"/>
          <w:numId w:val="7"/>
        </w:numPr>
        <w:spacing w:after="240" w:line="240" w:lineRule="auto"/>
        <w:ind w:hanging="720"/>
      </w:pPr>
      <w:r>
        <w:t xml:space="preserve">The PUCO Staff properly recommended that charges to customers under Rider CEP be limited in time such that the charges </w:t>
      </w:r>
      <w:r w:rsidR="00BC170B">
        <w:t xml:space="preserve">will </w:t>
      </w:r>
      <w:r>
        <w:t>end if Dominion fails to file a rate case by 2024.</w:t>
      </w:r>
      <w:r>
        <w:rPr>
          <w:rStyle w:val="FootnoteReference"/>
        </w:rPr>
        <w:footnoteReference w:id="12"/>
      </w:r>
    </w:p>
    <w:p w:rsidR="00BB6930" w:rsidP="00D4185C">
      <w:pPr>
        <w:pStyle w:val="BodyTextIndent3"/>
        <w:keepLines/>
        <w:numPr>
          <w:ilvl w:val="0"/>
          <w:numId w:val="7"/>
        </w:numPr>
        <w:spacing w:after="240" w:line="240" w:lineRule="auto"/>
        <w:ind w:hanging="720"/>
      </w:pPr>
      <w:r>
        <w:t xml:space="preserve">The PUCO Staff properly </w:t>
      </w:r>
      <w:r w:rsidR="00692EB0">
        <w:t>stated that costs should be controlled and that the PUCO should ensure that customers “are not burdened with excessive and unnecessary plant investments.”</w:t>
      </w:r>
      <w:r>
        <w:rPr>
          <w:rStyle w:val="FootnoteReference"/>
        </w:rPr>
        <w:footnoteReference w:id="13"/>
      </w:r>
    </w:p>
    <w:p w:rsidR="008E4E01" w:rsidP="00D4185C">
      <w:pPr>
        <w:pStyle w:val="BodyTextIndent3"/>
        <w:keepLines/>
        <w:numPr>
          <w:ilvl w:val="0"/>
          <w:numId w:val="7"/>
        </w:numPr>
        <w:spacing w:after="240" w:line="240" w:lineRule="auto"/>
        <w:ind w:hanging="720"/>
      </w:pPr>
      <w:r>
        <w:t>The PUCO Staff properly recommended that there be a cap on increases to charges to consumers under Rider CEP (though as discussed below, OCC recommends a modification to the Staff Report’s proposed cap).</w:t>
      </w:r>
      <w:r>
        <w:rPr>
          <w:rStyle w:val="FootnoteReference"/>
        </w:rPr>
        <w:footnoteReference w:id="14"/>
      </w:r>
    </w:p>
    <w:p w:rsidR="0019116F" w:rsidP="00D4185C">
      <w:pPr>
        <w:pStyle w:val="BodyTextIndent3"/>
        <w:keepLines/>
        <w:numPr>
          <w:ilvl w:val="0"/>
          <w:numId w:val="7"/>
        </w:numPr>
        <w:spacing w:after="240" w:line="240" w:lineRule="auto"/>
        <w:ind w:hanging="720"/>
      </w:pPr>
      <w:r>
        <w:t>The PUCO Staff properly recommended that charges to consumers under Rider CEP be audited annually.</w:t>
      </w:r>
      <w:r>
        <w:rPr>
          <w:rStyle w:val="FootnoteReference"/>
        </w:rPr>
        <w:footnoteReference w:id="15"/>
      </w:r>
    </w:p>
    <w:p w:rsidR="0019116F" w:rsidP="00D4185C">
      <w:pPr>
        <w:pStyle w:val="BodyTextIndent3"/>
        <w:keepLines/>
        <w:numPr>
          <w:ilvl w:val="0"/>
          <w:numId w:val="7"/>
        </w:numPr>
        <w:spacing w:after="240" w:line="240" w:lineRule="auto"/>
        <w:ind w:hanging="720"/>
      </w:pPr>
      <w:r>
        <w:t>The PUCO Staff properly recommended that deferral of p</w:t>
      </w:r>
      <w:r w:rsidR="00D4185C">
        <w:t>ost in-service carrying costs</w:t>
      </w:r>
      <w:r>
        <w:t>, property tax, and depreciation expenses cease once the CEP investments begin to be recovered through rates.</w:t>
      </w:r>
      <w:r>
        <w:rPr>
          <w:rStyle w:val="FootnoteReference"/>
        </w:rPr>
        <w:footnoteReference w:id="16"/>
      </w:r>
    </w:p>
    <w:p w:rsidR="0019116F" w:rsidP="00D4185C">
      <w:pPr>
        <w:pStyle w:val="BodyTextIndent3"/>
        <w:keepLines/>
        <w:numPr>
          <w:ilvl w:val="0"/>
          <w:numId w:val="7"/>
        </w:numPr>
        <w:spacing w:after="240" w:line="240" w:lineRule="auto"/>
        <w:ind w:hanging="720"/>
      </w:pPr>
      <w:r>
        <w:t>The PUCO Staff properly recommended that Dominion be required to maintain adequate records to demonstrate compliance with the Audit Report’s recommendations and that any future base rate filing include information in the application showing that the Audit Report recommendations have been incorporated.</w:t>
      </w:r>
      <w:r>
        <w:rPr>
          <w:rStyle w:val="FootnoteReference"/>
        </w:rPr>
        <w:footnoteReference w:id="17"/>
      </w:r>
    </w:p>
    <w:p w:rsidR="0019116F" w:rsidP="00D4185C">
      <w:pPr>
        <w:pStyle w:val="BodyTextIndent3"/>
        <w:keepLines/>
        <w:numPr>
          <w:ilvl w:val="0"/>
          <w:numId w:val="7"/>
        </w:numPr>
        <w:spacing w:after="240" w:line="240" w:lineRule="auto"/>
        <w:ind w:hanging="720"/>
      </w:pPr>
      <w:r>
        <w:t xml:space="preserve">The PUCO Staff properly found that it would be “prudent to monitor measures of profitability of companies that have been granted deferrals </w:t>
      </w:r>
      <w:r w:rsidR="00BB6930">
        <w:t>to determine if immediate regulatory recovery is necessary.”</w:t>
      </w:r>
      <w:r>
        <w:rPr>
          <w:rStyle w:val="FootnoteReference"/>
        </w:rPr>
        <w:footnoteReference w:id="18"/>
      </w:r>
    </w:p>
    <w:p w:rsidR="009E06A5" w:rsidP="009E06A5">
      <w:pPr>
        <w:pStyle w:val="BodyTextIndent3"/>
        <w:keepLines/>
        <w:spacing w:line="240" w:lineRule="auto"/>
        <w:ind w:left="720" w:firstLine="0"/>
      </w:pPr>
    </w:p>
    <w:p w:rsidR="00B652E1" w:rsidP="009E06A5">
      <w:pPr>
        <w:pStyle w:val="Heading1"/>
      </w:pPr>
      <w:bookmarkStart w:id="2" w:name="_Toc42694217"/>
      <w:r>
        <w:t>I</w:t>
      </w:r>
      <w:r>
        <w:t>I.</w:t>
      </w:r>
      <w:r>
        <w:tab/>
        <w:t>OBJECTIONS</w:t>
      </w:r>
      <w:bookmarkEnd w:id="2"/>
    </w:p>
    <w:p w:rsidR="00DC61DF" w:rsidRPr="009E06A5" w:rsidP="009E06A5">
      <w:pPr>
        <w:pStyle w:val="Heading2"/>
        <w:ind w:left="2160" w:hanging="1440"/>
      </w:pPr>
      <w:bookmarkStart w:id="3" w:name="_Toc42694218"/>
      <w:r w:rsidRPr="009E06A5">
        <w:t>Objection 1.</w:t>
      </w:r>
      <w:r w:rsidR="009E06A5">
        <w:tab/>
      </w:r>
      <w:r w:rsidRPr="009E06A5">
        <w:t>T</w:t>
      </w:r>
      <w:r w:rsidRPr="009E06A5" w:rsidR="00E951E8">
        <w:t>o protect consumers, t</w:t>
      </w:r>
      <w:r w:rsidRPr="009E06A5">
        <w:t xml:space="preserve">he Staff Report should have recommended </w:t>
      </w:r>
      <w:r w:rsidRPr="009E06A5" w:rsidR="005E23DC">
        <w:t xml:space="preserve">that customers not pay </w:t>
      </w:r>
      <w:r w:rsidRPr="009E06A5" w:rsidR="00E951E8">
        <w:t>new charges until</w:t>
      </w:r>
      <w:r w:rsidRPr="009E06A5">
        <w:t xml:space="preserve"> after the coronavirus emergency is over</w:t>
      </w:r>
      <w:r w:rsidRPr="009E06A5" w:rsidR="00BC170B">
        <w:t xml:space="preserve"> (</w:t>
      </w:r>
      <w:r w:rsidRPr="009E06A5" w:rsidR="008539FB">
        <w:t xml:space="preserve">and </w:t>
      </w:r>
      <w:r w:rsidRPr="009E06A5" w:rsidR="009617A4">
        <w:t xml:space="preserve">not pay new charges </w:t>
      </w:r>
      <w:r w:rsidRPr="009E06A5" w:rsidR="008539FB">
        <w:t>for a reasonable time after</w:t>
      </w:r>
      <w:r w:rsidRPr="009E06A5" w:rsidR="00BC170B">
        <w:t>)</w:t>
      </w:r>
      <w:r w:rsidRPr="009E06A5">
        <w:t>.</w:t>
      </w:r>
      <w:bookmarkEnd w:id="3"/>
    </w:p>
    <w:p w:rsidR="00EC7E9F" w:rsidP="00D4185C">
      <w:pPr>
        <w:pStyle w:val="BodyTextIndent3"/>
        <w:spacing w:line="480" w:lineRule="auto"/>
      </w:pPr>
      <w:r>
        <w:t xml:space="preserve">Dominion’s request to add a new charge to customer bills (Rider CEP) was filed before the coronavirus pandemic and ensuing health and financial emergency. Now, however, the PUCO is well aware of the struggles that Ohioans are facing now and the struggles they will continue to face even after the formal declaration of emergency ends. </w:t>
      </w:r>
      <w:r>
        <w:t>The Staff Report</w:t>
      </w:r>
      <w:r>
        <w:rPr>
          <w:rStyle w:val="FootnoteReference"/>
        </w:rPr>
        <w:footnoteReference w:id="19"/>
      </w:r>
      <w:r>
        <w:t xml:space="preserve"> makes no mention of the coronavirus</w:t>
      </w:r>
      <w:r w:rsidR="00166062">
        <w:t>. I</w:t>
      </w:r>
      <w:r>
        <w:t>t should have.</w:t>
      </w:r>
    </w:p>
    <w:p w:rsidR="00E951E8" w:rsidP="00D4185C">
      <w:pPr>
        <w:pStyle w:val="BodyTextIndent3"/>
        <w:spacing w:line="480" w:lineRule="auto"/>
      </w:pPr>
      <w:r>
        <w:t>I</w:t>
      </w:r>
      <w:r>
        <w:t xml:space="preserve">f the PUCO approves any new charges in this case (whether it be $3.87 as proposed in the Staff Report or some other number), it should </w:t>
      </w:r>
      <w:r w:rsidR="005E23DC">
        <w:t xml:space="preserve">not allow Dominion to start charging customers until </w:t>
      </w:r>
      <w:r>
        <w:t xml:space="preserve">a later date. In this time of emergency due to the coronavirus—where consumers are dealing with lost jobs, lost wages, and associated challenges—increased charges should be deferred with minimal (if any) carrying charges until after the emergency ends </w:t>
      </w:r>
      <w:r w:rsidR="008539FB">
        <w:t xml:space="preserve">and for a reasonable time after. </w:t>
      </w:r>
      <w:r>
        <w:t xml:space="preserve">This will </w:t>
      </w:r>
      <w:r w:rsidR="00BC170B">
        <w:t xml:space="preserve">help </w:t>
      </w:r>
      <w:r>
        <w:t>consumers to deal with the impact of the state of emergency and recover from the financial impact it has had and will continue to hav</w:t>
      </w:r>
      <w:r w:rsidR="008539FB">
        <w:t>e for years to come.</w:t>
      </w:r>
    </w:p>
    <w:p w:rsidR="006C2EF7" w:rsidP="003B4855">
      <w:pPr>
        <w:pStyle w:val="Heading2"/>
        <w:ind w:left="2160" w:hanging="1440"/>
      </w:pPr>
      <w:bookmarkStart w:id="4" w:name="_Toc42694219"/>
      <w:r>
        <w:t>Objection 2.</w:t>
      </w:r>
      <w:r w:rsidRPr="003B4855" w:rsidR="003B4855">
        <w:tab/>
      </w:r>
      <w:r w:rsidRPr="003B4855">
        <w:t xml:space="preserve">The Staff Report properly recommended limits on increases to charges to customers under Rider CEP, but </w:t>
      </w:r>
      <w:r w:rsidRPr="003B4855" w:rsidR="00166062">
        <w:t xml:space="preserve">to better protect consumers, </w:t>
      </w:r>
      <w:r w:rsidRPr="003B4855">
        <w:t xml:space="preserve">the </w:t>
      </w:r>
      <w:r w:rsidRPr="003B4855" w:rsidR="008539FB">
        <w:t>limit</w:t>
      </w:r>
      <w:r w:rsidRPr="003B4855">
        <w:t xml:space="preserve"> should be based on annual investment as opposed to a rate cap.</w:t>
      </w:r>
      <w:bookmarkEnd w:id="4"/>
    </w:p>
    <w:p w:rsidR="007F0AC4" w:rsidP="00D4185C">
      <w:pPr>
        <w:pStyle w:val="BodyTextIndent3"/>
        <w:spacing w:line="480" w:lineRule="auto"/>
      </w:pPr>
      <w:r>
        <w:t>The Staff Report recommends an initial rate of $3.87 per month for residential customers under Rider CEP</w:t>
      </w:r>
      <w:r w:rsidR="00EC7E9F">
        <w:t xml:space="preserve"> (two cents lower than Dominion’s proposed charge of $3.89 per month)</w:t>
      </w:r>
      <w:r>
        <w:t>.</w:t>
      </w:r>
      <w:r>
        <w:rPr>
          <w:rStyle w:val="FootnoteReference"/>
        </w:rPr>
        <w:footnoteReference w:id="20"/>
      </w:r>
      <w:r w:rsidR="00EC7E9F">
        <w:t xml:space="preserve"> </w:t>
      </w:r>
      <w:r w:rsidR="00836BDA">
        <w:t xml:space="preserve">If this recommendation </w:t>
      </w:r>
      <w:r w:rsidR="00BC170B">
        <w:t xml:space="preserve">is </w:t>
      </w:r>
      <w:r w:rsidR="00836BDA">
        <w:t xml:space="preserve">adopted, every residential Dominion customer </w:t>
      </w:r>
      <w:r w:rsidR="00FA280C">
        <w:t>will</w:t>
      </w:r>
      <w:r w:rsidR="00836BDA">
        <w:t xml:space="preserve"> pay nearly $50 to Dominion in the first year after approval of the new CEP Rider surcharge.</w:t>
      </w:r>
      <w:r w:rsidR="00EC7E9F">
        <w:t xml:space="preserve"> </w:t>
      </w:r>
      <w:r w:rsidR="00836BDA">
        <w:t xml:space="preserve">The Staff Report further proposes that </w:t>
      </w:r>
      <w:r w:rsidR="00C06536">
        <w:t xml:space="preserve">each year, </w:t>
      </w:r>
      <w:r w:rsidR="00836BDA">
        <w:t xml:space="preserve">Dominion be allowed to increase </w:t>
      </w:r>
      <w:r w:rsidR="00B9184D">
        <w:t>the</w:t>
      </w:r>
      <w:r w:rsidR="00C06536">
        <w:t xml:space="preserve"> monthly </w:t>
      </w:r>
      <w:r w:rsidR="00B9184D">
        <w:t>charge</w:t>
      </w:r>
      <w:r w:rsidR="00836BDA">
        <w:t xml:space="preserve"> by </w:t>
      </w:r>
      <w:r w:rsidR="002812E4">
        <w:t xml:space="preserve">up to </w:t>
      </w:r>
      <w:r w:rsidR="00836BDA">
        <w:t>$1.00</w:t>
      </w:r>
      <w:r w:rsidR="002812E4">
        <w:t>, though it did not explain how that number was derived</w:t>
      </w:r>
      <w:r w:rsidR="00836BDA">
        <w:t>.</w:t>
      </w:r>
      <w:r>
        <w:rPr>
          <w:rStyle w:val="FootnoteReference"/>
        </w:rPr>
        <w:footnoteReference w:id="21"/>
      </w:r>
      <w:r w:rsidR="00836BDA">
        <w:t xml:space="preserve"> </w:t>
      </w:r>
      <w:r w:rsidR="00DB2909">
        <w:t>Nor did</w:t>
      </w:r>
      <w:r w:rsidR="00372DFE">
        <w:t xml:space="preserve"> the Staff </w:t>
      </w:r>
      <w:r w:rsidR="00BC170B">
        <w:t xml:space="preserve">Report </w:t>
      </w:r>
      <w:r w:rsidR="00166062">
        <w:t>identify</w:t>
      </w:r>
      <w:r w:rsidR="00372DFE">
        <w:t xml:space="preserve"> how much annual investment its proposed $1.00 </w:t>
      </w:r>
      <w:r w:rsidR="00FA280C">
        <w:t>cap would permit.</w:t>
      </w:r>
    </w:p>
    <w:p w:rsidR="00B652E1" w:rsidP="00D4185C">
      <w:pPr>
        <w:pStyle w:val="BodyTextIndent3"/>
        <w:spacing w:line="480" w:lineRule="auto"/>
      </w:pPr>
      <w:r>
        <w:t>In four years, customers could be paying nearly $100 per year</w:t>
      </w:r>
      <w:r>
        <w:rPr>
          <w:rStyle w:val="FootnoteReference"/>
        </w:rPr>
        <w:footnoteReference w:id="22"/>
      </w:r>
      <w:r>
        <w:t xml:space="preserve"> under the Rider CEP surcharge if </w:t>
      </w:r>
      <w:r w:rsidR="00FA280C">
        <w:t xml:space="preserve">the </w:t>
      </w:r>
      <w:r w:rsidR="00372DFE">
        <w:t>Staff</w:t>
      </w:r>
      <w:r w:rsidR="00FA280C">
        <w:t xml:space="preserve"> Report</w:t>
      </w:r>
      <w:r w:rsidR="00372DFE">
        <w:t xml:space="preserve">’s </w:t>
      </w:r>
      <w:r>
        <w:t>recommendation is adopted.</w:t>
      </w:r>
    </w:p>
    <w:p w:rsidR="00DB2909" w:rsidP="00D4185C">
      <w:pPr>
        <w:pStyle w:val="BodyTextIndent3"/>
        <w:spacing w:line="480" w:lineRule="auto"/>
      </w:pPr>
      <w:r>
        <w:t xml:space="preserve">The Staff Report properly </w:t>
      </w:r>
      <w:r w:rsidR="00372DFE">
        <w:t xml:space="preserve">recognizes </w:t>
      </w:r>
      <w:r>
        <w:t xml:space="preserve">that there </w:t>
      </w:r>
      <w:r w:rsidR="00372DFE">
        <w:t xml:space="preserve">should </w:t>
      </w:r>
      <w:r>
        <w:t xml:space="preserve">be limits on the amount by which charges to customers under Rider CEP can increase each year. But rather than </w:t>
      </w:r>
      <w:r w:rsidR="00AC03B0">
        <w:t>capping the amount of the charge (</w:t>
      </w:r>
      <w:r w:rsidR="00AC03B0">
        <w:rPr>
          <w:i/>
        </w:rPr>
        <w:t>i.e.</w:t>
      </w:r>
      <w:r w:rsidR="00AC03B0">
        <w:t xml:space="preserve">, limiting the increase by </w:t>
      </w:r>
      <w:r w:rsidR="002812E4">
        <w:t xml:space="preserve">up to </w:t>
      </w:r>
      <w:r w:rsidR="00AC03B0">
        <w:t xml:space="preserve">$1.00 as proposed in the Staff Report), there should be a cap on the amount of investment that would be eligible for inclusion in rates under Rider CEP. </w:t>
      </w:r>
      <w:r w:rsidR="00372DFE">
        <w:t xml:space="preserve">Dominion’s </w:t>
      </w:r>
      <w:r w:rsidR="00FB00E6">
        <w:t>total annual capital additions increased by 73% from the first year of the program in 2</w:t>
      </w:r>
      <w:r>
        <w:t>012 to 2018. A</w:t>
      </w:r>
      <w:r w:rsidR="00FB00E6">
        <w:t xml:space="preserve"> cap on </w:t>
      </w:r>
      <w:r w:rsidR="000B3316">
        <w:t xml:space="preserve">the eligible level of </w:t>
      </w:r>
      <w:r w:rsidR="00FB00E6">
        <w:t>Dominion’s annual investments</w:t>
      </w:r>
      <w:r w:rsidR="000B3316">
        <w:t xml:space="preserve"> (for rate purposes)</w:t>
      </w:r>
      <w:r w:rsidR="00FB00E6">
        <w:t xml:space="preserve"> is warranted. And c</w:t>
      </w:r>
      <w:r w:rsidR="002812E4">
        <w:t>apping</w:t>
      </w:r>
      <w:r w:rsidR="000B3316">
        <w:t xml:space="preserve"> what investment level is eligible to charge to consumers</w:t>
      </w:r>
      <w:r w:rsidR="002812E4">
        <w:t xml:space="preserve"> is preferable </w:t>
      </w:r>
      <w:r w:rsidR="00FB00E6">
        <w:t xml:space="preserve">to a rate cap </w:t>
      </w:r>
      <w:r w:rsidR="002812E4">
        <w:t xml:space="preserve">because it is </w:t>
      </w:r>
      <w:r w:rsidR="00FB00E6">
        <w:t xml:space="preserve">straightforward and </w:t>
      </w:r>
      <w:r w:rsidR="002812E4">
        <w:t xml:space="preserve">easier to track and </w:t>
      </w:r>
      <w:r>
        <w:t>evaluate</w:t>
      </w:r>
      <w:r w:rsidR="00B7455E">
        <w:t xml:space="preserve"> than </w:t>
      </w:r>
      <w:r w:rsidR="00FA280C">
        <w:t>an</w:t>
      </w:r>
      <w:r w:rsidR="00B7455E">
        <w:t xml:space="preserve"> arbitrary </w:t>
      </w:r>
      <w:r w:rsidR="0030104A">
        <w:t>limit to the monthly charge customers are required to pay</w:t>
      </w:r>
      <w:r>
        <w:t xml:space="preserve">. </w:t>
      </w:r>
      <w:r w:rsidR="00770F28">
        <w:t>A cap on the eligible level of Dominion’s annual investments has the additional benefit of curbing a consequence of alternative regulation</w:t>
      </w:r>
      <w:r w:rsidR="00D4185C">
        <w:t>—</w:t>
      </w:r>
      <w:r w:rsidR="00770F28">
        <w:t>incentivize over-spending (or gold plating) by the utility, an</w:t>
      </w:r>
      <w:r w:rsidR="00FA280C">
        <w:t>d higher charges for consumers.</w:t>
      </w:r>
    </w:p>
    <w:p w:rsidR="00DB2909" w:rsidP="00D4185C">
      <w:pPr>
        <w:pStyle w:val="BodyTextIndent3"/>
        <w:spacing w:line="480" w:lineRule="auto"/>
      </w:pPr>
      <w:r>
        <w:t>This approach recognizes that Dominion’s costs for CEP may have increased over time, but it also provides customer</w:t>
      </w:r>
      <w:r w:rsidR="00811286">
        <w:t>s</w:t>
      </w:r>
      <w:r>
        <w:t xml:space="preserve"> protection against over-spending or over-investment considering that Dominion will face next to no regulatory lag on </w:t>
      </w:r>
      <w:r w:rsidR="008539FB">
        <w:t xml:space="preserve">collecting money from customers for a return on and of </w:t>
      </w:r>
      <w:r>
        <w:t xml:space="preserve">its investments. Historically, regulatory lag has </w:t>
      </w:r>
      <w:r w:rsidR="002F0CDB">
        <w:t xml:space="preserve">encouraged utilities to contain costs and </w:t>
      </w:r>
      <w:r>
        <w:t xml:space="preserve">served as a check on utility investments. With the CEP, however, </w:t>
      </w:r>
      <w:r w:rsidR="002F0CDB">
        <w:t xml:space="preserve">the utility gains the benefit of </w:t>
      </w:r>
      <w:r w:rsidR="00811286">
        <w:t>no regulatory lag, and customers should be protected from future rapid increases in CEP capital investments similar to the</w:t>
      </w:r>
      <w:r>
        <w:t xml:space="preserve"> 73% increase for 2012 to 2018.</w:t>
      </w:r>
    </w:p>
    <w:p w:rsidR="00770F28" w:rsidP="00D4185C">
      <w:pPr>
        <w:pStyle w:val="BodyTextIndent3"/>
        <w:spacing w:line="480" w:lineRule="auto"/>
      </w:pPr>
      <w:r>
        <w:t>In the alternative, if the PUCO does adopt a rate cap</w:t>
      </w:r>
      <w:r w:rsidR="008539FB">
        <w:t>,</w:t>
      </w:r>
      <w:r>
        <w:t xml:space="preserve"> the cap should be lower</w:t>
      </w:r>
      <w:r w:rsidR="00DB2909">
        <w:t xml:space="preserve"> than $1.00. </w:t>
      </w:r>
      <w:r>
        <w:t xml:space="preserve">Further, if Staff’s recommendation is adopted, the cap should be considered a “hard” cap, meaning Dominion cannot later seek to collect from customers spending levels that would have resulted in charges above the cap. A hard cap on the charge to consumers is a reasonable exchange for the benefits that the utility gets from alternative regulation. </w:t>
      </w:r>
    </w:p>
    <w:p w:rsidR="00B652E1" w:rsidP="00D4185C">
      <w:pPr>
        <w:pStyle w:val="BodyTextIndent3"/>
        <w:spacing w:line="480" w:lineRule="auto"/>
      </w:pPr>
      <w:r>
        <w:t xml:space="preserve">The Staff Report says that the </w:t>
      </w:r>
      <w:r w:rsidR="000B3316">
        <w:t xml:space="preserve">monthly </w:t>
      </w:r>
      <w:r>
        <w:t>cap should be “no greater than $1.00 per year for residential customers, which suggests that the Staff would be amenable to a lower cap.</w:t>
      </w:r>
      <w:r>
        <w:rPr>
          <w:rStyle w:val="FootnoteReference"/>
        </w:rPr>
        <w:footnoteReference w:id="23"/>
      </w:r>
      <w:r>
        <w:t xml:space="preserve"> The Staff Report likewise says that Dominion should “work with Staff to identify reasonable and meaningful annual caps.”</w:t>
      </w:r>
      <w:r>
        <w:rPr>
          <w:rStyle w:val="FootnoteReference"/>
        </w:rPr>
        <w:footnoteReference w:id="24"/>
      </w:r>
      <w:r>
        <w:t xml:space="preserve"> And while the Staff Report at one point suggests a $1.00 rate cap</w:t>
      </w:r>
      <w:r w:rsidR="000B3316">
        <w:t xml:space="preserve"> for increase</w:t>
      </w:r>
      <w:r w:rsidR="00CD2819">
        <w:t>s</w:t>
      </w:r>
      <w:r w:rsidR="000B3316">
        <w:t xml:space="preserve"> to Dominion’s monthly charge</w:t>
      </w:r>
      <w:r w:rsidR="00CD2819">
        <w:t xml:space="preserve"> during a year</w:t>
      </w:r>
      <w:r>
        <w:t>, it also acknowledges that a cap on spending</w:t>
      </w:r>
      <w:r w:rsidR="00D4185C">
        <w:t xml:space="preserve"> that can be charged to customers</w:t>
      </w:r>
      <w:r>
        <w:t>, as OCC proposes above, would also protect customers.</w:t>
      </w:r>
      <w:r>
        <w:rPr>
          <w:rStyle w:val="FootnoteReference"/>
        </w:rPr>
        <w:footnoteReference w:id="25"/>
      </w:r>
    </w:p>
    <w:p w:rsidR="00652332" w:rsidRPr="00110AAF" w:rsidP="002C25A2">
      <w:pPr>
        <w:pStyle w:val="Heading2"/>
        <w:ind w:left="2160" w:hanging="1440"/>
      </w:pPr>
      <w:bookmarkStart w:id="5" w:name="_Toc42694220"/>
      <w:r>
        <w:t>Objection 3.</w:t>
      </w:r>
      <w:r w:rsidR="002C25A2">
        <w:tab/>
      </w:r>
      <w:r>
        <w:t>The Staff Report should have recommended that plant in service and depreciation reserve adjustments be made now for the benefit of customers, rather than waiting until a future rate case.</w:t>
      </w:r>
      <w:bookmarkEnd w:id="5"/>
    </w:p>
    <w:p w:rsidR="00652332" w:rsidP="00D4185C">
      <w:pPr>
        <w:pStyle w:val="BodyTextIndent3"/>
        <w:spacing w:line="480" w:lineRule="auto"/>
      </w:pPr>
      <w:r>
        <w:t>In its Application in this case, Dominion reports total utility plant in service of $1,933,453,698.</w:t>
      </w:r>
      <w:r>
        <w:rPr>
          <w:rStyle w:val="FootnoteReference"/>
        </w:rPr>
        <w:footnoteReference w:id="26"/>
      </w:r>
      <w:r>
        <w:t xml:space="preserve"> But in Dominion’s 2007 rate case, plant in service was reduced by $17,319,717</w:t>
      </w:r>
      <w:r w:rsidR="00632A00">
        <w:t xml:space="preserve"> to $1,916,133,980</w:t>
      </w:r>
      <w:r>
        <w:t>, per the Staff’s recommendation.</w:t>
      </w:r>
      <w:r>
        <w:rPr>
          <w:rStyle w:val="FootnoteReference"/>
        </w:rPr>
        <w:footnoteReference w:id="27"/>
      </w:r>
      <w:r w:rsidR="00632A00">
        <w:t xml:space="preserve"> Likewise, Dominion’s Application in this case shows a $795,525,693 depreciation reserve beginning balance.</w:t>
      </w:r>
      <w:r>
        <w:rPr>
          <w:rStyle w:val="FootnoteReference"/>
        </w:rPr>
        <w:footnoteReference w:id="28"/>
      </w:r>
      <w:r w:rsidR="00632A00">
        <w:t xml:space="preserve"> But the depreciation reserve in Dominion’s rate case was increased by $53,822,053 to $849,347,745, per the Staff’s recommendation.</w:t>
      </w:r>
      <w:r>
        <w:rPr>
          <w:rStyle w:val="FootnoteReference"/>
        </w:rPr>
        <w:footnoteReference w:id="29"/>
      </w:r>
      <w:r w:rsidR="00632A00">
        <w:t xml:space="preserve"> The Audit Report identifies these two adjustments from Dominion’s last base rate case t</w:t>
      </w:r>
      <w:r>
        <w:rPr>
          <w:rStyle w:val="FootnoteReference"/>
        </w:rPr>
        <w:footnoteReference w:id="30"/>
      </w:r>
      <w:r w:rsidR="005E23DC">
        <w:t xml:space="preserve"> </w:t>
      </w:r>
      <w:r w:rsidR="00632A00">
        <w:t xml:space="preserve">But rather than fixing these issues now, </w:t>
      </w:r>
      <w:r w:rsidR="005E23DC">
        <w:t xml:space="preserve">Blue Ridge recommends that these balances be reflected in Dominion’s </w:t>
      </w:r>
      <w:r w:rsidRPr="00347BCC" w:rsidR="00347BCC">
        <w:rPr>
          <w:i/>
        </w:rPr>
        <w:t>next</w:t>
      </w:r>
      <w:r w:rsidR="005E23DC">
        <w:t xml:space="preserve"> base rate case.</w:t>
      </w:r>
      <w:r>
        <w:rPr>
          <w:rStyle w:val="FootnoteReference"/>
        </w:rPr>
        <w:footnoteReference w:id="31"/>
      </w:r>
      <w:r w:rsidR="005E23DC">
        <w:t xml:space="preserve"> The Staff Report agreed with this recommendation.</w:t>
      </w:r>
      <w:r>
        <w:rPr>
          <w:rStyle w:val="FootnoteReference"/>
        </w:rPr>
        <w:footnoteReference w:id="32"/>
      </w:r>
    </w:p>
    <w:p w:rsidR="007F72D1" w:rsidP="00D4185C">
      <w:pPr>
        <w:pStyle w:val="BodyTextIndent3"/>
        <w:spacing w:line="480" w:lineRule="auto"/>
      </w:pPr>
      <w:r>
        <w:t>T</w:t>
      </w:r>
      <w:r>
        <w:t xml:space="preserve">he PUCO should not adopt this recommendation. </w:t>
      </w:r>
      <w:r>
        <w:t>These adjustments were made more than a decade ago. T</w:t>
      </w:r>
      <w:r>
        <w:t>hese ratemaking adjustments should be implemented now and reflected in the calculation of charges to consumers under Rider CEP. Customers should benefit from these ratemaking adjustments</w:t>
      </w:r>
      <w:r w:rsidR="00B7455E">
        <w:t xml:space="preserve">, </w:t>
      </w:r>
      <w:r w:rsidR="00DB2909">
        <w:t>which would result in lower rates for customers</w:t>
      </w:r>
      <w:r>
        <w:t xml:space="preserve"> now, rather than waiting until Dominion’s next rate case</w:t>
      </w:r>
      <w:r w:rsidR="00B7455E">
        <w:t>.</w:t>
      </w:r>
      <w:r>
        <w:t xml:space="preserve"> </w:t>
      </w:r>
      <w:r w:rsidR="00B7455E">
        <w:t>A future rate case will</w:t>
      </w:r>
      <w:r>
        <w:t xml:space="preserve"> not likely be filed until 2024 (and therefore potentially not resolved until 2025</w:t>
      </w:r>
      <w:r w:rsidR="00FA280C">
        <w:t xml:space="preserve"> or later</w:t>
      </w:r>
      <w:r>
        <w:t>).</w:t>
      </w:r>
      <w:r w:rsidR="00DB6F1A">
        <w:t xml:space="preserve"> </w:t>
      </w:r>
      <w:r w:rsidR="00DB5164">
        <w:t xml:space="preserve">The longer the delay in making these adjustments, the more current Dominion customers will be </w:t>
      </w:r>
      <w:r w:rsidR="005A2A37">
        <w:t xml:space="preserve">made to </w:t>
      </w:r>
      <w:r w:rsidR="00DB5164">
        <w:t>provid</w:t>
      </w:r>
      <w:r w:rsidR="005A2A37">
        <w:t>e</w:t>
      </w:r>
      <w:r w:rsidR="00DB5164">
        <w:t xml:space="preserve"> a cross-generational subsidy to future Dominion customers. </w:t>
      </w:r>
    </w:p>
    <w:p w:rsidR="00B652E1" w:rsidRPr="003D6749" w:rsidP="004F5BDC">
      <w:pPr>
        <w:pStyle w:val="Heading2"/>
        <w:ind w:left="2160" w:hanging="1440"/>
      </w:pPr>
      <w:bookmarkStart w:id="6" w:name="_Toc42694221"/>
      <w:r>
        <w:t xml:space="preserve">Objection </w:t>
      </w:r>
      <w:r w:rsidR="007F72D1">
        <w:t>4</w:t>
      </w:r>
      <w:r>
        <w:t>.</w:t>
      </w:r>
      <w:r w:rsidR="004F5BDC">
        <w:tab/>
      </w:r>
      <w:r w:rsidR="00166062">
        <w:t>To protect consumers, a</w:t>
      </w:r>
      <w:r w:rsidR="009649D5">
        <w:t>ny c</w:t>
      </w:r>
      <w:r>
        <w:t>harg</w:t>
      </w:r>
      <w:r w:rsidR="009649D5">
        <w:t>es</w:t>
      </w:r>
      <w:r>
        <w:t xml:space="preserve"> to customers under Rider CEP </w:t>
      </w:r>
      <w:r w:rsidR="009649D5">
        <w:t xml:space="preserve">should be calculated </w:t>
      </w:r>
      <w:r>
        <w:t>using the most recently available customer count.</w:t>
      </w:r>
      <w:bookmarkEnd w:id="6"/>
    </w:p>
    <w:p w:rsidR="003D6749" w:rsidP="00D4185C">
      <w:pPr>
        <w:pStyle w:val="BodyTextIndent3"/>
        <w:spacing w:line="480" w:lineRule="auto"/>
      </w:pPr>
      <w:r>
        <w:t>Dominion’s proposed rate ($3.89 per month for each residential customer) is based on the average customer count from 2018.</w:t>
      </w:r>
      <w:r>
        <w:rPr>
          <w:rStyle w:val="FootnoteReference"/>
        </w:rPr>
        <w:footnoteReference w:id="33"/>
      </w:r>
      <w:r>
        <w:t xml:space="preserve"> Dominion counted 13,514,617 bills in 2018, which is equivalent to a customer count of 1,126,218.</w:t>
      </w:r>
      <w:r>
        <w:rPr>
          <w:rStyle w:val="FootnoteReference"/>
        </w:rPr>
        <w:footnoteReference w:id="34"/>
      </w:r>
      <w:r>
        <w:t xml:space="preserve"> </w:t>
      </w:r>
      <w:r w:rsidR="007F72D1">
        <w:t>It appears that the Staff Report used this same number to calculate its proposed rate of $3.87 per month for each residential customer.</w:t>
      </w:r>
      <w:r>
        <w:rPr>
          <w:rStyle w:val="FootnoteReference"/>
        </w:rPr>
        <w:footnoteReference w:id="35"/>
      </w:r>
      <w:r w:rsidR="009649D5">
        <w:t xml:space="preserve"> The charge to customers under Rider CEP should not be based on total bills from 2018 because this data is </w:t>
      </w:r>
      <w:r w:rsidR="00A134F7">
        <w:t>outdated</w:t>
      </w:r>
      <w:r w:rsidR="00166062">
        <w:t xml:space="preserve">. Instead, the most recently </w:t>
      </w:r>
      <w:r w:rsidR="009649D5">
        <w:t>available customer count should be used.</w:t>
      </w:r>
      <w:r>
        <w:rPr>
          <w:rStyle w:val="FootnoteReference"/>
        </w:rPr>
        <w:footnoteReference w:id="36"/>
      </w:r>
      <w:r w:rsidR="009649D5">
        <w:t xml:space="preserve"> For example, t</w:t>
      </w:r>
      <w:r w:rsidR="000D3CB7">
        <w:t>he number of bills increased in 2019 to 13,558,168, which is equivalent to a customer count of 1,129,847.</w:t>
      </w:r>
      <w:r>
        <w:rPr>
          <w:rStyle w:val="FootnoteReference"/>
        </w:rPr>
        <w:footnoteReference w:id="37"/>
      </w:r>
      <w:r w:rsidR="000D3CB7">
        <w:t xml:space="preserve"> </w:t>
      </w:r>
      <w:r w:rsidR="009649D5">
        <w:t>This would result in a lower rate</w:t>
      </w:r>
      <w:r w:rsidR="00FD0673">
        <w:t>—$3.87</w:t>
      </w:r>
      <w:r w:rsidR="009649D5">
        <w:t xml:space="preserve"> under the Application or </w:t>
      </w:r>
      <w:r w:rsidR="00FD0673">
        <w:t xml:space="preserve">$3.86 under </w:t>
      </w:r>
      <w:r w:rsidR="009649D5">
        <w:t>the Staff Report. When and if the PUCO approves charges to consumers under Rider CEP, Dominion should provide to the PUCO Staff the most recently</w:t>
      </w:r>
      <w:r w:rsidR="00166062">
        <w:t xml:space="preserve"> </w:t>
      </w:r>
      <w:r w:rsidR="009649D5">
        <w:t>available customer count, which should then be used to calculate the appropriate rate.</w:t>
      </w:r>
    </w:p>
    <w:p w:rsidR="00FD0673" w:rsidP="00E41E2A">
      <w:pPr>
        <w:pStyle w:val="Heading2"/>
        <w:ind w:left="2160" w:hanging="1440"/>
      </w:pPr>
      <w:bookmarkStart w:id="7" w:name="_Toc42694222"/>
      <w:r>
        <w:t>Objection 5</w:t>
      </w:r>
      <w:r w:rsidR="0069402D">
        <w:t>.</w:t>
      </w:r>
      <w:r w:rsidR="00E41E2A">
        <w:tab/>
      </w:r>
      <w:r>
        <w:t xml:space="preserve">Dominion’s replacement of </w:t>
      </w:r>
      <w:r w:rsidR="002F0CDB">
        <w:t xml:space="preserve">its </w:t>
      </w:r>
      <w:r>
        <w:t xml:space="preserve">older infrastructure should result in operational savings, and those operational savings should be passed on to customers through </w:t>
      </w:r>
      <w:r w:rsidR="002F0CDB">
        <w:t xml:space="preserve">an offset to </w:t>
      </w:r>
      <w:r>
        <w:t>the CEP Rider.</w:t>
      </w:r>
      <w:bookmarkEnd w:id="7"/>
    </w:p>
    <w:p w:rsidR="00310E97" w:rsidP="00D4185C">
      <w:pPr>
        <w:pStyle w:val="BodyTextIndent3"/>
        <w:spacing w:line="480" w:lineRule="auto"/>
      </w:pPr>
      <w:r>
        <w:t>From 2011 to 2018, Dominion spent nearly $723 million on capital investments that it seeks to include in Rider CEP.</w:t>
      </w:r>
      <w:r>
        <w:rPr>
          <w:rStyle w:val="FootnoteReference"/>
        </w:rPr>
        <w:footnoteReference w:id="38"/>
      </w:r>
      <w:r>
        <w:t xml:space="preserve"> During that period, Dominion more than doubled its annual spending on infrastructure expansion, improvement, and replacement from $41.9 million in 2012 to more than $91.8 million in 2018.</w:t>
      </w:r>
      <w:r>
        <w:rPr>
          <w:rStyle w:val="FootnoteReference"/>
        </w:rPr>
        <w:footnoteReference w:id="39"/>
      </w:r>
      <w:r>
        <w:t xml:space="preserve"> With this increased and significant spending on infrastructure, Dominion’s maintenance and other costs should be lower. In the absence of a base rate case, however, customers will not receive the benefits of such cost reductions. If customers are required to pay for this new infrastructure on an expedited basis through Rider CEP, it is only fair that they receive the benefits of such investment (</w:t>
      </w:r>
      <w:r w:rsidR="00F40885">
        <w:t xml:space="preserve">and </w:t>
      </w:r>
      <w:r>
        <w:t xml:space="preserve">lower maintenance costs) on an expedited basis as well. </w:t>
      </w:r>
      <w:r w:rsidR="00110AAF">
        <w:t xml:space="preserve">Neither the Application nor the Staff Report recommend any credit to customers for operational savings resulting from capital expenditure program investments. But they should have. </w:t>
      </w:r>
      <w:r w:rsidR="00A61AFF">
        <w:t>Dominion’s Pipeline Infrastructure Replacement (“PIR”) Program</w:t>
      </w:r>
      <w:r w:rsidR="00DB2909">
        <w:t xml:space="preserve">, which </w:t>
      </w:r>
      <w:r w:rsidR="00A61AFF">
        <w:t>also involves replacement of pipeline infrastructure</w:t>
      </w:r>
      <w:r w:rsidR="00DB2909">
        <w:t>,</w:t>
      </w:r>
      <w:r w:rsidR="00A61AFF">
        <w:t xml:space="preserve"> includes an operation and maintenance savings offset to the PIR Ri</w:t>
      </w:r>
      <w:r w:rsidR="00166062">
        <w:t xml:space="preserve">der. Rider CEP should as well. </w:t>
      </w:r>
      <w:r w:rsidR="00FD0673">
        <w:t>For example in Dominion’s most re</w:t>
      </w:r>
      <w:r w:rsidR="00642606">
        <w:t>c</w:t>
      </w:r>
      <w:r w:rsidR="00FD0673">
        <w:t xml:space="preserve">ent PIR filing, </w:t>
      </w:r>
      <w:r w:rsidR="00642606">
        <w:t>the PUCO approved more than $2.2 million in credits to customers based on reduction in costs for leak repair, corrosion remediation, and department of transportation inspections.</w:t>
      </w:r>
      <w:r>
        <w:rPr>
          <w:rStyle w:val="FootnoteReference"/>
        </w:rPr>
        <w:footnoteReference w:id="40"/>
      </w:r>
      <w:r w:rsidR="00FD0673">
        <w:t xml:space="preserve"> </w:t>
      </w:r>
      <w:r w:rsidR="00A61AFF">
        <w:t xml:space="preserve">Therefore, </w:t>
      </w:r>
      <w:r>
        <w:t>Dominion should be required to include an offset to the Rider CEP revenue requirement for any operational savings resulting from its capital expenditures</w:t>
      </w:r>
      <w:r w:rsidR="00110AAF">
        <w:t xml:space="preserve"> under t</w:t>
      </w:r>
      <w:r w:rsidR="00FA280C">
        <w:t>he capital expenditure program.</w:t>
      </w:r>
    </w:p>
    <w:p w:rsidR="009649D5" w:rsidRPr="009649D5" w:rsidP="008E26A5">
      <w:pPr>
        <w:pStyle w:val="Heading2"/>
        <w:ind w:left="2160" w:hanging="1440"/>
      </w:pPr>
      <w:bookmarkStart w:id="8" w:name="_Toc42694223"/>
      <w:r>
        <w:t>Objection 6.</w:t>
      </w:r>
      <w:r w:rsidR="008E26A5">
        <w:tab/>
      </w:r>
      <w:r w:rsidR="00166062">
        <w:t>To protect consumers, t</w:t>
      </w:r>
      <w:r>
        <w:t xml:space="preserve">he PUCO should </w:t>
      </w:r>
      <w:r w:rsidR="002F0CDB">
        <w:t xml:space="preserve">reduce the rate of return that </w:t>
      </w:r>
      <w:r>
        <w:t>Dominion</w:t>
      </w:r>
      <w:r w:rsidR="002F0CDB">
        <w:t xml:space="preserve"> proposes</w:t>
      </w:r>
      <w:r>
        <w:t xml:space="preserve"> to charge customers </w:t>
      </w:r>
      <w:r w:rsidR="002F0CDB">
        <w:t>(</w:t>
      </w:r>
      <w:r>
        <w:t xml:space="preserve">9.91% </w:t>
      </w:r>
      <w:r w:rsidR="00166062">
        <w:t>before tax</w:t>
      </w:r>
      <w:r w:rsidR="002F0CDB">
        <w:t>) because it is too high under current circumstances</w:t>
      </w:r>
      <w:r>
        <w:t>.</w:t>
      </w:r>
      <w:bookmarkEnd w:id="8"/>
    </w:p>
    <w:p w:rsidR="009649D5" w:rsidP="00D4185C">
      <w:pPr>
        <w:pStyle w:val="BodyTextIndent3"/>
        <w:spacing w:line="480" w:lineRule="auto"/>
      </w:pPr>
      <w:r>
        <w:t xml:space="preserve">Dominion proposed a 9.91% </w:t>
      </w:r>
      <w:r w:rsidR="00D7695E">
        <w:t xml:space="preserve">pre-tax </w:t>
      </w:r>
      <w:r>
        <w:t>rate of return</w:t>
      </w:r>
      <w:r w:rsidR="00D7695E">
        <w:t xml:space="preserve"> to be charged to customers under Rider CEP, which is based on its approved rate of return from its last rate case.</w:t>
      </w:r>
      <w:r>
        <w:rPr>
          <w:rStyle w:val="FootnoteReference"/>
        </w:rPr>
        <w:footnoteReference w:id="41"/>
      </w:r>
      <w:r w:rsidR="00D7695E">
        <w:t xml:space="preserve"> </w:t>
      </w:r>
      <w:r w:rsidR="00690416">
        <w:t>The Staff Report did not recommend any change to this proposed rate,</w:t>
      </w:r>
      <w:r>
        <w:rPr>
          <w:rStyle w:val="FootnoteReference"/>
        </w:rPr>
        <w:footnoteReference w:id="42"/>
      </w:r>
      <w:r w:rsidR="00690416">
        <w:t xml:space="preserve"> and the Audit Report found it “not unreasonable.”</w:t>
      </w:r>
      <w:r>
        <w:rPr>
          <w:rStyle w:val="FootnoteReference"/>
        </w:rPr>
        <w:footnoteReference w:id="43"/>
      </w:r>
      <w:r w:rsidR="00690416">
        <w:t xml:space="preserve"> </w:t>
      </w:r>
      <w:r w:rsidR="00B00277">
        <w:t>For the following reasons, t</w:t>
      </w:r>
      <w:r w:rsidR="00D7695E">
        <w:t>hat rate of return should not be used for Rider CEP.</w:t>
      </w:r>
    </w:p>
    <w:p w:rsidR="00D7695E" w:rsidP="00D4185C">
      <w:pPr>
        <w:pStyle w:val="BodyTextIndent3"/>
        <w:spacing w:line="480" w:lineRule="auto"/>
      </w:pPr>
      <w:r>
        <w:t xml:space="preserve">First, a utility’s rate of return is intended to reflect the utility’s risk as seen </w:t>
      </w:r>
      <w:r w:rsidR="00166062">
        <w:t>through</w:t>
      </w:r>
      <w:r>
        <w:t xml:space="preserve"> the eyes of an investor. When a utility </w:t>
      </w:r>
      <w:r w:rsidR="00E473A7">
        <w:t>can</w:t>
      </w:r>
      <w:r>
        <w:t xml:space="preserve"> charge customers for capital investments on an accelerated basis through a rider, as opposed to through a rate case, </w:t>
      </w:r>
      <w:r w:rsidR="00E473A7">
        <w:t xml:space="preserve">its </w:t>
      </w:r>
      <w:r>
        <w:t>risk is lower</w:t>
      </w:r>
      <w:r w:rsidR="00E473A7">
        <w:t>.</w:t>
      </w:r>
      <w:r>
        <w:rPr>
          <w:rStyle w:val="FootnoteReference"/>
        </w:rPr>
        <w:footnoteReference w:id="44"/>
      </w:r>
      <w:r>
        <w:t xml:space="preserve"> Thus, the rate of return should also be lower.</w:t>
      </w:r>
    </w:p>
    <w:p w:rsidR="000520C5" w:rsidP="00D4185C">
      <w:pPr>
        <w:pStyle w:val="BodyTextIndent3"/>
        <w:spacing w:line="480" w:lineRule="auto"/>
      </w:pPr>
      <w:r>
        <w:t xml:space="preserve">Second, Dominion’s last rate case was resolved more than 11 years ago in 2008. Market conditions have changed since 2008. </w:t>
      </w:r>
      <w:r>
        <w:t xml:space="preserve">In Vectren’s most recent base rate case, resolved less than a year ago, the PUCO approved a 7.48% </w:t>
      </w:r>
      <w:r w:rsidR="00383AE6">
        <w:t xml:space="preserve">after-tax </w:t>
      </w:r>
      <w:r>
        <w:t>rate of return.</w:t>
      </w:r>
      <w:r>
        <w:rPr>
          <w:rStyle w:val="FootnoteReference"/>
        </w:rPr>
        <w:footnoteReference w:id="45"/>
      </w:r>
      <w:r>
        <w:t xml:space="preserve"> The PUCO similarly approved a 7.26% </w:t>
      </w:r>
      <w:r w:rsidR="00383AE6">
        <w:t xml:space="preserve">after-tax </w:t>
      </w:r>
      <w:r>
        <w:t>rate of return for Suburban Natural Gas in 2019.</w:t>
      </w:r>
      <w:r>
        <w:rPr>
          <w:rStyle w:val="FootnoteReference"/>
        </w:rPr>
        <w:footnoteReference w:id="46"/>
      </w:r>
      <w:r>
        <w:t xml:space="preserve"> </w:t>
      </w:r>
      <w:r w:rsidR="00621A3E">
        <w:t xml:space="preserve">These are substantially lower than Dominion’s proposed 9.91% </w:t>
      </w:r>
      <w:r w:rsidR="00383AE6">
        <w:t xml:space="preserve">before-tax </w:t>
      </w:r>
      <w:r w:rsidR="00621A3E">
        <w:t>rate of return</w:t>
      </w:r>
      <w:r w:rsidR="00DB2909">
        <w:t xml:space="preserve">, which </w:t>
      </w:r>
      <w:r w:rsidR="00383AE6">
        <w:t>is based an after-tax rate of return of 8.49% approved in 2008 for Dominion.</w:t>
      </w:r>
      <w:r>
        <w:t xml:space="preserve"> </w:t>
      </w:r>
      <w:r w:rsidR="00383AE6">
        <w:t xml:space="preserve">This </w:t>
      </w:r>
      <w:r>
        <w:t>9.91% rate of return is particularly unreasonable because it is based on a 6.50% cost of debt</w:t>
      </w:r>
      <w:r w:rsidR="00621A3E">
        <w:t>, which far exceeds the current debt market conditions</w:t>
      </w:r>
      <w:r>
        <w:t>.</w:t>
      </w:r>
      <w:r>
        <w:rPr>
          <w:rStyle w:val="FootnoteReference"/>
        </w:rPr>
        <w:footnoteReference w:id="47"/>
      </w:r>
    </w:p>
    <w:p w:rsidR="00621A3E" w:rsidP="00D4185C">
      <w:pPr>
        <w:pStyle w:val="BodyTextIndent3"/>
        <w:spacing w:line="480" w:lineRule="auto"/>
      </w:pPr>
      <w:r>
        <w:t xml:space="preserve">The rate of return for charges to consumers under Rider CEP should be based on current market conditions, including Dominion’s </w:t>
      </w:r>
      <w:r w:rsidR="00690416">
        <w:t>current</w:t>
      </w:r>
      <w:r>
        <w:t xml:space="preserve"> cost of debt</w:t>
      </w:r>
      <w:r w:rsidR="00690416">
        <w:t xml:space="preserve"> and</w:t>
      </w:r>
      <w:r>
        <w:t xml:space="preserve"> capital structure</w:t>
      </w:r>
      <w:r w:rsidR="004B41CD">
        <w:t>. The average return on equity for gas utilities in 2019 was 9.71, and that number dropped to 9.35% in the first quarter of 2020.</w:t>
      </w:r>
      <w:r w:rsidRPr="004B41CD" w:rsidR="004B41CD">
        <w:rPr>
          <w:rStyle w:val="FootnoteReference"/>
        </w:rPr>
        <w:t xml:space="preserve"> </w:t>
      </w:r>
      <w:r>
        <w:rPr>
          <w:rStyle w:val="FootnoteReference"/>
        </w:rPr>
        <w:footnoteReference w:id="48"/>
      </w:r>
      <w:r>
        <w:t xml:space="preserve"> </w:t>
      </w:r>
      <w:r w:rsidR="004B41CD">
        <w:t xml:space="preserve">A </w:t>
      </w:r>
      <w:r>
        <w:t>reasonable return on equity</w:t>
      </w:r>
      <w:r w:rsidR="00690416">
        <w:t xml:space="preserve"> </w:t>
      </w:r>
      <w:r w:rsidR="004B41CD">
        <w:t>for Dominion’s Rider CEP would therefore be</w:t>
      </w:r>
      <w:r w:rsidR="00690416">
        <w:t xml:space="preserve"> no more than 9.60%</w:t>
      </w:r>
      <w:r>
        <w:t>.</w:t>
      </w:r>
      <w:r w:rsidR="00DB2909">
        <w:t xml:space="preserve"> </w:t>
      </w:r>
      <w:r w:rsidR="002B5102">
        <w:t xml:space="preserve">Assuming a 5.25% cost of debt and </w:t>
      </w:r>
      <w:r w:rsidR="00D4185C">
        <w:t xml:space="preserve">an approximately </w:t>
      </w:r>
      <w:r w:rsidR="002B5102">
        <w:t xml:space="preserve">50/50 capital structure, Dominion’s after-tax rate of return </w:t>
      </w:r>
      <w:r w:rsidR="006E3F2E">
        <w:t>should</w:t>
      </w:r>
      <w:r w:rsidR="002B5102">
        <w:t xml:space="preserve"> be below 7.5%, which would be consistent with </w:t>
      </w:r>
      <w:r w:rsidR="00D879B3">
        <w:t>recently approved</w:t>
      </w:r>
      <w:r w:rsidR="002B5102">
        <w:t xml:space="preserve"> rates of return for Vectren and Suburban Natural Gas.</w:t>
      </w:r>
      <w:r>
        <w:rPr>
          <w:rStyle w:val="FootnoteReference"/>
        </w:rPr>
        <w:footnoteReference w:id="49"/>
      </w:r>
    </w:p>
    <w:p w:rsidR="00CB5D16" w:rsidP="00D4185C">
      <w:pPr>
        <w:pStyle w:val="BodyTextIndent3"/>
        <w:spacing w:line="240" w:lineRule="auto"/>
      </w:pPr>
    </w:p>
    <w:p w:rsidR="000520C5" w:rsidRPr="00690416" w:rsidP="008E2499">
      <w:pPr>
        <w:pStyle w:val="Heading1"/>
      </w:pPr>
      <w:bookmarkStart w:id="9" w:name="_Toc42694224"/>
      <w:r>
        <w:t>I</w:t>
      </w:r>
      <w:r w:rsidR="006C2EF7">
        <w:t>I</w:t>
      </w:r>
      <w:r>
        <w:t>I.</w:t>
      </w:r>
      <w:r>
        <w:tab/>
        <w:t>CONCLUSION</w:t>
      </w:r>
      <w:bookmarkEnd w:id="9"/>
    </w:p>
    <w:p w:rsidR="0069402D" w:rsidP="00D4185C">
      <w:pPr>
        <w:pStyle w:val="BodyTextIndent3"/>
        <w:spacing w:line="480" w:lineRule="auto"/>
      </w:pPr>
      <w:r>
        <w:t>New charges—nearly $50 per year—should not be added to customers’ bills in the middle of the coronavirus pandemic and financial emergency. To protect consumers from paying unreasonable rates under Dominion’s proposed capital expenditure program rider, the PUCO should adopt OCC’s consumer-protection objections.</w:t>
      </w:r>
    </w:p>
    <w:p w:rsidR="00836BDA" w:rsidP="00D4185C">
      <w:pPr>
        <w:pStyle w:val="BodyTextIndent3"/>
        <w:ind w:left="3600" w:right="-672"/>
        <w:rPr>
          <w:szCs w:val="24"/>
        </w:rPr>
      </w:pPr>
      <w:r>
        <w:br w:type="page"/>
      </w:r>
      <w:r>
        <w:rPr>
          <w:szCs w:val="24"/>
        </w:rPr>
        <w:t>Respectfully submitted,</w:t>
      </w:r>
    </w:p>
    <w:p w:rsidR="00836BDA" w:rsidP="00D4185C">
      <w:pPr>
        <w:pStyle w:val="Footer"/>
        <w:tabs>
          <w:tab w:val="left" w:pos="4320"/>
          <w:tab w:val="clear" w:pos="8640"/>
        </w:tabs>
        <w:spacing w:before="240"/>
        <w:rPr>
          <w:sz w:val="24"/>
          <w:szCs w:val="24"/>
        </w:rPr>
      </w:pPr>
      <w:r>
        <w:rPr>
          <w:sz w:val="24"/>
          <w:szCs w:val="24"/>
        </w:rPr>
        <w:tab/>
        <w:t>Bruce Weston (0016973)</w:t>
      </w:r>
    </w:p>
    <w:p w:rsidR="00836BDA" w:rsidP="00D4185C">
      <w:pPr>
        <w:tabs>
          <w:tab w:val="left" w:pos="4320"/>
        </w:tabs>
        <w:rPr>
          <w:szCs w:val="24"/>
        </w:rPr>
      </w:pPr>
      <w:r>
        <w:rPr>
          <w:szCs w:val="24"/>
        </w:rPr>
        <w:tab/>
        <w:t>Ohio Consumers’ Counsel</w:t>
      </w:r>
    </w:p>
    <w:p w:rsidR="00836BDA" w:rsidP="00D4185C">
      <w:pPr>
        <w:tabs>
          <w:tab w:val="left" w:pos="4320"/>
        </w:tabs>
        <w:rPr>
          <w:szCs w:val="24"/>
        </w:rPr>
      </w:pPr>
      <w:r>
        <w:rPr>
          <w:szCs w:val="24"/>
        </w:rPr>
        <w:tab/>
      </w:r>
    </w:p>
    <w:p w:rsidR="00836BDA" w:rsidRPr="00824D53" w:rsidP="00D4185C">
      <w:pPr>
        <w:tabs>
          <w:tab w:val="left" w:pos="4320"/>
        </w:tabs>
        <w:rPr>
          <w:szCs w:val="24"/>
          <w:u w:val="single"/>
        </w:rPr>
      </w:pPr>
      <w:r>
        <w:rPr>
          <w:szCs w:val="24"/>
        </w:rPr>
        <w:tab/>
      </w:r>
      <w:r>
        <w:rPr>
          <w:szCs w:val="24"/>
          <w:u w:val="single"/>
        </w:rPr>
        <w:t xml:space="preserve">/s/ </w:t>
      </w:r>
      <w:r>
        <w:rPr>
          <w:i/>
          <w:szCs w:val="24"/>
          <w:u w:val="single"/>
        </w:rPr>
        <w:t>Christopher Healey</w:t>
      </w:r>
      <w:r>
        <w:rPr>
          <w:szCs w:val="24"/>
          <w:u w:val="single"/>
        </w:rPr>
        <w:tab/>
      </w:r>
      <w:r w:rsidR="00166062">
        <w:rPr>
          <w:szCs w:val="24"/>
          <w:u w:val="single"/>
        </w:rPr>
        <w:tab/>
      </w:r>
      <w:r w:rsidR="00166062">
        <w:rPr>
          <w:szCs w:val="24"/>
          <w:u w:val="single"/>
        </w:rPr>
        <w:tab/>
      </w:r>
    </w:p>
    <w:p w:rsidR="00836BDA" w:rsidP="00D4185C">
      <w:pPr>
        <w:tabs>
          <w:tab w:val="left" w:pos="4320"/>
        </w:tabs>
        <w:rPr>
          <w:szCs w:val="24"/>
        </w:rPr>
      </w:pPr>
      <w:r>
        <w:rPr>
          <w:szCs w:val="24"/>
        </w:rPr>
        <w:tab/>
        <w:t>Christopher Healey (0086027)</w:t>
      </w:r>
    </w:p>
    <w:p w:rsidR="00836BDA" w:rsidP="00D4185C">
      <w:pPr>
        <w:tabs>
          <w:tab w:val="left" w:pos="4320"/>
        </w:tabs>
        <w:ind w:firstLine="4320"/>
        <w:rPr>
          <w:szCs w:val="24"/>
        </w:rPr>
      </w:pPr>
      <w:r>
        <w:rPr>
          <w:szCs w:val="24"/>
        </w:rPr>
        <w:t>Counsel of Record</w:t>
      </w:r>
    </w:p>
    <w:p w:rsidR="00836BDA" w:rsidP="00D4185C">
      <w:pPr>
        <w:tabs>
          <w:tab w:val="left" w:pos="4320"/>
        </w:tabs>
        <w:rPr>
          <w:szCs w:val="24"/>
        </w:rPr>
      </w:pPr>
      <w:r>
        <w:rPr>
          <w:szCs w:val="24"/>
        </w:rPr>
        <w:tab/>
        <w:t xml:space="preserve">William </w:t>
      </w:r>
      <w:r w:rsidR="00CB5D16">
        <w:rPr>
          <w:szCs w:val="24"/>
        </w:rPr>
        <w:t xml:space="preserve">J. </w:t>
      </w:r>
      <w:r>
        <w:rPr>
          <w:szCs w:val="24"/>
        </w:rPr>
        <w:t>Michael (0070921)</w:t>
      </w:r>
    </w:p>
    <w:p w:rsidR="00836BDA" w:rsidP="00D4185C">
      <w:pPr>
        <w:tabs>
          <w:tab w:val="left" w:pos="4320"/>
        </w:tabs>
        <w:ind w:firstLine="4320"/>
        <w:rPr>
          <w:szCs w:val="24"/>
        </w:rPr>
      </w:pPr>
      <w:r>
        <w:rPr>
          <w:szCs w:val="24"/>
        </w:rPr>
        <w:t>Assistant Consumers’ Counsel</w:t>
      </w:r>
    </w:p>
    <w:p w:rsidR="008E2499" w:rsidP="00D4185C">
      <w:pPr>
        <w:tabs>
          <w:tab w:val="left" w:pos="4320"/>
        </w:tabs>
        <w:ind w:firstLine="4320"/>
        <w:rPr>
          <w:szCs w:val="24"/>
        </w:rPr>
      </w:pPr>
    </w:p>
    <w:p w:rsidR="00836BDA" w:rsidRPr="008E2499" w:rsidP="008E2499">
      <w:pPr>
        <w:rPr>
          <w:b/>
          <w:bCs/>
        </w:rPr>
      </w:pPr>
      <w:r>
        <w:tab/>
      </w:r>
      <w:r>
        <w:tab/>
      </w:r>
      <w:r>
        <w:tab/>
      </w:r>
      <w:r>
        <w:tab/>
      </w:r>
      <w:r>
        <w:tab/>
      </w:r>
      <w:r>
        <w:tab/>
      </w:r>
      <w:r w:rsidRPr="008E2499">
        <w:rPr>
          <w:b/>
          <w:bCs/>
        </w:rPr>
        <w:t>Office of the Ohio Consumers’ Counsel</w:t>
      </w:r>
    </w:p>
    <w:p w:rsidR="00836BDA" w:rsidP="008E2499">
      <w:pPr>
        <w:rPr>
          <w:b/>
        </w:rPr>
      </w:pPr>
      <w:r>
        <w:tab/>
      </w:r>
      <w:r>
        <w:tab/>
      </w:r>
      <w:r>
        <w:tab/>
      </w:r>
      <w:r>
        <w:tab/>
      </w:r>
      <w:r>
        <w:tab/>
      </w:r>
      <w:r>
        <w:tab/>
        <w:t>65 East State Street, 7th Floor</w:t>
      </w:r>
    </w:p>
    <w:p w:rsidR="00836BDA" w:rsidP="008E2499">
      <w:pPr>
        <w:rPr>
          <w:b/>
        </w:rPr>
      </w:pPr>
      <w:r>
        <w:tab/>
      </w:r>
      <w:r w:rsidR="008E2499">
        <w:tab/>
      </w:r>
      <w:r w:rsidR="008E2499">
        <w:tab/>
      </w:r>
      <w:r w:rsidR="008E2499">
        <w:tab/>
      </w:r>
      <w:r w:rsidR="008E2499">
        <w:tab/>
      </w:r>
      <w:r w:rsidR="008E2499">
        <w:tab/>
      </w:r>
      <w:r>
        <w:t>Columbus, Ohio 43215-4213</w:t>
      </w:r>
    </w:p>
    <w:p w:rsidR="00836BDA" w:rsidP="008E2499">
      <w:pPr>
        <w:ind w:left="3600" w:firstLine="720"/>
        <w:rPr>
          <w:szCs w:val="24"/>
        </w:rPr>
      </w:pPr>
      <w:r>
        <w:rPr>
          <w:szCs w:val="24"/>
        </w:rPr>
        <w:t>Telephone [Healey]: (614) 466-9571</w:t>
      </w:r>
    </w:p>
    <w:p w:rsidR="00836BDA" w:rsidP="00D4185C">
      <w:pPr>
        <w:autoSpaceDE w:val="0"/>
        <w:autoSpaceDN w:val="0"/>
        <w:adjustRightInd w:val="0"/>
        <w:ind w:left="3600" w:firstLine="720"/>
        <w:rPr>
          <w:szCs w:val="24"/>
        </w:rPr>
      </w:pPr>
      <w:r>
        <w:rPr>
          <w:szCs w:val="24"/>
        </w:rPr>
        <w:t>Telephone [Michael]: (614) 466-1291</w:t>
      </w:r>
    </w:p>
    <w:p w:rsidR="00836BDA" w:rsidP="00D4185C">
      <w:pPr>
        <w:rPr>
          <w:szCs w:val="24"/>
        </w:rPr>
      </w:pPr>
      <w:r>
        <w:rPr>
          <w:szCs w:val="24"/>
        </w:rPr>
        <w:tab/>
      </w:r>
      <w:r>
        <w:rPr>
          <w:szCs w:val="24"/>
        </w:rPr>
        <w:tab/>
      </w:r>
      <w:r>
        <w:rPr>
          <w:szCs w:val="24"/>
        </w:rPr>
        <w:tab/>
      </w:r>
      <w:r>
        <w:rPr>
          <w:szCs w:val="24"/>
        </w:rPr>
        <w:tab/>
      </w:r>
      <w:r>
        <w:rPr>
          <w:szCs w:val="24"/>
        </w:rPr>
        <w:tab/>
      </w:r>
      <w:r>
        <w:rPr>
          <w:szCs w:val="24"/>
        </w:rPr>
        <w:tab/>
      </w:r>
      <w:hyperlink r:id="rId6" w:history="1">
        <w:r w:rsidRPr="00742DDD">
          <w:rPr>
            <w:rStyle w:val="Hyperlink"/>
            <w:szCs w:val="24"/>
          </w:rPr>
          <w:t>christopher.healey@occ.ohio.gov</w:t>
        </w:r>
      </w:hyperlink>
    </w:p>
    <w:p w:rsidR="00836BDA" w:rsidP="00D4185C">
      <w:pPr>
        <w:rPr>
          <w:szCs w:val="24"/>
        </w:rPr>
      </w:pPr>
      <w:r>
        <w:rPr>
          <w:szCs w:val="24"/>
        </w:rPr>
        <w:tab/>
      </w:r>
      <w:r>
        <w:rPr>
          <w:szCs w:val="24"/>
        </w:rPr>
        <w:tab/>
      </w:r>
      <w:r>
        <w:rPr>
          <w:szCs w:val="24"/>
        </w:rPr>
        <w:tab/>
      </w:r>
      <w:r>
        <w:rPr>
          <w:szCs w:val="24"/>
        </w:rPr>
        <w:tab/>
      </w:r>
      <w:r>
        <w:rPr>
          <w:szCs w:val="24"/>
        </w:rPr>
        <w:tab/>
      </w:r>
      <w:r>
        <w:rPr>
          <w:szCs w:val="24"/>
        </w:rPr>
        <w:tab/>
      </w:r>
      <w:hyperlink r:id="rId7" w:history="1">
        <w:r w:rsidRPr="00742DDD">
          <w:rPr>
            <w:rStyle w:val="Hyperlink"/>
            <w:szCs w:val="24"/>
          </w:rPr>
          <w:t>william.michael@occ.ohio.gov</w:t>
        </w:r>
      </w:hyperlink>
    </w:p>
    <w:p w:rsidR="00836BDA" w:rsidP="00D4185C">
      <w:pPr>
        <w:rPr>
          <w:szCs w:val="24"/>
        </w:rPr>
      </w:pPr>
      <w:r>
        <w:rPr>
          <w:szCs w:val="24"/>
        </w:rPr>
        <w:tab/>
      </w:r>
      <w:r>
        <w:rPr>
          <w:szCs w:val="24"/>
        </w:rPr>
        <w:tab/>
      </w:r>
      <w:r>
        <w:rPr>
          <w:szCs w:val="24"/>
        </w:rPr>
        <w:tab/>
      </w:r>
      <w:r>
        <w:rPr>
          <w:szCs w:val="24"/>
        </w:rPr>
        <w:tab/>
      </w:r>
      <w:r>
        <w:rPr>
          <w:szCs w:val="24"/>
        </w:rPr>
        <w:tab/>
      </w:r>
      <w:r>
        <w:rPr>
          <w:szCs w:val="24"/>
        </w:rPr>
        <w:tab/>
        <w:t>(will</w:t>
      </w:r>
      <w:r w:rsidR="00CB5D16">
        <w:rPr>
          <w:szCs w:val="24"/>
        </w:rPr>
        <w:t>ing to</w:t>
      </w:r>
      <w:r>
        <w:rPr>
          <w:szCs w:val="24"/>
        </w:rPr>
        <w:t xml:space="preserve"> accept service </w:t>
      </w:r>
      <w:r w:rsidR="00CB5D16">
        <w:rPr>
          <w:szCs w:val="24"/>
        </w:rPr>
        <w:t>by</w:t>
      </w:r>
      <w:r>
        <w:rPr>
          <w:szCs w:val="24"/>
        </w:rPr>
        <w:t xml:space="preserve"> email)</w:t>
      </w:r>
    </w:p>
    <w:p w:rsidR="00836BDA" w:rsidP="00D4185C">
      <w:pPr>
        <w:rPr>
          <w:szCs w:val="24"/>
        </w:rPr>
      </w:pPr>
      <w:r>
        <w:rPr>
          <w:szCs w:val="24"/>
        </w:rPr>
        <w:tab/>
      </w:r>
      <w:r>
        <w:rPr>
          <w:szCs w:val="24"/>
        </w:rPr>
        <w:tab/>
      </w:r>
      <w:r>
        <w:rPr>
          <w:szCs w:val="24"/>
        </w:rPr>
        <w:tab/>
      </w:r>
      <w:r>
        <w:rPr>
          <w:szCs w:val="24"/>
        </w:rPr>
        <w:tab/>
      </w:r>
      <w:r>
        <w:rPr>
          <w:szCs w:val="24"/>
        </w:rPr>
        <w:tab/>
      </w:r>
      <w:r>
        <w:rPr>
          <w:szCs w:val="24"/>
        </w:rPr>
        <w:tab/>
      </w:r>
    </w:p>
    <w:p w:rsidR="00836BDA" w:rsidP="00D4185C">
      <w:pPr>
        <w:ind w:left="4320" w:firstLine="720"/>
        <w:jc w:val="both"/>
      </w:pPr>
    </w:p>
    <w:p w:rsidR="00CB5D16" w:rsidP="00D4185C">
      <w:pPr>
        <w:rPr>
          <w:b/>
          <w:bCs/>
          <w:u w:val="single"/>
        </w:rPr>
      </w:pPr>
      <w:r>
        <w:rPr>
          <w:b/>
          <w:bCs/>
          <w:u w:val="single"/>
        </w:rPr>
        <w:br w:type="page"/>
      </w:r>
    </w:p>
    <w:p w:rsidR="00836BDA" w:rsidP="00D4185C">
      <w:pPr>
        <w:jc w:val="center"/>
        <w:rPr>
          <w:b/>
          <w:bCs/>
          <w:u w:val="single"/>
        </w:rPr>
      </w:pPr>
      <w:r>
        <w:rPr>
          <w:b/>
          <w:bCs/>
          <w:u w:val="single"/>
        </w:rPr>
        <w:t>CERTIFICATE OF SERVICE</w:t>
      </w:r>
    </w:p>
    <w:p w:rsidR="00836BDA" w:rsidP="00D4185C">
      <w:pPr>
        <w:spacing w:line="480" w:lineRule="atLeast"/>
      </w:pPr>
      <w:r>
        <w:tab/>
        <w:t>I hereby certify that a copy of th</w:t>
      </w:r>
      <w:r w:rsidR="00DC61DF">
        <w:t xml:space="preserve">ese Objections </w:t>
      </w:r>
      <w:r w:rsidR="004B4DFA">
        <w:t>was</w:t>
      </w:r>
      <w:r>
        <w:t xml:space="preserve"> served on the persons stated below </w:t>
      </w:r>
      <w:r w:rsidRPr="009D37EA">
        <w:t xml:space="preserve">via </w:t>
      </w:r>
      <w:r>
        <w:t xml:space="preserve">electronic transmission, this </w:t>
      </w:r>
      <w:r w:rsidR="00DC61DF">
        <w:t>10th</w:t>
      </w:r>
      <w:r>
        <w:t xml:space="preserve"> day of </w:t>
      </w:r>
      <w:r w:rsidR="00DC61DF">
        <w:t>June 2020</w:t>
      </w:r>
      <w:r>
        <w:t>.</w:t>
      </w:r>
    </w:p>
    <w:p w:rsidR="00836BDA" w:rsidP="00D4185C">
      <w:pPr>
        <w:spacing w:line="480" w:lineRule="atLeast"/>
      </w:pPr>
    </w:p>
    <w:p w:rsidR="00836BDA" w:rsidRPr="00460D90" w:rsidP="00D4185C">
      <w:pPr>
        <w:tabs>
          <w:tab w:val="left" w:pos="4320"/>
        </w:tabs>
        <w:rPr>
          <w:iCs/>
          <w:u w:val="single"/>
        </w:rPr>
      </w:pPr>
      <w:r>
        <w:tab/>
      </w:r>
      <w:r>
        <w:rPr>
          <w:i/>
          <w:iCs/>
          <w:u w:val="single"/>
        </w:rPr>
        <w:t>/s/ Christopher Healey</w:t>
      </w:r>
      <w:r>
        <w:rPr>
          <w:iCs/>
          <w:u w:val="single"/>
        </w:rPr>
        <w:tab/>
      </w:r>
      <w:r>
        <w:rPr>
          <w:iCs/>
          <w:u w:val="single"/>
        </w:rPr>
        <w:tab/>
      </w:r>
    </w:p>
    <w:p w:rsidR="00836BDA" w:rsidP="00D4185C">
      <w:pPr>
        <w:tabs>
          <w:tab w:val="left" w:pos="4320"/>
        </w:tabs>
      </w:pPr>
      <w:r>
        <w:tab/>
        <w:t>Christopher Healey</w:t>
      </w:r>
    </w:p>
    <w:p w:rsidR="00836BDA" w:rsidP="00D4185C">
      <w:pPr>
        <w:tabs>
          <w:tab w:val="left" w:pos="4320"/>
        </w:tabs>
      </w:pPr>
      <w:r>
        <w:tab/>
        <w:t>Assistant Consumers’ Counsel</w:t>
      </w:r>
    </w:p>
    <w:p w:rsidR="00836BDA" w:rsidP="00D4185C">
      <w:pPr>
        <w:pStyle w:val="CommentSubject"/>
      </w:pPr>
    </w:p>
    <w:p w:rsidR="00836BDA" w:rsidP="00D4185C">
      <w:pPr>
        <w:pStyle w:val="CommentText"/>
      </w:pPr>
    </w:p>
    <w:p w:rsidR="00836BDA" w:rsidP="00D4185C">
      <w:pPr>
        <w:pStyle w:val="CommentText"/>
        <w:jc w:val="center"/>
        <w:rPr>
          <w:b/>
          <w:u w:val="single"/>
        </w:rPr>
      </w:pPr>
      <w:r>
        <w:rPr>
          <w:b/>
          <w:u w:val="single"/>
        </w:rPr>
        <w:t>SERVICE LIST</w:t>
      </w:r>
    </w:p>
    <w:p w:rsidR="00836BDA" w:rsidP="00D4185C">
      <w:pPr>
        <w:pStyle w:val="CommentText"/>
        <w:jc w:val="center"/>
        <w:rPr>
          <w:b/>
          <w:u w:val="single"/>
        </w:rPr>
      </w:pPr>
    </w:p>
    <w:p w:rsidR="00836BDA" w:rsidP="00D4185C">
      <w:pPr>
        <w:pStyle w:val="BodyText"/>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56"/>
        <w:gridCol w:w="4797"/>
      </w:tblGrid>
      <w:tr w:rsidTr="00D7456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56" w:type="dxa"/>
          </w:tcPr>
          <w:p w:rsidR="00D74569" w:rsidRPr="00FC0F0B" w:rsidP="00D4185C">
            <w:pPr>
              <w:pStyle w:val="BodyText"/>
              <w:rPr>
                <w:color w:val="0000FF"/>
                <w:szCs w:val="24"/>
              </w:rPr>
            </w:pPr>
            <w:hyperlink r:id="rId11" w:history="1">
              <w:r w:rsidRPr="00E705C3" w:rsidR="001277C8">
                <w:rPr>
                  <w:rStyle w:val="Hyperlink"/>
                </w:rPr>
                <w:t>werner.margard@ohioattorneygeneral.gov</w:t>
              </w:r>
            </w:hyperlink>
            <w:r>
              <w:t xml:space="preserve"> </w:t>
            </w:r>
          </w:p>
          <w:p w:rsidR="00836BDA" w:rsidRPr="00FE7F0A" w:rsidP="00D4185C">
            <w:pPr>
              <w:pStyle w:val="BodyText"/>
              <w:rPr>
                <w:rFonts w:asciiTheme="majorBidi" w:hAnsiTheme="majorBidi" w:cstheme="majorBidi"/>
                <w:szCs w:val="24"/>
              </w:rPr>
            </w:pPr>
          </w:p>
          <w:p w:rsidR="00836BDA" w:rsidP="00D4185C">
            <w:pPr>
              <w:pStyle w:val="BodyText"/>
              <w:rPr>
                <w:rFonts w:asciiTheme="majorBidi" w:hAnsiTheme="majorBidi" w:cstheme="majorBidi"/>
                <w:szCs w:val="24"/>
              </w:rPr>
            </w:pPr>
            <w:r w:rsidRPr="00FE7F0A">
              <w:rPr>
                <w:rFonts w:asciiTheme="majorBidi" w:hAnsiTheme="majorBidi" w:cstheme="majorBidi"/>
                <w:szCs w:val="24"/>
              </w:rPr>
              <w:t>Attorney Examiner:</w:t>
            </w:r>
          </w:p>
          <w:p w:rsidR="00836BDA" w:rsidP="00D4185C">
            <w:pPr>
              <w:pStyle w:val="BodyText"/>
              <w:rPr>
                <w:rFonts w:asciiTheme="majorBidi" w:hAnsiTheme="majorBidi" w:cstheme="majorBidi"/>
                <w:szCs w:val="24"/>
              </w:rPr>
            </w:pPr>
          </w:p>
          <w:p w:rsidR="00836BDA" w:rsidP="00D4185C">
            <w:pPr>
              <w:pStyle w:val="BodyText"/>
              <w:rPr>
                <w:rFonts w:asciiTheme="majorBidi" w:hAnsiTheme="majorBidi" w:cstheme="majorBidi"/>
                <w:szCs w:val="24"/>
              </w:rPr>
            </w:pPr>
            <w:hyperlink r:id="rId12" w:history="1">
              <w:r w:rsidRPr="00E705C3" w:rsidR="001277C8">
                <w:rPr>
                  <w:rStyle w:val="Hyperlink"/>
                </w:rPr>
                <w:t>a</w:t>
              </w:r>
              <w:r w:rsidRPr="00E705C3" w:rsidR="001277C8">
                <w:rPr>
                  <w:rStyle w:val="Hyperlink"/>
                  <w:rFonts w:asciiTheme="majorBidi" w:hAnsiTheme="majorBidi" w:cstheme="majorBidi"/>
                  <w:szCs w:val="24"/>
                </w:rPr>
                <w:t>nna.sanyal@puco.ohio.gov</w:t>
              </w:r>
            </w:hyperlink>
          </w:p>
          <w:p w:rsidR="00836BDA" w:rsidRPr="00FE7F0A" w:rsidP="00D4185C">
            <w:pPr>
              <w:pStyle w:val="BodyText"/>
              <w:rPr>
                <w:rFonts w:asciiTheme="majorBidi" w:hAnsiTheme="majorBidi" w:cstheme="majorBidi"/>
                <w:szCs w:val="24"/>
              </w:rPr>
            </w:pPr>
            <w:hyperlink r:id="rId13" w:history="1">
              <w:r w:rsidRPr="00E705C3" w:rsidR="001277C8">
                <w:rPr>
                  <w:rStyle w:val="Hyperlink"/>
                </w:rPr>
                <w:t>g</w:t>
              </w:r>
              <w:r w:rsidRPr="00E705C3" w:rsidR="001277C8">
                <w:rPr>
                  <w:rStyle w:val="Hyperlink"/>
                  <w:rFonts w:asciiTheme="majorBidi" w:hAnsiTheme="majorBidi" w:cstheme="majorBidi"/>
                  <w:szCs w:val="24"/>
                </w:rPr>
                <w:t>reta.see@puco.ohio.gov</w:t>
              </w:r>
            </w:hyperlink>
            <w:r w:rsidRPr="00FE7F0A">
              <w:rPr>
                <w:rFonts w:asciiTheme="majorBidi" w:hAnsiTheme="majorBidi" w:cstheme="majorBidi"/>
                <w:szCs w:val="24"/>
              </w:rPr>
              <w:t xml:space="preserve"> </w:t>
            </w:r>
          </w:p>
        </w:tc>
        <w:tc>
          <w:tcPr>
            <w:tcW w:w="4797" w:type="dxa"/>
          </w:tcPr>
          <w:p w:rsidR="00D74569" w:rsidRPr="00003256" w:rsidP="00D4185C">
            <w:pPr>
              <w:autoSpaceDE w:val="0"/>
              <w:autoSpaceDN w:val="0"/>
              <w:adjustRightInd w:val="0"/>
              <w:ind w:left="541"/>
              <w:rPr>
                <w:szCs w:val="24"/>
                <w:lang w:bidi="he-IL"/>
              </w:rPr>
            </w:pPr>
            <w:hyperlink r:id="rId14" w:history="1">
              <w:r w:rsidRPr="00003256">
                <w:rPr>
                  <w:rStyle w:val="Hyperlink"/>
                  <w:szCs w:val="24"/>
                  <w:lang w:bidi="he-IL"/>
                </w:rPr>
                <w:t>whitt@whitt-sturtevant.com</w:t>
              </w:r>
            </w:hyperlink>
          </w:p>
          <w:p w:rsidR="00D74569" w:rsidRPr="00003256" w:rsidP="00D4185C">
            <w:pPr>
              <w:autoSpaceDE w:val="0"/>
              <w:autoSpaceDN w:val="0"/>
              <w:adjustRightInd w:val="0"/>
              <w:ind w:left="541"/>
              <w:rPr>
                <w:szCs w:val="24"/>
                <w:lang w:bidi="he-IL"/>
              </w:rPr>
            </w:pPr>
            <w:hyperlink r:id="rId15" w:history="1">
              <w:r w:rsidRPr="00003256">
                <w:rPr>
                  <w:rStyle w:val="Hyperlink"/>
                  <w:szCs w:val="24"/>
                  <w:lang w:bidi="he-IL"/>
                </w:rPr>
                <w:t>kennedy@whitt-sturtevant.com</w:t>
              </w:r>
            </w:hyperlink>
          </w:p>
          <w:p w:rsidR="00D74569" w:rsidRPr="00003256" w:rsidP="00D4185C">
            <w:pPr>
              <w:pStyle w:val="BodyText"/>
              <w:ind w:left="541"/>
              <w:rPr>
                <w:szCs w:val="24"/>
                <w:lang w:bidi="he-IL"/>
              </w:rPr>
            </w:pPr>
            <w:hyperlink r:id="rId16" w:history="1">
              <w:r w:rsidRPr="00003256">
                <w:rPr>
                  <w:rStyle w:val="Hyperlink"/>
                  <w:szCs w:val="24"/>
                  <w:lang w:bidi="he-IL"/>
                </w:rPr>
                <w:t>glover@whitt-sturtevant.com</w:t>
              </w:r>
            </w:hyperlink>
          </w:p>
          <w:p w:rsidR="00D74569" w:rsidRPr="00003256" w:rsidP="00D4185C">
            <w:pPr>
              <w:pStyle w:val="BodyText"/>
              <w:ind w:left="541"/>
              <w:rPr>
                <w:szCs w:val="24"/>
              </w:rPr>
            </w:pPr>
            <w:hyperlink r:id="rId17" w:history="1">
              <w:r w:rsidRPr="00003256">
                <w:rPr>
                  <w:rStyle w:val="Hyperlink"/>
                  <w:szCs w:val="24"/>
                </w:rPr>
                <w:t>andrew.j.campbell@dominionenergy.com</w:t>
              </w:r>
            </w:hyperlink>
          </w:p>
          <w:p w:rsidR="00D74569" w:rsidP="00D4185C">
            <w:pPr>
              <w:pStyle w:val="BodyText"/>
              <w:ind w:left="541"/>
              <w:rPr>
                <w:rStyle w:val="Hyperlink"/>
                <w:lang w:bidi="he-IL"/>
              </w:rPr>
            </w:pPr>
            <w:hyperlink r:id="rId18" w:history="1">
              <w:r w:rsidRPr="00DE0FE3">
                <w:rPr>
                  <w:rStyle w:val="Hyperlink"/>
                  <w:szCs w:val="24"/>
                  <w:lang w:bidi="he-IL"/>
                </w:rPr>
                <w:t>gkrassen@bricker.com</w:t>
              </w:r>
            </w:hyperlink>
          </w:p>
          <w:p w:rsidR="00D74569" w:rsidRPr="00DE0FE3" w:rsidP="00D4185C">
            <w:pPr>
              <w:pStyle w:val="BodyText"/>
              <w:ind w:left="541"/>
              <w:rPr>
                <w:szCs w:val="24"/>
                <w:lang w:bidi="he-IL"/>
              </w:rPr>
            </w:pPr>
            <w:r>
              <w:rPr>
                <w:rStyle w:val="Hyperlink"/>
                <w:lang w:bidi="he-IL"/>
              </w:rPr>
              <w:t>dstinson@bricker.com</w:t>
            </w:r>
          </w:p>
          <w:p w:rsidR="00836BDA" w:rsidRPr="00FE7F0A" w:rsidP="00D4185C">
            <w:pPr>
              <w:pStyle w:val="BodyText"/>
              <w:ind w:left="598" w:hanging="598"/>
              <w:rPr>
                <w:rFonts w:asciiTheme="majorBidi" w:hAnsiTheme="majorBidi" w:cstheme="majorBidi"/>
                <w:szCs w:val="24"/>
              </w:rPr>
            </w:pPr>
          </w:p>
        </w:tc>
      </w:tr>
    </w:tbl>
    <w:p w:rsidR="00836BDA" w:rsidP="00D4185C">
      <w:pPr>
        <w:pStyle w:val="BodyText"/>
        <w:rPr>
          <w:b/>
          <w:bCs/>
        </w:rPr>
      </w:pPr>
    </w:p>
    <w:p w:rsidR="00D4185C">
      <w:pPr>
        <w:pStyle w:val="BodyText"/>
        <w:rPr>
          <w:b/>
          <w:bCs/>
        </w:rPr>
      </w:pPr>
    </w:p>
    <w:sectPr w:rsidSect="00C0060E">
      <w:footerReference w:type="first" r:id="rId19"/>
      <w:pgSz w:w="12240" w:h="15840"/>
      <w:pgMar w:top="1440" w:right="1440" w:bottom="1440" w:left="1440" w:header="720" w:footer="720" w:gutter="0"/>
      <w:pgNumType w:start="2"/>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59126282"/>
      <w:docPartObj>
        <w:docPartGallery w:val="Page Numbers (Bottom of Page)"/>
        <w:docPartUnique/>
      </w:docPartObj>
    </w:sdtPr>
    <w:sdtEndPr>
      <w:rPr>
        <w:noProof/>
        <w:sz w:val="24"/>
        <w:szCs w:val="24"/>
      </w:rPr>
    </w:sdtEndPr>
    <w:sdtContent>
      <w:p w:rsidR="006E3F2E" w:rsidRPr="00FE7F0A">
        <w:pPr>
          <w:pStyle w:val="Footer"/>
          <w:jc w:val="center"/>
          <w:rPr>
            <w:sz w:val="24"/>
            <w:szCs w:val="24"/>
          </w:rPr>
        </w:pPr>
        <w:r w:rsidRPr="00FE7F0A">
          <w:rPr>
            <w:sz w:val="24"/>
            <w:szCs w:val="24"/>
          </w:rPr>
          <w:fldChar w:fldCharType="begin"/>
        </w:r>
        <w:r w:rsidRPr="00FE7F0A">
          <w:rPr>
            <w:sz w:val="24"/>
            <w:szCs w:val="24"/>
          </w:rPr>
          <w:instrText xml:space="preserve"> PAGE   \* MERGEFORMAT </w:instrText>
        </w:r>
        <w:r w:rsidRPr="00FE7F0A">
          <w:rPr>
            <w:sz w:val="24"/>
            <w:szCs w:val="24"/>
          </w:rPr>
          <w:fldChar w:fldCharType="separate"/>
        </w:r>
        <w:r w:rsidR="00FA280C">
          <w:rPr>
            <w:noProof/>
            <w:sz w:val="24"/>
            <w:szCs w:val="24"/>
          </w:rPr>
          <w:t>14</w:t>
        </w:r>
        <w:r w:rsidRPr="00FE7F0A">
          <w:rPr>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7538554"/>
      <w:docPartObj>
        <w:docPartGallery w:val="Page Numbers (Bottom of Page)"/>
        <w:docPartUnique/>
      </w:docPartObj>
    </w:sdtPr>
    <w:sdtEndPr>
      <w:rPr>
        <w:noProof/>
        <w:sz w:val="24"/>
        <w:szCs w:val="24"/>
      </w:rPr>
    </w:sdtEndPr>
    <w:sdtContent>
      <w:p w:rsidR="00920B1D" w:rsidRPr="00920B1D">
        <w:pPr>
          <w:pStyle w:val="Footer"/>
          <w:jc w:val="center"/>
          <w:rPr>
            <w:sz w:val="24"/>
            <w:szCs w:val="24"/>
          </w:rPr>
        </w:pPr>
        <w:r w:rsidRPr="00920B1D">
          <w:rPr>
            <w:sz w:val="24"/>
            <w:szCs w:val="24"/>
          </w:rPr>
          <w:fldChar w:fldCharType="begin"/>
        </w:r>
        <w:r w:rsidRPr="00920B1D">
          <w:rPr>
            <w:sz w:val="24"/>
            <w:szCs w:val="24"/>
          </w:rPr>
          <w:instrText xml:space="preserve"> PAGE   \* MERGEFORMAT </w:instrText>
        </w:r>
        <w:r w:rsidRPr="00920B1D">
          <w:rPr>
            <w:sz w:val="24"/>
            <w:szCs w:val="24"/>
          </w:rPr>
          <w:fldChar w:fldCharType="separate"/>
        </w:r>
        <w:r w:rsidRPr="00920B1D">
          <w:rPr>
            <w:noProof/>
            <w:sz w:val="24"/>
            <w:szCs w:val="24"/>
          </w:rPr>
          <w:t>2</w:t>
        </w:r>
        <w:r w:rsidRPr="00920B1D">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1397" w:rsidRPr="00C0060E">
    <w:pPr>
      <w:pStyle w:val="Footer"/>
      <w:jc w:val="center"/>
      <w:rPr>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18353435"/>
      <w:docPartObj>
        <w:docPartGallery w:val="Page Numbers (Bottom of Page)"/>
        <w:docPartUnique/>
      </w:docPartObj>
    </w:sdtPr>
    <w:sdtEndPr>
      <w:rPr>
        <w:noProof/>
        <w:sz w:val="24"/>
        <w:szCs w:val="24"/>
      </w:rPr>
    </w:sdtEndPr>
    <w:sdtContent>
      <w:p w:rsidR="00C0060E" w:rsidRPr="00C0060E">
        <w:pPr>
          <w:pStyle w:val="Footer"/>
          <w:jc w:val="center"/>
          <w:rPr>
            <w:sz w:val="24"/>
            <w:szCs w:val="24"/>
          </w:rPr>
        </w:pPr>
        <w:r w:rsidRPr="00C0060E">
          <w:rPr>
            <w:sz w:val="24"/>
            <w:szCs w:val="24"/>
          </w:rPr>
          <w:fldChar w:fldCharType="begin"/>
        </w:r>
        <w:r w:rsidRPr="00C0060E">
          <w:rPr>
            <w:sz w:val="24"/>
            <w:szCs w:val="24"/>
          </w:rPr>
          <w:instrText xml:space="preserve"> PAGE   \* MERGEFORMAT </w:instrText>
        </w:r>
        <w:r w:rsidRPr="00C0060E">
          <w:rPr>
            <w:sz w:val="24"/>
            <w:szCs w:val="24"/>
          </w:rPr>
          <w:fldChar w:fldCharType="separate"/>
        </w:r>
        <w:r w:rsidRPr="00C0060E">
          <w:rPr>
            <w:noProof/>
            <w:sz w:val="24"/>
            <w:szCs w:val="24"/>
          </w:rPr>
          <w:t>2</w:t>
        </w:r>
        <w:r w:rsidRPr="00C0060E">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F1D60">
      <w:r>
        <w:separator/>
      </w:r>
    </w:p>
  </w:footnote>
  <w:footnote w:type="continuationSeparator" w:id="1">
    <w:p w:rsidR="003F1D60">
      <w:r>
        <w:continuationSeparator/>
      </w:r>
    </w:p>
  </w:footnote>
  <w:footnote w:id="2">
    <w:p w:rsidR="006E3F2E" w:rsidP="00D4185C">
      <w:pPr>
        <w:pStyle w:val="FootnoteText"/>
        <w:spacing w:after="120"/>
      </w:pPr>
      <w:r>
        <w:rPr>
          <w:rStyle w:val="FootnoteReference"/>
        </w:rPr>
        <w:footnoteRef/>
      </w:r>
      <w:r>
        <w:t xml:space="preserve"> Application, Ex. I, Schedule 3.</w:t>
      </w:r>
    </w:p>
  </w:footnote>
  <w:footnote w:id="3">
    <w:p w:rsidR="007F0AC4" w:rsidP="00D4185C">
      <w:pPr>
        <w:pStyle w:val="FootnoteText"/>
        <w:spacing w:after="120"/>
      </w:pPr>
      <w:r>
        <w:rPr>
          <w:rStyle w:val="FootnoteReference"/>
        </w:rPr>
        <w:footnoteRef/>
      </w:r>
      <w:r>
        <w:t xml:space="preserve"> While OCC’s stated position on natural gas alternative regulation and single-issue ratemaking noted herein are not specifically included as Objections to Dominion’s Capital Expenditure Program, OCC’s Objections do contain elements of OCC’s stated positions on these ratemaking issues.</w:t>
      </w:r>
    </w:p>
  </w:footnote>
  <w:footnote w:id="4">
    <w:p w:rsidR="006E3F2E" w:rsidP="00D4185C">
      <w:pPr>
        <w:pStyle w:val="FootnoteText"/>
        <w:spacing w:after="120"/>
      </w:pPr>
      <w:r>
        <w:rPr>
          <w:rStyle w:val="FootnoteReference"/>
        </w:rPr>
        <w:footnoteRef/>
      </w:r>
      <w:r>
        <w:t xml:space="preserve"> Application, Ex. I, Schedule 2 ($722,858,469.39 in capital additions minus $55,386,344.68 cost of removal minus $52,678,594.21 in retirements).</w:t>
      </w:r>
    </w:p>
  </w:footnote>
  <w:footnote w:id="5">
    <w:p w:rsidR="006E3F2E" w:rsidP="00D4185C">
      <w:pPr>
        <w:pStyle w:val="FootnoteText"/>
        <w:spacing w:after="120"/>
      </w:pPr>
      <w:r>
        <w:rPr>
          <w:rStyle w:val="FootnoteReference"/>
        </w:rPr>
        <w:footnoteRef/>
      </w:r>
      <w:r>
        <w:t xml:space="preserve"> Application, Ex. I, Schedule 3.</w:t>
      </w:r>
    </w:p>
  </w:footnote>
  <w:footnote w:id="6">
    <w:p w:rsidR="006E3F2E" w:rsidP="00D4185C">
      <w:pPr>
        <w:pStyle w:val="FootnoteText"/>
        <w:spacing w:after="120"/>
      </w:pPr>
      <w:r>
        <w:rPr>
          <w:rStyle w:val="FootnoteReference"/>
        </w:rPr>
        <w:footnoteRef/>
      </w:r>
      <w:r>
        <w:t xml:space="preserve"> Application, Ex. I, Schedule 1.</w:t>
      </w:r>
    </w:p>
  </w:footnote>
  <w:footnote w:id="7">
    <w:p w:rsidR="006E3F2E" w:rsidP="00D4185C">
      <w:pPr>
        <w:pStyle w:val="FootnoteText"/>
        <w:spacing w:after="120"/>
      </w:pPr>
      <w:r>
        <w:rPr>
          <w:rStyle w:val="FootnoteReference"/>
        </w:rPr>
        <w:footnoteRef/>
      </w:r>
      <w:r>
        <w:t xml:space="preserve"> Application, Ex. I, Schedule 1.</w:t>
      </w:r>
    </w:p>
  </w:footnote>
  <w:footnote w:id="8">
    <w:p w:rsidR="006E3F2E" w:rsidP="00D4185C">
      <w:pPr>
        <w:pStyle w:val="FootnoteText"/>
        <w:spacing w:after="120"/>
      </w:pPr>
      <w:r>
        <w:rPr>
          <w:rStyle w:val="FootnoteReference"/>
        </w:rPr>
        <w:footnoteRef/>
      </w:r>
      <w:r>
        <w:t xml:space="preserve"> Application, Ex. I, Schedule 1 (63.34% allocated to residential customers).</w:t>
      </w:r>
    </w:p>
  </w:footnote>
  <w:footnote w:id="9">
    <w:p w:rsidR="006E3F2E" w:rsidP="00D4185C">
      <w:pPr>
        <w:pStyle w:val="FootnoteText"/>
        <w:spacing w:after="120"/>
      </w:pPr>
      <w:r>
        <w:rPr>
          <w:rStyle w:val="FootnoteReference"/>
        </w:rPr>
        <w:footnoteRef/>
      </w:r>
      <w:r>
        <w:t xml:space="preserve"> Plant in Service and Capital Spending Audit of the East Ohio Gas Company d/b/a Dominion Energy Ohio (Apr. 27, 2020) (the “Audit” or “Audit Report”).</w:t>
      </w:r>
    </w:p>
  </w:footnote>
  <w:footnote w:id="10">
    <w:p w:rsidR="006E3F2E" w:rsidP="00D4185C">
      <w:pPr>
        <w:pStyle w:val="FootnoteText"/>
        <w:spacing w:after="120"/>
      </w:pPr>
      <w:r>
        <w:rPr>
          <w:rStyle w:val="FootnoteReference"/>
        </w:rPr>
        <w:footnoteRef/>
      </w:r>
      <w:r>
        <w:t xml:space="preserve"> Audit Report at 113.</w:t>
      </w:r>
    </w:p>
  </w:footnote>
  <w:footnote w:id="11">
    <w:p w:rsidR="006E3F2E" w:rsidRPr="00BC05C0" w:rsidP="00D4185C">
      <w:pPr>
        <w:pStyle w:val="FootnoteText"/>
        <w:spacing w:after="120"/>
      </w:pPr>
      <w:r>
        <w:rPr>
          <w:rStyle w:val="FootnoteReference"/>
        </w:rPr>
        <w:footnoteRef/>
      </w:r>
      <w:r>
        <w:t xml:space="preserve"> Staff Report at 9. </w:t>
      </w:r>
      <w:r>
        <w:rPr>
          <w:i/>
        </w:rPr>
        <w:t>See also</w:t>
      </w:r>
      <w:r>
        <w:t xml:space="preserve"> Audit Report, Appendix E (showing Blue Ridge’s revenue requirement adjustment, which can be used to calculate the $3.87 monthly rate for residential customers).</w:t>
      </w:r>
    </w:p>
  </w:footnote>
  <w:footnote w:id="12">
    <w:p w:rsidR="006E3F2E" w:rsidP="00D4185C">
      <w:pPr>
        <w:pStyle w:val="FootnoteText"/>
        <w:spacing w:after="120"/>
      </w:pPr>
      <w:r>
        <w:rPr>
          <w:rStyle w:val="FootnoteReference"/>
        </w:rPr>
        <w:footnoteRef/>
      </w:r>
      <w:r>
        <w:t xml:space="preserve"> Staff Report at 10.</w:t>
      </w:r>
    </w:p>
  </w:footnote>
  <w:footnote w:id="13">
    <w:p w:rsidR="006E3F2E" w:rsidP="00D4185C">
      <w:pPr>
        <w:pStyle w:val="FootnoteText"/>
        <w:spacing w:after="120"/>
      </w:pPr>
      <w:r>
        <w:rPr>
          <w:rStyle w:val="FootnoteReference"/>
        </w:rPr>
        <w:footnoteRef/>
      </w:r>
      <w:r>
        <w:t xml:space="preserve"> Staff Report at 8.</w:t>
      </w:r>
    </w:p>
  </w:footnote>
  <w:footnote w:id="14">
    <w:p w:rsidR="006E3F2E" w:rsidP="00D4185C">
      <w:pPr>
        <w:pStyle w:val="FootnoteText"/>
        <w:spacing w:after="120"/>
      </w:pPr>
      <w:r>
        <w:rPr>
          <w:rStyle w:val="FootnoteReference"/>
        </w:rPr>
        <w:footnoteRef/>
      </w:r>
      <w:r>
        <w:t xml:space="preserve"> Staff Report at 8, 10.</w:t>
      </w:r>
    </w:p>
  </w:footnote>
  <w:footnote w:id="15">
    <w:p w:rsidR="006E3F2E" w:rsidP="00D4185C">
      <w:pPr>
        <w:pStyle w:val="FootnoteText"/>
        <w:spacing w:after="120"/>
      </w:pPr>
      <w:r>
        <w:rPr>
          <w:rStyle w:val="FootnoteReference"/>
        </w:rPr>
        <w:footnoteRef/>
      </w:r>
      <w:r>
        <w:t xml:space="preserve"> Staff Report at 10.</w:t>
      </w:r>
    </w:p>
  </w:footnote>
  <w:footnote w:id="16">
    <w:p w:rsidR="006E3F2E" w:rsidP="00D4185C">
      <w:pPr>
        <w:pStyle w:val="FootnoteText"/>
        <w:spacing w:after="120"/>
      </w:pPr>
      <w:r>
        <w:rPr>
          <w:rStyle w:val="FootnoteReference"/>
        </w:rPr>
        <w:footnoteRef/>
      </w:r>
      <w:r>
        <w:t xml:space="preserve"> Staff Report at 10.</w:t>
      </w:r>
    </w:p>
  </w:footnote>
  <w:footnote w:id="17">
    <w:p w:rsidR="006E3F2E" w:rsidP="00D4185C">
      <w:pPr>
        <w:pStyle w:val="FootnoteText"/>
        <w:spacing w:after="120"/>
      </w:pPr>
      <w:r>
        <w:rPr>
          <w:rStyle w:val="FootnoteReference"/>
        </w:rPr>
        <w:footnoteRef/>
      </w:r>
      <w:r>
        <w:t xml:space="preserve"> Staff Report at 7-8.</w:t>
      </w:r>
    </w:p>
  </w:footnote>
  <w:footnote w:id="18">
    <w:p w:rsidR="006E3F2E" w:rsidP="00D4185C">
      <w:pPr>
        <w:pStyle w:val="FootnoteText"/>
        <w:spacing w:after="120"/>
      </w:pPr>
      <w:r>
        <w:rPr>
          <w:rStyle w:val="FootnoteReference"/>
        </w:rPr>
        <w:footnoteRef/>
      </w:r>
      <w:r>
        <w:t xml:space="preserve"> Staff Report at 8. The Staff Report, however, did not recommend any adjustment based on this statement.</w:t>
      </w:r>
    </w:p>
  </w:footnote>
  <w:footnote w:id="19">
    <w:p w:rsidR="006E3F2E" w:rsidRPr="00836BDA" w:rsidP="00D4185C">
      <w:pPr>
        <w:pStyle w:val="FootnoteText"/>
        <w:spacing w:after="120"/>
      </w:pPr>
      <w:r>
        <w:rPr>
          <w:rStyle w:val="FootnoteReference"/>
        </w:rPr>
        <w:footnoteRef/>
      </w:r>
      <w:r>
        <w:t xml:space="preserve"> </w:t>
      </w:r>
      <w:r>
        <w:rPr>
          <w:i/>
        </w:rPr>
        <w:t>See</w:t>
      </w:r>
      <w:r>
        <w:t xml:space="preserve"> A report by the staff of the Public Utilities Commission of Ohio at 9 (May 11, 2020) (the “Staff Report”).</w:t>
      </w:r>
    </w:p>
  </w:footnote>
  <w:footnote w:id="20">
    <w:p w:rsidR="006E3F2E" w:rsidP="00D4185C">
      <w:pPr>
        <w:pStyle w:val="FootnoteText"/>
        <w:spacing w:after="120"/>
      </w:pPr>
      <w:r>
        <w:rPr>
          <w:rStyle w:val="FootnoteReference"/>
        </w:rPr>
        <w:footnoteRef/>
      </w:r>
      <w:r>
        <w:t xml:space="preserve"> Staff Report at 9.</w:t>
      </w:r>
    </w:p>
  </w:footnote>
  <w:footnote w:id="21">
    <w:p w:rsidR="006E3F2E" w:rsidP="00D4185C">
      <w:pPr>
        <w:pStyle w:val="FootnoteText"/>
        <w:spacing w:after="120"/>
      </w:pPr>
      <w:r>
        <w:rPr>
          <w:rStyle w:val="FootnoteReference"/>
        </w:rPr>
        <w:footnoteRef/>
      </w:r>
      <w:r>
        <w:t xml:space="preserve"> Staff Report at 10.</w:t>
      </w:r>
    </w:p>
  </w:footnote>
  <w:footnote w:id="22">
    <w:p w:rsidR="006E3F2E" w:rsidP="00D4185C">
      <w:pPr>
        <w:pStyle w:val="FootnoteText"/>
        <w:spacing w:after="120"/>
      </w:pPr>
      <w:r>
        <w:rPr>
          <w:rStyle w:val="FootnoteReference"/>
        </w:rPr>
        <w:footnoteRef/>
      </w:r>
      <w:r>
        <w:t xml:space="preserve"> $3.87 plus four increases of $1.00 would be $7.87 per month. That would be $94.44 per year for each residential customer.</w:t>
      </w:r>
    </w:p>
  </w:footnote>
  <w:footnote w:id="23">
    <w:p w:rsidR="006E3F2E" w:rsidP="00D4185C">
      <w:pPr>
        <w:pStyle w:val="FootnoteText"/>
        <w:spacing w:after="120"/>
      </w:pPr>
      <w:r>
        <w:rPr>
          <w:rStyle w:val="FootnoteReference"/>
        </w:rPr>
        <w:footnoteRef/>
      </w:r>
      <w:r>
        <w:t xml:space="preserve"> Staff Report at 10.</w:t>
      </w:r>
    </w:p>
  </w:footnote>
  <w:footnote w:id="24">
    <w:p w:rsidR="006E3F2E" w:rsidP="00D4185C">
      <w:pPr>
        <w:pStyle w:val="FootnoteText"/>
        <w:spacing w:after="120"/>
      </w:pPr>
      <w:r>
        <w:rPr>
          <w:rStyle w:val="FootnoteReference"/>
        </w:rPr>
        <w:footnoteRef/>
      </w:r>
      <w:r>
        <w:t xml:space="preserve"> Staff Report at 8.</w:t>
      </w:r>
    </w:p>
  </w:footnote>
  <w:footnote w:id="25">
    <w:p w:rsidR="006E3F2E" w:rsidRPr="00DB2909" w:rsidP="00D4185C">
      <w:pPr>
        <w:pStyle w:val="FootnoteText"/>
        <w:spacing w:after="120"/>
      </w:pPr>
      <w:r>
        <w:rPr>
          <w:rStyle w:val="FootnoteReference"/>
        </w:rPr>
        <w:footnoteRef/>
      </w:r>
      <w:r>
        <w:t xml:space="preserve"> </w:t>
      </w:r>
      <w:r>
        <w:rPr>
          <w:i/>
        </w:rPr>
        <w:t>See</w:t>
      </w:r>
      <w:r>
        <w:t xml:space="preserve"> Staff Report (stating that a cap on “spending, revenue requirement, rate, etc.” could be used “to keep costs under control and to ensure rate payers are not burdened with excessive and unnecessary plant investments”).</w:t>
      </w:r>
    </w:p>
  </w:footnote>
  <w:footnote w:id="26">
    <w:p w:rsidR="006E3F2E" w:rsidP="00D4185C">
      <w:pPr>
        <w:pStyle w:val="FootnoteText"/>
        <w:spacing w:after="120"/>
      </w:pPr>
      <w:r>
        <w:rPr>
          <w:rStyle w:val="FootnoteReference"/>
        </w:rPr>
        <w:footnoteRef/>
      </w:r>
      <w:r>
        <w:t xml:space="preserve"> Application, Exhibit H, Schedule B-2.3, Page 6.</w:t>
      </w:r>
    </w:p>
  </w:footnote>
  <w:footnote w:id="27">
    <w:p w:rsidR="006E3F2E" w:rsidP="00D4185C">
      <w:pPr>
        <w:pStyle w:val="FootnoteText"/>
        <w:spacing w:after="120"/>
      </w:pPr>
      <w:r>
        <w:rPr>
          <w:rStyle w:val="FootnoteReference"/>
        </w:rPr>
        <w:footnoteRef/>
      </w:r>
      <w:r>
        <w:t xml:space="preserve"> Case No. 07-829-GA-AIR, Staff Report, Schedule B-2.1 (May 23, 2008); Stipulation (Aug. 22, 2008) (adopting Staff Report unless otherwise stated); Opinion &amp; Order (Oct. 15, 2008) (approving stipulation).</w:t>
      </w:r>
    </w:p>
  </w:footnote>
  <w:footnote w:id="28">
    <w:p w:rsidR="006E3F2E" w:rsidP="00D4185C">
      <w:pPr>
        <w:pStyle w:val="FootnoteText"/>
        <w:spacing w:after="120"/>
      </w:pPr>
      <w:r>
        <w:rPr>
          <w:rStyle w:val="FootnoteReference"/>
        </w:rPr>
        <w:footnoteRef/>
      </w:r>
      <w:r>
        <w:t xml:space="preserve"> Application, Exhibit H, Schedule B-3.3, Page 7.</w:t>
      </w:r>
    </w:p>
  </w:footnote>
  <w:footnote w:id="29">
    <w:p w:rsidR="006E3F2E" w:rsidP="00D4185C">
      <w:pPr>
        <w:pStyle w:val="FootnoteText"/>
        <w:spacing w:after="120"/>
      </w:pPr>
      <w:r>
        <w:rPr>
          <w:rStyle w:val="FootnoteReference"/>
        </w:rPr>
        <w:footnoteRef/>
      </w:r>
      <w:r>
        <w:t xml:space="preserve"> Case No. 07-829-GA-AIR, Staff Report, Schedule B-2.1 (May 23, 2008); Stipulation (Aug. 22, 2008) (adopting Staff Report unless otherwise stated); Opinion &amp; Order (Oct. 15, 2008) (approving stipulation).</w:t>
      </w:r>
    </w:p>
  </w:footnote>
  <w:footnote w:id="30">
    <w:p w:rsidR="006E3F2E" w:rsidP="00D4185C">
      <w:pPr>
        <w:pStyle w:val="FootnoteText"/>
        <w:spacing w:after="120"/>
      </w:pPr>
      <w:r>
        <w:rPr>
          <w:rStyle w:val="FootnoteReference"/>
        </w:rPr>
        <w:footnoteRef/>
      </w:r>
      <w:r>
        <w:t xml:space="preserve"> Audit Report at 9. </w:t>
      </w:r>
    </w:p>
  </w:footnote>
  <w:footnote w:id="31">
    <w:p w:rsidR="006E3F2E" w:rsidP="00D4185C">
      <w:pPr>
        <w:pStyle w:val="FootnoteText"/>
        <w:spacing w:after="120"/>
      </w:pPr>
      <w:r>
        <w:rPr>
          <w:rStyle w:val="FootnoteReference"/>
        </w:rPr>
        <w:footnoteRef/>
      </w:r>
      <w:r>
        <w:t xml:space="preserve"> Audit Report at 9.</w:t>
      </w:r>
    </w:p>
  </w:footnote>
  <w:footnote w:id="32">
    <w:p w:rsidR="006E3F2E" w:rsidP="00D4185C">
      <w:pPr>
        <w:pStyle w:val="FootnoteText"/>
        <w:spacing w:after="120"/>
      </w:pPr>
      <w:r>
        <w:rPr>
          <w:rStyle w:val="FootnoteReference"/>
        </w:rPr>
        <w:footnoteRef/>
      </w:r>
      <w:r>
        <w:t xml:space="preserve"> Staff Report at 8.</w:t>
      </w:r>
    </w:p>
  </w:footnote>
  <w:footnote w:id="33">
    <w:p w:rsidR="006E3F2E" w:rsidRPr="003D6749" w:rsidP="00D4185C">
      <w:pPr>
        <w:pStyle w:val="FootnoteText"/>
        <w:spacing w:after="120"/>
      </w:pPr>
      <w:r>
        <w:rPr>
          <w:rStyle w:val="FootnoteReference"/>
        </w:rPr>
        <w:footnoteRef/>
      </w:r>
      <w:r>
        <w:t xml:space="preserve"> </w:t>
      </w:r>
      <w:r>
        <w:rPr>
          <w:i/>
        </w:rPr>
        <w:t>See</w:t>
      </w:r>
      <w:r>
        <w:t xml:space="preserve"> Application, Ex. I, Schedule 11.</w:t>
      </w:r>
    </w:p>
  </w:footnote>
  <w:footnote w:id="34">
    <w:p w:rsidR="006E3F2E" w:rsidP="00D4185C">
      <w:pPr>
        <w:pStyle w:val="FootnoteText"/>
        <w:spacing w:after="120"/>
      </w:pPr>
      <w:r>
        <w:rPr>
          <w:rStyle w:val="FootnoteReference"/>
        </w:rPr>
        <w:footnoteRef/>
      </w:r>
      <w:r>
        <w:t xml:space="preserve"> 13,514,617 / 12.</w:t>
      </w:r>
    </w:p>
  </w:footnote>
  <w:footnote w:id="35">
    <w:p w:rsidR="006E3F2E" w:rsidRPr="007F72D1" w:rsidP="00D4185C">
      <w:pPr>
        <w:pStyle w:val="FootnoteText"/>
        <w:spacing w:after="120"/>
      </w:pPr>
      <w:r>
        <w:rPr>
          <w:rStyle w:val="FootnoteReference"/>
        </w:rPr>
        <w:footnoteRef/>
      </w:r>
      <w:r>
        <w:t xml:space="preserve"> </w:t>
      </w:r>
      <w:r>
        <w:rPr>
          <w:i/>
        </w:rPr>
        <w:t xml:space="preserve">See generally </w:t>
      </w:r>
      <w:r>
        <w:t>Staff Report (not making any adjustment for customer count).</w:t>
      </w:r>
    </w:p>
  </w:footnote>
  <w:footnote w:id="36">
    <w:p w:rsidR="006E3F2E" w:rsidRPr="00FD0673" w:rsidP="00D4185C">
      <w:pPr>
        <w:pStyle w:val="FootnoteText"/>
        <w:spacing w:after="120"/>
      </w:pPr>
      <w:r>
        <w:rPr>
          <w:rStyle w:val="FootnoteReference"/>
        </w:rPr>
        <w:footnoteRef/>
      </w:r>
      <w:r>
        <w:t xml:space="preserve"> </w:t>
      </w:r>
      <w:r>
        <w:rPr>
          <w:i/>
        </w:rPr>
        <w:t>See, e.g.</w:t>
      </w:r>
      <w:r>
        <w:t xml:space="preserve">, </w:t>
      </w:r>
      <w:r>
        <w:rPr>
          <w:i/>
        </w:rPr>
        <w:t>In re Suburban Natural Gas Co.</w:t>
      </w:r>
      <w:r>
        <w:t>, Case No. 18-1205-GA-AIR, Opinion &amp; Order (Sept. 26, 2019) (rates to be recalculated using updated customer counts as new plant is added to rates).</w:t>
      </w:r>
    </w:p>
  </w:footnote>
  <w:footnote w:id="37">
    <w:p w:rsidR="006E3F2E" w:rsidRPr="000D3CB7" w:rsidP="00D4185C">
      <w:pPr>
        <w:pStyle w:val="FootnoteText"/>
        <w:spacing w:after="120"/>
      </w:pPr>
      <w:r>
        <w:rPr>
          <w:rStyle w:val="FootnoteReference"/>
        </w:rPr>
        <w:footnoteRef/>
      </w:r>
      <w:r>
        <w:t xml:space="preserve"> </w:t>
      </w:r>
      <w:r>
        <w:rPr>
          <w:i/>
        </w:rPr>
        <w:t>See</w:t>
      </w:r>
      <w:r>
        <w:t xml:space="preserve"> Dominion’s response to OCC INT-3-05.</w:t>
      </w:r>
    </w:p>
  </w:footnote>
  <w:footnote w:id="38">
    <w:p w:rsidR="006E3F2E" w:rsidP="00D4185C">
      <w:pPr>
        <w:pStyle w:val="FootnoteText"/>
        <w:spacing w:after="120"/>
      </w:pPr>
      <w:r>
        <w:rPr>
          <w:rStyle w:val="FootnoteReference"/>
        </w:rPr>
        <w:footnoteRef/>
      </w:r>
      <w:r>
        <w:t xml:space="preserve"> Application, Ex. I, Schedule 3 ($722,858,469.39 cumulative investment through 12/31/18).</w:t>
      </w:r>
    </w:p>
  </w:footnote>
  <w:footnote w:id="39">
    <w:p w:rsidR="006E3F2E" w:rsidP="00D4185C">
      <w:pPr>
        <w:pStyle w:val="FootnoteText"/>
        <w:spacing w:after="120"/>
      </w:pPr>
      <w:r>
        <w:rPr>
          <w:rStyle w:val="FootnoteReference"/>
        </w:rPr>
        <w:footnoteRef/>
      </w:r>
      <w:r>
        <w:t xml:space="preserve"> Application, Ex. I. Schedule 3.</w:t>
      </w:r>
    </w:p>
  </w:footnote>
  <w:footnote w:id="40">
    <w:p w:rsidR="006E3F2E" w:rsidP="00D4185C">
      <w:pPr>
        <w:pStyle w:val="FootnoteText"/>
        <w:spacing w:after="120"/>
      </w:pPr>
      <w:r>
        <w:rPr>
          <w:rStyle w:val="FootnoteReference"/>
        </w:rPr>
        <w:footnoteRef/>
      </w:r>
      <w:r>
        <w:t xml:space="preserve"> Case No. 19-1944-GA-RDR, Finding &amp; Order (Apr. 8, 2020), Application, Attachment A, Schedule 15.</w:t>
      </w:r>
    </w:p>
  </w:footnote>
  <w:footnote w:id="41">
    <w:p w:rsidR="006E3F2E" w:rsidRPr="00D7695E" w:rsidP="00D4185C">
      <w:pPr>
        <w:pStyle w:val="FootnoteText"/>
        <w:spacing w:after="120"/>
      </w:pPr>
      <w:r>
        <w:rPr>
          <w:rStyle w:val="FootnoteReference"/>
        </w:rPr>
        <w:footnoteRef/>
      </w:r>
      <w:r>
        <w:t xml:space="preserve"> </w:t>
      </w:r>
      <w:r>
        <w:rPr>
          <w:i/>
        </w:rPr>
        <w:t>See</w:t>
      </w:r>
      <w:r>
        <w:t xml:space="preserve"> Audit Report at 107.</w:t>
      </w:r>
    </w:p>
  </w:footnote>
  <w:footnote w:id="42">
    <w:p w:rsidR="006E3F2E" w:rsidRPr="00690416" w:rsidP="00D4185C">
      <w:pPr>
        <w:pStyle w:val="FootnoteText"/>
        <w:spacing w:after="120"/>
      </w:pPr>
      <w:r>
        <w:rPr>
          <w:rStyle w:val="FootnoteReference"/>
        </w:rPr>
        <w:footnoteRef/>
      </w:r>
      <w:r>
        <w:t xml:space="preserve"> </w:t>
      </w:r>
      <w:r>
        <w:rPr>
          <w:i/>
        </w:rPr>
        <w:t xml:space="preserve">See generally </w:t>
      </w:r>
      <w:r>
        <w:t>Staff Report.</w:t>
      </w:r>
    </w:p>
  </w:footnote>
  <w:footnote w:id="43">
    <w:p w:rsidR="006E3F2E" w:rsidP="00D4185C">
      <w:pPr>
        <w:pStyle w:val="FootnoteText"/>
        <w:spacing w:after="120"/>
      </w:pPr>
      <w:r>
        <w:rPr>
          <w:rStyle w:val="FootnoteReference"/>
        </w:rPr>
        <w:footnoteRef/>
      </w:r>
      <w:r>
        <w:t xml:space="preserve"> Audit Report at 104.</w:t>
      </w:r>
    </w:p>
  </w:footnote>
  <w:footnote w:id="44">
    <w:p w:rsidR="006E3F2E" w:rsidRPr="00481650" w:rsidP="00D4185C">
      <w:pPr>
        <w:pStyle w:val="FootnoteText"/>
        <w:spacing w:after="120"/>
      </w:pPr>
      <w:r>
        <w:rPr>
          <w:rStyle w:val="FootnoteReference"/>
        </w:rPr>
        <w:footnoteRef/>
      </w:r>
      <w:r>
        <w:t xml:space="preserve"> </w:t>
      </w:r>
      <w:r>
        <w:rPr>
          <w:i/>
        </w:rPr>
        <w:t>See, e.g., In re Ohio Power Co.</w:t>
      </w:r>
      <w:r>
        <w:t xml:space="preserve">, Case No. 13-2385-EL-SSO, Opinion &amp; Order (Feb. 25, 2015) (utility’s proposed return on equity was too high because it did not “adequately account for the Company’s reduced exposure to risk from regulatory lag in light of the DIR and numerous other riders”); </w:t>
      </w:r>
      <w:r>
        <w:rPr>
          <w:i/>
        </w:rPr>
        <w:t>In re Dayton Power &amp; Light Co.</w:t>
      </w:r>
      <w:r>
        <w:t>, Case No. 16-395-EL-SSO, Opinion &amp; Order ¶ 115 (Oct. 20, 2017) (“riders allow utilities to maintain reliability by reducing regulatory lag”).</w:t>
      </w:r>
    </w:p>
  </w:footnote>
  <w:footnote w:id="45">
    <w:p w:rsidR="006E3F2E" w:rsidP="00D4185C">
      <w:pPr>
        <w:pStyle w:val="FootnoteText"/>
        <w:spacing w:after="120"/>
      </w:pPr>
      <w:r>
        <w:rPr>
          <w:rStyle w:val="FootnoteReference"/>
        </w:rPr>
        <w:footnoteRef/>
      </w:r>
      <w:r>
        <w:t xml:space="preserve"> Case No. 18-298-GA-AIR, Opinion &amp; Order (Aug. 28, 2019).</w:t>
      </w:r>
    </w:p>
  </w:footnote>
  <w:footnote w:id="46">
    <w:p w:rsidR="006E3F2E" w:rsidP="00D4185C">
      <w:pPr>
        <w:pStyle w:val="FootnoteText"/>
        <w:spacing w:after="120"/>
      </w:pPr>
      <w:r>
        <w:rPr>
          <w:rStyle w:val="FootnoteReference"/>
        </w:rPr>
        <w:footnoteRef/>
      </w:r>
      <w:r>
        <w:t xml:space="preserve"> Case No. 18-1205-GA-AIR, Opinion &amp; Order (Sept. 26, 2019).</w:t>
      </w:r>
    </w:p>
  </w:footnote>
  <w:footnote w:id="47">
    <w:p w:rsidR="006E3F2E" w:rsidP="00D4185C">
      <w:pPr>
        <w:pStyle w:val="FootnoteText"/>
        <w:spacing w:after="120"/>
      </w:pPr>
      <w:r>
        <w:rPr>
          <w:rStyle w:val="FootnoteReference"/>
        </w:rPr>
        <w:footnoteRef/>
      </w:r>
      <w:r>
        <w:t xml:space="preserve"> Application, Exhibit I, Schedule 4.</w:t>
      </w:r>
    </w:p>
  </w:footnote>
  <w:footnote w:id="48">
    <w:p w:rsidR="006E3F2E" w:rsidRPr="004E3A86" w:rsidP="00D4185C">
      <w:pPr>
        <w:pStyle w:val="FootnoteText"/>
        <w:spacing w:after="120"/>
      </w:pPr>
      <w:r>
        <w:rPr>
          <w:rStyle w:val="FootnoteReference"/>
        </w:rPr>
        <w:footnoteRef/>
      </w:r>
      <w:r>
        <w:t xml:space="preserve"> </w:t>
      </w:r>
      <w:r>
        <w:rPr>
          <w:i/>
        </w:rPr>
        <w:t>See</w:t>
      </w:r>
      <w:r>
        <w:t xml:space="preserve"> S&amp;P Global Market Intelligence, RRA Regulatory Focus, Major Rate Case Decisions – January – March 2020 (Apr. 27, 2020).</w:t>
      </w:r>
    </w:p>
  </w:footnote>
  <w:footnote w:id="49">
    <w:p w:rsidR="006E3F2E" w:rsidRPr="002B5102" w:rsidP="00D4185C">
      <w:pPr>
        <w:pStyle w:val="FootnoteText"/>
        <w:spacing w:after="120"/>
      </w:pPr>
      <w:r>
        <w:rPr>
          <w:rStyle w:val="FootnoteReference"/>
        </w:rPr>
        <w:footnoteRef/>
      </w:r>
      <w:r>
        <w:t xml:space="preserve"> </w:t>
      </w:r>
      <w:r>
        <w:rPr>
          <w:i/>
        </w:rPr>
        <w:t>See</w:t>
      </w:r>
      <w:r>
        <w:t xml:space="preserve"> Case No. 18-298-GA-AIR (Vectren); Case No. 18-1205-GA-AIR (Suburban). OCC reserves the right to propose a more specific rate of return in testimony.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4AF00AED"/>
    <w:multiLevelType w:val="hybridMultilevel"/>
    <w:tmpl w:val="A1C0AE8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3"/>
  </w:num>
  <w:num w:numId="2">
    <w:abstractNumId w:val="2"/>
  </w:num>
  <w:num w:numId="3">
    <w:abstractNumId w:val="5"/>
  </w:num>
  <w:num w:numId="4">
    <w:abstractNumId w:val="4"/>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8DC"/>
    <w:rsid w:val="00003256"/>
    <w:rsid w:val="00007BE4"/>
    <w:rsid w:val="000520C5"/>
    <w:rsid w:val="000623A7"/>
    <w:rsid w:val="00091365"/>
    <w:rsid w:val="000B2FF8"/>
    <w:rsid w:val="000B3316"/>
    <w:rsid w:val="000B3D25"/>
    <w:rsid w:val="000D3CB7"/>
    <w:rsid w:val="000E6B41"/>
    <w:rsid w:val="00110AAF"/>
    <w:rsid w:val="001277C8"/>
    <w:rsid w:val="00136CA4"/>
    <w:rsid w:val="001450FB"/>
    <w:rsid w:val="00166062"/>
    <w:rsid w:val="0019116F"/>
    <w:rsid w:val="001D563C"/>
    <w:rsid w:val="001E7860"/>
    <w:rsid w:val="002054C3"/>
    <w:rsid w:val="0020664D"/>
    <w:rsid w:val="00280058"/>
    <w:rsid w:val="002812E4"/>
    <w:rsid w:val="002B5102"/>
    <w:rsid w:val="002B54B9"/>
    <w:rsid w:val="002C25A2"/>
    <w:rsid w:val="002C6022"/>
    <w:rsid w:val="002D3B14"/>
    <w:rsid w:val="002E0F2F"/>
    <w:rsid w:val="002F0CDB"/>
    <w:rsid w:val="0030104A"/>
    <w:rsid w:val="00304692"/>
    <w:rsid w:val="00310E97"/>
    <w:rsid w:val="00326FA5"/>
    <w:rsid w:val="00347BCC"/>
    <w:rsid w:val="00351175"/>
    <w:rsid w:val="00367582"/>
    <w:rsid w:val="00372DFE"/>
    <w:rsid w:val="00383AE6"/>
    <w:rsid w:val="003916C0"/>
    <w:rsid w:val="003B4855"/>
    <w:rsid w:val="003D30A5"/>
    <w:rsid w:val="003D5071"/>
    <w:rsid w:val="003D6749"/>
    <w:rsid w:val="003F1D60"/>
    <w:rsid w:val="004515C4"/>
    <w:rsid w:val="004515F8"/>
    <w:rsid w:val="00460D90"/>
    <w:rsid w:val="00474101"/>
    <w:rsid w:val="004778AF"/>
    <w:rsid w:val="00481650"/>
    <w:rsid w:val="004A44C0"/>
    <w:rsid w:val="004A6D4E"/>
    <w:rsid w:val="004B341B"/>
    <w:rsid w:val="004B41CD"/>
    <w:rsid w:val="004B4DFA"/>
    <w:rsid w:val="004D4C6D"/>
    <w:rsid w:val="004E3A86"/>
    <w:rsid w:val="004F5BDC"/>
    <w:rsid w:val="00517420"/>
    <w:rsid w:val="00524818"/>
    <w:rsid w:val="00565FA7"/>
    <w:rsid w:val="00583506"/>
    <w:rsid w:val="00592F22"/>
    <w:rsid w:val="005A2A37"/>
    <w:rsid w:val="005D455D"/>
    <w:rsid w:val="005E1A52"/>
    <w:rsid w:val="005E23DC"/>
    <w:rsid w:val="006026F9"/>
    <w:rsid w:val="00621A3E"/>
    <w:rsid w:val="00632A00"/>
    <w:rsid w:val="00642606"/>
    <w:rsid w:val="00652332"/>
    <w:rsid w:val="00661572"/>
    <w:rsid w:val="00690416"/>
    <w:rsid w:val="00692EB0"/>
    <w:rsid w:val="0069402D"/>
    <w:rsid w:val="006B45D4"/>
    <w:rsid w:val="006C187E"/>
    <w:rsid w:val="006C2EF7"/>
    <w:rsid w:val="006D7569"/>
    <w:rsid w:val="006E3F2E"/>
    <w:rsid w:val="007360B0"/>
    <w:rsid w:val="00742DDD"/>
    <w:rsid w:val="0074512F"/>
    <w:rsid w:val="0074700C"/>
    <w:rsid w:val="00760330"/>
    <w:rsid w:val="007644B2"/>
    <w:rsid w:val="00770F28"/>
    <w:rsid w:val="007D7CBD"/>
    <w:rsid w:val="007F0AC4"/>
    <w:rsid w:val="007F72D1"/>
    <w:rsid w:val="0080038A"/>
    <w:rsid w:val="00811286"/>
    <w:rsid w:val="00814BD8"/>
    <w:rsid w:val="00821F0E"/>
    <w:rsid w:val="00824D53"/>
    <w:rsid w:val="0083461E"/>
    <w:rsid w:val="00836BDA"/>
    <w:rsid w:val="00841E5F"/>
    <w:rsid w:val="008426DF"/>
    <w:rsid w:val="00846631"/>
    <w:rsid w:val="008539FB"/>
    <w:rsid w:val="00890AFE"/>
    <w:rsid w:val="008E0F6B"/>
    <w:rsid w:val="008E2499"/>
    <w:rsid w:val="008E26A5"/>
    <w:rsid w:val="008E4E01"/>
    <w:rsid w:val="008F1B0B"/>
    <w:rsid w:val="009138DC"/>
    <w:rsid w:val="00920B1D"/>
    <w:rsid w:val="009617A4"/>
    <w:rsid w:val="009649D5"/>
    <w:rsid w:val="009910F8"/>
    <w:rsid w:val="009D37EA"/>
    <w:rsid w:val="009E06A5"/>
    <w:rsid w:val="009E1326"/>
    <w:rsid w:val="00A037BF"/>
    <w:rsid w:val="00A044B5"/>
    <w:rsid w:val="00A12CE6"/>
    <w:rsid w:val="00A134F7"/>
    <w:rsid w:val="00A342E4"/>
    <w:rsid w:val="00A457B3"/>
    <w:rsid w:val="00A61AFF"/>
    <w:rsid w:val="00A721DF"/>
    <w:rsid w:val="00A91671"/>
    <w:rsid w:val="00AB22E0"/>
    <w:rsid w:val="00AC03B0"/>
    <w:rsid w:val="00AC37FB"/>
    <w:rsid w:val="00B00277"/>
    <w:rsid w:val="00B21D29"/>
    <w:rsid w:val="00B652E1"/>
    <w:rsid w:val="00B7455E"/>
    <w:rsid w:val="00B84853"/>
    <w:rsid w:val="00B9184D"/>
    <w:rsid w:val="00BA0756"/>
    <w:rsid w:val="00BB6930"/>
    <w:rsid w:val="00BC05C0"/>
    <w:rsid w:val="00BC170B"/>
    <w:rsid w:val="00BE37F0"/>
    <w:rsid w:val="00BF6EBE"/>
    <w:rsid w:val="00C0060E"/>
    <w:rsid w:val="00C06536"/>
    <w:rsid w:val="00C410BE"/>
    <w:rsid w:val="00C621CA"/>
    <w:rsid w:val="00C6360D"/>
    <w:rsid w:val="00C65CC3"/>
    <w:rsid w:val="00CB5D16"/>
    <w:rsid w:val="00CD2819"/>
    <w:rsid w:val="00CF3990"/>
    <w:rsid w:val="00CF5A7A"/>
    <w:rsid w:val="00D1700D"/>
    <w:rsid w:val="00D4185C"/>
    <w:rsid w:val="00D47ECF"/>
    <w:rsid w:val="00D6741A"/>
    <w:rsid w:val="00D74569"/>
    <w:rsid w:val="00D74612"/>
    <w:rsid w:val="00D7695E"/>
    <w:rsid w:val="00D86902"/>
    <w:rsid w:val="00D875C7"/>
    <w:rsid w:val="00D879B3"/>
    <w:rsid w:val="00D961B0"/>
    <w:rsid w:val="00DB1C53"/>
    <w:rsid w:val="00DB2909"/>
    <w:rsid w:val="00DB5164"/>
    <w:rsid w:val="00DB6AED"/>
    <w:rsid w:val="00DB6F1A"/>
    <w:rsid w:val="00DC61DF"/>
    <w:rsid w:val="00DE0FE3"/>
    <w:rsid w:val="00DF6691"/>
    <w:rsid w:val="00DF6B06"/>
    <w:rsid w:val="00E41E2A"/>
    <w:rsid w:val="00E473A7"/>
    <w:rsid w:val="00E705C3"/>
    <w:rsid w:val="00E90A07"/>
    <w:rsid w:val="00E91397"/>
    <w:rsid w:val="00E93580"/>
    <w:rsid w:val="00E951E7"/>
    <w:rsid w:val="00E951E8"/>
    <w:rsid w:val="00EB4020"/>
    <w:rsid w:val="00EC69C0"/>
    <w:rsid w:val="00EC7E9F"/>
    <w:rsid w:val="00EE75BA"/>
    <w:rsid w:val="00EF4251"/>
    <w:rsid w:val="00F40885"/>
    <w:rsid w:val="00F5628F"/>
    <w:rsid w:val="00F72206"/>
    <w:rsid w:val="00F87C07"/>
    <w:rsid w:val="00FA280C"/>
    <w:rsid w:val="00FB00E6"/>
    <w:rsid w:val="00FC0F0B"/>
    <w:rsid w:val="00FC622B"/>
    <w:rsid w:val="00FD0673"/>
    <w:rsid w:val="00FE7C4E"/>
    <w:rsid w:val="00FE7F0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E5F"/>
    <w:rPr>
      <w:sz w:val="24"/>
    </w:rPr>
  </w:style>
  <w:style w:type="paragraph" w:styleId="Heading1">
    <w:name w:val="heading 1"/>
    <w:basedOn w:val="Normal"/>
    <w:next w:val="Normal"/>
    <w:link w:val="Heading1Char"/>
    <w:qFormat/>
    <w:rsid w:val="00EF4251"/>
    <w:pPr>
      <w:keepNext/>
      <w:spacing w:after="240"/>
      <w:ind w:left="720" w:hanging="720"/>
      <w:outlineLvl w:val="0"/>
    </w:pPr>
    <w:rPr>
      <w:b/>
      <w:szCs w:val="24"/>
    </w:rPr>
  </w:style>
  <w:style w:type="paragraph" w:styleId="Heading2">
    <w:name w:val="heading 2"/>
    <w:basedOn w:val="Normal"/>
    <w:next w:val="Normal"/>
    <w:qFormat/>
    <w:rsid w:val="009E06A5"/>
    <w:pPr>
      <w:keepNext/>
      <w:tabs>
        <w:tab w:val="left" w:pos="4320"/>
      </w:tabs>
      <w:spacing w:after="240"/>
      <w:ind w:left="1440" w:hanging="720"/>
      <w:outlineLvl w:val="1"/>
    </w:pPr>
    <w:rPr>
      <w:b/>
    </w:rPr>
  </w:style>
  <w:style w:type="paragraph" w:styleId="Heading3">
    <w:name w:val="heading 3"/>
    <w:basedOn w:val="Normal"/>
    <w:next w:val="Normal"/>
    <w:qFormat/>
    <w:rsid w:val="009138DC"/>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913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rsid w:val="009138DC"/>
    <w:pPr>
      <w:tabs>
        <w:tab w:val="center" w:pos="4320"/>
        <w:tab w:val="right" w:pos="8640"/>
      </w:tabs>
    </w:pPr>
    <w:rPr>
      <w:sz w:val="20"/>
    </w:rPr>
  </w:style>
  <w:style w:type="character" w:styleId="Hyperlink">
    <w:name w:val="Hyperlink"/>
    <w:uiPriority w:val="99"/>
    <w:rsid w:val="009138DC"/>
    <w:rPr>
      <w:color w:val="0000FF"/>
      <w:u w:val="single"/>
    </w:rPr>
  </w:style>
  <w:style w:type="paragraph" w:styleId="FootnoteText">
    <w:name w:val="footnote text"/>
    <w:basedOn w:val="Normal"/>
    <w:link w:val="FootnoteTextChar"/>
    <w:semiHidden/>
    <w:rsid w:val="009138DC"/>
    <w:rPr>
      <w:sz w:val="20"/>
    </w:rPr>
  </w:style>
  <w:style w:type="character" w:styleId="FootnoteReference">
    <w:name w:val="footnote reference"/>
    <w:semiHidden/>
    <w:rsid w:val="009138DC"/>
    <w:rPr>
      <w:vertAlign w:val="superscript"/>
    </w:rPr>
  </w:style>
  <w:style w:type="paragraph" w:styleId="BodyTextIndent">
    <w:name w:val="Body Text Indent"/>
    <w:basedOn w:val="Normal"/>
    <w:rsid w:val="009138DC"/>
    <w:pPr>
      <w:spacing w:line="480" w:lineRule="auto"/>
      <w:ind w:firstLine="720"/>
    </w:pPr>
  </w:style>
  <w:style w:type="paragraph" w:styleId="BodyTextIndent3">
    <w:name w:val="Body Text Indent 3"/>
    <w:basedOn w:val="Normal"/>
    <w:link w:val="BodyTextIndent3Char"/>
    <w:rsid w:val="009138DC"/>
    <w:pPr>
      <w:spacing w:line="480" w:lineRule="atLeast"/>
      <w:ind w:firstLine="720"/>
    </w:pPr>
  </w:style>
  <w:style w:type="paragraph" w:styleId="BodyTextIndent2">
    <w:name w:val="Body Text Indent 2"/>
    <w:basedOn w:val="Normal"/>
    <w:rsid w:val="009138DC"/>
    <w:pPr>
      <w:tabs>
        <w:tab w:val="left" w:pos="720"/>
      </w:tabs>
      <w:spacing w:before="240" w:after="240"/>
      <w:ind w:left="1464" w:hanging="744"/>
    </w:pPr>
  </w:style>
  <w:style w:type="character" w:styleId="PageNumber">
    <w:name w:val="page number"/>
    <w:basedOn w:val="DefaultParagraphFont"/>
    <w:rsid w:val="009138DC"/>
  </w:style>
  <w:style w:type="paragraph" w:styleId="BodyText">
    <w:name w:val="Body Text"/>
    <w:basedOn w:val="Normal"/>
    <w:rsid w:val="009138DC"/>
    <w:pPr>
      <w:jc w:val="both"/>
    </w:pPr>
  </w:style>
  <w:style w:type="paragraph" w:styleId="BlockText">
    <w:name w:val="Block Text"/>
    <w:basedOn w:val="Normal"/>
    <w:rsid w:val="009138DC"/>
    <w:pPr>
      <w:ind w:left="1440" w:right="720"/>
    </w:pPr>
  </w:style>
  <w:style w:type="paragraph" w:styleId="EndnoteText">
    <w:name w:val="endnote text"/>
    <w:basedOn w:val="Normal"/>
    <w:semiHidden/>
    <w:rsid w:val="009138DC"/>
    <w:rPr>
      <w:sz w:val="20"/>
    </w:rPr>
  </w:style>
  <w:style w:type="character" w:styleId="EndnoteReference">
    <w:name w:val="endnote reference"/>
    <w:semiHidden/>
    <w:rsid w:val="009138DC"/>
    <w:rPr>
      <w:vertAlign w:val="superscript"/>
    </w:rPr>
  </w:style>
  <w:style w:type="paragraph" w:styleId="BodyText2">
    <w:name w:val="Body Text 2"/>
    <w:basedOn w:val="Normal"/>
    <w:rsid w:val="009138DC"/>
    <w:pPr>
      <w:spacing w:line="480" w:lineRule="auto"/>
      <w:ind w:right="1440"/>
    </w:pPr>
  </w:style>
  <w:style w:type="paragraph" w:styleId="Header">
    <w:name w:val="header"/>
    <w:basedOn w:val="Normal"/>
    <w:rsid w:val="009138DC"/>
    <w:pPr>
      <w:tabs>
        <w:tab w:val="center" w:pos="4320"/>
        <w:tab w:val="right" w:pos="8640"/>
      </w:tabs>
    </w:pPr>
  </w:style>
  <w:style w:type="paragraph" w:styleId="BalloonText">
    <w:name w:val="Balloon Text"/>
    <w:basedOn w:val="Normal"/>
    <w:semiHidden/>
    <w:rsid w:val="009138DC"/>
    <w:rPr>
      <w:rFonts w:ascii="Lucida Grande" w:hAnsi="Lucida Grande"/>
      <w:sz w:val="18"/>
      <w:szCs w:val="18"/>
    </w:rPr>
  </w:style>
  <w:style w:type="character" w:styleId="CommentReference">
    <w:name w:val="annotation reference"/>
    <w:semiHidden/>
    <w:rsid w:val="009138DC"/>
    <w:rPr>
      <w:sz w:val="18"/>
    </w:rPr>
  </w:style>
  <w:style w:type="paragraph" w:styleId="CommentText">
    <w:name w:val="annotation text"/>
    <w:basedOn w:val="Normal"/>
    <w:semiHidden/>
    <w:rsid w:val="009138DC"/>
    <w:rPr>
      <w:szCs w:val="24"/>
    </w:rPr>
  </w:style>
  <w:style w:type="paragraph" w:styleId="CommentSubject">
    <w:name w:val="annotation subject"/>
    <w:basedOn w:val="CommentText"/>
    <w:next w:val="CommentText"/>
    <w:semiHidden/>
    <w:rsid w:val="009138DC"/>
    <w:rPr>
      <w:szCs w:val="20"/>
    </w:rPr>
  </w:style>
  <w:style w:type="character" w:styleId="FollowedHyperlink">
    <w:name w:val="FollowedHyperlink"/>
    <w:rsid w:val="009138DC"/>
    <w:rPr>
      <w:color w:val="800080"/>
      <w:u w:val="single"/>
    </w:rPr>
  </w:style>
  <w:style w:type="character" w:customStyle="1" w:styleId="term1">
    <w:name w:val="term1"/>
    <w:rsid w:val="009138DC"/>
    <w:rPr>
      <w:b/>
      <w:bCs/>
    </w:rPr>
  </w:style>
  <w:style w:type="table" w:styleId="TableGrid">
    <w:name w:val="Table Grid"/>
    <w:basedOn w:val="TableNormal"/>
    <w:rsid w:val="00913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rsid w:val="009138DC"/>
    <w:pPr>
      <w:suppressAutoHyphens/>
      <w:spacing w:line="480" w:lineRule="atLeast"/>
      <w:ind w:firstLine="720"/>
    </w:pPr>
    <w:rPr>
      <w:lang w:eastAsia="ar-SA"/>
    </w:rPr>
  </w:style>
  <w:style w:type="character" w:customStyle="1" w:styleId="UnresolvedMention1">
    <w:name w:val="Unresolved Mention1"/>
    <w:basedOn w:val="DefaultParagraphFont"/>
    <w:uiPriority w:val="99"/>
    <w:semiHidden/>
    <w:unhideWhenUsed/>
    <w:rsid w:val="00FE7F0A"/>
    <w:rPr>
      <w:color w:val="605E5C"/>
      <w:shd w:val="clear" w:color="auto" w:fill="E1DFDD"/>
    </w:rPr>
  </w:style>
  <w:style w:type="character" w:customStyle="1" w:styleId="FooterChar">
    <w:name w:val="Footer Char"/>
    <w:basedOn w:val="DefaultParagraphFont"/>
    <w:link w:val="Footer"/>
    <w:uiPriority w:val="99"/>
    <w:rsid w:val="00FE7F0A"/>
  </w:style>
  <w:style w:type="character" w:customStyle="1" w:styleId="FootnoteTextChar">
    <w:name w:val="Footnote Text Char"/>
    <w:basedOn w:val="DefaultParagraphFont"/>
    <w:link w:val="FootnoteText"/>
    <w:semiHidden/>
    <w:rsid w:val="00E951E8"/>
  </w:style>
  <w:style w:type="character" w:customStyle="1" w:styleId="BodyTextIndent3Char">
    <w:name w:val="Body Text Indent 3 Char"/>
    <w:basedOn w:val="DefaultParagraphFont"/>
    <w:link w:val="BodyTextIndent3"/>
    <w:rsid w:val="00E951E8"/>
    <w:rPr>
      <w:sz w:val="24"/>
    </w:rPr>
  </w:style>
  <w:style w:type="character" w:customStyle="1" w:styleId="UnresolvedMention2">
    <w:name w:val="Unresolved Mention2"/>
    <w:basedOn w:val="DefaultParagraphFont"/>
    <w:uiPriority w:val="99"/>
    <w:semiHidden/>
    <w:unhideWhenUsed/>
    <w:rsid w:val="00D74569"/>
    <w:rPr>
      <w:color w:val="605E5C"/>
      <w:shd w:val="clear" w:color="auto" w:fill="E1DFDD"/>
    </w:rPr>
  </w:style>
  <w:style w:type="character" w:customStyle="1" w:styleId="HTMLPreformattedChar">
    <w:name w:val="HTML Preformatted Char"/>
    <w:basedOn w:val="DefaultParagraphFont"/>
    <w:link w:val="HTMLPreformatted"/>
    <w:rsid w:val="00841E5F"/>
    <w:rPr>
      <w:rFonts w:ascii="Courier New" w:eastAsia="Courier New" w:hAnsi="Courier New" w:cs="Courier New"/>
    </w:rPr>
  </w:style>
  <w:style w:type="character" w:customStyle="1" w:styleId="Heading1Char">
    <w:name w:val="Heading 1 Char"/>
    <w:basedOn w:val="DefaultParagraphFont"/>
    <w:link w:val="Heading1"/>
    <w:rsid w:val="00EF4251"/>
    <w:rPr>
      <w:b/>
      <w:sz w:val="24"/>
      <w:szCs w:val="24"/>
    </w:rPr>
  </w:style>
  <w:style w:type="paragraph" w:styleId="TOC1">
    <w:name w:val="toc 1"/>
    <w:basedOn w:val="Normal"/>
    <w:next w:val="Normal"/>
    <w:autoRedefine/>
    <w:uiPriority w:val="39"/>
    <w:unhideWhenUsed/>
    <w:rsid w:val="00DB1C53"/>
    <w:pPr>
      <w:tabs>
        <w:tab w:val="decimal" w:leader="dot" w:pos="9360"/>
      </w:tabs>
      <w:spacing w:after="240"/>
      <w:ind w:left="720" w:hanging="720"/>
    </w:pPr>
  </w:style>
  <w:style w:type="paragraph" w:styleId="TOC2">
    <w:name w:val="toc 2"/>
    <w:basedOn w:val="Normal"/>
    <w:next w:val="Normal"/>
    <w:autoRedefine/>
    <w:uiPriority w:val="39"/>
    <w:unhideWhenUsed/>
    <w:rsid w:val="00DB1C53"/>
    <w:pPr>
      <w:tabs>
        <w:tab w:val="left" w:pos="2126"/>
        <w:tab w:val="decimal" w:leader="dot" w:pos="9360"/>
      </w:tabs>
      <w:spacing w:after="240"/>
      <w:ind w:left="144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yperlink" Target="mailto:werner.margard@ohioattorneygeneral.gov" TargetMode="External" /><Relationship Id="rId12" Type="http://schemas.openxmlformats.org/officeDocument/2006/relationships/hyperlink" Target="mailto:anna.sanyal@puco.ohio.gov" TargetMode="External" /><Relationship Id="rId13" Type="http://schemas.openxmlformats.org/officeDocument/2006/relationships/hyperlink" Target="mailto:greta.see@puco.ohio.gov" TargetMode="External" /><Relationship Id="rId14" Type="http://schemas.openxmlformats.org/officeDocument/2006/relationships/hyperlink" Target="mailto:whitt@whitt-sturtevant.com" TargetMode="External" /><Relationship Id="rId15" Type="http://schemas.openxmlformats.org/officeDocument/2006/relationships/hyperlink" Target="mailto:kennedy@whitt-sturtevant.com" TargetMode="External" /><Relationship Id="rId16" Type="http://schemas.openxmlformats.org/officeDocument/2006/relationships/hyperlink" Target="mailto:glover@whitt-sturtevant.com" TargetMode="External" /><Relationship Id="rId17" Type="http://schemas.openxmlformats.org/officeDocument/2006/relationships/hyperlink" Target="mailto:andrew.j.campbell@dominionenergy.com" TargetMode="External" /><Relationship Id="rId18" Type="http://schemas.openxmlformats.org/officeDocument/2006/relationships/hyperlink" Target="mailto:gkrassen@bricker.com" TargetMode="External" /><Relationship Id="rId19" Type="http://schemas.openxmlformats.org/officeDocument/2006/relationships/footer" Target="footer4.xml" /><Relationship Id="rId2" Type="http://schemas.openxmlformats.org/officeDocument/2006/relationships/settings" Target="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christopher.healey@occ.ohio.gov" TargetMode="External" /><Relationship Id="rId7" Type="http://schemas.openxmlformats.org/officeDocument/2006/relationships/hyperlink" Target="mailto:william.michael@occ.ohio.gov"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F750D0-8694-4B73-829D-E2579D3AE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3470</Words>
  <Characters>19782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DEO 19-468 - OCC Objections 6-4-20 w/dfs  (00144560.DOCX;1)</vt:lpstr>
    </vt:vector>
  </TitlesOfParts>
  <Company/>
  <LinksUpToDate>false</LinksUpToDate>
  <CharactersWithSpaces>23206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2020-06-10T19:13:44Z</dcterms:created>
  <dcterms:modified xsi:type="dcterms:W3CDTF">2020-06-10T19:13:44Z</dcterms:modified>
</cp:coreProperties>
</file>