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F543D" w:rsidRPr="00A96979" w:rsidP="004F543D" w14:paraId="68ADFFF3" w14:textId="77777777">
      <w:pPr>
        <w:jc w:val="center"/>
        <w:rPr>
          <w:b/>
        </w:rPr>
      </w:pPr>
      <w:r w:rsidRPr="00A96979">
        <w:rPr>
          <w:b/>
        </w:rPr>
        <w:t>BEFORE</w:t>
      </w:r>
    </w:p>
    <w:p w:rsidR="004F543D" w:rsidRPr="00A96979" w:rsidP="004F543D" w14:paraId="76410862" w14:textId="77777777">
      <w:pPr>
        <w:jc w:val="center"/>
        <w:rPr>
          <w:b/>
          <w:bCs/>
        </w:rPr>
      </w:pPr>
      <w:r w:rsidRPr="00A96979">
        <w:rPr>
          <w:b/>
          <w:bCs/>
        </w:rPr>
        <w:t>THE PUBLIC UTILITIES COMMISSION OF OHIO</w:t>
      </w:r>
    </w:p>
    <w:p w:rsidR="004F543D" w:rsidRPr="00A96979" w:rsidP="004F543D" w14:paraId="37EB8227" w14:textId="77777777">
      <w:pPr>
        <w:jc w:val="center"/>
        <w:rPr>
          <w:b/>
          <w:bCs/>
        </w:rPr>
      </w:pPr>
    </w:p>
    <w:tbl>
      <w:tblPr>
        <w:tblW w:w="8838" w:type="dxa"/>
        <w:tblInd w:w="0" w:type="dxa"/>
        <w:tblCellMar>
          <w:top w:w="0" w:type="dxa"/>
          <w:left w:w="108" w:type="dxa"/>
          <w:bottom w:w="0" w:type="dxa"/>
          <w:right w:w="108" w:type="dxa"/>
        </w:tblCellMar>
        <w:tblLook w:val="01E0"/>
      </w:tblPr>
      <w:tblGrid>
        <w:gridCol w:w="4230"/>
        <w:gridCol w:w="630"/>
        <w:gridCol w:w="3978"/>
      </w:tblGrid>
      <w:tr w14:paraId="428157BD" w14:textId="77777777" w:rsidTr="00655CC1">
        <w:tblPrEx>
          <w:tblW w:w="8838" w:type="dxa"/>
          <w:tblInd w:w="0" w:type="dxa"/>
          <w:tblCellMar>
            <w:top w:w="0" w:type="dxa"/>
            <w:left w:w="108" w:type="dxa"/>
            <w:bottom w:w="0" w:type="dxa"/>
            <w:right w:w="108" w:type="dxa"/>
          </w:tblCellMar>
          <w:tblLook w:val="01E0"/>
        </w:tblPrEx>
        <w:trPr>
          <w:trHeight w:val="807"/>
        </w:trPr>
        <w:tc>
          <w:tcPr>
            <w:tcW w:w="4230" w:type="dxa"/>
            <w:shd w:val="clear" w:color="auto" w:fill="auto"/>
          </w:tcPr>
          <w:p w:rsidR="004F543D" w:rsidRPr="00A96979" w:rsidP="00655CC1" w14:paraId="60ECD108" w14:textId="6BDB63E7">
            <w:pPr>
              <w:autoSpaceDE w:val="0"/>
              <w:autoSpaceDN w:val="0"/>
              <w:adjustRightInd w:val="0"/>
              <w:rPr>
                <w:sz w:val="24"/>
                <w:szCs w:val="24"/>
                <w:lang w:val="en-US" w:eastAsia="en-US" w:bidi="ar-SA"/>
              </w:rPr>
            </w:pPr>
            <w:r w:rsidRPr="00A96979">
              <w:rPr>
                <w:sz w:val="24"/>
                <w:szCs w:val="24"/>
                <w:lang w:val="en-US" w:eastAsia="en-US" w:bidi="ar-SA"/>
              </w:rPr>
              <w:t xml:space="preserve">In the Matter of </w:t>
            </w:r>
            <w:r w:rsidRPr="00A96979" w:rsidR="00D9201C">
              <w:rPr>
                <w:sz w:val="24"/>
                <w:szCs w:val="24"/>
                <w:lang w:val="en-US" w:eastAsia="en-US" w:bidi="ar-SA"/>
              </w:rPr>
              <w:t>t</w:t>
            </w:r>
            <w:r w:rsidRPr="00A96979">
              <w:rPr>
                <w:sz w:val="24"/>
                <w:szCs w:val="24"/>
                <w:lang w:val="en-US" w:eastAsia="en-US" w:bidi="ar-SA"/>
              </w:rPr>
              <w:t>he Commission’s Investigation into AES Ohio’s Compliance with the Ohio Administrative Code and Potential Remedial Action.</w:t>
            </w:r>
          </w:p>
        </w:tc>
        <w:tc>
          <w:tcPr>
            <w:tcW w:w="630" w:type="dxa"/>
            <w:shd w:val="clear" w:color="auto" w:fill="auto"/>
          </w:tcPr>
          <w:p w:rsidR="004F543D" w:rsidRPr="00A96979" w:rsidP="00655CC1" w14:paraId="781C08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4F543D" w:rsidRPr="00A96979" w:rsidP="00655CC1" w14:paraId="66906B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4F543D" w:rsidRPr="00A96979" w:rsidP="00655CC1" w14:paraId="4D849E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4F543D" w:rsidRPr="00A96979" w:rsidP="00655CC1" w14:paraId="73C9CD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4F543D" w:rsidRPr="00A96979" w:rsidP="00655CC1" w14:paraId="1FD83E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tc>
        <w:tc>
          <w:tcPr>
            <w:tcW w:w="3978" w:type="dxa"/>
            <w:shd w:val="clear" w:color="auto" w:fill="auto"/>
          </w:tcPr>
          <w:p w:rsidR="004F543D" w:rsidRPr="00A96979" w:rsidP="00655CC1" w14:paraId="45DFCD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4F543D" w:rsidRPr="00A96979" w:rsidP="00655CC1" w14:paraId="35CCB2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4F543D" w:rsidRPr="00A96979" w:rsidP="00655CC1" w14:paraId="08E867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Case No. 21-1220-EL-UNC</w:t>
            </w:r>
          </w:p>
          <w:p w:rsidR="004F543D" w:rsidRPr="00A96979" w:rsidP="00655CC1" w14:paraId="56CE46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tc>
      </w:tr>
    </w:tbl>
    <w:p w:rsidR="004F543D" w:rsidRPr="00A96979" w:rsidP="004F543D" w14:paraId="770FC420"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4F543D" w:rsidRPr="00A96979" w:rsidP="004F543D" w14:paraId="32E3F0FE" w14:textId="77777777">
      <w:pPr>
        <w:jc w:val="center"/>
        <w:rPr>
          <w:b/>
        </w:rPr>
      </w:pPr>
    </w:p>
    <w:p w:rsidR="004F543D" w:rsidRPr="00A96979" w:rsidP="004F543D" w14:paraId="6DA1135E" w14:textId="77777777">
      <w:pPr>
        <w:jc w:val="center"/>
        <w:rPr>
          <w:b/>
        </w:rPr>
      </w:pPr>
      <w:r w:rsidRPr="00A96979">
        <w:rPr>
          <w:b/>
        </w:rPr>
        <w:t xml:space="preserve">APPLICATION FOR REHEARING </w:t>
      </w:r>
    </w:p>
    <w:p w:rsidR="004F543D" w:rsidRPr="00A96979" w:rsidP="004F543D" w14:paraId="5770E7D8" w14:textId="77777777">
      <w:pPr>
        <w:jc w:val="center"/>
        <w:rPr>
          <w:b/>
        </w:rPr>
      </w:pPr>
      <w:r w:rsidRPr="00A96979">
        <w:rPr>
          <w:b/>
        </w:rPr>
        <w:t>BY</w:t>
      </w:r>
    </w:p>
    <w:p w:rsidR="004F543D" w:rsidRPr="00A96979" w:rsidP="004F543D" w14:paraId="217B3C7C" w14:textId="77777777">
      <w:pPr>
        <w:jc w:val="center"/>
        <w:rPr>
          <w:b/>
        </w:rPr>
      </w:pPr>
      <w:r w:rsidRPr="00A96979">
        <w:rPr>
          <w:b/>
        </w:rPr>
        <w:t xml:space="preserve">OFFICE OF THE OHIO CONSUMERS’ COUNSEL </w:t>
      </w:r>
    </w:p>
    <w:p w:rsidR="004F543D" w:rsidRPr="00A96979" w:rsidP="004F543D" w14:paraId="0FCC33EC" w14:textId="77777777">
      <w:pPr>
        <w:pBdr>
          <w:bottom w:val="single" w:sz="12" w:space="1" w:color="auto"/>
        </w:pBdr>
        <w:jc w:val="center"/>
        <w:rPr>
          <w:b/>
        </w:rPr>
      </w:pPr>
    </w:p>
    <w:p w:rsidR="004F543D" w:rsidRPr="00A96979" w:rsidP="00DD7E95" w14:paraId="6DC806EF" w14:textId="77777777">
      <w:pPr>
        <w:jc w:val="center"/>
        <w:rPr>
          <w:b/>
        </w:rPr>
      </w:pPr>
    </w:p>
    <w:p w:rsidR="004F543D" w:rsidRPr="00A96979" w:rsidP="004F543D" w14:paraId="10E91CB6" w14:textId="77777777"/>
    <w:p w:rsidR="004F543D" w:rsidRPr="00A96979" w:rsidP="004F543D" w14:paraId="60DACBAB" w14:textId="77777777">
      <w:pPr>
        <w:pStyle w:val="Footer"/>
        <w:tabs>
          <w:tab w:val="clear" w:pos="4320"/>
          <w:tab w:val="clear" w:pos="8640"/>
        </w:tabs>
        <w:ind w:left="4320"/>
        <w:rPr>
          <w:sz w:val="24"/>
        </w:rPr>
      </w:pPr>
      <w:r w:rsidRPr="00A96979">
        <w:rPr>
          <w:sz w:val="24"/>
        </w:rPr>
        <w:t>Maureen Willis (0020847)</w:t>
      </w:r>
    </w:p>
    <w:p w:rsidR="004F543D" w:rsidRPr="00A96979" w:rsidP="004F543D" w14:paraId="30AEE453" w14:textId="77777777">
      <w:pPr>
        <w:tabs>
          <w:tab w:val="left" w:pos="4320"/>
        </w:tabs>
        <w:ind w:left="4320" w:hanging="450"/>
      </w:pPr>
      <w:r w:rsidRPr="00A96979">
        <w:tab/>
        <w:t>Ohio Consumers’ Counsel</w:t>
      </w:r>
    </w:p>
    <w:p w:rsidR="004F543D" w:rsidRPr="00A96979" w:rsidP="004F543D" w14:paraId="407A026B" w14:textId="77777777">
      <w:pPr>
        <w:tabs>
          <w:tab w:val="left" w:pos="4320"/>
        </w:tabs>
        <w:ind w:left="4320"/>
      </w:pPr>
    </w:p>
    <w:p w:rsidR="004F543D" w:rsidRPr="00A96979" w:rsidP="004F543D" w14:paraId="23BB9A8A" w14:textId="77777777">
      <w:pPr>
        <w:tabs>
          <w:tab w:val="left" w:pos="4320"/>
        </w:tabs>
        <w:ind w:left="4320"/>
      </w:pPr>
      <w:r w:rsidRPr="00A96979">
        <w:t>John Finnigan (0018689)</w:t>
      </w:r>
    </w:p>
    <w:p w:rsidR="004F543D" w:rsidRPr="00A96979" w:rsidP="004F543D" w14:paraId="6F246789" w14:textId="77777777">
      <w:pPr>
        <w:tabs>
          <w:tab w:val="left" w:pos="4320"/>
        </w:tabs>
        <w:ind w:left="4320"/>
      </w:pPr>
      <w:r w:rsidRPr="00A96979">
        <w:t>Counsel of Record</w:t>
      </w:r>
    </w:p>
    <w:p w:rsidR="004F543D" w:rsidRPr="00A96979" w:rsidP="004F543D" w14:paraId="6DA26546" w14:textId="77777777">
      <w:pPr>
        <w:ind w:left="4320"/>
      </w:pPr>
      <w:r w:rsidRPr="00A96979">
        <w:t>Assistant Consumers’ Counsel</w:t>
      </w:r>
    </w:p>
    <w:p w:rsidR="004F543D" w:rsidRPr="00A96979" w:rsidP="004F543D" w14:paraId="0A141396" w14:textId="77777777">
      <w:pPr>
        <w:tabs>
          <w:tab w:val="left" w:pos="3870"/>
          <w:tab w:val="left" w:pos="4320"/>
        </w:tabs>
        <w:ind w:left="4320"/>
      </w:pPr>
    </w:p>
    <w:p w:rsidR="004F543D" w:rsidRPr="00A96979" w:rsidP="004F543D" w14:paraId="3F401D5C" w14:textId="77777777">
      <w:pPr>
        <w:ind w:left="4320"/>
        <w:rPr>
          <w:b/>
          <w:bCs/>
        </w:rPr>
      </w:pPr>
      <w:r w:rsidRPr="00A96979">
        <w:rPr>
          <w:b/>
          <w:bCs/>
        </w:rPr>
        <w:t>Office of the Ohio Consumers' Counsel</w:t>
      </w:r>
    </w:p>
    <w:p w:rsidR="004F543D" w:rsidRPr="00A96979" w:rsidP="004F543D" w14:paraId="19B33149" w14:textId="77777777">
      <w:pPr>
        <w:ind w:left="4320"/>
      </w:pPr>
      <w:r w:rsidRPr="00A96979">
        <w:t>65 East State Street, Suite 700</w:t>
      </w:r>
    </w:p>
    <w:p w:rsidR="004F543D" w:rsidRPr="00A96979" w:rsidP="004F543D" w14:paraId="0A766F5A" w14:textId="77777777">
      <w:pPr>
        <w:ind w:left="4320"/>
      </w:pPr>
      <w:r w:rsidRPr="00A96979">
        <w:t>Columbus, Ohio 43215</w:t>
      </w:r>
    </w:p>
    <w:p w:rsidR="004F543D" w:rsidRPr="00A96979" w:rsidP="004F543D" w14:paraId="7C9A7B26" w14:textId="77777777">
      <w:pPr>
        <w:autoSpaceDE w:val="0"/>
        <w:autoSpaceDN w:val="0"/>
        <w:adjustRightInd w:val="0"/>
        <w:ind w:left="4320"/>
        <w:rPr>
          <w:color w:val="000000"/>
        </w:rPr>
      </w:pPr>
      <w:r w:rsidRPr="00A96979">
        <w:t>Telephone [Finnigan]: (</w:t>
      </w:r>
      <w:r w:rsidRPr="00A96979">
        <w:rPr>
          <w:color w:val="000000"/>
        </w:rPr>
        <w:t>614) 466-9585</w:t>
      </w:r>
    </w:p>
    <w:p w:rsidR="004F543D" w:rsidRPr="00A96979" w:rsidP="00410F69" w14:paraId="6062C431" w14:textId="7C4A6493">
      <w:pPr>
        <w:ind w:left="4320" w:hanging="4320"/>
      </w:pPr>
      <w:r w:rsidRPr="00A96979">
        <w:t>January 2, 2024</w:t>
      </w:r>
      <w:r w:rsidRPr="00A96979">
        <w:tab/>
      </w:r>
      <w:hyperlink r:id="rId6" w:history="1">
        <w:r w:rsidRPr="00A96979" w:rsidR="00975F8B">
          <w:rPr>
            <w:rStyle w:val="Hyperlink"/>
          </w:rPr>
          <w:t>john.finnigan@occ.ohio.gov</w:t>
        </w:r>
      </w:hyperlink>
    </w:p>
    <w:p w:rsidR="004F543D" w:rsidRPr="00A96979" w:rsidP="004F543D" w14:paraId="480D85A2" w14:textId="565338B4">
      <w:pPr>
        <w:ind w:left="4320" w:hanging="4320"/>
        <w:rPr>
          <w:color w:val="0000FF"/>
          <w:u w:val="single"/>
        </w:rPr>
        <w:sectPr w:rsidSect="00641DE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r w:rsidRPr="00A96979">
        <w:tab/>
      </w:r>
    </w:p>
    <w:p w:rsidR="00437C02" w:rsidRPr="00A96979" w:rsidP="00DD7E95" w14:paraId="265F8E8F" w14:textId="77777777">
      <w:pPr>
        <w:jc w:val="center"/>
        <w:rPr>
          <w:b/>
        </w:rPr>
      </w:pPr>
      <w:r w:rsidRPr="00A96979">
        <w:rPr>
          <w:b/>
        </w:rPr>
        <w:t>BEFORE</w:t>
      </w:r>
    </w:p>
    <w:p w:rsidR="00437C02" w:rsidRPr="00A96979" w:rsidP="00DD7E95" w14:paraId="3AECC403" w14:textId="77777777">
      <w:pPr>
        <w:jc w:val="center"/>
        <w:rPr>
          <w:b/>
          <w:bCs/>
        </w:rPr>
      </w:pPr>
      <w:r w:rsidRPr="00A96979">
        <w:rPr>
          <w:b/>
          <w:bCs/>
        </w:rPr>
        <w:t>THE PUBLIC UTILITIES COMMISSION OF OHIO</w:t>
      </w:r>
    </w:p>
    <w:p w:rsidR="00437C02" w:rsidRPr="00A96979" w:rsidP="00DD7E95" w14:paraId="28288C8B" w14:textId="77777777">
      <w:pPr>
        <w:jc w:val="center"/>
        <w:rPr>
          <w:b/>
          <w:bCs/>
        </w:rPr>
      </w:pPr>
    </w:p>
    <w:tbl>
      <w:tblPr>
        <w:tblW w:w="8838" w:type="dxa"/>
        <w:tblInd w:w="0" w:type="dxa"/>
        <w:tblCellMar>
          <w:top w:w="0" w:type="dxa"/>
          <w:left w:w="108" w:type="dxa"/>
          <w:bottom w:w="0" w:type="dxa"/>
          <w:right w:w="108" w:type="dxa"/>
        </w:tblCellMar>
        <w:tblLook w:val="01E0"/>
      </w:tblPr>
      <w:tblGrid>
        <w:gridCol w:w="4230"/>
        <w:gridCol w:w="630"/>
        <w:gridCol w:w="3978"/>
      </w:tblGrid>
      <w:tr w14:paraId="719D181F" w14:textId="77777777" w:rsidTr="00655CC1">
        <w:tblPrEx>
          <w:tblW w:w="8838" w:type="dxa"/>
          <w:tblInd w:w="0" w:type="dxa"/>
          <w:tblCellMar>
            <w:top w:w="0" w:type="dxa"/>
            <w:left w:w="108" w:type="dxa"/>
            <w:bottom w:w="0" w:type="dxa"/>
            <w:right w:w="108" w:type="dxa"/>
          </w:tblCellMar>
          <w:tblLook w:val="01E0"/>
        </w:tblPrEx>
        <w:trPr>
          <w:trHeight w:val="807"/>
        </w:trPr>
        <w:tc>
          <w:tcPr>
            <w:tcW w:w="4230" w:type="dxa"/>
            <w:shd w:val="clear" w:color="auto" w:fill="auto"/>
          </w:tcPr>
          <w:p w:rsidR="003C39F6" w:rsidRPr="00A96979" w:rsidP="00655CC1" w14:paraId="5C3A447C" w14:textId="56BBA517">
            <w:pPr>
              <w:autoSpaceDE w:val="0"/>
              <w:autoSpaceDN w:val="0"/>
              <w:adjustRightInd w:val="0"/>
              <w:rPr>
                <w:sz w:val="24"/>
                <w:szCs w:val="24"/>
                <w:lang w:val="en-US" w:eastAsia="en-US" w:bidi="ar-SA"/>
              </w:rPr>
            </w:pPr>
            <w:r w:rsidRPr="00A96979">
              <w:rPr>
                <w:sz w:val="24"/>
                <w:szCs w:val="24"/>
                <w:lang w:val="en-US" w:eastAsia="en-US" w:bidi="ar-SA"/>
              </w:rPr>
              <w:t xml:space="preserve">In the Matter of </w:t>
            </w:r>
            <w:r w:rsidRPr="00A96979" w:rsidR="000A6113">
              <w:rPr>
                <w:sz w:val="24"/>
                <w:szCs w:val="24"/>
                <w:lang w:val="en-US" w:eastAsia="en-US" w:bidi="ar-SA"/>
              </w:rPr>
              <w:t>t</w:t>
            </w:r>
            <w:r w:rsidRPr="00A96979">
              <w:rPr>
                <w:sz w:val="24"/>
                <w:szCs w:val="24"/>
                <w:lang w:val="en-US" w:eastAsia="en-US" w:bidi="ar-SA"/>
              </w:rPr>
              <w:t>he Commission’s Investigation into AES Ohio’s Compliance with the Ohio Administrative Code and Potential Remedial Action.</w:t>
            </w:r>
          </w:p>
        </w:tc>
        <w:tc>
          <w:tcPr>
            <w:tcW w:w="630" w:type="dxa"/>
            <w:shd w:val="clear" w:color="auto" w:fill="auto"/>
          </w:tcPr>
          <w:p w:rsidR="003C39F6" w:rsidRPr="00A96979" w:rsidP="00655CC1" w14:paraId="426231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3C39F6" w:rsidRPr="00A96979" w:rsidP="00655CC1" w14:paraId="4C1D36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3C39F6" w:rsidRPr="00A96979" w:rsidP="00655CC1" w14:paraId="17BCD8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3C39F6" w:rsidRPr="00A96979" w:rsidP="00655CC1" w14:paraId="42C49A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3C39F6" w:rsidRPr="00A96979" w:rsidP="00655CC1" w14:paraId="0B6389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tc>
        <w:tc>
          <w:tcPr>
            <w:tcW w:w="3978" w:type="dxa"/>
            <w:shd w:val="clear" w:color="auto" w:fill="auto"/>
          </w:tcPr>
          <w:p w:rsidR="003C39F6" w:rsidRPr="00A96979" w:rsidP="00655CC1" w14:paraId="049CF7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3C39F6" w:rsidRPr="00A96979" w:rsidP="00655CC1" w14:paraId="14D13F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3C39F6" w:rsidRPr="00A96979" w:rsidP="00655CC1" w14:paraId="3A7082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Case No. 21-1220-EL-UNC</w:t>
            </w:r>
          </w:p>
          <w:p w:rsidR="003C39F6" w:rsidRPr="00A96979" w:rsidP="00655CC1" w14:paraId="0953DE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tc>
      </w:tr>
    </w:tbl>
    <w:p w:rsidR="00437C02" w:rsidRPr="00A96979" w:rsidP="00DD7E95" w14:paraId="00F6DF7E"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437C02" w:rsidRPr="00A96979" w:rsidP="00DD7E95" w14:paraId="19E8A298" w14:textId="77777777">
      <w:pPr>
        <w:jc w:val="center"/>
        <w:rPr>
          <w:b/>
        </w:rPr>
      </w:pPr>
    </w:p>
    <w:p w:rsidR="00437C02" w:rsidRPr="00A96979" w:rsidP="00DD7E95" w14:paraId="0CB24F14" w14:textId="77777777">
      <w:pPr>
        <w:jc w:val="center"/>
        <w:rPr>
          <w:b/>
        </w:rPr>
      </w:pPr>
      <w:r w:rsidRPr="00A96979">
        <w:rPr>
          <w:b/>
        </w:rPr>
        <w:t xml:space="preserve">APPLICATION FOR REHEARING </w:t>
      </w:r>
    </w:p>
    <w:p w:rsidR="00437C02" w:rsidRPr="00A96979" w:rsidP="00DD7E95" w14:paraId="2F90778A" w14:textId="77777777">
      <w:pPr>
        <w:jc w:val="center"/>
        <w:rPr>
          <w:b/>
        </w:rPr>
      </w:pPr>
      <w:r w:rsidRPr="00A96979">
        <w:rPr>
          <w:b/>
        </w:rPr>
        <w:t>BY</w:t>
      </w:r>
    </w:p>
    <w:p w:rsidR="00437C02" w:rsidRPr="00A96979" w:rsidP="00DD7E95" w14:paraId="5446ACFB" w14:textId="139906FA">
      <w:pPr>
        <w:jc w:val="center"/>
        <w:rPr>
          <w:b/>
        </w:rPr>
      </w:pPr>
      <w:r w:rsidRPr="00A96979">
        <w:rPr>
          <w:b/>
        </w:rPr>
        <w:t xml:space="preserve">OFFICE OF THE OHIO CONSUMERS’ COUNSEL </w:t>
      </w:r>
    </w:p>
    <w:p w:rsidR="00437C02" w:rsidRPr="00A96979" w:rsidP="00DD7E95" w14:paraId="3666F216" w14:textId="77777777">
      <w:pPr>
        <w:pBdr>
          <w:bottom w:val="single" w:sz="12" w:space="1" w:color="auto"/>
        </w:pBdr>
        <w:jc w:val="center"/>
        <w:rPr>
          <w:b/>
        </w:rPr>
      </w:pPr>
    </w:p>
    <w:p w:rsidR="00437C02" w:rsidRPr="00A96979" w:rsidP="00DD7E95" w14:paraId="26621082" w14:textId="77777777">
      <w:pPr>
        <w:ind w:firstLine="48"/>
      </w:pPr>
    </w:p>
    <w:p w:rsidR="00437C02" w:rsidRPr="00A96979" w:rsidP="00DD7E95" w14:paraId="1B200EE4" w14:textId="58D3839C">
      <w:pPr>
        <w:spacing w:line="480" w:lineRule="auto"/>
        <w:ind w:firstLine="720"/>
      </w:pPr>
      <w:r w:rsidRPr="00A96979">
        <w:t xml:space="preserve">The Office of the Ohio Consumers' Counsel (“OCC”) files this Application for Rehearing (“Application”) to protect consumers from </w:t>
      </w:r>
      <w:r w:rsidRPr="00A96979" w:rsidR="00867260">
        <w:t>continuing to suffer unreliable service at the hands of their utility, The Dayton Power and Light Company (“DP&amp;L” or “AES Ohio”).</w:t>
      </w:r>
      <w:r w:rsidRPr="00A96979">
        <w:t xml:space="preserve"> </w:t>
      </w:r>
    </w:p>
    <w:p w:rsidR="00437C02" w:rsidRPr="00A96979" w:rsidP="00DD7E95" w14:paraId="37E7F521" w14:textId="169E16A3">
      <w:pPr>
        <w:spacing w:line="480" w:lineRule="auto"/>
        <w:ind w:firstLine="720"/>
      </w:pPr>
      <w:r w:rsidRPr="00A96979">
        <w:t xml:space="preserve">The </w:t>
      </w:r>
      <w:r w:rsidRPr="00A96979" w:rsidR="00A4388E">
        <w:t>Finding</w:t>
      </w:r>
      <w:r w:rsidRPr="00A96979">
        <w:t xml:space="preserve"> and Order harms c</w:t>
      </w:r>
      <w:r w:rsidRPr="00A96979" w:rsidR="001F4D20">
        <w:t>onsumers</w:t>
      </w:r>
      <w:r w:rsidRPr="00A96979">
        <w:t xml:space="preserve"> and is unreasonable and unlawful in the following respects:</w:t>
      </w:r>
    </w:p>
    <w:p w:rsidR="00BB7DAC" w:rsidRPr="00A96979" w:rsidP="00294149" w14:paraId="612483A2" w14:textId="6BD1CD60">
      <w:pPr>
        <w:ind w:left="720"/>
      </w:pPr>
      <w:r w:rsidRPr="00A96979">
        <w:rPr>
          <w:b/>
          <w:bCs/>
        </w:rPr>
        <w:t>ASSIGNMENT OF ERROR 1:</w:t>
      </w:r>
      <w:r w:rsidRPr="00A96979" w:rsidR="003C39F6">
        <w:t xml:space="preserve"> </w:t>
      </w:r>
      <w:r w:rsidRPr="00A96979">
        <w:t>The PUCO’s Finding and Order is unlawful and unreasonable because it approved the Settlement without any record evidence, in violation of R.C. 4903.09.</w:t>
      </w:r>
    </w:p>
    <w:p w:rsidR="00BB7DAC" w:rsidRPr="00A96979" w:rsidP="00294149" w14:paraId="3370840A" w14:textId="7304E49D">
      <w:pPr>
        <w:ind w:left="720"/>
      </w:pPr>
    </w:p>
    <w:p w:rsidR="00BB7DAC" w:rsidRPr="00A96979" w:rsidP="00294149" w14:paraId="7E863B1C" w14:textId="03C1FD46">
      <w:pPr>
        <w:ind w:left="720"/>
      </w:pPr>
      <w:r w:rsidRPr="00A96979">
        <w:rPr>
          <w:b/>
          <w:bCs/>
        </w:rPr>
        <w:t>ASSIGNMENT OF ERROR 2:</w:t>
      </w:r>
      <w:r w:rsidRPr="00A96979" w:rsidR="003C39F6">
        <w:t xml:space="preserve"> </w:t>
      </w:r>
      <w:r w:rsidRPr="00A96979">
        <w:t xml:space="preserve">In violation of </w:t>
      </w:r>
      <w:r w:rsidRPr="00A96979">
        <w:rPr>
          <w:i/>
          <w:iCs/>
        </w:rPr>
        <w:t>Time Warner AxS v. Pub. Util. Comm</w:t>
      </w:r>
      <w:r w:rsidRPr="00A96979">
        <w:t>., OCC was not given an opportunity to bargain for any consumer protections.</w:t>
      </w:r>
    </w:p>
    <w:p w:rsidR="00BB7DAC" w:rsidRPr="00A96979" w:rsidP="00294149" w14:paraId="6AEEE090" w14:textId="77777777">
      <w:pPr>
        <w:ind w:left="720"/>
      </w:pPr>
    </w:p>
    <w:p w:rsidR="00BB7DAC" w:rsidRPr="00A96979" w:rsidP="00294149" w14:paraId="7E96AC4F" w14:textId="6CE06186">
      <w:pPr>
        <w:ind w:left="720"/>
      </w:pPr>
      <w:r w:rsidRPr="00A96979">
        <w:rPr>
          <w:b/>
          <w:bCs/>
        </w:rPr>
        <w:t>ASSIGNMENT OF ERROR 3:</w:t>
      </w:r>
      <w:r w:rsidRPr="00A96979">
        <w:t xml:space="preserve"> The PUCO’s Finding and Order is unlawful and unreasonable because it violated its own long-standing precedent by reviewing the Settlement under a “simple reasonableness standard,” rather than the three-prong test for the reasonableness of settlements which the Commission has employed for decades.</w:t>
      </w:r>
    </w:p>
    <w:p w:rsidR="00BB7DAC" w:rsidRPr="00A96979" w:rsidP="00294149" w14:paraId="1469AC2D" w14:textId="77777777">
      <w:pPr>
        <w:ind w:left="720"/>
      </w:pPr>
    </w:p>
    <w:p w:rsidR="00BB7DAC" w:rsidRPr="00A96979" w:rsidP="00294149" w14:paraId="755D5EBD" w14:textId="34FEE6B5">
      <w:pPr>
        <w:ind w:left="720"/>
      </w:pPr>
      <w:r w:rsidRPr="00A96979">
        <w:rPr>
          <w:b/>
          <w:bCs/>
        </w:rPr>
        <w:t>ASSIGNMENT OF ERROR 4:</w:t>
      </w:r>
      <w:r w:rsidRPr="00A96979">
        <w:t xml:space="preserve"> The PUCO’s Finding and Order is unlawful and unreasonable because it approves the Settlement even though it was not the product of serious bargaining among capable, knowledgeable parties representing diverse interests.</w:t>
      </w:r>
    </w:p>
    <w:p w:rsidR="00BB7DAC" w:rsidRPr="00A96979" w:rsidP="00294149" w14:paraId="4ADDC2EE" w14:textId="77777777">
      <w:pPr>
        <w:ind w:left="720"/>
      </w:pPr>
    </w:p>
    <w:p w:rsidR="00BB7DAC" w:rsidRPr="00A96979" w:rsidP="00294149" w14:paraId="1A08653C" w14:textId="388BF576">
      <w:pPr>
        <w:ind w:left="720"/>
      </w:pPr>
      <w:r w:rsidRPr="00A96979">
        <w:rPr>
          <w:b/>
          <w:bCs/>
        </w:rPr>
        <w:t>ASSIGNMENT OF ERROR 5:</w:t>
      </w:r>
      <w:r w:rsidRPr="00A96979">
        <w:t xml:space="preserve"> The PUCO’s Finding and Order is unlawful and unreasonable because it approves the Settlement even though the Settlement, as a package, does not benefit customers and the public interest.</w:t>
      </w:r>
    </w:p>
    <w:p w:rsidR="00BB7DAC" w:rsidRPr="00A96979" w:rsidP="00294149" w14:paraId="7E7C413B" w14:textId="77777777">
      <w:pPr>
        <w:ind w:left="720"/>
      </w:pPr>
    </w:p>
    <w:p w:rsidR="00BB7DAC" w:rsidRPr="00A96979" w:rsidP="00294149" w14:paraId="4F2069EA" w14:textId="0AFE428D">
      <w:pPr>
        <w:ind w:left="720"/>
      </w:pPr>
      <w:r w:rsidRPr="00A96979">
        <w:rPr>
          <w:b/>
          <w:bCs/>
        </w:rPr>
        <w:t>ASSIGNMENT OF ERROR 6:</w:t>
      </w:r>
      <w:r w:rsidRPr="00A96979">
        <w:t xml:space="preserve"> </w:t>
      </w:r>
      <w:r w:rsidRPr="00A96979" w:rsidR="00CD6678">
        <w:t>The PUCO’s Finding and Order is unlawful and unreasonable because it approves the Settlement, which violates important regulatory principles and practices which require utilities to provide adequate service and that requires forfeitures to act as a deterrent. These important regulatory principles and practices include R.C. 4928.11(A) R.C. 4905.22 and O.A.C. 4901:1-10-10.</w:t>
      </w:r>
    </w:p>
    <w:p w:rsidR="00BB7DAC" w:rsidRPr="00A96979" w:rsidP="00DD7E95" w14:paraId="54DEA663" w14:textId="77777777"/>
    <w:p w:rsidR="00437C02" w:rsidRPr="00A96979" w:rsidP="00DD7E95" w14:paraId="2196065A" w14:textId="540AF17A">
      <w:pPr>
        <w:spacing w:line="480" w:lineRule="auto"/>
      </w:pPr>
      <w:r w:rsidRPr="00A96979">
        <w:tab/>
        <w:t>The reasons in support of this Application for rehearing are set forth in the accompanying memorandum in support.</w:t>
      </w:r>
      <w:r w:rsidRPr="00A96979" w:rsidR="003C39F6">
        <w:t xml:space="preserve"> </w:t>
      </w:r>
      <w:r w:rsidRPr="00A96979">
        <w:t xml:space="preserve">The PUCO should grant rehearing and abrogate its </w:t>
      </w:r>
      <w:r w:rsidRPr="00A96979" w:rsidR="00A4388E">
        <w:t>Finding</w:t>
      </w:r>
      <w:r w:rsidRPr="00A96979">
        <w:t xml:space="preserve"> and Order as requested by OCC.</w:t>
      </w:r>
    </w:p>
    <w:p w:rsidR="00437C02" w:rsidRPr="00A96979" w:rsidP="00517249" w14:paraId="137E62AB" w14:textId="77777777">
      <w:pPr>
        <w:ind w:left="3600" w:firstLine="720"/>
      </w:pPr>
      <w:r w:rsidRPr="00A96979">
        <w:t>Respectfully submitted,</w:t>
      </w:r>
    </w:p>
    <w:p w:rsidR="00437C02" w:rsidRPr="00A96979" w:rsidP="00517249" w14:paraId="729C07E5" w14:textId="77777777">
      <w:pPr>
        <w:ind w:left="3600" w:firstLine="720"/>
      </w:pPr>
    </w:p>
    <w:p w:rsidR="00437C02" w:rsidRPr="00A96979" w:rsidP="00517249" w14:paraId="66E7CADC" w14:textId="6055261D">
      <w:pPr>
        <w:pStyle w:val="Footer"/>
        <w:suppressLineNumbers/>
        <w:tabs>
          <w:tab w:val="clear" w:pos="4320"/>
          <w:tab w:val="clear" w:pos="8640"/>
        </w:tabs>
        <w:ind w:left="4320"/>
        <w:rPr>
          <w:sz w:val="24"/>
        </w:rPr>
      </w:pPr>
      <w:r w:rsidRPr="00A96979">
        <w:rPr>
          <w:sz w:val="24"/>
        </w:rPr>
        <w:t>Maureen R. Willis (0020847)</w:t>
      </w:r>
    </w:p>
    <w:p w:rsidR="00437C02" w:rsidRPr="00A96979" w:rsidP="00517249" w14:paraId="025C9CF3" w14:textId="030CA5E6">
      <w:pPr>
        <w:suppressLineNumbers/>
        <w:ind w:left="4320"/>
      </w:pPr>
      <w:r w:rsidRPr="00A96979">
        <w:t>Ohio Consumers’ Counsel</w:t>
      </w:r>
    </w:p>
    <w:p w:rsidR="00C66AA4" w:rsidRPr="00A96979" w:rsidP="00517249" w14:paraId="4F71262D" w14:textId="77777777">
      <w:pPr>
        <w:suppressLineNumbers/>
        <w:ind w:left="4320"/>
      </w:pPr>
    </w:p>
    <w:p w:rsidR="00C66AA4" w:rsidRPr="00A96979" w:rsidP="00517249" w14:paraId="1E8BE70B" w14:textId="1E8AD793">
      <w:pPr>
        <w:tabs>
          <w:tab w:val="left" w:pos="4320"/>
        </w:tabs>
        <w:ind w:left="4320"/>
        <w:rPr>
          <w:i/>
          <w:iCs/>
          <w:u w:val="single"/>
        </w:rPr>
      </w:pPr>
      <w:r w:rsidRPr="00A96979">
        <w:rPr>
          <w:i/>
          <w:iCs/>
          <w:u w:val="single"/>
        </w:rPr>
        <w:t>/s/ John Finnigan</w:t>
      </w:r>
    </w:p>
    <w:p w:rsidR="00C66AA4" w:rsidRPr="00A96979" w:rsidP="00517249" w14:paraId="782B5148" w14:textId="77777777">
      <w:pPr>
        <w:tabs>
          <w:tab w:val="left" w:pos="4320"/>
        </w:tabs>
        <w:ind w:left="4320"/>
      </w:pPr>
      <w:r w:rsidRPr="00A96979">
        <w:t>John Finnigan (0018689)</w:t>
      </w:r>
    </w:p>
    <w:p w:rsidR="00C66AA4" w:rsidRPr="00A96979" w:rsidP="00517249" w14:paraId="30DA3184" w14:textId="77777777">
      <w:pPr>
        <w:tabs>
          <w:tab w:val="left" w:pos="4320"/>
        </w:tabs>
        <w:ind w:left="4320"/>
      </w:pPr>
      <w:r w:rsidRPr="00A96979">
        <w:t>Counsel of Record</w:t>
      </w:r>
    </w:p>
    <w:p w:rsidR="00C66AA4" w:rsidRPr="00A96979" w:rsidP="00517249" w14:paraId="4C3B8C82" w14:textId="77777777">
      <w:pPr>
        <w:ind w:left="4320"/>
      </w:pPr>
      <w:r w:rsidRPr="00A96979">
        <w:t>Assistant Consumers’ Counsel</w:t>
      </w:r>
    </w:p>
    <w:p w:rsidR="00C66AA4" w:rsidRPr="00A96979" w:rsidP="00517249" w14:paraId="238A2A79" w14:textId="77777777">
      <w:pPr>
        <w:tabs>
          <w:tab w:val="left" w:pos="3870"/>
          <w:tab w:val="left" w:pos="4320"/>
        </w:tabs>
        <w:ind w:left="4320"/>
      </w:pPr>
    </w:p>
    <w:p w:rsidR="00C66AA4" w:rsidRPr="00A96979" w:rsidP="00517249" w14:paraId="068C363B" w14:textId="77777777">
      <w:pPr>
        <w:ind w:left="4320"/>
        <w:rPr>
          <w:b/>
          <w:bCs/>
        </w:rPr>
      </w:pPr>
      <w:r w:rsidRPr="00A96979">
        <w:rPr>
          <w:b/>
          <w:bCs/>
        </w:rPr>
        <w:t>Office of the Ohio Consumers' Counsel</w:t>
      </w:r>
    </w:p>
    <w:p w:rsidR="00C66AA4" w:rsidRPr="00A96979" w:rsidP="00517249" w14:paraId="4C0939D8" w14:textId="77777777">
      <w:pPr>
        <w:ind w:left="4320"/>
      </w:pPr>
      <w:r w:rsidRPr="00A96979">
        <w:t>65 East State Street, Suite 700</w:t>
      </w:r>
    </w:p>
    <w:p w:rsidR="00C66AA4" w:rsidRPr="00A96979" w:rsidP="00517249" w14:paraId="18FCE717" w14:textId="77777777">
      <w:pPr>
        <w:ind w:left="4320"/>
      </w:pPr>
      <w:r w:rsidRPr="00A96979">
        <w:t>Columbus, Ohio 43215</w:t>
      </w:r>
    </w:p>
    <w:p w:rsidR="00C66AA4" w:rsidRPr="00A96979" w:rsidP="00517249" w14:paraId="393A2C1B" w14:textId="77777777">
      <w:pPr>
        <w:autoSpaceDE w:val="0"/>
        <w:autoSpaceDN w:val="0"/>
        <w:adjustRightInd w:val="0"/>
        <w:ind w:left="4320"/>
        <w:rPr>
          <w:color w:val="000000"/>
        </w:rPr>
      </w:pPr>
      <w:r w:rsidRPr="00A96979">
        <w:t>Telephone [Finnigan]: (</w:t>
      </w:r>
      <w:r w:rsidRPr="00A96979">
        <w:rPr>
          <w:color w:val="000000"/>
        </w:rPr>
        <w:t>614) 466-9585</w:t>
      </w:r>
    </w:p>
    <w:p w:rsidR="00C66AA4" w:rsidRPr="00A96979" w:rsidP="00517249" w14:paraId="26E29551" w14:textId="77777777">
      <w:pPr>
        <w:ind w:left="4320"/>
      </w:pPr>
      <w:hyperlink r:id="rId6" w:history="1">
        <w:r w:rsidRPr="00A96979">
          <w:rPr>
            <w:rStyle w:val="Hyperlink"/>
          </w:rPr>
          <w:t>john.finnigan@occ.ohio.gov</w:t>
        </w:r>
      </w:hyperlink>
    </w:p>
    <w:p w:rsidR="00C66AA4" w:rsidRPr="00A96979" w:rsidP="00517249" w14:paraId="1F53F9E9" w14:textId="77777777">
      <w:pPr>
        <w:ind w:firstLine="720"/>
      </w:pPr>
      <w:r w:rsidRPr="00A96979">
        <w:tab/>
      </w:r>
      <w:r w:rsidRPr="00A96979">
        <w:tab/>
      </w:r>
      <w:r w:rsidRPr="00A96979">
        <w:tab/>
      </w:r>
      <w:r w:rsidRPr="00A96979">
        <w:tab/>
      </w:r>
      <w:r w:rsidRPr="00A96979">
        <w:tab/>
        <w:t>(willing to accept service by e-mail)</w:t>
      </w:r>
    </w:p>
    <w:p w:rsidR="00C66AA4" w:rsidRPr="00A96979" w:rsidP="00C66AA4" w14:paraId="1FAF2E32" w14:textId="77777777">
      <w:pPr>
        <w:suppressLineNumbers/>
        <w:ind w:left="4320"/>
      </w:pPr>
    </w:p>
    <w:p w:rsidR="00437C02" w:rsidRPr="00A96979" w:rsidP="00DD7E95" w14:paraId="35FDD5D1" w14:textId="77777777">
      <w:pPr>
        <w:suppressLineNumbers/>
        <w:autoSpaceDE w:val="0"/>
        <w:autoSpaceDN w:val="0"/>
        <w:adjustRightInd w:val="0"/>
        <w:ind w:left="3600" w:firstLine="720"/>
      </w:pPr>
    </w:p>
    <w:p w:rsidR="00437C02" w:rsidRPr="00A96979" w:rsidP="00DD7E95" w14:paraId="66008DF7" w14:textId="77777777">
      <w:pPr>
        <w:suppressLineNumbers/>
        <w:autoSpaceDE w:val="0"/>
        <w:autoSpaceDN w:val="0"/>
        <w:adjustRightInd w:val="0"/>
        <w:ind w:left="3600" w:firstLine="720"/>
      </w:pPr>
    </w:p>
    <w:p w:rsidR="00437C02" w:rsidRPr="00A96979" w:rsidP="00DD7E95" w14:paraId="3E5321CF" w14:textId="77777777">
      <w:pPr>
        <w:pStyle w:val="Heading1"/>
        <w:sectPr w:rsidSect="00641DEF">
          <w:footerReference w:type="default" r:id="rId13"/>
          <w:pgSz w:w="12240" w:h="15840"/>
          <w:pgMar w:top="1440" w:right="1800" w:bottom="1440" w:left="1800" w:header="720" w:footer="720" w:gutter="0"/>
          <w:pgNumType w:start="1"/>
          <w:cols w:space="720"/>
          <w:docGrid w:linePitch="360"/>
        </w:sectPr>
      </w:pPr>
    </w:p>
    <w:p w:rsidR="00437C02" w:rsidRPr="00A96979" w:rsidP="00B031E2" w14:paraId="1644DD51" w14:textId="77777777">
      <w:pPr>
        <w:jc w:val="center"/>
        <w:rPr>
          <w:b/>
          <w:bCs/>
          <w:u w:val="single"/>
        </w:rPr>
      </w:pPr>
      <w:r w:rsidRPr="00A96979">
        <w:rPr>
          <w:b/>
          <w:bCs/>
          <w:u w:val="single"/>
        </w:rPr>
        <w:t>TABLE OF CONTENTS</w:t>
      </w:r>
    </w:p>
    <w:p w:rsidR="00437C02" w:rsidRPr="00A96979" w:rsidP="00B031E2" w14:paraId="6AEB1B1B" w14:textId="77777777"/>
    <w:p w:rsidR="00437C02" w:rsidRPr="00A96979" w:rsidP="00B031E2" w14:paraId="587BBADE" w14:textId="77777777">
      <w:pPr>
        <w:rPr>
          <w:b/>
          <w:bCs/>
        </w:rPr>
      </w:pPr>
      <w:r w:rsidRPr="00A96979">
        <w:rPr>
          <w:b/>
          <w:bCs/>
        </w:rPr>
        <w:tab/>
      </w:r>
      <w:r w:rsidRPr="00A96979">
        <w:rPr>
          <w:b/>
          <w:bCs/>
        </w:rPr>
        <w:tab/>
      </w:r>
      <w:r w:rsidRPr="00A96979">
        <w:rPr>
          <w:b/>
          <w:bCs/>
        </w:rPr>
        <w:tab/>
      </w:r>
      <w:r w:rsidRPr="00A96979">
        <w:rPr>
          <w:b/>
          <w:bCs/>
        </w:rPr>
        <w:tab/>
      </w:r>
      <w:r w:rsidRPr="00A96979">
        <w:rPr>
          <w:b/>
          <w:bCs/>
        </w:rPr>
        <w:tab/>
      </w:r>
      <w:r w:rsidRPr="00A96979">
        <w:rPr>
          <w:b/>
          <w:bCs/>
        </w:rPr>
        <w:tab/>
      </w:r>
      <w:r w:rsidRPr="00A96979">
        <w:rPr>
          <w:b/>
          <w:bCs/>
        </w:rPr>
        <w:tab/>
      </w:r>
      <w:r w:rsidRPr="00A96979">
        <w:rPr>
          <w:b/>
          <w:bCs/>
        </w:rPr>
        <w:tab/>
      </w:r>
      <w:r w:rsidRPr="00A96979">
        <w:rPr>
          <w:b/>
          <w:bCs/>
        </w:rPr>
        <w:tab/>
      </w:r>
      <w:r w:rsidRPr="00A96979">
        <w:rPr>
          <w:b/>
          <w:bCs/>
        </w:rPr>
        <w:tab/>
      </w:r>
      <w:r w:rsidRPr="00A96979">
        <w:rPr>
          <w:b/>
          <w:bCs/>
        </w:rPr>
        <w:tab/>
        <w:t>PAGE</w:t>
      </w:r>
    </w:p>
    <w:p w:rsidR="00437C02" w:rsidRPr="00A96979" w:rsidP="00B031E2" w14:paraId="1DBCAB65" w14:textId="77777777"/>
    <w:p w:rsidR="002F1DD4" w:rsidP="002F1DD4" w14:paraId="6B7B0E77" w14:textId="77F6A775">
      <w:pPr>
        <w:pStyle w:val="TOC1"/>
        <w:framePr w:wrap="notBeside"/>
        <w:rPr>
          <w:rFonts w:asciiTheme="minorHAnsi" w:eastAsiaTheme="minorEastAsia" w:hAnsiTheme="minorHAnsi" w:cstheme="minorBidi"/>
          <w:bCs w:val="0"/>
          <w:caps w:val="0"/>
          <w:noProof/>
          <w:kern w:val="2"/>
          <w:sz w:val="22"/>
          <w:szCs w:val="22"/>
          <w14:ligatures w14:val="standardContextual"/>
        </w:rPr>
      </w:pPr>
      <w:r w:rsidRPr="00A96979">
        <w:fldChar w:fldCharType="begin"/>
      </w:r>
      <w:r w:rsidRPr="00A96979">
        <w:instrText xml:space="preserve"> TOC \o "1-2" \h \z \u </w:instrText>
      </w:r>
      <w:r w:rsidRPr="00A96979">
        <w:fldChar w:fldCharType="separate"/>
      </w:r>
      <w:hyperlink w:anchor="_Toc155103702" w:history="1">
        <w:r w:rsidRPr="0075742B">
          <w:rPr>
            <w:rStyle w:val="Hyperlink"/>
            <w:noProof/>
          </w:rPr>
          <w:t>I.</w:t>
        </w:r>
        <w:r>
          <w:rPr>
            <w:rFonts w:asciiTheme="minorHAnsi" w:eastAsiaTheme="minorEastAsia" w:hAnsiTheme="minorHAnsi" w:cstheme="minorBidi"/>
            <w:bCs w:val="0"/>
            <w:caps w:val="0"/>
            <w:noProof/>
            <w:kern w:val="2"/>
            <w:sz w:val="22"/>
            <w:szCs w:val="22"/>
            <w14:ligatures w14:val="standardContextual"/>
          </w:rPr>
          <w:tab/>
        </w:r>
        <w:r w:rsidRPr="0075742B">
          <w:rPr>
            <w:rStyle w:val="Hyperlink"/>
            <w:noProof/>
          </w:rPr>
          <w:t>INTRODUCTION</w:t>
        </w:r>
        <w:r>
          <w:rPr>
            <w:noProof/>
            <w:webHidden/>
          </w:rPr>
          <w:tab/>
        </w:r>
        <w:r>
          <w:rPr>
            <w:noProof/>
            <w:webHidden/>
          </w:rPr>
          <w:fldChar w:fldCharType="begin"/>
        </w:r>
        <w:r>
          <w:rPr>
            <w:noProof/>
            <w:webHidden/>
          </w:rPr>
          <w:instrText xml:space="preserve"> PAGEREF _Toc155103702 \h </w:instrText>
        </w:r>
        <w:r>
          <w:rPr>
            <w:noProof/>
            <w:webHidden/>
          </w:rPr>
          <w:fldChar w:fldCharType="separate"/>
        </w:r>
        <w:r>
          <w:rPr>
            <w:noProof/>
            <w:webHidden/>
          </w:rPr>
          <w:t>1</w:t>
        </w:r>
        <w:r>
          <w:rPr>
            <w:noProof/>
            <w:webHidden/>
          </w:rPr>
          <w:fldChar w:fldCharType="end"/>
        </w:r>
      </w:hyperlink>
    </w:p>
    <w:p w:rsidR="002F1DD4" w:rsidP="002F1DD4" w14:paraId="6AE6E06B" w14:textId="5935BB16">
      <w:pPr>
        <w:pStyle w:val="TOC1"/>
        <w:framePr w:wrap="notBeside"/>
        <w:rPr>
          <w:rFonts w:asciiTheme="minorHAnsi" w:eastAsiaTheme="minorEastAsia" w:hAnsiTheme="minorHAnsi" w:cstheme="minorBidi"/>
          <w:bCs w:val="0"/>
          <w:caps w:val="0"/>
          <w:noProof/>
          <w:kern w:val="2"/>
          <w:sz w:val="22"/>
          <w:szCs w:val="22"/>
          <w14:ligatures w14:val="standardContextual"/>
        </w:rPr>
      </w:pPr>
      <w:hyperlink w:anchor="_Toc155103703" w:history="1">
        <w:r w:rsidRPr="0075742B">
          <w:rPr>
            <w:rStyle w:val="Hyperlink"/>
            <w:noProof/>
          </w:rPr>
          <w:t>II.</w:t>
        </w:r>
        <w:r>
          <w:rPr>
            <w:rFonts w:asciiTheme="minorHAnsi" w:eastAsiaTheme="minorEastAsia" w:hAnsiTheme="minorHAnsi" w:cstheme="minorBidi"/>
            <w:bCs w:val="0"/>
            <w:caps w:val="0"/>
            <w:noProof/>
            <w:kern w:val="2"/>
            <w:sz w:val="22"/>
            <w:szCs w:val="22"/>
            <w14:ligatures w14:val="standardContextual"/>
          </w:rPr>
          <w:tab/>
        </w:r>
        <w:r w:rsidRPr="0075742B">
          <w:rPr>
            <w:rStyle w:val="Hyperlink"/>
            <w:noProof/>
          </w:rPr>
          <w:t>STANDARD OF REVIEW</w:t>
        </w:r>
        <w:r>
          <w:rPr>
            <w:noProof/>
            <w:webHidden/>
          </w:rPr>
          <w:tab/>
        </w:r>
        <w:r>
          <w:rPr>
            <w:noProof/>
            <w:webHidden/>
          </w:rPr>
          <w:fldChar w:fldCharType="begin"/>
        </w:r>
        <w:r>
          <w:rPr>
            <w:noProof/>
            <w:webHidden/>
          </w:rPr>
          <w:instrText xml:space="preserve"> PAGEREF _Toc155103703 \h </w:instrText>
        </w:r>
        <w:r>
          <w:rPr>
            <w:noProof/>
            <w:webHidden/>
          </w:rPr>
          <w:fldChar w:fldCharType="separate"/>
        </w:r>
        <w:r>
          <w:rPr>
            <w:noProof/>
            <w:webHidden/>
          </w:rPr>
          <w:t>3</w:t>
        </w:r>
        <w:r>
          <w:rPr>
            <w:noProof/>
            <w:webHidden/>
          </w:rPr>
          <w:fldChar w:fldCharType="end"/>
        </w:r>
      </w:hyperlink>
    </w:p>
    <w:p w:rsidR="002F1DD4" w:rsidP="002F1DD4" w14:paraId="363C4602" w14:textId="721159E7">
      <w:pPr>
        <w:pStyle w:val="TOC1"/>
        <w:framePr w:wrap="notBeside"/>
        <w:rPr>
          <w:rFonts w:asciiTheme="minorHAnsi" w:eastAsiaTheme="minorEastAsia" w:hAnsiTheme="minorHAnsi" w:cstheme="minorBidi"/>
          <w:bCs w:val="0"/>
          <w:caps w:val="0"/>
          <w:noProof/>
          <w:kern w:val="2"/>
          <w:sz w:val="22"/>
          <w:szCs w:val="22"/>
          <w14:ligatures w14:val="standardContextual"/>
        </w:rPr>
      </w:pPr>
      <w:hyperlink w:anchor="_Toc155103704" w:history="1">
        <w:r w:rsidRPr="0075742B">
          <w:rPr>
            <w:rStyle w:val="Hyperlink"/>
            <w:noProof/>
          </w:rPr>
          <w:t>iii.</w:t>
        </w:r>
        <w:r>
          <w:rPr>
            <w:rFonts w:asciiTheme="minorHAnsi" w:eastAsiaTheme="minorEastAsia" w:hAnsiTheme="minorHAnsi" w:cstheme="minorBidi"/>
            <w:bCs w:val="0"/>
            <w:caps w:val="0"/>
            <w:noProof/>
            <w:kern w:val="2"/>
            <w:sz w:val="22"/>
            <w:szCs w:val="22"/>
            <w14:ligatures w14:val="standardContextual"/>
          </w:rPr>
          <w:tab/>
        </w:r>
        <w:r w:rsidRPr="0075742B">
          <w:rPr>
            <w:rStyle w:val="Hyperlink"/>
            <w:noProof/>
          </w:rPr>
          <w:t>ASSIGNMENTS OF ERRORS</w:t>
        </w:r>
        <w:r>
          <w:rPr>
            <w:noProof/>
            <w:webHidden/>
          </w:rPr>
          <w:tab/>
        </w:r>
        <w:r>
          <w:rPr>
            <w:noProof/>
            <w:webHidden/>
          </w:rPr>
          <w:fldChar w:fldCharType="begin"/>
        </w:r>
        <w:r>
          <w:rPr>
            <w:noProof/>
            <w:webHidden/>
          </w:rPr>
          <w:instrText xml:space="preserve"> PAGEREF _Toc155103704 \h </w:instrText>
        </w:r>
        <w:r>
          <w:rPr>
            <w:noProof/>
            <w:webHidden/>
          </w:rPr>
          <w:fldChar w:fldCharType="separate"/>
        </w:r>
        <w:r>
          <w:rPr>
            <w:noProof/>
            <w:webHidden/>
          </w:rPr>
          <w:t>4</w:t>
        </w:r>
        <w:r>
          <w:rPr>
            <w:noProof/>
            <w:webHidden/>
          </w:rPr>
          <w:fldChar w:fldCharType="end"/>
        </w:r>
      </w:hyperlink>
    </w:p>
    <w:p w:rsidR="002F1DD4" w:rsidP="002F1DD4" w14:paraId="41568C2D" w14:textId="28B291D0">
      <w:pPr>
        <w:pStyle w:val="TOC2"/>
        <w:framePr w:wrap="notBeside" w:vAnchor="text" w:hAnchor="text" w:y="1"/>
        <w:rPr>
          <w:rFonts w:asciiTheme="minorHAnsi" w:eastAsiaTheme="minorEastAsia" w:hAnsiTheme="minorHAnsi" w:cstheme="minorBidi"/>
          <w:bCs w:val="0"/>
          <w:noProof/>
          <w:kern w:val="2"/>
          <w:sz w:val="22"/>
          <w:szCs w:val="22"/>
          <w14:ligatures w14:val="standardContextual"/>
        </w:rPr>
      </w:pPr>
      <w:hyperlink w:anchor="_Toc155103705" w:history="1">
        <w:r w:rsidRPr="0075742B">
          <w:rPr>
            <w:rStyle w:val="Hyperlink"/>
            <w:noProof/>
          </w:rPr>
          <w:t>ASSIGNMENT OF ERROR 1: The PUCO’s Finding and Order is unlawful and unreasonable because it approved the Settlement without any record evidence, in violation of R.C. 4903.09.</w:t>
        </w:r>
        <w:r>
          <w:rPr>
            <w:noProof/>
            <w:webHidden/>
          </w:rPr>
          <w:tab/>
        </w:r>
        <w:r>
          <w:rPr>
            <w:noProof/>
            <w:webHidden/>
          </w:rPr>
          <w:fldChar w:fldCharType="begin"/>
        </w:r>
        <w:r>
          <w:rPr>
            <w:noProof/>
            <w:webHidden/>
          </w:rPr>
          <w:instrText xml:space="preserve"> PAGEREF _Toc155103705 \h </w:instrText>
        </w:r>
        <w:r>
          <w:rPr>
            <w:noProof/>
            <w:webHidden/>
          </w:rPr>
          <w:fldChar w:fldCharType="separate"/>
        </w:r>
        <w:r>
          <w:rPr>
            <w:noProof/>
            <w:webHidden/>
          </w:rPr>
          <w:t>4</w:t>
        </w:r>
        <w:r>
          <w:rPr>
            <w:noProof/>
            <w:webHidden/>
          </w:rPr>
          <w:fldChar w:fldCharType="end"/>
        </w:r>
      </w:hyperlink>
    </w:p>
    <w:p w:rsidR="002F1DD4" w:rsidP="002F1DD4" w14:paraId="304C5ED5" w14:textId="768A5004">
      <w:pPr>
        <w:pStyle w:val="TOC2"/>
        <w:framePr w:wrap="notBeside" w:vAnchor="text" w:hAnchor="text" w:y="1"/>
        <w:rPr>
          <w:rFonts w:asciiTheme="minorHAnsi" w:eastAsiaTheme="minorEastAsia" w:hAnsiTheme="minorHAnsi" w:cstheme="minorBidi"/>
          <w:bCs w:val="0"/>
          <w:noProof/>
          <w:kern w:val="2"/>
          <w:sz w:val="22"/>
          <w:szCs w:val="22"/>
          <w14:ligatures w14:val="standardContextual"/>
        </w:rPr>
      </w:pPr>
      <w:hyperlink w:anchor="_Toc155103706" w:history="1">
        <w:r w:rsidRPr="0075742B">
          <w:rPr>
            <w:rStyle w:val="Hyperlink"/>
            <w:noProof/>
          </w:rPr>
          <w:t xml:space="preserve">ASSIGNMENT OF ERROR 2: In violation of </w:t>
        </w:r>
        <w:r w:rsidRPr="0075742B">
          <w:rPr>
            <w:rStyle w:val="Hyperlink"/>
            <w:i/>
            <w:iCs/>
            <w:noProof/>
          </w:rPr>
          <w:t>Time Warner AxS v. Pub. Util. Comm</w:t>
        </w:r>
        <w:r w:rsidRPr="0075742B">
          <w:rPr>
            <w:rStyle w:val="Hyperlink"/>
            <w:noProof/>
          </w:rPr>
          <w:t>., OCC was not given an opportunity to bargain for any consumer protections.</w:t>
        </w:r>
        <w:r>
          <w:rPr>
            <w:noProof/>
            <w:webHidden/>
          </w:rPr>
          <w:tab/>
        </w:r>
        <w:r>
          <w:rPr>
            <w:noProof/>
            <w:webHidden/>
          </w:rPr>
          <w:fldChar w:fldCharType="begin"/>
        </w:r>
        <w:r>
          <w:rPr>
            <w:noProof/>
            <w:webHidden/>
          </w:rPr>
          <w:instrText xml:space="preserve"> PAGEREF _Toc155103706 \h </w:instrText>
        </w:r>
        <w:r>
          <w:rPr>
            <w:noProof/>
            <w:webHidden/>
          </w:rPr>
          <w:fldChar w:fldCharType="separate"/>
        </w:r>
        <w:r>
          <w:rPr>
            <w:noProof/>
            <w:webHidden/>
          </w:rPr>
          <w:t>5</w:t>
        </w:r>
        <w:r>
          <w:rPr>
            <w:noProof/>
            <w:webHidden/>
          </w:rPr>
          <w:fldChar w:fldCharType="end"/>
        </w:r>
      </w:hyperlink>
    </w:p>
    <w:p w:rsidR="002F1DD4" w:rsidP="002F1DD4" w14:paraId="7CDEEBF7" w14:textId="4F82C0E7">
      <w:pPr>
        <w:pStyle w:val="TOC2"/>
        <w:framePr w:wrap="notBeside" w:vAnchor="text" w:hAnchor="text" w:y="1"/>
        <w:rPr>
          <w:rFonts w:asciiTheme="minorHAnsi" w:eastAsiaTheme="minorEastAsia" w:hAnsiTheme="minorHAnsi" w:cstheme="minorBidi"/>
          <w:bCs w:val="0"/>
          <w:noProof/>
          <w:kern w:val="2"/>
          <w:sz w:val="22"/>
          <w:szCs w:val="22"/>
          <w14:ligatures w14:val="standardContextual"/>
        </w:rPr>
      </w:pPr>
      <w:hyperlink w:anchor="_Toc155103707" w:history="1">
        <w:r w:rsidRPr="0075742B">
          <w:rPr>
            <w:rStyle w:val="Hyperlink"/>
            <w:noProof/>
          </w:rPr>
          <w:t>ASSIGNMENT OF ERROR 3: The PUCO’s Finding and Order is unlawful and unreasonable because it violated its own long-standing precedent by reviewing the Settlement under a “simple reasonableness standard,” rather than the three-prong test for the reasonableness of settlements which the Commission has employed for decades.</w:t>
        </w:r>
        <w:r>
          <w:rPr>
            <w:noProof/>
            <w:webHidden/>
          </w:rPr>
          <w:tab/>
        </w:r>
        <w:r>
          <w:rPr>
            <w:noProof/>
            <w:webHidden/>
          </w:rPr>
          <w:fldChar w:fldCharType="begin"/>
        </w:r>
        <w:r>
          <w:rPr>
            <w:noProof/>
            <w:webHidden/>
          </w:rPr>
          <w:instrText xml:space="preserve"> PAGEREF _Toc155103707 \h </w:instrText>
        </w:r>
        <w:r>
          <w:rPr>
            <w:noProof/>
            <w:webHidden/>
          </w:rPr>
          <w:fldChar w:fldCharType="separate"/>
        </w:r>
        <w:r>
          <w:rPr>
            <w:noProof/>
            <w:webHidden/>
          </w:rPr>
          <w:t>7</w:t>
        </w:r>
        <w:r>
          <w:rPr>
            <w:noProof/>
            <w:webHidden/>
          </w:rPr>
          <w:fldChar w:fldCharType="end"/>
        </w:r>
      </w:hyperlink>
    </w:p>
    <w:p w:rsidR="002F1DD4" w:rsidP="002F1DD4" w14:paraId="0F0F53BA" w14:textId="2912256C">
      <w:pPr>
        <w:pStyle w:val="TOC2"/>
        <w:framePr w:wrap="notBeside" w:vAnchor="text" w:hAnchor="text" w:y="1"/>
        <w:rPr>
          <w:rFonts w:asciiTheme="minorHAnsi" w:eastAsiaTheme="minorEastAsia" w:hAnsiTheme="minorHAnsi" w:cstheme="minorBidi"/>
          <w:bCs w:val="0"/>
          <w:noProof/>
          <w:kern w:val="2"/>
          <w:sz w:val="22"/>
          <w:szCs w:val="22"/>
          <w14:ligatures w14:val="standardContextual"/>
        </w:rPr>
      </w:pPr>
      <w:hyperlink w:anchor="_Toc155103708" w:history="1">
        <w:r w:rsidRPr="0075742B">
          <w:rPr>
            <w:rStyle w:val="Hyperlink"/>
            <w:noProof/>
          </w:rPr>
          <w:t>ASSIGNMENT OF ERROR 4: The PUCO’s Finding and Order is unlawful and unreasonable because it approves the Settlement even though it was not the product of serious bargaining among capable, knowledgeable parties representing diverse interests.</w:t>
        </w:r>
        <w:r>
          <w:rPr>
            <w:noProof/>
            <w:webHidden/>
          </w:rPr>
          <w:tab/>
        </w:r>
        <w:r>
          <w:rPr>
            <w:noProof/>
            <w:webHidden/>
          </w:rPr>
          <w:fldChar w:fldCharType="begin"/>
        </w:r>
        <w:r>
          <w:rPr>
            <w:noProof/>
            <w:webHidden/>
          </w:rPr>
          <w:instrText xml:space="preserve"> PAGEREF _Toc155103708 \h </w:instrText>
        </w:r>
        <w:r>
          <w:rPr>
            <w:noProof/>
            <w:webHidden/>
          </w:rPr>
          <w:fldChar w:fldCharType="separate"/>
        </w:r>
        <w:r>
          <w:rPr>
            <w:noProof/>
            <w:webHidden/>
          </w:rPr>
          <w:t>9</w:t>
        </w:r>
        <w:r>
          <w:rPr>
            <w:noProof/>
            <w:webHidden/>
          </w:rPr>
          <w:fldChar w:fldCharType="end"/>
        </w:r>
      </w:hyperlink>
    </w:p>
    <w:p w:rsidR="002F1DD4" w:rsidP="002F1DD4" w14:paraId="5A0BB6BF" w14:textId="07C6B3D5">
      <w:pPr>
        <w:pStyle w:val="TOC2"/>
        <w:framePr w:wrap="notBeside" w:vAnchor="text" w:hAnchor="text" w:y="1"/>
        <w:rPr>
          <w:rFonts w:asciiTheme="minorHAnsi" w:eastAsiaTheme="minorEastAsia" w:hAnsiTheme="minorHAnsi" w:cstheme="minorBidi"/>
          <w:bCs w:val="0"/>
          <w:noProof/>
          <w:kern w:val="2"/>
          <w:sz w:val="22"/>
          <w:szCs w:val="22"/>
          <w14:ligatures w14:val="standardContextual"/>
        </w:rPr>
      </w:pPr>
      <w:hyperlink w:anchor="_Toc155103709" w:history="1">
        <w:r w:rsidRPr="0075742B">
          <w:rPr>
            <w:rStyle w:val="Hyperlink"/>
            <w:noProof/>
          </w:rPr>
          <w:t>ASSIGNMENT OF ERROR 5: The PUCO’s Finding and Order is unlawful and unreasonable because it approves the Settlement even though the Settlement, as a package, does not benefit customers and the public interest.</w:t>
        </w:r>
        <w:r>
          <w:rPr>
            <w:noProof/>
            <w:webHidden/>
          </w:rPr>
          <w:tab/>
        </w:r>
        <w:r>
          <w:rPr>
            <w:noProof/>
            <w:webHidden/>
          </w:rPr>
          <w:fldChar w:fldCharType="begin"/>
        </w:r>
        <w:r>
          <w:rPr>
            <w:noProof/>
            <w:webHidden/>
          </w:rPr>
          <w:instrText xml:space="preserve"> PAGEREF _Toc155103709 \h </w:instrText>
        </w:r>
        <w:r>
          <w:rPr>
            <w:noProof/>
            <w:webHidden/>
          </w:rPr>
          <w:fldChar w:fldCharType="separate"/>
        </w:r>
        <w:r>
          <w:rPr>
            <w:noProof/>
            <w:webHidden/>
          </w:rPr>
          <w:t>11</w:t>
        </w:r>
        <w:r>
          <w:rPr>
            <w:noProof/>
            <w:webHidden/>
          </w:rPr>
          <w:fldChar w:fldCharType="end"/>
        </w:r>
      </w:hyperlink>
    </w:p>
    <w:p w:rsidR="002F1DD4" w:rsidP="002F1DD4" w14:paraId="0E6EB5BA" w14:textId="7FE64F34">
      <w:pPr>
        <w:pStyle w:val="TOC2"/>
        <w:framePr w:wrap="notBeside" w:vAnchor="text" w:hAnchor="text" w:y="1"/>
        <w:rPr>
          <w:rFonts w:asciiTheme="minorHAnsi" w:eastAsiaTheme="minorEastAsia" w:hAnsiTheme="minorHAnsi" w:cstheme="minorBidi"/>
          <w:bCs w:val="0"/>
          <w:noProof/>
          <w:kern w:val="2"/>
          <w:sz w:val="22"/>
          <w:szCs w:val="22"/>
          <w14:ligatures w14:val="standardContextual"/>
        </w:rPr>
      </w:pPr>
      <w:hyperlink w:anchor="_Toc155103710" w:history="1">
        <w:r w:rsidRPr="0075742B">
          <w:rPr>
            <w:rStyle w:val="Hyperlink"/>
            <w:noProof/>
          </w:rPr>
          <w:t>ASSIGNMENT OF ERROR 6: The PUCO’s Finding and Order is unlawful and unreasonable because it approves the Settlement, which violates important regulatory principles and practices which require utilities to provide adequate service and that requires forfeitures to act as a deterrent. These important regulatory principles and practices include R.C. 4928.11(A) R.C. 4905.22 and O.A.C. 4901:1-10-10.</w:t>
        </w:r>
        <w:r>
          <w:rPr>
            <w:noProof/>
            <w:webHidden/>
          </w:rPr>
          <w:tab/>
        </w:r>
        <w:r>
          <w:rPr>
            <w:noProof/>
            <w:webHidden/>
          </w:rPr>
          <w:fldChar w:fldCharType="begin"/>
        </w:r>
        <w:r>
          <w:rPr>
            <w:noProof/>
            <w:webHidden/>
          </w:rPr>
          <w:instrText xml:space="preserve"> PAGEREF _Toc155103710 \h </w:instrText>
        </w:r>
        <w:r>
          <w:rPr>
            <w:noProof/>
            <w:webHidden/>
          </w:rPr>
          <w:fldChar w:fldCharType="separate"/>
        </w:r>
        <w:r>
          <w:rPr>
            <w:noProof/>
            <w:webHidden/>
          </w:rPr>
          <w:t>11</w:t>
        </w:r>
        <w:r>
          <w:rPr>
            <w:noProof/>
            <w:webHidden/>
          </w:rPr>
          <w:fldChar w:fldCharType="end"/>
        </w:r>
      </w:hyperlink>
    </w:p>
    <w:p w:rsidR="002F1DD4" w:rsidP="002F1DD4" w14:paraId="483E491B" w14:textId="78AB97AC">
      <w:pPr>
        <w:pStyle w:val="TOC1"/>
        <w:framePr w:wrap="notBeside"/>
        <w:rPr>
          <w:rFonts w:asciiTheme="minorHAnsi" w:eastAsiaTheme="minorEastAsia" w:hAnsiTheme="minorHAnsi" w:cstheme="minorBidi"/>
          <w:bCs w:val="0"/>
          <w:caps w:val="0"/>
          <w:noProof/>
          <w:kern w:val="2"/>
          <w:sz w:val="22"/>
          <w:szCs w:val="22"/>
          <w14:ligatures w14:val="standardContextual"/>
        </w:rPr>
      </w:pPr>
      <w:hyperlink w:anchor="_Toc155103711" w:history="1">
        <w:r w:rsidRPr="0075742B">
          <w:rPr>
            <w:rStyle w:val="Hyperlink"/>
            <w:noProof/>
          </w:rPr>
          <w:t>iv.</w:t>
        </w:r>
        <w:r>
          <w:rPr>
            <w:rFonts w:asciiTheme="minorHAnsi" w:eastAsiaTheme="minorEastAsia" w:hAnsiTheme="minorHAnsi" w:cstheme="minorBidi"/>
            <w:bCs w:val="0"/>
            <w:caps w:val="0"/>
            <w:noProof/>
            <w:kern w:val="2"/>
            <w:sz w:val="22"/>
            <w:szCs w:val="22"/>
            <w14:ligatures w14:val="standardContextual"/>
          </w:rPr>
          <w:tab/>
        </w:r>
        <w:r w:rsidRPr="0075742B">
          <w:rPr>
            <w:rStyle w:val="Hyperlink"/>
            <w:noProof/>
          </w:rPr>
          <w:t>CONCLUSION</w:t>
        </w:r>
        <w:r>
          <w:rPr>
            <w:noProof/>
            <w:webHidden/>
          </w:rPr>
          <w:tab/>
        </w:r>
        <w:r>
          <w:rPr>
            <w:noProof/>
            <w:webHidden/>
          </w:rPr>
          <w:fldChar w:fldCharType="begin"/>
        </w:r>
        <w:r>
          <w:rPr>
            <w:noProof/>
            <w:webHidden/>
          </w:rPr>
          <w:instrText xml:space="preserve"> PAGEREF _Toc155103711 \h </w:instrText>
        </w:r>
        <w:r>
          <w:rPr>
            <w:noProof/>
            <w:webHidden/>
          </w:rPr>
          <w:fldChar w:fldCharType="separate"/>
        </w:r>
        <w:r>
          <w:rPr>
            <w:noProof/>
            <w:webHidden/>
          </w:rPr>
          <w:t>14</w:t>
        </w:r>
        <w:r>
          <w:rPr>
            <w:noProof/>
            <w:webHidden/>
          </w:rPr>
          <w:fldChar w:fldCharType="end"/>
        </w:r>
      </w:hyperlink>
    </w:p>
    <w:p w:rsidR="00437C02" w:rsidRPr="00A96979" w:rsidP="00B031E2" w14:paraId="0B69B0E8" w14:textId="188774EA">
      <w:r w:rsidRPr="00A96979">
        <w:fldChar w:fldCharType="end"/>
      </w:r>
    </w:p>
    <w:p w:rsidR="00437C02" w:rsidRPr="00A96979" w:rsidP="00B031E2" w14:paraId="70B45B17" w14:textId="77777777"/>
    <w:p w:rsidR="00437C02" w:rsidRPr="00A96979" w:rsidP="00B031E2" w14:paraId="52178501" w14:textId="77777777">
      <w:pPr>
        <w:sectPr w:rsidSect="00641DEF">
          <w:headerReference w:type="default" r:id="rId14"/>
          <w:footerReference w:type="default" r:id="rId15"/>
          <w:pgSz w:w="12240" w:h="15840"/>
          <w:pgMar w:top="1440" w:right="1800" w:bottom="1440" w:left="1800" w:header="720" w:footer="720" w:gutter="0"/>
          <w:pgNumType w:fmt="lowerRoman" w:start="1"/>
          <w:cols w:space="720"/>
          <w:docGrid w:linePitch="360"/>
        </w:sectPr>
      </w:pPr>
    </w:p>
    <w:p w:rsidR="00BF24ED" w:rsidRPr="00A96979" w:rsidP="00BF24ED" w14:paraId="557B45E2" w14:textId="77777777">
      <w:pPr>
        <w:jc w:val="center"/>
        <w:rPr>
          <w:b/>
        </w:rPr>
      </w:pPr>
      <w:r w:rsidRPr="00A96979">
        <w:rPr>
          <w:b/>
        </w:rPr>
        <w:t>BEFORE</w:t>
      </w:r>
    </w:p>
    <w:p w:rsidR="00BF24ED" w:rsidRPr="00A96979" w:rsidP="00BF24ED" w14:paraId="7534CC3C" w14:textId="77777777">
      <w:pPr>
        <w:jc w:val="center"/>
        <w:rPr>
          <w:b/>
          <w:bCs/>
        </w:rPr>
      </w:pPr>
      <w:r w:rsidRPr="00A96979">
        <w:rPr>
          <w:b/>
          <w:bCs/>
        </w:rPr>
        <w:t>THE PUBLIC UTILITIES COMMISSION OF OHIO</w:t>
      </w:r>
    </w:p>
    <w:p w:rsidR="00BF24ED" w:rsidRPr="00A96979" w:rsidP="00BF24ED" w14:paraId="058C1189" w14:textId="77777777">
      <w:pPr>
        <w:jc w:val="center"/>
        <w:rPr>
          <w:b/>
          <w:bCs/>
        </w:rPr>
      </w:pPr>
    </w:p>
    <w:tbl>
      <w:tblPr>
        <w:tblW w:w="8838" w:type="dxa"/>
        <w:tblInd w:w="0" w:type="dxa"/>
        <w:tblCellMar>
          <w:top w:w="0" w:type="dxa"/>
          <w:left w:w="108" w:type="dxa"/>
          <w:bottom w:w="0" w:type="dxa"/>
          <w:right w:w="108" w:type="dxa"/>
        </w:tblCellMar>
        <w:tblLook w:val="01E0"/>
      </w:tblPr>
      <w:tblGrid>
        <w:gridCol w:w="4230"/>
        <w:gridCol w:w="630"/>
        <w:gridCol w:w="3978"/>
      </w:tblGrid>
      <w:tr w14:paraId="55A230E1" w14:textId="77777777" w:rsidTr="00655CC1">
        <w:tblPrEx>
          <w:tblW w:w="8838" w:type="dxa"/>
          <w:tblInd w:w="0" w:type="dxa"/>
          <w:tblCellMar>
            <w:top w:w="0" w:type="dxa"/>
            <w:left w:w="108" w:type="dxa"/>
            <w:bottom w:w="0" w:type="dxa"/>
            <w:right w:w="108" w:type="dxa"/>
          </w:tblCellMar>
          <w:tblLook w:val="01E0"/>
        </w:tblPrEx>
        <w:trPr>
          <w:trHeight w:val="807"/>
        </w:trPr>
        <w:tc>
          <w:tcPr>
            <w:tcW w:w="4230" w:type="dxa"/>
            <w:shd w:val="clear" w:color="auto" w:fill="auto"/>
          </w:tcPr>
          <w:p w:rsidR="00BF24ED" w:rsidRPr="00A96979" w:rsidP="00655CC1" w14:paraId="6989726F" w14:textId="77777777">
            <w:pPr>
              <w:autoSpaceDE w:val="0"/>
              <w:autoSpaceDN w:val="0"/>
              <w:adjustRightInd w:val="0"/>
              <w:rPr>
                <w:sz w:val="24"/>
                <w:szCs w:val="24"/>
                <w:lang w:val="en-US" w:eastAsia="en-US" w:bidi="ar-SA"/>
              </w:rPr>
            </w:pPr>
            <w:r w:rsidRPr="00A96979">
              <w:rPr>
                <w:sz w:val="24"/>
                <w:szCs w:val="24"/>
                <w:lang w:val="en-US" w:eastAsia="en-US" w:bidi="ar-SA"/>
              </w:rPr>
              <w:t>In the Matter of the Commission’s Investigation into AES Ohio’s Compliance with the Ohio Administrative Code and Potential Remedial Action.</w:t>
            </w:r>
          </w:p>
        </w:tc>
        <w:tc>
          <w:tcPr>
            <w:tcW w:w="630" w:type="dxa"/>
            <w:shd w:val="clear" w:color="auto" w:fill="auto"/>
          </w:tcPr>
          <w:p w:rsidR="00BF24ED" w:rsidRPr="00A96979" w:rsidP="00655CC1" w14:paraId="58F7F8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BF24ED" w:rsidRPr="00A96979" w:rsidP="00655CC1" w14:paraId="3C172A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BF24ED" w:rsidRPr="00A96979" w:rsidP="00655CC1" w14:paraId="5FC518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BF24ED" w:rsidRPr="00A96979" w:rsidP="00655CC1" w14:paraId="27462D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p w:rsidR="00BF24ED" w:rsidRPr="00A96979" w:rsidP="00655CC1" w14:paraId="4A4546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w:t>
            </w:r>
          </w:p>
        </w:tc>
        <w:tc>
          <w:tcPr>
            <w:tcW w:w="3978" w:type="dxa"/>
            <w:shd w:val="clear" w:color="auto" w:fill="auto"/>
          </w:tcPr>
          <w:p w:rsidR="00BF24ED" w:rsidRPr="00A96979" w:rsidP="00655CC1" w14:paraId="5EB27B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BF24ED" w:rsidRPr="00A96979" w:rsidP="00655CC1" w14:paraId="003509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BF24ED" w:rsidRPr="00A96979" w:rsidP="00655CC1" w14:paraId="0DAB90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A96979">
              <w:rPr>
                <w:rFonts w:eastAsia="Courier New"/>
                <w:sz w:val="24"/>
                <w:szCs w:val="24"/>
                <w:lang w:val="en-US" w:eastAsia="en-US" w:bidi="ar-SA"/>
              </w:rPr>
              <w:t>Case No. 21-1220-EL-UNC</w:t>
            </w:r>
          </w:p>
          <w:p w:rsidR="00BF24ED" w:rsidRPr="00A96979" w:rsidP="00655CC1" w14:paraId="09D544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tc>
      </w:tr>
    </w:tbl>
    <w:p w:rsidR="00437C02" w:rsidRPr="00A96979" w:rsidP="00DD7E95" w14:paraId="66630EBD"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437C02" w:rsidRPr="00A96979" w:rsidP="00DD7E95" w14:paraId="01394726" w14:textId="77777777">
      <w:pPr>
        <w:jc w:val="center"/>
        <w:rPr>
          <w:b/>
        </w:rPr>
      </w:pPr>
    </w:p>
    <w:p w:rsidR="00437C02" w:rsidRPr="00A96979" w:rsidP="00CD4C8A" w14:paraId="0D6B3228" w14:textId="77777777">
      <w:pPr>
        <w:jc w:val="center"/>
        <w:rPr>
          <w:b/>
        </w:rPr>
      </w:pPr>
      <w:r w:rsidRPr="00A96979">
        <w:rPr>
          <w:b/>
        </w:rPr>
        <w:t>MEMORANDUM IN SUPPORT</w:t>
      </w:r>
    </w:p>
    <w:p w:rsidR="00437C02" w:rsidRPr="00A96979" w:rsidP="00CD4C8A" w14:paraId="646FE898" w14:textId="77777777">
      <w:pPr>
        <w:pBdr>
          <w:bottom w:val="single" w:sz="12" w:space="1" w:color="auto"/>
        </w:pBdr>
        <w:rPr>
          <w:b/>
        </w:rPr>
      </w:pPr>
    </w:p>
    <w:p w:rsidR="00437C02" w:rsidRPr="00A96979" w:rsidP="00485EB5" w14:paraId="343B002D" w14:textId="77777777"/>
    <w:p w:rsidR="00437C02" w:rsidRPr="00A96979" w:rsidP="00485EB5" w14:paraId="56827E2F" w14:textId="77777777">
      <w:pPr>
        <w:pStyle w:val="Heading1"/>
      </w:pPr>
      <w:bookmarkStart w:id="0" w:name="_Toc534969803"/>
      <w:bookmarkStart w:id="1" w:name="_Toc534970002"/>
      <w:bookmarkStart w:id="2" w:name="_Toc534970543"/>
      <w:bookmarkStart w:id="3" w:name="_Toc534970649"/>
      <w:bookmarkStart w:id="4" w:name="_Toc535583490"/>
      <w:bookmarkStart w:id="5" w:name="_Toc155103702"/>
      <w:r w:rsidRPr="00A96979">
        <w:t>I.</w:t>
      </w:r>
      <w:r w:rsidRPr="00A96979">
        <w:tab/>
        <w:t>INTRODUCTION</w:t>
      </w:r>
      <w:bookmarkEnd w:id="0"/>
      <w:bookmarkEnd w:id="1"/>
      <w:bookmarkEnd w:id="2"/>
      <w:bookmarkEnd w:id="3"/>
      <w:bookmarkEnd w:id="4"/>
      <w:bookmarkEnd w:id="5"/>
    </w:p>
    <w:p w:rsidR="00386CEC" w:rsidRPr="00A96979" w:rsidP="00DF3BCD" w14:paraId="2CD60FC2" w14:textId="143235E3">
      <w:pPr>
        <w:spacing w:line="480" w:lineRule="auto"/>
        <w:ind w:firstLine="720"/>
      </w:pPr>
      <w:r w:rsidRPr="00A96979">
        <w:t>The Dayton Power and Light Company (“DP&amp;L” or “AES Ohio”), as a regulated monopoly utility, has the statutory responsibility to provide adequate and reliable electric service to Dayton-area consumers.</w:t>
      </w:r>
      <w:r>
        <w:rPr>
          <w:rStyle w:val="FootnoteReference"/>
        </w:rPr>
        <w:footnoteReference w:id="2"/>
      </w:r>
      <w:r w:rsidRPr="00A96979">
        <w:t xml:space="preserve"> The Public Utilities Commission of Ohio (“PUCO”) has the statutory responsibility for protecting consumers from inadequate and unreliable electric service.</w:t>
      </w:r>
      <w:r>
        <w:rPr>
          <w:rStyle w:val="FootnoteReference"/>
        </w:rPr>
        <w:footnoteReference w:id="3"/>
      </w:r>
      <w:r w:rsidRPr="00A96979">
        <w:t xml:space="preserve"> Furthermore, the PUCO is vested with the statutory authority to levy forfeitures (up to $10,000 per day per violation) against electric utilities who fail to provide consumers with adequate and reliable service.</w:t>
      </w:r>
      <w:r>
        <w:rPr>
          <w:rStyle w:val="FootnoteReference"/>
        </w:rPr>
        <w:footnoteReference w:id="4"/>
      </w:r>
      <w:r w:rsidRPr="00A96979">
        <w:t xml:space="preserve"> </w:t>
      </w:r>
    </w:p>
    <w:p w:rsidR="00386CEC" w:rsidRPr="00A96979" w:rsidP="00DF3BCD" w14:paraId="2B2752CE" w14:textId="2EE4FAF2">
      <w:pPr>
        <w:spacing w:line="480" w:lineRule="auto"/>
        <w:ind w:firstLine="720"/>
      </w:pPr>
      <w:r w:rsidRPr="00A96979">
        <w:t>In this case, both DP&amp;L and the PUCO Staff</w:t>
      </w:r>
      <w:r w:rsidRPr="00A96979" w:rsidR="003C39F6">
        <w:t xml:space="preserve"> </w:t>
      </w:r>
      <w:r w:rsidRPr="00A96979" w:rsidR="00CB5F7D">
        <w:t xml:space="preserve">fell </w:t>
      </w:r>
      <w:r w:rsidRPr="00A96979">
        <w:t xml:space="preserve">short </w:t>
      </w:r>
      <w:r w:rsidRPr="00A96979" w:rsidR="00034C52">
        <w:t>of</w:t>
      </w:r>
      <w:r w:rsidRPr="00A96979">
        <w:t xml:space="preserve"> their statutory responsibility. DP&amp;L failed to provide adequate and reliable electric utility services to consumers in 2019 and 2020.</w:t>
      </w:r>
      <w:r w:rsidRPr="00A96979" w:rsidR="003C39F6">
        <w:t xml:space="preserve"> </w:t>
      </w:r>
      <w:r w:rsidRPr="00A96979">
        <w:t xml:space="preserve">The PUCO Staff did not adequately protect DP&amp;L consumers when it entered into an agreement with DP&amp;L for a mere $10,000 forfeiture for the substandard electric service DP&amp;L provided consumers in 2019 and 2020. </w:t>
      </w:r>
    </w:p>
    <w:p w:rsidR="00386CEC" w:rsidRPr="00A96979" w:rsidP="00386CEC" w14:paraId="1EA06DB3" w14:textId="60D449F6">
      <w:pPr>
        <w:spacing w:line="480" w:lineRule="auto"/>
        <w:ind w:firstLine="720"/>
      </w:pPr>
      <w:r w:rsidRPr="00A96979">
        <w:t>Not surprisingly, the too-low $10,000 forfeiture -- with the potential for an additional $20,000 forfeiture that Staff agreed to hold in abeyance as an “incentive” for DP&amp;L to meet the reliability standards in 2021 and 2022 --</w:t>
      </w:r>
      <w:r w:rsidRPr="00A96979" w:rsidR="003C39F6">
        <w:t xml:space="preserve"> </w:t>
      </w:r>
      <w:r w:rsidRPr="00A96979" w:rsidR="00CB5F7D">
        <w:t xml:space="preserve">was an insufficient amount because </w:t>
      </w:r>
      <w:r w:rsidRPr="00A96979">
        <w:t xml:space="preserve">DP&amp;L failed consumers again by providing inadequate service in 2021. </w:t>
      </w:r>
    </w:p>
    <w:p w:rsidR="00386CEC" w:rsidRPr="00A96979" w:rsidP="00386CEC" w14:paraId="0B9D1CBC" w14:textId="1F52CF16">
      <w:pPr>
        <w:spacing w:line="480" w:lineRule="auto"/>
        <w:ind w:firstLine="720"/>
      </w:pPr>
      <w:r w:rsidRPr="00A96979">
        <w:t>This miniscule forfeiture amount that the PUCO Staff agree</w:t>
      </w:r>
      <w:r w:rsidRPr="00A96979" w:rsidR="00CB5F7D">
        <w:t>d</w:t>
      </w:r>
      <w:r w:rsidRPr="00A96979">
        <w:t xml:space="preserve"> upon with DP&amp;L</w:t>
      </w:r>
      <w:r w:rsidRPr="00A96979" w:rsidR="00B94053">
        <w:t>, and the PUCO ultimately accepted,</w:t>
      </w:r>
      <w:r w:rsidRPr="00A96979">
        <w:t xml:space="preserve"> sets a bad precedent. It signals to utilities that there is little consequence for an electric utility failing its prescribed performance-based reliability standards.</w:t>
      </w:r>
      <w:r w:rsidRPr="00A96979" w:rsidR="003C39F6">
        <w:t xml:space="preserve"> </w:t>
      </w:r>
      <w:r w:rsidRPr="00A96979" w:rsidR="00CB5F7D">
        <w:t>This harms consumers</w:t>
      </w:r>
      <w:r w:rsidRPr="00A96979" w:rsidR="008E5B3C">
        <w:t>.</w:t>
      </w:r>
    </w:p>
    <w:p w:rsidR="00B94053" w:rsidRPr="00A96979" w:rsidP="00386CEC" w14:paraId="7A214FE2" w14:textId="50AD14C6">
      <w:pPr>
        <w:spacing w:line="480" w:lineRule="auto"/>
        <w:ind w:firstLine="720"/>
      </w:pPr>
      <w:r w:rsidRPr="00A96979">
        <w:t xml:space="preserve">The PUCO should </w:t>
      </w:r>
      <w:r w:rsidRPr="00A96979">
        <w:t xml:space="preserve">have </w:t>
      </w:r>
      <w:r w:rsidRPr="00A96979" w:rsidR="00CB5F7D">
        <w:t xml:space="preserve">required a higher forfeiture to </w:t>
      </w:r>
      <w:r w:rsidRPr="00A96979">
        <w:t>enforce its minimum electric service quality standards in O.A.C. 4901:1-10-10</w:t>
      </w:r>
      <w:r w:rsidRPr="00A96979" w:rsidR="00CB5F7D">
        <w:t>.</w:t>
      </w:r>
      <w:r w:rsidRPr="00A96979" w:rsidR="003C39F6">
        <w:t xml:space="preserve"> </w:t>
      </w:r>
      <w:r w:rsidRPr="00A96979" w:rsidR="00CB5F7D">
        <w:t>The PUCO’s failure to assess an appropriate forfeiture amount failed</w:t>
      </w:r>
      <w:r w:rsidRPr="00A96979">
        <w:t xml:space="preserve"> to protect consumers from the inadequate service that DP&amp;L </w:t>
      </w:r>
      <w:r w:rsidRPr="00A96979" w:rsidR="00CB5F7D">
        <w:t>provided</w:t>
      </w:r>
      <w:r w:rsidRPr="00A96979">
        <w:t xml:space="preserve">. The PUCO should </w:t>
      </w:r>
      <w:r w:rsidRPr="00A96979">
        <w:t xml:space="preserve">have </w:t>
      </w:r>
      <w:r w:rsidRPr="00A96979">
        <w:t>reject</w:t>
      </w:r>
      <w:r w:rsidRPr="00A96979">
        <w:t>ed</w:t>
      </w:r>
      <w:r w:rsidRPr="00A96979">
        <w:t xml:space="preserve"> the Staff’s and AES’s proposed partial Stipulation and Recommendation</w:t>
      </w:r>
      <w:r>
        <w:rPr>
          <w:rStyle w:val="FootnoteReference"/>
        </w:rPr>
        <w:footnoteReference w:id="5"/>
      </w:r>
      <w:r w:rsidRPr="00A96979">
        <w:t xml:space="preserve"> (“Settlement”) and instead initiate</w:t>
      </w:r>
      <w:r w:rsidRPr="00A96979">
        <w:t>d</w:t>
      </w:r>
      <w:r w:rsidRPr="00A96979">
        <w:t xml:space="preserve"> a compliance proceeding under O.A.C. 4901:1-23-05. The PUCO should </w:t>
      </w:r>
      <w:r w:rsidRPr="00A96979">
        <w:t xml:space="preserve">have found </w:t>
      </w:r>
      <w:r w:rsidRPr="00A96979">
        <w:t xml:space="preserve">DP&amp;L </w:t>
      </w:r>
      <w:r w:rsidRPr="00A96979">
        <w:t>violated</w:t>
      </w:r>
      <w:r w:rsidRPr="00A96979">
        <w:t xml:space="preserve"> O.A.C. 4901:1-10-10(E) and other related PUCO rules as addressed </w:t>
      </w:r>
      <w:r w:rsidRPr="00A96979">
        <w:t xml:space="preserve">below, and </w:t>
      </w:r>
      <w:r w:rsidRPr="00A96979">
        <w:t>impose</w:t>
      </w:r>
      <w:r w:rsidRPr="00A96979">
        <w:t>d</w:t>
      </w:r>
      <w:r w:rsidRPr="00A96979">
        <w:t xml:space="preserve"> penalties and forfeitures (associated with DP&amp;L’s past provision of inadequate service to customers) at</w:t>
      </w:r>
      <w:r w:rsidRPr="00A96979" w:rsidR="003C39F6">
        <w:t xml:space="preserve"> </w:t>
      </w:r>
      <w:r w:rsidRPr="00A96979" w:rsidR="00CB5F7D">
        <w:t xml:space="preserve">a higher </w:t>
      </w:r>
      <w:r w:rsidRPr="00A96979">
        <w:t xml:space="preserve">level </w:t>
      </w:r>
      <w:r w:rsidRPr="00A96979" w:rsidR="00CB5F7D">
        <w:t xml:space="preserve">as </w:t>
      </w:r>
      <w:r w:rsidRPr="00A96979">
        <w:t>permitted under Ohio law and PUCO rules</w:t>
      </w:r>
      <w:r w:rsidRPr="00A96979" w:rsidR="00CB5F7D">
        <w:t>, which allow for a forfeiture up to</w:t>
      </w:r>
      <w:r w:rsidRPr="00A96979">
        <w:t>$10,000 per day per violation.</w:t>
      </w:r>
    </w:p>
    <w:p w:rsidR="00386CEC" w:rsidRPr="00A96979" w:rsidP="00386CEC" w14:paraId="0A863835" w14:textId="0D37D9D8">
      <w:pPr>
        <w:spacing w:line="480" w:lineRule="auto"/>
        <w:ind w:firstLine="720"/>
      </w:pPr>
      <w:r w:rsidRPr="00A96979">
        <w:t xml:space="preserve"> </w:t>
      </w:r>
    </w:p>
    <w:p w:rsidR="00437C02" w:rsidRPr="00A96979" w:rsidP="00386CEC" w14:paraId="44BEFE2D" w14:textId="77777777"/>
    <w:p w:rsidR="00386CEC" w:rsidRPr="00A96979" w:rsidP="00386CEC" w14:paraId="500B1E13" w14:textId="77777777"/>
    <w:p w:rsidR="008A7ABD" w:rsidRPr="00A96979" w:rsidP="00DD7E95" w14:paraId="5140712B" w14:textId="77777777">
      <w:pPr>
        <w:ind w:firstLine="720"/>
      </w:pPr>
    </w:p>
    <w:p w:rsidR="00437C02" w:rsidRPr="00A96979" w:rsidP="00485EB5" w14:paraId="6E29F0D7" w14:textId="77777777">
      <w:pPr>
        <w:pStyle w:val="Heading1"/>
      </w:pPr>
      <w:bookmarkStart w:id="6" w:name="_Toc534969804"/>
      <w:bookmarkStart w:id="7" w:name="_Toc534970003"/>
      <w:bookmarkStart w:id="8" w:name="_Toc534970544"/>
      <w:bookmarkStart w:id="9" w:name="_Toc534970650"/>
      <w:bookmarkStart w:id="10" w:name="_Toc535583491"/>
      <w:bookmarkStart w:id="11" w:name="_Toc155103703"/>
      <w:r w:rsidRPr="00A96979">
        <w:t>II.</w:t>
      </w:r>
      <w:r w:rsidRPr="00A96979">
        <w:tab/>
        <w:t>STANDARD OF REVIEW</w:t>
      </w:r>
      <w:bookmarkEnd w:id="6"/>
      <w:bookmarkEnd w:id="7"/>
      <w:bookmarkEnd w:id="8"/>
      <w:bookmarkEnd w:id="9"/>
      <w:bookmarkEnd w:id="10"/>
      <w:bookmarkEnd w:id="11"/>
    </w:p>
    <w:p w:rsidR="00437C02" w:rsidRPr="00A96979" w:rsidP="00DD7E95" w14:paraId="5A0968E8" w14:textId="5279BDD5">
      <w:pPr>
        <w:spacing w:line="480" w:lineRule="auto"/>
        <w:ind w:firstLine="720"/>
      </w:pPr>
      <w:r w:rsidRPr="00A96979">
        <w:t>Applications for rehearing are governed by R.C. 4903.10.</w:t>
      </w:r>
      <w:r w:rsidRPr="00A96979" w:rsidR="003C39F6">
        <w:t xml:space="preserve"> </w:t>
      </w:r>
      <w:r w:rsidRPr="00A96979">
        <w:t>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which was granted.</w:t>
      </w:r>
      <w:r w:rsidRPr="00A96979" w:rsidR="003C39F6">
        <w:t xml:space="preserve"> </w:t>
      </w:r>
      <w:r w:rsidRPr="00A96979">
        <w:t xml:space="preserve">OCC also filed </w:t>
      </w:r>
      <w:r w:rsidRPr="00A96979" w:rsidR="00B94053">
        <w:t>comments and reply comments</w:t>
      </w:r>
      <w:r w:rsidRPr="00A96979">
        <w:t xml:space="preserve"> regarding the Settlement, and </w:t>
      </w:r>
      <w:r w:rsidRPr="00A96979" w:rsidR="00B94053">
        <w:t>requested an</w:t>
      </w:r>
      <w:r w:rsidRPr="00A96979">
        <w:t xml:space="preserve"> evidentiary hearing on the Settlement.</w:t>
      </w:r>
      <w:r w:rsidRPr="00A96979" w:rsidR="003C39F6">
        <w:t xml:space="preserve"> </w:t>
      </w:r>
    </w:p>
    <w:p w:rsidR="00437C02" w:rsidRPr="00A96979" w:rsidP="00DD7E95" w14:paraId="360A6F6A" w14:textId="32ACE12D">
      <w:pPr>
        <w:spacing w:line="480" w:lineRule="auto"/>
        <w:ind w:firstLine="720"/>
      </w:pPr>
      <w:r w:rsidRPr="00A96979">
        <w:t xml:space="preserve">R.C. 4903.10 requires that an application for rehearing must be “in writing and shall set forth specifically the ground or grounds on which the applicant considers the order to be unreasonable or unlawful.” In addition, </w:t>
      </w:r>
      <w:r w:rsidRPr="00A96979" w:rsidR="00CB5F7D">
        <w:t xml:space="preserve">O.A.C. </w:t>
      </w:r>
      <w:r w:rsidRPr="00A96979">
        <w:rPr>
          <w:rStyle w:val="Strong"/>
          <w:b w:val="0"/>
        </w:rPr>
        <w:t>4901-1-35</w:t>
      </w:r>
      <w:r w:rsidRPr="00A96979">
        <w:t>(A) states: “An application for rehearing must be accompanied by a memorandum in support, which shall be filed no later than the application for rehearing.”</w:t>
      </w:r>
    </w:p>
    <w:p w:rsidR="00437C02" w:rsidRPr="00A96979" w:rsidP="00DD7E95" w14:paraId="4960F4E6" w14:textId="467E3774">
      <w:pPr>
        <w:spacing w:line="480" w:lineRule="auto"/>
        <w:ind w:firstLine="720"/>
      </w:pPr>
      <w:r w:rsidRPr="00A96979">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r w:rsidRPr="00A96979" w:rsidR="003C39F6">
        <w:t xml:space="preserve"> </w:t>
      </w:r>
    </w:p>
    <w:p w:rsidR="00437C02" w:rsidRPr="00A96979" w:rsidP="00DD7E95" w14:paraId="279FE8A8" w14:textId="38646D63">
      <w:pPr>
        <w:spacing w:line="480" w:lineRule="auto"/>
        <w:ind w:firstLine="720"/>
      </w:pPr>
      <w:r w:rsidRPr="00A96979">
        <w:t xml:space="preserve">The statutory standard for abrogating some portions of the </w:t>
      </w:r>
      <w:r w:rsidRPr="00A96979" w:rsidR="00AA5ED1">
        <w:t>Finding</w:t>
      </w:r>
      <w:r w:rsidRPr="00A96979">
        <w:t xml:space="preserve"> and Order is met here. The PUCO should grant and hold </w:t>
      </w:r>
      <w:r w:rsidRPr="00A96979" w:rsidR="00A4388E">
        <w:t>a rehearing</w:t>
      </w:r>
      <w:r w:rsidRPr="00A96979">
        <w:t xml:space="preserve"> on the matters specified in this Application, and subsequently abrogate or modify its </w:t>
      </w:r>
      <w:r w:rsidRPr="00A96979" w:rsidR="00AA5ED1">
        <w:t>Finding</w:t>
      </w:r>
      <w:r w:rsidRPr="00A96979">
        <w:t xml:space="preserve"> and Order. The PUCO’s ruling was unreasonable or unlawful as described below.</w:t>
      </w:r>
    </w:p>
    <w:p w:rsidR="00437C02" w:rsidRPr="00A96979" w:rsidP="00DD7E95" w14:paraId="3CAD4B59" w14:textId="77777777">
      <w:pPr>
        <w:rPr>
          <w:b/>
          <w:caps/>
        </w:rPr>
      </w:pPr>
      <w:r w:rsidRPr="00A96979">
        <w:br w:type="page"/>
      </w:r>
    </w:p>
    <w:p w:rsidR="00437C02" w:rsidRPr="00A96979" w:rsidP="00485EB5" w14:paraId="5F3078C3" w14:textId="4A3DDACA">
      <w:pPr>
        <w:pStyle w:val="Heading1"/>
      </w:pPr>
      <w:bookmarkStart w:id="12" w:name="_Toc534969805"/>
      <w:bookmarkStart w:id="13" w:name="_Toc534970004"/>
      <w:bookmarkStart w:id="14" w:name="_Toc534970545"/>
      <w:bookmarkStart w:id="15" w:name="_Toc534970651"/>
      <w:bookmarkStart w:id="16" w:name="_Toc535583492"/>
      <w:bookmarkStart w:id="17" w:name="_Toc155103704"/>
      <w:r w:rsidRPr="00A96979">
        <w:t>iii.</w:t>
      </w:r>
      <w:r w:rsidRPr="00A96979">
        <w:tab/>
      </w:r>
      <w:r w:rsidRPr="00A96979" w:rsidR="00585335">
        <w:t xml:space="preserve">ASSIGNMENTS OF </w:t>
      </w:r>
      <w:r w:rsidRPr="00A96979">
        <w:t>ERRORS</w:t>
      </w:r>
      <w:bookmarkEnd w:id="12"/>
      <w:bookmarkEnd w:id="13"/>
      <w:bookmarkEnd w:id="14"/>
      <w:bookmarkEnd w:id="15"/>
      <w:bookmarkEnd w:id="16"/>
      <w:bookmarkEnd w:id="17"/>
    </w:p>
    <w:p w:rsidR="004E0342" w:rsidRPr="00A96979" w:rsidP="001B0140" w14:paraId="492E4D8E" w14:textId="76A6B090">
      <w:pPr>
        <w:pStyle w:val="Heading2"/>
      </w:pPr>
      <w:bookmarkStart w:id="18" w:name="_Toc155103705"/>
      <w:bookmarkStart w:id="19" w:name="_Hlk154745036"/>
      <w:bookmarkStart w:id="20" w:name="_Toc534969806"/>
      <w:bookmarkStart w:id="21" w:name="_Toc534970005"/>
      <w:bookmarkStart w:id="22" w:name="_Toc534970546"/>
      <w:bookmarkStart w:id="23" w:name="_Toc534970652"/>
      <w:bookmarkStart w:id="24" w:name="_Toc535583493"/>
      <w:r w:rsidRPr="00A96979">
        <w:t>ASSIGNMENT OF ERROR 1:</w:t>
      </w:r>
      <w:r w:rsidRPr="00A96979" w:rsidR="003C39F6">
        <w:t xml:space="preserve"> </w:t>
      </w:r>
      <w:bookmarkStart w:id="25" w:name="_Hlk154546051"/>
      <w:r w:rsidRPr="00A96979">
        <w:t>The PUCO’s Finding and Order is unlawful and unreasonable because it approved the Settlement without any record evidence, in violation of R.C. 4903.09.</w:t>
      </w:r>
      <w:bookmarkEnd w:id="25"/>
      <w:bookmarkEnd w:id="18"/>
    </w:p>
    <w:bookmarkEnd w:id="19"/>
    <w:p w:rsidR="00381223" w:rsidRPr="00A96979" w:rsidP="00A16504" w14:paraId="03FE6710" w14:textId="361242BA">
      <w:pPr>
        <w:spacing w:line="480" w:lineRule="auto"/>
        <w:ind w:firstLine="720"/>
      </w:pPr>
      <w:r w:rsidRPr="00A96979">
        <w:t>There was no record evidence in this case that supports the PUCO’s Finding and Order, because no record evidence was submitted in this matter.</w:t>
      </w:r>
      <w:r w:rsidRPr="00A96979" w:rsidR="003C39F6">
        <w:t xml:space="preserve"> </w:t>
      </w:r>
      <w:r w:rsidRPr="00A96979" w:rsidR="00CB5F7D">
        <w:t>N</w:t>
      </w:r>
      <w:r w:rsidRPr="00A96979">
        <w:t xml:space="preserve">either DP&amp;L, nor the PUCO, can rely on the </w:t>
      </w:r>
      <w:r w:rsidRPr="00A96979" w:rsidR="00CB5F7D">
        <w:t>“</w:t>
      </w:r>
      <w:r w:rsidRPr="00A96979">
        <w:t>record</w:t>
      </w:r>
      <w:r w:rsidRPr="00A96979" w:rsidR="00CB5F7D">
        <w:t>”</w:t>
      </w:r>
      <w:r w:rsidRPr="00A96979">
        <w:t xml:space="preserve"> to support any claim that the Settlement was reasonable</w:t>
      </w:r>
      <w:r w:rsidRPr="00A96979" w:rsidR="00CB5F7D">
        <w:t xml:space="preserve"> because the record contains no evidence</w:t>
      </w:r>
      <w:r w:rsidRPr="00A96979">
        <w:t>.</w:t>
      </w:r>
      <w:r w:rsidRPr="00A96979" w:rsidR="003C39F6">
        <w:t xml:space="preserve"> </w:t>
      </w:r>
      <w:r w:rsidRPr="00A96979">
        <w:t xml:space="preserve">The PUCO sought to rely upon the </w:t>
      </w:r>
      <w:r w:rsidRPr="00A96979" w:rsidR="00CB5F7D">
        <w:t xml:space="preserve">written </w:t>
      </w:r>
      <w:r w:rsidRPr="00A96979">
        <w:t>comments submitted by DP&amp;L, along with proposed Settlement itself, to support its Finding and Order.</w:t>
      </w:r>
      <w:r w:rsidRPr="00A96979" w:rsidR="003C39F6">
        <w:t xml:space="preserve"> </w:t>
      </w:r>
      <w:r w:rsidRPr="00A96979">
        <w:t>However, unsworn statements, submitted as argument and lacking any evidentiary support are not part of the factual record of the case upon which the PUCO can rely.</w:t>
      </w:r>
      <w:r w:rsidRPr="00A96979">
        <w:t xml:space="preserve"> O.A.C. </w:t>
      </w:r>
      <w:r w:rsidRPr="00A96979" w:rsidR="00B23DBF">
        <w:t>4901-1-30(D) provides that “parties who file a full or partial written stipulation or make an oral stipulation must file or provide the testimony of at least one signatory party that supports the stipulation.” There is no sworn testimony in this case supporting the Settlement.</w:t>
      </w:r>
      <w:r w:rsidR="00A96979">
        <w:t xml:space="preserve"> </w:t>
      </w:r>
    </w:p>
    <w:p w:rsidR="00A16504" w:rsidRPr="00A96979" w:rsidP="00A16504" w14:paraId="432C43CE" w14:textId="537D5D32">
      <w:pPr>
        <w:spacing w:line="480" w:lineRule="auto"/>
        <w:ind w:firstLine="720"/>
      </w:pPr>
      <w:r w:rsidRPr="00A96979">
        <w:t xml:space="preserve">In addition, </w:t>
      </w:r>
      <w:r w:rsidRPr="00A96979" w:rsidR="00CB5F7D">
        <w:t>Ohio R.Evid 603 requires that “every witness shall be required to declare that the witness will testify truthfully, by oath or affirmation administered in a form calculated to awaken the witness’ conscience and impress the witness’ mind with the duty to do so.”</w:t>
      </w:r>
      <w:r>
        <w:rPr>
          <w:rStyle w:val="FootnoteReference"/>
        </w:rPr>
        <w:footnoteReference w:id="6"/>
      </w:r>
      <w:r w:rsidRPr="00A96979" w:rsidR="003C39F6">
        <w:t xml:space="preserve"> </w:t>
      </w:r>
      <w:r w:rsidRPr="00A96979" w:rsidR="00CB5F7D">
        <w:t>OCC had no opportunity to cross-examine DP&amp;L’s unsworn statements in its written comments, in violation of the hearsay rule.</w:t>
      </w:r>
      <w:r>
        <w:rPr>
          <w:rStyle w:val="FootnoteReference"/>
        </w:rPr>
        <w:footnoteReference w:id="7"/>
      </w:r>
      <w:r w:rsidRPr="00A96979" w:rsidR="003C39F6">
        <w:t xml:space="preserve"> </w:t>
      </w:r>
      <w:r w:rsidRPr="00A96979">
        <w:t>Accordingly, the Finding and Order violates</w:t>
      </w:r>
      <w:r w:rsidRPr="00A96979" w:rsidR="003C39F6">
        <w:t xml:space="preserve"> </w:t>
      </w:r>
      <w:r w:rsidRPr="00A96979">
        <w:t>R.C. 4903.09 because the record evidence does not support the conclusion.</w:t>
      </w:r>
      <w:r>
        <w:rPr>
          <w:rStyle w:val="FootnoteReference"/>
        </w:rPr>
        <w:footnoteReference w:id="8"/>
      </w:r>
    </w:p>
    <w:p w:rsidR="00A16504" w:rsidRPr="00A96979" w:rsidP="00A16504" w14:paraId="5CD572FC" w14:textId="6B5A7FAA">
      <w:pPr>
        <w:spacing w:line="480" w:lineRule="auto"/>
        <w:ind w:firstLine="720"/>
      </w:pPr>
      <w:r w:rsidRPr="00A96979">
        <w:t xml:space="preserve">The record is wholly insufficient to authorize the acceptance </w:t>
      </w:r>
      <w:r w:rsidRPr="00A96979" w:rsidR="00CB5F7D">
        <w:t xml:space="preserve">of </w:t>
      </w:r>
      <w:r w:rsidRPr="00A96979">
        <w:t>DP&amp;L’s contested Settlement.</w:t>
      </w:r>
      <w:r w:rsidRPr="00A96979" w:rsidR="003C39F6">
        <w:t xml:space="preserve"> </w:t>
      </w:r>
      <w:r w:rsidRPr="00A96979">
        <w:t>The PUCO thus violated R.C. 4903.09, which requires the PUCO to base its findings on facts in the record.</w:t>
      </w:r>
      <w:r>
        <w:rPr>
          <w:rStyle w:val="FootnoteReference"/>
        </w:rPr>
        <w:footnoteReference w:id="9"/>
      </w:r>
      <w:r w:rsidRPr="00A96979" w:rsidR="003C39F6">
        <w:t xml:space="preserve"> </w:t>
      </w:r>
    </w:p>
    <w:p w:rsidR="00A16504" w:rsidRPr="00A96979" w:rsidP="00E71DD6" w14:paraId="0041B3AB" w14:textId="4D568254">
      <w:pPr>
        <w:spacing w:line="480" w:lineRule="auto"/>
        <w:ind w:firstLine="720"/>
        <w:rPr>
          <w:u w:val="single"/>
        </w:rPr>
      </w:pPr>
      <w:r w:rsidRPr="00A96979">
        <w:t>As a result, the PUCO should abrogate and modify the Finding and Order by revoking its unreasonable and unlawful acceptance of the Settlement and setting this matter for an evidentiary hearing.</w:t>
      </w:r>
    </w:p>
    <w:p w:rsidR="004E0342" w:rsidRPr="00A96979" w:rsidP="001B0140" w14:paraId="192716E5" w14:textId="0AD2C136">
      <w:pPr>
        <w:pStyle w:val="Heading2"/>
      </w:pPr>
      <w:bookmarkStart w:id="26" w:name="_Toc155103706"/>
      <w:bookmarkStart w:id="27" w:name="_Hlk154745086"/>
      <w:r w:rsidRPr="00A96979">
        <w:t xml:space="preserve">ASSIGNMENT OF ERROR </w:t>
      </w:r>
      <w:r w:rsidRPr="00A96979" w:rsidR="00A16504">
        <w:t>2</w:t>
      </w:r>
      <w:r w:rsidRPr="00A96979">
        <w:t>:</w:t>
      </w:r>
      <w:r w:rsidRPr="00A96979" w:rsidR="003C39F6">
        <w:t xml:space="preserve"> </w:t>
      </w:r>
      <w:bookmarkStart w:id="28" w:name="_Hlk154546013"/>
      <w:bookmarkEnd w:id="20"/>
      <w:bookmarkEnd w:id="21"/>
      <w:bookmarkEnd w:id="22"/>
      <w:bookmarkEnd w:id="23"/>
      <w:bookmarkEnd w:id="24"/>
      <w:r w:rsidRPr="00A96979" w:rsidR="00280B80">
        <w:t xml:space="preserve">In violation of </w:t>
      </w:r>
      <w:r w:rsidRPr="00A96979" w:rsidR="00280B80">
        <w:rPr>
          <w:i/>
          <w:iCs/>
        </w:rPr>
        <w:t>Time Warner AxS v. Pub. Util. Comm</w:t>
      </w:r>
      <w:r w:rsidRPr="00A96979" w:rsidR="00280B80">
        <w:t>., OCC was not given an opportunity to bargain for any consumer protections.</w:t>
      </w:r>
      <w:bookmarkEnd w:id="28"/>
      <w:bookmarkEnd w:id="26"/>
    </w:p>
    <w:bookmarkEnd w:id="27"/>
    <w:p w:rsidR="00F36A0B" w:rsidRPr="00A96979" w:rsidP="00DD7E95" w14:paraId="4BC11C43" w14:textId="2BF49609">
      <w:pPr>
        <w:spacing w:line="480" w:lineRule="auto"/>
        <w:ind w:firstLine="720"/>
      </w:pPr>
      <w:r w:rsidRPr="00A96979">
        <w:t xml:space="preserve">As OCC explained in its </w:t>
      </w:r>
      <w:r w:rsidRPr="00A96979" w:rsidR="00834DF2">
        <w:t xml:space="preserve">Initial Comments for Consumer Protection (“OCC Initial Comments”), </w:t>
      </w:r>
      <w:r w:rsidRPr="00A96979">
        <w:t>the</w:t>
      </w:r>
      <w:r w:rsidRPr="00A96979" w:rsidR="00B67D61">
        <w:t xml:space="preserve"> </w:t>
      </w:r>
      <w:r w:rsidRPr="00A96979" w:rsidR="00834DF2">
        <w:t xml:space="preserve">Settlement contradicts the Ohio Supreme Court’s admonition in </w:t>
      </w:r>
      <w:r w:rsidRPr="00A96979" w:rsidR="00834DF2">
        <w:rPr>
          <w:i/>
          <w:iCs/>
        </w:rPr>
        <w:t>Time Warner AxS v. Publ Util. Comm</w:t>
      </w:r>
      <w:r w:rsidRPr="00A96979" w:rsidR="00834DF2">
        <w:t>.</w:t>
      </w:r>
      <w:r>
        <w:rPr>
          <w:vertAlign w:val="superscript"/>
        </w:rPr>
        <w:footnoteReference w:id="10"/>
      </w:r>
      <w:r w:rsidRPr="00A96979" w:rsidR="00834DF2">
        <w:t xml:space="preserve"> that the PUCO should not approve a settlement which arose from settlement meetings where interested parties were excluded.</w:t>
      </w:r>
      <w:r>
        <w:rPr>
          <w:rStyle w:val="FootnoteReference"/>
        </w:rPr>
        <w:footnoteReference w:id="11"/>
      </w:r>
      <w:r w:rsidRPr="00A96979" w:rsidR="003C39F6">
        <w:t xml:space="preserve"> </w:t>
      </w:r>
      <w:r w:rsidRPr="00A96979">
        <w:t xml:space="preserve">In response, </w:t>
      </w:r>
      <w:r w:rsidRPr="00A96979" w:rsidR="00097985">
        <w:t>DP&amp;L</w:t>
      </w:r>
      <w:r w:rsidRPr="00A96979" w:rsidR="003C39F6">
        <w:t xml:space="preserve"> </w:t>
      </w:r>
      <w:r w:rsidRPr="00A96979" w:rsidR="00097985">
        <w:t>argued that “Chapter 4901:1-23 does not address other parties entering such settlements between Staff and the utility (or CRES)”</w:t>
      </w:r>
      <w:r w:rsidRPr="00A96979" w:rsidR="00AA37FC">
        <w:t xml:space="preserve"> and “R.C. 4903.221, which governs third-party intervention in Commission proceedings, does not demand intervention in Staff investigations that have not resulted in a proceeding</w:t>
      </w:r>
      <w:r w:rsidRPr="00A96979" w:rsidR="00E71DD6">
        <w:t>.</w:t>
      </w:r>
      <w:r w:rsidRPr="00A96979" w:rsidR="00AA37FC">
        <w:t>”</w:t>
      </w:r>
      <w:r>
        <w:rPr>
          <w:rStyle w:val="FootnoteReference"/>
        </w:rPr>
        <w:footnoteReference w:id="12"/>
      </w:r>
      <w:r w:rsidRPr="00A96979" w:rsidR="003C39F6">
        <w:t xml:space="preserve"> </w:t>
      </w:r>
    </w:p>
    <w:p w:rsidR="00437C02" w:rsidRPr="00A96979" w:rsidP="00DD7E95" w14:paraId="45F8446D" w14:textId="64DE0F5C">
      <w:pPr>
        <w:spacing w:line="480" w:lineRule="auto"/>
        <w:ind w:firstLine="720"/>
      </w:pPr>
      <w:r w:rsidRPr="00A96979">
        <w:t xml:space="preserve">In its Finding and Order, the PUCO determined that </w:t>
      </w:r>
      <w:r w:rsidRPr="00A96979" w:rsidR="004856F7">
        <w:t>OCC “being permitted to intervene – and thus conduct discovery – and file comments for [PUCO’s] consideration” actually granted OCC “more opportunity than required by the rules</w:t>
      </w:r>
      <w:r w:rsidRPr="00A96979">
        <w:t>.</w:t>
      </w:r>
      <w:r w:rsidRPr="00A96979" w:rsidR="004856F7">
        <w:t>”</w:t>
      </w:r>
      <w:r>
        <w:rPr>
          <w:rStyle w:val="FootnoteReference"/>
        </w:rPr>
        <w:footnoteReference w:id="13"/>
      </w:r>
      <w:r w:rsidRPr="00A96979" w:rsidR="003C39F6">
        <w:t xml:space="preserve"> </w:t>
      </w:r>
      <w:r w:rsidRPr="00A96979" w:rsidR="00F36A0B">
        <w:t xml:space="preserve">However, this finding does not comport with the well-established standard first enunciated in </w:t>
      </w:r>
      <w:r w:rsidRPr="00A96979" w:rsidR="00F36A0B">
        <w:rPr>
          <w:i/>
          <w:iCs/>
        </w:rPr>
        <w:t>Time Warner</w:t>
      </w:r>
      <w:r w:rsidRPr="00A96979" w:rsidR="00F36A0B">
        <w:t xml:space="preserve">, wherein the Supreme Court of Ohio stated its “grave concerns” about the validity </w:t>
      </w:r>
      <w:r w:rsidRPr="00A96979" w:rsidR="00CB5F7D">
        <w:t xml:space="preserve">of </w:t>
      </w:r>
      <w:r w:rsidRPr="00A96979" w:rsidR="00F36A0B">
        <w:t>any “stipulation [which] arose from settlement talks from which an entire customer class was intentionally excluded.”</w:t>
      </w:r>
      <w:r>
        <w:rPr>
          <w:rStyle w:val="FootnoteReference"/>
        </w:rPr>
        <w:footnoteReference w:id="14"/>
      </w:r>
      <w:r w:rsidRPr="00A96979" w:rsidR="00F36A0B">
        <w:t xml:space="preserve"> Here,</w:t>
      </w:r>
      <w:r w:rsidRPr="00A96979">
        <w:t xml:space="preserve"> the PUCO effectively</w:t>
      </w:r>
      <w:r w:rsidRPr="00A96979" w:rsidR="00F36A0B">
        <w:t xml:space="preserve"> side-steps that long</w:t>
      </w:r>
      <w:r w:rsidRPr="00A96979" w:rsidR="00CB5F7D">
        <w:t>-</w:t>
      </w:r>
      <w:r w:rsidRPr="00A96979" w:rsidR="00F36A0B">
        <w:t>standing ten</w:t>
      </w:r>
      <w:r w:rsidRPr="00A96979" w:rsidR="00CB5F7D">
        <w:t>e</w:t>
      </w:r>
      <w:r w:rsidRPr="00A96979" w:rsidR="00F36A0B">
        <w:t>t of utility regulation by claiming that OCC</w:t>
      </w:r>
      <w:r w:rsidRPr="00A96979" w:rsidR="00442B6C">
        <w:t>’s ability to</w:t>
      </w:r>
      <w:r w:rsidRPr="00A96979" w:rsidR="00F36A0B">
        <w:t xml:space="preserve"> question the Settlement after the fact</w:t>
      </w:r>
      <w:r w:rsidRPr="00A96979" w:rsidR="00442B6C">
        <w:t xml:space="preserve">, rather than actually participate in the settlement talks as required by </w:t>
      </w:r>
      <w:r w:rsidRPr="00A96979" w:rsidR="00442B6C">
        <w:rPr>
          <w:i/>
          <w:iCs/>
        </w:rPr>
        <w:t>Time Warner</w:t>
      </w:r>
      <w:r w:rsidRPr="00A96979" w:rsidR="00442B6C">
        <w:t>,</w:t>
      </w:r>
      <w:r w:rsidRPr="00A96979" w:rsidR="00F36A0B">
        <w:t xml:space="preserve"> is sufficient</w:t>
      </w:r>
      <w:r w:rsidRPr="00A96979">
        <w:t>.</w:t>
      </w:r>
    </w:p>
    <w:p w:rsidR="00B36F49" w:rsidP="00DD7E95" w14:paraId="06EB339E" w14:textId="44AB97D8">
      <w:pPr>
        <w:spacing w:line="480" w:lineRule="auto"/>
      </w:pPr>
      <w:r w:rsidRPr="00A96979">
        <w:t xml:space="preserve"> </w:t>
      </w:r>
      <w:r w:rsidRPr="00A96979" w:rsidR="002E086F">
        <w:tab/>
        <w:t>The PUCO should re</w:t>
      </w:r>
      <w:r w:rsidRPr="00A96979" w:rsidR="00CB5F7D">
        <w:t>-</w:t>
      </w:r>
      <w:r w:rsidRPr="00A96979" w:rsidR="002E086F">
        <w:t xml:space="preserve">visit this </w:t>
      </w:r>
      <w:r w:rsidRPr="00A96979" w:rsidR="00CB5F7D">
        <w:t xml:space="preserve">incorrect </w:t>
      </w:r>
      <w:r w:rsidRPr="00A96979" w:rsidR="002E086F">
        <w:t>determination.</w:t>
      </w:r>
      <w:r w:rsidRPr="00A96979">
        <w:t xml:space="preserve"> </w:t>
      </w:r>
      <w:r w:rsidRPr="00A96979" w:rsidR="002E086F">
        <w:t xml:space="preserve">For the reasons explained </w:t>
      </w:r>
      <w:r w:rsidRPr="00A96979" w:rsidR="00442B6C">
        <w:t xml:space="preserve">above, and </w:t>
      </w:r>
      <w:r w:rsidRPr="00A96979" w:rsidR="002E086F">
        <w:t xml:space="preserve">in OCC’s </w:t>
      </w:r>
      <w:r w:rsidRPr="00A96979" w:rsidR="00442B6C">
        <w:t>Initial Comments</w:t>
      </w:r>
      <w:r w:rsidRPr="00A96979" w:rsidR="002E086F">
        <w:t>,</w:t>
      </w:r>
      <w:r>
        <w:rPr>
          <w:rStyle w:val="FootnoteReference"/>
        </w:rPr>
        <w:footnoteReference w:id="15"/>
      </w:r>
      <w:r w:rsidRPr="00A96979" w:rsidR="002E086F">
        <w:t xml:space="preserve"> the PUCO should conclude</w:t>
      </w:r>
      <w:r w:rsidRPr="00A96979" w:rsidR="006E536E">
        <w:t xml:space="preserve"> that</w:t>
      </w:r>
      <w:r w:rsidRPr="00A96979" w:rsidR="00442B6C">
        <w:t xml:space="preserve"> mere after</w:t>
      </w:r>
      <w:r w:rsidRPr="00A96979" w:rsidR="00CB5F7D">
        <w:t>-</w:t>
      </w:r>
      <w:r w:rsidRPr="00A96979" w:rsidR="00442B6C">
        <w:t>the</w:t>
      </w:r>
      <w:r w:rsidRPr="00A96979" w:rsidR="00CB5F7D">
        <w:t>-</w:t>
      </w:r>
      <w:r w:rsidRPr="00A96979" w:rsidR="00442B6C">
        <w:t xml:space="preserve">fact discovery and </w:t>
      </w:r>
      <w:r w:rsidRPr="00A96979" w:rsidR="00CB5F7D">
        <w:t xml:space="preserve">the ability to file written comments is no substitute for actually participating in settlement discussions and </w:t>
      </w:r>
      <w:r w:rsidRPr="00A96979" w:rsidR="00442B6C">
        <w:t xml:space="preserve">does not meet the requirements of </w:t>
      </w:r>
      <w:r w:rsidRPr="00A96979" w:rsidR="00442B6C">
        <w:rPr>
          <w:i/>
          <w:iCs/>
        </w:rPr>
        <w:t>Time Warner</w:t>
      </w:r>
      <w:r w:rsidRPr="00A96979" w:rsidR="00442B6C">
        <w:t>.</w:t>
      </w:r>
      <w:r w:rsidRPr="00A96979">
        <w:t xml:space="preserve"> </w:t>
      </w:r>
      <w:r w:rsidRPr="00A96979" w:rsidR="002E086F">
        <w:t xml:space="preserve">Upon that determination, the PUCO should abrogate and modify the </w:t>
      </w:r>
      <w:r w:rsidRPr="00A96979" w:rsidR="00A4388E">
        <w:t>Finding</w:t>
      </w:r>
      <w:r w:rsidRPr="00A96979" w:rsidR="002E086F">
        <w:t xml:space="preserve"> and Order by </w:t>
      </w:r>
      <w:r w:rsidRPr="00A96979" w:rsidR="008E5B3C">
        <w:t>rejecting the settlement</w:t>
      </w:r>
      <w:r w:rsidRPr="00A96979" w:rsidR="002E086F">
        <w:t>.</w:t>
      </w:r>
      <w:r w:rsidR="00A96979">
        <w:t xml:space="preserve"> </w:t>
      </w:r>
      <w:r w:rsidRPr="00A96979" w:rsidR="008E5B3C">
        <w:t>Instead</w:t>
      </w:r>
      <w:r w:rsidRPr="00A96979" w:rsidR="001B0140">
        <w:t>,</w:t>
      </w:r>
      <w:r w:rsidRPr="00A96979" w:rsidR="008E5B3C">
        <w:t xml:space="preserve"> the parties should move forward to an evidentiary hearing in this matter, with the taking of evidence and the opportunity to cross-examine.</w:t>
      </w:r>
      <w:r w:rsidR="00A96979">
        <w:t xml:space="preserve"> </w:t>
      </w:r>
    </w:p>
    <w:p w:rsidR="00B36F49" w14:paraId="05ED0659" w14:textId="77777777">
      <w:r>
        <w:br w:type="page"/>
      </w:r>
    </w:p>
    <w:p w:rsidR="004E0342" w:rsidRPr="00A96979" w:rsidP="001B0140" w14:paraId="19D0CBD2" w14:textId="4B2F4011">
      <w:pPr>
        <w:pStyle w:val="Heading2"/>
      </w:pPr>
      <w:bookmarkStart w:id="29" w:name="_Toc155103707"/>
      <w:bookmarkStart w:id="30" w:name="_Hlk154745129"/>
      <w:bookmarkStart w:id="31" w:name="_Toc534969807"/>
      <w:bookmarkStart w:id="32" w:name="_Toc534970006"/>
      <w:bookmarkStart w:id="33" w:name="_Toc534970547"/>
      <w:bookmarkStart w:id="34" w:name="_Toc534970653"/>
      <w:bookmarkStart w:id="35" w:name="_Toc535583494"/>
      <w:r w:rsidRPr="00A96979">
        <w:t xml:space="preserve">ASSIGNMENT OF ERROR </w:t>
      </w:r>
      <w:r w:rsidRPr="00A96979" w:rsidR="00A16504">
        <w:t>3</w:t>
      </w:r>
      <w:r w:rsidRPr="00A96979">
        <w:t>:</w:t>
      </w:r>
      <w:r w:rsidRPr="00A96979" w:rsidR="003C39F6">
        <w:t xml:space="preserve"> </w:t>
      </w:r>
      <w:bookmarkStart w:id="36" w:name="_Hlk154545976"/>
      <w:r w:rsidRPr="00A96979" w:rsidR="00824635">
        <w:t xml:space="preserve">The PUCO’s Finding and Order is unlawful and unreasonable because it </w:t>
      </w:r>
      <w:r w:rsidRPr="00A96979" w:rsidR="00DB69A2">
        <w:t xml:space="preserve">violated its own </w:t>
      </w:r>
      <w:r w:rsidRPr="00A96979" w:rsidR="004E4856">
        <w:t>long-standing</w:t>
      </w:r>
      <w:r w:rsidRPr="00A96979" w:rsidR="00DB69A2">
        <w:t xml:space="preserve"> precedent by </w:t>
      </w:r>
      <w:r w:rsidRPr="00A96979" w:rsidR="00824635">
        <w:t>review</w:t>
      </w:r>
      <w:r w:rsidRPr="00A96979" w:rsidR="00DB69A2">
        <w:t>ing</w:t>
      </w:r>
      <w:r w:rsidRPr="00A96979" w:rsidR="00824635">
        <w:t xml:space="preserve"> </w:t>
      </w:r>
      <w:r w:rsidRPr="00A96979" w:rsidR="004133BB">
        <w:t xml:space="preserve">the Settlement </w:t>
      </w:r>
      <w:r w:rsidRPr="00A96979" w:rsidR="00824635">
        <w:t xml:space="preserve">under a “simple reasonableness standard,” rather than the </w:t>
      </w:r>
      <w:r w:rsidRPr="00A96979" w:rsidR="00ED5523">
        <w:t>three</w:t>
      </w:r>
      <w:r w:rsidRPr="00A96979" w:rsidR="00CB5F7D">
        <w:t>-</w:t>
      </w:r>
      <w:r w:rsidRPr="00A96979" w:rsidR="00ED5523">
        <w:t>prong test for the reasonableness of settlements</w:t>
      </w:r>
      <w:r w:rsidRPr="00A96979" w:rsidR="00DB69A2">
        <w:t xml:space="preserve"> which the Commission has employed for decades</w:t>
      </w:r>
      <w:r w:rsidRPr="00A96979" w:rsidR="00ED5523">
        <w:t>.</w:t>
      </w:r>
      <w:bookmarkEnd w:id="36"/>
      <w:bookmarkEnd w:id="29"/>
    </w:p>
    <w:bookmarkEnd w:id="30"/>
    <w:p w:rsidR="00EB2250" w:rsidRPr="00A96979" w:rsidP="0053359E" w14:paraId="2CA36C5B" w14:textId="178C9865">
      <w:pPr>
        <w:spacing w:line="480" w:lineRule="auto"/>
        <w:ind w:firstLine="720"/>
        <w:rPr>
          <w:color w:val="212121"/>
        </w:rPr>
      </w:pPr>
      <w:r w:rsidRPr="00A96979">
        <w:t xml:space="preserve">The PUCO has a long-standing precedent of applying </w:t>
      </w:r>
      <w:r w:rsidRPr="00A96979" w:rsidR="004E1856">
        <w:t>the</w:t>
      </w:r>
      <w:r w:rsidRPr="00A96979">
        <w:t xml:space="preserve"> </w:t>
      </w:r>
      <w:r w:rsidRPr="00A96979" w:rsidR="00CB5F7D">
        <w:t xml:space="preserve">following </w:t>
      </w:r>
      <w:r w:rsidRPr="00A96979" w:rsidR="004E1856">
        <w:t>three-prong</w:t>
      </w:r>
      <w:r w:rsidRPr="00A96979">
        <w:t xml:space="preserve"> test</w:t>
      </w:r>
      <w:r w:rsidRPr="00A96979" w:rsidR="00CB5F7D">
        <w:t xml:space="preserve"> for evaluating settlements</w:t>
      </w:r>
      <w:r w:rsidRPr="00A96979" w:rsidR="004E1856">
        <w:t xml:space="preserve">, </w:t>
      </w:r>
      <w:r w:rsidRPr="00A96979" w:rsidR="004E1856">
        <w:rPr>
          <w:color w:val="212121"/>
        </w:rPr>
        <w:t xml:space="preserve">specifically: </w:t>
      </w:r>
    </w:p>
    <w:p w:rsidR="004E1856" w:rsidRPr="00A96979" w:rsidP="009149BC" w14:paraId="008EB33F" w14:textId="635F265A">
      <w:pPr>
        <w:spacing w:after="120" w:line="300" w:lineRule="auto"/>
        <w:ind w:left="1440" w:right="720" w:hanging="720"/>
        <w:rPr>
          <w:color w:val="212121"/>
        </w:rPr>
      </w:pPr>
      <w:r w:rsidRPr="00A96979">
        <w:rPr>
          <w:color w:val="212121"/>
        </w:rPr>
        <w:t>1)</w:t>
      </w:r>
      <w:r w:rsidRPr="00A96979" w:rsidR="009149BC">
        <w:rPr>
          <w:color w:val="212121"/>
        </w:rPr>
        <w:tab/>
        <w:t>W</w:t>
      </w:r>
      <w:r w:rsidRPr="00A96979">
        <w:rPr>
          <w:color w:val="212121"/>
        </w:rPr>
        <w:t xml:space="preserve">hether the settlement is a product of serious bargaining among capable, knowledgeable parties; </w:t>
      </w:r>
    </w:p>
    <w:p w:rsidR="004E1856" w:rsidRPr="00A96979" w:rsidP="009149BC" w14:paraId="12A6C0D9" w14:textId="6C44F105">
      <w:pPr>
        <w:spacing w:after="120" w:line="300" w:lineRule="auto"/>
        <w:ind w:left="1440" w:right="720" w:hanging="720"/>
        <w:rPr>
          <w:color w:val="212121"/>
        </w:rPr>
      </w:pPr>
      <w:r w:rsidRPr="00A96979">
        <w:rPr>
          <w:color w:val="212121"/>
        </w:rPr>
        <w:t>2)</w:t>
      </w:r>
      <w:r w:rsidRPr="00A96979" w:rsidR="009149BC">
        <w:rPr>
          <w:color w:val="212121"/>
        </w:rPr>
        <w:tab/>
        <w:t>W</w:t>
      </w:r>
      <w:r w:rsidRPr="00A96979">
        <w:rPr>
          <w:color w:val="212121"/>
        </w:rPr>
        <w:t xml:space="preserve">hether the settlement, as a package, benefits ratepayers and the public interest; and </w:t>
      </w:r>
    </w:p>
    <w:p w:rsidR="004E1856" w:rsidRPr="00A96979" w:rsidP="009149BC" w14:paraId="350957C4" w14:textId="14616294">
      <w:pPr>
        <w:spacing w:line="300" w:lineRule="auto"/>
        <w:ind w:left="1440" w:right="720" w:hanging="720"/>
      </w:pPr>
      <w:r w:rsidRPr="00A96979">
        <w:rPr>
          <w:color w:val="212121"/>
        </w:rPr>
        <w:t>3)</w:t>
      </w:r>
      <w:r w:rsidRPr="00A96979" w:rsidR="009149BC">
        <w:rPr>
          <w:color w:val="212121"/>
        </w:rPr>
        <w:tab/>
        <w:t>W</w:t>
      </w:r>
      <w:r w:rsidRPr="00A96979">
        <w:rPr>
          <w:color w:val="212121"/>
        </w:rPr>
        <w:t>hether the settlement package violates any important regulatory principles or practices</w:t>
      </w:r>
      <w:r w:rsidRPr="00A96979" w:rsidR="00CB5F7D">
        <w:rPr>
          <w:color w:val="212121"/>
        </w:rPr>
        <w:t>.</w:t>
      </w:r>
      <w:r>
        <w:rPr>
          <w:rStyle w:val="FootnoteReference"/>
          <w:color w:val="212121"/>
        </w:rPr>
        <w:footnoteReference w:id="16"/>
      </w:r>
      <w:r w:rsidRPr="00A96979" w:rsidR="00DB69A2">
        <w:t xml:space="preserve"> </w:t>
      </w:r>
    </w:p>
    <w:p w:rsidR="009149BC" w:rsidRPr="00A96979" w:rsidP="0053359E" w14:paraId="2B5064A8" w14:textId="77777777">
      <w:pPr>
        <w:ind w:left="1440" w:right="720" w:hanging="720"/>
      </w:pPr>
    </w:p>
    <w:p w:rsidR="00A24831" w:rsidRPr="00A96979" w:rsidP="003C39F6" w14:paraId="4A349131" w14:textId="5E12D6BE">
      <w:pPr>
        <w:spacing w:line="480" w:lineRule="auto"/>
        <w:ind w:firstLine="720"/>
        <w:rPr>
          <w:color w:val="212121"/>
        </w:rPr>
      </w:pPr>
      <w:r w:rsidRPr="00A96979">
        <w:t xml:space="preserve"> The PUCO uses this t</w:t>
      </w:r>
      <w:r w:rsidRPr="00A96979" w:rsidR="00C608CA">
        <w:t>hree</w:t>
      </w:r>
      <w:r w:rsidRPr="00A96979">
        <w:t>-p</w:t>
      </w:r>
      <w:r w:rsidRPr="00A96979" w:rsidR="00C608CA">
        <w:t xml:space="preserve">rong </w:t>
      </w:r>
      <w:r w:rsidRPr="00A96979">
        <w:t>t</w:t>
      </w:r>
      <w:r w:rsidRPr="00A96979" w:rsidR="00C608CA">
        <w:t xml:space="preserve">est </w:t>
      </w:r>
      <w:r w:rsidRPr="00A96979" w:rsidR="004E1856">
        <w:t>to</w:t>
      </w:r>
      <w:r w:rsidRPr="00A96979" w:rsidR="00DB69A2">
        <w:t xml:space="preserve"> </w:t>
      </w:r>
      <w:r w:rsidRPr="00A96979" w:rsidR="00D26ADF">
        <w:t>determin</w:t>
      </w:r>
      <w:r w:rsidRPr="00A96979" w:rsidR="004E1856">
        <w:t>e</w:t>
      </w:r>
      <w:r w:rsidRPr="00A96979" w:rsidR="00D26ADF">
        <w:t xml:space="preserve"> </w:t>
      </w:r>
      <w:r w:rsidRPr="00A96979" w:rsidR="004E1856">
        <w:t xml:space="preserve">whether </w:t>
      </w:r>
      <w:r w:rsidRPr="00A96979">
        <w:t xml:space="preserve">settlements </w:t>
      </w:r>
      <w:r w:rsidRPr="00A96979" w:rsidR="004E1856">
        <w:t>are reasonable</w:t>
      </w:r>
      <w:r w:rsidRPr="00A96979" w:rsidR="00DB69A2">
        <w:t>.</w:t>
      </w:r>
      <w:r>
        <w:rPr>
          <w:rStyle w:val="FootnoteReference"/>
        </w:rPr>
        <w:footnoteReference w:id="17"/>
      </w:r>
      <w:r w:rsidRPr="00A96979" w:rsidR="003C39F6">
        <w:t xml:space="preserve"> </w:t>
      </w:r>
      <w:r w:rsidRPr="00A96979">
        <w:rPr>
          <w:color w:val="212121"/>
        </w:rPr>
        <w:t>The Supreme Court of Ohio</w:t>
      </w:r>
      <w:r w:rsidRPr="00A96979" w:rsidR="00A8192C">
        <w:rPr>
          <w:color w:val="212121"/>
        </w:rPr>
        <w:t xml:space="preserve"> has </w:t>
      </w:r>
      <w:r w:rsidRPr="00A96979" w:rsidR="00AB77C6">
        <w:rPr>
          <w:color w:val="212121"/>
        </w:rPr>
        <w:t>“</w:t>
      </w:r>
      <w:r w:rsidRPr="00A96979" w:rsidR="00A8192C">
        <w:rPr>
          <w:color w:val="212121"/>
        </w:rPr>
        <w:t xml:space="preserve">instructed the commission to </w:t>
      </w:r>
      <w:r w:rsidRPr="00A96979" w:rsidR="00AB77C6">
        <w:rPr>
          <w:color w:val="212121"/>
        </w:rPr>
        <w:t>‘</w:t>
      </w:r>
      <w:r w:rsidRPr="00A96979" w:rsidR="00A8192C">
        <w:rPr>
          <w:color w:val="212121"/>
        </w:rPr>
        <w:t>respect its own precedents in its decisions to assure the predictability which is essential in all areas of the law, including administrative law</w:t>
      </w:r>
      <w:r w:rsidRPr="00A96979" w:rsidR="002F7A8B">
        <w:rPr>
          <w:color w:val="212121"/>
        </w:rPr>
        <w:t>.’”</w:t>
      </w:r>
      <w:r>
        <w:rPr>
          <w:rStyle w:val="FootnoteReference"/>
          <w:color w:val="212121"/>
        </w:rPr>
        <w:footnoteReference w:id="18"/>
      </w:r>
      <w:r w:rsidRPr="00A96979" w:rsidR="003C39F6">
        <w:rPr>
          <w:color w:val="212121"/>
        </w:rPr>
        <w:t xml:space="preserve"> </w:t>
      </w:r>
      <w:r w:rsidRPr="00A96979">
        <w:rPr>
          <w:color w:val="212121"/>
        </w:rPr>
        <w:t xml:space="preserve">Indeed, the Court itself </w:t>
      </w:r>
      <w:r w:rsidRPr="00A96979">
        <w:rPr>
          <w:color w:val="212121"/>
        </w:rPr>
        <w:t xml:space="preserve">uses </w:t>
      </w:r>
      <w:r w:rsidRPr="00A96979" w:rsidR="00C608CA">
        <w:rPr>
          <w:color w:val="212121"/>
        </w:rPr>
        <w:t xml:space="preserve">the </w:t>
      </w:r>
      <w:r w:rsidRPr="00A96979">
        <w:rPr>
          <w:color w:val="212121"/>
        </w:rPr>
        <w:t>t</w:t>
      </w:r>
      <w:r w:rsidRPr="00A96979" w:rsidR="00C608CA">
        <w:rPr>
          <w:color w:val="212121"/>
        </w:rPr>
        <w:t>hree</w:t>
      </w:r>
      <w:r w:rsidRPr="00A96979">
        <w:rPr>
          <w:color w:val="212121"/>
        </w:rPr>
        <w:t>-p</w:t>
      </w:r>
      <w:r w:rsidRPr="00A96979" w:rsidR="00C608CA">
        <w:rPr>
          <w:color w:val="212121"/>
        </w:rPr>
        <w:t xml:space="preserve">rong </w:t>
      </w:r>
      <w:r w:rsidRPr="00A96979">
        <w:rPr>
          <w:color w:val="212121"/>
        </w:rPr>
        <w:t>t</w:t>
      </w:r>
      <w:r w:rsidRPr="00A96979" w:rsidR="00C608CA">
        <w:rPr>
          <w:color w:val="212121"/>
        </w:rPr>
        <w:t>est</w:t>
      </w:r>
      <w:r w:rsidRPr="00A96979">
        <w:rPr>
          <w:color w:val="212121"/>
        </w:rPr>
        <w:t xml:space="preserve"> when evaluating the reasonableness of settlements approved by the PUCO.</w:t>
      </w:r>
      <w:r>
        <w:rPr>
          <w:rStyle w:val="FootnoteReference"/>
          <w:color w:val="212121"/>
        </w:rPr>
        <w:footnoteReference w:id="19"/>
      </w:r>
      <w:r w:rsidRPr="00A96979">
        <w:rPr>
          <w:color w:val="212121"/>
        </w:rPr>
        <w:t xml:space="preserve"> </w:t>
      </w:r>
      <w:r w:rsidRPr="00A96979" w:rsidR="003D2BDF">
        <w:rPr>
          <w:color w:val="212121"/>
        </w:rPr>
        <w:t>T</w:t>
      </w:r>
      <w:r w:rsidRPr="00A96979" w:rsidR="001B10B7">
        <w:rPr>
          <w:color w:val="212121"/>
        </w:rPr>
        <w:t xml:space="preserve">he Court has stated </w:t>
      </w:r>
      <w:r w:rsidRPr="00A96979" w:rsidR="003D2BDF">
        <w:rPr>
          <w:color w:val="212121"/>
        </w:rPr>
        <w:t>that t</w:t>
      </w:r>
      <w:r w:rsidRPr="00A96979" w:rsidR="001B10B7">
        <w:rPr>
          <w:color w:val="212121"/>
          <w:bdr w:val="none" w:sz="0" w:space="0" w:color="auto" w:frame="1"/>
        </w:rPr>
        <w:t xml:space="preserve">he </w:t>
      </w:r>
      <w:r w:rsidRPr="00A96979" w:rsidR="003D2BDF">
        <w:rPr>
          <w:color w:val="212121"/>
          <w:bdr w:val="none" w:sz="0" w:space="0" w:color="auto" w:frame="1"/>
        </w:rPr>
        <w:t>PUCO</w:t>
      </w:r>
      <w:r w:rsidRPr="00A96979" w:rsidR="001B10B7">
        <w:rPr>
          <w:color w:val="212121"/>
          <w:bdr w:val="none" w:sz="0" w:space="0" w:color="auto" w:frame="1"/>
        </w:rPr>
        <w:t xml:space="preserve"> should be willing to </w:t>
      </w:r>
      <w:r w:rsidRPr="00A96979" w:rsidR="003D2BDF">
        <w:rPr>
          <w:color w:val="212121"/>
          <w:bdr w:val="none" w:sz="0" w:space="0" w:color="auto" w:frame="1"/>
        </w:rPr>
        <w:t>deviate from precedent only</w:t>
      </w:r>
      <w:r w:rsidRPr="00A96979" w:rsidR="001B10B7">
        <w:rPr>
          <w:color w:val="212121"/>
          <w:bdr w:val="none" w:sz="0" w:space="0" w:color="auto" w:frame="1"/>
        </w:rPr>
        <w:t xml:space="preserve"> </w:t>
      </w:r>
      <w:r w:rsidRPr="00A96979" w:rsidR="003D2BDF">
        <w:rPr>
          <w:color w:val="212121"/>
          <w:bdr w:val="none" w:sz="0" w:space="0" w:color="auto" w:frame="1"/>
        </w:rPr>
        <w:t>“</w:t>
      </w:r>
      <w:r w:rsidRPr="00A96979" w:rsidR="001B10B7">
        <w:rPr>
          <w:color w:val="212121"/>
          <w:bdr w:val="none" w:sz="0" w:space="0" w:color="auto" w:frame="1"/>
        </w:rPr>
        <w:t>when the need therefor is clear and it is shown that prior decisions are in error</w:t>
      </w:r>
      <w:r w:rsidRPr="00A96979" w:rsidR="003D2BDF">
        <w:rPr>
          <w:color w:val="212121"/>
          <w:bdr w:val="none" w:sz="0" w:space="0" w:color="auto" w:frame="1"/>
        </w:rPr>
        <w:t>.</w:t>
      </w:r>
      <w:r w:rsidRPr="00A96979" w:rsidR="001B10B7">
        <w:rPr>
          <w:color w:val="212121"/>
          <w:bdr w:val="none" w:sz="0" w:space="0" w:color="auto" w:frame="1"/>
        </w:rPr>
        <w:t>”</w:t>
      </w:r>
      <w:r>
        <w:rPr>
          <w:rStyle w:val="FootnoteReference"/>
          <w:color w:val="212121"/>
          <w:bdr w:val="none" w:sz="0" w:space="0" w:color="auto" w:frame="1"/>
        </w:rPr>
        <w:footnoteReference w:id="20"/>
      </w:r>
      <w:r w:rsidR="00A96979">
        <w:rPr>
          <w:color w:val="212121"/>
          <w:bdr w:val="none" w:sz="0" w:space="0" w:color="auto" w:frame="1"/>
        </w:rPr>
        <w:t xml:space="preserve"> </w:t>
      </w:r>
      <w:r w:rsidRPr="00A96979" w:rsidR="003D2BDF">
        <w:rPr>
          <w:color w:val="212121"/>
          <w:bdr w:val="none" w:sz="0" w:space="0" w:color="auto" w:frame="1"/>
        </w:rPr>
        <w:t>N</w:t>
      </w:r>
      <w:r w:rsidRPr="00A96979" w:rsidR="001B10B7">
        <w:rPr>
          <w:color w:val="212121"/>
          <w:bdr w:val="none" w:sz="0" w:space="0" w:color="auto" w:frame="1"/>
        </w:rPr>
        <w:t xml:space="preserve">either a clear need for such a change, nor an error relating to the PUCO’s </w:t>
      </w:r>
      <w:r w:rsidRPr="00A96979" w:rsidR="003D2BDF">
        <w:rPr>
          <w:color w:val="212121"/>
          <w:bdr w:val="none" w:sz="0" w:space="0" w:color="auto" w:frame="1"/>
        </w:rPr>
        <w:t xml:space="preserve">(and the Court’s) </w:t>
      </w:r>
      <w:r w:rsidRPr="00A96979" w:rsidR="001B10B7">
        <w:rPr>
          <w:color w:val="212121"/>
          <w:bdr w:val="none" w:sz="0" w:space="0" w:color="auto" w:frame="1"/>
        </w:rPr>
        <w:t xml:space="preserve">long-standing reliance on the Three Part Test has been </w:t>
      </w:r>
      <w:r w:rsidRPr="00A96979" w:rsidR="003D2BDF">
        <w:rPr>
          <w:color w:val="212121"/>
          <w:bdr w:val="none" w:sz="0" w:space="0" w:color="auto" w:frame="1"/>
        </w:rPr>
        <w:t xml:space="preserve">proven or even </w:t>
      </w:r>
      <w:r w:rsidRPr="00A96979" w:rsidR="001B10B7">
        <w:rPr>
          <w:color w:val="212121"/>
          <w:bdr w:val="none" w:sz="0" w:space="0" w:color="auto" w:frame="1"/>
        </w:rPr>
        <w:t>alleged.</w:t>
      </w:r>
      <w:r w:rsidR="00A96979">
        <w:rPr>
          <w:color w:val="212121"/>
          <w:bdr w:val="none" w:sz="0" w:space="0" w:color="auto" w:frame="1"/>
        </w:rPr>
        <w:t xml:space="preserve"> </w:t>
      </w:r>
      <w:r w:rsidRPr="00A96979" w:rsidR="001B10B7">
        <w:rPr>
          <w:color w:val="212121"/>
          <w:bdr w:val="none" w:sz="0" w:space="0" w:color="auto" w:frame="1"/>
        </w:rPr>
        <w:t>Furthermore, the Court has only upheld such a deviation from precedent where the new course is “</w:t>
      </w:r>
      <w:r w:rsidRPr="00A96979" w:rsidR="003D2BDF">
        <w:rPr>
          <w:color w:val="212121"/>
          <w:bdr w:val="none" w:sz="0" w:space="0" w:color="auto" w:frame="1"/>
        </w:rPr>
        <w:t>neither unreasonable nor unlawful.”</w:t>
      </w:r>
      <w:r>
        <w:rPr>
          <w:rStyle w:val="FootnoteReference"/>
          <w:color w:val="212121"/>
          <w:bdr w:val="none" w:sz="0" w:space="0" w:color="auto" w:frame="1"/>
        </w:rPr>
        <w:footnoteReference w:id="21"/>
      </w:r>
    </w:p>
    <w:p w:rsidR="00CB5F7D" w:rsidRPr="00A96979" w:rsidP="00FE1517" w14:paraId="28876B25" w14:textId="19B03190">
      <w:pPr>
        <w:spacing w:line="480" w:lineRule="auto"/>
        <w:ind w:firstLine="720"/>
        <w:rPr>
          <w:color w:val="212121"/>
        </w:rPr>
      </w:pPr>
      <w:r w:rsidRPr="00A96979">
        <w:rPr>
          <w:color w:val="212121"/>
        </w:rPr>
        <w:t xml:space="preserve">The Finding and Order </w:t>
      </w:r>
      <w:r w:rsidRPr="00A96979">
        <w:rPr>
          <w:color w:val="212121"/>
        </w:rPr>
        <w:t xml:space="preserve">failed to follow </w:t>
      </w:r>
      <w:r w:rsidRPr="00A96979" w:rsidR="00453813">
        <w:rPr>
          <w:color w:val="212121"/>
        </w:rPr>
        <w:t>th</w:t>
      </w:r>
      <w:r w:rsidRPr="00A96979" w:rsidR="00C608CA">
        <w:rPr>
          <w:color w:val="212121"/>
        </w:rPr>
        <w:t>is</w:t>
      </w:r>
      <w:r w:rsidRPr="00A96979" w:rsidR="00453813">
        <w:rPr>
          <w:color w:val="212121"/>
        </w:rPr>
        <w:t xml:space="preserve"> </w:t>
      </w:r>
      <w:r w:rsidRPr="00A96979" w:rsidR="00C608CA">
        <w:rPr>
          <w:color w:val="212121"/>
        </w:rPr>
        <w:t>long-standing</w:t>
      </w:r>
      <w:r w:rsidRPr="00A96979" w:rsidR="00453813">
        <w:rPr>
          <w:color w:val="212121"/>
        </w:rPr>
        <w:t xml:space="preserve"> </w:t>
      </w:r>
      <w:r w:rsidRPr="00A96979">
        <w:rPr>
          <w:color w:val="212121"/>
        </w:rPr>
        <w:t>precedent, by stating OCC “points to no Commission precedent that has applied [the three</w:t>
      </w:r>
      <w:r w:rsidRPr="00A96979">
        <w:rPr>
          <w:color w:val="212121"/>
        </w:rPr>
        <w:t>-</w:t>
      </w:r>
      <w:r w:rsidRPr="00A96979">
        <w:rPr>
          <w:color w:val="212121"/>
        </w:rPr>
        <w:t>prong] standard addressing proposed settlement agreements submitted pursuant to Ohio Adm. Code 4901:1-23-04.”</w:t>
      </w:r>
      <w:r>
        <w:rPr>
          <w:rStyle w:val="FootnoteReference"/>
          <w:color w:val="212121"/>
        </w:rPr>
        <w:footnoteReference w:id="22"/>
      </w:r>
      <w:r w:rsidRPr="00A96979" w:rsidR="003C39F6">
        <w:rPr>
          <w:color w:val="212121"/>
        </w:rPr>
        <w:t xml:space="preserve"> </w:t>
      </w:r>
      <w:r w:rsidRPr="00A96979">
        <w:rPr>
          <w:color w:val="212121"/>
        </w:rPr>
        <w:t xml:space="preserve">However, the PUCO does not </w:t>
      </w:r>
      <w:r w:rsidRPr="00A96979" w:rsidR="001E08CD">
        <w:rPr>
          <w:color w:val="212121"/>
        </w:rPr>
        <w:t xml:space="preserve">cite to any settlement where it has applied a review standard other than the </w:t>
      </w:r>
      <w:r w:rsidRPr="00A96979">
        <w:rPr>
          <w:color w:val="212121"/>
        </w:rPr>
        <w:t>t</w:t>
      </w:r>
      <w:r w:rsidRPr="00A96979" w:rsidR="00C608CA">
        <w:rPr>
          <w:color w:val="212121"/>
        </w:rPr>
        <w:t>hree</w:t>
      </w:r>
      <w:r w:rsidRPr="00A96979">
        <w:rPr>
          <w:color w:val="212121"/>
        </w:rPr>
        <w:t>-p</w:t>
      </w:r>
      <w:r w:rsidRPr="00A96979" w:rsidR="00C608CA">
        <w:rPr>
          <w:color w:val="212121"/>
        </w:rPr>
        <w:t xml:space="preserve">rong </w:t>
      </w:r>
      <w:r w:rsidRPr="00A96979">
        <w:rPr>
          <w:color w:val="212121"/>
        </w:rPr>
        <w:t>t</w:t>
      </w:r>
      <w:r w:rsidRPr="00A96979" w:rsidR="00C608CA">
        <w:rPr>
          <w:color w:val="212121"/>
        </w:rPr>
        <w:t>est</w:t>
      </w:r>
      <w:r w:rsidRPr="00A96979" w:rsidR="00FE1517">
        <w:rPr>
          <w:color w:val="212121"/>
        </w:rPr>
        <w:t xml:space="preserve"> for any form of stipulation or settlement</w:t>
      </w:r>
      <w:r w:rsidRPr="00A96979" w:rsidR="001E08CD">
        <w:rPr>
          <w:color w:val="212121"/>
        </w:rPr>
        <w:t>.</w:t>
      </w:r>
      <w:r w:rsidRPr="00A96979" w:rsidR="003C39F6">
        <w:rPr>
          <w:color w:val="212121"/>
        </w:rPr>
        <w:t xml:space="preserve"> </w:t>
      </w:r>
      <w:r w:rsidRPr="00A96979" w:rsidR="00FD5825">
        <w:rPr>
          <w:color w:val="212121"/>
        </w:rPr>
        <w:t xml:space="preserve">In fact, it appears the PUCO has only </w:t>
      </w:r>
      <w:r w:rsidRPr="00A96979">
        <w:rPr>
          <w:color w:val="212121"/>
        </w:rPr>
        <w:t>mentioned</w:t>
      </w:r>
      <w:r w:rsidRPr="00A96979" w:rsidR="00FD5825">
        <w:rPr>
          <w:color w:val="212121"/>
        </w:rPr>
        <w:t xml:space="preserve"> the term “simple reasonableness standard” in one other decision, </w:t>
      </w:r>
      <w:r w:rsidRPr="00A96979" w:rsidR="00C608CA">
        <w:rPr>
          <w:color w:val="212121"/>
        </w:rPr>
        <w:t>which relates</w:t>
      </w:r>
      <w:r w:rsidRPr="00A96979" w:rsidR="00FD5825">
        <w:rPr>
          <w:color w:val="212121"/>
        </w:rPr>
        <w:t xml:space="preserve"> to SmartEnergy Holdings, Inc. and was filed in September 2023, and there it was only </w:t>
      </w:r>
      <w:r w:rsidRPr="00A96979">
        <w:rPr>
          <w:color w:val="212121"/>
        </w:rPr>
        <w:t>mentioned</w:t>
      </w:r>
      <w:r w:rsidRPr="00A96979" w:rsidR="00FD5825">
        <w:rPr>
          <w:color w:val="212121"/>
        </w:rPr>
        <w:t xml:space="preserve"> in a footnote.</w:t>
      </w:r>
      <w:r>
        <w:rPr>
          <w:rStyle w:val="FootnoteReference"/>
          <w:color w:val="212121"/>
        </w:rPr>
        <w:footnoteReference w:id="23"/>
      </w:r>
      <w:r w:rsidRPr="00A96979" w:rsidR="003C39F6">
        <w:rPr>
          <w:color w:val="212121"/>
        </w:rPr>
        <w:t xml:space="preserve"> </w:t>
      </w:r>
    </w:p>
    <w:p w:rsidR="00FE1517" w:rsidRPr="00A96979" w:rsidP="00FE1517" w14:paraId="60E438A4" w14:textId="37F7C3FE">
      <w:pPr>
        <w:spacing w:line="480" w:lineRule="auto"/>
        <w:ind w:firstLine="720"/>
        <w:rPr>
          <w:color w:val="212121"/>
        </w:rPr>
      </w:pPr>
      <w:r w:rsidRPr="00A96979">
        <w:rPr>
          <w:color w:val="212121"/>
        </w:rPr>
        <w:t xml:space="preserve">In </w:t>
      </w:r>
      <w:r w:rsidRPr="00A96979" w:rsidR="00CB5F7D">
        <w:rPr>
          <w:color w:val="212121"/>
        </w:rPr>
        <w:t>the</w:t>
      </w:r>
      <w:r w:rsidRPr="00A96979">
        <w:rPr>
          <w:color w:val="212121"/>
        </w:rPr>
        <w:t xml:space="preserve"> </w:t>
      </w:r>
      <w:r w:rsidRPr="00A96979">
        <w:rPr>
          <w:i/>
          <w:iCs/>
          <w:color w:val="212121"/>
        </w:rPr>
        <w:t>SmartEnergy</w:t>
      </w:r>
      <w:r w:rsidRPr="00A96979">
        <w:rPr>
          <w:color w:val="212121"/>
        </w:rPr>
        <w:t xml:space="preserve"> decision, the PUCO only </w:t>
      </w:r>
      <w:r w:rsidRPr="00A96979" w:rsidR="00CB5F7D">
        <w:rPr>
          <w:color w:val="212121"/>
        </w:rPr>
        <w:t>mentioned</w:t>
      </w:r>
      <w:r w:rsidRPr="00A96979">
        <w:rPr>
          <w:color w:val="212121"/>
        </w:rPr>
        <w:t xml:space="preserve"> the term “simple reasonableness standard” once in a footnote</w:t>
      </w:r>
      <w:r w:rsidRPr="00A96979" w:rsidR="00943448">
        <w:rPr>
          <w:color w:val="212121"/>
        </w:rPr>
        <w:t xml:space="preserve"> </w:t>
      </w:r>
      <w:r w:rsidRPr="00A96979" w:rsidR="00CB5F7D">
        <w:rPr>
          <w:color w:val="212121"/>
        </w:rPr>
        <w:t>and</w:t>
      </w:r>
      <w:r w:rsidRPr="00A96979">
        <w:rPr>
          <w:color w:val="212121"/>
        </w:rPr>
        <w:t xml:space="preserve"> did not define the term in any way.</w:t>
      </w:r>
      <w:r>
        <w:rPr>
          <w:rStyle w:val="FootnoteReference"/>
          <w:color w:val="212121"/>
        </w:rPr>
        <w:footnoteReference w:id="24"/>
      </w:r>
      <w:r w:rsidRPr="00A96979" w:rsidR="003C39F6">
        <w:rPr>
          <w:color w:val="212121"/>
        </w:rPr>
        <w:t xml:space="preserve"> </w:t>
      </w:r>
      <w:r w:rsidRPr="00A96979" w:rsidR="00F4663E">
        <w:rPr>
          <w:color w:val="212121"/>
        </w:rPr>
        <w:t xml:space="preserve">Furthermore, that footnote followed a sentence which stated that </w:t>
      </w:r>
      <w:r w:rsidRPr="00A96979" w:rsidR="00C608CA">
        <w:rPr>
          <w:color w:val="212121"/>
        </w:rPr>
        <w:t>“p</w:t>
      </w:r>
      <w:r w:rsidRPr="00A96979" w:rsidR="00F4663E">
        <w:rPr>
          <w:color w:val="212121"/>
        </w:rPr>
        <w:t>ursuant to its settlement authority under Ohio Adm.Code Chapters 4901:1-23 and 4901:1-34</w:t>
      </w:r>
      <w:r w:rsidRPr="00A96979" w:rsidR="00C608CA">
        <w:rPr>
          <w:color w:val="212121"/>
        </w:rPr>
        <w:t xml:space="preserve">… </w:t>
      </w:r>
      <w:r w:rsidRPr="00A96979" w:rsidR="00F4663E">
        <w:rPr>
          <w:color w:val="212121"/>
        </w:rPr>
        <w:t xml:space="preserve">the issue before the </w:t>
      </w:r>
      <w:r w:rsidRPr="00A96979" w:rsidR="00C608CA">
        <w:rPr>
          <w:color w:val="212121"/>
        </w:rPr>
        <w:t>[</w:t>
      </w:r>
      <w:r w:rsidRPr="00A96979" w:rsidR="00F4663E">
        <w:rPr>
          <w:color w:val="212121"/>
        </w:rPr>
        <w:t>PUCO</w:t>
      </w:r>
      <w:r w:rsidRPr="00A96979" w:rsidR="00C608CA">
        <w:rPr>
          <w:color w:val="212121"/>
        </w:rPr>
        <w:t>]</w:t>
      </w:r>
      <w:r w:rsidRPr="00A96979" w:rsidR="00F4663E">
        <w:rPr>
          <w:color w:val="212121"/>
        </w:rPr>
        <w:t xml:space="preserve"> was whether the Stipulation… is reasonable and should be adopted</w:t>
      </w:r>
      <w:r w:rsidRPr="00A96979" w:rsidR="00C608CA">
        <w:rPr>
          <w:color w:val="212121"/>
        </w:rPr>
        <w:t>,</w:t>
      </w:r>
      <w:r w:rsidRPr="00A96979" w:rsidR="00F4663E">
        <w:rPr>
          <w:color w:val="212121"/>
        </w:rPr>
        <w:t>”</w:t>
      </w:r>
      <w:r w:rsidRPr="00A96979" w:rsidR="00C608CA">
        <w:rPr>
          <w:color w:val="212121"/>
        </w:rPr>
        <w:t xml:space="preserve"> without any mention of a “simple” standard.</w:t>
      </w:r>
      <w:r>
        <w:rPr>
          <w:rStyle w:val="FootnoteReference"/>
          <w:color w:val="212121"/>
        </w:rPr>
        <w:footnoteReference w:id="25"/>
      </w:r>
      <w:r w:rsidRPr="00A96979" w:rsidR="003C39F6">
        <w:rPr>
          <w:color w:val="212121"/>
        </w:rPr>
        <w:t xml:space="preserve"> </w:t>
      </w:r>
      <w:r w:rsidRPr="00A96979" w:rsidR="00CB5F7D">
        <w:rPr>
          <w:color w:val="212121"/>
        </w:rPr>
        <w:t>The PUCO did not state that the “simple reasonableness standard” was an alternative to or a substitute for the three-prong test.</w:t>
      </w:r>
      <w:r w:rsidRPr="00A96979" w:rsidR="003C39F6">
        <w:rPr>
          <w:color w:val="212121"/>
        </w:rPr>
        <w:t xml:space="preserve"> </w:t>
      </w:r>
      <w:r w:rsidRPr="00A96979" w:rsidR="00453813">
        <w:rPr>
          <w:color w:val="212121"/>
        </w:rPr>
        <w:t xml:space="preserve">It </w:t>
      </w:r>
      <w:r w:rsidRPr="00A96979" w:rsidR="002D4ED7">
        <w:rPr>
          <w:color w:val="212121"/>
        </w:rPr>
        <w:t xml:space="preserve">is </w:t>
      </w:r>
      <w:r w:rsidRPr="00A96979" w:rsidR="00453813">
        <w:rPr>
          <w:color w:val="212121"/>
        </w:rPr>
        <w:t>also clear that the PUCO’s own Staff, and the companies which enter</w:t>
      </w:r>
      <w:r w:rsidRPr="00A96979" w:rsidR="00C608CA">
        <w:rPr>
          <w:color w:val="212121"/>
        </w:rPr>
        <w:t>ed</w:t>
      </w:r>
      <w:r w:rsidRPr="00A96979" w:rsidR="00453813">
        <w:rPr>
          <w:color w:val="212121"/>
        </w:rPr>
        <w:t xml:space="preserve"> into stipulations</w:t>
      </w:r>
      <w:r w:rsidRPr="00A96979" w:rsidR="00C608CA">
        <w:rPr>
          <w:color w:val="212121"/>
        </w:rPr>
        <w:t xml:space="preserve"> with them in both </w:t>
      </w:r>
      <w:r w:rsidRPr="00A96979" w:rsidR="00C608CA">
        <w:rPr>
          <w:i/>
          <w:iCs/>
          <w:color w:val="212121"/>
        </w:rPr>
        <w:t>SmartEnergy</w:t>
      </w:r>
      <w:r w:rsidRPr="00A96979" w:rsidR="00C608CA">
        <w:rPr>
          <w:color w:val="212121"/>
        </w:rPr>
        <w:t xml:space="preserve"> and this matter</w:t>
      </w:r>
      <w:r w:rsidRPr="00A96979" w:rsidR="00453813">
        <w:rPr>
          <w:color w:val="212121"/>
        </w:rPr>
        <w:t xml:space="preserve">, believed the </w:t>
      </w:r>
      <w:r w:rsidRPr="00A96979" w:rsidR="00CB5F7D">
        <w:rPr>
          <w:color w:val="212121"/>
        </w:rPr>
        <w:t>t</w:t>
      </w:r>
      <w:r w:rsidRPr="00A96979" w:rsidR="00C608CA">
        <w:rPr>
          <w:color w:val="212121"/>
        </w:rPr>
        <w:t>hree</w:t>
      </w:r>
      <w:r w:rsidRPr="00A96979" w:rsidR="00CB5F7D">
        <w:rPr>
          <w:color w:val="212121"/>
        </w:rPr>
        <w:t>-p</w:t>
      </w:r>
      <w:r w:rsidRPr="00A96979" w:rsidR="00C608CA">
        <w:rPr>
          <w:color w:val="212121"/>
        </w:rPr>
        <w:t xml:space="preserve">rong </w:t>
      </w:r>
      <w:r w:rsidRPr="00A96979" w:rsidR="00CB5F7D">
        <w:rPr>
          <w:color w:val="212121"/>
        </w:rPr>
        <w:t>t</w:t>
      </w:r>
      <w:r w:rsidRPr="00A96979" w:rsidR="00C608CA">
        <w:rPr>
          <w:color w:val="212121"/>
        </w:rPr>
        <w:t>est</w:t>
      </w:r>
      <w:r w:rsidRPr="00A96979" w:rsidR="00453813">
        <w:rPr>
          <w:color w:val="212121"/>
        </w:rPr>
        <w:t xml:space="preserve"> to be the necessary measure for reasonableness, as it was cited in the Joint Stipulation and Recommendation documents submitted in both cases.</w:t>
      </w:r>
      <w:r>
        <w:rPr>
          <w:rStyle w:val="FootnoteReference"/>
          <w:color w:val="212121"/>
        </w:rPr>
        <w:footnoteReference w:id="26"/>
      </w:r>
    </w:p>
    <w:p w:rsidR="00A24831" w:rsidRPr="00A96979" w:rsidP="00CE1433" w14:paraId="24680727" w14:textId="217BE3EB">
      <w:pPr>
        <w:spacing w:line="480" w:lineRule="auto"/>
        <w:ind w:firstLine="720"/>
        <w:rPr>
          <w:u w:val="single"/>
        </w:rPr>
      </w:pPr>
      <w:r w:rsidRPr="00A96979">
        <w:rPr>
          <w:color w:val="212121"/>
        </w:rPr>
        <w:t xml:space="preserve">There can be no reasonable argument that the </w:t>
      </w:r>
      <w:r w:rsidRPr="00A96979" w:rsidR="00CB5F7D">
        <w:rPr>
          <w:color w:val="212121"/>
        </w:rPr>
        <w:t>t</w:t>
      </w:r>
      <w:r w:rsidRPr="00A96979">
        <w:rPr>
          <w:color w:val="212121"/>
        </w:rPr>
        <w:t>hree</w:t>
      </w:r>
      <w:r w:rsidRPr="00A96979" w:rsidR="00CB5F7D">
        <w:rPr>
          <w:color w:val="212121"/>
        </w:rPr>
        <w:t>-p</w:t>
      </w:r>
      <w:r w:rsidRPr="00A96979">
        <w:rPr>
          <w:color w:val="212121"/>
        </w:rPr>
        <w:t xml:space="preserve">rong </w:t>
      </w:r>
      <w:r w:rsidRPr="00A96979" w:rsidR="00CB5F7D">
        <w:rPr>
          <w:color w:val="212121"/>
        </w:rPr>
        <w:t>t</w:t>
      </w:r>
      <w:r w:rsidRPr="00A96979">
        <w:rPr>
          <w:color w:val="212121"/>
        </w:rPr>
        <w:t>est is not the standard for determining the reasonableness of a stipulation submitted to the PUCO.</w:t>
      </w:r>
      <w:r w:rsidRPr="00A96979" w:rsidR="003C39F6">
        <w:rPr>
          <w:color w:val="212121"/>
        </w:rPr>
        <w:t xml:space="preserve"> </w:t>
      </w:r>
      <w:r w:rsidRPr="00A96979">
        <w:rPr>
          <w:color w:val="212121"/>
        </w:rPr>
        <w:t xml:space="preserve">The PUCO’s failure to properly apply that standard in this </w:t>
      </w:r>
      <w:r w:rsidRPr="00A96979" w:rsidR="00CB5F7D">
        <w:rPr>
          <w:color w:val="212121"/>
        </w:rPr>
        <w:t>case</w:t>
      </w:r>
      <w:r w:rsidRPr="00A96979">
        <w:rPr>
          <w:color w:val="212121"/>
        </w:rPr>
        <w:t xml:space="preserve"> is both unreasonable and </w:t>
      </w:r>
      <w:r w:rsidRPr="00A96979" w:rsidR="001F4D20">
        <w:rPr>
          <w:color w:val="212121"/>
        </w:rPr>
        <w:t>unlawful.</w:t>
      </w:r>
      <w:r w:rsidRPr="00A96979" w:rsidR="003C39F6">
        <w:rPr>
          <w:color w:val="212121"/>
        </w:rPr>
        <w:t xml:space="preserve"> </w:t>
      </w:r>
      <w:r w:rsidRPr="00A96979" w:rsidR="001F4D20">
        <w:t>The PUCO should revisit this determination.</w:t>
      </w:r>
      <w:r w:rsidRPr="00A96979" w:rsidR="003C39F6">
        <w:t xml:space="preserve"> </w:t>
      </w:r>
      <w:r w:rsidRPr="00A96979" w:rsidR="001F4D20">
        <w:t xml:space="preserve">For the reasons explained above, the PUCO should conclude the </w:t>
      </w:r>
      <w:r w:rsidRPr="00A96979" w:rsidR="00213DFE">
        <w:t>three-prong</w:t>
      </w:r>
      <w:r w:rsidRPr="00A96979" w:rsidR="001F4D20">
        <w:t xml:space="preserve"> </w:t>
      </w:r>
      <w:r w:rsidRPr="00A96979" w:rsidR="00213DFE">
        <w:t>t</w:t>
      </w:r>
      <w:r w:rsidRPr="00A96979" w:rsidR="001F4D20">
        <w:t>est must be applied to determine the reasonableness of the Settlement.</w:t>
      </w:r>
      <w:r w:rsidRPr="00A96979" w:rsidR="003C39F6">
        <w:t xml:space="preserve"> </w:t>
      </w:r>
      <w:r w:rsidRPr="00A96979" w:rsidR="001F4D20">
        <w:t xml:space="preserve">Upon that determination, the PUCO should abrogate and modify the Finding and Order to protect Ohio consumers’ interests in this matter by finding the </w:t>
      </w:r>
      <w:r w:rsidRPr="00A96979" w:rsidR="00213DFE">
        <w:t>three-prong</w:t>
      </w:r>
      <w:r w:rsidRPr="00A96979" w:rsidR="001F4D20">
        <w:t xml:space="preserve"> </w:t>
      </w:r>
      <w:r w:rsidRPr="00A96979" w:rsidR="0074386D">
        <w:t>t</w:t>
      </w:r>
      <w:r w:rsidRPr="00A96979" w:rsidR="001F4D20">
        <w:t xml:space="preserve">est has not been met and the </w:t>
      </w:r>
      <w:r w:rsidRPr="00A96979" w:rsidR="0074386D">
        <w:t>S</w:t>
      </w:r>
      <w:r w:rsidRPr="00A96979" w:rsidR="001F4D20">
        <w:t xml:space="preserve">ettlement as submitted is </w:t>
      </w:r>
      <w:r w:rsidRPr="00A96979" w:rsidR="00F40626">
        <w:t>un</w:t>
      </w:r>
      <w:r w:rsidRPr="00A96979" w:rsidR="001F4D20">
        <w:t>reasonable</w:t>
      </w:r>
      <w:r w:rsidRPr="00A96979" w:rsidR="00F40626">
        <w:t xml:space="preserve"> and unlawful</w:t>
      </w:r>
      <w:r w:rsidRPr="00A96979" w:rsidR="001F4D20">
        <w:t>.</w:t>
      </w:r>
      <w:r w:rsidRPr="00A96979" w:rsidR="003C39F6">
        <w:t xml:space="preserve"> </w:t>
      </w:r>
    </w:p>
    <w:p w:rsidR="004E0342" w:rsidRPr="00A96979" w:rsidP="001B0140" w14:paraId="583863BD" w14:textId="3AE7E54E">
      <w:pPr>
        <w:pStyle w:val="Heading2"/>
      </w:pPr>
      <w:bookmarkStart w:id="37" w:name="_Hlk154530460"/>
      <w:bookmarkStart w:id="38" w:name="_Toc155103708"/>
      <w:r w:rsidRPr="00A96979">
        <w:t xml:space="preserve">ASSIGNMENT OF ERROR </w:t>
      </w:r>
      <w:r w:rsidRPr="00A96979" w:rsidR="00A16504">
        <w:t>4</w:t>
      </w:r>
      <w:r w:rsidRPr="00A96979">
        <w:t>:</w:t>
      </w:r>
      <w:r w:rsidRPr="00A96979" w:rsidR="003C39F6">
        <w:t xml:space="preserve"> </w:t>
      </w:r>
      <w:bookmarkStart w:id="39" w:name="_Hlk154545885"/>
      <w:r w:rsidRPr="00A96979" w:rsidR="006E536E">
        <w:t>The PUCO’s Finding and Order is unlawful and unreasonable because it approves the Settlement even though it was not the product of serious bargaining among capable, knowledgeable parties representing diverse interests.</w:t>
      </w:r>
      <w:bookmarkEnd w:id="37"/>
      <w:bookmarkEnd w:id="39"/>
      <w:bookmarkEnd w:id="38"/>
    </w:p>
    <w:p w:rsidR="006E536E" w:rsidRPr="00A96979" w:rsidP="002A5684" w14:paraId="08194D57" w14:textId="28E36538">
      <w:pPr>
        <w:spacing w:line="480" w:lineRule="auto"/>
        <w:ind w:firstLine="720"/>
      </w:pPr>
      <w:r w:rsidRPr="00A96979">
        <w:t xml:space="preserve">The Settlement fails to meet the first requirement of the </w:t>
      </w:r>
      <w:r w:rsidRPr="00A96979" w:rsidR="0074386D">
        <w:t>t</w:t>
      </w:r>
      <w:r w:rsidRPr="00A96979">
        <w:t>hree</w:t>
      </w:r>
      <w:r w:rsidRPr="00A96979" w:rsidR="0074386D">
        <w:t>-p</w:t>
      </w:r>
      <w:r w:rsidRPr="00A96979">
        <w:t xml:space="preserve">rong </w:t>
      </w:r>
      <w:r w:rsidRPr="00A96979" w:rsidR="0074386D">
        <w:t>t</w:t>
      </w:r>
      <w:r w:rsidRPr="00A96979">
        <w:t>est because it is not the product of serious bargaining among capable, knowledgeable parties representing diverse interests.</w:t>
      </w:r>
      <w:r w:rsidRPr="00A96979" w:rsidR="003C39F6">
        <w:t xml:space="preserve"> </w:t>
      </w:r>
      <w:r w:rsidRPr="00A96979" w:rsidR="00DE0080">
        <w:t>In fact, according to the AES response to OCC INT-1-13, AES claims that it did not even have settlement meetings with the PUCO,</w:t>
      </w:r>
      <w:r>
        <w:rPr>
          <w:rStyle w:val="FootnoteReference"/>
        </w:rPr>
        <w:footnoteReference w:id="27"/>
      </w:r>
      <w:r w:rsidRPr="00A96979" w:rsidR="00DE0080">
        <w:t xml:space="preserve"> and there is no evidence anywhere within the record </w:t>
      </w:r>
      <w:r w:rsidRPr="00A96979" w:rsidR="00A16504">
        <w:t>indicating t</w:t>
      </w:r>
      <w:r w:rsidRPr="00A96979" w:rsidR="00DE0080">
        <w:t xml:space="preserve">hat any bargaining </w:t>
      </w:r>
      <w:r w:rsidRPr="00A96979" w:rsidR="0074386D">
        <w:t>at all actually</w:t>
      </w:r>
      <w:r w:rsidRPr="00A96979" w:rsidR="001B0140">
        <w:t xml:space="preserve"> </w:t>
      </w:r>
      <w:r w:rsidRPr="00A96979" w:rsidR="00A16504">
        <w:t>occurred.</w:t>
      </w:r>
    </w:p>
    <w:p w:rsidR="00A16504" w:rsidRPr="00A96979" w:rsidP="00A16504" w14:paraId="7819ECD7" w14:textId="49A6EC95">
      <w:pPr>
        <w:spacing w:line="480" w:lineRule="auto"/>
        <w:ind w:firstLine="720"/>
      </w:pPr>
      <w:bookmarkStart w:id="40" w:name="_Toc102055028"/>
      <w:bookmarkStart w:id="41" w:name="_Toc102055148"/>
      <w:bookmarkStart w:id="42" w:name="_Toc102055255"/>
      <w:bookmarkStart w:id="43" w:name="_Toc102058051"/>
      <w:r w:rsidRPr="00A96979">
        <w:t>The PUCO has sometimes taken into account the diversity of interests among the signatory parties, finding that diversity of interests is indicative of serious bargaining.</w:t>
      </w:r>
      <w:r>
        <w:rPr>
          <w:vertAlign w:val="superscript"/>
        </w:rPr>
        <w:footnoteReference w:id="28"/>
      </w:r>
      <w:r w:rsidRPr="00A96979">
        <w:t xml:space="preserve"> In the present case, the PUCO opened the </w:t>
      </w:r>
      <w:r w:rsidRPr="00A96979" w:rsidR="0088226F">
        <w:t>case,</w:t>
      </w:r>
      <w:r w:rsidRPr="00A96979">
        <w:t xml:space="preserve"> and the Settlement was filed on the same day, giving </w:t>
      </w:r>
      <w:r w:rsidRPr="00A96979" w:rsidR="0074386D">
        <w:t xml:space="preserve">other </w:t>
      </w:r>
      <w:r w:rsidRPr="00A96979">
        <w:t xml:space="preserve">diverse parties no opportunity to intervene, conduct discovery and participate in the settlement negotiations. Under these circumstances, the Settlement </w:t>
      </w:r>
      <w:r w:rsidRPr="00A96979" w:rsidR="0074386D">
        <w:t xml:space="preserve">clearly </w:t>
      </w:r>
      <w:r w:rsidRPr="00A96979">
        <w:t>violates the first prong of the PUCO’s three-prong test.</w:t>
      </w:r>
      <w:bookmarkEnd w:id="40"/>
      <w:bookmarkEnd w:id="41"/>
      <w:bookmarkEnd w:id="42"/>
      <w:bookmarkEnd w:id="43"/>
    </w:p>
    <w:p w:rsidR="00A16504" w:rsidRPr="00A96979" w:rsidP="00CB300B" w14:paraId="638128FB" w14:textId="4FFBA99B">
      <w:pPr>
        <w:spacing w:line="480" w:lineRule="auto"/>
        <w:ind w:firstLine="720"/>
      </w:pPr>
      <w:r w:rsidRPr="00A96979">
        <w:t>For the reasons explained above, and in OCC’s Initial Comments,</w:t>
      </w:r>
      <w:r>
        <w:rPr>
          <w:rStyle w:val="FootnoteReference"/>
        </w:rPr>
        <w:footnoteReference w:id="29"/>
      </w:r>
      <w:r w:rsidRPr="00A96979">
        <w:t xml:space="preserve"> the PUCO should conclude the Settlement was not the product of serious bargaining among capable, knowledgeable, parties representing diverse interests.</w:t>
      </w:r>
      <w:r w:rsidRPr="00A96979" w:rsidR="003C39F6">
        <w:t xml:space="preserve"> </w:t>
      </w:r>
      <w:r w:rsidRPr="00A96979">
        <w:t xml:space="preserve">Upon that determination, the PUCO should abrogate and modify the Finding and Order to protect Ohio consumers’ interests in this matter by finding the </w:t>
      </w:r>
      <w:r w:rsidRPr="00A96979" w:rsidR="0074386D">
        <w:t>t</w:t>
      </w:r>
      <w:r w:rsidRPr="00A96979">
        <w:t>hree</w:t>
      </w:r>
      <w:r w:rsidRPr="00A96979" w:rsidR="0074386D">
        <w:t>-p</w:t>
      </w:r>
      <w:r w:rsidRPr="00A96979">
        <w:t xml:space="preserve">rong </w:t>
      </w:r>
      <w:r w:rsidRPr="00A96979" w:rsidR="0074386D">
        <w:t>t</w:t>
      </w:r>
      <w:r w:rsidRPr="00A96979">
        <w:t>est has not been met and the Settlement as submitted is unreasonable and unlawful.</w:t>
      </w:r>
    </w:p>
    <w:p w:rsidR="00A16504" w:rsidRPr="00A96979" w:rsidP="001B0140" w14:paraId="51614849" w14:textId="1D82F525">
      <w:pPr>
        <w:pStyle w:val="Heading2"/>
      </w:pPr>
      <w:bookmarkStart w:id="44" w:name="_Toc155103709"/>
      <w:r w:rsidRPr="00A96979">
        <w:t>ASSIGNMENT OF ERROR 5:</w:t>
      </w:r>
      <w:r w:rsidRPr="00A96979" w:rsidR="003C39F6">
        <w:t xml:space="preserve"> </w:t>
      </w:r>
      <w:bookmarkStart w:id="45" w:name="_Hlk154545795"/>
      <w:r w:rsidRPr="00A96979">
        <w:t xml:space="preserve">The PUCO’s Finding and Order is unlawful and unreasonable because it approves the Settlement even though </w:t>
      </w:r>
      <w:r w:rsidRPr="00A96979" w:rsidR="008A5345">
        <w:t>the Settlement, as a package, does not benefit customers and the public interest</w:t>
      </w:r>
      <w:r w:rsidRPr="00A96979">
        <w:t>.</w:t>
      </w:r>
      <w:bookmarkEnd w:id="45"/>
      <w:bookmarkEnd w:id="44"/>
    </w:p>
    <w:p w:rsidR="006E536E" w:rsidRPr="00A96979" w:rsidP="00BE4A88" w14:paraId="431F8A70" w14:textId="75309CFE">
      <w:pPr>
        <w:spacing w:line="480" w:lineRule="auto"/>
        <w:ind w:firstLine="720"/>
      </w:pPr>
      <w:r w:rsidRPr="00A96979">
        <w:t>The Settlement fails to document any agreement between Staff and DP&amp;L for any remedial actions that DP&amp;L must undertake to assure that consumers are provided with adequate service going-forward. In fact, the Settlement only requires DP&amp;L to use its “best efforts” to meet the CAIDI standard going forward.</w:t>
      </w:r>
      <w:r>
        <w:rPr>
          <w:vertAlign w:val="superscript"/>
        </w:rPr>
        <w:footnoteReference w:id="30"/>
      </w:r>
      <w:r w:rsidRPr="00A96979">
        <w:t xml:space="preserve"> Under the “best efforts” standard Staff agreed to, DP&amp;L has already failed to meet the CAIDI standard once again in 2021.</w:t>
      </w:r>
      <w:r>
        <w:rPr>
          <w:rStyle w:val="FootnoteReference"/>
        </w:rPr>
        <w:footnoteReference w:id="31"/>
      </w:r>
      <w:r w:rsidRPr="00A96979">
        <w:t xml:space="preserve"> That constitutes a three-year miss of the minimum PUCO reliability standards and yet another violation of O.A.C. 4901:1-10-10(E).</w:t>
      </w:r>
      <w:r>
        <w:rPr>
          <w:rStyle w:val="FootnoteReference"/>
        </w:rPr>
        <w:footnoteReference w:id="32"/>
      </w:r>
      <w:r w:rsidRPr="00A96979" w:rsidR="003C39F6">
        <w:t xml:space="preserve"> </w:t>
      </w:r>
      <w:r w:rsidRPr="00A96979" w:rsidR="003839FC">
        <w:t>However, the Settlement explicitly exempts DP&amp;L from making any admission or finding of liability for the inadequate service it provided consumers over several years.</w:t>
      </w:r>
      <w:r>
        <w:rPr>
          <w:vertAlign w:val="superscript"/>
        </w:rPr>
        <w:footnoteReference w:id="33"/>
      </w:r>
      <w:r w:rsidRPr="00A96979" w:rsidR="003839FC">
        <w:t xml:space="preserve"> The Settlement thus excuses DP&amp;L from accountab</w:t>
      </w:r>
      <w:r w:rsidRPr="00A96979" w:rsidR="0074386D">
        <w:t>ility</w:t>
      </w:r>
      <w:r w:rsidRPr="00A96979" w:rsidR="003839FC">
        <w:t xml:space="preserve"> to the consumers it serves and who must depend upon monopoly DP&amp;L to receive adequate and reliable service.</w:t>
      </w:r>
    </w:p>
    <w:p w:rsidR="0074386D" w:rsidRPr="00A96979" w:rsidP="001B0140" w14:paraId="24611EE4" w14:textId="6503BCD9">
      <w:pPr>
        <w:pStyle w:val="Heading2"/>
      </w:pPr>
      <w:bookmarkStart w:id="46" w:name="_Toc155103710"/>
      <w:r w:rsidRPr="00A96979">
        <w:t>ASSIGNMENT OF ERROR 6:</w:t>
      </w:r>
      <w:r w:rsidRPr="00A96979" w:rsidR="003C39F6">
        <w:t xml:space="preserve"> </w:t>
      </w:r>
      <w:bookmarkStart w:id="47" w:name="_Hlk154545767"/>
      <w:r w:rsidRPr="00A96979">
        <w:t>The PUCO’s Finding and Order is unlawful and unreasonable because it approves the Settlement, which violates</w:t>
      </w:r>
      <w:r w:rsidRPr="00A96979">
        <w:t xml:space="preserve"> </w:t>
      </w:r>
      <w:r w:rsidRPr="00A96979">
        <w:t>important regulatory principles and practice</w:t>
      </w:r>
      <w:r w:rsidRPr="00A96979">
        <w:t xml:space="preserve">s </w:t>
      </w:r>
      <w:r w:rsidRPr="00A96979" w:rsidR="002A56B6">
        <w:t>which</w:t>
      </w:r>
      <w:r w:rsidRPr="00A96979">
        <w:t xml:space="preserve"> require utilities to provide adequate service and that requires forfeitures to act as a deterrent</w:t>
      </w:r>
      <w:r w:rsidRPr="00A96979">
        <w:t>.</w:t>
      </w:r>
      <w:bookmarkEnd w:id="47"/>
      <w:r w:rsidRPr="00A96979" w:rsidR="003C39F6">
        <w:t xml:space="preserve"> </w:t>
      </w:r>
      <w:r w:rsidRPr="00A96979" w:rsidR="002A56B6">
        <w:t>These important regulatory principles and practices include R.C. 4928.11(A) R.C. 4905.22 and O.A.C. 4901:1-10-10.</w:t>
      </w:r>
      <w:bookmarkEnd w:id="46"/>
    </w:p>
    <w:p w:rsidR="0074386D" w:rsidRPr="00A96979" w:rsidP="00BE4A88" w14:paraId="5B28E7A8" w14:textId="1BE0A835">
      <w:pPr>
        <w:spacing w:line="480" w:lineRule="auto"/>
        <w:ind w:firstLine="720"/>
      </w:pPr>
      <w:r w:rsidRPr="00A96979">
        <w:t>Th</w:t>
      </w:r>
      <w:r w:rsidRPr="00A96979">
        <w:t>e</w:t>
      </w:r>
      <w:r w:rsidRPr="00A96979">
        <w:t xml:space="preserve"> </w:t>
      </w:r>
      <w:r w:rsidRPr="00A96979">
        <w:t>S</w:t>
      </w:r>
      <w:r w:rsidRPr="00A96979">
        <w:t>ettlement violates the foundational regulatory principle</w:t>
      </w:r>
      <w:r w:rsidRPr="00A96979">
        <w:t>s and practices</w:t>
      </w:r>
      <w:r w:rsidRPr="00A96979">
        <w:t xml:space="preserve"> of requiring a regulated utility to provide adequate service to consumers in exchange for receiving monopoly status.</w:t>
      </w:r>
      <w:r w:rsidRPr="00A96979" w:rsidR="003C39F6">
        <w:t xml:space="preserve"> </w:t>
      </w:r>
      <w:r w:rsidRPr="00A96979">
        <w:t>Furthermore, this Settlement violates the regulatory principle</w:t>
      </w:r>
      <w:r w:rsidRPr="00A96979">
        <w:t xml:space="preserve"> and practice</w:t>
      </w:r>
      <w:r w:rsidRPr="00A96979">
        <w:t xml:space="preserve"> that regulation should serve as a deterrent for utilities to prevent violations of Ohio law and PUCO rules.</w:t>
      </w:r>
      <w:r w:rsidRPr="00A96979" w:rsidR="003C39F6">
        <w:t xml:space="preserve"> </w:t>
      </w:r>
      <w:r w:rsidRPr="00A96979">
        <w:t>This regulatory deterrent is important because utilities lack the market discipline to otherwise adequately protect consumers.</w:t>
      </w:r>
    </w:p>
    <w:p w:rsidR="006E536E" w:rsidRPr="00A96979" w:rsidP="002D4C58" w14:paraId="42EC55AB" w14:textId="089AE746">
      <w:pPr>
        <w:spacing w:line="480" w:lineRule="auto"/>
        <w:ind w:firstLine="720"/>
        <w:rPr>
          <w:u w:val="single"/>
        </w:rPr>
      </w:pPr>
      <w:r w:rsidRPr="00A96979">
        <w:t>O.A.C.</w:t>
      </w:r>
      <w:r w:rsidRPr="00A96979" w:rsidR="00461E83">
        <w:t xml:space="preserve"> 4901:1-10-30 describes the penalties for an electric utility that fails to comply with the PUCO rules and standards included in the electric service and safety standards. These penalties include forfeiture amounts of up to $10,000 for each failure, with each day’s continuance of the violation being a separate offense.</w:t>
      </w:r>
      <w:r>
        <w:rPr>
          <w:vertAlign w:val="superscript"/>
        </w:rPr>
        <w:footnoteReference w:id="34"/>
      </w:r>
      <w:r w:rsidRPr="00A96979" w:rsidR="00461E83">
        <w:t xml:space="preserve"> In addition, the PUCO can require an electric utility to perform corrective actions to effectuate compliance,</w:t>
      </w:r>
      <w:r>
        <w:rPr>
          <w:vertAlign w:val="superscript"/>
        </w:rPr>
        <w:footnoteReference w:id="35"/>
      </w:r>
      <w:r w:rsidRPr="00A96979" w:rsidR="00461E83">
        <w:t xml:space="preserve"> and require restitution or damages to be provided to consumers.</w:t>
      </w:r>
      <w:r>
        <w:rPr>
          <w:vertAlign w:val="superscript"/>
        </w:rPr>
        <w:footnoteReference w:id="36"/>
      </w:r>
      <w:r w:rsidRPr="00A96979" w:rsidR="003C39F6">
        <w:rPr>
          <w:bCs/>
        </w:rPr>
        <w:t xml:space="preserve"> </w:t>
      </w:r>
      <w:r w:rsidRPr="00A96979" w:rsidR="00461E83">
        <w:t>The Settlement includes a $10,000 forfeiture, payable within 30 days of approval of the Settlement, and $20,000 more held in abeyance to be paid if DP&amp;L fails to comply with the CAIDI standard in either or both 2021 and 2022.</w:t>
      </w:r>
      <w:r>
        <w:rPr>
          <w:vertAlign w:val="superscript"/>
        </w:rPr>
        <w:footnoteReference w:id="37"/>
      </w:r>
      <w:r w:rsidRPr="00A96979" w:rsidR="00461E83">
        <w:t xml:space="preserve"> Yet the Notice of Probable Non-Compliance that Staff served upon DP&amp;L was associated with the failure to comply with the CAIDI standard for two consecutive years in 2019 and 2020.</w:t>
      </w:r>
      <w:r>
        <w:rPr>
          <w:vertAlign w:val="superscript"/>
        </w:rPr>
        <w:footnoteReference w:id="38"/>
      </w:r>
      <w:r w:rsidRPr="00A96979" w:rsidR="003C39F6">
        <w:t xml:space="preserve"> </w:t>
      </w:r>
      <w:r w:rsidRPr="00A96979" w:rsidR="00461E83">
        <w:t>This miniscule forfeiture was clearly not sufficient to incentivize AES to comply, since AES failed to meet its CAIDI standard for the third consecutive year in 2021.</w:t>
      </w:r>
      <w:r>
        <w:rPr>
          <w:rStyle w:val="FootnoteReference"/>
        </w:rPr>
        <w:footnoteReference w:id="39"/>
      </w:r>
      <w:r w:rsidRPr="00A96979" w:rsidR="003C39F6">
        <w:t xml:space="preserve"> </w:t>
      </w:r>
      <w:r w:rsidRPr="00A96979" w:rsidR="002A56B6">
        <w:t>As a result, the PUCO should abrogate and modify the Finding and Order by revoking its unreasonable and unlawful acceptance of the Settlement and setting this matter for an evidentiary hearing.</w:t>
      </w:r>
    </w:p>
    <w:bookmarkEnd w:id="31"/>
    <w:bookmarkEnd w:id="32"/>
    <w:bookmarkEnd w:id="33"/>
    <w:bookmarkEnd w:id="34"/>
    <w:bookmarkEnd w:id="35"/>
    <w:p w:rsidR="00053435" w:rsidRPr="00A96979" w:rsidP="00DD7E95" w14:paraId="4E7DC021" w14:textId="7B48D5EF">
      <w:pPr>
        <w:spacing w:line="480" w:lineRule="auto"/>
        <w:ind w:firstLine="720"/>
      </w:pPr>
      <w:r w:rsidRPr="00A96979">
        <w:rPr>
          <w:rFonts w:eastAsia="Calibri"/>
        </w:rPr>
        <w:t>AES Ohio, as a regulated monopoly utility, has the statutory responsibility to provide adequate and reliable electric service to Dayton-area consumers.</w:t>
      </w:r>
      <w:r>
        <w:rPr>
          <w:rFonts w:eastAsia="Calibri"/>
          <w:vertAlign w:val="superscript"/>
        </w:rPr>
        <w:footnoteReference w:id="40"/>
      </w:r>
      <w:r w:rsidRPr="00A96979" w:rsidR="003C39F6">
        <w:rPr>
          <w:rFonts w:eastAsia="Calibri"/>
        </w:rPr>
        <w:t xml:space="preserve"> </w:t>
      </w:r>
      <w:r w:rsidRPr="00A96979" w:rsidR="00691E17">
        <w:t xml:space="preserve">R.C. 4928.11 compels the PUCO to protect consumers by requiring minimum service quality, safety, and reliability requirements for noncompetitive retail electric service provided by all electric utilities in the state. The requirements for establishing minimum service reliability standards </w:t>
      </w:r>
      <w:r w:rsidRPr="00A96979" w:rsidR="00EE0EF5">
        <w:t>are</w:t>
      </w:r>
      <w:r w:rsidRPr="00A96979" w:rsidR="00691E17">
        <w:t xml:space="preserve"> contained in O</w:t>
      </w:r>
      <w:r w:rsidRPr="00A96979" w:rsidR="002A56B6">
        <w:t>.A.C.</w:t>
      </w:r>
      <w:r w:rsidRPr="00A96979" w:rsidR="00691E17">
        <w:t xml:space="preserve"> 4901:1-10-10.</w:t>
      </w:r>
      <w:r w:rsidRPr="00A96979" w:rsidR="003C39F6">
        <w:t xml:space="preserve"> </w:t>
      </w:r>
      <w:r w:rsidRPr="00A96979">
        <w:rPr>
          <w:rFonts w:eastAsia="Calibri"/>
        </w:rPr>
        <w:t xml:space="preserve">When the PUCO fails </w:t>
      </w:r>
      <w:r w:rsidRPr="00A96979" w:rsidR="00691E17">
        <w:rPr>
          <w:rFonts w:eastAsia="Calibri"/>
        </w:rPr>
        <w:t xml:space="preserve">to </w:t>
      </w:r>
      <w:r w:rsidRPr="00A96979">
        <w:rPr>
          <w:rFonts w:eastAsia="Calibri"/>
        </w:rPr>
        <w:t xml:space="preserve">enforce the minimum electric service quality standards in O.A.C. 4901:1-10-10, thus failing to protect consumers from the inadequate and unreliable service that AES is providing, the PUCO directly violates its obligations under </w:t>
      </w:r>
      <w:r w:rsidRPr="00A96979" w:rsidR="00691E17">
        <w:rPr>
          <w:rFonts w:eastAsia="Calibri"/>
        </w:rPr>
        <w:t xml:space="preserve">R.C. 4928.11 and </w:t>
      </w:r>
      <w:r w:rsidRPr="00A96979">
        <w:rPr>
          <w:rFonts w:eastAsia="Calibri"/>
        </w:rPr>
        <w:t>R.C. 4905.22</w:t>
      </w:r>
      <w:r w:rsidRPr="00A96979" w:rsidR="002A56B6">
        <w:rPr>
          <w:rFonts w:eastAsia="Calibri"/>
        </w:rPr>
        <w:t xml:space="preserve"> (duty to provide adequate service)</w:t>
      </w:r>
      <w:r w:rsidRPr="00A96979">
        <w:rPr>
          <w:rFonts w:eastAsia="Calibri"/>
        </w:rPr>
        <w:t>.</w:t>
      </w:r>
      <w:r w:rsidRPr="00A96979" w:rsidR="003C39F6">
        <w:rPr>
          <w:rFonts w:eastAsia="Calibri"/>
        </w:rPr>
        <w:t xml:space="preserve"> </w:t>
      </w:r>
      <w:r w:rsidRPr="00A96979" w:rsidR="00F229E7">
        <w:rPr>
          <w:rFonts w:eastAsia="Calibri"/>
        </w:rPr>
        <w:t>Therefore, the PUCO’s failure</w:t>
      </w:r>
      <w:r w:rsidRPr="00A96979">
        <w:rPr>
          <w:rFonts w:eastAsia="Calibri"/>
        </w:rPr>
        <w:t xml:space="preserve"> to force AES Ohio to comply with the minimum electric service quality standards of O.A.C. 4901:1-10-10, the Commission’s own orders regarding minimum service quality, and AES Ohio’s statutory </w:t>
      </w:r>
      <w:r w:rsidRPr="00A96979" w:rsidR="00F229E7">
        <w:rPr>
          <w:rFonts w:eastAsia="Calibri"/>
        </w:rPr>
        <w:t>obligations pursuant to R.C. 4905.22, is an unlawful and unreasonable act by the PUCO.</w:t>
      </w:r>
      <w:r w:rsidRPr="00A96979">
        <w:rPr>
          <w:rFonts w:eastAsia="Calibri"/>
        </w:rPr>
        <w:t xml:space="preserve"> </w:t>
      </w:r>
    </w:p>
    <w:p w:rsidR="00053435" w:rsidRPr="00A96979" w:rsidP="00DD7E95" w14:paraId="4CBF8FFF" w14:textId="49FFD2DA">
      <w:pPr>
        <w:spacing w:line="480" w:lineRule="auto"/>
        <w:ind w:firstLine="720"/>
      </w:pPr>
      <w:r w:rsidRPr="00A96979">
        <w:t>The current SAIFI and CAIDI reliability standards were established through the PUCO approval of a Settlement that was reached between Staff and DP&amp;L in Case No. 12-1832-EL-ESS.</w:t>
      </w:r>
      <w:r>
        <w:rPr>
          <w:vertAlign w:val="superscript"/>
        </w:rPr>
        <w:footnoteReference w:id="41"/>
      </w:r>
      <w:r w:rsidRPr="00A96979">
        <w:t xml:space="preserve"> And the PUCO explicitly required DP&amp;L to “take all necessary steps to carry out the terms of the stipulation and the order.”</w:t>
      </w:r>
      <w:r>
        <w:rPr>
          <w:vertAlign w:val="superscript"/>
        </w:rPr>
        <w:footnoteReference w:id="42"/>
      </w:r>
      <w:r w:rsidRPr="00A96979">
        <w:t xml:space="preserve"> In that Order, the PUCO approved a SAIFI standard of 0.88 and a CAIDI standard of 125.04 minutes. Yet DP&amp;L’s failure to meet the minimum CAIDI standard in four of the last five years is prima facia evidence that the Company is not in compliance with the PUCO order requiring that DP&amp;L take all necessary steps to annually comply with the PUCO SAIFI and CAIDI standard</w:t>
      </w:r>
      <w:r w:rsidRPr="00A96979" w:rsidR="002A56B6">
        <w:t>s</w:t>
      </w:r>
      <w:r w:rsidRPr="00A96979">
        <w:t>.</w:t>
      </w:r>
    </w:p>
    <w:p w:rsidR="00437C02" w:rsidRPr="00A96979" w:rsidP="00DD7E95" w14:paraId="2E78723A" w14:textId="2EBD5559">
      <w:pPr>
        <w:spacing w:line="480" w:lineRule="auto"/>
        <w:ind w:firstLine="720"/>
      </w:pPr>
      <w:r w:rsidRPr="00A96979">
        <w:t xml:space="preserve"> The PUCO rules clearly specify that an electric utility failure to comply with the same performance standard for two consecutive years is a violation of its rules.</w:t>
      </w:r>
      <w:r>
        <w:rPr>
          <w:rStyle w:val="FootnoteReference"/>
        </w:rPr>
        <w:footnoteReference w:id="43"/>
      </w:r>
      <w:r w:rsidRPr="00A96979" w:rsidR="003C39F6">
        <w:t xml:space="preserve"> </w:t>
      </w:r>
    </w:p>
    <w:p w:rsidR="00437C02" w:rsidRPr="00A96979" w:rsidP="00EE0EF5" w14:paraId="278E56EB" w14:textId="34443925">
      <w:pPr>
        <w:spacing w:line="480" w:lineRule="auto"/>
      </w:pPr>
      <w:r w:rsidRPr="00A96979">
        <w:t xml:space="preserve">Despite </w:t>
      </w:r>
      <w:r w:rsidRPr="00A96979" w:rsidR="00691E17">
        <w:t>DP&amp;L</w:t>
      </w:r>
      <w:r w:rsidRPr="00A96979">
        <w:t xml:space="preserve">’s clear failure to provide consumers with adequate, safe, and reliable service </w:t>
      </w:r>
      <w:r w:rsidRPr="00A96979" w:rsidR="002A56B6">
        <w:t xml:space="preserve">over multiple years, </w:t>
      </w:r>
      <w:r w:rsidRPr="00A96979">
        <w:t xml:space="preserve">as required by R.C. 4928.11, the </w:t>
      </w:r>
      <w:r w:rsidRPr="00A96979" w:rsidR="00A4388E">
        <w:t>Finding</w:t>
      </w:r>
      <w:r w:rsidRPr="00A96979">
        <w:t xml:space="preserve"> and Order is silent regarding why the PUCO neglected to protect consumers by enforcing the reliability performance standards that it is authorized and responsible for enforcing under R.C. 4928.16(B). The harmful precedent set by the PUCO in this case by not adequately enforcing </w:t>
      </w:r>
      <w:r w:rsidRPr="00A96979" w:rsidR="00691E17">
        <w:t>DP&amp;L</w:t>
      </w:r>
      <w:r w:rsidRPr="00A96979">
        <w:t>’s reliability standards can serve as a disincentive for Ohio electric utilities to provide the service quality Ohioans should have a right to expect.</w:t>
      </w:r>
      <w:r w:rsidRPr="00A96979" w:rsidR="003C39F6">
        <w:t xml:space="preserve"> </w:t>
      </w:r>
      <w:r w:rsidRPr="00A96979">
        <w:t xml:space="preserve">The PUCO’s </w:t>
      </w:r>
      <w:r w:rsidRPr="00A96979" w:rsidR="00A4388E">
        <w:t>Finding</w:t>
      </w:r>
      <w:r w:rsidRPr="00A96979">
        <w:t xml:space="preserve"> and Order is unlawful and unreasonable, and the PUCO should abrogate and modify the </w:t>
      </w:r>
      <w:r w:rsidRPr="00A96979" w:rsidR="00A4388E">
        <w:t>Finding</w:t>
      </w:r>
      <w:r w:rsidRPr="00A96979">
        <w:t xml:space="preserve"> and Order by applying a more appropriate forfeiture amount consistent with the level of inadequate service provided by DP&amp;L.</w:t>
      </w:r>
    </w:p>
    <w:p w:rsidR="00437C02" w:rsidRPr="00A96979" w:rsidP="00EE0EF5" w14:paraId="1AA93BF5" w14:textId="77777777"/>
    <w:p w:rsidR="00437C02" w:rsidRPr="00A96979" w:rsidP="00CD4C8A" w14:paraId="696DDD86" w14:textId="77777777">
      <w:pPr>
        <w:pStyle w:val="Heading1"/>
      </w:pPr>
      <w:bookmarkStart w:id="48" w:name="_Toc534969816"/>
      <w:bookmarkStart w:id="49" w:name="_Toc534970015"/>
      <w:bookmarkStart w:id="50" w:name="_Toc534970556"/>
      <w:bookmarkStart w:id="51" w:name="_Toc534970662"/>
      <w:bookmarkStart w:id="52" w:name="_Toc535583503"/>
      <w:bookmarkStart w:id="53" w:name="_Toc155103711"/>
      <w:r w:rsidRPr="00A96979">
        <w:t>iv.</w:t>
      </w:r>
      <w:r w:rsidRPr="00A96979">
        <w:tab/>
        <w:t>CONCLUSION</w:t>
      </w:r>
      <w:bookmarkEnd w:id="48"/>
      <w:bookmarkEnd w:id="49"/>
      <w:bookmarkEnd w:id="50"/>
      <w:bookmarkEnd w:id="51"/>
      <w:bookmarkEnd w:id="52"/>
      <w:bookmarkEnd w:id="53"/>
    </w:p>
    <w:p w:rsidR="00437C02" w:rsidRPr="00A96979" w:rsidP="00A00DDB" w14:paraId="2FEAE24F" w14:textId="2EF87685">
      <w:pPr>
        <w:spacing w:line="480" w:lineRule="auto"/>
        <w:ind w:firstLine="720"/>
      </w:pPr>
      <w:r w:rsidRPr="00A96979">
        <w:t xml:space="preserve">To protect customers from unnecessary and unlawful charges, the PUCO should abrogate and modify its </w:t>
      </w:r>
      <w:r w:rsidRPr="00A96979" w:rsidR="00A4388E">
        <w:t>Finding</w:t>
      </w:r>
      <w:r w:rsidRPr="00A96979">
        <w:t xml:space="preserve"> and Order</w:t>
      </w:r>
      <w:r w:rsidRPr="00A96979" w:rsidR="003119B5">
        <w:t>, reject the Settlement, and set this matter for</w:t>
      </w:r>
      <w:r w:rsidRPr="00A96979" w:rsidR="005C1CD0">
        <w:t xml:space="preserve"> an evidentiary</w:t>
      </w:r>
      <w:r w:rsidRPr="00A96979" w:rsidR="003119B5">
        <w:t xml:space="preserve"> hearing to determine </w:t>
      </w:r>
      <w:r w:rsidRPr="00A96979" w:rsidR="00E72328">
        <w:t xml:space="preserve">the proper </w:t>
      </w:r>
      <w:r w:rsidRPr="00A96979" w:rsidR="003119B5">
        <w:t>forfeiture DP&amp;L should pay</w:t>
      </w:r>
      <w:r w:rsidRPr="00A96979">
        <w:t xml:space="preserve">. </w:t>
      </w:r>
      <w:r w:rsidRPr="00A96979" w:rsidR="003119B5">
        <w:t>to</w:t>
      </w:r>
      <w:r w:rsidRPr="00A96979">
        <w:t xml:space="preserve"> ensure </w:t>
      </w:r>
      <w:r w:rsidRPr="00A96979" w:rsidR="00691E17">
        <w:rPr>
          <w:rFonts w:eastAsia="Calibri"/>
        </w:rPr>
        <w:t xml:space="preserve"> adequate and reliable electric service to Dayton-area consumers, as required by Ohio law</w:t>
      </w:r>
      <w:r w:rsidRPr="00A96979">
        <w:t xml:space="preserve">. </w:t>
      </w:r>
    </w:p>
    <w:p w:rsidR="00C977B8" w14:paraId="21969883" w14:textId="77777777">
      <w:r>
        <w:br w:type="page"/>
      </w:r>
    </w:p>
    <w:p w:rsidR="00A00DDB" w:rsidRPr="00A96979" w:rsidP="00A00DDB" w14:paraId="1D2D9CDE" w14:textId="20CE3366">
      <w:pPr>
        <w:ind w:left="3600" w:firstLine="720"/>
      </w:pPr>
      <w:r w:rsidRPr="00A96979">
        <w:t>Respectfully submitted,</w:t>
      </w:r>
    </w:p>
    <w:p w:rsidR="00A00DDB" w:rsidRPr="00A96979" w:rsidP="00A00DDB" w14:paraId="79E79FED" w14:textId="77777777">
      <w:pPr>
        <w:ind w:left="3600" w:firstLine="720"/>
      </w:pPr>
    </w:p>
    <w:p w:rsidR="00A00DDB" w:rsidRPr="00A96979" w:rsidP="00A00DDB" w14:paraId="45EF388A" w14:textId="77777777">
      <w:pPr>
        <w:pStyle w:val="Footer"/>
        <w:suppressLineNumbers/>
        <w:tabs>
          <w:tab w:val="clear" w:pos="4320"/>
          <w:tab w:val="clear" w:pos="8640"/>
        </w:tabs>
        <w:ind w:left="4320"/>
        <w:rPr>
          <w:sz w:val="24"/>
        </w:rPr>
      </w:pPr>
      <w:r w:rsidRPr="00A96979">
        <w:rPr>
          <w:sz w:val="24"/>
        </w:rPr>
        <w:t>Maureen R. Willis (0020847)</w:t>
      </w:r>
    </w:p>
    <w:p w:rsidR="00A00DDB" w:rsidRPr="00A96979" w:rsidP="00A00DDB" w14:paraId="0558E047" w14:textId="77777777">
      <w:pPr>
        <w:suppressLineNumbers/>
        <w:ind w:left="4320"/>
      </w:pPr>
      <w:r w:rsidRPr="00A96979">
        <w:t>Ohio Consumers’ Counsel</w:t>
      </w:r>
    </w:p>
    <w:p w:rsidR="00A00DDB" w:rsidRPr="00A96979" w:rsidP="00A00DDB" w14:paraId="3DA0A49D" w14:textId="77777777">
      <w:pPr>
        <w:suppressLineNumbers/>
        <w:ind w:left="4320"/>
      </w:pPr>
    </w:p>
    <w:p w:rsidR="00A00DDB" w:rsidRPr="00A96979" w:rsidP="00A00DDB" w14:paraId="56D7E3F0" w14:textId="77777777">
      <w:pPr>
        <w:tabs>
          <w:tab w:val="left" w:pos="4320"/>
        </w:tabs>
        <w:ind w:left="4320"/>
        <w:rPr>
          <w:i/>
          <w:iCs/>
          <w:u w:val="single"/>
        </w:rPr>
      </w:pPr>
      <w:r w:rsidRPr="00A96979">
        <w:rPr>
          <w:i/>
          <w:iCs/>
          <w:u w:val="single"/>
        </w:rPr>
        <w:t>/s/ John Finnigan</w:t>
      </w:r>
    </w:p>
    <w:p w:rsidR="00A00DDB" w:rsidRPr="00A96979" w:rsidP="00A00DDB" w14:paraId="33506447" w14:textId="77777777">
      <w:pPr>
        <w:tabs>
          <w:tab w:val="left" w:pos="4320"/>
        </w:tabs>
        <w:ind w:left="4320"/>
      </w:pPr>
      <w:r w:rsidRPr="00A96979">
        <w:t>John Finnigan (0018689)</w:t>
      </w:r>
    </w:p>
    <w:p w:rsidR="00A00DDB" w:rsidRPr="00A96979" w:rsidP="00A00DDB" w14:paraId="2E23B576" w14:textId="77777777">
      <w:pPr>
        <w:tabs>
          <w:tab w:val="left" w:pos="4320"/>
        </w:tabs>
        <w:ind w:left="4320"/>
      </w:pPr>
      <w:r w:rsidRPr="00A96979">
        <w:t>Counsel of Record</w:t>
      </w:r>
    </w:p>
    <w:p w:rsidR="00A00DDB" w:rsidRPr="00A96979" w:rsidP="00A00DDB" w14:paraId="2AF53627" w14:textId="77777777">
      <w:pPr>
        <w:ind w:left="4320"/>
      </w:pPr>
      <w:r w:rsidRPr="00A96979">
        <w:t>Assistant Consumers’ Counsel</w:t>
      </w:r>
    </w:p>
    <w:p w:rsidR="00A00DDB" w:rsidRPr="00A96979" w:rsidP="00A00DDB" w14:paraId="1C2B382F" w14:textId="77777777">
      <w:pPr>
        <w:tabs>
          <w:tab w:val="left" w:pos="3870"/>
          <w:tab w:val="left" w:pos="4320"/>
        </w:tabs>
        <w:ind w:left="4320"/>
      </w:pPr>
    </w:p>
    <w:p w:rsidR="00A00DDB" w:rsidRPr="00A96979" w:rsidP="00A00DDB" w14:paraId="41171786" w14:textId="77777777">
      <w:pPr>
        <w:ind w:left="4320"/>
        <w:rPr>
          <w:b/>
          <w:bCs/>
        </w:rPr>
      </w:pPr>
      <w:r w:rsidRPr="00A96979">
        <w:rPr>
          <w:b/>
          <w:bCs/>
        </w:rPr>
        <w:t>Office of the Ohio Consumers' Counsel</w:t>
      </w:r>
    </w:p>
    <w:p w:rsidR="00A00DDB" w:rsidRPr="00A96979" w:rsidP="00A00DDB" w14:paraId="2DEE4F37" w14:textId="77777777">
      <w:pPr>
        <w:ind w:left="4320"/>
      </w:pPr>
      <w:r w:rsidRPr="00A96979">
        <w:t>65 East State Street, Suite 700</w:t>
      </w:r>
    </w:p>
    <w:p w:rsidR="00A00DDB" w:rsidRPr="00A96979" w:rsidP="00A00DDB" w14:paraId="2A61BB29" w14:textId="77777777">
      <w:pPr>
        <w:ind w:left="4320"/>
      </w:pPr>
      <w:r w:rsidRPr="00A96979">
        <w:t>Columbus, Ohio 43215</w:t>
      </w:r>
    </w:p>
    <w:p w:rsidR="00A00DDB" w:rsidRPr="00A96979" w:rsidP="00A00DDB" w14:paraId="0255E6FE" w14:textId="77777777">
      <w:pPr>
        <w:autoSpaceDE w:val="0"/>
        <w:autoSpaceDN w:val="0"/>
        <w:adjustRightInd w:val="0"/>
        <w:ind w:left="4320"/>
        <w:rPr>
          <w:color w:val="000000"/>
        </w:rPr>
      </w:pPr>
      <w:r w:rsidRPr="00A96979">
        <w:t>Telephone [Finnigan]: (</w:t>
      </w:r>
      <w:r w:rsidRPr="00A96979">
        <w:rPr>
          <w:color w:val="000000"/>
        </w:rPr>
        <w:t>614) 466-9585</w:t>
      </w:r>
    </w:p>
    <w:p w:rsidR="00A00DDB" w:rsidRPr="00A96979" w:rsidP="00A00DDB" w14:paraId="348B629C" w14:textId="77777777">
      <w:pPr>
        <w:ind w:left="4320"/>
      </w:pPr>
      <w:hyperlink r:id="rId6" w:history="1">
        <w:r w:rsidRPr="00A96979">
          <w:rPr>
            <w:rStyle w:val="Hyperlink"/>
          </w:rPr>
          <w:t>john.finnigan@occ.ohio.gov</w:t>
        </w:r>
      </w:hyperlink>
    </w:p>
    <w:p w:rsidR="00A00DDB" w:rsidRPr="00A96979" w:rsidP="00A00DDB" w14:paraId="6252C753" w14:textId="77777777">
      <w:pPr>
        <w:ind w:firstLine="720"/>
      </w:pPr>
      <w:r w:rsidRPr="00A96979">
        <w:tab/>
      </w:r>
      <w:r w:rsidRPr="00A96979">
        <w:tab/>
      </w:r>
      <w:r w:rsidRPr="00A96979">
        <w:tab/>
      </w:r>
      <w:r w:rsidRPr="00A96979">
        <w:tab/>
      </w:r>
      <w:r w:rsidRPr="00A96979">
        <w:tab/>
        <w:t>(willing to accept service by e-mail)</w:t>
      </w:r>
    </w:p>
    <w:p w:rsidR="002743CE" w:rsidRPr="00A96979" w14:paraId="73ABB437" w14:textId="718EA716">
      <w:r w:rsidRPr="00A96979">
        <w:br w:type="page"/>
      </w:r>
    </w:p>
    <w:p w:rsidR="002D20D6" w:rsidRPr="00A96979" w:rsidP="002D20D6" w14:paraId="2F70C0E3" w14:textId="77777777">
      <w:pPr>
        <w:spacing w:line="480" w:lineRule="auto"/>
        <w:jc w:val="center"/>
        <w:rPr>
          <w:b/>
          <w:bCs/>
          <w:u w:val="single"/>
        </w:rPr>
      </w:pPr>
      <w:r w:rsidRPr="00A96979">
        <w:rPr>
          <w:b/>
          <w:bCs/>
          <w:u w:val="single"/>
        </w:rPr>
        <w:t>CERTIFICATE OF SERVICE</w:t>
      </w:r>
    </w:p>
    <w:p w:rsidR="002D20D6" w:rsidRPr="00A96979" w:rsidP="002D20D6" w14:paraId="13A497B7" w14:textId="21A59FD1">
      <w:pPr>
        <w:spacing w:line="480" w:lineRule="auto"/>
      </w:pPr>
      <w:r w:rsidRPr="00A96979">
        <w:tab/>
        <w:t>I hereby certify that a copy of th</w:t>
      </w:r>
      <w:r w:rsidRPr="00A96979" w:rsidR="00A00DDB">
        <w:t>is Application for Rehearing</w:t>
      </w:r>
      <w:r w:rsidRPr="00A96979">
        <w:t xml:space="preserve"> was served on the persons stated below via electronic transmission, this </w:t>
      </w:r>
      <w:r w:rsidRPr="00A96979" w:rsidR="00A00DDB">
        <w:t>2</w:t>
      </w:r>
      <w:r w:rsidRPr="00A96979" w:rsidR="00A00DDB">
        <w:rPr>
          <w:vertAlign w:val="superscript"/>
        </w:rPr>
        <w:t>nd</w:t>
      </w:r>
      <w:r w:rsidRPr="00A96979" w:rsidR="00A00DDB">
        <w:t xml:space="preserve"> </w:t>
      </w:r>
      <w:r w:rsidRPr="00A96979">
        <w:t xml:space="preserve">day of </w:t>
      </w:r>
      <w:r w:rsidRPr="00A96979" w:rsidR="00A00DDB">
        <w:t>January 2024</w:t>
      </w:r>
      <w:r w:rsidRPr="00A96979">
        <w:t>.</w:t>
      </w:r>
    </w:p>
    <w:p w:rsidR="002D20D6" w:rsidRPr="00A96979" w:rsidP="002D20D6" w14:paraId="2C5CF364" w14:textId="56B7B868">
      <w:pPr>
        <w:ind w:left="4140"/>
        <w:rPr>
          <w:i/>
          <w:iCs/>
          <w:u w:val="single"/>
        </w:rPr>
      </w:pPr>
      <w:r w:rsidRPr="00A96979">
        <w:tab/>
      </w:r>
      <w:r w:rsidRPr="00A96979">
        <w:rPr>
          <w:i/>
          <w:iCs/>
          <w:u w:val="single"/>
        </w:rPr>
        <w:t>/s/ John Finnigan</w:t>
      </w:r>
    </w:p>
    <w:p w:rsidR="002D20D6" w:rsidRPr="00A96979" w:rsidP="002D20D6" w14:paraId="04F207BE" w14:textId="77777777">
      <w:pPr>
        <w:tabs>
          <w:tab w:val="left" w:pos="4320"/>
        </w:tabs>
        <w:ind w:left="4140"/>
      </w:pPr>
      <w:r w:rsidRPr="00A96979">
        <w:tab/>
        <w:t>John Finnigan</w:t>
      </w:r>
    </w:p>
    <w:p w:rsidR="002D20D6" w:rsidRPr="00A96979" w:rsidP="002D20D6" w14:paraId="541FB147" w14:textId="77777777">
      <w:pPr>
        <w:tabs>
          <w:tab w:val="left" w:pos="4320"/>
        </w:tabs>
        <w:ind w:left="4140"/>
      </w:pPr>
      <w:r w:rsidRPr="00A96979">
        <w:tab/>
        <w:t>Assistant Consumers’ Counsel</w:t>
      </w:r>
    </w:p>
    <w:p w:rsidR="002D20D6" w:rsidRPr="00A96979" w:rsidP="002D20D6" w14:paraId="5EE0E5E8" w14:textId="77777777">
      <w:pPr>
        <w:tabs>
          <w:tab w:val="left" w:pos="4320"/>
        </w:tabs>
      </w:pPr>
    </w:p>
    <w:p w:rsidR="002D20D6" w:rsidRPr="00A96979" w:rsidP="002D20D6" w14:paraId="74E0CB72" w14:textId="77777777">
      <w:r w:rsidRPr="00A96979">
        <w:t>The PUCO’s e-filing system will electronically serve notice of the filing of this document on the following parties:</w:t>
      </w:r>
    </w:p>
    <w:p w:rsidR="002D20D6" w:rsidRPr="00A96979" w:rsidP="002D20D6" w14:paraId="1AE7CAA6" w14:textId="77777777"/>
    <w:p w:rsidR="002D20D6" w:rsidRPr="00A96979" w:rsidP="002D20D6" w14:paraId="49560537" w14:textId="77777777">
      <w:pPr>
        <w:jc w:val="center"/>
        <w:rPr>
          <w:b/>
          <w:u w:val="single"/>
        </w:rPr>
      </w:pPr>
      <w:r w:rsidRPr="00A96979">
        <w:rPr>
          <w:b/>
          <w:u w:val="single"/>
        </w:rPr>
        <w:t>SERVICE LIST</w:t>
      </w:r>
    </w:p>
    <w:p w:rsidR="002D20D6" w:rsidRPr="00A96979" w:rsidP="002D20D6" w14:paraId="0412F0B1" w14:textId="77777777">
      <w:pPr>
        <w:jc w:val="center"/>
        <w:rPr>
          <w:rFonts w:eastAsia="Calibri"/>
          <w:b/>
          <w:u w:val="single"/>
        </w:rPr>
      </w:pPr>
    </w:p>
    <w:tbl>
      <w:tblPr>
        <w:tblW w:w="0" w:type="auto"/>
        <w:tblInd w:w="0" w:type="dxa"/>
        <w:tblCellMar>
          <w:top w:w="0" w:type="dxa"/>
          <w:left w:w="108" w:type="dxa"/>
          <w:bottom w:w="0" w:type="dxa"/>
          <w:right w:w="108" w:type="dxa"/>
        </w:tblCellMar>
        <w:tblLook w:val="04A0"/>
      </w:tblPr>
      <w:tblGrid>
        <w:gridCol w:w="4355"/>
        <w:gridCol w:w="4285"/>
      </w:tblGrid>
      <w:tr w14:paraId="5D34335E" w14:textId="77777777" w:rsidTr="004B4B65">
        <w:tblPrEx>
          <w:tblW w:w="0" w:type="auto"/>
          <w:tblInd w:w="0" w:type="dxa"/>
          <w:tblCellMar>
            <w:top w:w="0" w:type="dxa"/>
            <w:left w:w="108" w:type="dxa"/>
            <w:bottom w:w="0" w:type="dxa"/>
            <w:right w:w="108" w:type="dxa"/>
          </w:tblCellMar>
          <w:tblLook w:val="04A0"/>
        </w:tblPrEx>
        <w:tc>
          <w:tcPr>
            <w:tcW w:w="4428" w:type="dxa"/>
            <w:shd w:val="clear" w:color="auto" w:fill="auto"/>
          </w:tcPr>
          <w:p w:rsidR="002D20D6" w:rsidRPr="00A96979" w:rsidP="004B4B65" w14:paraId="47D2BCFE" w14:textId="62223433">
            <w:pPr>
              <w:rPr>
                <w:bCs/>
                <w:sz w:val="24"/>
                <w:szCs w:val="24"/>
                <w:lang w:val="en-US" w:eastAsia="en-US" w:bidi="ar-SA"/>
              </w:rPr>
            </w:pPr>
            <w:hyperlink r:id="rId16" w:history="1">
              <w:r w:rsidRPr="00A96979" w:rsidR="00420E88">
                <w:rPr>
                  <w:rStyle w:val="Hyperlink"/>
                  <w:bCs/>
                  <w:color w:val="0000FF"/>
                  <w:sz w:val="24"/>
                  <w:szCs w:val="24"/>
                  <w:u w:val="single"/>
                  <w:lang w:val="en-US" w:eastAsia="en-US" w:bidi="ar-SA"/>
                </w:rPr>
                <w:t>amy.botschnerobrien@ohioago.gov</w:t>
              </w:r>
            </w:hyperlink>
          </w:p>
          <w:p w:rsidR="00420E88" w:rsidRPr="00A96979" w:rsidP="004B4B65" w14:paraId="38E9EB4B" w14:textId="1BF36EED">
            <w:pPr>
              <w:rPr>
                <w:bCs/>
                <w:sz w:val="24"/>
                <w:szCs w:val="24"/>
                <w:lang w:val="en-US" w:eastAsia="en-US" w:bidi="ar-SA"/>
              </w:rPr>
            </w:pPr>
            <w:hyperlink r:id="rId17" w:history="1">
              <w:r w:rsidRPr="00A96979">
                <w:rPr>
                  <w:rStyle w:val="Hyperlink"/>
                  <w:bCs/>
                  <w:color w:val="0000FF"/>
                  <w:sz w:val="24"/>
                  <w:szCs w:val="24"/>
                  <w:u w:val="single"/>
                  <w:lang w:val="en-US" w:eastAsia="en-US" w:bidi="ar-SA"/>
                </w:rPr>
                <w:t>lauren.williams@ohioago.gov</w:t>
              </w:r>
            </w:hyperlink>
          </w:p>
          <w:p w:rsidR="00420E88" w:rsidRPr="00A96979" w:rsidP="004B4B65" w14:paraId="4A31825F" w14:textId="77777777">
            <w:pPr>
              <w:rPr>
                <w:bCs/>
                <w:sz w:val="24"/>
                <w:szCs w:val="24"/>
                <w:lang w:val="en-US" w:eastAsia="en-US" w:bidi="ar-SA"/>
              </w:rPr>
            </w:pPr>
          </w:p>
          <w:p w:rsidR="002D20D6" w:rsidRPr="00A96979" w:rsidP="004B4B65" w14:paraId="7AA935E2" w14:textId="7DF91296">
            <w:pPr>
              <w:rPr>
                <w:bCs/>
                <w:sz w:val="24"/>
                <w:szCs w:val="24"/>
                <w:lang w:val="en-US" w:eastAsia="en-US" w:bidi="ar-SA"/>
              </w:rPr>
            </w:pPr>
            <w:r w:rsidRPr="00A96979">
              <w:rPr>
                <w:bCs/>
                <w:sz w:val="24"/>
                <w:szCs w:val="24"/>
                <w:lang w:val="en-US" w:eastAsia="en-US" w:bidi="ar-SA"/>
              </w:rPr>
              <w:t>Attorney Examiner:</w:t>
            </w:r>
          </w:p>
          <w:p w:rsidR="002D20D6" w:rsidRPr="00A96979" w:rsidP="004B4B65" w14:paraId="48852898" w14:textId="77777777">
            <w:pPr>
              <w:adjustRightInd w:val="0"/>
              <w:rPr>
                <w:color w:val="0000FF"/>
                <w:sz w:val="24"/>
                <w:szCs w:val="24"/>
                <w:u w:val="single"/>
                <w:lang w:val="en-US" w:eastAsia="en-US" w:bidi="ar-SA"/>
              </w:rPr>
            </w:pPr>
            <w:hyperlink r:id="rId18" w:history="1">
              <w:r w:rsidRPr="00A96979">
                <w:rPr>
                  <w:color w:val="0000FF"/>
                  <w:sz w:val="24"/>
                  <w:szCs w:val="24"/>
                  <w:u w:val="single"/>
                  <w:lang w:val="en-US" w:eastAsia="en-US" w:bidi="ar-SA"/>
                </w:rPr>
                <w:t>patricia.schabo@puco.ohio.gov</w:t>
              </w:r>
            </w:hyperlink>
          </w:p>
          <w:p w:rsidR="002D20D6" w:rsidRPr="00A96979" w:rsidP="00E44ACE" w14:paraId="59C6E16D" w14:textId="77777777">
            <w:pPr>
              <w:rPr>
                <w:bCs/>
                <w:sz w:val="24"/>
                <w:szCs w:val="24"/>
                <w:lang w:val="en-US" w:eastAsia="en-US" w:bidi="ar-SA"/>
              </w:rPr>
            </w:pPr>
          </w:p>
        </w:tc>
        <w:tc>
          <w:tcPr>
            <w:tcW w:w="4428" w:type="dxa"/>
            <w:shd w:val="clear" w:color="auto" w:fill="auto"/>
          </w:tcPr>
          <w:p w:rsidR="002D20D6" w:rsidRPr="00A96979" w:rsidP="004B4B65" w14:paraId="7E8FE155" w14:textId="1FD09B85">
            <w:pPr>
              <w:rPr>
                <w:bCs/>
                <w:sz w:val="24"/>
                <w:szCs w:val="24"/>
                <w:lang w:val="en-US" w:eastAsia="en-US" w:bidi="ar-SA"/>
              </w:rPr>
            </w:pPr>
            <w:hyperlink r:id="rId19" w:history="1">
              <w:r w:rsidRPr="00A96979" w:rsidR="00E11854">
                <w:rPr>
                  <w:rStyle w:val="Hyperlink"/>
                  <w:bCs/>
                  <w:color w:val="0000FF"/>
                  <w:sz w:val="24"/>
                  <w:szCs w:val="24"/>
                  <w:u w:val="single"/>
                  <w:lang w:val="en-US" w:eastAsia="en-US" w:bidi="ar-SA"/>
                </w:rPr>
                <w:t>chrisopher.hollon@aes.com</w:t>
              </w:r>
            </w:hyperlink>
          </w:p>
          <w:p w:rsidR="002D20D6" w:rsidRPr="00A96979" w:rsidP="004B4B65" w14:paraId="70C477FB" w14:textId="77777777">
            <w:pPr>
              <w:rPr>
                <w:bCs/>
                <w:sz w:val="24"/>
                <w:szCs w:val="24"/>
                <w:lang w:val="en-US" w:eastAsia="en-US" w:bidi="ar-SA"/>
              </w:rPr>
            </w:pPr>
          </w:p>
          <w:p w:rsidR="002D20D6" w:rsidRPr="00A96979" w:rsidP="004B4B65" w14:paraId="3C3BCCFF" w14:textId="77777777">
            <w:pPr>
              <w:rPr>
                <w:bCs/>
                <w:sz w:val="24"/>
                <w:szCs w:val="24"/>
                <w:lang w:val="en-US" w:eastAsia="en-US" w:bidi="ar-SA"/>
              </w:rPr>
            </w:pPr>
          </w:p>
        </w:tc>
      </w:tr>
    </w:tbl>
    <w:p w:rsidR="00437C02" w:rsidRPr="00A96979" w:rsidP="002D20D6" w14:paraId="69CEF1E2" w14:textId="77777777">
      <w:pPr>
        <w:pStyle w:val="ANSWER"/>
        <w:suppressLineNumbers/>
        <w:ind w:left="720"/>
        <w:jc w:val="center"/>
        <w:rPr>
          <w:b/>
          <w:bCs/>
          <w:szCs w:val="24"/>
        </w:rPr>
      </w:pPr>
    </w:p>
    <w:sectPr w:rsidSect="00641DEF">
      <w:footerReference w:type="default" r:id="rId2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9B3" w14:paraId="1E01F2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43D" w14:paraId="49CC7F07" w14:textId="77777777">
    <w:pPr>
      <w:pStyle w:val="Footer"/>
      <w:jc w:val="center"/>
    </w:pPr>
  </w:p>
  <w:p w:rsidR="004F543D" w14:paraId="45320D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9B3" w14:paraId="26D5154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1754031"/>
      <w:docPartObj>
        <w:docPartGallery w:val="Page Numbers (Bottom of Page)"/>
        <w:docPartUnique/>
      </w:docPartObj>
    </w:sdtPr>
    <w:sdtEndPr>
      <w:rPr>
        <w:noProof/>
        <w:sz w:val="24"/>
      </w:rPr>
    </w:sdtEndPr>
    <w:sdtContent>
      <w:p w:rsidR="00437C02" w:rsidRPr="00B031E2" w14:paraId="3DE137D9" w14:textId="77777777">
        <w:pPr>
          <w:pStyle w:val="Footer"/>
          <w:jc w:val="center"/>
          <w:rPr>
            <w:sz w:val="24"/>
          </w:rPr>
        </w:pPr>
        <w:r w:rsidRPr="00B031E2">
          <w:rPr>
            <w:sz w:val="24"/>
          </w:rPr>
          <w:fldChar w:fldCharType="begin"/>
        </w:r>
        <w:r w:rsidRPr="00B031E2">
          <w:rPr>
            <w:sz w:val="24"/>
          </w:rPr>
          <w:instrText xml:space="preserve"> PAGE   \* MERGEFORMAT </w:instrText>
        </w:r>
        <w:r w:rsidRPr="00B031E2">
          <w:rPr>
            <w:sz w:val="24"/>
          </w:rPr>
          <w:fldChar w:fldCharType="separate"/>
        </w:r>
        <w:r w:rsidRPr="00B031E2">
          <w:rPr>
            <w:noProof/>
            <w:sz w:val="24"/>
          </w:rPr>
          <w:t>3</w:t>
        </w:r>
        <w:r w:rsidRPr="00B031E2">
          <w:rPr>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536508"/>
      <w:docPartObj>
        <w:docPartGallery w:val="Page Numbers (Bottom of Page)"/>
        <w:docPartUnique/>
      </w:docPartObj>
    </w:sdtPr>
    <w:sdtEndPr>
      <w:rPr>
        <w:noProof/>
        <w:sz w:val="24"/>
      </w:rPr>
    </w:sdtEndPr>
    <w:sdtContent>
      <w:p w:rsidR="00437C02" w:rsidRPr="00537CF8" w14:paraId="0319189A" w14:textId="77777777">
        <w:pPr>
          <w:pStyle w:val="Footer"/>
          <w:jc w:val="center"/>
          <w:rPr>
            <w:sz w:val="24"/>
          </w:rPr>
        </w:pPr>
        <w:r w:rsidRPr="00537CF8">
          <w:rPr>
            <w:sz w:val="24"/>
          </w:rPr>
          <w:fldChar w:fldCharType="begin"/>
        </w:r>
        <w:r w:rsidRPr="00537CF8">
          <w:rPr>
            <w:sz w:val="24"/>
          </w:rPr>
          <w:instrText xml:space="preserve"> PAGE   \* MERGEFORMAT </w:instrText>
        </w:r>
        <w:r w:rsidRPr="00537CF8">
          <w:rPr>
            <w:sz w:val="24"/>
          </w:rPr>
          <w:fldChar w:fldCharType="separate"/>
        </w:r>
        <w:r w:rsidRPr="00537CF8">
          <w:rPr>
            <w:noProof/>
            <w:sz w:val="24"/>
          </w:rPr>
          <w:t>ii</w:t>
        </w:r>
        <w:r w:rsidRPr="00537CF8">
          <w:rPr>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rPr>
      <w:id w:val="1078170204"/>
      <w:docPartObj>
        <w:docPartGallery w:val="Page Numbers (Bottom of Page)"/>
        <w:docPartUnique/>
      </w:docPartObj>
    </w:sdtPr>
    <w:sdtEndPr>
      <w:rPr>
        <w:noProof/>
      </w:rPr>
    </w:sdtEndPr>
    <w:sdtContent>
      <w:p w:rsidR="00A40816" w:rsidRPr="00A40816" w14:paraId="2C4050DF" w14:textId="77AC1800">
        <w:pPr>
          <w:pStyle w:val="Footer"/>
          <w:jc w:val="center"/>
          <w:rPr>
            <w:sz w:val="24"/>
          </w:rPr>
        </w:pPr>
        <w:r w:rsidRPr="00A40816">
          <w:rPr>
            <w:sz w:val="24"/>
          </w:rPr>
          <w:fldChar w:fldCharType="begin"/>
        </w:r>
        <w:r w:rsidRPr="00A40816">
          <w:rPr>
            <w:sz w:val="24"/>
          </w:rPr>
          <w:instrText xml:space="preserve"> PAGE   \* MERGEFORMAT </w:instrText>
        </w:r>
        <w:r w:rsidRPr="00A40816">
          <w:rPr>
            <w:sz w:val="24"/>
          </w:rPr>
          <w:fldChar w:fldCharType="separate"/>
        </w:r>
        <w:r w:rsidRPr="00A40816">
          <w:rPr>
            <w:noProof/>
            <w:sz w:val="24"/>
          </w:rPr>
          <w:t>2</w:t>
        </w:r>
        <w:r w:rsidRPr="00A40816">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5000" w14:paraId="541731F0" w14:textId="77777777">
      <w:r>
        <w:separator/>
      </w:r>
    </w:p>
  </w:footnote>
  <w:footnote w:type="continuationSeparator" w:id="1">
    <w:p w:rsidR="003C5000" w14:paraId="6E520E4D" w14:textId="77777777">
      <w:r>
        <w:continuationSeparator/>
      </w:r>
    </w:p>
  </w:footnote>
  <w:footnote w:id="2">
    <w:p w:rsidR="00386CEC" w:rsidRPr="00BF5492" w:rsidP="009C2C61" w14:paraId="5A27099E" w14:textId="77777777">
      <w:pPr>
        <w:pStyle w:val="FootnoteText"/>
        <w:spacing w:after="120"/>
      </w:pPr>
      <w:r w:rsidRPr="00BF5492">
        <w:rPr>
          <w:rStyle w:val="FootnoteReference"/>
        </w:rPr>
        <w:footnoteRef/>
      </w:r>
      <w:r w:rsidRPr="00BF5492">
        <w:t xml:space="preserve"> R.C. 4905.22.</w:t>
      </w:r>
    </w:p>
  </w:footnote>
  <w:footnote w:id="3">
    <w:p w:rsidR="00386CEC" w:rsidRPr="00BF5492" w:rsidP="009C2C61" w14:paraId="26A8CD5D" w14:textId="19A45EAD">
      <w:pPr>
        <w:pStyle w:val="FootnoteText"/>
        <w:spacing w:after="120"/>
      </w:pPr>
      <w:r w:rsidRPr="00BF5492">
        <w:rPr>
          <w:rStyle w:val="FootnoteReference"/>
        </w:rPr>
        <w:footnoteRef/>
      </w:r>
      <w:r w:rsidRPr="00BF5492">
        <w:t xml:space="preserve"> R.C. 4905.22</w:t>
      </w:r>
      <w:r w:rsidR="0040772E">
        <w:t>;</w:t>
      </w:r>
      <w:r w:rsidRPr="00BF5492">
        <w:t xml:space="preserve"> R.C. 4905.06.</w:t>
      </w:r>
    </w:p>
  </w:footnote>
  <w:footnote w:id="4">
    <w:p w:rsidR="00386CEC" w:rsidRPr="00BF5492" w:rsidP="009C2C61" w14:paraId="34DB2FE5" w14:textId="77777777">
      <w:pPr>
        <w:pStyle w:val="FootnoteText"/>
        <w:spacing w:after="120"/>
      </w:pPr>
      <w:r w:rsidRPr="00BF5492">
        <w:rPr>
          <w:rStyle w:val="FootnoteReference"/>
        </w:rPr>
        <w:footnoteRef/>
      </w:r>
      <w:r w:rsidRPr="00BF5492">
        <w:t xml:space="preserve"> R.C. 4905.54; R.C. 4928.16.</w:t>
      </w:r>
    </w:p>
  </w:footnote>
  <w:footnote w:id="5">
    <w:p w:rsidR="00386CEC" w:rsidRPr="00BF5492" w:rsidP="009C2C61" w14:paraId="57C92621" w14:textId="53719783">
      <w:pPr>
        <w:pStyle w:val="FootnoteText"/>
        <w:spacing w:after="120"/>
      </w:pPr>
      <w:r w:rsidRPr="00BF5492">
        <w:rPr>
          <w:rStyle w:val="FootnoteReference"/>
          <w:i/>
          <w:iCs/>
        </w:rPr>
        <w:footnoteRef/>
      </w:r>
      <w:r w:rsidRPr="00BF5492">
        <w:rPr>
          <w:i/>
          <w:iCs/>
        </w:rPr>
        <w:t xml:space="preserve"> In the Matter of </w:t>
      </w:r>
      <w:r w:rsidR="0040772E">
        <w:rPr>
          <w:i/>
          <w:iCs/>
        </w:rPr>
        <w:t>t</w:t>
      </w:r>
      <w:r w:rsidRPr="00BF5492">
        <w:rPr>
          <w:i/>
          <w:iCs/>
        </w:rPr>
        <w:t>he Commission’s Investigation into the AES Ohio’s Compliance with the Ohio Administration Code and Potential Remedial Actions</w:t>
      </w:r>
      <w:r w:rsidRPr="00BF5492">
        <w:t>, Case 21-1220-EL-UNC</w:t>
      </w:r>
      <w:r w:rsidR="00C33464">
        <w:t xml:space="preserve">, Stipulation and Recommendation </w:t>
      </w:r>
      <w:r w:rsidRPr="00BF5492">
        <w:t>(Dec. 9, 2021)</w:t>
      </w:r>
      <w:r w:rsidR="00C33464">
        <w:t xml:space="preserve"> (“Settlement”)</w:t>
      </w:r>
      <w:r w:rsidRPr="00BF5492">
        <w:t xml:space="preserve">. </w:t>
      </w:r>
    </w:p>
  </w:footnote>
  <w:footnote w:id="6">
    <w:p w:rsidR="00CB5F7D" w:rsidP="009C2C61" w14:paraId="1053F927" w14:textId="47AA8334">
      <w:pPr>
        <w:pStyle w:val="FootnoteText"/>
        <w:spacing w:after="120"/>
      </w:pPr>
      <w:r>
        <w:rPr>
          <w:rStyle w:val="FootnoteReference"/>
        </w:rPr>
        <w:footnoteRef/>
      </w:r>
      <w:r>
        <w:t xml:space="preserve"> Ohio R.Evid. 603.</w:t>
      </w:r>
    </w:p>
  </w:footnote>
  <w:footnote w:id="7">
    <w:p w:rsidR="00CB5F7D" w:rsidP="009C2C61" w14:paraId="45A21959" w14:textId="7BFA26D8">
      <w:pPr>
        <w:pStyle w:val="FootnoteText"/>
        <w:spacing w:after="120"/>
      </w:pPr>
      <w:r>
        <w:rPr>
          <w:rStyle w:val="FootnoteReference"/>
        </w:rPr>
        <w:footnoteRef/>
      </w:r>
      <w:r>
        <w:t xml:space="preserve"> Ohio R.Evid. 802.</w:t>
      </w:r>
    </w:p>
  </w:footnote>
  <w:footnote w:id="8">
    <w:p w:rsidR="00A16504" w:rsidP="009C2C61" w14:paraId="497C29A5" w14:textId="772B3EB2">
      <w:pPr>
        <w:pStyle w:val="FootnoteText"/>
        <w:spacing w:after="120"/>
      </w:pPr>
      <w:r>
        <w:rPr>
          <w:rStyle w:val="FootnoteReference"/>
        </w:rPr>
        <w:footnoteRef/>
      </w:r>
      <w:r>
        <w:t xml:space="preserve"> </w:t>
      </w:r>
      <w:r w:rsidRPr="006B2FC1">
        <w:rPr>
          <w:i/>
          <w:szCs w:val="20"/>
        </w:rPr>
        <w:t>See</w:t>
      </w:r>
      <w:r w:rsidRPr="006B2FC1">
        <w:rPr>
          <w:szCs w:val="20"/>
        </w:rPr>
        <w:t xml:space="preserve"> </w:t>
      </w:r>
      <w:r w:rsidRPr="006B2FC1">
        <w:rPr>
          <w:i/>
          <w:szCs w:val="20"/>
        </w:rPr>
        <w:t>Ohio Consumers’ Counsel v. Pub. Util. Comm</w:t>
      </w:r>
      <w:r w:rsidRPr="006B2FC1">
        <w:rPr>
          <w:szCs w:val="20"/>
        </w:rPr>
        <w:t>., 111 Ohio St.3d 300 (2006).</w:t>
      </w:r>
    </w:p>
  </w:footnote>
  <w:footnote w:id="9">
    <w:p w:rsidR="00A16504" w:rsidRPr="006B2FC1" w:rsidP="009C2C61" w14:paraId="3B5677A8" w14:textId="77777777">
      <w:pPr>
        <w:spacing w:after="120"/>
        <w:rPr>
          <w:sz w:val="20"/>
          <w:szCs w:val="20"/>
        </w:rPr>
      </w:pPr>
      <w:r w:rsidRPr="006B2FC1">
        <w:rPr>
          <w:rStyle w:val="FootnoteReference"/>
          <w:sz w:val="20"/>
          <w:szCs w:val="20"/>
        </w:rPr>
        <w:footnoteRef/>
      </w:r>
      <w:r w:rsidRPr="006B2FC1">
        <w:rPr>
          <w:sz w:val="20"/>
          <w:szCs w:val="20"/>
        </w:rPr>
        <w:t xml:space="preserve"> </w:t>
      </w:r>
      <w:r w:rsidRPr="00274EFF">
        <w:rPr>
          <w:i/>
          <w:iCs/>
          <w:sz w:val="20"/>
          <w:szCs w:val="20"/>
        </w:rPr>
        <w:t>Id</w:t>
      </w:r>
      <w:r>
        <w:rPr>
          <w:sz w:val="20"/>
          <w:szCs w:val="20"/>
        </w:rPr>
        <w:t>.</w:t>
      </w:r>
    </w:p>
  </w:footnote>
  <w:footnote w:id="10">
    <w:p w:rsidR="00B50013" w:rsidRPr="00BF5492" w:rsidP="009C2C61" w14:paraId="53C4D1C8" w14:textId="78321A11">
      <w:pPr>
        <w:pStyle w:val="FootnoteText"/>
        <w:spacing w:after="120"/>
      </w:pPr>
      <w:r w:rsidRPr="00BF5492">
        <w:rPr>
          <w:rStyle w:val="FootnoteReference"/>
        </w:rPr>
        <w:footnoteRef/>
      </w:r>
      <w:r w:rsidRPr="00BF5492">
        <w:t xml:space="preserve"> </w:t>
      </w:r>
      <w:r w:rsidRPr="00BF5492">
        <w:rPr>
          <w:i/>
          <w:iCs/>
        </w:rPr>
        <w:t>Time Warner AxS v. Pub. Util. Comm</w:t>
      </w:r>
      <w:r w:rsidRPr="00BF5492">
        <w:t>. (1996), 75 Ohio St.3d</w:t>
      </w:r>
      <w:r w:rsidRPr="00BF5492">
        <w:rPr>
          <w:i/>
          <w:iCs/>
        </w:rPr>
        <w:t xml:space="preserve"> </w:t>
      </w:r>
      <w:r w:rsidRPr="00BF5492">
        <w:t xml:space="preserve">229 at 233, 661 N.E.2d 1097, </w:t>
      </w:r>
      <w:r w:rsidR="00D40D4A">
        <w:t>f</w:t>
      </w:r>
      <w:r w:rsidRPr="00BF5492">
        <w:t>ootnote 2.</w:t>
      </w:r>
    </w:p>
  </w:footnote>
  <w:footnote w:id="11">
    <w:p w:rsidR="00B50013" w:rsidP="009C2C61" w14:paraId="5D074BEB" w14:textId="69224099">
      <w:pPr>
        <w:pStyle w:val="FootnoteText"/>
        <w:spacing w:after="120"/>
      </w:pPr>
      <w:r>
        <w:rPr>
          <w:rStyle w:val="FootnoteReference"/>
        </w:rPr>
        <w:footnoteRef/>
      </w:r>
      <w:r>
        <w:t xml:space="preserve"> </w:t>
      </w:r>
      <w:r w:rsidRPr="00BF5492">
        <w:rPr>
          <w:i/>
          <w:iCs/>
        </w:rPr>
        <w:t xml:space="preserve">In the Matter of </w:t>
      </w:r>
      <w:r w:rsidR="006F3F86">
        <w:rPr>
          <w:i/>
          <w:iCs/>
        </w:rPr>
        <w:t>t</w:t>
      </w:r>
      <w:r w:rsidRPr="00BF5492">
        <w:rPr>
          <w:i/>
          <w:iCs/>
        </w:rPr>
        <w:t>he Commission’s Investigation into the AES Ohio’s Compliance with the Ohio Administration Code and Potential Remedial Actions</w:t>
      </w:r>
      <w:r w:rsidRPr="00BF5492">
        <w:t xml:space="preserve">, Case </w:t>
      </w:r>
      <w:r>
        <w:t xml:space="preserve">No. </w:t>
      </w:r>
      <w:r w:rsidRPr="00BF5492">
        <w:t>21-1220-EL-UNC</w:t>
      </w:r>
      <w:r>
        <w:t>, Initial Comments for Consumer Protection by the Office of the Ohio Consumer’s Counsel (April 28, 2022)</w:t>
      </w:r>
      <w:r w:rsidR="00097985">
        <w:t xml:space="preserve"> (“OCC Initial Comments”)</w:t>
      </w:r>
      <w:r>
        <w:t xml:space="preserve"> at 4-5</w:t>
      </w:r>
      <w:r w:rsidR="003E5544">
        <w:t>.</w:t>
      </w:r>
    </w:p>
  </w:footnote>
  <w:footnote w:id="12">
    <w:p w:rsidR="00097985" w:rsidP="009C2C61" w14:paraId="71A5027F" w14:textId="1230E5B0">
      <w:pPr>
        <w:pStyle w:val="FootnoteText"/>
        <w:spacing w:after="120"/>
      </w:pPr>
      <w:r>
        <w:rPr>
          <w:rStyle w:val="FootnoteReference"/>
        </w:rPr>
        <w:footnoteRef/>
      </w:r>
      <w:r>
        <w:t xml:space="preserve"> </w:t>
      </w:r>
      <w:r w:rsidRPr="00BF5492">
        <w:rPr>
          <w:i/>
          <w:iCs/>
        </w:rPr>
        <w:t>In the Matter of</w:t>
      </w:r>
      <w:r w:rsidR="006F3F86">
        <w:rPr>
          <w:i/>
          <w:iCs/>
        </w:rPr>
        <w:t xml:space="preserve"> t</w:t>
      </w:r>
      <w:r w:rsidRPr="00BF5492">
        <w:rPr>
          <w:i/>
          <w:iCs/>
        </w:rPr>
        <w:t>he Commission’s Investigation into the AES Ohio’s Compliance with the Ohio Administration Code and Potential Remedial Actions</w:t>
      </w:r>
      <w:r w:rsidRPr="00BF5492">
        <w:t xml:space="preserve">, Case </w:t>
      </w:r>
      <w:r>
        <w:t xml:space="preserve">No. </w:t>
      </w:r>
      <w:r w:rsidRPr="00BF5492">
        <w:t>21-1220-EL-UNC</w:t>
      </w:r>
      <w:r>
        <w:t xml:space="preserve">, Reply Comments of </w:t>
      </w:r>
      <w:r w:rsidR="00716B97">
        <w:t>t</w:t>
      </w:r>
      <w:r>
        <w:t xml:space="preserve">he Dayton Power and Light Company d/b/a AES Ohio in Support of the Stipulation and Recommendation (May 9, 2022) (“AES Reply Comments”) at </w:t>
      </w:r>
      <w:r w:rsidR="00CE1112">
        <w:t>3.</w:t>
      </w:r>
    </w:p>
  </w:footnote>
  <w:footnote w:id="13">
    <w:p w:rsidR="004856F7" w:rsidP="009C2C61" w14:paraId="1009527C" w14:textId="76B1BB96">
      <w:pPr>
        <w:pStyle w:val="FootnoteText"/>
        <w:spacing w:after="120"/>
      </w:pPr>
      <w:r>
        <w:rPr>
          <w:rStyle w:val="FootnoteReference"/>
        </w:rPr>
        <w:footnoteRef/>
      </w:r>
      <w:r>
        <w:t xml:space="preserve"> </w:t>
      </w:r>
      <w:r w:rsidRPr="00BF5492">
        <w:rPr>
          <w:i/>
          <w:iCs/>
        </w:rPr>
        <w:t xml:space="preserve">In the Matter of </w:t>
      </w:r>
      <w:r w:rsidR="006F3F86">
        <w:rPr>
          <w:i/>
          <w:iCs/>
        </w:rPr>
        <w:t>t</w:t>
      </w:r>
      <w:r w:rsidRPr="00BF5492">
        <w:rPr>
          <w:i/>
          <w:iCs/>
        </w:rPr>
        <w:t>he Commission’s Investigation into the AES Ohio’s Compliance with the Ohio Administration Code and Potential Remedial Actions</w:t>
      </w:r>
      <w:r w:rsidRPr="00BF5492">
        <w:t xml:space="preserve">, Case </w:t>
      </w:r>
      <w:r>
        <w:t xml:space="preserve">No. </w:t>
      </w:r>
      <w:r w:rsidRPr="00BF5492">
        <w:t>21-1220-EL-UNC</w:t>
      </w:r>
      <w:r>
        <w:t xml:space="preserve">, Finding &amp; Order that the Commission adopts the </w:t>
      </w:r>
      <w:r w:rsidR="0005205C">
        <w:t>J</w:t>
      </w:r>
      <w:r>
        <w:t xml:space="preserve">oint </w:t>
      </w:r>
      <w:r w:rsidR="0005205C">
        <w:t>S</w:t>
      </w:r>
      <w:r>
        <w:t xml:space="preserve">tipulation and </w:t>
      </w:r>
      <w:r w:rsidR="0005205C">
        <w:t>R</w:t>
      </w:r>
      <w:r>
        <w:t xml:space="preserve">ecommendation filed by the Dayton Power and Light Company d/b/a AES Ohio and Staff resolving the issues identified in a notice of probable noncompliance issued by Staff on June 10, 2021 (Nov. 30, 2023) </w:t>
      </w:r>
      <w:r w:rsidR="00442B6C">
        <w:t xml:space="preserve">(“Finding </w:t>
      </w:r>
      <w:r w:rsidR="00824635">
        <w:t>and</w:t>
      </w:r>
      <w:r w:rsidR="00442B6C">
        <w:t xml:space="preserve"> Order”) </w:t>
      </w:r>
      <w:r>
        <w:t>at ¶ 22.</w:t>
      </w:r>
    </w:p>
  </w:footnote>
  <w:footnote w:id="14">
    <w:p w:rsidR="00F36A0B" w:rsidP="009C2C61" w14:paraId="550E45FF" w14:textId="187B328E">
      <w:pPr>
        <w:pStyle w:val="FootnoteText"/>
        <w:spacing w:after="120"/>
      </w:pPr>
      <w:r>
        <w:rPr>
          <w:rStyle w:val="FootnoteReference"/>
        </w:rPr>
        <w:footnoteRef/>
      </w:r>
      <w:r>
        <w:t xml:space="preserve"> </w:t>
      </w:r>
      <w:r w:rsidRPr="00BF5492">
        <w:rPr>
          <w:i/>
          <w:iCs/>
        </w:rPr>
        <w:t>Time Warner AxS v. Pub. Util. Comm</w:t>
      </w:r>
      <w:r w:rsidRPr="00BF5492">
        <w:t>. (1996), 75 Ohio St.3d</w:t>
      </w:r>
      <w:r w:rsidRPr="00BF5492">
        <w:rPr>
          <w:i/>
          <w:iCs/>
        </w:rPr>
        <w:t xml:space="preserve"> </w:t>
      </w:r>
      <w:r w:rsidRPr="00BF5492">
        <w:t xml:space="preserve">229 at 233, 661 N.E.2d 1097, </w:t>
      </w:r>
      <w:r w:rsidR="005211AC">
        <w:t>f</w:t>
      </w:r>
      <w:r w:rsidRPr="00BF5492">
        <w:t>ootnote 2.</w:t>
      </w:r>
    </w:p>
  </w:footnote>
  <w:footnote w:id="15">
    <w:p w:rsidR="00437C02" w:rsidRPr="006B2FC1" w:rsidP="009C2C61" w14:paraId="70BD4B92" w14:textId="347078D2">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OCC</w:t>
      </w:r>
      <w:r w:rsidR="00FC6566">
        <w:rPr>
          <w:szCs w:val="20"/>
        </w:rPr>
        <w:t xml:space="preserve"> Initial Comments at 5-6</w:t>
      </w:r>
      <w:r w:rsidRPr="006B2FC1">
        <w:rPr>
          <w:szCs w:val="20"/>
        </w:rPr>
        <w:t>.</w:t>
      </w:r>
    </w:p>
  </w:footnote>
  <w:footnote w:id="16">
    <w:p w:rsidR="00CB5F7D" w:rsidP="009C2C61" w14:paraId="48FEEFDE" w14:textId="7A18937B">
      <w:pPr>
        <w:pStyle w:val="FootnoteText"/>
        <w:spacing w:after="120"/>
      </w:pPr>
      <w:r>
        <w:rPr>
          <w:rStyle w:val="FootnoteReference"/>
        </w:rPr>
        <w:footnoteRef/>
      </w:r>
      <w:r>
        <w:t xml:space="preserve"> </w:t>
      </w:r>
      <w:r w:rsidRPr="003C39F6">
        <w:rPr>
          <w:i/>
          <w:iCs/>
        </w:rPr>
        <w:t>See</w:t>
      </w:r>
      <w:r>
        <w:rPr>
          <w:i/>
          <w:iCs/>
        </w:rPr>
        <w:t xml:space="preserve"> </w:t>
      </w:r>
      <w:r w:rsidRPr="00D26ADF">
        <w:rPr>
          <w:i/>
          <w:iCs/>
        </w:rPr>
        <w:t xml:space="preserve">In re Application Seeking Approval of Ohio Power Company's Proposal to Enter into an Affiliate Power Purchase Agreement, </w:t>
      </w:r>
      <w:r w:rsidRPr="00D26ADF">
        <w:t xml:space="preserve">155 Ohio St.3d 326, 2018-Ohio-4698, 121 N.E.3d 320, ¶ 39; </w:t>
      </w:r>
      <w:r w:rsidRPr="002C37C1">
        <w:rPr>
          <w:i/>
          <w:iCs/>
        </w:rPr>
        <w:t>See also</w:t>
      </w:r>
      <w:r>
        <w:t xml:space="preserve"> </w:t>
      </w:r>
      <w:r w:rsidRPr="00D26ADF">
        <w:rPr>
          <w:i/>
          <w:iCs/>
        </w:rPr>
        <w:t>Consumers' Counsel v. Public Utilities Com.</w:t>
      </w:r>
      <w:r w:rsidRPr="00D26ADF">
        <w:t>, 64 Ohio St.3d 123, 126, 1992-Ohio-122, 592 N.E.2d 1370 (1992).</w:t>
      </w:r>
    </w:p>
  </w:footnote>
  <w:footnote w:id="17">
    <w:p w:rsidR="00D26ADF" w:rsidRPr="003C39F6" w:rsidP="009C2C61" w14:paraId="50764491" w14:textId="4EDD3645">
      <w:pPr>
        <w:pStyle w:val="FootnoteText"/>
        <w:spacing w:after="120"/>
        <w:rPr>
          <w:i/>
          <w:iCs/>
        </w:rPr>
      </w:pPr>
      <w:r>
        <w:rPr>
          <w:rStyle w:val="FootnoteReference"/>
        </w:rPr>
        <w:footnoteRef/>
      </w:r>
      <w:r w:rsidR="003C39F6">
        <w:t xml:space="preserve"> </w:t>
      </w:r>
      <w:r w:rsidR="00CB5F7D">
        <w:rPr>
          <w:i/>
          <w:iCs/>
        </w:rPr>
        <w:t>Id.</w:t>
      </w:r>
    </w:p>
  </w:footnote>
  <w:footnote w:id="18">
    <w:p w:rsidR="00D26ADF" w:rsidP="009C2C61" w14:paraId="48234E79" w14:textId="2521E903">
      <w:pPr>
        <w:pStyle w:val="FootnoteText"/>
        <w:spacing w:after="120"/>
      </w:pPr>
      <w:r>
        <w:rPr>
          <w:rStyle w:val="FootnoteReference"/>
        </w:rPr>
        <w:footnoteRef/>
      </w:r>
      <w:r>
        <w:t xml:space="preserve"> </w:t>
      </w:r>
      <w:r w:rsidRPr="00D26ADF">
        <w:rPr>
          <w:i/>
          <w:iCs/>
        </w:rPr>
        <w:t>In re Complaint of Suburban Natural Gas Co.</w:t>
      </w:r>
      <w:r w:rsidRPr="00D26ADF">
        <w:t>, 162 </w:t>
      </w:r>
      <w:r w:rsidRPr="00DE0080">
        <w:t>Ohio</w:t>
      </w:r>
      <w:r w:rsidRPr="00D26ADF">
        <w:t> St.3d 162, 2020-</w:t>
      </w:r>
      <w:r w:rsidRPr="00DE0080">
        <w:t>Ohio</w:t>
      </w:r>
      <w:r w:rsidRPr="00D26ADF">
        <w:t>-5221, 164 N.E.3d 425, ¶ 29, quoting </w:t>
      </w:r>
      <w:r w:rsidRPr="00D26ADF">
        <w:rPr>
          <w:i/>
          <w:iCs/>
        </w:rPr>
        <w:t>Cleveland Elec. Illum. Co. v. Pub. Util. Comm.</w:t>
      </w:r>
      <w:r w:rsidRPr="00D26ADF">
        <w:t>, 42 </w:t>
      </w:r>
      <w:r w:rsidRPr="00DE0080">
        <w:t>Ohio</w:t>
      </w:r>
      <w:r w:rsidRPr="00D26ADF">
        <w:t> St.2d 403, 431, 330 N.E.2d 1 (1975), </w:t>
      </w:r>
      <w:r w:rsidRPr="00B04B8D">
        <w:t>superseded on other grounds by statute as recognized in</w:t>
      </w:r>
      <w:r w:rsidRPr="00D26ADF">
        <w:rPr>
          <w:i/>
          <w:iCs/>
        </w:rPr>
        <w:t> Babbit</w:t>
      </w:r>
      <w:r w:rsidRPr="00D26ADF">
        <w:t>, 59 </w:t>
      </w:r>
      <w:r w:rsidRPr="00DE0080">
        <w:t>Ohio</w:t>
      </w:r>
      <w:r w:rsidRPr="00D26ADF">
        <w:t> St.2d 81, 391 N.E.2d 1376.</w:t>
      </w:r>
    </w:p>
  </w:footnote>
  <w:footnote w:id="19">
    <w:p w:rsidR="00A24831" w:rsidP="009C2C61" w14:paraId="52E110CE" w14:textId="5C95C19D">
      <w:pPr>
        <w:pStyle w:val="FootnoteText"/>
        <w:spacing w:after="120"/>
      </w:pPr>
      <w:r>
        <w:rPr>
          <w:rStyle w:val="FootnoteReference"/>
        </w:rPr>
        <w:footnoteRef/>
      </w:r>
      <w:r>
        <w:t xml:space="preserve"> </w:t>
      </w:r>
      <w:r w:rsidRPr="00A24831">
        <w:rPr>
          <w:i/>
          <w:iCs/>
        </w:rPr>
        <w:t>Ohio Consumers' Counsel v. PUC</w:t>
      </w:r>
      <w:r w:rsidRPr="00A24831">
        <w:t xml:space="preserve">, 110 Ohio St.3d 394, 2006-Ohio-4706, 853 N.E.2d 1153, ¶ 16, citing </w:t>
      </w:r>
      <w:r w:rsidRPr="00A24831">
        <w:rPr>
          <w:i/>
          <w:iCs/>
        </w:rPr>
        <w:t>Consumers' Counsel v. Pub. Util. Comm</w:t>
      </w:r>
      <w:r w:rsidRPr="00A24831">
        <w:t xml:space="preserve">. (1992), 64 Ohio St.3d 123, 126, 1992 Ohio 122, 592 N.E.2d 1370. </w:t>
      </w:r>
      <w:r w:rsidRPr="00CF3DF7">
        <w:rPr>
          <w:i/>
          <w:iCs/>
        </w:rPr>
        <w:t>See also</w:t>
      </w:r>
      <w:r w:rsidRPr="00A24831">
        <w:t xml:space="preserve">, </w:t>
      </w:r>
      <w:r w:rsidRPr="00A24831">
        <w:rPr>
          <w:i/>
          <w:iCs/>
        </w:rPr>
        <w:t>AK Steel Corp. v. Pub. Util. Comm</w:t>
      </w:r>
      <w:r w:rsidRPr="00A24831">
        <w:t>. (2002), 95 Ohio St.3d 81, 82-83, 2002 Ohio 1735, 765 N.E.2d 862.</w:t>
      </w:r>
    </w:p>
  </w:footnote>
  <w:footnote w:id="20">
    <w:p w:rsidR="001B10B7" w:rsidP="009C2C61" w14:paraId="2D81FDB8" w14:textId="3E2AE095">
      <w:pPr>
        <w:pStyle w:val="FootnoteText"/>
        <w:spacing w:after="120"/>
      </w:pPr>
      <w:r>
        <w:rPr>
          <w:rStyle w:val="FootnoteReference"/>
        </w:rPr>
        <w:footnoteRef/>
      </w:r>
      <w:r>
        <w:t xml:space="preserve"> </w:t>
      </w:r>
      <w:r w:rsidRPr="00B84A59">
        <w:rPr>
          <w:i/>
          <w:iCs/>
        </w:rPr>
        <w:t>Office of Consumers' Counsel v. Pub. Util. Com.</w:t>
      </w:r>
      <w:r w:rsidRPr="001B10B7">
        <w:t>, 10 Ohio St.3d 49, 51, 461 N.E.2d 303 (1984)</w:t>
      </w:r>
      <w:r>
        <w:t>.</w:t>
      </w:r>
    </w:p>
  </w:footnote>
  <w:footnote w:id="21">
    <w:p w:rsidR="003D2BDF" w:rsidP="009C2C61" w14:paraId="70AA4D4A" w14:textId="717DEA7A">
      <w:pPr>
        <w:pStyle w:val="FootnoteText"/>
        <w:spacing w:after="120"/>
      </w:pPr>
      <w:r>
        <w:rPr>
          <w:rStyle w:val="FootnoteReference"/>
        </w:rPr>
        <w:footnoteRef/>
      </w:r>
      <w:r>
        <w:t xml:space="preserve"> </w:t>
      </w:r>
      <w:r w:rsidRPr="00B84A59">
        <w:rPr>
          <w:i/>
          <w:iCs/>
        </w:rPr>
        <w:t>Office of Consumers' Counsel v. Pub. Util. Com.</w:t>
      </w:r>
      <w:r w:rsidRPr="003D2BDF">
        <w:t>, 63 Ohio St.3d 531, 536, 589 N.E.2d 1273 (1992)</w:t>
      </w:r>
      <w:r>
        <w:t>.</w:t>
      </w:r>
    </w:p>
  </w:footnote>
  <w:footnote w:id="22">
    <w:p w:rsidR="00E50073" w:rsidP="009C2C61" w14:paraId="399088FD" w14:textId="3B2455F0">
      <w:pPr>
        <w:pStyle w:val="FootnoteText"/>
        <w:spacing w:after="120"/>
      </w:pPr>
      <w:r>
        <w:rPr>
          <w:rStyle w:val="FootnoteReference"/>
        </w:rPr>
        <w:footnoteRef/>
      </w:r>
      <w:r>
        <w:t xml:space="preserve"> Finding and Order at ¶</w:t>
      </w:r>
      <w:r w:rsidR="0082405E">
        <w:t xml:space="preserve"> </w:t>
      </w:r>
      <w:r>
        <w:t>23, f</w:t>
      </w:r>
      <w:r w:rsidR="0082405E">
        <w:t>ootnote</w:t>
      </w:r>
      <w:r>
        <w:t xml:space="preserve"> 6.</w:t>
      </w:r>
    </w:p>
  </w:footnote>
  <w:footnote w:id="23">
    <w:p w:rsidR="00FD5825" w:rsidP="009C2C61" w14:paraId="02BCA10D" w14:textId="54A77874">
      <w:pPr>
        <w:pStyle w:val="FootnoteText"/>
        <w:spacing w:after="120"/>
      </w:pPr>
      <w:r>
        <w:rPr>
          <w:rStyle w:val="FootnoteReference"/>
        </w:rPr>
        <w:footnoteRef/>
      </w:r>
      <w:r>
        <w:t xml:space="preserve"> </w:t>
      </w:r>
      <w:r w:rsidRPr="00FD5825">
        <w:rPr>
          <w:i/>
          <w:iCs/>
        </w:rPr>
        <w:t xml:space="preserve">In the Matter of the </w:t>
      </w:r>
      <w:r w:rsidRPr="00FD5825" w:rsidR="00453813">
        <w:rPr>
          <w:i/>
          <w:iCs/>
        </w:rPr>
        <w:t>Commissio</w:t>
      </w:r>
      <w:r w:rsidR="00453813">
        <w:rPr>
          <w:i/>
          <w:iCs/>
        </w:rPr>
        <w:t>n</w:t>
      </w:r>
      <w:r w:rsidRPr="00FD5825" w:rsidR="00453813">
        <w:rPr>
          <w:i/>
          <w:iCs/>
        </w:rPr>
        <w:t>’s</w:t>
      </w:r>
      <w:r w:rsidRPr="00FD5825">
        <w:rPr>
          <w:i/>
          <w:iCs/>
        </w:rPr>
        <w:t xml:space="preserve"> Consideration of a Settlement Agreement Between SmartEnergy Holdings, LLC and the Commission’s Staff</w:t>
      </w:r>
      <w:r>
        <w:t>, Case No. 23-601-EL-UNC, Finding and Order (Aug. 23, 2023) at ¶</w:t>
      </w:r>
      <w:r w:rsidR="0082405E">
        <w:t xml:space="preserve"> </w:t>
      </w:r>
      <w:r>
        <w:t>7</w:t>
      </w:r>
      <w:r w:rsidR="00F4663E">
        <w:t xml:space="preserve"> and</w:t>
      </w:r>
      <w:r>
        <w:t xml:space="preserve"> </w:t>
      </w:r>
      <w:r w:rsidR="0082405E">
        <w:t>f</w:t>
      </w:r>
      <w:r>
        <w:t>ootnote 2.</w:t>
      </w:r>
    </w:p>
  </w:footnote>
  <w:footnote w:id="24">
    <w:p w:rsidR="00F4663E" w:rsidP="009C2C61" w14:paraId="05DA0B98" w14:textId="3F24EE46">
      <w:pPr>
        <w:pStyle w:val="FootnoteText"/>
        <w:spacing w:after="120"/>
      </w:pPr>
      <w:r>
        <w:rPr>
          <w:rStyle w:val="FootnoteReference"/>
        </w:rPr>
        <w:footnoteRef/>
      </w:r>
      <w:r>
        <w:t xml:space="preserve"> </w:t>
      </w:r>
      <w:r w:rsidRPr="00F4663E">
        <w:rPr>
          <w:i/>
          <w:iCs/>
        </w:rPr>
        <w:t>Id</w:t>
      </w:r>
      <w:r>
        <w:t>.</w:t>
      </w:r>
    </w:p>
  </w:footnote>
  <w:footnote w:id="25">
    <w:p w:rsidR="00F4663E" w:rsidP="009C2C61" w14:paraId="05F8C623" w14:textId="20043EEC">
      <w:pPr>
        <w:pStyle w:val="FootnoteText"/>
        <w:spacing w:after="120"/>
      </w:pPr>
      <w:r>
        <w:rPr>
          <w:rStyle w:val="FootnoteReference"/>
        </w:rPr>
        <w:footnoteRef/>
      </w:r>
      <w:r>
        <w:t xml:space="preserve"> </w:t>
      </w:r>
      <w:r w:rsidRPr="00F4663E">
        <w:rPr>
          <w:i/>
          <w:iCs/>
        </w:rPr>
        <w:t>Id</w:t>
      </w:r>
      <w:r>
        <w:t>.</w:t>
      </w:r>
    </w:p>
  </w:footnote>
  <w:footnote w:id="26">
    <w:p w:rsidR="00453813" w:rsidP="009C2C61" w14:paraId="5A9DF67A" w14:textId="48B39866">
      <w:pPr>
        <w:pStyle w:val="FootnoteText"/>
        <w:spacing w:after="120"/>
      </w:pPr>
      <w:r>
        <w:rPr>
          <w:rStyle w:val="FootnoteReference"/>
        </w:rPr>
        <w:footnoteRef/>
      </w:r>
      <w:r>
        <w:t xml:space="preserve"> </w:t>
      </w:r>
      <w:r w:rsidRPr="00BF5492">
        <w:rPr>
          <w:i/>
          <w:iCs/>
        </w:rPr>
        <w:t xml:space="preserve">In the Matter of </w:t>
      </w:r>
      <w:r w:rsidR="00F36C0B">
        <w:rPr>
          <w:i/>
          <w:iCs/>
        </w:rPr>
        <w:t>t</w:t>
      </w:r>
      <w:r w:rsidRPr="00BF5492">
        <w:rPr>
          <w:i/>
          <w:iCs/>
        </w:rPr>
        <w:t>he Commission’s Investigation into the AES Ohio’s Compliance with the Ohio Administration Code and Potential Remedial Actions</w:t>
      </w:r>
      <w:r w:rsidRPr="00BF5492">
        <w:t xml:space="preserve">, Case </w:t>
      </w:r>
      <w:r>
        <w:t xml:space="preserve">No. </w:t>
      </w:r>
      <w:r w:rsidRPr="00BF5492">
        <w:t>21-1220-EL-UNC</w:t>
      </w:r>
      <w:r>
        <w:t xml:space="preserve">, Joint Stipulation and Recommendation (Dec. 9, 2021) at 1; and </w:t>
      </w:r>
      <w:r w:rsidRPr="00FD5825">
        <w:rPr>
          <w:i/>
          <w:iCs/>
        </w:rPr>
        <w:t>In the Matter of the Commissio</w:t>
      </w:r>
      <w:r>
        <w:rPr>
          <w:i/>
          <w:iCs/>
        </w:rPr>
        <w:t>n</w:t>
      </w:r>
      <w:r w:rsidRPr="00FD5825">
        <w:rPr>
          <w:i/>
          <w:iCs/>
        </w:rPr>
        <w:t>’s Consideration of a Settlement Agreement Between SmartEnergy Holdings, LLC and the Commission’s Staff</w:t>
      </w:r>
      <w:r>
        <w:t>, Case No. 23-601-EL-UNC, Finding and Order (Aug. 23, 2023) at 1.</w:t>
      </w:r>
    </w:p>
  </w:footnote>
  <w:footnote w:id="27">
    <w:p w:rsidR="00DE0080" w:rsidP="009C2C61" w14:paraId="32A904FD" w14:textId="213EC922">
      <w:pPr>
        <w:pStyle w:val="FootnoteText"/>
        <w:spacing w:after="120"/>
      </w:pPr>
      <w:r>
        <w:rPr>
          <w:rStyle w:val="FootnoteReference"/>
        </w:rPr>
        <w:footnoteRef/>
      </w:r>
      <w:r>
        <w:t xml:space="preserve"> OCC Initial Comments at 6 and 13.</w:t>
      </w:r>
    </w:p>
  </w:footnote>
  <w:footnote w:id="28">
    <w:p w:rsidR="00A16504" w:rsidRPr="00BF5492" w:rsidP="009C2C61" w14:paraId="0660B871" w14:textId="2979A6F4">
      <w:pPr>
        <w:pStyle w:val="FootnoteText"/>
        <w:spacing w:after="120"/>
      </w:pPr>
      <w:r w:rsidRPr="00BF5492">
        <w:rPr>
          <w:rStyle w:val="FootnoteReference"/>
        </w:rPr>
        <w:footnoteRef/>
      </w:r>
      <w:r w:rsidRPr="00BF5492">
        <w:t xml:space="preserve"> </w:t>
      </w:r>
      <w:r w:rsidRPr="00BF5492">
        <w:rPr>
          <w:i/>
          <w:iCs/>
        </w:rPr>
        <w:t>See, e.g., In re Application of the Dayton Power &amp; Light Co. for Approval to Modify its Competitive Bid True-up Rider</w:t>
      </w:r>
      <w:r w:rsidRPr="00BF5492">
        <w:t>, Case No. 14-563-EL-RDR (Sep</w:t>
      </w:r>
      <w:r w:rsidR="003155AA">
        <w:t>t</w:t>
      </w:r>
      <w:r w:rsidRPr="00BF5492">
        <w:t>. 9, 2015</w:t>
      </w:r>
      <w:r w:rsidRPr="00BF5492">
        <w:rPr>
          <w:i/>
          <w:iCs/>
        </w:rPr>
        <w:t>); In re Application of the Columbus S. Power Co. &amp; Ohio Power Co</w:t>
      </w:r>
      <w:r w:rsidRPr="00BF5492">
        <w:t xml:space="preserve">., Case No. 05-376- EL-UNC (Feb. 11, 2015); </w:t>
      </w:r>
      <w:r w:rsidRPr="00BF5492">
        <w:rPr>
          <w:i/>
          <w:iCs/>
        </w:rPr>
        <w:t>In re Application of Columbus S. Power Co. &amp; Ohio Power Co., for an Increase in Electric Distrib. Rates,</w:t>
      </w:r>
      <w:r w:rsidRPr="00BF5492">
        <w:t xml:space="preserve"> Case No. 11-351-EL-AIR (Dec. 14, 2011); </w:t>
      </w:r>
      <w:r w:rsidRPr="00BF5492">
        <w:rPr>
          <w:i/>
          <w:iCs/>
        </w:rPr>
        <w:t xml:space="preserve">In re Application of Ohio Edison Co., </w:t>
      </w:r>
      <w:r w:rsidR="00AF1248">
        <w:rPr>
          <w:i/>
          <w:iCs/>
        </w:rPr>
        <w:t>t</w:t>
      </w:r>
      <w:r w:rsidRPr="00BF5492">
        <w:rPr>
          <w:i/>
          <w:iCs/>
        </w:rPr>
        <w:t xml:space="preserve">he Cleveland Elec. Illuminating Co. &amp; </w:t>
      </w:r>
      <w:r w:rsidR="00AF1248">
        <w:rPr>
          <w:i/>
          <w:iCs/>
        </w:rPr>
        <w:t>t</w:t>
      </w:r>
      <w:r w:rsidRPr="00BF5492">
        <w:rPr>
          <w:i/>
          <w:iCs/>
        </w:rPr>
        <w:t>he Toledo Edison Co. for Authority to Provide a Standard Serv. Offer</w:t>
      </w:r>
      <w:r w:rsidRPr="00BF5492">
        <w:t>, Case No. 14-1297-EL-SSO (Mar</w:t>
      </w:r>
      <w:r w:rsidR="00AF1248">
        <w:t>ch</w:t>
      </w:r>
      <w:r w:rsidRPr="00BF5492">
        <w:t xml:space="preserve"> 31, 2016).</w:t>
      </w:r>
    </w:p>
  </w:footnote>
  <w:footnote w:id="29">
    <w:p w:rsidR="00F40626" w:rsidRPr="006B2FC1" w:rsidP="009C2C61" w14:paraId="5C9659C0" w14:textId="183E2498">
      <w:pPr>
        <w:pStyle w:val="FootnoteText"/>
        <w:spacing w:after="120"/>
        <w:rPr>
          <w:szCs w:val="20"/>
        </w:rPr>
      </w:pPr>
      <w:r w:rsidRPr="006B2FC1">
        <w:rPr>
          <w:rStyle w:val="FootnoteReference"/>
          <w:szCs w:val="20"/>
        </w:rPr>
        <w:footnoteRef/>
      </w:r>
      <w:r w:rsidRPr="006B2FC1">
        <w:rPr>
          <w:szCs w:val="20"/>
        </w:rPr>
        <w:t xml:space="preserve"> OCC</w:t>
      </w:r>
      <w:r>
        <w:rPr>
          <w:szCs w:val="20"/>
        </w:rPr>
        <w:t xml:space="preserve"> Initial Comments at 5-6</w:t>
      </w:r>
      <w:r w:rsidRPr="006B2FC1">
        <w:rPr>
          <w:szCs w:val="20"/>
        </w:rPr>
        <w:t>.</w:t>
      </w:r>
    </w:p>
  </w:footnote>
  <w:footnote w:id="30">
    <w:p w:rsidR="00C33464" w:rsidRPr="00BF5492" w:rsidP="009C2C61" w14:paraId="0C7CC1FE" w14:textId="1214557A">
      <w:pPr>
        <w:pStyle w:val="FootnoteText"/>
        <w:spacing w:after="120"/>
      </w:pPr>
      <w:r w:rsidRPr="00BF5492">
        <w:rPr>
          <w:rStyle w:val="FootnoteReference"/>
        </w:rPr>
        <w:footnoteRef/>
      </w:r>
      <w:r>
        <w:t xml:space="preserve"> Settlement</w:t>
      </w:r>
      <w:r w:rsidRPr="00BF5492">
        <w:t xml:space="preserve"> at 3. </w:t>
      </w:r>
    </w:p>
  </w:footnote>
  <w:footnote w:id="31">
    <w:p w:rsidR="00C33464" w:rsidP="009C2C61" w14:paraId="2E7D4EBF" w14:textId="5182C08C">
      <w:pPr>
        <w:pStyle w:val="FootnoteText"/>
        <w:spacing w:after="120"/>
      </w:pPr>
      <w:r>
        <w:rPr>
          <w:rStyle w:val="FootnoteReference"/>
        </w:rPr>
        <w:footnoteRef/>
      </w:r>
      <w:r>
        <w:t xml:space="preserve"> </w:t>
      </w:r>
      <w:r w:rsidR="003839FC">
        <w:t>AE</w:t>
      </w:r>
      <w:r w:rsidR="00461E83">
        <w:t>S</w:t>
      </w:r>
      <w:r w:rsidR="003839FC">
        <w:t xml:space="preserve"> Reply Comments</w:t>
      </w:r>
      <w:r>
        <w:t xml:space="preserve"> at 1 and footnote 4.</w:t>
      </w:r>
    </w:p>
  </w:footnote>
  <w:footnote w:id="32">
    <w:p w:rsidR="00C33464" w:rsidRPr="00C33464" w:rsidP="009C2C61" w14:paraId="681F0EEA" w14:textId="3BB83875">
      <w:pPr>
        <w:pStyle w:val="FootnoteText"/>
        <w:spacing w:after="120"/>
      </w:pPr>
      <w:r>
        <w:rPr>
          <w:rStyle w:val="FootnoteReference"/>
        </w:rPr>
        <w:footnoteRef/>
      </w:r>
      <w:r>
        <w:t xml:space="preserve"> </w:t>
      </w:r>
      <w:r>
        <w:rPr>
          <w:i/>
          <w:iCs/>
        </w:rPr>
        <w:t>Id</w:t>
      </w:r>
      <w:r>
        <w:t>.</w:t>
      </w:r>
    </w:p>
  </w:footnote>
  <w:footnote w:id="33">
    <w:p w:rsidR="003839FC" w:rsidRPr="00BF5492" w:rsidP="009C2C61" w14:paraId="2A80E6E3" w14:textId="73E46079">
      <w:pPr>
        <w:pStyle w:val="FootnoteText"/>
        <w:spacing w:after="120"/>
      </w:pPr>
      <w:r w:rsidRPr="00BF5492">
        <w:rPr>
          <w:rStyle w:val="FootnoteReference"/>
        </w:rPr>
        <w:footnoteRef/>
      </w:r>
      <w:r w:rsidRPr="00BF5492">
        <w:t xml:space="preserve"> </w:t>
      </w:r>
      <w:r>
        <w:t>Settlement</w:t>
      </w:r>
      <w:r w:rsidRPr="00BF5492">
        <w:t xml:space="preserve"> at 2.</w:t>
      </w:r>
    </w:p>
  </w:footnote>
  <w:footnote w:id="34">
    <w:p w:rsidR="00461E83" w:rsidRPr="00BF5492" w:rsidP="009C2C61" w14:paraId="6CDB62C3" w14:textId="77777777">
      <w:pPr>
        <w:pStyle w:val="FootnoteText"/>
        <w:spacing w:after="120"/>
      </w:pPr>
      <w:r w:rsidRPr="00BF5492">
        <w:rPr>
          <w:rStyle w:val="FootnoteReference"/>
        </w:rPr>
        <w:footnoteRef/>
      </w:r>
      <w:r w:rsidRPr="00BF5492">
        <w:t xml:space="preserve"> O.A.C. 4901:1-10-30(A)(1).</w:t>
      </w:r>
    </w:p>
  </w:footnote>
  <w:footnote w:id="35">
    <w:p w:rsidR="00461E83" w:rsidRPr="00BF5492" w:rsidP="009C2C61" w14:paraId="3768B419" w14:textId="77777777">
      <w:pPr>
        <w:pStyle w:val="FootnoteText"/>
        <w:spacing w:after="120"/>
      </w:pPr>
      <w:r w:rsidRPr="00BF5492">
        <w:rPr>
          <w:rStyle w:val="FootnoteReference"/>
        </w:rPr>
        <w:footnoteRef/>
      </w:r>
      <w:r w:rsidRPr="00BF5492">
        <w:t xml:space="preserve"> O.A.C. 4901:1-10-30(A)(2).</w:t>
      </w:r>
    </w:p>
  </w:footnote>
  <w:footnote w:id="36">
    <w:p w:rsidR="00461E83" w:rsidRPr="00BF5492" w:rsidP="009C2C61" w14:paraId="46D1F43B" w14:textId="77777777">
      <w:pPr>
        <w:pStyle w:val="FootnoteText"/>
        <w:spacing w:after="120"/>
      </w:pPr>
      <w:r w:rsidRPr="00BF5492">
        <w:rPr>
          <w:rStyle w:val="FootnoteReference"/>
        </w:rPr>
        <w:footnoteRef/>
      </w:r>
      <w:r w:rsidRPr="00BF5492">
        <w:t xml:space="preserve"> O.A.C. 4901:1-10-30(A)(3).</w:t>
      </w:r>
    </w:p>
  </w:footnote>
  <w:footnote w:id="37">
    <w:p w:rsidR="00461E83" w:rsidRPr="00BF5492" w:rsidP="009C2C61" w14:paraId="1FEC990D" w14:textId="7077C48F">
      <w:pPr>
        <w:pStyle w:val="FootnoteText"/>
        <w:spacing w:after="120"/>
      </w:pPr>
      <w:r w:rsidRPr="00BF5492">
        <w:rPr>
          <w:rStyle w:val="FootnoteReference"/>
        </w:rPr>
        <w:footnoteRef/>
      </w:r>
      <w:r w:rsidRPr="00BF5492">
        <w:t xml:space="preserve"> </w:t>
      </w:r>
      <w:r>
        <w:t>Settlement</w:t>
      </w:r>
      <w:r w:rsidRPr="00BF5492">
        <w:t xml:space="preserve"> at 3.</w:t>
      </w:r>
    </w:p>
  </w:footnote>
  <w:footnote w:id="38">
    <w:p w:rsidR="00461E83" w:rsidRPr="00BF5492" w:rsidP="009C2C61" w14:paraId="52B84071" w14:textId="13D52224">
      <w:pPr>
        <w:pStyle w:val="FootnoteText"/>
        <w:spacing w:after="120"/>
      </w:pPr>
      <w:r w:rsidRPr="00BF5492">
        <w:rPr>
          <w:rStyle w:val="FootnoteReference"/>
        </w:rPr>
        <w:footnoteRef/>
      </w:r>
      <w:r w:rsidRPr="00BF5492">
        <w:t xml:space="preserve"> Settlement</w:t>
      </w:r>
      <w:r>
        <w:t xml:space="preserve"> at</w:t>
      </w:r>
      <w:r w:rsidRPr="00BF5492">
        <w:t xml:space="preserve"> Exhibit A</w:t>
      </w:r>
      <w:r>
        <w:t>.</w:t>
      </w:r>
    </w:p>
  </w:footnote>
  <w:footnote w:id="39">
    <w:p w:rsidR="00461E83" w:rsidP="009C2C61" w14:paraId="1D755032" w14:textId="4A007D32">
      <w:pPr>
        <w:pStyle w:val="FootnoteText"/>
        <w:spacing w:after="120"/>
      </w:pPr>
      <w:r>
        <w:rPr>
          <w:rStyle w:val="FootnoteReference"/>
        </w:rPr>
        <w:footnoteRef/>
      </w:r>
      <w:r>
        <w:t xml:space="preserve"> AES Reply Comments at 1 and footnote 4.</w:t>
      </w:r>
    </w:p>
  </w:footnote>
  <w:footnote w:id="40">
    <w:p w:rsidR="00053435" w:rsidRPr="00915D0E" w:rsidP="009C2C61" w14:paraId="46AA2D2A" w14:textId="77777777">
      <w:pPr>
        <w:pStyle w:val="FootnoteText"/>
        <w:spacing w:after="120"/>
      </w:pPr>
      <w:r w:rsidRPr="00915D0E">
        <w:rPr>
          <w:rStyle w:val="FootnoteReference"/>
        </w:rPr>
        <w:footnoteRef/>
      </w:r>
      <w:r w:rsidRPr="00915D0E">
        <w:t xml:space="preserve"> R.C. 4905.22.</w:t>
      </w:r>
    </w:p>
  </w:footnote>
  <w:footnote w:id="41">
    <w:p w:rsidR="00691E17" w:rsidRPr="00BF5492" w:rsidP="009C2C61" w14:paraId="3E1C7A70" w14:textId="1352A31C">
      <w:pPr>
        <w:pStyle w:val="FootnoteText"/>
        <w:spacing w:after="120"/>
      </w:pPr>
      <w:r w:rsidRPr="00BF5492">
        <w:rPr>
          <w:rStyle w:val="FootnoteReference"/>
        </w:rPr>
        <w:footnoteRef/>
      </w:r>
      <w:r w:rsidRPr="00BF5492">
        <w:t xml:space="preserve"> </w:t>
      </w:r>
      <w:r w:rsidRPr="00BF5492">
        <w:rPr>
          <w:i/>
          <w:iCs/>
        </w:rPr>
        <w:t xml:space="preserve">In the Matter of </w:t>
      </w:r>
      <w:r w:rsidR="006C624C">
        <w:rPr>
          <w:i/>
          <w:iCs/>
        </w:rPr>
        <w:t>t</w:t>
      </w:r>
      <w:r w:rsidRPr="00BF5492">
        <w:rPr>
          <w:i/>
          <w:iCs/>
        </w:rPr>
        <w:t xml:space="preserve">he Dayton Power and Light Company for Establishing New Reliability Standards, </w:t>
      </w:r>
      <w:r w:rsidRPr="00BF5492">
        <w:t>Case No. 12-1832-EL-ESS, Opinion and Order (Oct. 2, 2013).</w:t>
      </w:r>
    </w:p>
  </w:footnote>
  <w:footnote w:id="42">
    <w:p w:rsidR="00691E17" w:rsidRPr="00BF5492" w:rsidP="009C2C61" w14:paraId="6591E756" w14:textId="77777777">
      <w:pPr>
        <w:pStyle w:val="FootnoteText"/>
        <w:spacing w:after="120"/>
      </w:pPr>
      <w:r w:rsidRPr="00BF5492">
        <w:rPr>
          <w:rStyle w:val="FootnoteReference"/>
        </w:rPr>
        <w:footnoteRef/>
      </w:r>
      <w:r w:rsidRPr="00BF5492">
        <w:t xml:space="preserve"> </w:t>
      </w:r>
      <w:r w:rsidRPr="00BF5492">
        <w:rPr>
          <w:i/>
          <w:iCs/>
        </w:rPr>
        <w:t>Id</w:t>
      </w:r>
      <w:r w:rsidRPr="00BF5492">
        <w:t>. at 5.</w:t>
      </w:r>
    </w:p>
  </w:footnote>
  <w:footnote w:id="43">
    <w:p w:rsidR="00437C02" w:rsidRPr="006B2FC1" w:rsidP="009C2C61" w14:paraId="646F81EA" w14:textId="021FB8AA">
      <w:pPr>
        <w:pStyle w:val="FootnoteText"/>
        <w:spacing w:after="120"/>
        <w:rPr>
          <w:szCs w:val="20"/>
        </w:rPr>
      </w:pPr>
      <w:r w:rsidRPr="006B2FC1">
        <w:rPr>
          <w:rStyle w:val="FootnoteReference"/>
          <w:szCs w:val="20"/>
        </w:rPr>
        <w:footnoteRef/>
      </w:r>
      <w:r w:rsidRPr="006B2FC1">
        <w:rPr>
          <w:szCs w:val="20"/>
        </w:rPr>
        <w:t xml:space="preserve"> </w:t>
      </w:r>
      <w:r w:rsidR="00840212">
        <w:rPr>
          <w:szCs w:val="20"/>
        </w:rPr>
        <w:t>O.A.C.</w:t>
      </w:r>
      <w:r w:rsidRPr="006B2FC1">
        <w:rPr>
          <w:szCs w:val="20"/>
        </w:rPr>
        <w:t xml:space="preserve"> 4901:1-10-10.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9B3" w14:paraId="5A41A2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9B3" w14:paraId="444143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9B3" w14:paraId="63CF9F0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C02" w14:paraId="239A80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D8DBFC"/>
    <w:lvl w:ilvl="0">
      <w:start w:val="1"/>
      <w:numFmt w:val="decimal"/>
      <w:lvlText w:val="%1."/>
      <w:lvlJc w:val="left"/>
      <w:pPr>
        <w:tabs>
          <w:tab w:val="num" w:pos="1800"/>
        </w:tabs>
        <w:ind w:left="1800" w:hanging="360"/>
      </w:pPr>
    </w:lvl>
  </w:abstractNum>
  <w:abstractNum w:abstractNumId="2">
    <w:nsid w:val="FFFFFF7D"/>
    <w:multiLevelType w:val="singleLevel"/>
    <w:tmpl w:val="3CE82492"/>
    <w:lvl w:ilvl="0">
      <w:start w:val="1"/>
      <w:numFmt w:val="decimal"/>
      <w:lvlText w:val="%1."/>
      <w:lvlJc w:val="left"/>
      <w:pPr>
        <w:tabs>
          <w:tab w:val="num" w:pos="1440"/>
        </w:tabs>
        <w:ind w:left="1440" w:hanging="360"/>
      </w:pPr>
    </w:lvl>
  </w:abstractNum>
  <w:abstractNum w:abstractNumId="3">
    <w:nsid w:val="FFFFFF7E"/>
    <w:multiLevelType w:val="singleLevel"/>
    <w:tmpl w:val="B552B3A0"/>
    <w:lvl w:ilvl="0">
      <w:start w:val="1"/>
      <w:numFmt w:val="decimal"/>
      <w:lvlText w:val="%1."/>
      <w:lvlJc w:val="left"/>
      <w:pPr>
        <w:tabs>
          <w:tab w:val="num" w:pos="1080"/>
        </w:tabs>
        <w:ind w:left="1080" w:hanging="360"/>
      </w:pPr>
    </w:lvl>
  </w:abstractNum>
  <w:abstractNum w:abstractNumId="4">
    <w:nsid w:val="FFFFFF7F"/>
    <w:multiLevelType w:val="singleLevel"/>
    <w:tmpl w:val="01686CC0"/>
    <w:lvl w:ilvl="0">
      <w:start w:val="1"/>
      <w:numFmt w:val="decimal"/>
      <w:lvlText w:val="%1."/>
      <w:lvlJc w:val="left"/>
      <w:pPr>
        <w:tabs>
          <w:tab w:val="num" w:pos="720"/>
        </w:tabs>
        <w:ind w:left="720" w:hanging="360"/>
      </w:pPr>
    </w:lvl>
  </w:abstractNum>
  <w:abstractNum w:abstractNumId="5">
    <w:nsid w:val="FFFFFF80"/>
    <w:multiLevelType w:val="singleLevel"/>
    <w:tmpl w:val="F132A2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ECC8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5E6B2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52FC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06D692"/>
    <w:lvl w:ilvl="0">
      <w:start w:val="1"/>
      <w:numFmt w:val="decimal"/>
      <w:lvlText w:val="%1."/>
      <w:lvlJc w:val="left"/>
      <w:pPr>
        <w:tabs>
          <w:tab w:val="num" w:pos="360"/>
        </w:tabs>
        <w:ind w:left="360" w:hanging="360"/>
      </w:pPr>
    </w:lvl>
  </w:abstractNum>
  <w:abstractNum w:abstractNumId="10">
    <w:nsid w:val="FFFFFF89"/>
    <w:multiLevelType w:val="singleLevel"/>
    <w:tmpl w:val="B08A124C"/>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7"/>
  </w:num>
  <w:num w:numId="5">
    <w:abstractNumId w:val="12"/>
  </w:num>
  <w:num w:numId="6">
    <w:abstractNumId w:val="16"/>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BE"/>
    <w:rsid w:val="00001091"/>
    <w:rsid w:val="00002BC4"/>
    <w:rsid w:val="00034C52"/>
    <w:rsid w:val="00040D4B"/>
    <w:rsid w:val="0005205C"/>
    <w:rsid w:val="00053435"/>
    <w:rsid w:val="00097985"/>
    <w:rsid w:val="000A6113"/>
    <w:rsid w:val="000B3131"/>
    <w:rsid w:val="000C07AF"/>
    <w:rsid w:val="000C1C94"/>
    <w:rsid w:val="00156032"/>
    <w:rsid w:val="001A6576"/>
    <w:rsid w:val="001B0140"/>
    <w:rsid w:val="001B10B7"/>
    <w:rsid w:val="001C165C"/>
    <w:rsid w:val="001E08CD"/>
    <w:rsid w:val="001E657A"/>
    <w:rsid w:val="001F4D20"/>
    <w:rsid w:val="00212EBB"/>
    <w:rsid w:val="00213DFE"/>
    <w:rsid w:val="002743CE"/>
    <w:rsid w:val="00274EFF"/>
    <w:rsid w:val="0027607F"/>
    <w:rsid w:val="00280B80"/>
    <w:rsid w:val="002863CE"/>
    <w:rsid w:val="002865AB"/>
    <w:rsid w:val="00294149"/>
    <w:rsid w:val="002A5684"/>
    <w:rsid w:val="002A56B6"/>
    <w:rsid w:val="002C37C1"/>
    <w:rsid w:val="002D20D6"/>
    <w:rsid w:val="002D4C58"/>
    <w:rsid w:val="002D4ED7"/>
    <w:rsid w:val="002E086F"/>
    <w:rsid w:val="002F1DD4"/>
    <w:rsid w:val="002F7A8B"/>
    <w:rsid w:val="0030123A"/>
    <w:rsid w:val="003119B5"/>
    <w:rsid w:val="003155AA"/>
    <w:rsid w:val="003230EB"/>
    <w:rsid w:val="003404A9"/>
    <w:rsid w:val="003404CB"/>
    <w:rsid w:val="003600C0"/>
    <w:rsid w:val="003655B1"/>
    <w:rsid w:val="00381223"/>
    <w:rsid w:val="003839FC"/>
    <w:rsid w:val="00386CEC"/>
    <w:rsid w:val="003B728B"/>
    <w:rsid w:val="003C39F6"/>
    <w:rsid w:val="003C5000"/>
    <w:rsid w:val="003D2BDF"/>
    <w:rsid w:val="003E5544"/>
    <w:rsid w:val="00403750"/>
    <w:rsid w:val="0040772E"/>
    <w:rsid w:val="00410F69"/>
    <w:rsid w:val="004133BB"/>
    <w:rsid w:val="00420E88"/>
    <w:rsid w:val="0042430F"/>
    <w:rsid w:val="00437C02"/>
    <w:rsid w:val="00442B6C"/>
    <w:rsid w:val="00442E10"/>
    <w:rsid w:val="00453813"/>
    <w:rsid w:val="00461E83"/>
    <w:rsid w:val="00472C14"/>
    <w:rsid w:val="004856F7"/>
    <w:rsid w:val="00485EB5"/>
    <w:rsid w:val="004B34B5"/>
    <w:rsid w:val="004B4B65"/>
    <w:rsid w:val="004E0342"/>
    <w:rsid w:val="004E1856"/>
    <w:rsid w:val="004E4856"/>
    <w:rsid w:val="004F25EC"/>
    <w:rsid w:val="004F543D"/>
    <w:rsid w:val="00502E4B"/>
    <w:rsid w:val="00517249"/>
    <w:rsid w:val="005211AC"/>
    <w:rsid w:val="005245D8"/>
    <w:rsid w:val="0053359E"/>
    <w:rsid w:val="00537CF8"/>
    <w:rsid w:val="00585335"/>
    <w:rsid w:val="00590C21"/>
    <w:rsid w:val="005C1CD0"/>
    <w:rsid w:val="005D497F"/>
    <w:rsid w:val="00604F40"/>
    <w:rsid w:val="00641DEF"/>
    <w:rsid w:val="00655CC1"/>
    <w:rsid w:val="00670152"/>
    <w:rsid w:val="00691E17"/>
    <w:rsid w:val="00692BFE"/>
    <w:rsid w:val="006B2FC1"/>
    <w:rsid w:val="006C624C"/>
    <w:rsid w:val="006E536E"/>
    <w:rsid w:val="006F3F86"/>
    <w:rsid w:val="006F6809"/>
    <w:rsid w:val="00700E7A"/>
    <w:rsid w:val="00707D51"/>
    <w:rsid w:val="00716B97"/>
    <w:rsid w:val="0074386D"/>
    <w:rsid w:val="0075742B"/>
    <w:rsid w:val="00761DAC"/>
    <w:rsid w:val="007871B8"/>
    <w:rsid w:val="007C700C"/>
    <w:rsid w:val="007E3B52"/>
    <w:rsid w:val="007F60FC"/>
    <w:rsid w:val="0081319F"/>
    <w:rsid w:val="0082405E"/>
    <w:rsid w:val="00824635"/>
    <w:rsid w:val="00834DF2"/>
    <w:rsid w:val="00840212"/>
    <w:rsid w:val="00867260"/>
    <w:rsid w:val="00867C3D"/>
    <w:rsid w:val="008721AD"/>
    <w:rsid w:val="00873139"/>
    <w:rsid w:val="0088226F"/>
    <w:rsid w:val="008A5042"/>
    <w:rsid w:val="008A5345"/>
    <w:rsid w:val="008A7ABD"/>
    <w:rsid w:val="008B2AFC"/>
    <w:rsid w:val="008E5B3C"/>
    <w:rsid w:val="00911B0C"/>
    <w:rsid w:val="00912204"/>
    <w:rsid w:val="009149BC"/>
    <w:rsid w:val="00915D0E"/>
    <w:rsid w:val="00943448"/>
    <w:rsid w:val="00975F8B"/>
    <w:rsid w:val="0098279F"/>
    <w:rsid w:val="00985683"/>
    <w:rsid w:val="00990AFA"/>
    <w:rsid w:val="00996D4C"/>
    <w:rsid w:val="009A22C1"/>
    <w:rsid w:val="009C2C61"/>
    <w:rsid w:val="009E078A"/>
    <w:rsid w:val="00A009CB"/>
    <w:rsid w:val="00A00DBF"/>
    <w:rsid w:val="00A00DDB"/>
    <w:rsid w:val="00A076CC"/>
    <w:rsid w:val="00A16504"/>
    <w:rsid w:val="00A24831"/>
    <w:rsid w:val="00A40816"/>
    <w:rsid w:val="00A4388E"/>
    <w:rsid w:val="00A8192C"/>
    <w:rsid w:val="00A96979"/>
    <w:rsid w:val="00AA37FC"/>
    <w:rsid w:val="00AA5ED1"/>
    <w:rsid w:val="00AB2802"/>
    <w:rsid w:val="00AB77C6"/>
    <w:rsid w:val="00AF1248"/>
    <w:rsid w:val="00B031E2"/>
    <w:rsid w:val="00B04B8D"/>
    <w:rsid w:val="00B23DBF"/>
    <w:rsid w:val="00B36F49"/>
    <w:rsid w:val="00B442BF"/>
    <w:rsid w:val="00B50013"/>
    <w:rsid w:val="00B67D61"/>
    <w:rsid w:val="00B84A59"/>
    <w:rsid w:val="00B94053"/>
    <w:rsid w:val="00BB7BBE"/>
    <w:rsid w:val="00BB7DAC"/>
    <w:rsid w:val="00BD3B2B"/>
    <w:rsid w:val="00BE4A88"/>
    <w:rsid w:val="00BF24ED"/>
    <w:rsid w:val="00BF5492"/>
    <w:rsid w:val="00C1695C"/>
    <w:rsid w:val="00C33464"/>
    <w:rsid w:val="00C608CA"/>
    <w:rsid w:val="00C66AA4"/>
    <w:rsid w:val="00C9003E"/>
    <w:rsid w:val="00C977B8"/>
    <w:rsid w:val="00CB2892"/>
    <w:rsid w:val="00CB300B"/>
    <w:rsid w:val="00CB5F7D"/>
    <w:rsid w:val="00CD4C8A"/>
    <w:rsid w:val="00CD6678"/>
    <w:rsid w:val="00CE1112"/>
    <w:rsid w:val="00CE1433"/>
    <w:rsid w:val="00CF3DF7"/>
    <w:rsid w:val="00D250F4"/>
    <w:rsid w:val="00D26ADF"/>
    <w:rsid w:val="00D313E5"/>
    <w:rsid w:val="00D40D4A"/>
    <w:rsid w:val="00D7311E"/>
    <w:rsid w:val="00D9201C"/>
    <w:rsid w:val="00D96B66"/>
    <w:rsid w:val="00DA7BA1"/>
    <w:rsid w:val="00DB69A2"/>
    <w:rsid w:val="00DD011B"/>
    <w:rsid w:val="00DD7E95"/>
    <w:rsid w:val="00DE0080"/>
    <w:rsid w:val="00DE201D"/>
    <w:rsid w:val="00DF3BCD"/>
    <w:rsid w:val="00E11854"/>
    <w:rsid w:val="00E11D68"/>
    <w:rsid w:val="00E31CA0"/>
    <w:rsid w:val="00E44ACE"/>
    <w:rsid w:val="00E50073"/>
    <w:rsid w:val="00E71DD6"/>
    <w:rsid w:val="00E72328"/>
    <w:rsid w:val="00E82558"/>
    <w:rsid w:val="00EB2250"/>
    <w:rsid w:val="00EB5288"/>
    <w:rsid w:val="00ED5523"/>
    <w:rsid w:val="00EE0EF5"/>
    <w:rsid w:val="00EE6889"/>
    <w:rsid w:val="00EF38CA"/>
    <w:rsid w:val="00F229E7"/>
    <w:rsid w:val="00F36A0B"/>
    <w:rsid w:val="00F36C0B"/>
    <w:rsid w:val="00F40626"/>
    <w:rsid w:val="00F4663E"/>
    <w:rsid w:val="00F639B3"/>
    <w:rsid w:val="00FC6566"/>
    <w:rsid w:val="00FD5825"/>
    <w:rsid w:val="00FE1517"/>
  </w:rsids>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46126FFD"/>
  <w15:docId w15:val="{0F9608CE-04F5-4A0B-BBDE-BCB9B51C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DB"/>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1B0140"/>
    <w:pPr>
      <w:keepNext/>
      <w:spacing w:after="240"/>
      <w:ind w:left="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uiPriority w:val="99"/>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
    <w:name w:val="Unresolved Mention"/>
    <w:basedOn w:val="DefaultParagraphFont"/>
    <w:rsid w:val="00C1695C"/>
    <w:rPr>
      <w:color w:val="605E5C"/>
      <w:shd w:val="clear" w:color="auto" w:fill="E1DFDD"/>
    </w:rPr>
  </w:style>
  <w:style w:type="character" w:customStyle="1" w:styleId="ssit">
    <w:name w:val="ss_it"/>
    <w:basedOn w:val="DefaultParagraphFont"/>
    <w:rsid w:val="00A8192C"/>
  </w:style>
  <w:style w:type="character" w:customStyle="1" w:styleId="sssh">
    <w:name w:val="ss_sh"/>
    <w:basedOn w:val="DefaultParagraphFont"/>
    <w:rsid w:val="00A8192C"/>
  </w:style>
  <w:style w:type="character" w:styleId="EndnoteReference">
    <w:name w:val="endnote reference"/>
    <w:basedOn w:val="DefaultParagraphFont"/>
    <w:semiHidden/>
    <w:unhideWhenUsed/>
    <w:rsid w:val="00D26ADF"/>
    <w:rPr>
      <w:vertAlign w:val="superscript"/>
    </w:rPr>
  </w:style>
  <w:style w:type="paragraph" w:styleId="Revision">
    <w:name w:val="Revision"/>
    <w:hidden/>
    <w:uiPriority w:val="99"/>
    <w:semiHidden/>
    <w:rsid w:val="00CB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yperlink" Target="mailto:amy.botschnerobrien@ohioago.gov" TargetMode="External" /><Relationship Id="rId17" Type="http://schemas.openxmlformats.org/officeDocument/2006/relationships/hyperlink" Target="mailto:lauren.williams@ohioago.gov" TargetMode="External" /><Relationship Id="rId18" Type="http://schemas.openxmlformats.org/officeDocument/2006/relationships/hyperlink" Target="mailto:patricia.schabo@puco.ohio.gov" TargetMode="External" /><Relationship Id="rId19" Type="http://schemas.openxmlformats.org/officeDocument/2006/relationships/hyperlink" Target="mailto:chrisopher.hollon@aes.com" TargetMode="Externa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C054-49BF-4FCA-8820-CCC4C451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2024-01-02T21:01:46Z</dcterms:created>
  <dcterms:modified xsi:type="dcterms:W3CDTF">2024-01-02T21:01:46Z</dcterms:modified>
</cp:coreProperties>
</file>