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4A3EBE">
      <w:pPr>
        <w:pStyle w:val="HTMLPreformatted"/>
        <w:rPr>
          <w:rFonts w:ascii="Times New Roman" w:hAnsi="Times New Roman"/>
          <w:sz w:val="24"/>
        </w:rPr>
      </w:pPr>
    </w:p>
    <w:tbl>
      <w:tblPr>
        <w:tblW w:w="9170" w:type="dxa"/>
        <w:tblLook w:val="01E0"/>
      </w:tblPr>
      <w:tblGrid>
        <w:gridCol w:w="4410"/>
        <w:gridCol w:w="360"/>
        <w:gridCol w:w="4400"/>
      </w:tblGrid>
      <w:tr w:rsidTr="00A202A3">
        <w:tblPrEx>
          <w:tblW w:w="9170" w:type="dxa"/>
          <w:tblLook w:val="01E0"/>
        </w:tblPrEx>
        <w:trPr>
          <w:trHeight w:val="807"/>
        </w:trPr>
        <w:tc>
          <w:tcPr>
            <w:tcW w:w="4410" w:type="dxa"/>
            <w:shd w:val="clear" w:color="auto" w:fill="auto"/>
          </w:tcPr>
          <w:p w:rsidR="00A202A3" w:rsidRPr="00A202A3" w:rsidP="00A202A3">
            <w:pPr>
              <w:autoSpaceDE w:val="0"/>
              <w:autoSpaceDN w:val="0"/>
              <w:adjustRightInd w:val="0"/>
            </w:pPr>
            <w:r w:rsidRPr="00A202A3">
              <w:t>In the Matter of the Application of Direct Energy Business, LLC and Direct Energy Services, LLC for Waivers of Certain Provisions of Chapters 4901:1-21 and 4901:1-29, O.A.C., to Permit Third-Party Verification by Digital Confirmation.</w:t>
            </w:r>
          </w:p>
        </w:tc>
        <w:tc>
          <w:tcPr>
            <w:tcW w:w="360" w:type="dxa"/>
            <w:shd w:val="clear" w:color="auto" w:fill="auto"/>
          </w:tcPr>
          <w:p w:rsidR="00A202A3" w:rsidRPr="00A044B5" w:rsidP="002F290A">
            <w:pPr>
              <w:pStyle w:val="HTMLPreformatted"/>
              <w:rPr>
                <w:rFonts w:ascii="Times New Roman" w:hAnsi="Times New Roman"/>
                <w:sz w:val="24"/>
              </w:rPr>
            </w:pPr>
            <w:r w:rsidRPr="00A044B5">
              <w:rPr>
                <w:rFonts w:ascii="Times New Roman" w:hAnsi="Times New Roman"/>
                <w:sz w:val="24"/>
              </w:rPr>
              <w:t>)</w:t>
            </w:r>
          </w:p>
          <w:p w:rsidR="00A202A3" w:rsidRPr="00A044B5" w:rsidP="002F290A">
            <w:pPr>
              <w:pStyle w:val="HTMLPreformatted"/>
              <w:rPr>
                <w:rFonts w:ascii="Times New Roman" w:hAnsi="Times New Roman"/>
                <w:sz w:val="24"/>
              </w:rPr>
            </w:pPr>
            <w:r w:rsidRPr="00A044B5">
              <w:rPr>
                <w:rFonts w:ascii="Times New Roman" w:hAnsi="Times New Roman"/>
                <w:sz w:val="24"/>
              </w:rPr>
              <w:t>)</w:t>
            </w:r>
          </w:p>
          <w:p w:rsidR="00A202A3" w:rsidRPr="00A044B5" w:rsidP="002F290A">
            <w:pPr>
              <w:pStyle w:val="HTMLPreformatted"/>
              <w:rPr>
                <w:rFonts w:ascii="Times New Roman" w:hAnsi="Times New Roman"/>
                <w:sz w:val="24"/>
              </w:rPr>
            </w:pPr>
            <w:r w:rsidRPr="00A044B5">
              <w:rPr>
                <w:rFonts w:ascii="Times New Roman" w:hAnsi="Times New Roman"/>
                <w:sz w:val="24"/>
              </w:rPr>
              <w:t>)</w:t>
            </w:r>
          </w:p>
          <w:p w:rsidR="00A202A3" w:rsidP="002F290A">
            <w:pPr>
              <w:pStyle w:val="HTMLPreformatted"/>
              <w:rPr>
                <w:rFonts w:ascii="Times New Roman" w:hAnsi="Times New Roman"/>
                <w:sz w:val="24"/>
              </w:rPr>
            </w:pPr>
            <w:r w:rsidRPr="00A044B5">
              <w:rPr>
                <w:rFonts w:ascii="Times New Roman" w:hAnsi="Times New Roman"/>
                <w:sz w:val="24"/>
              </w:rPr>
              <w:t>)</w:t>
            </w:r>
          </w:p>
          <w:p w:rsidR="00A202A3" w:rsidP="002F290A">
            <w:pPr>
              <w:pStyle w:val="HTMLPreformatted"/>
              <w:rPr>
                <w:rFonts w:ascii="Times New Roman" w:hAnsi="Times New Roman"/>
                <w:sz w:val="24"/>
              </w:rPr>
            </w:pPr>
            <w:r>
              <w:rPr>
                <w:rFonts w:ascii="Times New Roman" w:hAnsi="Times New Roman"/>
                <w:sz w:val="24"/>
              </w:rPr>
              <w:t>)</w:t>
            </w:r>
          </w:p>
          <w:p w:rsidR="00A202A3" w:rsidP="002F290A">
            <w:pPr>
              <w:pStyle w:val="HTMLPreformatted"/>
              <w:rPr>
                <w:rFonts w:ascii="Times New Roman" w:hAnsi="Times New Roman"/>
                <w:sz w:val="24"/>
              </w:rPr>
            </w:pPr>
            <w:r>
              <w:rPr>
                <w:rFonts w:ascii="Times New Roman" w:hAnsi="Times New Roman"/>
                <w:sz w:val="24"/>
              </w:rPr>
              <w:t>)</w:t>
            </w:r>
          </w:p>
          <w:p w:rsidR="00A202A3" w:rsidRPr="00A044B5" w:rsidP="002F290A">
            <w:pPr>
              <w:pStyle w:val="HTMLPreformatted"/>
              <w:rPr>
                <w:rFonts w:ascii="Times New Roman" w:hAnsi="Times New Roman"/>
                <w:sz w:val="24"/>
              </w:rPr>
            </w:pPr>
          </w:p>
        </w:tc>
        <w:tc>
          <w:tcPr>
            <w:tcW w:w="4400" w:type="dxa"/>
            <w:shd w:val="clear" w:color="auto" w:fill="auto"/>
          </w:tcPr>
          <w:p w:rsidR="00A202A3" w:rsidRPr="00A044B5" w:rsidP="002F290A">
            <w:pPr>
              <w:pStyle w:val="HTMLPreformatted"/>
              <w:rPr>
                <w:rFonts w:ascii="Times New Roman" w:hAnsi="Times New Roman"/>
                <w:sz w:val="24"/>
              </w:rPr>
            </w:pPr>
          </w:p>
          <w:p w:rsidR="00A202A3" w:rsidRPr="00A044B5" w:rsidP="002F290A">
            <w:pPr>
              <w:pStyle w:val="HTMLPreformatted"/>
              <w:rPr>
                <w:rFonts w:ascii="Times New Roman" w:hAnsi="Times New Roman"/>
                <w:sz w:val="24"/>
              </w:rPr>
            </w:pPr>
            <w:r w:rsidRPr="00A044B5">
              <w:rPr>
                <w:rFonts w:ascii="Times New Roman" w:hAnsi="Times New Roman"/>
                <w:sz w:val="24"/>
              </w:rPr>
              <w:t xml:space="preserve">Case No. </w:t>
            </w:r>
            <w:r w:rsidRPr="00A202A3">
              <w:rPr>
                <w:rFonts w:ascii="Times New Roman" w:hAnsi="Times New Roman"/>
                <w:sz w:val="24"/>
              </w:rPr>
              <w:t>18-382-GE-WVR</w:t>
            </w:r>
            <w:r w:rsidRPr="00A044B5">
              <w:rPr>
                <w:rFonts w:ascii="Times New Roman" w:hAnsi="Times New Roman"/>
                <w:sz w:val="24"/>
              </w:rPr>
              <w:t xml:space="preserve"> </w:t>
            </w:r>
          </w:p>
          <w:p w:rsidR="00A202A3" w:rsidRPr="00A044B5" w:rsidP="002F290A">
            <w:pPr>
              <w:pStyle w:val="HTMLPreformatted"/>
              <w:rPr>
                <w:rFonts w:ascii="Times New Roman" w:hAnsi="Times New Roman"/>
                <w:sz w:val="24"/>
              </w:rPr>
            </w:pPr>
          </w:p>
          <w:p w:rsidR="00A202A3" w:rsidRPr="00A044B5" w:rsidP="002F290A">
            <w:pPr>
              <w:pStyle w:val="HTMLPreformatted"/>
              <w:rPr>
                <w:rFonts w:ascii="Times New Roman" w:hAnsi="Times New Roman"/>
                <w:sz w:val="24"/>
              </w:rPr>
            </w:pPr>
          </w:p>
        </w:tc>
      </w:tr>
    </w:tbl>
    <w:p w:rsidR="00A044B5">
      <w:pPr>
        <w:pStyle w:val="HTMLPreformatted"/>
        <w:pBdr>
          <w:top w:val="single" w:sz="12" w:space="1" w:color="auto"/>
        </w:pBdr>
        <w:rPr>
          <w:rFonts w:ascii="Times New Roman" w:hAnsi="Times New Roman"/>
          <w:sz w:val="24"/>
        </w:rPr>
      </w:pPr>
    </w:p>
    <w:p w:rsidR="00A044B5">
      <w:pPr>
        <w:jc w:val="center"/>
        <w:rPr>
          <w:b/>
          <w:bCs/>
        </w:rPr>
      </w:pPr>
      <w:r>
        <w:rPr>
          <w:b/>
          <w:bCs/>
        </w:rPr>
        <w:t xml:space="preserve">APPLICATION FOR REHEARING OF THE </w:t>
      </w:r>
      <w:r w:rsidR="00F77A89">
        <w:rPr>
          <w:b/>
          <w:bCs/>
        </w:rPr>
        <w:t>PUCO’S</w:t>
      </w:r>
      <w:r>
        <w:rPr>
          <w:b/>
          <w:bCs/>
        </w:rPr>
        <w:t xml:space="preserve"> </w:t>
      </w:r>
      <w:r w:rsidR="00ED454D">
        <w:rPr>
          <w:b/>
          <w:bCs/>
        </w:rPr>
        <w:t>ENTRY</w:t>
      </w:r>
      <w:r>
        <w:rPr>
          <w:b/>
          <w:bCs/>
        </w:rPr>
        <w:t xml:space="preserve"> GRANTING A WAIVER OF CONSUMER PROTECTION</w:t>
      </w:r>
      <w:r w:rsidR="006A671D">
        <w:rPr>
          <w:b/>
          <w:bCs/>
        </w:rPr>
        <w:t xml:space="preserve"> RULE</w:t>
      </w:r>
      <w:r>
        <w:rPr>
          <w:b/>
          <w:bCs/>
        </w:rPr>
        <w:t>S</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C744A9" w:rsidP="00590C74">
      <w:pPr>
        <w:pStyle w:val="BodyTextIndent3"/>
        <w:suppressAutoHyphens/>
        <w:spacing w:before="120" w:line="480" w:lineRule="auto"/>
      </w:pPr>
      <w:r>
        <w:t>The Office of the Ohio Consumers’ Counsel (“OCC”) is filing for rehearing of the Entry approving Direct Energy’s</w:t>
      </w:r>
      <w:r>
        <w:rPr>
          <w:rStyle w:val="FootnoteReference"/>
          <w:szCs w:val="24"/>
        </w:rPr>
        <w:footnoteReference w:id="2"/>
      </w:r>
      <w:r>
        <w:t xml:space="preserve"> request to replace the usual consumer protection of third-party verification when Ohioans change their utility service supplier.</w:t>
      </w:r>
      <w:r>
        <w:rPr>
          <w:rStyle w:val="FootnoteReference"/>
        </w:rPr>
        <w:footnoteReference w:id="3"/>
      </w:r>
      <w:r w:rsidR="00EE4CFC">
        <w:t xml:space="preserve"> </w:t>
      </w:r>
      <w:r w:rsidR="00B062A2">
        <w:t>Ohio law protects consumers against unlawful changes of their utility service provider.</w:t>
      </w:r>
      <w:r>
        <w:rPr>
          <w:rStyle w:val="FootnoteReference"/>
        </w:rPr>
        <w:footnoteReference w:id="4"/>
      </w:r>
      <w:r w:rsidR="00EE4CFC">
        <w:t xml:space="preserve"> </w:t>
      </w:r>
      <w:r w:rsidR="004D6856">
        <w:t xml:space="preserve">In this case, the Public Utilities Commission of Ohio (“PUCO”) has allowed </w:t>
      </w:r>
      <w:r w:rsidR="002736E7">
        <w:t>a</w:t>
      </w:r>
      <w:r w:rsidR="004D6856">
        <w:t xml:space="preserve"> marketer to cease providing an important consumer protection on </w:t>
      </w:r>
      <w:r w:rsidR="002736E7">
        <w:t>door-to-door sales</w:t>
      </w:r>
      <w:r>
        <w:t xml:space="preserve"> of utility service</w:t>
      </w:r>
      <w:r w:rsidR="004D6856">
        <w:t>.</w:t>
      </w:r>
    </w:p>
    <w:p w:rsidR="00141F46" w:rsidP="008004EE">
      <w:pPr>
        <w:pStyle w:val="BodyTextIndent3"/>
        <w:suppressAutoHyphens/>
        <w:spacing w:line="480" w:lineRule="auto"/>
      </w:pPr>
      <w:r>
        <w:t xml:space="preserve">The PUCO </w:t>
      </w:r>
      <w:r w:rsidR="009F0D97">
        <w:t xml:space="preserve">has adopted rules </w:t>
      </w:r>
      <w:r w:rsidR="00201041">
        <w:t>to protect Ohio residential consumers in the marketing of</w:t>
      </w:r>
      <w:r w:rsidR="009F0D97">
        <w:t xml:space="preserve"> competitive </w:t>
      </w:r>
      <w:r w:rsidR="000277B9">
        <w:t>utility</w:t>
      </w:r>
      <w:r w:rsidR="009F0D97">
        <w:t xml:space="preserve"> service</w:t>
      </w:r>
      <w:r w:rsidR="00201041">
        <w:t>.</w:t>
      </w:r>
      <w:r>
        <w:rPr>
          <w:rStyle w:val="FootnoteReference"/>
        </w:rPr>
        <w:footnoteReference w:id="5"/>
      </w:r>
      <w:r w:rsidR="00EE4CFC">
        <w:t xml:space="preserve"> </w:t>
      </w:r>
      <w:r w:rsidR="00C744A9">
        <w:t xml:space="preserve">The PUCO’s </w:t>
      </w:r>
      <w:r w:rsidR="00201041">
        <w:t>rule</w:t>
      </w:r>
      <w:r w:rsidR="00C744A9">
        <w:t>s</w:t>
      </w:r>
      <w:r w:rsidR="00201041">
        <w:t xml:space="preserve"> require </w:t>
      </w:r>
      <w:r w:rsidR="00C744A9">
        <w:t xml:space="preserve">independent third-party </w:t>
      </w:r>
      <w:r w:rsidR="00201041">
        <w:t xml:space="preserve">verification of a consumer’s enrollment for a marketer’s </w:t>
      </w:r>
      <w:r w:rsidR="00C744A9">
        <w:t xml:space="preserve">utility </w:t>
      </w:r>
      <w:r w:rsidR="00201041">
        <w:t>service</w:t>
      </w:r>
      <w:r w:rsidR="00C744A9">
        <w:t xml:space="preserve"> through door-to-door sales</w:t>
      </w:r>
      <w:r w:rsidR="00201041">
        <w:t>.</w:t>
      </w:r>
      <w:r>
        <w:rPr>
          <w:rStyle w:val="FootnoteReference"/>
        </w:rPr>
        <w:footnoteReference w:id="6"/>
      </w:r>
      <w:r w:rsidR="00EE4CFC">
        <w:t xml:space="preserve"> </w:t>
      </w:r>
      <w:r w:rsidR="00ED39D5">
        <w:t xml:space="preserve">Under the PUCO’s </w:t>
      </w:r>
      <w:r w:rsidR="00590C74">
        <w:t>Entry</w:t>
      </w:r>
      <w:r w:rsidR="00ED39D5">
        <w:t>, the independent third</w:t>
      </w:r>
      <w:r w:rsidR="00590C74">
        <w:t>-</w:t>
      </w:r>
      <w:r w:rsidR="00ED39D5">
        <w:t xml:space="preserve">party recording will </w:t>
      </w:r>
      <w:r w:rsidR="00C744A9">
        <w:t xml:space="preserve">be replaced by </w:t>
      </w:r>
      <w:r w:rsidR="00C744A9">
        <w:rPr>
          <w:szCs w:val="24"/>
        </w:rPr>
        <w:t>electronic verification of consumers’ changes to their utility service provider</w:t>
      </w:r>
      <w:r w:rsidR="00B230F2">
        <w:rPr>
          <w:szCs w:val="24"/>
        </w:rPr>
        <w:t xml:space="preserve"> unless the customer requests telephonic verification</w:t>
      </w:r>
      <w:r w:rsidR="00ED39D5">
        <w:t>.</w:t>
      </w:r>
      <w:r>
        <w:rPr>
          <w:rStyle w:val="FootnoteReference"/>
        </w:rPr>
        <w:footnoteReference w:id="7"/>
      </w:r>
      <w:r w:rsidR="00EE4CFC">
        <w:t xml:space="preserve"> </w:t>
      </w:r>
    </w:p>
    <w:p w:rsidR="009F0D97" w:rsidP="00C93B00">
      <w:pPr>
        <w:pStyle w:val="BodyTextIndent3"/>
        <w:suppressAutoHyphens/>
        <w:spacing w:line="480" w:lineRule="auto"/>
      </w:pPr>
      <w:r>
        <w:t xml:space="preserve">The ruling is in effect until the PUCO issues an order in its five-year review of the </w:t>
      </w:r>
      <w:r w:rsidR="00C744A9">
        <w:t xml:space="preserve">electric and natural </w:t>
      </w:r>
      <w:r>
        <w:t>gas marketing rules.</w:t>
      </w:r>
      <w:r>
        <w:rPr>
          <w:rStyle w:val="FootnoteReference"/>
        </w:rPr>
        <w:footnoteReference w:id="8"/>
      </w:r>
      <w:r w:rsidR="00EE4CFC">
        <w:t xml:space="preserve"> </w:t>
      </w:r>
      <w:r w:rsidR="00C744A9">
        <w:t>Those</w:t>
      </w:r>
      <w:r w:rsidR="00CB6F1C">
        <w:t xml:space="preserve"> rulemaking</w:t>
      </w:r>
      <w:r w:rsidR="00C2552C">
        <w:t>s</w:t>
      </w:r>
      <w:r w:rsidR="00CB6F1C">
        <w:t xml:space="preserve"> </w:t>
      </w:r>
      <w:r w:rsidR="00C744A9">
        <w:t xml:space="preserve">were </w:t>
      </w:r>
      <w:r w:rsidR="00CB6F1C">
        <w:t>initiated more than a year ago</w:t>
      </w:r>
      <w:r w:rsidR="00ED39D5">
        <w:t>,</w:t>
      </w:r>
      <w:r w:rsidR="00CB6F1C">
        <w:t xml:space="preserve"> yet no procedural schedule has been established for </w:t>
      </w:r>
      <w:r w:rsidR="00C744A9">
        <w:t>them</w:t>
      </w:r>
      <w:r w:rsidR="00325A9A">
        <w:t>.</w:t>
      </w:r>
      <w:r w:rsidR="00EE4CFC">
        <w:t xml:space="preserve"> </w:t>
      </w:r>
      <w:r w:rsidR="00590C74">
        <w:t xml:space="preserve">Thus, consumers could “temporarily” lose an important consumer protection regarding the marketing of </w:t>
      </w:r>
      <w:r w:rsidR="00C2552C">
        <w:t xml:space="preserve">utility </w:t>
      </w:r>
      <w:r w:rsidR="00590C74">
        <w:t>service for a substantial time.</w:t>
      </w:r>
      <w:r w:rsidR="00955365">
        <w:t xml:space="preserve"> </w:t>
      </w:r>
    </w:p>
    <w:p w:rsidR="00A044B5" w:rsidP="00C9681B">
      <w:pPr>
        <w:pStyle w:val="BodyTextIndent3"/>
        <w:suppressAutoHyphens/>
        <w:spacing w:line="480" w:lineRule="auto"/>
      </w:pPr>
      <w:r>
        <w:t xml:space="preserve">The Office of the Ohio Consumers’ Counsel (“OCC”) </w:t>
      </w:r>
      <w:r w:rsidR="003E05ED">
        <w:t xml:space="preserve">files an Application for Rehearing of the </w:t>
      </w:r>
      <w:r w:rsidR="00C93B00">
        <w:t>PUCO’s Entry</w:t>
      </w:r>
      <w:r w:rsidR="000E5921">
        <w:t>.</w:t>
      </w:r>
      <w:r w:rsidR="00EE4CFC">
        <w:t xml:space="preserve"> </w:t>
      </w:r>
      <w:r w:rsidR="00BE7259">
        <w:t xml:space="preserve">The </w:t>
      </w:r>
      <w:r w:rsidR="00C93B00">
        <w:t xml:space="preserve">Entry </w:t>
      </w:r>
      <w:r w:rsidR="00BE7259">
        <w:t xml:space="preserve">was </w:t>
      </w:r>
      <w:r w:rsidR="00C2552C">
        <w:t xml:space="preserve">unjust, </w:t>
      </w:r>
      <w:r w:rsidR="00BE7259">
        <w:t>unlawful</w:t>
      </w:r>
      <w:r w:rsidR="00C2552C">
        <w:t>,</w:t>
      </w:r>
      <w:r w:rsidR="00BE7259">
        <w:t xml:space="preserve"> and unreasonable in the following respects:</w:t>
      </w:r>
    </w:p>
    <w:p w:rsidR="00ED454D" w:rsidRPr="00B230F2" w:rsidP="00F657E2">
      <w:pPr>
        <w:pStyle w:val="BodyTextIndent3"/>
        <w:numPr>
          <w:ilvl w:val="0"/>
          <w:numId w:val="8"/>
        </w:numPr>
        <w:suppressAutoHyphens/>
        <w:spacing w:after="240" w:line="240" w:lineRule="auto"/>
        <w:ind w:hanging="720"/>
      </w:pPr>
      <w:r>
        <w:t xml:space="preserve">The Entry is unjust, unlawful, and unreasonable because it does not effectively protect consumers against </w:t>
      </w:r>
      <w:r w:rsidRPr="00473B66">
        <w:rPr>
          <w:szCs w:val="24"/>
        </w:rPr>
        <w:t xml:space="preserve">misleading, deceptive, unfair, and unconscionable acts and practices in the marketing, solicitation, and sale of competitive retail </w:t>
      </w:r>
      <w:r>
        <w:rPr>
          <w:szCs w:val="24"/>
        </w:rPr>
        <w:t xml:space="preserve">utility </w:t>
      </w:r>
      <w:r w:rsidRPr="00473B66">
        <w:rPr>
          <w:szCs w:val="24"/>
        </w:rPr>
        <w:t>service</w:t>
      </w:r>
      <w:r>
        <w:rPr>
          <w:szCs w:val="24"/>
        </w:rPr>
        <w:t>.</w:t>
      </w:r>
    </w:p>
    <w:p w:rsidR="008945A7" w:rsidP="00F657E2">
      <w:pPr>
        <w:pStyle w:val="BodyTextIndent3"/>
        <w:numPr>
          <w:ilvl w:val="0"/>
          <w:numId w:val="8"/>
        </w:numPr>
        <w:suppressAutoHyphens/>
        <w:spacing w:after="240" w:line="240" w:lineRule="auto"/>
        <w:ind w:hanging="720"/>
      </w:pPr>
      <w:r w:rsidRPr="00473B66">
        <w:rPr>
          <w:szCs w:val="24"/>
        </w:rPr>
        <w:t xml:space="preserve">The </w:t>
      </w:r>
      <w:r w:rsidR="00B230F2">
        <w:rPr>
          <w:szCs w:val="24"/>
        </w:rPr>
        <w:t>Entry</w:t>
      </w:r>
      <w:r w:rsidRPr="00473B66">
        <w:rPr>
          <w:szCs w:val="24"/>
        </w:rPr>
        <w:t xml:space="preserve"> violate</w:t>
      </w:r>
      <w:r w:rsidR="00B230F2">
        <w:rPr>
          <w:szCs w:val="24"/>
        </w:rPr>
        <w:t>s</w:t>
      </w:r>
      <w:r w:rsidRPr="00473B66">
        <w:rPr>
          <w:szCs w:val="24"/>
        </w:rPr>
        <w:t xml:space="preserve"> R.C. 4903.09 by granting a waiver of the </w:t>
      </w:r>
      <w:r w:rsidR="000277B9">
        <w:rPr>
          <w:szCs w:val="24"/>
        </w:rPr>
        <w:t xml:space="preserve">independent </w:t>
      </w:r>
      <w:r w:rsidRPr="00473B66">
        <w:rPr>
          <w:szCs w:val="24"/>
        </w:rPr>
        <w:t xml:space="preserve">third-party verification rules without explaining how good cause </w:t>
      </w:r>
      <w:r w:rsidR="00C2552C">
        <w:rPr>
          <w:szCs w:val="24"/>
        </w:rPr>
        <w:t xml:space="preserve">was shown </w:t>
      </w:r>
      <w:r w:rsidRPr="00473B66">
        <w:rPr>
          <w:szCs w:val="24"/>
        </w:rPr>
        <w:t xml:space="preserve">for a waiver of rules designed to protect consumers against misleading, deceptive, unfair, and unconscionable acts and practices in the marketing, solicitation, and sale of competitive retail </w:t>
      </w:r>
      <w:r w:rsidR="00C2552C">
        <w:rPr>
          <w:szCs w:val="24"/>
        </w:rPr>
        <w:t xml:space="preserve">utility </w:t>
      </w:r>
      <w:r w:rsidRPr="00473B66">
        <w:rPr>
          <w:szCs w:val="24"/>
        </w:rPr>
        <w:t>service</w:t>
      </w:r>
      <w:r>
        <w:rPr>
          <w:szCs w:val="24"/>
        </w:rPr>
        <w:t>.</w:t>
      </w:r>
    </w:p>
    <w:p w:rsidR="00F657E2" w:rsidP="00C9681B">
      <w:pPr>
        <w:pStyle w:val="BodyTextIndent3"/>
        <w:suppressAutoHyphens/>
        <w:spacing w:line="480" w:lineRule="auto"/>
      </w:pPr>
      <w:r>
        <w:t xml:space="preserve">The PUCO should grant OCC’s Application for Rehearing and </w:t>
      </w:r>
      <w:r w:rsidR="00CF12FF">
        <w:t xml:space="preserve">abrogate </w:t>
      </w:r>
      <w:r>
        <w:t xml:space="preserve">the </w:t>
      </w:r>
      <w:r w:rsidR="00C03CB5">
        <w:t>Entry</w:t>
      </w:r>
      <w:r>
        <w:t>.</w:t>
      </w:r>
      <w:r w:rsidR="00EE4CFC">
        <w:t xml:space="preserve"> </w:t>
      </w:r>
      <w:r w:rsidR="00875083">
        <w:t>The PUCO should also stay implementation of the waiver while rehearing is pending.</w:t>
      </w:r>
      <w:r w:rsidR="00EE4CFC">
        <w:t xml:space="preserve"> </w:t>
      </w:r>
      <w:r>
        <w:t>The grounds for this Application for Rehearing are set forth in the accompanying Memorandum in Support.</w:t>
      </w:r>
    </w:p>
    <w:p w:rsidR="00F657E2">
      <w:r>
        <w:br w:type="page"/>
      </w:r>
    </w:p>
    <w:p w:rsidR="00A044B5" w:rsidP="00A202A3">
      <w:pPr>
        <w:pStyle w:val="BodyTextIndent3"/>
        <w:widowControl w:val="0"/>
        <w:spacing w:line="480" w:lineRule="auto"/>
        <w:ind w:left="3600" w:firstLine="0"/>
        <w:rPr>
          <w:szCs w:val="24"/>
        </w:rPr>
      </w:pPr>
      <w:r>
        <w:rPr>
          <w:szCs w:val="24"/>
        </w:rPr>
        <w:t>Respectfully submitted,</w:t>
      </w:r>
    </w:p>
    <w:p w:rsidR="00F657E2" w:rsidP="00F657E2">
      <w:pPr>
        <w:pStyle w:val="Footer"/>
        <w:tabs>
          <w:tab w:val="left" w:pos="4320"/>
          <w:tab w:val="clear" w:pos="8640"/>
        </w:tabs>
        <w:ind w:left="3600"/>
        <w:rPr>
          <w:sz w:val="24"/>
          <w:szCs w:val="24"/>
        </w:rPr>
      </w:pPr>
      <w:r>
        <w:rPr>
          <w:sz w:val="24"/>
          <w:szCs w:val="24"/>
        </w:rPr>
        <w:t>Bruce Weston (0016973)</w:t>
      </w:r>
    </w:p>
    <w:p w:rsidR="00F657E2" w:rsidP="00F657E2">
      <w:pPr>
        <w:tabs>
          <w:tab w:val="left" w:pos="4320"/>
        </w:tabs>
        <w:spacing w:after="120"/>
        <w:ind w:left="3600"/>
        <w:rPr>
          <w:szCs w:val="24"/>
        </w:rPr>
      </w:pPr>
      <w:r>
        <w:rPr>
          <w:szCs w:val="24"/>
        </w:rPr>
        <w:t>Ohio Consumers’ Counsel</w:t>
      </w:r>
    </w:p>
    <w:p w:rsidR="00F657E2" w:rsidP="00F657E2">
      <w:pPr>
        <w:autoSpaceDE w:val="0"/>
        <w:autoSpaceDN w:val="0"/>
        <w:adjustRightInd w:val="0"/>
        <w:ind w:left="3600"/>
        <w:rPr>
          <w:i/>
          <w:u w:val="single"/>
        </w:rPr>
      </w:pPr>
      <w:r>
        <w:rPr>
          <w:i/>
          <w:u w:val="single"/>
        </w:rPr>
        <w:t>/s/ Terry L. Etter</w:t>
      </w:r>
      <w:r w:rsidR="00C501ED">
        <w:rPr>
          <w:i/>
          <w:u w:val="single"/>
        </w:rPr>
        <w:tab/>
      </w:r>
      <w:r w:rsidR="00C501ED">
        <w:rPr>
          <w:i/>
          <w:u w:val="single"/>
        </w:rPr>
        <w:tab/>
      </w:r>
      <w:r w:rsidR="00EE4CFC">
        <w:rPr>
          <w:i/>
          <w:u w:val="single"/>
        </w:rPr>
        <w:t xml:space="preserve">       </w:t>
      </w:r>
    </w:p>
    <w:p w:rsidR="00F657E2" w:rsidP="00F657E2">
      <w:pPr>
        <w:autoSpaceDE w:val="0"/>
        <w:autoSpaceDN w:val="0"/>
        <w:adjustRightInd w:val="0"/>
        <w:ind w:left="3600"/>
        <w:rPr>
          <w:iCs/>
        </w:rPr>
      </w:pPr>
      <w:r>
        <w:rPr>
          <w:iCs/>
        </w:rPr>
        <w:t>Terry L. Etter (0067445)</w:t>
      </w:r>
    </w:p>
    <w:p w:rsidR="00F657E2" w:rsidRPr="004D3665" w:rsidP="00F657E2">
      <w:pPr>
        <w:autoSpaceDE w:val="0"/>
        <w:autoSpaceDN w:val="0"/>
        <w:adjustRightInd w:val="0"/>
        <w:ind w:left="3600"/>
        <w:rPr>
          <w:iCs/>
        </w:rPr>
      </w:pPr>
      <w:r w:rsidRPr="004D3665">
        <w:rPr>
          <w:iCs/>
        </w:rPr>
        <w:t>Counsel of Record</w:t>
      </w:r>
    </w:p>
    <w:p w:rsidR="00F657E2" w:rsidP="00F657E2">
      <w:pPr>
        <w:tabs>
          <w:tab w:val="left" w:pos="4320"/>
        </w:tabs>
        <w:ind w:left="3600"/>
        <w:rPr>
          <w:szCs w:val="24"/>
        </w:rPr>
      </w:pPr>
      <w:r>
        <w:rPr>
          <w:szCs w:val="24"/>
        </w:rPr>
        <w:t>Amy Botschner O’Brien (0074423)</w:t>
      </w:r>
    </w:p>
    <w:p w:rsidR="00F657E2" w:rsidP="00F657E2">
      <w:pPr>
        <w:tabs>
          <w:tab w:val="left" w:pos="4320"/>
        </w:tabs>
        <w:ind w:left="3600"/>
        <w:rPr>
          <w:szCs w:val="24"/>
        </w:rPr>
      </w:pPr>
      <w:r>
        <w:rPr>
          <w:szCs w:val="24"/>
        </w:rPr>
        <w:t xml:space="preserve">Assistant Consumers’ Counsel </w:t>
      </w:r>
    </w:p>
    <w:p w:rsidR="00F657E2" w:rsidRPr="00982ED9" w:rsidP="00F657E2">
      <w:pPr>
        <w:spacing w:before="120"/>
        <w:ind w:left="3600"/>
        <w:rPr>
          <w:b/>
          <w:bCs/>
        </w:rPr>
      </w:pPr>
      <w:r w:rsidRPr="00982ED9">
        <w:rPr>
          <w:b/>
          <w:bCs/>
        </w:rPr>
        <w:t>Office of the Ohio Consumers’ Counsel</w:t>
      </w:r>
    </w:p>
    <w:p w:rsidR="00F657E2" w:rsidP="00F657E2">
      <w:pPr>
        <w:ind w:left="3600"/>
        <w:rPr>
          <w:b/>
        </w:rPr>
      </w:pPr>
      <w:r>
        <w:t>65 East State Street, 7</w:t>
      </w:r>
      <w:r w:rsidRPr="004D3665">
        <w:t xml:space="preserve">th </w:t>
      </w:r>
      <w:r>
        <w:t>Floor</w:t>
      </w:r>
    </w:p>
    <w:p w:rsidR="00F657E2" w:rsidP="00F657E2">
      <w:pPr>
        <w:ind w:left="3600"/>
        <w:rPr>
          <w:b/>
        </w:rPr>
      </w:pPr>
      <w:r>
        <w:t>Columbus, Ohio 43215-4213</w:t>
      </w:r>
    </w:p>
    <w:p w:rsidR="00F657E2" w:rsidP="00F657E2">
      <w:pPr>
        <w:autoSpaceDE w:val="0"/>
        <w:autoSpaceDN w:val="0"/>
        <w:adjustRightInd w:val="0"/>
        <w:ind w:left="3600"/>
        <w:rPr>
          <w:szCs w:val="24"/>
        </w:rPr>
      </w:pPr>
      <w:r>
        <w:rPr>
          <w:szCs w:val="24"/>
        </w:rPr>
        <w:t>Telephone [Etter]: (614) 466-7964</w:t>
      </w:r>
    </w:p>
    <w:p w:rsidR="00F657E2" w:rsidP="00F657E2">
      <w:pPr>
        <w:autoSpaceDE w:val="0"/>
        <w:autoSpaceDN w:val="0"/>
        <w:adjustRightInd w:val="0"/>
        <w:ind w:left="3600"/>
        <w:rPr>
          <w:szCs w:val="24"/>
        </w:rPr>
      </w:pPr>
      <w:r>
        <w:rPr>
          <w:szCs w:val="24"/>
        </w:rPr>
        <w:t>Telephone [Botschner O’Brien]: (614) 466-9575</w:t>
      </w:r>
    </w:p>
    <w:p w:rsidR="00F657E2" w:rsidRPr="004D3665" w:rsidP="00F657E2">
      <w:pPr>
        <w:ind w:left="3600"/>
        <w:rPr>
          <w:color w:val="0000FF"/>
          <w:szCs w:val="24"/>
          <w:u w:val="single"/>
        </w:rPr>
      </w:pPr>
      <w:r w:rsidRPr="004D3665">
        <w:rPr>
          <w:color w:val="0000FF"/>
          <w:szCs w:val="24"/>
          <w:u w:val="single"/>
        </w:rPr>
        <w:t>terry.etter@occ.ohio.gov</w:t>
      </w:r>
    </w:p>
    <w:p w:rsidR="00F657E2" w:rsidRPr="004D3665" w:rsidP="00F657E2">
      <w:pPr>
        <w:autoSpaceDE w:val="0"/>
        <w:autoSpaceDN w:val="0"/>
        <w:adjustRightInd w:val="0"/>
        <w:ind w:left="3600"/>
        <w:rPr>
          <w:color w:val="0000FF"/>
          <w:szCs w:val="24"/>
          <w:u w:val="single"/>
        </w:rPr>
      </w:pPr>
      <w:r w:rsidRPr="004D3665">
        <w:rPr>
          <w:color w:val="0000FF"/>
          <w:szCs w:val="24"/>
          <w:u w:val="single"/>
        </w:rPr>
        <w:t>amy.botschner.obrien@occ.ohio.gov</w:t>
      </w:r>
    </w:p>
    <w:p w:rsidR="00F657E2" w:rsidP="00F657E2">
      <w:pPr>
        <w:ind w:left="3600"/>
        <w:rPr>
          <w:szCs w:val="24"/>
        </w:rPr>
      </w:pPr>
      <w:r w:rsidRPr="00E53E6E">
        <w:rPr>
          <w:szCs w:val="24"/>
        </w:rPr>
        <w:t>(will</w:t>
      </w:r>
      <w:r>
        <w:rPr>
          <w:szCs w:val="24"/>
        </w:rPr>
        <w:t>ing to</w:t>
      </w:r>
      <w:r w:rsidRPr="00E53E6E">
        <w:rPr>
          <w:szCs w:val="24"/>
        </w:rPr>
        <w:t xml:space="preserve"> accept service </w:t>
      </w:r>
      <w:r>
        <w:rPr>
          <w:szCs w:val="24"/>
        </w:rPr>
        <w:t>by e-mail</w:t>
      </w:r>
      <w:r w:rsidRPr="00E53E6E">
        <w:rPr>
          <w:szCs w:val="24"/>
        </w:rPr>
        <w:t>)</w:t>
      </w:r>
    </w:p>
    <w:p w:rsidR="00F657E2">
      <w:pPr>
        <w:pStyle w:val="HTMLPreformatted"/>
        <w:jc w:val="center"/>
        <w:rPr>
          <w:rFonts w:ascii="Times New Roman" w:hAnsi="Times New Roman"/>
          <w:b/>
          <w:bCs/>
          <w:sz w:val="24"/>
        </w:rPr>
      </w:pPr>
    </w:p>
    <w:p w:rsidR="00F657E2">
      <w:pPr>
        <w:pStyle w:val="HTMLPreformatted"/>
        <w:jc w:val="center"/>
        <w:rPr>
          <w:rFonts w:ascii="Times New Roman" w:hAnsi="Times New Roman"/>
          <w:b/>
          <w:bCs/>
          <w:sz w:val="24"/>
        </w:rPr>
      </w:pPr>
    </w:p>
    <w:p w:rsidR="00F657E2">
      <w:pPr>
        <w:pStyle w:val="HTMLPreformatted"/>
        <w:jc w:val="center"/>
        <w:rPr>
          <w:rFonts w:ascii="Times New Roman" w:hAnsi="Times New Roman"/>
          <w:b/>
          <w:bCs/>
          <w:sz w:val="24"/>
        </w:rPr>
      </w:pPr>
    </w:p>
    <w:p w:rsidR="00F657E2">
      <w:pPr>
        <w:pStyle w:val="HTMLPreformatted"/>
        <w:jc w:val="center"/>
        <w:rPr>
          <w:rFonts w:ascii="Times New Roman" w:hAnsi="Times New Roman"/>
          <w:b/>
          <w:bCs/>
          <w:sz w:val="24"/>
        </w:rPr>
      </w:pPr>
    </w:p>
    <w:p w:rsidR="00F657E2">
      <w:pPr>
        <w:pStyle w:val="HTMLPreformatted"/>
        <w:jc w:val="center"/>
        <w:rPr>
          <w:rFonts w:ascii="Times New Roman" w:hAnsi="Times New Roman"/>
          <w:b/>
          <w:bCs/>
          <w:sz w:val="24"/>
        </w:rPr>
        <w:sectPr w:rsidSect="00B7546D">
          <w:footerReference w:type="default" r:id="rId5"/>
          <w:footerReference w:type="first" r:id="rId6"/>
          <w:pgSz w:w="12240" w:h="15840"/>
          <w:pgMar w:top="1440" w:right="1800" w:bottom="1440" w:left="1800" w:header="720" w:footer="720" w:gutter="0"/>
          <w:pgNumType w:start="1"/>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170" w:type="dxa"/>
        <w:tblLook w:val="01E0"/>
      </w:tblPr>
      <w:tblGrid>
        <w:gridCol w:w="4410"/>
        <w:gridCol w:w="360"/>
        <w:gridCol w:w="4400"/>
      </w:tblGrid>
      <w:tr w:rsidTr="00A202A3">
        <w:tblPrEx>
          <w:tblW w:w="9170" w:type="dxa"/>
          <w:tblLook w:val="01E0"/>
        </w:tblPrEx>
        <w:trPr>
          <w:trHeight w:val="807"/>
        </w:trPr>
        <w:tc>
          <w:tcPr>
            <w:tcW w:w="4410" w:type="dxa"/>
            <w:shd w:val="clear" w:color="auto" w:fill="auto"/>
          </w:tcPr>
          <w:p w:rsidR="00A202A3" w:rsidRPr="00A202A3" w:rsidP="002F290A">
            <w:pPr>
              <w:autoSpaceDE w:val="0"/>
              <w:autoSpaceDN w:val="0"/>
              <w:adjustRightInd w:val="0"/>
            </w:pPr>
            <w:r w:rsidRPr="00A202A3">
              <w:t>In the Matter of the Application of Direct Energy Business, LLC and Direct Energy Services, LLC for Waivers of Certain Provisions of Chapters 4901:1-21 and 4901:1-29, O.A.C., to Permit Third-Party Verification by Digital Confirmation.</w:t>
            </w:r>
          </w:p>
        </w:tc>
        <w:tc>
          <w:tcPr>
            <w:tcW w:w="360" w:type="dxa"/>
            <w:shd w:val="clear" w:color="auto" w:fill="auto"/>
          </w:tcPr>
          <w:p w:rsidR="00A202A3" w:rsidRPr="00A044B5" w:rsidP="002F290A">
            <w:pPr>
              <w:pStyle w:val="HTMLPreformatted"/>
              <w:rPr>
                <w:rFonts w:ascii="Times New Roman" w:hAnsi="Times New Roman"/>
                <w:sz w:val="24"/>
              </w:rPr>
            </w:pPr>
            <w:r w:rsidRPr="00A044B5">
              <w:rPr>
                <w:rFonts w:ascii="Times New Roman" w:hAnsi="Times New Roman"/>
                <w:sz w:val="24"/>
              </w:rPr>
              <w:t>)</w:t>
            </w:r>
          </w:p>
          <w:p w:rsidR="00A202A3" w:rsidRPr="00A044B5" w:rsidP="002F290A">
            <w:pPr>
              <w:pStyle w:val="HTMLPreformatted"/>
              <w:rPr>
                <w:rFonts w:ascii="Times New Roman" w:hAnsi="Times New Roman"/>
                <w:sz w:val="24"/>
              </w:rPr>
            </w:pPr>
            <w:r w:rsidRPr="00A044B5">
              <w:rPr>
                <w:rFonts w:ascii="Times New Roman" w:hAnsi="Times New Roman"/>
                <w:sz w:val="24"/>
              </w:rPr>
              <w:t>)</w:t>
            </w:r>
          </w:p>
          <w:p w:rsidR="00A202A3" w:rsidRPr="00A044B5" w:rsidP="002F290A">
            <w:pPr>
              <w:pStyle w:val="HTMLPreformatted"/>
              <w:rPr>
                <w:rFonts w:ascii="Times New Roman" w:hAnsi="Times New Roman"/>
                <w:sz w:val="24"/>
              </w:rPr>
            </w:pPr>
            <w:r w:rsidRPr="00A044B5">
              <w:rPr>
                <w:rFonts w:ascii="Times New Roman" w:hAnsi="Times New Roman"/>
                <w:sz w:val="24"/>
              </w:rPr>
              <w:t>)</w:t>
            </w:r>
          </w:p>
          <w:p w:rsidR="00A202A3" w:rsidP="002F290A">
            <w:pPr>
              <w:pStyle w:val="HTMLPreformatted"/>
              <w:rPr>
                <w:rFonts w:ascii="Times New Roman" w:hAnsi="Times New Roman"/>
                <w:sz w:val="24"/>
              </w:rPr>
            </w:pPr>
            <w:r w:rsidRPr="00A044B5">
              <w:rPr>
                <w:rFonts w:ascii="Times New Roman" w:hAnsi="Times New Roman"/>
                <w:sz w:val="24"/>
              </w:rPr>
              <w:t>)</w:t>
            </w:r>
          </w:p>
          <w:p w:rsidR="00A202A3" w:rsidP="002F290A">
            <w:pPr>
              <w:pStyle w:val="HTMLPreformatted"/>
              <w:rPr>
                <w:rFonts w:ascii="Times New Roman" w:hAnsi="Times New Roman"/>
                <w:sz w:val="24"/>
              </w:rPr>
            </w:pPr>
            <w:r>
              <w:rPr>
                <w:rFonts w:ascii="Times New Roman" w:hAnsi="Times New Roman"/>
                <w:sz w:val="24"/>
              </w:rPr>
              <w:t>)</w:t>
            </w:r>
          </w:p>
          <w:p w:rsidR="00A202A3" w:rsidRPr="00A044B5" w:rsidP="00033EEE">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A202A3" w:rsidRPr="00A044B5" w:rsidP="002F290A">
            <w:pPr>
              <w:pStyle w:val="HTMLPreformatted"/>
              <w:rPr>
                <w:rFonts w:ascii="Times New Roman" w:hAnsi="Times New Roman"/>
                <w:sz w:val="24"/>
              </w:rPr>
            </w:pPr>
          </w:p>
          <w:p w:rsidR="00A202A3" w:rsidRPr="00A044B5" w:rsidP="002F290A">
            <w:pPr>
              <w:pStyle w:val="HTMLPreformatted"/>
              <w:rPr>
                <w:rFonts w:ascii="Times New Roman" w:hAnsi="Times New Roman"/>
                <w:sz w:val="24"/>
              </w:rPr>
            </w:pPr>
            <w:r w:rsidRPr="00A044B5">
              <w:rPr>
                <w:rFonts w:ascii="Times New Roman" w:hAnsi="Times New Roman"/>
                <w:sz w:val="24"/>
              </w:rPr>
              <w:t xml:space="preserve">Case No. </w:t>
            </w:r>
            <w:r w:rsidRPr="00A202A3">
              <w:rPr>
                <w:rFonts w:ascii="Times New Roman" w:hAnsi="Times New Roman"/>
                <w:sz w:val="24"/>
              </w:rPr>
              <w:t>18-382-GE-WVR</w:t>
            </w:r>
            <w:r w:rsidRPr="00A044B5">
              <w:rPr>
                <w:rFonts w:ascii="Times New Roman" w:hAnsi="Times New Roman"/>
                <w:sz w:val="24"/>
              </w:rPr>
              <w:t xml:space="preserve"> </w:t>
            </w:r>
          </w:p>
          <w:p w:rsidR="00A202A3" w:rsidRPr="00A044B5" w:rsidP="002F290A">
            <w:pPr>
              <w:pStyle w:val="HTMLPreformatted"/>
              <w:rPr>
                <w:rFonts w:ascii="Times New Roman" w:hAnsi="Times New Roman"/>
                <w:sz w:val="24"/>
              </w:rPr>
            </w:pPr>
          </w:p>
          <w:p w:rsidR="00A202A3" w:rsidRPr="00A044B5" w:rsidP="002F290A">
            <w:pPr>
              <w:pStyle w:val="HTMLPreformatted"/>
              <w:rPr>
                <w:rFonts w:ascii="Times New Roman" w:hAnsi="Times New Roman"/>
                <w:sz w:val="24"/>
              </w:rPr>
            </w:pPr>
          </w:p>
        </w:tc>
      </w:tr>
    </w:tbl>
    <w:p w:rsidR="00A044B5" w:rsidP="00B7546D"/>
    <w:p w:rsidR="00B7546D" w:rsidP="00B7546D">
      <w:pPr>
        <w:pStyle w:val="HTMLPreformatted"/>
        <w:pBdr>
          <w:top w:val="single" w:sz="12" w:space="0" w:color="auto"/>
        </w:pBdr>
        <w:rPr>
          <w:rFonts w:ascii="Times New Roman" w:hAnsi="Times New Roman"/>
          <w:sz w:val="24"/>
        </w:rPr>
      </w:pPr>
    </w:p>
    <w:p w:rsidR="00B7546D" w:rsidP="00B7546D">
      <w:pPr>
        <w:jc w:val="center"/>
        <w:rPr>
          <w:b/>
          <w:bCs/>
        </w:rPr>
      </w:pPr>
      <w:r>
        <w:rPr>
          <w:b/>
          <w:bCs/>
        </w:rPr>
        <w:t>MEMORANDUM IN SUPPORT</w:t>
      </w:r>
    </w:p>
    <w:p w:rsidR="00B7546D" w:rsidP="00B7546D"/>
    <w:p w:rsidR="00B7546D" w:rsidP="00033EEE">
      <w:pPr>
        <w:pStyle w:val="HTMLPreformatted"/>
        <w:pBdr>
          <w:top w:val="single" w:sz="12" w:space="0" w:color="auto"/>
        </w:pBdr>
        <w:rPr>
          <w:rFonts w:ascii="Times New Roman" w:hAnsi="Times New Roman"/>
          <w:sz w:val="24"/>
        </w:rPr>
      </w:pPr>
    </w:p>
    <w:p w:rsidR="0082287D" w:rsidRPr="00982ED9" w:rsidP="00033EEE">
      <w:pPr>
        <w:spacing w:line="480" w:lineRule="auto"/>
        <w:rPr>
          <w:b/>
          <w:bCs/>
        </w:rPr>
      </w:pPr>
      <w:bookmarkStart w:id="1" w:name="_Toc392511660"/>
      <w:bookmarkStart w:id="2" w:name="_Toc392511817"/>
      <w:bookmarkStart w:id="3" w:name="_Toc532565743"/>
      <w:r w:rsidRPr="00982ED9">
        <w:rPr>
          <w:b/>
          <w:bCs/>
        </w:rPr>
        <w:t>I.</w:t>
      </w:r>
      <w:r w:rsidRPr="00982ED9">
        <w:rPr>
          <w:b/>
          <w:bCs/>
        </w:rPr>
        <w:tab/>
        <w:t>INTRODUCTION</w:t>
      </w:r>
      <w:bookmarkEnd w:id="1"/>
      <w:bookmarkEnd w:id="2"/>
      <w:bookmarkEnd w:id="3"/>
    </w:p>
    <w:p w:rsidR="000277B9" w:rsidP="000277B9">
      <w:pPr>
        <w:pStyle w:val="BodyTextIndent3"/>
        <w:spacing w:line="480" w:lineRule="auto"/>
        <w:ind w:right="-29"/>
      </w:pPr>
      <w:r>
        <w:t>Ohio law protects consumers against unlawful changes of their utility service provider.</w:t>
      </w:r>
      <w:r>
        <w:rPr>
          <w:rStyle w:val="FootnoteReference"/>
        </w:rPr>
        <w:footnoteReference w:id="9"/>
      </w:r>
      <w:r w:rsidR="00EE4CFC">
        <w:t xml:space="preserve"> </w:t>
      </w:r>
      <w:r>
        <w:t>The statutes require the PUCO to adopt rules prohibiting switching, or authorizing the switching of, a customer’s supplier of retail electric or natural gas service “without the prior consent of the customer in accordance with appropriate confirmation practices, which may include independent, third-party verification procedures.”</w:t>
      </w:r>
    </w:p>
    <w:p w:rsidR="0062104C" w:rsidP="00B230F2">
      <w:pPr>
        <w:pStyle w:val="BodyTextIndent3"/>
        <w:suppressAutoHyphens/>
        <w:spacing w:line="480" w:lineRule="auto"/>
        <w:rPr>
          <w:szCs w:val="24"/>
        </w:rPr>
      </w:pPr>
      <w:r>
        <w:t>The PUCO’s rules require that changes to a consumer’s utility service provider resulting from a door-to-door solicitation must be verified through a telephone call to an independent third-party verifier.</w:t>
      </w:r>
      <w:r>
        <w:rPr>
          <w:rStyle w:val="FootnoteReference"/>
        </w:rPr>
        <w:footnoteReference w:id="10"/>
      </w:r>
      <w:r w:rsidR="00EE4CFC">
        <w:t xml:space="preserve"> </w:t>
      </w:r>
      <w:r>
        <w:t xml:space="preserve">In this case, </w:t>
      </w:r>
      <w:r w:rsidR="00B230F2">
        <w:t xml:space="preserve">the PUCO allowed </w:t>
      </w:r>
      <w:r>
        <w:rPr>
          <w:szCs w:val="24"/>
        </w:rPr>
        <w:t>Direct Energy</w:t>
      </w:r>
      <w:r>
        <w:rPr>
          <w:rStyle w:val="FootnoteReference"/>
          <w:szCs w:val="24"/>
        </w:rPr>
        <w:footnoteReference w:id="11"/>
      </w:r>
      <w:r>
        <w:rPr>
          <w:szCs w:val="24"/>
        </w:rPr>
        <w:t xml:space="preserve"> to replace the consumer protection of a telephone call to an independent third-party verifier with electronic verification of consumers’ changes to their utility service provider.</w:t>
      </w:r>
      <w:r w:rsidR="00EE4CFC">
        <w:rPr>
          <w:szCs w:val="24"/>
        </w:rPr>
        <w:t xml:space="preserve"> </w:t>
      </w:r>
      <w:r w:rsidR="0005514E">
        <w:t xml:space="preserve">The PUCO stated that </w:t>
      </w:r>
      <w:r w:rsidR="00B230F2">
        <w:t xml:space="preserve">Direct Energy </w:t>
      </w:r>
      <w:r w:rsidR="0005514E">
        <w:t>had shown good cause for the waiver</w:t>
      </w:r>
      <w:r w:rsidR="00B230F2">
        <w:t>.</w:t>
      </w:r>
      <w:r>
        <w:rPr>
          <w:rStyle w:val="FootnoteReference"/>
        </w:rPr>
        <w:footnoteReference w:id="12"/>
      </w:r>
      <w:r w:rsidR="00EE4CFC">
        <w:t xml:space="preserve"> </w:t>
      </w:r>
      <w:r w:rsidR="0005514E">
        <w:t xml:space="preserve">The PUCO </w:t>
      </w:r>
      <w:r w:rsidR="00B230F2">
        <w:t xml:space="preserve">granted </w:t>
      </w:r>
      <w:r w:rsidR="00626E5F">
        <w:t>the waiver until completion of the pending rulemakings concerning retail the electric and natural gas services</w:t>
      </w:r>
      <w:r w:rsidR="0005514E">
        <w:t>.</w:t>
      </w:r>
      <w:r>
        <w:rPr>
          <w:rStyle w:val="FootnoteReference"/>
        </w:rPr>
        <w:footnoteReference w:id="13"/>
      </w:r>
    </w:p>
    <w:p w:rsidR="00B7546D" w:rsidP="00982ED9">
      <w:pPr>
        <w:spacing w:line="480" w:lineRule="auto"/>
        <w:ind w:firstLine="720"/>
        <w:rPr>
          <w:szCs w:val="24"/>
        </w:rPr>
      </w:pPr>
      <w:r>
        <w:rPr>
          <w:szCs w:val="24"/>
        </w:rPr>
        <w:t>As discussed below, the Entry is unlawful, unjust, and unreasonable.</w:t>
      </w:r>
      <w:r w:rsidR="00EE4CFC">
        <w:rPr>
          <w:szCs w:val="24"/>
        </w:rPr>
        <w:t xml:space="preserve"> </w:t>
      </w:r>
      <w:r w:rsidR="006A15E0">
        <w:rPr>
          <w:szCs w:val="24"/>
        </w:rPr>
        <w:t>The PUCO should abrogate the Entry as OCC recommends in this Application for Rehearing.</w:t>
      </w:r>
    </w:p>
    <w:p w:rsidR="0082287D" w:rsidRPr="00982ED9" w:rsidP="00982ED9">
      <w:pPr>
        <w:spacing w:before="240" w:line="480" w:lineRule="auto"/>
        <w:rPr>
          <w:b/>
          <w:bCs/>
        </w:rPr>
      </w:pPr>
      <w:bookmarkStart w:id="4" w:name="_Toc347743299"/>
      <w:bookmarkStart w:id="5" w:name="_Toc365447950"/>
      <w:bookmarkStart w:id="6" w:name="_Toc392511661"/>
      <w:bookmarkStart w:id="7" w:name="_Toc392511818"/>
      <w:bookmarkStart w:id="8" w:name="_Toc532565744"/>
      <w:r w:rsidRPr="00982ED9">
        <w:rPr>
          <w:b/>
          <w:bCs/>
        </w:rPr>
        <w:t>II.</w:t>
      </w:r>
      <w:r w:rsidRPr="00982ED9">
        <w:rPr>
          <w:b/>
          <w:bCs/>
        </w:rPr>
        <w:tab/>
        <w:t>STANDARD OF REVIEW</w:t>
      </w:r>
      <w:bookmarkEnd w:id="4"/>
      <w:bookmarkEnd w:id="5"/>
      <w:bookmarkEnd w:id="6"/>
      <w:bookmarkEnd w:id="7"/>
      <w:bookmarkEnd w:id="8"/>
    </w:p>
    <w:p w:rsidR="0082287D" w:rsidP="0082287D">
      <w:pPr>
        <w:spacing w:line="480" w:lineRule="auto"/>
        <w:ind w:firstLine="720"/>
      </w:pPr>
      <w:r>
        <w:t>Applications for rehearing are governed by R.C. 4903.10.</w:t>
      </w:r>
      <w:r w:rsidR="00EE4CFC">
        <w:t xml:space="preserve"> </w:t>
      </w:r>
      <w:r>
        <w:t>The statute allows that, within 30 days after issuance of a PUCO order,</w:t>
      </w:r>
      <w:r>
        <w:rPr>
          <w:rStyle w:val="FootnoteReference"/>
        </w:rPr>
        <w:footnoteReference w:id="14"/>
      </w:r>
      <w:r>
        <w:t xml:space="preserve"> “any party who has entered an appearance in person or by counsel in the proceeding may apply for rehearing in respect to any matters determined in the proceeding.”</w:t>
      </w:r>
      <w:r w:rsidR="00EE4CFC">
        <w:t xml:space="preserve"> </w:t>
      </w:r>
      <w:r w:rsidR="000644AE">
        <w:t>OCC intervene</w:t>
      </w:r>
      <w:r w:rsidR="002B2B20">
        <w:t>d</w:t>
      </w:r>
      <w:r>
        <w:t xml:space="preserve"> in this proceeding</w:t>
      </w:r>
      <w:r>
        <w:rPr>
          <w:rStyle w:val="FootnoteReference"/>
        </w:rPr>
        <w:footnoteReference w:id="15"/>
      </w:r>
      <w:r w:rsidR="002B2B20">
        <w:t xml:space="preserve"> and participated through </w:t>
      </w:r>
      <w:r w:rsidR="00F3182A">
        <w:t>filing comments and reply comments</w:t>
      </w:r>
      <w:r w:rsidR="002B2B20">
        <w:t>.</w:t>
      </w:r>
      <w:r w:rsidR="00EE4CFC">
        <w:t xml:space="preserve">  </w:t>
      </w:r>
    </w:p>
    <w:p w:rsidR="0082287D" w:rsidP="0082287D">
      <w:pPr>
        <w:spacing w:line="480" w:lineRule="auto"/>
        <w:ind w:firstLine="720"/>
      </w:pPr>
      <w:r>
        <w:t>R.C. 4903.10 requires that an application for rehearing must be “in writing and shall set forth specifically the ground or grounds on which the applicant considers the order to be unreasonable or unlawful.”</w:t>
      </w:r>
      <w:r w:rsidR="00EE4CFC">
        <w:t xml:space="preserve"> </w:t>
      </w:r>
      <w:r>
        <w:t xml:space="preserve">In addition, Ohio Adm. Code </w:t>
      </w:r>
      <w:bookmarkStart w:id="9" w:name="R35"/>
      <w:r>
        <w:rPr>
          <w:rStyle w:val="Strong"/>
          <w:b w:val="0"/>
        </w:rPr>
        <w:t>4901-1-35</w:t>
      </w:r>
      <w:r>
        <w:t>(A)</w:t>
      </w:r>
      <w:bookmarkEnd w:id="9"/>
      <w:r>
        <w:t xml:space="preserve"> states: “An application for rehearing must be accompanied by a memorandum in support, which shall be filed no later than the application for rehearing.”</w:t>
      </w:r>
    </w:p>
    <w:p w:rsidR="008004EE" w:rsidP="00982ED9">
      <w:pPr>
        <w:spacing w:line="480" w:lineRule="auto"/>
        <w:ind w:firstLine="720"/>
      </w:pPr>
      <w:r>
        <w:t>In considering an application for rehearing, R.C. 4903.10 provides that “the commission may grant and hold such rehearing on the matter specified in such application, if in its judgment sufficient reason therefor is made to appear.”</w:t>
      </w:r>
      <w:r w:rsidR="00EE4CFC">
        <w:t xml:space="preserve"> </w:t>
      </w:r>
      <w:r>
        <w:t xml:space="preserve">The statute also provides: “If, after such rehearing, the commission is of the opinion that the original order or any part thereof is in any respect unjust or unwarranted, or should be changed, the commission may abrogate or modify the same; otherwise such order shall be </w:t>
      </w:r>
      <w:r w:rsidR="0061282D">
        <w:t>a</w:t>
      </w:r>
      <w:r>
        <w:t>ffirmed.”</w:t>
      </w:r>
      <w:r w:rsidR="00EE4CFC">
        <w:t xml:space="preserve"> </w:t>
      </w:r>
      <w:r>
        <w:t xml:space="preserve">As shown herein, the statutory standard to </w:t>
      </w:r>
      <w:r w:rsidR="00AE7636">
        <w:t xml:space="preserve">abrogate </w:t>
      </w:r>
      <w:r>
        <w:t xml:space="preserve">the </w:t>
      </w:r>
      <w:r w:rsidR="0075296D">
        <w:t xml:space="preserve">Entry </w:t>
      </w:r>
      <w:r>
        <w:t>is met here.</w:t>
      </w:r>
      <w:bookmarkStart w:id="10" w:name="_Toc392511662"/>
      <w:bookmarkStart w:id="11" w:name="_Toc392511819"/>
    </w:p>
    <w:p w:rsidR="00E805F1" w:rsidRPr="00E805F1" w:rsidP="00E805F1">
      <w:pPr>
        <w:spacing w:before="240" w:line="480" w:lineRule="auto"/>
      </w:pPr>
      <w:bookmarkStart w:id="12" w:name="_Toc532565745"/>
      <w:r w:rsidRPr="00982ED9">
        <w:rPr>
          <w:b/>
          <w:bCs/>
        </w:rPr>
        <w:t>III.</w:t>
      </w:r>
      <w:r w:rsidRPr="00982ED9">
        <w:rPr>
          <w:b/>
          <w:bCs/>
        </w:rPr>
        <w:tab/>
      </w:r>
      <w:bookmarkEnd w:id="10"/>
      <w:bookmarkEnd w:id="11"/>
      <w:r w:rsidRPr="00982ED9">
        <w:rPr>
          <w:b/>
          <w:bCs/>
        </w:rPr>
        <w:t>DISCUSSION</w:t>
      </w:r>
      <w:bookmarkEnd w:id="12"/>
    </w:p>
    <w:p w:rsidR="00E805F1" w:rsidRPr="00C811CB" w:rsidP="00C501ED">
      <w:pPr>
        <w:pStyle w:val="Heading2"/>
        <w:ind w:right="0"/>
      </w:pPr>
      <w:bookmarkStart w:id="13" w:name="_Toc532565747"/>
      <w:r>
        <w:t>A</w:t>
      </w:r>
      <w:r w:rsidRPr="00C811CB">
        <w:t>.</w:t>
      </w:r>
      <w:r w:rsidRPr="00C811CB">
        <w:tab/>
      </w:r>
      <w:r>
        <w:t xml:space="preserve">The Entry is unjust, unlawful, and unreasonable because it does not effectively protect consumers against </w:t>
      </w:r>
      <w:r w:rsidRPr="00473B66">
        <w:t xml:space="preserve">misleading, deceptive, unfair, and unconscionable acts and practices in the marketing, solicitation, and sale of competitive retail </w:t>
      </w:r>
      <w:r>
        <w:t xml:space="preserve">utility </w:t>
      </w:r>
      <w:r w:rsidRPr="00473B66">
        <w:t>service</w:t>
      </w:r>
      <w:r>
        <w:t>.</w:t>
      </w:r>
      <w:bookmarkEnd w:id="13"/>
    </w:p>
    <w:p w:rsidR="00E805F1" w:rsidP="00E805F1">
      <w:pPr>
        <w:suppressAutoHyphens/>
        <w:spacing w:line="480" w:lineRule="auto"/>
        <w:ind w:firstLine="720"/>
        <w:rPr>
          <w:szCs w:val="24"/>
        </w:rPr>
      </w:pPr>
      <w:r>
        <w:rPr>
          <w:szCs w:val="24"/>
        </w:rPr>
        <w:t>The PUCO acknowledged that its rules for retail electric and natural gas service are consumer protection rules.</w:t>
      </w:r>
      <w:r w:rsidR="00EE4CFC">
        <w:rPr>
          <w:szCs w:val="24"/>
        </w:rPr>
        <w:t xml:space="preserve"> </w:t>
      </w:r>
      <w:r>
        <w:rPr>
          <w:szCs w:val="24"/>
        </w:rPr>
        <w:t>The PUCO noted that retail electric and natural gas rules are intended, among other things, to “protect customers against deceptive, unfair, and unconscionable acts and practices in the marketing, solicitation, and sale of [retail utility service] and in the administration of any contracts for such services.”</w:t>
      </w:r>
      <w:r>
        <w:rPr>
          <w:rStyle w:val="FootnoteReference"/>
          <w:szCs w:val="24"/>
        </w:rPr>
        <w:footnoteReference w:id="16"/>
      </w:r>
      <w:r w:rsidR="00EE4CFC">
        <w:rPr>
          <w:szCs w:val="24"/>
        </w:rPr>
        <w:t xml:space="preserve"> </w:t>
      </w:r>
      <w:r>
        <w:rPr>
          <w:szCs w:val="24"/>
        </w:rPr>
        <w:t>Yet the PUCO did not explain how Direct Energy’s proposal accomplishes the same consumer protections as independent third-party verification of residential door-to-door sales by retail electric and natural gas marketers.</w:t>
      </w:r>
      <w:r w:rsidR="00EE4CFC">
        <w:rPr>
          <w:szCs w:val="24"/>
        </w:rPr>
        <w:t xml:space="preserve"> </w:t>
      </w:r>
    </w:p>
    <w:p w:rsidR="00E805F1" w:rsidP="00E805F1">
      <w:pPr>
        <w:suppressAutoHyphens/>
        <w:spacing w:line="480" w:lineRule="auto"/>
        <w:ind w:firstLine="720"/>
      </w:pPr>
      <w:r>
        <w:rPr>
          <w:szCs w:val="24"/>
        </w:rPr>
        <w:t xml:space="preserve">The </w:t>
      </w:r>
      <w:r>
        <w:t>requirements for 100% third-party verification of telephone solicitations were adopted because of significant abuses that occurred during telephonic sales by marketers.</w:t>
      </w:r>
      <w:r w:rsidR="00EE4CFC">
        <w:t xml:space="preserve"> </w:t>
      </w:r>
      <w:r>
        <w:t>R.C. 4929.22 requires the PUCO to adopt rules for the protection of consumers in this state.</w:t>
      </w:r>
      <w:r w:rsidR="00EE4CFC">
        <w:t xml:space="preserve"> </w:t>
      </w:r>
      <w:r>
        <w:t>Protection means preventing harm.</w:t>
      </w:r>
      <w:r w:rsidR="00EE4CFC">
        <w:t xml:space="preserve"> </w:t>
      </w:r>
      <w:r>
        <w:t xml:space="preserve">The PUCO’s rules </w:t>
      </w:r>
      <w:r>
        <w:rPr>
          <w:szCs w:val="24"/>
        </w:rPr>
        <w:t xml:space="preserve">help prevent harm to consumers by </w:t>
      </w:r>
      <w:r>
        <w:t>expressly providing that, outside of the pressure of a door-to-door sales call, an independent third party will speak with the customer and record the customer’s assent to switch their utility service.</w:t>
      </w:r>
      <w:r>
        <w:rPr>
          <w:rStyle w:val="FootnoteReference"/>
        </w:rPr>
        <w:footnoteReference w:id="17"/>
      </w:r>
      <w:r w:rsidR="00EE4CFC">
        <w:t xml:space="preserve"> </w:t>
      </w:r>
      <w:r>
        <w:t>The independent third party will also record that the customer understands and agrees to all other principal terms and conditions of the supply contract, including the price, contract term, additional fees, early termination penalties, etc.</w:t>
      </w:r>
      <w:r>
        <w:rPr>
          <w:rStyle w:val="FootnoteReference"/>
        </w:rPr>
        <w:footnoteReference w:id="18"/>
      </w:r>
      <w:r w:rsidR="00EE4CFC">
        <w:t xml:space="preserve"> </w:t>
      </w:r>
    </w:p>
    <w:p w:rsidR="00E805F1" w:rsidP="00E805F1">
      <w:pPr>
        <w:suppressAutoHyphens/>
        <w:spacing w:line="480" w:lineRule="auto"/>
        <w:ind w:firstLine="720"/>
      </w:pPr>
      <w:r>
        <w:t>The PUCO’s action in allowing electronic verification of door-to-door utility sales transactions is unlawful because it puts consumers at risk of harm.</w:t>
      </w:r>
      <w:r w:rsidR="00EE4CFC">
        <w:t xml:space="preserve"> </w:t>
      </w:r>
      <w:r>
        <w:t>As OCC discussed in its Comments, geolocation tracking systems are not always accurate.</w:t>
      </w:r>
      <w:r>
        <w:rPr>
          <w:rStyle w:val="FootnoteReference"/>
        </w:rPr>
        <w:footnoteReference w:id="19"/>
      </w:r>
      <w:r w:rsidR="00EE4CFC">
        <w:t xml:space="preserve"> </w:t>
      </w:r>
      <w:r>
        <w:t xml:space="preserve">There is no way to be certain that a salesperson has left the </w:t>
      </w:r>
      <w:r w:rsidR="00BF4878">
        <w:t>consumer’s</w:t>
      </w:r>
      <w:r>
        <w:t xml:space="preserve"> home.</w:t>
      </w:r>
      <w:r w:rsidR="00EE4CFC">
        <w:t xml:space="preserve"> </w:t>
      </w:r>
      <w:r>
        <w:t xml:space="preserve">The salesperson could still be there coaching the consumer </w:t>
      </w:r>
      <w:r w:rsidR="00BF4878">
        <w:t>on</w:t>
      </w:r>
      <w:r>
        <w:t xml:space="preserve"> the answers </w:t>
      </w:r>
      <w:r w:rsidR="00BF4878">
        <w:t>to give concerning the verification questions.</w:t>
      </w:r>
      <w:r w:rsidR="00EE4CFC">
        <w:t xml:space="preserve"> </w:t>
      </w:r>
    </w:p>
    <w:p w:rsidR="00E805F1" w:rsidP="00E805F1">
      <w:pPr>
        <w:suppressAutoHyphens/>
        <w:spacing w:line="480" w:lineRule="auto"/>
        <w:ind w:firstLine="720"/>
      </w:pPr>
      <w:r>
        <w:t>The consumer protections offered by the rule simply cannot be duplicated by an electronic verification.</w:t>
      </w:r>
      <w:r w:rsidR="00EE4CFC">
        <w:t xml:space="preserve"> </w:t>
      </w:r>
      <w:r>
        <w:t>A recording of an entire sales call could reveal deceptive, unscrupulous, or unconscionable acts or practices by a marketer.</w:t>
      </w:r>
      <w:r w:rsidR="00EE4CFC">
        <w:t xml:space="preserve"> </w:t>
      </w:r>
      <w:r>
        <w:t>For example, a recording could reveal that the salesperson has not left the customer’s home and is coaching the customer to give certain answers to the verifier’s questions.</w:t>
      </w:r>
      <w:r w:rsidR="00EE4CFC">
        <w:t xml:space="preserve"> </w:t>
      </w:r>
      <w:r>
        <w:t>But because of the limitation on the accuracy of geolocation systems, such coaching might not be caught by Direct Energy’s electronic verification system.</w:t>
      </w:r>
    </w:p>
    <w:p w:rsidR="00E805F1" w:rsidP="00E805F1">
      <w:pPr>
        <w:suppressAutoHyphens/>
        <w:spacing w:line="480" w:lineRule="auto"/>
        <w:ind w:firstLine="720"/>
      </w:pPr>
      <w:r>
        <w:t>Independent third-party verification recordings could also serve as a basis for redressing consumer harm and/or enforcement actions after harm has occurred.</w:t>
      </w:r>
      <w:r w:rsidR="00EE4CFC">
        <w:t xml:space="preserve"> </w:t>
      </w:r>
      <w:r>
        <w:t>Importantly, they provide an immediate means for consumers to prevent harm by rejecting the transaction.</w:t>
      </w:r>
    </w:p>
    <w:p w:rsidR="00E805F1" w:rsidP="00E805F1">
      <w:pPr>
        <w:suppressAutoHyphens/>
        <w:spacing w:line="480" w:lineRule="auto"/>
        <w:ind w:firstLine="720"/>
      </w:pPr>
      <w:r>
        <w:t>The Entry requires the PUCO Staff to monitor complaints against Direct Energy.</w:t>
      </w:r>
      <w:r>
        <w:rPr>
          <w:rStyle w:val="FootnoteReference"/>
        </w:rPr>
        <w:footnoteReference w:id="20"/>
      </w:r>
      <w:r w:rsidR="00EE4CFC">
        <w:t xml:space="preserve"> </w:t>
      </w:r>
      <w:r>
        <w:t>But consumers sometimes do not immediately realize that their utility service supplier has been changed, so a complaint might not occur until months after the consumer’s utility service has been unlawfully switched.</w:t>
      </w:r>
      <w:r w:rsidR="00EE4CFC">
        <w:t xml:space="preserve"> </w:t>
      </w:r>
      <w:r>
        <w:t>In addition, the Entry does not require Direct Energy to provide any data that might help the PUCO Staff in monitoring the effect of electronic verification on consumers.</w:t>
      </w:r>
      <w:r w:rsidR="00EE4CFC">
        <w:t xml:space="preserve"> </w:t>
      </w:r>
    </w:p>
    <w:p w:rsidR="00E805F1" w:rsidP="00E805F1">
      <w:pPr>
        <w:suppressAutoHyphens/>
        <w:spacing w:line="480" w:lineRule="auto"/>
        <w:ind w:firstLine="720"/>
      </w:pPr>
      <w:r>
        <w:t xml:space="preserve">Relying solely on a marketer’s verification of the sales transaction cannot prevent the consumer harm in the first place, </w:t>
      </w:r>
      <w:r w:rsidR="00BF4878">
        <w:t xml:space="preserve">like </w:t>
      </w:r>
      <w:r>
        <w:t>independent third-party verification</w:t>
      </w:r>
      <w:r w:rsidR="00BF4878">
        <w:t xml:space="preserve"> can</w:t>
      </w:r>
      <w:r>
        <w:t>.</w:t>
      </w:r>
      <w:r w:rsidR="00EE4CFC">
        <w:t xml:space="preserve"> </w:t>
      </w:r>
      <w:r w:rsidR="00BF4878">
        <w:t>The value of independent third-party verification has been highlighted in the PALMco and Verde cases,</w:t>
      </w:r>
      <w:r>
        <w:rPr>
          <w:rStyle w:val="FootnoteReference"/>
        </w:rPr>
        <w:footnoteReference w:id="21"/>
      </w:r>
      <w:r w:rsidR="00BF4878">
        <w:t xml:space="preserve"> where the third-party verification recordings helped show how salespeople misled and deceived consumers.</w:t>
      </w:r>
      <w:r w:rsidR="00EE4CFC">
        <w:t xml:space="preserve"> </w:t>
      </w:r>
      <w:r>
        <w:t>The PUCO’s Entry does not adequately protect consumers.</w:t>
      </w:r>
      <w:r w:rsidR="00EE4CFC">
        <w:t xml:space="preserve"> </w:t>
      </w:r>
      <w:r>
        <w:t>The PUCO should abrogate the Entry.</w:t>
      </w:r>
    </w:p>
    <w:p w:rsidR="00E67683" w:rsidRPr="0025570D" w:rsidP="00C501ED">
      <w:pPr>
        <w:pStyle w:val="Heading2"/>
        <w:ind w:right="0"/>
      </w:pPr>
      <w:bookmarkStart w:id="14" w:name="_Toc532565746"/>
      <w:r>
        <w:t>B</w:t>
      </w:r>
      <w:r w:rsidR="00450D18">
        <w:t>.</w:t>
      </w:r>
      <w:r w:rsidR="00450D18">
        <w:tab/>
      </w:r>
      <w:r w:rsidRPr="00473B66" w:rsidR="00626E5F">
        <w:t xml:space="preserve">The </w:t>
      </w:r>
      <w:r w:rsidR="00626E5F">
        <w:t>Entry</w:t>
      </w:r>
      <w:r w:rsidRPr="00473B66" w:rsidR="00626E5F">
        <w:t xml:space="preserve"> violate</w:t>
      </w:r>
      <w:r w:rsidR="00626E5F">
        <w:t>s</w:t>
      </w:r>
      <w:r w:rsidRPr="00473B66" w:rsidR="00626E5F">
        <w:t xml:space="preserve"> R.C. 4903.09 by granting a waiver of the </w:t>
      </w:r>
      <w:r w:rsidR="00626E5F">
        <w:t xml:space="preserve">independent </w:t>
      </w:r>
      <w:r w:rsidRPr="00473B66" w:rsidR="00626E5F">
        <w:t xml:space="preserve">third-party verification rules without explaining how good cause </w:t>
      </w:r>
      <w:r w:rsidR="00626E5F">
        <w:t xml:space="preserve">was shown </w:t>
      </w:r>
      <w:r w:rsidRPr="00473B66" w:rsidR="00626E5F">
        <w:t xml:space="preserve">for a waiver of rules designed to protect consumers against misleading, deceptive, unfair, and unconscionable acts and practices in the marketing, solicitation, and sale of competitive retail </w:t>
      </w:r>
      <w:r w:rsidR="00626E5F">
        <w:t xml:space="preserve">utility </w:t>
      </w:r>
      <w:r w:rsidRPr="00473B66" w:rsidR="00626E5F">
        <w:t>service</w:t>
      </w:r>
      <w:r w:rsidRPr="0025570D" w:rsidR="0025570D">
        <w:t>.</w:t>
      </w:r>
      <w:bookmarkEnd w:id="14"/>
    </w:p>
    <w:p w:rsidR="000F1F44" w:rsidP="000218D7">
      <w:pPr>
        <w:suppressAutoHyphens/>
        <w:spacing w:line="480" w:lineRule="auto"/>
        <w:ind w:firstLine="720"/>
      </w:pPr>
      <w:r>
        <w:rPr>
          <w:szCs w:val="24"/>
        </w:rPr>
        <w:t xml:space="preserve">The PUCO has </w:t>
      </w:r>
      <w:r w:rsidR="00626E5F">
        <w:rPr>
          <w:szCs w:val="24"/>
        </w:rPr>
        <w:t>adopted</w:t>
      </w:r>
      <w:r>
        <w:rPr>
          <w:szCs w:val="24"/>
        </w:rPr>
        <w:t xml:space="preserve"> a “good cause” standard for waiver of PUCO rule</w:t>
      </w:r>
      <w:r w:rsidR="00626E5F">
        <w:rPr>
          <w:szCs w:val="24"/>
        </w:rPr>
        <w:t>s in</w:t>
      </w:r>
      <w:r>
        <w:rPr>
          <w:szCs w:val="24"/>
        </w:rPr>
        <w:t xml:space="preserve"> Ohio Adm. Code Chapter</w:t>
      </w:r>
      <w:r w:rsidR="00626E5F">
        <w:rPr>
          <w:szCs w:val="24"/>
        </w:rPr>
        <w:t>s 4901:1-21 and</w:t>
      </w:r>
      <w:r>
        <w:rPr>
          <w:szCs w:val="24"/>
        </w:rPr>
        <w:t xml:space="preserve"> 4901:1-29.</w:t>
      </w:r>
      <w:r w:rsidR="00EE4CFC">
        <w:rPr>
          <w:szCs w:val="24"/>
        </w:rPr>
        <w:t xml:space="preserve"> </w:t>
      </w:r>
      <w:r w:rsidR="00626E5F">
        <w:rPr>
          <w:szCs w:val="24"/>
        </w:rPr>
        <w:t xml:space="preserve">Both Ohio Adm. Code 4901:1-1-21-02(C) and </w:t>
      </w:r>
      <w:r w:rsidRPr="00E67683">
        <w:t>Ohio Adm. Code</w:t>
      </w:r>
      <w:r w:rsidRPr="00E67683">
        <w:rPr>
          <w:szCs w:val="24"/>
        </w:rPr>
        <w:t xml:space="preserve"> 4901:1-29-02(C)</w:t>
      </w:r>
      <w:r>
        <w:rPr>
          <w:szCs w:val="24"/>
        </w:rPr>
        <w:t xml:space="preserve"> state: “</w:t>
      </w:r>
      <w:r>
        <w:t>The commission may, upon an application or a motion filed by a party, waive any requirement of this chapter, other than a requirement mandated by statute, for good cause shown.”</w:t>
      </w:r>
      <w:r w:rsidR="00EE4CFC">
        <w:t xml:space="preserve"> </w:t>
      </w:r>
    </w:p>
    <w:p w:rsidR="00BD2DE1" w:rsidP="000218D7">
      <w:pPr>
        <w:suppressAutoHyphens/>
        <w:spacing w:line="480" w:lineRule="auto"/>
        <w:ind w:firstLine="720"/>
        <w:rPr>
          <w:szCs w:val="24"/>
        </w:rPr>
      </w:pPr>
      <w:r>
        <w:t xml:space="preserve">In </w:t>
      </w:r>
      <w:r w:rsidR="000F1F44">
        <w:t>this case</w:t>
      </w:r>
      <w:r>
        <w:t>, the</w:t>
      </w:r>
      <w:r w:rsidR="000F1F44">
        <w:t xml:space="preserve"> PUCO </w:t>
      </w:r>
      <w:r w:rsidR="00E87892">
        <w:t xml:space="preserve">found </w:t>
      </w:r>
      <w:r w:rsidR="000F1F44">
        <w:t xml:space="preserve">that good cause </w:t>
      </w:r>
      <w:r w:rsidR="006D19E8">
        <w:t xml:space="preserve">was shown </w:t>
      </w:r>
      <w:r w:rsidR="000F1F44">
        <w:t xml:space="preserve">for a waiver of </w:t>
      </w:r>
      <w:r w:rsidR="00626E5F">
        <w:t>the third-party verification rules</w:t>
      </w:r>
      <w:r w:rsidR="00E67683">
        <w:t>.</w:t>
      </w:r>
      <w:r w:rsidR="00EE4CFC">
        <w:t xml:space="preserve"> </w:t>
      </w:r>
      <w:r w:rsidR="00190EA0">
        <w:t>But t</w:t>
      </w:r>
      <w:r w:rsidR="006548D7">
        <w:rPr>
          <w:szCs w:val="24"/>
        </w:rPr>
        <w:t>he PUCO’s ruling</w:t>
      </w:r>
      <w:r w:rsidR="00190EA0">
        <w:rPr>
          <w:szCs w:val="24"/>
        </w:rPr>
        <w:t xml:space="preserve"> </w:t>
      </w:r>
      <w:r w:rsidR="00193E34">
        <w:rPr>
          <w:szCs w:val="24"/>
        </w:rPr>
        <w:t>does not explain how</w:t>
      </w:r>
      <w:r w:rsidR="00576B31">
        <w:rPr>
          <w:szCs w:val="24"/>
        </w:rPr>
        <w:t xml:space="preserve"> </w:t>
      </w:r>
      <w:r w:rsidR="00626E5F">
        <w:rPr>
          <w:szCs w:val="24"/>
        </w:rPr>
        <w:t>Direct Energy’s proposed electronic verification</w:t>
      </w:r>
      <w:r w:rsidR="00576B31">
        <w:rPr>
          <w:szCs w:val="24"/>
        </w:rPr>
        <w:t xml:space="preserve"> is an adequate substitute for </w:t>
      </w:r>
      <w:r w:rsidR="00626E5F">
        <w:rPr>
          <w:szCs w:val="24"/>
        </w:rPr>
        <w:t xml:space="preserve">independent </w:t>
      </w:r>
      <w:r w:rsidR="00576B31">
        <w:rPr>
          <w:szCs w:val="24"/>
        </w:rPr>
        <w:t xml:space="preserve">third-party verification </w:t>
      </w:r>
      <w:r w:rsidR="00F3182A">
        <w:rPr>
          <w:szCs w:val="24"/>
        </w:rPr>
        <w:t>of a customer’s change in electric and/or natural gas supplier</w:t>
      </w:r>
      <w:r w:rsidR="006D19E8">
        <w:rPr>
          <w:szCs w:val="24"/>
        </w:rPr>
        <w:t>.</w:t>
      </w:r>
      <w:r w:rsidR="00EE4CFC">
        <w:rPr>
          <w:szCs w:val="24"/>
        </w:rPr>
        <w:t xml:space="preserve"> </w:t>
      </w:r>
    </w:p>
    <w:p w:rsidR="00C16C3F" w:rsidP="000218D7">
      <w:pPr>
        <w:suppressAutoHyphens/>
        <w:spacing w:line="480" w:lineRule="auto"/>
        <w:ind w:firstLine="720"/>
        <w:rPr>
          <w:szCs w:val="24"/>
        </w:rPr>
      </w:pPr>
      <w:r>
        <w:rPr>
          <w:szCs w:val="24"/>
        </w:rPr>
        <w:t>R.C. 4903.09 requires the PUCO to issue “</w:t>
      </w:r>
      <w:r>
        <w:t>findings of fact and written opinions setting forth the reasons prompting the decisions arrived at, based upon said findings of fact.”</w:t>
      </w:r>
      <w:r w:rsidR="00EE4CFC">
        <w:t xml:space="preserve"> </w:t>
      </w:r>
      <w:r>
        <w:t>The Entry, however, contains no findings of facts.</w:t>
      </w:r>
      <w:r w:rsidR="00EE4CFC">
        <w:t xml:space="preserve"> </w:t>
      </w:r>
      <w:r>
        <w:t xml:space="preserve">The Entry merely </w:t>
      </w:r>
      <w:r w:rsidR="00F3182A">
        <w:t xml:space="preserve">states that the PUCO has reviewed </w:t>
      </w:r>
      <w:r>
        <w:t>the arguments of the parties</w:t>
      </w:r>
      <w:r w:rsidR="00F3182A">
        <w:t xml:space="preserve"> and discusses the good cause requirement.</w:t>
      </w:r>
      <w:r>
        <w:rPr>
          <w:rStyle w:val="FootnoteReference"/>
        </w:rPr>
        <w:footnoteReference w:id="22"/>
      </w:r>
      <w:r w:rsidR="00EE4CFC">
        <w:t xml:space="preserve"> </w:t>
      </w:r>
      <w:r w:rsidR="00F3182A">
        <w:t>It</w:t>
      </w:r>
      <w:r>
        <w:t xml:space="preserve"> then </w:t>
      </w:r>
      <w:r w:rsidR="00C808B3">
        <w:t>states</w:t>
      </w:r>
      <w:r w:rsidR="00DA27E8">
        <w:t xml:space="preserve"> </w:t>
      </w:r>
      <w:r>
        <w:t xml:space="preserve">the conclusion that </w:t>
      </w:r>
      <w:r w:rsidR="00F3182A">
        <w:t xml:space="preserve">Direct Energy </w:t>
      </w:r>
      <w:r>
        <w:t xml:space="preserve">had shown good cause for </w:t>
      </w:r>
      <w:r w:rsidR="00F3182A">
        <w:t>its</w:t>
      </w:r>
      <w:r>
        <w:t xml:space="preserve"> waiver request.</w:t>
      </w:r>
      <w:r>
        <w:rPr>
          <w:rStyle w:val="FootnoteReference"/>
        </w:rPr>
        <w:footnoteReference w:id="23"/>
      </w:r>
      <w:r w:rsidR="00EE4CFC">
        <w:t xml:space="preserve"> </w:t>
      </w:r>
      <w:r>
        <w:t>The PUCO offers no reasoning for its determination.</w:t>
      </w:r>
      <w:r w:rsidR="00EE4CFC">
        <w:rPr>
          <w:szCs w:val="24"/>
        </w:rPr>
        <w:t xml:space="preserve"> </w:t>
      </w:r>
    </w:p>
    <w:p w:rsidR="00C501ED" w:rsidP="00C501ED">
      <w:pPr>
        <w:suppressAutoHyphens/>
        <w:spacing w:line="480" w:lineRule="auto"/>
        <w:ind w:firstLine="720"/>
        <w:rPr>
          <w:szCs w:val="24"/>
        </w:rPr>
      </w:pPr>
      <w:r>
        <w:rPr>
          <w:szCs w:val="24"/>
        </w:rPr>
        <w:t>T</w:t>
      </w:r>
      <w:r w:rsidR="00BD2DE1">
        <w:rPr>
          <w:szCs w:val="24"/>
        </w:rPr>
        <w:t>h</w:t>
      </w:r>
      <w:r w:rsidR="006D19E8">
        <w:rPr>
          <w:szCs w:val="24"/>
        </w:rPr>
        <w:t xml:space="preserve">e Entry </w:t>
      </w:r>
      <w:r w:rsidR="00F3182A">
        <w:rPr>
          <w:szCs w:val="24"/>
        </w:rPr>
        <w:t xml:space="preserve">does not issue </w:t>
      </w:r>
      <w:r w:rsidR="00F3182A">
        <w:t>findings of fact</w:t>
      </w:r>
      <w:r>
        <w:t>.</w:t>
      </w:r>
      <w:r w:rsidR="00EE4CFC">
        <w:t xml:space="preserve"> </w:t>
      </w:r>
      <w:r>
        <w:t>The</w:t>
      </w:r>
      <w:r w:rsidR="00F3182A">
        <w:t xml:space="preserve"> </w:t>
      </w:r>
      <w:r>
        <w:t xml:space="preserve">Entry also does not give the </w:t>
      </w:r>
      <w:r w:rsidR="00F3182A">
        <w:t xml:space="preserve">reasons prompting </w:t>
      </w:r>
      <w:r>
        <w:t>approval of the waiver,</w:t>
      </w:r>
      <w:r w:rsidR="00F3182A">
        <w:t xml:space="preserve"> based upon </w:t>
      </w:r>
      <w:r>
        <w:t>the</w:t>
      </w:r>
      <w:r w:rsidR="00F3182A">
        <w:t xml:space="preserve"> findings of fact</w:t>
      </w:r>
      <w:r>
        <w:t>,</w:t>
      </w:r>
      <w:r w:rsidR="00F3182A">
        <w:t xml:space="preserve"> as required by</w:t>
      </w:r>
      <w:r w:rsidR="006D19E8">
        <w:rPr>
          <w:szCs w:val="24"/>
        </w:rPr>
        <w:t xml:space="preserve"> R</w:t>
      </w:r>
      <w:r w:rsidR="00190EA0">
        <w:rPr>
          <w:szCs w:val="24"/>
        </w:rPr>
        <w:t>.C. 4903.09</w:t>
      </w:r>
      <w:r w:rsidR="00F3182A">
        <w:rPr>
          <w:szCs w:val="24"/>
        </w:rPr>
        <w:t>.</w:t>
      </w:r>
      <w:r w:rsidR="00EE4CFC">
        <w:rPr>
          <w:szCs w:val="24"/>
        </w:rPr>
        <w:t xml:space="preserve"> </w:t>
      </w:r>
      <w:r w:rsidR="00CF12FF">
        <w:rPr>
          <w:szCs w:val="24"/>
        </w:rPr>
        <w:t>The PUCO</w:t>
      </w:r>
      <w:r w:rsidR="006D19E8">
        <w:rPr>
          <w:szCs w:val="24"/>
        </w:rPr>
        <w:t>’s Entry</w:t>
      </w:r>
      <w:r w:rsidR="00CF12FF">
        <w:rPr>
          <w:szCs w:val="24"/>
        </w:rPr>
        <w:t xml:space="preserve"> </w:t>
      </w:r>
      <w:r>
        <w:rPr>
          <w:szCs w:val="24"/>
        </w:rPr>
        <w:t>does</w:t>
      </w:r>
      <w:r w:rsidR="004636E7">
        <w:rPr>
          <w:szCs w:val="24"/>
        </w:rPr>
        <w:t xml:space="preserve"> not satisfy the requirements of R.C. 4903.09</w:t>
      </w:r>
      <w:r w:rsidR="00CF12FF">
        <w:rPr>
          <w:szCs w:val="24"/>
        </w:rPr>
        <w:t>.</w:t>
      </w:r>
      <w:r w:rsidR="00EE4CFC">
        <w:rPr>
          <w:szCs w:val="24"/>
        </w:rPr>
        <w:t xml:space="preserve"> </w:t>
      </w:r>
      <w:r w:rsidR="00CF12FF">
        <w:rPr>
          <w:szCs w:val="24"/>
        </w:rPr>
        <w:t xml:space="preserve">The PUCO should abrogate the </w:t>
      </w:r>
      <w:r w:rsidR="00036918">
        <w:rPr>
          <w:szCs w:val="24"/>
        </w:rPr>
        <w:t>Entry</w:t>
      </w:r>
      <w:r w:rsidR="00CF12FF">
        <w:rPr>
          <w:szCs w:val="24"/>
        </w:rPr>
        <w:t>.</w:t>
      </w:r>
      <w:bookmarkStart w:id="15" w:name="_Toc532565750"/>
    </w:p>
    <w:p w:rsidR="00C501ED" w:rsidP="00C501ED">
      <w:pPr>
        <w:suppressAutoHyphens/>
        <w:ind w:firstLine="720"/>
        <w:rPr>
          <w:szCs w:val="24"/>
        </w:rPr>
      </w:pPr>
    </w:p>
    <w:p w:rsidR="005A5D1C" w:rsidRPr="00982ED9" w:rsidP="00C501ED">
      <w:pPr>
        <w:suppressAutoHyphens/>
        <w:spacing w:line="480" w:lineRule="auto"/>
        <w:rPr>
          <w:b/>
          <w:bCs/>
        </w:rPr>
      </w:pPr>
      <w:r w:rsidRPr="00982ED9">
        <w:rPr>
          <w:b/>
          <w:bCs/>
        </w:rPr>
        <w:t>IV.</w:t>
      </w:r>
      <w:r w:rsidRPr="00982ED9">
        <w:rPr>
          <w:b/>
          <w:bCs/>
        </w:rPr>
        <w:tab/>
        <w:t>CONCLUSION</w:t>
      </w:r>
      <w:bookmarkEnd w:id="15"/>
    </w:p>
    <w:p w:rsidR="009F54CA" w:rsidRPr="009F54CA" w:rsidP="009F54CA">
      <w:pPr>
        <w:suppressAutoHyphens/>
        <w:spacing w:line="480" w:lineRule="auto"/>
        <w:ind w:firstLine="720"/>
      </w:pPr>
      <w:r>
        <w:rPr>
          <w:szCs w:val="24"/>
        </w:rPr>
        <w:t xml:space="preserve">The </w:t>
      </w:r>
      <w:r w:rsidR="00E860BE">
        <w:rPr>
          <w:szCs w:val="24"/>
        </w:rPr>
        <w:t xml:space="preserve">independent </w:t>
      </w:r>
      <w:r>
        <w:rPr>
          <w:szCs w:val="24"/>
        </w:rPr>
        <w:t xml:space="preserve">third-party verification required by </w:t>
      </w:r>
      <w:r w:rsidR="000546AE">
        <w:t>the PUCO’s rules</w:t>
      </w:r>
      <w:r>
        <w:rPr>
          <w:szCs w:val="24"/>
        </w:rPr>
        <w:t xml:space="preserve"> helps protect consumers from </w:t>
      </w:r>
      <w:r w:rsidR="000546AE">
        <w:rPr>
          <w:szCs w:val="24"/>
        </w:rPr>
        <w:t xml:space="preserve">door-to-door marketers’ </w:t>
      </w:r>
      <w:r>
        <w:rPr>
          <w:szCs w:val="24"/>
        </w:rPr>
        <w:t>bad acts.</w:t>
      </w:r>
      <w:r w:rsidR="00EE4CFC">
        <w:rPr>
          <w:szCs w:val="24"/>
        </w:rPr>
        <w:t xml:space="preserve"> </w:t>
      </w:r>
      <w:r>
        <w:rPr>
          <w:szCs w:val="24"/>
        </w:rPr>
        <w:t xml:space="preserve">By allowing </w:t>
      </w:r>
      <w:r w:rsidR="000546AE">
        <w:rPr>
          <w:szCs w:val="24"/>
        </w:rPr>
        <w:t xml:space="preserve">Direct Energy </w:t>
      </w:r>
      <w:r>
        <w:rPr>
          <w:szCs w:val="24"/>
        </w:rPr>
        <w:t>to avoid these consumer protections, the PUCO substantially increased the risk of harm for consumers.</w:t>
      </w:r>
      <w:r w:rsidR="00EE4CFC">
        <w:rPr>
          <w:szCs w:val="24"/>
        </w:rPr>
        <w:t xml:space="preserve"> </w:t>
      </w:r>
      <w:r>
        <w:rPr>
          <w:szCs w:val="24"/>
        </w:rPr>
        <w:t>T</w:t>
      </w:r>
      <w:r>
        <w:t xml:space="preserve">he PUCO’s Entry </w:t>
      </w:r>
      <w:r w:rsidR="000546AE">
        <w:t>also does not explain the reasons for approving the waiver, as required by R.C. 4903.09.</w:t>
      </w:r>
      <w:r w:rsidR="00EE4CFC">
        <w:t xml:space="preserve"> </w:t>
      </w:r>
      <w:r w:rsidR="000546AE">
        <w:t xml:space="preserve">The Entry </w:t>
      </w:r>
      <w:r>
        <w:t xml:space="preserve">is </w:t>
      </w:r>
      <w:r w:rsidR="000546AE">
        <w:t xml:space="preserve">unjust, </w:t>
      </w:r>
      <w:r>
        <w:t>unlawful</w:t>
      </w:r>
      <w:r w:rsidR="00E860BE">
        <w:t xml:space="preserve">, </w:t>
      </w:r>
      <w:r>
        <w:t>and unreasonable.</w:t>
      </w:r>
      <w:r w:rsidR="00EE4CFC">
        <w:t xml:space="preserve"> </w:t>
      </w:r>
      <w:r>
        <w:t>To protect consumers, the PUCO should abrogate the Entry</w:t>
      </w:r>
      <w:r w:rsidR="0083407A">
        <w:t>.</w:t>
      </w:r>
    </w:p>
    <w:p w:rsidR="00033EEE">
      <w:pPr>
        <w:rPr>
          <w:szCs w:val="24"/>
        </w:rPr>
      </w:pPr>
      <w:r>
        <w:rPr>
          <w:szCs w:val="24"/>
        </w:rPr>
        <w:br w:type="page"/>
      </w:r>
    </w:p>
    <w:p w:rsidR="00F657E2" w:rsidP="00F657E2">
      <w:pPr>
        <w:pStyle w:val="BodyTextIndent3"/>
        <w:widowControl w:val="0"/>
        <w:spacing w:line="480" w:lineRule="auto"/>
        <w:ind w:left="3600" w:firstLine="0"/>
        <w:rPr>
          <w:szCs w:val="24"/>
        </w:rPr>
      </w:pPr>
      <w:r>
        <w:rPr>
          <w:szCs w:val="24"/>
        </w:rPr>
        <w:t>Respectfully submitted,</w:t>
      </w:r>
    </w:p>
    <w:p w:rsidR="00F657E2" w:rsidP="00F657E2">
      <w:pPr>
        <w:pStyle w:val="Footer"/>
        <w:tabs>
          <w:tab w:val="left" w:pos="4320"/>
          <w:tab w:val="clear" w:pos="8640"/>
        </w:tabs>
        <w:ind w:left="3600"/>
        <w:rPr>
          <w:sz w:val="24"/>
          <w:szCs w:val="24"/>
        </w:rPr>
      </w:pPr>
      <w:r>
        <w:rPr>
          <w:sz w:val="24"/>
          <w:szCs w:val="24"/>
        </w:rPr>
        <w:t>Bruce Weston (0016973)</w:t>
      </w:r>
    </w:p>
    <w:p w:rsidR="00F657E2" w:rsidP="00F657E2">
      <w:pPr>
        <w:tabs>
          <w:tab w:val="left" w:pos="4320"/>
        </w:tabs>
        <w:spacing w:after="120"/>
        <w:ind w:left="3600"/>
        <w:rPr>
          <w:szCs w:val="24"/>
        </w:rPr>
      </w:pPr>
      <w:r>
        <w:rPr>
          <w:szCs w:val="24"/>
        </w:rPr>
        <w:t>Ohio Consumers’ Counsel</w:t>
      </w:r>
    </w:p>
    <w:p w:rsidR="00F657E2" w:rsidP="00F657E2">
      <w:pPr>
        <w:autoSpaceDE w:val="0"/>
        <w:autoSpaceDN w:val="0"/>
        <w:adjustRightInd w:val="0"/>
        <w:ind w:left="3600"/>
        <w:rPr>
          <w:i/>
          <w:u w:val="single"/>
        </w:rPr>
      </w:pPr>
      <w:r>
        <w:rPr>
          <w:i/>
          <w:u w:val="single"/>
        </w:rPr>
        <w:t>/s/ Terry L. Etter</w:t>
      </w:r>
      <w:r w:rsidR="00C501ED">
        <w:rPr>
          <w:i/>
          <w:u w:val="single"/>
        </w:rPr>
        <w:tab/>
      </w:r>
      <w:r w:rsidR="00C501ED">
        <w:rPr>
          <w:i/>
          <w:u w:val="single"/>
        </w:rPr>
        <w:tab/>
      </w:r>
      <w:r w:rsidR="00EE4CFC">
        <w:rPr>
          <w:i/>
          <w:u w:val="single"/>
        </w:rPr>
        <w:t xml:space="preserve">       </w:t>
      </w:r>
    </w:p>
    <w:p w:rsidR="00F657E2" w:rsidP="00F657E2">
      <w:pPr>
        <w:autoSpaceDE w:val="0"/>
        <w:autoSpaceDN w:val="0"/>
        <w:adjustRightInd w:val="0"/>
        <w:ind w:left="3600"/>
        <w:rPr>
          <w:iCs/>
        </w:rPr>
      </w:pPr>
      <w:r>
        <w:rPr>
          <w:iCs/>
        </w:rPr>
        <w:t>Terry L. Etter (0067445)</w:t>
      </w:r>
    </w:p>
    <w:p w:rsidR="00F657E2" w:rsidRPr="004D3665" w:rsidP="00F657E2">
      <w:pPr>
        <w:autoSpaceDE w:val="0"/>
        <w:autoSpaceDN w:val="0"/>
        <w:adjustRightInd w:val="0"/>
        <w:ind w:left="3600"/>
        <w:rPr>
          <w:iCs/>
        </w:rPr>
      </w:pPr>
      <w:r w:rsidRPr="004D3665">
        <w:rPr>
          <w:iCs/>
        </w:rPr>
        <w:t>Counsel of Record</w:t>
      </w:r>
    </w:p>
    <w:p w:rsidR="00F657E2" w:rsidP="00F657E2">
      <w:pPr>
        <w:tabs>
          <w:tab w:val="left" w:pos="4320"/>
        </w:tabs>
        <w:ind w:left="3600"/>
        <w:rPr>
          <w:szCs w:val="24"/>
        </w:rPr>
      </w:pPr>
      <w:r>
        <w:rPr>
          <w:szCs w:val="24"/>
        </w:rPr>
        <w:t>Amy Botschner O’Brien (0074423)</w:t>
      </w:r>
    </w:p>
    <w:p w:rsidR="00F657E2" w:rsidP="00F657E2">
      <w:pPr>
        <w:tabs>
          <w:tab w:val="left" w:pos="4320"/>
        </w:tabs>
        <w:ind w:left="3600"/>
        <w:rPr>
          <w:szCs w:val="24"/>
        </w:rPr>
      </w:pPr>
      <w:r>
        <w:rPr>
          <w:szCs w:val="24"/>
        </w:rPr>
        <w:t xml:space="preserve">Assistant Consumers’ Counsel </w:t>
      </w:r>
    </w:p>
    <w:p w:rsidR="00F657E2" w:rsidRPr="00982ED9" w:rsidP="00F657E2">
      <w:pPr>
        <w:spacing w:before="120"/>
        <w:ind w:left="3600"/>
        <w:rPr>
          <w:b/>
          <w:bCs/>
        </w:rPr>
      </w:pPr>
      <w:r w:rsidRPr="00982ED9">
        <w:rPr>
          <w:b/>
          <w:bCs/>
        </w:rPr>
        <w:t>Office of the Ohio Consumers’ Counsel</w:t>
      </w:r>
    </w:p>
    <w:p w:rsidR="00F657E2" w:rsidP="00F657E2">
      <w:pPr>
        <w:ind w:left="3600"/>
        <w:rPr>
          <w:b/>
        </w:rPr>
      </w:pPr>
      <w:r>
        <w:t>65 East State Street, 7</w:t>
      </w:r>
      <w:r w:rsidRPr="004D3665">
        <w:t xml:space="preserve">th </w:t>
      </w:r>
      <w:r>
        <w:t>Floor</w:t>
      </w:r>
    </w:p>
    <w:p w:rsidR="00F657E2" w:rsidP="00F657E2">
      <w:pPr>
        <w:ind w:left="3600"/>
        <w:rPr>
          <w:b/>
        </w:rPr>
      </w:pPr>
      <w:r>
        <w:t>Columbus, Ohio 43215-4213</w:t>
      </w:r>
    </w:p>
    <w:p w:rsidR="00F657E2" w:rsidP="00F657E2">
      <w:pPr>
        <w:autoSpaceDE w:val="0"/>
        <w:autoSpaceDN w:val="0"/>
        <w:adjustRightInd w:val="0"/>
        <w:ind w:left="3600"/>
        <w:rPr>
          <w:szCs w:val="24"/>
        </w:rPr>
      </w:pPr>
      <w:r>
        <w:rPr>
          <w:szCs w:val="24"/>
        </w:rPr>
        <w:t>Telephone [Etter]: (614) 466-7964</w:t>
      </w:r>
    </w:p>
    <w:p w:rsidR="00F657E2" w:rsidP="00F657E2">
      <w:pPr>
        <w:autoSpaceDE w:val="0"/>
        <w:autoSpaceDN w:val="0"/>
        <w:adjustRightInd w:val="0"/>
        <w:ind w:left="3600"/>
        <w:rPr>
          <w:szCs w:val="24"/>
        </w:rPr>
      </w:pPr>
      <w:r>
        <w:rPr>
          <w:szCs w:val="24"/>
        </w:rPr>
        <w:t>Telephone [Botschner O’Brien]: (614) 466-9575</w:t>
      </w:r>
    </w:p>
    <w:p w:rsidR="00F657E2" w:rsidRPr="004D3665" w:rsidP="00F657E2">
      <w:pPr>
        <w:ind w:left="3600"/>
        <w:rPr>
          <w:color w:val="0000FF"/>
          <w:szCs w:val="24"/>
          <w:u w:val="single"/>
        </w:rPr>
      </w:pPr>
      <w:r w:rsidRPr="004D3665">
        <w:rPr>
          <w:color w:val="0000FF"/>
          <w:szCs w:val="24"/>
          <w:u w:val="single"/>
        </w:rPr>
        <w:t>terry.etter@occ.ohio.gov</w:t>
      </w:r>
    </w:p>
    <w:p w:rsidR="00F657E2" w:rsidRPr="004D3665" w:rsidP="00F657E2">
      <w:pPr>
        <w:autoSpaceDE w:val="0"/>
        <w:autoSpaceDN w:val="0"/>
        <w:adjustRightInd w:val="0"/>
        <w:ind w:left="3600"/>
        <w:rPr>
          <w:color w:val="0000FF"/>
          <w:szCs w:val="24"/>
          <w:u w:val="single"/>
        </w:rPr>
      </w:pPr>
      <w:r w:rsidRPr="004D3665">
        <w:rPr>
          <w:color w:val="0000FF"/>
          <w:szCs w:val="24"/>
          <w:u w:val="single"/>
        </w:rPr>
        <w:t>amy.botschner.obrien@occ.ohio.gov</w:t>
      </w:r>
    </w:p>
    <w:p w:rsidR="00F657E2" w:rsidP="00F657E2">
      <w:pPr>
        <w:ind w:left="3600"/>
        <w:rPr>
          <w:szCs w:val="24"/>
        </w:rPr>
      </w:pPr>
      <w:r w:rsidRPr="00E53E6E">
        <w:rPr>
          <w:szCs w:val="24"/>
        </w:rPr>
        <w:t>(will</w:t>
      </w:r>
      <w:r>
        <w:rPr>
          <w:szCs w:val="24"/>
        </w:rPr>
        <w:t>ing to</w:t>
      </w:r>
      <w:r w:rsidRPr="00E53E6E">
        <w:rPr>
          <w:szCs w:val="24"/>
        </w:rPr>
        <w:t xml:space="preserve"> accept service </w:t>
      </w:r>
      <w:r>
        <w:rPr>
          <w:szCs w:val="24"/>
        </w:rPr>
        <w:t>by e-mail</w:t>
      </w:r>
      <w:r w:rsidRPr="00E53E6E">
        <w:rPr>
          <w:szCs w:val="24"/>
        </w:rPr>
        <w:t>)</w:t>
      </w:r>
    </w:p>
    <w:p w:rsidR="00A044B5" w:rsidRPr="002A0628" w:rsidP="002A0628">
      <w:pPr>
        <w:pStyle w:val="Footer"/>
        <w:tabs>
          <w:tab w:val="left" w:pos="4320"/>
          <w:tab w:val="clear" w:pos="8640"/>
        </w:tabs>
        <w:ind w:left="4320"/>
        <w:rPr>
          <w:sz w:val="24"/>
          <w:szCs w:val="24"/>
        </w:rPr>
      </w:pPr>
    </w:p>
    <w:p w:rsidR="00C95A63">
      <w:pPr>
        <w:rPr>
          <w:b/>
          <w:bCs/>
          <w:u w:val="single"/>
        </w:rPr>
      </w:pPr>
      <w:r>
        <w:rPr>
          <w:b/>
          <w:bCs/>
          <w:u w:val="single"/>
        </w:rPr>
        <w:br w:type="page"/>
      </w:r>
    </w:p>
    <w:p w:rsidR="00A044B5">
      <w:pPr>
        <w:jc w:val="center"/>
        <w:rPr>
          <w:b/>
          <w:bCs/>
          <w:u w:val="single"/>
        </w:rPr>
      </w:pPr>
      <w:r>
        <w:rPr>
          <w:b/>
          <w:bCs/>
          <w:u w:val="single"/>
        </w:rPr>
        <w:t>CERTIFICATE OF SERVICE</w:t>
      </w:r>
    </w:p>
    <w:p w:rsidR="00A044B5">
      <w:pPr>
        <w:spacing w:line="480" w:lineRule="atLeast"/>
      </w:pPr>
      <w:r>
        <w:tab/>
        <w:t xml:space="preserve">I hereby certify that a copy of this </w:t>
      </w:r>
      <w:r w:rsidR="006A671D">
        <w:t>Application for Rehearing</w:t>
      </w:r>
      <w:r>
        <w:t xml:space="preserve"> was served on the persons stated below </w:t>
      </w:r>
      <w:r w:rsidRPr="000722D5">
        <w:t>via</w:t>
      </w:r>
      <w:r w:rsidR="002A4912">
        <w:t xml:space="preserve"> electronic transmission</w:t>
      </w:r>
      <w:r>
        <w:t>, this</w:t>
      </w:r>
      <w:r w:rsidR="000D31A8">
        <w:t xml:space="preserve"> </w:t>
      </w:r>
      <w:r w:rsidR="00A202A3">
        <w:t>28</w:t>
      </w:r>
      <w:r w:rsidRPr="00127CDE" w:rsidR="004A3985">
        <w:rPr>
          <w:vertAlign w:val="superscript"/>
        </w:rPr>
        <w:t>th</w:t>
      </w:r>
      <w:r w:rsidR="004A3985">
        <w:t xml:space="preserve"> </w:t>
      </w:r>
      <w:r>
        <w:t xml:space="preserve">day of </w:t>
      </w:r>
      <w:r w:rsidR="00A202A3">
        <w:t xml:space="preserve">October </w:t>
      </w:r>
      <w:r>
        <w:t>201</w:t>
      </w:r>
      <w:r w:rsidR="00A202A3">
        <w:t>9</w:t>
      </w:r>
      <w:r>
        <w:t>.</w:t>
      </w:r>
    </w:p>
    <w:p w:rsidR="00A044B5">
      <w:pPr>
        <w:spacing w:line="480" w:lineRule="atLeast"/>
      </w:pPr>
    </w:p>
    <w:p w:rsidR="008E7FF9" w:rsidP="008E7FF9">
      <w:pPr>
        <w:autoSpaceDE w:val="0"/>
        <w:autoSpaceDN w:val="0"/>
        <w:adjustRightInd w:val="0"/>
        <w:ind w:left="4320"/>
        <w:rPr>
          <w:i/>
        </w:rPr>
      </w:pPr>
      <w:r>
        <w:rPr>
          <w:i/>
          <w:u w:val="single"/>
        </w:rPr>
        <w:t>/s/ Terry</w:t>
      </w:r>
      <w:r w:rsidR="00665692">
        <w:rPr>
          <w:i/>
          <w:u w:val="single"/>
        </w:rPr>
        <w:t xml:space="preserve"> L. Etter</w:t>
      </w:r>
      <w:r w:rsidR="00C501ED">
        <w:rPr>
          <w:i/>
          <w:u w:val="single"/>
        </w:rPr>
        <w:tab/>
      </w:r>
      <w:r w:rsidR="00C501ED">
        <w:rPr>
          <w:i/>
          <w:u w:val="single"/>
        </w:rPr>
        <w:tab/>
      </w:r>
      <w:r w:rsidR="00EE4CFC">
        <w:rPr>
          <w:i/>
          <w:u w:val="single"/>
        </w:rPr>
        <w:t xml:space="preserve">         </w:t>
      </w:r>
    </w:p>
    <w:p w:rsidR="00A044B5">
      <w:pPr>
        <w:tabs>
          <w:tab w:val="left" w:pos="4320"/>
        </w:tabs>
      </w:pPr>
      <w:r>
        <w:tab/>
      </w:r>
      <w:r w:rsidR="000722D5">
        <w:t>Terry L. Etter</w:t>
      </w:r>
    </w:p>
    <w:p w:rsidR="00A044B5">
      <w:pPr>
        <w:tabs>
          <w:tab w:val="left" w:pos="4320"/>
        </w:tabs>
      </w:pPr>
      <w:r>
        <w:tab/>
        <w:t>Assistant Consumers’ Counsel</w:t>
      </w:r>
    </w:p>
    <w:p w:rsidR="00A044B5">
      <w:pPr>
        <w:pStyle w:val="CommentSubject"/>
      </w:pPr>
    </w:p>
    <w:p w:rsidR="004276FB" w:rsidRPr="004E5B27" w:rsidP="004276FB">
      <w:pPr>
        <w:rPr>
          <w:szCs w:val="24"/>
          <w:lang w:bidi="en-US"/>
        </w:rPr>
      </w:pPr>
      <w:r w:rsidRPr="004E5B27">
        <w:rPr>
          <w:szCs w:val="24"/>
          <w:lang w:bidi="en-US"/>
        </w:rPr>
        <w:t>The PUCO’s e-filing system will electronically serve notice of the filing of this document on the following parties:</w:t>
      </w:r>
    </w:p>
    <w:p w:rsidR="004276FB" w:rsidRPr="004E5B27" w:rsidP="004276FB">
      <w:pPr>
        <w:jc w:val="center"/>
        <w:rPr>
          <w:b/>
          <w:bCs/>
          <w:szCs w:val="24"/>
          <w:u w:val="single"/>
        </w:rPr>
      </w:pPr>
    </w:p>
    <w:p w:rsidR="004276FB" w:rsidRPr="004E5B27" w:rsidP="004276FB">
      <w:pPr>
        <w:jc w:val="center"/>
        <w:rPr>
          <w:b/>
          <w:bCs/>
          <w:szCs w:val="24"/>
          <w:u w:val="single"/>
        </w:rPr>
      </w:pPr>
    </w:p>
    <w:p w:rsidR="004276FB" w:rsidRPr="004E5B27" w:rsidP="004276FB">
      <w:pPr>
        <w:jc w:val="center"/>
        <w:rPr>
          <w:b/>
          <w:bCs/>
          <w:szCs w:val="24"/>
          <w:u w:val="single"/>
        </w:rPr>
      </w:pPr>
      <w:r w:rsidRPr="004E5B27">
        <w:rPr>
          <w:b/>
          <w:bCs/>
          <w:szCs w:val="24"/>
          <w:u w:val="single"/>
        </w:rPr>
        <w:t>SERVICE LIST</w:t>
      </w:r>
    </w:p>
    <w:p w:rsidR="004276FB" w:rsidRPr="004E5B27" w:rsidP="004276FB">
      <w:pPr>
        <w:jc w:val="center"/>
        <w:rPr>
          <w:b/>
          <w:bCs/>
          <w:szCs w:val="24"/>
          <w:u w:val="single"/>
        </w:rPr>
      </w:pPr>
    </w:p>
    <w:p w:rsidR="004276FB" w:rsidRPr="004E5B27" w:rsidP="004276FB">
      <w:pPr>
        <w:jc w:val="center"/>
        <w:rPr>
          <w:b/>
          <w:bCs/>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rsidTr="00B430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276FB" w:rsidRPr="004E5B27" w:rsidP="00B4302C">
            <w:pPr>
              <w:rPr>
                <w:bCs/>
                <w:szCs w:val="24"/>
              </w:rPr>
            </w:pPr>
            <w:r>
              <w:fldChar w:fldCharType="begin"/>
            </w:r>
            <w:r>
              <w:instrText xml:space="preserve"> HYPERLINK "mailto:Steven.beeler@ohioattorneygeneral.gov" </w:instrText>
            </w:r>
            <w:r>
              <w:fldChar w:fldCharType="separate"/>
            </w:r>
            <w:r w:rsidRPr="004E5B27" w:rsidR="00033EEE">
              <w:rPr>
                <w:bCs/>
                <w:color w:val="0000FF"/>
                <w:szCs w:val="24"/>
                <w:u w:val="single"/>
              </w:rPr>
              <w:t>Steven.beeler@ohioattorneygeneral.gov</w:t>
            </w:r>
            <w:r>
              <w:fldChar w:fldCharType="end"/>
            </w:r>
          </w:p>
          <w:p w:rsidR="004276FB" w:rsidRPr="004E5B27" w:rsidP="00B4302C">
            <w:pPr>
              <w:rPr>
                <w:bCs/>
                <w:szCs w:val="24"/>
              </w:rPr>
            </w:pPr>
            <w:r>
              <w:fldChar w:fldCharType="begin"/>
            </w:r>
            <w:r>
              <w:instrText xml:space="preserve"> HYPERLINK "mailto:Andrew.shaffer@ohioattorneygeneral.gov" </w:instrText>
            </w:r>
            <w:r>
              <w:fldChar w:fldCharType="separate"/>
            </w:r>
            <w:r w:rsidRPr="004E5B27" w:rsidR="00033EEE">
              <w:rPr>
                <w:bCs/>
                <w:color w:val="0000FF"/>
                <w:szCs w:val="24"/>
                <w:u w:val="single"/>
              </w:rPr>
              <w:t>Andrew.shaffer@ohioattorneygeneral.gov</w:t>
            </w:r>
            <w:r>
              <w:fldChar w:fldCharType="end"/>
            </w:r>
          </w:p>
          <w:p w:rsidR="004276FB" w:rsidRPr="004E5B27" w:rsidP="00B4302C">
            <w:pPr>
              <w:rPr>
                <w:bCs/>
                <w:szCs w:val="24"/>
              </w:rPr>
            </w:pPr>
          </w:p>
          <w:p w:rsidR="004276FB" w:rsidRPr="004E5B27" w:rsidP="00B4302C">
            <w:pPr>
              <w:rPr>
                <w:bCs/>
                <w:szCs w:val="24"/>
              </w:rPr>
            </w:pPr>
            <w:r w:rsidRPr="004E5B27">
              <w:rPr>
                <w:bCs/>
                <w:szCs w:val="24"/>
              </w:rPr>
              <w:t>Attorney Examiner:</w:t>
            </w:r>
          </w:p>
          <w:p w:rsidR="004276FB" w:rsidRPr="004E5B27" w:rsidP="00B4302C">
            <w:pPr>
              <w:rPr>
                <w:bCs/>
                <w:szCs w:val="24"/>
              </w:rPr>
            </w:pPr>
          </w:p>
          <w:p w:rsidR="004276FB" w:rsidRPr="004E5B27" w:rsidP="00B4302C">
            <w:pPr>
              <w:rPr>
                <w:bCs/>
                <w:color w:val="0000FF"/>
                <w:szCs w:val="24"/>
                <w:u w:val="single"/>
              </w:rPr>
            </w:pPr>
            <w:r>
              <w:fldChar w:fldCharType="begin"/>
            </w:r>
            <w:r>
              <w:instrText xml:space="preserve"> HYPERLINK "mailto:Stacie.cathcart@puco.ohio.gov" </w:instrText>
            </w:r>
            <w:r>
              <w:fldChar w:fldCharType="separate"/>
            </w:r>
            <w:r w:rsidRPr="004E5B27" w:rsidR="00033EEE">
              <w:rPr>
                <w:bCs/>
                <w:color w:val="0000FF"/>
                <w:szCs w:val="24"/>
                <w:u w:val="single"/>
              </w:rPr>
              <w:t>Stacie.cathcart@puco.ohio.gov</w:t>
            </w:r>
            <w:r>
              <w:fldChar w:fldCharType="end"/>
            </w:r>
          </w:p>
          <w:p w:rsidR="004276FB" w:rsidRPr="004E5B27" w:rsidP="00B4302C">
            <w:pPr>
              <w:rPr>
                <w:bCs/>
                <w:szCs w:val="24"/>
              </w:rPr>
            </w:pPr>
            <w:r w:rsidRPr="004E5B27">
              <w:rPr>
                <w:bCs/>
                <w:color w:val="0000FF"/>
                <w:szCs w:val="24"/>
                <w:u w:val="single"/>
              </w:rPr>
              <w:t>Michael.williams@puco.ohio.gov</w:t>
            </w:r>
          </w:p>
          <w:p w:rsidR="004276FB" w:rsidRPr="004E5B27" w:rsidP="00B4302C">
            <w:pPr>
              <w:rPr>
                <w:bCs/>
                <w:szCs w:val="24"/>
              </w:rPr>
            </w:pPr>
          </w:p>
          <w:p w:rsidR="004276FB" w:rsidRPr="004E5B27" w:rsidP="00B4302C">
            <w:pPr>
              <w:rPr>
                <w:bCs/>
                <w:szCs w:val="24"/>
              </w:rPr>
            </w:pPr>
          </w:p>
          <w:p w:rsidR="004276FB" w:rsidRPr="004E5B27" w:rsidP="00B4302C">
            <w:pPr>
              <w:rPr>
                <w:b/>
                <w:szCs w:val="24"/>
                <w:u w:val="single"/>
              </w:rPr>
            </w:pPr>
            <w:r w:rsidRPr="004E5B27">
              <w:rPr>
                <w:bCs/>
                <w:szCs w:val="24"/>
              </w:rPr>
              <w:tab/>
            </w:r>
          </w:p>
        </w:tc>
        <w:tc>
          <w:tcPr>
            <w:tcW w:w="4315" w:type="dxa"/>
          </w:tcPr>
          <w:p w:rsidR="004276FB" w:rsidRPr="004E5B27" w:rsidP="00B4302C">
            <w:pPr>
              <w:ind w:left="703"/>
              <w:rPr>
                <w:bCs/>
                <w:szCs w:val="24"/>
              </w:rPr>
            </w:pPr>
            <w:r>
              <w:fldChar w:fldCharType="begin"/>
            </w:r>
            <w:r>
              <w:instrText xml:space="preserve"> HYPERLINK "mailto:whitt@whitt-sturtevant.com" </w:instrText>
            </w:r>
            <w:r>
              <w:fldChar w:fldCharType="separate"/>
            </w:r>
            <w:r w:rsidRPr="004E5B27" w:rsidR="00033EEE">
              <w:rPr>
                <w:bCs/>
                <w:color w:val="0000FF"/>
                <w:szCs w:val="24"/>
                <w:u w:val="single"/>
              </w:rPr>
              <w:t>whitt@whitt-sturtevant.com</w:t>
            </w:r>
            <w:r>
              <w:fldChar w:fldCharType="end"/>
            </w:r>
          </w:p>
          <w:p w:rsidR="004276FB" w:rsidRPr="004E5B27" w:rsidP="00B4302C">
            <w:pPr>
              <w:ind w:left="703"/>
              <w:jc w:val="both"/>
              <w:rPr>
                <w:bCs/>
              </w:rPr>
            </w:pPr>
            <w:r>
              <w:fldChar w:fldCharType="begin"/>
            </w:r>
            <w:r>
              <w:instrText xml:space="preserve"> HYPERLINK "mailto:glover@whitt-sturtevant.com" </w:instrText>
            </w:r>
            <w:r>
              <w:fldChar w:fldCharType="separate"/>
            </w:r>
            <w:r w:rsidRPr="004E5B27" w:rsidR="00033EEE">
              <w:rPr>
                <w:bCs/>
                <w:color w:val="0000FF"/>
                <w:u w:val="single"/>
              </w:rPr>
              <w:t>glover@whitt-sturtevant.com</w:t>
            </w:r>
            <w:r>
              <w:fldChar w:fldCharType="end"/>
            </w:r>
          </w:p>
          <w:p w:rsidR="004276FB" w:rsidRPr="004E5B27" w:rsidP="00B4302C">
            <w:pPr>
              <w:ind w:left="703"/>
              <w:jc w:val="both"/>
              <w:rPr>
                <w:bCs/>
              </w:rPr>
            </w:pPr>
            <w:r>
              <w:fldChar w:fldCharType="begin"/>
            </w:r>
            <w:r>
              <w:instrText xml:space="preserve"> HYPERLINK "mailto:josephclark@nisource.com" </w:instrText>
            </w:r>
            <w:r>
              <w:fldChar w:fldCharType="separate"/>
            </w:r>
            <w:r w:rsidRPr="004E5B27" w:rsidR="00033EEE">
              <w:rPr>
                <w:bCs/>
                <w:color w:val="0000FF"/>
                <w:u w:val="single"/>
              </w:rPr>
              <w:t>josephclark@nisource.com</w:t>
            </w:r>
            <w:r>
              <w:fldChar w:fldCharType="end"/>
            </w:r>
          </w:p>
          <w:p w:rsidR="004276FB" w:rsidRPr="004E5B27" w:rsidP="00B4302C">
            <w:pPr>
              <w:ind w:left="703"/>
              <w:jc w:val="both"/>
              <w:rPr>
                <w:bCs/>
              </w:rPr>
            </w:pPr>
            <w:r>
              <w:fldChar w:fldCharType="begin"/>
            </w:r>
            <w:r>
              <w:instrText xml:space="preserve"> HYPERLINK "mailto:sseiple@nisource.com" </w:instrText>
            </w:r>
            <w:r>
              <w:fldChar w:fldCharType="separate"/>
            </w:r>
            <w:r w:rsidRPr="004E5B27" w:rsidR="00033EEE">
              <w:rPr>
                <w:bCs/>
                <w:color w:val="0000FF"/>
                <w:u w:val="single"/>
              </w:rPr>
              <w:t>sseiple@nisource.com</w:t>
            </w:r>
            <w:r>
              <w:fldChar w:fldCharType="end"/>
            </w:r>
          </w:p>
          <w:p w:rsidR="004276FB" w:rsidRPr="004E5B27" w:rsidP="00B4302C">
            <w:pPr>
              <w:ind w:left="703"/>
              <w:jc w:val="both"/>
              <w:rPr>
                <w:bCs/>
              </w:rPr>
            </w:pPr>
            <w:r>
              <w:fldChar w:fldCharType="begin"/>
            </w:r>
            <w:r>
              <w:instrText xml:space="preserve"> HYPERLINK "mailto:msettineri@vorys.com" </w:instrText>
            </w:r>
            <w:r>
              <w:fldChar w:fldCharType="separate"/>
            </w:r>
            <w:r w:rsidRPr="004E5B27" w:rsidR="00033EEE">
              <w:rPr>
                <w:bCs/>
                <w:color w:val="0000FF"/>
                <w:u w:val="single"/>
              </w:rPr>
              <w:t>msettineri@vorys.com</w:t>
            </w:r>
            <w:r>
              <w:fldChar w:fldCharType="end"/>
            </w:r>
          </w:p>
          <w:p w:rsidR="004276FB" w:rsidRPr="004E5B27" w:rsidP="00B4302C">
            <w:pPr>
              <w:ind w:left="703"/>
              <w:jc w:val="both"/>
              <w:rPr>
                <w:bCs/>
              </w:rPr>
            </w:pPr>
            <w:r>
              <w:fldChar w:fldCharType="begin"/>
            </w:r>
            <w:r>
              <w:instrText xml:space="preserve"> HYPERLINK "mailto:glpetrucci@vorys.com" </w:instrText>
            </w:r>
            <w:r>
              <w:fldChar w:fldCharType="separate"/>
            </w:r>
            <w:r w:rsidRPr="004E5B27" w:rsidR="00033EEE">
              <w:rPr>
                <w:bCs/>
                <w:color w:val="0000FF"/>
                <w:u w:val="single"/>
              </w:rPr>
              <w:t>glpetrucci@vorys.com</w:t>
            </w:r>
            <w:r>
              <w:fldChar w:fldCharType="end"/>
            </w:r>
          </w:p>
          <w:p w:rsidR="004276FB" w:rsidRPr="004E5B27" w:rsidP="00B4302C">
            <w:pPr>
              <w:ind w:left="703"/>
              <w:jc w:val="both"/>
              <w:rPr>
                <w:bCs/>
              </w:rPr>
            </w:pPr>
          </w:p>
          <w:p w:rsidR="004276FB" w:rsidRPr="004E5B27" w:rsidP="00B4302C">
            <w:pPr>
              <w:ind w:left="703"/>
              <w:jc w:val="both"/>
              <w:rPr>
                <w:bCs/>
              </w:rPr>
            </w:pPr>
          </w:p>
          <w:p w:rsidR="004276FB" w:rsidRPr="004E5B27" w:rsidP="00B4302C">
            <w:pPr>
              <w:ind w:left="703"/>
              <w:rPr>
                <w:b/>
                <w:szCs w:val="24"/>
                <w:u w:val="single"/>
              </w:rPr>
            </w:pPr>
          </w:p>
        </w:tc>
      </w:tr>
    </w:tbl>
    <w:p w:rsidR="00A044B5" w:rsidP="004276FB">
      <w:pPr>
        <w:pStyle w:val="CommentText"/>
        <w:rPr>
          <w:b/>
          <w:bCs/>
        </w:rPr>
      </w:pPr>
    </w:p>
    <w:sectPr>
      <w:headerReference w:type="even" r:id="rId7"/>
      <w:head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6013934"/>
      <w:docPartObj>
        <w:docPartGallery w:val="Page Numbers (Bottom of Page)"/>
        <w:docPartUnique/>
      </w:docPartObj>
    </w:sdtPr>
    <w:sdtEndPr>
      <w:rPr>
        <w:noProof/>
        <w:sz w:val="24"/>
        <w:szCs w:val="24"/>
      </w:rPr>
    </w:sdtEndPr>
    <w:sdtContent>
      <w:p w:rsidR="00B7546D" w:rsidRPr="00B7546D">
        <w:pPr>
          <w:pStyle w:val="Footer"/>
          <w:jc w:val="center"/>
          <w:rPr>
            <w:sz w:val="24"/>
            <w:szCs w:val="24"/>
          </w:rPr>
        </w:pPr>
        <w:r w:rsidRPr="00B7546D">
          <w:rPr>
            <w:sz w:val="24"/>
            <w:szCs w:val="24"/>
          </w:rPr>
          <w:fldChar w:fldCharType="begin"/>
        </w:r>
        <w:r w:rsidRPr="00B7546D">
          <w:rPr>
            <w:sz w:val="24"/>
            <w:szCs w:val="24"/>
          </w:rPr>
          <w:instrText xml:space="preserve"> PAGE   \* MERGEFORMAT </w:instrText>
        </w:r>
        <w:r w:rsidRPr="00B7546D">
          <w:rPr>
            <w:sz w:val="24"/>
            <w:szCs w:val="24"/>
          </w:rPr>
          <w:fldChar w:fldCharType="separate"/>
        </w:r>
        <w:r w:rsidRPr="00B7546D">
          <w:rPr>
            <w:noProof/>
            <w:sz w:val="24"/>
            <w:szCs w:val="24"/>
          </w:rPr>
          <w:t>2</w:t>
        </w:r>
        <w:r w:rsidRPr="00B7546D">
          <w:rPr>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35" w:rsidRPr="00742435">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4998152"/>
      <w:docPartObj>
        <w:docPartGallery w:val="Page Numbers (Bottom of Page)"/>
        <w:docPartUnique/>
      </w:docPartObj>
    </w:sdtPr>
    <w:sdtEndPr>
      <w:rPr>
        <w:noProof/>
        <w:sz w:val="24"/>
        <w:szCs w:val="24"/>
      </w:rPr>
    </w:sdtEndPr>
    <w:sdtContent>
      <w:p w:rsidR="00EE4CFC" w:rsidRPr="00EE4CFC">
        <w:pPr>
          <w:pStyle w:val="Footer"/>
          <w:jc w:val="center"/>
          <w:rPr>
            <w:sz w:val="24"/>
            <w:szCs w:val="24"/>
          </w:rPr>
        </w:pPr>
        <w:r w:rsidRPr="00EE4CFC">
          <w:rPr>
            <w:sz w:val="24"/>
            <w:szCs w:val="24"/>
          </w:rPr>
          <w:fldChar w:fldCharType="begin"/>
        </w:r>
        <w:r w:rsidRPr="00EE4CFC">
          <w:rPr>
            <w:sz w:val="24"/>
            <w:szCs w:val="24"/>
          </w:rPr>
          <w:instrText xml:space="preserve"> PAGE   \* MERGEFORMAT </w:instrText>
        </w:r>
        <w:r w:rsidRPr="00EE4CFC">
          <w:rPr>
            <w:sz w:val="24"/>
            <w:szCs w:val="24"/>
          </w:rPr>
          <w:fldChar w:fldCharType="separate"/>
        </w:r>
        <w:r w:rsidRPr="00EE4CFC">
          <w:rPr>
            <w:noProof/>
            <w:sz w:val="24"/>
            <w:szCs w:val="24"/>
          </w:rPr>
          <w:t>2</w:t>
        </w:r>
        <w:r w:rsidRPr="00EE4CFC">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A71F4">
      <w:r>
        <w:separator/>
      </w:r>
    </w:p>
  </w:footnote>
  <w:footnote w:type="continuationSeparator" w:id="1">
    <w:p w:rsidR="00FA71F4">
      <w:r>
        <w:continuationSeparator/>
      </w:r>
    </w:p>
  </w:footnote>
  <w:footnote w:id="2">
    <w:p w:rsidR="00ED454D" w:rsidRPr="00EE4CFC" w:rsidP="00ED454D">
      <w:pPr>
        <w:pStyle w:val="FootnoteText"/>
      </w:pPr>
      <w:r w:rsidRPr="00EE4CFC">
        <w:rPr>
          <w:rStyle w:val="FootnoteReference"/>
        </w:rPr>
        <w:footnoteRef/>
      </w:r>
      <w:r w:rsidRPr="00EE4CFC">
        <w:t xml:space="preserve"> </w:t>
      </w:r>
      <w:r w:rsidRPr="00EE4CFC">
        <w:rPr>
          <w:szCs w:val="24"/>
        </w:rPr>
        <w:t xml:space="preserve">Direct Energy Business, LLC and Direct Energy Services, LLC. </w:t>
      </w:r>
    </w:p>
  </w:footnote>
  <w:footnote w:id="3">
    <w:p w:rsidR="00ED454D" w:rsidRPr="00EE4CFC" w:rsidP="00ED454D">
      <w:pPr>
        <w:pStyle w:val="FootnoteText"/>
      </w:pPr>
      <w:r w:rsidRPr="00EE4CFC">
        <w:rPr>
          <w:rStyle w:val="FootnoteReference"/>
        </w:rPr>
        <w:footnoteRef/>
      </w:r>
      <w:r w:rsidRPr="00EE4CFC">
        <w:t xml:space="preserve"> Entry (September 26, 2019) (“Entry”).</w:t>
      </w:r>
    </w:p>
  </w:footnote>
  <w:footnote w:id="4">
    <w:p w:rsidR="00B062A2" w:rsidRPr="00EE4CFC" w:rsidP="00B062A2">
      <w:pPr>
        <w:pStyle w:val="FootnoteText"/>
      </w:pPr>
      <w:r w:rsidRPr="00EE4CFC">
        <w:rPr>
          <w:rStyle w:val="FootnoteReference"/>
        </w:rPr>
        <w:footnoteRef/>
      </w:r>
      <w:r w:rsidRPr="00EE4CFC">
        <w:t xml:space="preserve"> R.C. 4928.10(D)(4); R.C. 4929.22(D)(3).</w:t>
      </w:r>
    </w:p>
  </w:footnote>
  <w:footnote w:id="5">
    <w:p w:rsidR="00201041" w:rsidRPr="00EE4CFC" w:rsidP="00665692">
      <w:pPr>
        <w:pStyle w:val="FootnoteText"/>
      </w:pPr>
      <w:r w:rsidRPr="00EE4CFC">
        <w:rPr>
          <w:rStyle w:val="FootnoteReference"/>
        </w:rPr>
        <w:footnoteRef/>
      </w:r>
      <w:r w:rsidRPr="00EE4CFC">
        <w:t xml:space="preserve"> Ohio Adm. Code Chapter 4901:1-29.</w:t>
      </w:r>
    </w:p>
  </w:footnote>
  <w:footnote w:id="6">
    <w:p w:rsidR="00201041" w:rsidRPr="00EE4CFC" w:rsidP="00665692">
      <w:pPr>
        <w:pStyle w:val="FootnoteText"/>
      </w:pPr>
      <w:r w:rsidRPr="00EE4CFC">
        <w:rPr>
          <w:rStyle w:val="FootnoteReference"/>
        </w:rPr>
        <w:footnoteRef/>
      </w:r>
      <w:r w:rsidRPr="00EE4CFC">
        <w:t xml:space="preserve"> Ohio Adm. Code 4901:1-20-06(E)(1).</w:t>
      </w:r>
    </w:p>
  </w:footnote>
  <w:footnote w:id="7">
    <w:p w:rsidR="00ED39D5" w:rsidRPr="00EE4CFC" w:rsidP="00665692">
      <w:pPr>
        <w:pStyle w:val="FootnoteText"/>
      </w:pPr>
      <w:r w:rsidRPr="00EE4CFC">
        <w:rPr>
          <w:rStyle w:val="FootnoteReference"/>
        </w:rPr>
        <w:footnoteRef/>
      </w:r>
      <w:r w:rsidRPr="00EE4CFC" w:rsidR="00590C74">
        <w:t xml:space="preserve"> Entry</w:t>
      </w:r>
      <w:r w:rsidRPr="00EE4CFC" w:rsidR="00C744A9">
        <w:t xml:space="preserve"> (September 26, 2019)</w:t>
      </w:r>
      <w:r w:rsidRPr="00EE4CFC" w:rsidR="00590C74">
        <w:t>, ¶1</w:t>
      </w:r>
      <w:r w:rsidRPr="00EE4CFC" w:rsidR="00C744A9">
        <w:t>5</w:t>
      </w:r>
      <w:r w:rsidRPr="00EE4CFC" w:rsidR="00590C74">
        <w:t>.</w:t>
      </w:r>
    </w:p>
  </w:footnote>
  <w:footnote w:id="8">
    <w:p w:rsidR="00141F46" w:rsidRPr="00EE4CFC" w:rsidP="00665692">
      <w:pPr>
        <w:pStyle w:val="FootnoteText"/>
      </w:pPr>
      <w:r w:rsidRPr="00EE4CFC">
        <w:rPr>
          <w:rStyle w:val="FootnoteReference"/>
        </w:rPr>
        <w:footnoteRef/>
      </w:r>
      <w:r w:rsidRPr="00EE4CFC">
        <w:t xml:space="preserve"> </w:t>
      </w:r>
      <w:r w:rsidRPr="00E175D4">
        <w:rPr>
          <w:i/>
          <w:iCs/>
        </w:rPr>
        <w:t>Id</w:t>
      </w:r>
      <w:r w:rsidRPr="00EE4CFC">
        <w:t>., ¶1</w:t>
      </w:r>
      <w:r w:rsidRPr="00EE4CFC" w:rsidR="00626E5F">
        <w:t>6</w:t>
      </w:r>
      <w:r w:rsidRPr="00EE4CFC">
        <w:t>.</w:t>
      </w:r>
    </w:p>
  </w:footnote>
  <w:footnote w:id="9">
    <w:p w:rsidR="000277B9" w:rsidRPr="00EE4CFC" w:rsidP="000277B9">
      <w:pPr>
        <w:pStyle w:val="FootnoteText"/>
      </w:pPr>
      <w:r w:rsidRPr="00EE4CFC">
        <w:rPr>
          <w:rStyle w:val="FootnoteReference"/>
        </w:rPr>
        <w:footnoteRef/>
      </w:r>
      <w:r w:rsidRPr="00EE4CFC">
        <w:t xml:space="preserve"> R.C. 4928.10(D)(4); R.C. 4929.22(D)(3).</w:t>
      </w:r>
    </w:p>
  </w:footnote>
  <w:footnote w:id="10">
    <w:p w:rsidR="000277B9" w:rsidRPr="00EE4CFC" w:rsidP="000277B9">
      <w:pPr>
        <w:pStyle w:val="FootnoteText"/>
      </w:pPr>
      <w:r w:rsidRPr="00EE4CFC">
        <w:rPr>
          <w:rStyle w:val="FootnoteReference"/>
        </w:rPr>
        <w:footnoteRef/>
      </w:r>
      <w:r w:rsidRPr="00EE4CFC">
        <w:t xml:space="preserve"> Ohio Adm. Code 4901:1-21-06(D)(1)(h); Ohio Adm. Code 4901:1-29-06(D)(6)(b).</w:t>
      </w:r>
    </w:p>
  </w:footnote>
  <w:footnote w:id="11">
    <w:p w:rsidR="00B230F2" w:rsidRPr="00EE4CFC">
      <w:pPr>
        <w:pStyle w:val="FootnoteText"/>
      </w:pPr>
      <w:r w:rsidRPr="00EE4CFC">
        <w:rPr>
          <w:rStyle w:val="FootnoteReference"/>
        </w:rPr>
        <w:footnoteRef/>
      </w:r>
      <w:r w:rsidRPr="00EE4CFC">
        <w:t xml:space="preserve"> </w:t>
      </w:r>
      <w:r w:rsidRPr="00EE4CFC">
        <w:rPr>
          <w:szCs w:val="24"/>
        </w:rPr>
        <w:t xml:space="preserve">Direct Energy Business, LLC and Direct Energy Services, LLC. </w:t>
      </w:r>
    </w:p>
  </w:footnote>
  <w:footnote w:id="12">
    <w:p w:rsidR="0005514E" w:rsidRPr="00EE4CFC" w:rsidP="00665692">
      <w:pPr>
        <w:pStyle w:val="FootnoteText"/>
      </w:pPr>
      <w:r w:rsidRPr="00EE4CFC">
        <w:rPr>
          <w:rStyle w:val="FootnoteReference"/>
        </w:rPr>
        <w:footnoteRef/>
      </w:r>
      <w:r w:rsidRPr="00EE4CFC">
        <w:t xml:space="preserve"> </w:t>
      </w:r>
      <w:r w:rsidRPr="00EE4CFC" w:rsidR="00B230F2">
        <w:rPr>
          <w:iCs/>
        </w:rPr>
        <w:t>Entry, ¶14</w:t>
      </w:r>
      <w:r w:rsidRPr="00EE4CFC">
        <w:t>.</w:t>
      </w:r>
    </w:p>
  </w:footnote>
  <w:footnote w:id="13">
    <w:p w:rsidR="002B47D0" w:rsidRPr="00EE4CFC" w:rsidP="00665692">
      <w:pPr>
        <w:pStyle w:val="FootnoteText"/>
      </w:pPr>
      <w:r w:rsidRPr="00EE4CFC">
        <w:rPr>
          <w:rStyle w:val="FootnoteReference"/>
        </w:rPr>
        <w:footnoteRef/>
      </w:r>
      <w:r w:rsidRPr="00EE4CFC">
        <w:t xml:space="preserve"> </w:t>
      </w:r>
      <w:r w:rsidRPr="00E175D4">
        <w:rPr>
          <w:i/>
          <w:iCs/>
        </w:rPr>
        <w:t>Id</w:t>
      </w:r>
      <w:r w:rsidRPr="00EE4CFC">
        <w:t>., ¶1</w:t>
      </w:r>
      <w:r w:rsidRPr="00EE4CFC" w:rsidR="00626E5F">
        <w:t>6</w:t>
      </w:r>
      <w:r w:rsidRPr="00EE4CFC">
        <w:t>.</w:t>
      </w:r>
    </w:p>
  </w:footnote>
  <w:footnote w:id="14">
    <w:p w:rsidR="002B2B20" w:rsidRPr="00EE4CFC" w:rsidP="00665692">
      <w:pPr>
        <w:pStyle w:val="FootnoteText"/>
      </w:pPr>
      <w:r w:rsidRPr="00EE4CFC">
        <w:rPr>
          <w:rStyle w:val="FootnoteReference"/>
        </w:rPr>
        <w:footnoteRef/>
      </w:r>
      <w:r w:rsidRPr="00EE4CFC">
        <w:t xml:space="preserve"> In this instance, the Entry </w:t>
      </w:r>
      <w:r w:rsidRPr="00EE4CFC" w:rsidR="00F3182A">
        <w:t xml:space="preserve">(at ¶19) </w:t>
      </w:r>
      <w:r w:rsidRPr="00EE4CFC" w:rsidR="00A505AF">
        <w:t>order</w:t>
      </w:r>
      <w:r w:rsidRPr="00EE4CFC" w:rsidR="00F3182A">
        <w:t>s that Direct Energy’s waiver be granted</w:t>
      </w:r>
      <w:r w:rsidRPr="00EE4CFC" w:rsidR="00A505AF">
        <w:t xml:space="preserve"> and thus </w:t>
      </w:r>
      <w:r w:rsidRPr="00EE4CFC">
        <w:t>serves the same purpose as a PUCO order.</w:t>
      </w:r>
    </w:p>
  </w:footnote>
  <w:footnote w:id="15">
    <w:p w:rsidR="0062104C" w:rsidRPr="00EE4CFC" w:rsidP="00665692">
      <w:pPr>
        <w:pStyle w:val="FootnoteText"/>
      </w:pPr>
      <w:r w:rsidRPr="00EE4CFC">
        <w:rPr>
          <w:rStyle w:val="FootnoteReference"/>
        </w:rPr>
        <w:footnoteRef/>
      </w:r>
      <w:r w:rsidRPr="00EE4CFC">
        <w:t xml:space="preserve"> </w:t>
      </w:r>
      <w:r w:rsidRPr="00E175D4">
        <w:rPr>
          <w:i/>
          <w:iCs/>
        </w:rPr>
        <w:t xml:space="preserve">See </w:t>
      </w:r>
      <w:r w:rsidRPr="00E175D4" w:rsidR="00F3182A">
        <w:rPr>
          <w:i/>
          <w:iCs/>
        </w:rPr>
        <w:t>id</w:t>
      </w:r>
      <w:r w:rsidRPr="00EE4CFC" w:rsidR="00F3182A">
        <w:rPr>
          <w:iCs/>
        </w:rPr>
        <w:t>.</w:t>
      </w:r>
      <w:r w:rsidRPr="00EE4CFC" w:rsidR="002B2B20">
        <w:t>, ¶4</w:t>
      </w:r>
      <w:r w:rsidRPr="00EE4CFC" w:rsidR="008D5FDE">
        <w:t>.</w:t>
      </w:r>
    </w:p>
  </w:footnote>
  <w:footnote w:id="16">
    <w:p w:rsidR="00E805F1" w:rsidRPr="00EE4CFC" w:rsidP="00E805F1">
      <w:pPr>
        <w:pStyle w:val="FootnoteText"/>
      </w:pPr>
      <w:r w:rsidRPr="00EE4CFC">
        <w:rPr>
          <w:rStyle w:val="FootnoteReference"/>
        </w:rPr>
        <w:footnoteRef/>
      </w:r>
      <w:r w:rsidRPr="00EE4CFC">
        <w:t xml:space="preserve"> </w:t>
      </w:r>
      <w:r w:rsidRPr="00E175D4">
        <w:rPr>
          <w:i/>
          <w:iCs/>
        </w:rPr>
        <w:t>Id</w:t>
      </w:r>
      <w:r w:rsidRPr="00EE4CFC">
        <w:t>., ¶13.</w:t>
      </w:r>
      <w:r w:rsidRPr="00EE4CFC" w:rsidR="00EE4CFC">
        <w:t xml:space="preserve"> </w:t>
      </w:r>
    </w:p>
  </w:footnote>
  <w:footnote w:id="17">
    <w:p w:rsidR="00E805F1" w:rsidRPr="00EE4CFC" w:rsidP="00E805F1">
      <w:pPr>
        <w:pStyle w:val="FootnoteText"/>
      </w:pPr>
      <w:r w:rsidRPr="00EE4CFC">
        <w:rPr>
          <w:rStyle w:val="FootnoteReference"/>
        </w:rPr>
        <w:footnoteRef/>
      </w:r>
      <w:r w:rsidRPr="00EE4CFC">
        <w:t xml:space="preserve"> Ohio Adm. Code 4901:1-21-06(D)(1)(h); Ohio Adm. Code 4901:1-</w:t>
      </w:r>
      <w:r w:rsidRPr="00EE4CFC">
        <w:rPr>
          <w:szCs w:val="24"/>
        </w:rPr>
        <w:t>29-06(E)(1)</w:t>
      </w:r>
      <w:r w:rsidR="00E175D4">
        <w:rPr>
          <w:szCs w:val="24"/>
        </w:rPr>
        <w:t>.</w:t>
      </w:r>
    </w:p>
  </w:footnote>
  <w:footnote w:id="18">
    <w:p w:rsidR="00E805F1" w:rsidRPr="00EE4CFC" w:rsidP="00E805F1">
      <w:pPr>
        <w:pStyle w:val="FootnoteText"/>
        <w:rPr>
          <w:iCs/>
        </w:rPr>
      </w:pPr>
      <w:r w:rsidRPr="00EE4CFC">
        <w:rPr>
          <w:rStyle w:val="FootnoteReference"/>
        </w:rPr>
        <w:footnoteRef/>
      </w:r>
      <w:r w:rsidRPr="00EE4CFC">
        <w:t xml:space="preserve"> </w:t>
      </w:r>
      <w:r w:rsidRPr="00E175D4">
        <w:rPr>
          <w:i/>
        </w:rPr>
        <w:t>Id</w:t>
      </w:r>
      <w:r w:rsidRPr="00EE4CFC">
        <w:rPr>
          <w:iCs/>
        </w:rPr>
        <w:t>.</w:t>
      </w:r>
    </w:p>
  </w:footnote>
  <w:footnote w:id="19">
    <w:p w:rsidR="00E805F1" w:rsidRPr="00EE4CFC" w:rsidP="00E805F1">
      <w:pPr>
        <w:pStyle w:val="FootnoteText"/>
      </w:pPr>
      <w:r w:rsidRPr="00EE4CFC">
        <w:rPr>
          <w:rStyle w:val="FootnoteReference"/>
        </w:rPr>
        <w:footnoteRef/>
      </w:r>
      <w:r w:rsidRPr="00EE4CFC">
        <w:t xml:space="preserve"> </w:t>
      </w:r>
      <w:r w:rsidRPr="00E175D4">
        <w:rPr>
          <w:i/>
        </w:rPr>
        <w:t>See</w:t>
      </w:r>
      <w:r w:rsidRPr="00EE4CFC">
        <w:t xml:space="preserve"> OCC Comments (August 8, 2019) at 4-6.</w:t>
      </w:r>
    </w:p>
  </w:footnote>
  <w:footnote w:id="20">
    <w:p w:rsidR="00E805F1" w:rsidRPr="00EE4CFC" w:rsidP="00E805F1">
      <w:pPr>
        <w:pStyle w:val="FootnoteText"/>
      </w:pPr>
      <w:r w:rsidRPr="00EE4CFC">
        <w:rPr>
          <w:rStyle w:val="FootnoteReference"/>
        </w:rPr>
        <w:footnoteRef/>
      </w:r>
      <w:r w:rsidRPr="00EE4CFC">
        <w:t xml:space="preserve"> Entry, ¶13.</w:t>
      </w:r>
    </w:p>
  </w:footnote>
  <w:footnote w:id="21">
    <w:p w:rsidR="00C808B3" w:rsidRPr="00EE4CFC">
      <w:pPr>
        <w:pStyle w:val="FootnoteText"/>
      </w:pPr>
      <w:r w:rsidRPr="00EE4CFC">
        <w:rPr>
          <w:rStyle w:val="FootnoteReference"/>
        </w:rPr>
        <w:footnoteRef/>
      </w:r>
      <w:r w:rsidRPr="00EE4CFC">
        <w:t xml:space="preserve"> Case Nos. 19-957-GE-COI and 19-958-GE-COI.</w:t>
      </w:r>
    </w:p>
  </w:footnote>
  <w:footnote w:id="22">
    <w:p w:rsidR="00F3182A" w:rsidRPr="00EE4CFC">
      <w:pPr>
        <w:pStyle w:val="FootnoteText"/>
      </w:pPr>
      <w:r w:rsidRPr="00EE4CFC">
        <w:rPr>
          <w:rStyle w:val="FootnoteReference"/>
        </w:rPr>
        <w:footnoteRef/>
      </w:r>
      <w:r w:rsidRPr="00EE4CFC">
        <w:t xml:space="preserve"> </w:t>
      </w:r>
      <w:r w:rsidRPr="00E175D4">
        <w:rPr>
          <w:i/>
        </w:rPr>
        <w:t>Id</w:t>
      </w:r>
      <w:r w:rsidRPr="00EE4CFC">
        <w:rPr>
          <w:iCs/>
        </w:rPr>
        <w:t>.</w:t>
      </w:r>
      <w:r w:rsidRPr="00EE4CFC">
        <w:t>, ¶14</w:t>
      </w:r>
      <w:r w:rsidR="008562B6">
        <w:t>.</w:t>
      </w:r>
    </w:p>
  </w:footnote>
  <w:footnote w:id="23">
    <w:p w:rsidR="00F3182A" w:rsidRPr="00EE4CFC">
      <w:pPr>
        <w:pStyle w:val="FootnoteText"/>
        <w:rPr>
          <w:iCs/>
        </w:rPr>
      </w:pPr>
      <w:r w:rsidRPr="00EE4CFC">
        <w:rPr>
          <w:rStyle w:val="FootnoteReference"/>
        </w:rPr>
        <w:footnoteRef/>
      </w:r>
      <w:r w:rsidRPr="00EE4CFC">
        <w:t xml:space="preserve"> </w:t>
      </w:r>
      <w:r w:rsidRPr="00E175D4">
        <w:rPr>
          <w:i/>
        </w:rPr>
        <w:t>Id</w:t>
      </w:r>
      <w:r w:rsidRPr="00EE4CFC">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C3175"/>
    <w:multiLevelType w:val="hybridMultilevel"/>
    <w:tmpl w:val="0A14F7A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060102"/>
    <w:multiLevelType w:val="hybridMultilevel"/>
    <w:tmpl w:val="B868EB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DA1E37"/>
    <w:multiLevelType w:val="hybridMultilevel"/>
    <w:tmpl w:val="846EE1C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ED37DC"/>
    <w:multiLevelType w:val="hybridMultilevel"/>
    <w:tmpl w:val="CA9C47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4CC13D8"/>
    <w:multiLevelType w:val="hybridMultilevel"/>
    <w:tmpl w:val="040CBE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2E81A6D"/>
    <w:multiLevelType w:val="hybridMultilevel"/>
    <w:tmpl w:val="BD607F5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7"/>
  </w:num>
  <w:num w:numId="2">
    <w:abstractNumId w:val="6"/>
  </w:num>
  <w:num w:numId="3">
    <w:abstractNumId w:val="10"/>
  </w:num>
  <w:num w:numId="4">
    <w:abstractNumId w:val="8"/>
  </w:num>
  <w:num w:numId="5">
    <w:abstractNumId w:val="2"/>
  </w:num>
  <w:num w:numId="6">
    <w:abstractNumId w:val="11"/>
  </w:num>
  <w:num w:numId="7">
    <w:abstractNumId w:val="1"/>
  </w:num>
  <w:num w:numId="8">
    <w:abstractNumId w:val="0"/>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E2"/>
    <w:rPr>
      <w:sz w:val="24"/>
    </w:rPr>
  </w:style>
  <w:style w:type="paragraph" w:styleId="Heading1">
    <w:name w:val="heading 1"/>
    <w:basedOn w:val="Normal"/>
    <w:next w:val="Normal"/>
    <w:autoRedefine/>
    <w:qFormat/>
    <w:rsid w:val="000546AE"/>
    <w:pPr>
      <w:keepNext/>
      <w:spacing w:before="120"/>
      <w:ind w:left="3600"/>
      <w:outlineLvl w:val="0"/>
    </w:pPr>
    <w:rPr>
      <w:b/>
      <w:szCs w:val="24"/>
    </w:rPr>
  </w:style>
  <w:style w:type="paragraph" w:styleId="Heading2">
    <w:name w:val="heading 2"/>
    <w:basedOn w:val="Normal"/>
    <w:next w:val="Normal"/>
    <w:autoRedefine/>
    <w:qFormat/>
    <w:rsid w:val="00B7546D"/>
    <w:pPr>
      <w:keepNext/>
      <w:tabs>
        <w:tab w:val="left" w:pos="4320"/>
      </w:tabs>
      <w:spacing w:after="240"/>
      <w:ind w:left="1440" w:right="720" w:hanging="720"/>
      <w:outlineLvl w:val="1"/>
    </w:pPr>
    <w:rPr>
      <w:b/>
      <w:bCs/>
      <w:szCs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qFormat/>
    <w:rsid w:val="00C744A9"/>
    <w:pPr>
      <w:spacing w:after="120"/>
    </w:pPr>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link w:val="FootnoteText"/>
    <w:rsid w:val="00C744A9"/>
  </w:style>
  <w:style w:type="character" w:customStyle="1" w:styleId="BodyTextChar">
    <w:name w:val="Body Text Char"/>
    <w:link w:val="BodyText"/>
    <w:rsid w:val="005A1BAA"/>
    <w:rPr>
      <w:sz w:val="24"/>
    </w:rPr>
  </w:style>
  <w:style w:type="character" w:customStyle="1" w:styleId="BodyTextIndentChar">
    <w:name w:val="Body Text Indent Char"/>
    <w:link w:val="BodyTextIndent"/>
    <w:rsid w:val="005A1BAA"/>
    <w:rPr>
      <w:sz w:val="24"/>
    </w:rPr>
  </w:style>
  <w:style w:type="paragraph" w:styleId="ListParagraph">
    <w:name w:val="List Paragraph"/>
    <w:basedOn w:val="Normal"/>
    <w:uiPriority w:val="34"/>
    <w:qFormat/>
    <w:rsid w:val="000218D7"/>
    <w:pPr>
      <w:spacing w:after="200" w:line="276" w:lineRule="auto"/>
      <w:ind w:left="720"/>
      <w:contextualSpacing/>
    </w:pPr>
    <w:rPr>
      <w:rFonts w:ascii="Calibri" w:eastAsia="Calibri" w:hAnsi="Calibri"/>
      <w:sz w:val="22"/>
      <w:szCs w:val="22"/>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rsid w:val="0082287D"/>
    <w:rPr>
      <w:rFonts w:eastAsia="Times New Roman"/>
    </w:rPr>
  </w:style>
  <w:style w:type="character" w:styleId="Strong">
    <w:name w:val="Strong"/>
    <w:qFormat/>
    <w:rsid w:val="0082287D"/>
    <w:rPr>
      <w:b/>
      <w:bCs/>
    </w:rPr>
  </w:style>
  <w:style w:type="character" w:customStyle="1" w:styleId="BodyTextIndent3Char">
    <w:name w:val="Body Text Indent 3 Char"/>
    <w:link w:val="BodyTextIndent3"/>
    <w:rsid w:val="00EF3AD3"/>
    <w:rPr>
      <w:sz w:val="24"/>
    </w:rPr>
  </w:style>
  <w:style w:type="character" w:customStyle="1" w:styleId="FooterChar">
    <w:name w:val="Footer Char"/>
    <w:link w:val="Footer"/>
    <w:uiPriority w:val="99"/>
    <w:rsid w:val="002A0628"/>
  </w:style>
  <w:style w:type="character" w:customStyle="1" w:styleId="UnresolvedMention1">
    <w:name w:val="Unresolved Mention1"/>
    <w:uiPriority w:val="99"/>
    <w:semiHidden/>
    <w:unhideWhenUsed/>
    <w:rsid w:val="00782E3E"/>
    <w:rPr>
      <w:color w:val="605E5C"/>
      <w:shd w:val="clear" w:color="auto" w:fill="E1DFDD"/>
    </w:rPr>
  </w:style>
  <w:style w:type="paragraph" w:styleId="TOCHeading">
    <w:name w:val="TOC Heading"/>
    <w:basedOn w:val="Heading1"/>
    <w:next w:val="Normal"/>
    <w:uiPriority w:val="39"/>
    <w:unhideWhenUsed/>
    <w:qFormat/>
    <w:rsid w:val="00432D5E"/>
    <w:pPr>
      <w:keepLines/>
      <w:spacing w:before="240" w:line="259" w:lineRule="auto"/>
      <w:ind w:left="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432D5E"/>
    <w:pPr>
      <w:tabs>
        <w:tab w:val="decimal" w:leader="dot" w:pos="8640"/>
      </w:tabs>
      <w:spacing w:after="240"/>
      <w:ind w:left="720" w:hanging="720"/>
    </w:pPr>
    <w:rPr>
      <w:szCs w:val="24"/>
    </w:rPr>
  </w:style>
  <w:style w:type="paragraph" w:styleId="TOC2">
    <w:name w:val="toc 2"/>
    <w:basedOn w:val="Normal"/>
    <w:next w:val="Normal"/>
    <w:autoRedefine/>
    <w:uiPriority w:val="39"/>
    <w:rsid w:val="00432D5E"/>
    <w:pPr>
      <w:tabs>
        <w:tab w:val="decimal" w:leader="dot" w:pos="8640"/>
      </w:tabs>
      <w:spacing w:after="240"/>
      <w:ind w:left="1440" w:hanging="720"/>
    </w:pPr>
    <w:rPr>
      <w:szCs w:val="24"/>
    </w:rPr>
  </w:style>
  <w:style w:type="paragraph" w:styleId="TOC3">
    <w:name w:val="toc 3"/>
    <w:basedOn w:val="Normal"/>
    <w:next w:val="Normal"/>
    <w:autoRedefine/>
    <w:uiPriority w:val="39"/>
    <w:unhideWhenUsed/>
    <w:rsid w:val="00432D5E"/>
    <w:pPr>
      <w:spacing w:after="100" w:line="259" w:lineRule="auto"/>
      <w:ind w:left="440"/>
    </w:pPr>
    <w:rPr>
      <w:rFonts w:asciiTheme="minorHAnsi" w:eastAsiaTheme="minorEastAsia" w:hAnsiTheme="minorHAnsi"/>
      <w:sz w:val="22"/>
      <w:szCs w:val="22"/>
    </w:rPr>
  </w:style>
  <w:style w:type="table" w:customStyle="1" w:styleId="TableGrid1">
    <w:name w:val="Table Grid1"/>
    <w:basedOn w:val="TableNormal"/>
    <w:next w:val="TableGrid"/>
    <w:rsid w:val="00427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AFR (18-382).docx</vt:lpstr>
    </vt:vector>
  </TitlesOfParts>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2019-10-28T18:22:04Z</dcterms:created>
  <dcterms:modified xsi:type="dcterms:W3CDTF">2019-10-28T18:22:04Z</dcterms:modified>
</cp:coreProperties>
</file>