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A044B5" w14:paraId="02FEC815" w14:textId="77777777">
      <w:pPr>
        <w:pStyle w:val="HTMLPreformatted"/>
        <w:jc w:val="center"/>
        <w:rPr>
          <w:rFonts w:ascii="Times New Roman" w:hAnsi="Times New Roman"/>
          <w:b/>
          <w:bCs/>
          <w:sz w:val="24"/>
        </w:rPr>
      </w:pPr>
      <w:r>
        <w:rPr>
          <w:rFonts w:ascii="Times New Roman" w:hAnsi="Times New Roman"/>
          <w:b/>
          <w:bCs/>
          <w:sz w:val="24"/>
        </w:rPr>
        <w:t>BEFORE</w:t>
      </w:r>
    </w:p>
    <w:p w:rsidR="00A044B5" w14:paraId="034E8B26" w14:textId="77777777">
      <w:pPr>
        <w:pStyle w:val="HTMLPreformatted"/>
        <w:jc w:val="center"/>
        <w:rPr>
          <w:rFonts w:ascii="Times New Roman" w:hAnsi="Times New Roman"/>
          <w:sz w:val="24"/>
        </w:rPr>
      </w:pPr>
      <w:r>
        <w:rPr>
          <w:rFonts w:ascii="Times New Roman" w:hAnsi="Times New Roman"/>
          <w:b/>
          <w:bCs/>
          <w:sz w:val="24"/>
        </w:rPr>
        <w:t>THE PUBLIC UTILITIES COMMISSION OF OHIO</w:t>
      </w:r>
    </w:p>
    <w:p w:rsidR="00A044B5" w14:paraId="773CE926" w14:textId="77777777">
      <w:pPr>
        <w:pStyle w:val="HTMLPreformatted"/>
        <w:rPr>
          <w:rFonts w:ascii="Times New Roman" w:hAnsi="Times New Roman"/>
          <w:sz w:val="24"/>
        </w:rPr>
      </w:pPr>
    </w:p>
    <w:tbl>
      <w:tblPr>
        <w:tblW w:w="8640" w:type="dxa"/>
        <w:tblInd w:w="0" w:type="dxa"/>
        <w:tblCellMar>
          <w:top w:w="0" w:type="dxa"/>
          <w:left w:w="108" w:type="dxa"/>
          <w:bottom w:w="0" w:type="dxa"/>
          <w:right w:w="108" w:type="dxa"/>
        </w:tblCellMar>
        <w:tblLook w:val="01E0"/>
      </w:tblPr>
      <w:tblGrid>
        <w:gridCol w:w="4332"/>
        <w:gridCol w:w="360"/>
        <w:gridCol w:w="3948"/>
      </w:tblGrid>
      <w:tr w14:paraId="1760A085" w14:textId="77777777" w:rsidTr="00E567EE">
        <w:tblPrEx>
          <w:tblW w:w="8640" w:type="dxa"/>
          <w:tblInd w:w="0" w:type="dxa"/>
          <w:tblCellMar>
            <w:top w:w="0" w:type="dxa"/>
            <w:left w:w="108" w:type="dxa"/>
            <w:bottom w:w="0" w:type="dxa"/>
            <w:right w:w="108" w:type="dxa"/>
          </w:tblCellMar>
          <w:tblLook w:val="01E0"/>
        </w:tblPrEx>
        <w:trPr>
          <w:trHeight w:val="807"/>
        </w:trPr>
        <w:tc>
          <w:tcPr>
            <w:tcW w:w="4332" w:type="dxa"/>
            <w:shd w:val="clear" w:color="auto" w:fill="auto"/>
          </w:tcPr>
          <w:p w:rsidR="00113D54" w:rsidP="005A4A50" w14:paraId="767605E8"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szCs w:val="24"/>
                <w:lang w:val="en-US" w:eastAsia="en-US" w:bidi="ar-SA"/>
              </w:rPr>
            </w:pPr>
            <w:r w:rsidRPr="00A044B5">
              <w:rPr>
                <w:rFonts w:ascii="Times New Roman" w:eastAsia="Courier New" w:hAnsi="Times New Roman" w:cs="Times New Roman"/>
                <w:sz w:val="24"/>
                <w:szCs w:val="24"/>
                <w:lang w:val="en-US" w:eastAsia="en-US" w:bidi="ar-SA"/>
              </w:rPr>
              <w:t>In the Matter of</w:t>
            </w:r>
            <w:r>
              <w:rPr>
                <w:rFonts w:ascii="Times New Roman" w:eastAsia="Courier New" w:hAnsi="Times New Roman" w:cs="Times New Roman"/>
                <w:sz w:val="24"/>
                <w:szCs w:val="24"/>
                <w:lang w:val="en-US" w:eastAsia="en-US" w:bidi="ar-SA"/>
              </w:rPr>
              <w:t xml:space="preserve"> the </w:t>
            </w:r>
            <w:r w:rsidR="005A4A50">
              <w:rPr>
                <w:rFonts w:ascii="Times New Roman" w:eastAsia="Courier New" w:hAnsi="Times New Roman" w:cs="Times New Roman"/>
                <w:sz w:val="24"/>
                <w:szCs w:val="24"/>
                <w:lang w:val="en-US" w:eastAsia="en-US" w:bidi="ar-SA"/>
              </w:rPr>
              <w:t xml:space="preserve">Application of </w:t>
            </w:r>
            <w:r>
              <w:rPr>
                <w:rFonts w:ascii="Times New Roman" w:eastAsia="Courier New" w:hAnsi="Times New Roman" w:cs="Times New Roman"/>
                <w:sz w:val="24"/>
                <w:szCs w:val="24"/>
                <w:lang w:val="en-US" w:eastAsia="en-US" w:bidi="ar-SA"/>
              </w:rPr>
              <w:t>The East Ohio Gas Company d/b/a</w:t>
            </w:r>
          </w:p>
          <w:p w:rsidR="00A044B5" w:rsidRPr="00A044B5" w:rsidP="005A4A50" w14:paraId="76C95E6B" w14:textId="23FCCFA9">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szCs w:val="24"/>
                <w:lang w:val="en-US" w:eastAsia="en-US" w:bidi="ar-SA"/>
              </w:rPr>
            </w:pPr>
            <w:r>
              <w:rPr>
                <w:rFonts w:ascii="Times New Roman" w:eastAsia="Courier New" w:hAnsi="Times New Roman" w:cs="Times New Roman"/>
                <w:sz w:val="24"/>
                <w:szCs w:val="24"/>
                <w:lang w:val="en-US" w:eastAsia="en-US" w:bidi="ar-SA"/>
              </w:rPr>
              <w:t xml:space="preserve">Dominion Energy Ohio </w:t>
            </w:r>
            <w:r w:rsidR="0064238F">
              <w:rPr>
                <w:rFonts w:ascii="Times New Roman" w:eastAsia="Courier New" w:hAnsi="Times New Roman" w:cs="Times New Roman"/>
                <w:sz w:val="24"/>
                <w:szCs w:val="24"/>
                <w:lang w:val="en-US" w:eastAsia="en-US" w:bidi="ar-SA"/>
              </w:rPr>
              <w:t>to Adjust its Pipeline Infrastructure Cost Recovery Charge and Related Matters.</w:t>
            </w:r>
          </w:p>
        </w:tc>
        <w:tc>
          <w:tcPr>
            <w:tcW w:w="360" w:type="dxa"/>
            <w:shd w:val="clear" w:color="auto" w:fill="auto"/>
          </w:tcPr>
          <w:p w:rsidR="00A044B5" w:rsidRPr="00A044B5" w14:paraId="26381EBE"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sidRPr="00A044B5">
              <w:rPr>
                <w:rFonts w:ascii="Times New Roman" w:eastAsia="Courier New" w:hAnsi="Times New Roman" w:cs="Courier New"/>
                <w:sz w:val="24"/>
                <w:lang w:val="en-US" w:eastAsia="en-US" w:bidi="ar-SA"/>
              </w:rPr>
              <w:t>)</w:t>
            </w:r>
          </w:p>
          <w:p w:rsidR="00A044B5" w:rsidRPr="00A044B5" w14:paraId="520019D7"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sidRPr="00A044B5">
              <w:rPr>
                <w:rFonts w:ascii="Times New Roman" w:eastAsia="Courier New" w:hAnsi="Times New Roman" w:cs="Courier New"/>
                <w:sz w:val="24"/>
                <w:lang w:val="en-US" w:eastAsia="en-US" w:bidi="ar-SA"/>
              </w:rPr>
              <w:t>)</w:t>
            </w:r>
          </w:p>
          <w:p w:rsidR="00A044B5" w:rsidP="00E567EE" w14:paraId="6BA1C172"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sidRPr="00A044B5">
              <w:rPr>
                <w:rFonts w:ascii="Times New Roman" w:eastAsia="Courier New" w:hAnsi="Times New Roman" w:cs="Courier New"/>
                <w:sz w:val="24"/>
                <w:lang w:val="en-US" w:eastAsia="en-US" w:bidi="ar-SA"/>
              </w:rPr>
              <w:t>)</w:t>
            </w:r>
          </w:p>
          <w:p w:rsidR="002F4BA7" w:rsidP="00E567EE" w14:paraId="03C011EA"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Pr>
                <w:rFonts w:ascii="Times New Roman" w:eastAsia="Courier New" w:hAnsi="Times New Roman" w:cs="Courier New"/>
                <w:sz w:val="24"/>
                <w:lang w:val="en-US" w:eastAsia="en-US" w:bidi="ar-SA"/>
              </w:rPr>
              <w:t>)</w:t>
            </w:r>
          </w:p>
          <w:p w:rsidR="007D5580" w:rsidRPr="00A044B5" w:rsidP="00E567EE" w14:paraId="4A001CA9" w14:textId="7A7BF2AE">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Pr>
                <w:rFonts w:ascii="Times New Roman" w:eastAsia="Courier New" w:hAnsi="Times New Roman" w:cs="Courier New"/>
                <w:sz w:val="24"/>
                <w:lang w:val="en-US" w:eastAsia="en-US" w:bidi="ar-SA"/>
              </w:rPr>
              <w:t>)</w:t>
            </w:r>
          </w:p>
        </w:tc>
        <w:tc>
          <w:tcPr>
            <w:tcW w:w="3948" w:type="dxa"/>
            <w:shd w:val="clear" w:color="auto" w:fill="auto"/>
          </w:tcPr>
          <w:p w:rsidR="00A044B5" w:rsidRPr="00A044B5" w14:paraId="01584BFA"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p>
          <w:p w:rsidR="00A044B5" w:rsidRPr="00A044B5" w14:paraId="33675B5C" w14:textId="4A07C4CE">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sidRPr="00A044B5">
              <w:rPr>
                <w:rFonts w:ascii="Times New Roman" w:eastAsia="Courier New" w:hAnsi="Times New Roman" w:cs="Courier New"/>
                <w:sz w:val="24"/>
                <w:lang w:val="en-US" w:eastAsia="en-US" w:bidi="ar-SA"/>
              </w:rPr>
              <w:t xml:space="preserve">Case No. </w:t>
            </w:r>
            <w:r w:rsidR="005A4A50">
              <w:rPr>
                <w:rFonts w:ascii="Times New Roman" w:eastAsia="Courier New" w:hAnsi="Times New Roman" w:cs="Courier New"/>
                <w:sz w:val="24"/>
                <w:lang w:val="en-US" w:eastAsia="en-US" w:bidi="ar-SA"/>
              </w:rPr>
              <w:t>2</w:t>
            </w:r>
            <w:r w:rsidR="0064238F">
              <w:rPr>
                <w:rFonts w:ascii="Times New Roman" w:eastAsia="Courier New" w:hAnsi="Times New Roman" w:cs="Courier New"/>
                <w:sz w:val="24"/>
                <w:lang w:val="en-US" w:eastAsia="en-US" w:bidi="ar-SA"/>
              </w:rPr>
              <w:t>1-109</w:t>
            </w:r>
            <w:r w:rsidR="00DE0FD7">
              <w:rPr>
                <w:rFonts w:ascii="Times New Roman" w:eastAsia="Courier New" w:hAnsi="Times New Roman" w:cs="Courier New"/>
                <w:sz w:val="24"/>
                <w:lang w:val="en-US" w:eastAsia="en-US" w:bidi="ar-SA"/>
              </w:rPr>
              <w:t>5</w:t>
            </w:r>
            <w:r w:rsidR="0064238F">
              <w:rPr>
                <w:rFonts w:ascii="Times New Roman" w:eastAsia="Courier New" w:hAnsi="Times New Roman" w:cs="Courier New"/>
                <w:sz w:val="24"/>
                <w:lang w:val="en-US" w:eastAsia="en-US" w:bidi="ar-SA"/>
              </w:rPr>
              <w:t>-GA-RDR</w:t>
            </w:r>
          </w:p>
          <w:p w:rsidR="00A044B5" w:rsidRPr="00A044B5" w14:paraId="1F28B257"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p>
          <w:p w:rsidR="00A044B5" w:rsidRPr="00A044B5" w14:paraId="774E7161"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p>
        </w:tc>
      </w:tr>
    </w:tbl>
    <w:p w:rsidR="00A044B5" w14:paraId="70FADD5D" w14:textId="77777777">
      <w:pPr>
        <w:pStyle w:val="HTMLPreformatted"/>
        <w:rPr>
          <w:rFonts w:ascii="Times New Roman" w:hAnsi="Times New Roman"/>
          <w:sz w:val="24"/>
        </w:rPr>
      </w:pPr>
    </w:p>
    <w:p w:rsidR="00A044B5" w14:paraId="630B2AD3" w14:textId="77777777">
      <w:pPr>
        <w:pStyle w:val="HTMLPreformatted"/>
        <w:pBdr>
          <w:top w:val="single" w:sz="12" w:space="1" w:color="auto"/>
        </w:pBdr>
        <w:rPr>
          <w:rFonts w:ascii="Times New Roman" w:hAnsi="Times New Roman"/>
          <w:sz w:val="24"/>
        </w:rPr>
      </w:pPr>
    </w:p>
    <w:p w:rsidR="00AA063A" w:rsidRPr="00CB76F9" w:rsidP="00AA063A" w14:paraId="5692A6F7" w14:textId="397DCB07">
      <w:pPr>
        <w:jc w:val="center"/>
        <w:rPr>
          <w:b/>
          <w:szCs w:val="24"/>
        </w:rPr>
      </w:pPr>
      <w:r w:rsidRPr="00CB76F9">
        <w:rPr>
          <w:b/>
          <w:szCs w:val="24"/>
        </w:rPr>
        <w:t>CONSUMER PROTECTION COMMENTS</w:t>
      </w:r>
    </w:p>
    <w:p w:rsidR="00A044B5" w14:paraId="6E83A6EC" w14:textId="77777777">
      <w:pPr>
        <w:jc w:val="center"/>
        <w:rPr>
          <w:b/>
          <w:bCs/>
        </w:rPr>
      </w:pPr>
      <w:r>
        <w:rPr>
          <w:b/>
          <w:bCs/>
        </w:rPr>
        <w:t>BY</w:t>
      </w:r>
    </w:p>
    <w:p w:rsidR="00A044B5" w14:paraId="4BA79E00" w14:textId="0019F1A7">
      <w:pPr>
        <w:jc w:val="center"/>
        <w:rPr>
          <w:b/>
          <w:bCs/>
        </w:rPr>
      </w:pPr>
      <w:r>
        <w:rPr>
          <w:b/>
          <w:bCs/>
        </w:rPr>
        <w:t>OFFICE OF THE OHIO CONSUMERS’ COUNSEL</w:t>
      </w:r>
    </w:p>
    <w:p w:rsidR="00A044B5" w14:paraId="78653FFC" w14:textId="77777777">
      <w:pPr>
        <w:pBdr>
          <w:bottom w:val="single" w:sz="12" w:space="1" w:color="auto"/>
        </w:pBdr>
        <w:tabs>
          <w:tab w:val="left" w:pos="4320"/>
        </w:tabs>
      </w:pPr>
    </w:p>
    <w:p w:rsidR="00A044B5" w14:paraId="5F54AC84" w14:textId="77777777">
      <w:pPr>
        <w:tabs>
          <w:tab w:val="left" w:pos="4320"/>
        </w:tabs>
      </w:pPr>
    </w:p>
    <w:p w:rsidR="00AA063A" w:rsidRPr="00D97B1C" w:rsidP="006B4C9F" w14:paraId="4F15F442" w14:textId="1BDE0E84">
      <w:pPr>
        <w:pStyle w:val="Heading1"/>
        <w:numPr>
          <w:ilvl w:val="0"/>
          <w:numId w:val="7"/>
        </w:numPr>
        <w:ind w:left="720"/>
        <w:rPr>
          <w:u w:val="none"/>
        </w:rPr>
      </w:pPr>
      <w:bookmarkStart w:id="0" w:name="_Toc444787517"/>
      <w:bookmarkStart w:id="1" w:name="_Toc445824332"/>
      <w:r w:rsidRPr="00D97B1C">
        <w:rPr>
          <w:u w:val="none"/>
        </w:rPr>
        <w:t xml:space="preserve">INTRODUCTION </w:t>
      </w:r>
      <w:bookmarkEnd w:id="0"/>
      <w:bookmarkEnd w:id="1"/>
    </w:p>
    <w:p w:rsidR="006B4C9F" w:rsidP="006B4C9F" w14:paraId="2D7AE7DF" w14:textId="77777777">
      <w:pPr>
        <w:pStyle w:val="BodyTextIndent3"/>
        <w:widowControl w:val="0"/>
        <w:spacing w:line="240" w:lineRule="auto"/>
        <w:ind w:right="-312"/>
      </w:pPr>
    </w:p>
    <w:p w:rsidR="007B35D7" w14:paraId="3C3D5D4B" w14:textId="20C7FA3C">
      <w:pPr>
        <w:pStyle w:val="BodyTextIndent3"/>
        <w:widowControl w:val="0"/>
        <w:spacing w:line="480" w:lineRule="auto"/>
        <w:ind w:right="-312"/>
      </w:pPr>
      <w:r>
        <w:t>Dominion Energy Ohio (“Dominion”</w:t>
      </w:r>
      <w:r w:rsidR="002103FD">
        <w:t xml:space="preserve"> or “Utility”</w:t>
      </w:r>
      <w:r>
        <w:t>) proposes to</w:t>
      </w:r>
      <w:r w:rsidR="0064238F">
        <w:t xml:space="preserve"> increase the rider rates that </w:t>
      </w:r>
      <w:r w:rsidR="00D628A8">
        <w:t>the Utility’s residential consumers</w:t>
      </w:r>
      <w:r w:rsidR="00DE0FD7">
        <w:t xml:space="preserve"> pay to fund the </w:t>
      </w:r>
      <w:r w:rsidR="00DB0196">
        <w:t xml:space="preserve">pipeline infrastructure replacement program </w:t>
      </w:r>
      <w:r w:rsidR="002706C9">
        <w:t>(</w:t>
      </w:r>
      <w:r w:rsidR="00DB0196">
        <w:t xml:space="preserve">that has been ongoing for </w:t>
      </w:r>
      <w:r w:rsidR="00C92D1E">
        <w:t>fourteen</w:t>
      </w:r>
      <w:r w:rsidR="00DB0196">
        <w:t xml:space="preserve"> years</w:t>
      </w:r>
      <w:r w:rsidR="002706C9">
        <w:t>)</w:t>
      </w:r>
      <w:r w:rsidR="007C0801">
        <w:t>.</w:t>
      </w:r>
      <w:r>
        <w:rPr>
          <w:rStyle w:val="FootnoteReference"/>
        </w:rPr>
        <w:footnoteReference w:id="2"/>
      </w:r>
      <w:r w:rsidR="00F45119">
        <w:t xml:space="preserve"> </w:t>
      </w:r>
      <w:r w:rsidR="002706C9">
        <w:t xml:space="preserve">The Utility is </w:t>
      </w:r>
      <w:r w:rsidR="00DE0FD7">
        <w:t xml:space="preserve">seeking approval to increase </w:t>
      </w:r>
      <w:r w:rsidR="000914AB">
        <w:t xml:space="preserve">the monthly </w:t>
      </w:r>
      <w:r w:rsidR="002706C9">
        <w:t xml:space="preserve">charge </w:t>
      </w:r>
      <w:r w:rsidR="00E3296C">
        <w:t>to</w:t>
      </w:r>
      <w:r w:rsidR="002706C9">
        <w:t xml:space="preserve"> its 1.2 million residential customers </w:t>
      </w:r>
      <w:r w:rsidR="000914AB">
        <w:t xml:space="preserve">to </w:t>
      </w:r>
      <w:r w:rsidR="003C08DE">
        <w:t>$16.81</w:t>
      </w:r>
      <w:r>
        <w:rPr>
          <w:rStyle w:val="FootnoteReference"/>
        </w:rPr>
        <w:footnoteReference w:id="3"/>
      </w:r>
      <w:r w:rsidR="00C92D1E">
        <w:t xml:space="preserve"> </w:t>
      </w:r>
      <w:r w:rsidR="00E3296C">
        <w:t>(</w:t>
      </w:r>
      <w:r w:rsidR="00D628A8">
        <w:t>or</w:t>
      </w:r>
      <w:r w:rsidR="00C92D1E">
        <w:t xml:space="preserve"> a total charge</w:t>
      </w:r>
      <w:r w:rsidR="00186B4F">
        <w:t xml:space="preserve"> of $201 per year to each of </w:t>
      </w:r>
      <w:r w:rsidR="00E3296C">
        <w:t>its</w:t>
      </w:r>
      <w:r w:rsidR="00186B4F">
        <w:t xml:space="preserve"> residential consumers</w:t>
      </w:r>
      <w:r w:rsidR="00E3296C">
        <w:t>)</w:t>
      </w:r>
      <w:r w:rsidR="00186B4F">
        <w:t xml:space="preserve"> </w:t>
      </w:r>
      <w:r w:rsidR="003C08DE">
        <w:t>for</w:t>
      </w:r>
      <w:r w:rsidR="000914AB">
        <w:t xml:space="preserve"> </w:t>
      </w:r>
      <w:r w:rsidR="003C08DE">
        <w:t xml:space="preserve">program </w:t>
      </w:r>
      <w:r w:rsidR="00530AD0">
        <w:t>spending</w:t>
      </w:r>
      <w:r w:rsidR="003C08DE">
        <w:t xml:space="preserve"> </w:t>
      </w:r>
      <w:r>
        <w:t>from</w:t>
      </w:r>
      <w:r w:rsidR="000914AB">
        <w:t xml:space="preserve"> </w:t>
      </w:r>
      <w:r w:rsidR="003C08DE">
        <w:t>January 1, 2021 through December 31, 2021.</w:t>
      </w:r>
      <w:r w:rsidR="002706C9">
        <w:t xml:space="preserve"> </w:t>
      </w:r>
    </w:p>
    <w:p w:rsidR="00B0334A" w:rsidP="00B0334A" w14:paraId="18642728" w14:textId="2EB38F49">
      <w:pPr>
        <w:spacing w:line="480" w:lineRule="auto"/>
        <w:ind w:firstLine="720"/>
      </w:pPr>
      <w:r>
        <w:t xml:space="preserve">The </w:t>
      </w:r>
      <w:r w:rsidR="00FC37A4">
        <w:t>O</w:t>
      </w:r>
      <w:r w:rsidR="007523AC">
        <w:t>ffice of the Ohio Consumers’ Counsel (“OCC”)</w:t>
      </w:r>
      <w:r w:rsidR="00FC37A4">
        <w:t xml:space="preserve"> is </w:t>
      </w:r>
      <w:r w:rsidR="00313201">
        <w:rPr>
          <w:szCs w:val="24"/>
        </w:rPr>
        <w:t xml:space="preserve">concerned about the </w:t>
      </w:r>
      <w:r w:rsidRPr="00CB76F9" w:rsidR="00313201">
        <w:rPr>
          <w:szCs w:val="24"/>
        </w:rPr>
        <w:t xml:space="preserve">impact of the </w:t>
      </w:r>
      <w:r w:rsidR="000830FB">
        <w:rPr>
          <w:szCs w:val="24"/>
        </w:rPr>
        <w:t xml:space="preserve">increasing </w:t>
      </w:r>
      <w:r w:rsidRPr="00CB76F9" w:rsidR="00313201">
        <w:rPr>
          <w:szCs w:val="24"/>
        </w:rPr>
        <w:t xml:space="preserve">rider rates on </w:t>
      </w:r>
      <w:r w:rsidR="000830FB">
        <w:rPr>
          <w:szCs w:val="24"/>
        </w:rPr>
        <w:t>consumers</w:t>
      </w:r>
      <w:r w:rsidR="00313201">
        <w:rPr>
          <w:szCs w:val="24"/>
        </w:rPr>
        <w:t xml:space="preserve">, </w:t>
      </w:r>
      <w:r w:rsidRPr="00CB76F9" w:rsidR="00313201">
        <w:rPr>
          <w:szCs w:val="24"/>
        </w:rPr>
        <w:t>the rate of return used, and other issues.</w:t>
      </w:r>
      <w:r w:rsidR="006B4C9F">
        <w:rPr>
          <w:szCs w:val="24"/>
        </w:rPr>
        <w:t xml:space="preserve"> </w:t>
      </w:r>
      <w:r>
        <w:t>It is neither just nor reasonable to force Dominion’s 1.</w:t>
      </w:r>
      <w:r w:rsidR="002103FD">
        <w:t>2</w:t>
      </w:r>
      <w:r>
        <w:t xml:space="preserve"> million residential consumers to continue to pay charges for the PIR program </w:t>
      </w:r>
      <w:r w:rsidR="000830FB">
        <w:t xml:space="preserve">that are in part </w:t>
      </w:r>
      <w:r>
        <w:t xml:space="preserve">based on a 13-year-old and excessive 9.91% pre-tax rate of return included in the </w:t>
      </w:r>
      <w:r>
        <w:t>a</w:t>
      </w:r>
      <w:r>
        <w:t xml:space="preserve">pplication. The stale rate of return will result in consumers overpaying and Dominion earning profits that are </w:t>
      </w:r>
      <w:r>
        <w:t xml:space="preserve">too high for current financial market conditions. Under the </w:t>
      </w:r>
      <w:r>
        <w:t>a</w:t>
      </w:r>
      <w:r>
        <w:t xml:space="preserve">pplication, the Utility can collect a cost of debt from customers that is nearly three times its actual cost of debt. </w:t>
      </w:r>
    </w:p>
    <w:p w:rsidR="00B0334A" w:rsidP="00B0334A" w14:paraId="1ACC2E7A" w14:textId="5249AA06">
      <w:pPr>
        <w:spacing w:line="480" w:lineRule="auto"/>
        <w:ind w:firstLine="720"/>
      </w:pPr>
      <w:r>
        <w:t xml:space="preserve">Dominion’s </w:t>
      </w:r>
      <w:r w:rsidR="00E3296C">
        <w:t>a</w:t>
      </w:r>
      <w:r>
        <w:t>pplication has failed to demonstrate the proposed pre-tax rate of return of 9.91% is just and reasonable. Overcharging consumers is not just and reasonable. Knowingly requiring consumers to pay more to provide a utility an undeserved windfall where the consumers receive nothing of value in exchange is unconscionable to do at any time.</w:t>
      </w:r>
      <w:r w:rsidR="006B4C9F">
        <w:t xml:space="preserve"> </w:t>
      </w:r>
      <w:r>
        <w:t>The use of an outdated and inflated rate of return to enrich Dominion is especially troublesome during a pandemic, a period of rising gas prices, and a time of the highest rate of inflation in forty years. In addition, requiring consumers to pay more than they otherwise should violates the basic regulatory compact between consumers and utilities, where consumers should only pay fair and reasonable rates of return for monopoly services.</w:t>
      </w:r>
      <w:r>
        <w:rPr>
          <w:rStyle w:val="FootnoteReference"/>
        </w:rPr>
        <w:footnoteReference w:id="4"/>
      </w:r>
    </w:p>
    <w:p w:rsidR="006B4C9F" w:rsidP="006B4C9F" w14:paraId="6F0C968C" w14:textId="77777777">
      <w:pPr>
        <w:ind w:firstLine="720"/>
      </w:pPr>
    </w:p>
    <w:p w:rsidR="00313201" w:rsidP="006B4C9F" w14:paraId="7306A192" w14:textId="3D03CAFC">
      <w:pPr>
        <w:pStyle w:val="BodyTextIndent3"/>
        <w:widowControl w:val="0"/>
        <w:numPr>
          <w:ilvl w:val="0"/>
          <w:numId w:val="7"/>
        </w:numPr>
        <w:spacing w:line="480" w:lineRule="auto"/>
        <w:ind w:left="720" w:right="-312"/>
        <w:rPr>
          <w:b/>
          <w:bCs/>
          <w:szCs w:val="24"/>
        </w:rPr>
      </w:pPr>
      <w:r w:rsidRPr="00F64C84">
        <w:rPr>
          <w:b/>
          <w:bCs/>
          <w:szCs w:val="24"/>
        </w:rPr>
        <w:t>RECOMMENDATIONS</w:t>
      </w:r>
    </w:p>
    <w:p w:rsidR="00313201" w:rsidRPr="00A27DA8" w:rsidP="00A27DA8" w14:paraId="327A93E8" w14:textId="29BD9522">
      <w:pPr>
        <w:keepNext/>
        <w:keepLines/>
        <w:spacing w:after="240"/>
        <w:ind w:left="720" w:right="720"/>
        <w:outlineLvl w:val="1"/>
        <w:rPr>
          <w:rFonts w:eastAsia="SimSun"/>
          <w:b/>
          <w:bCs/>
          <w:szCs w:val="24"/>
        </w:rPr>
      </w:pPr>
      <w:bookmarkStart w:id="2" w:name="_Toc445824337"/>
      <w:bookmarkStart w:id="3" w:name="_Toc444787522"/>
      <w:r w:rsidRPr="00A27DA8">
        <w:rPr>
          <w:rFonts w:eastAsia="SimSun"/>
          <w:b/>
          <w:bCs/>
          <w:szCs w:val="24"/>
        </w:rPr>
        <w:t xml:space="preserve">The PUCO should find that Dominion’s proposal to use the rate of return set in its last base rate case in determining the revenue </w:t>
      </w:r>
      <w:r w:rsidR="000830FB">
        <w:rPr>
          <w:rFonts w:eastAsia="SimSun"/>
          <w:b/>
          <w:bCs/>
          <w:szCs w:val="24"/>
        </w:rPr>
        <w:t xml:space="preserve">requirement </w:t>
      </w:r>
      <w:r w:rsidRPr="00A27DA8">
        <w:rPr>
          <w:rFonts w:eastAsia="SimSun"/>
          <w:b/>
          <w:bCs/>
          <w:szCs w:val="24"/>
        </w:rPr>
        <w:t xml:space="preserve">in the annual PIR Cost Recovery Charge applications is unjust and unreasonable and </w:t>
      </w:r>
      <w:r w:rsidR="002103FD">
        <w:rPr>
          <w:rFonts w:eastAsia="SimSun"/>
          <w:b/>
          <w:bCs/>
          <w:szCs w:val="24"/>
        </w:rPr>
        <w:t xml:space="preserve">should instead </w:t>
      </w:r>
      <w:r w:rsidRPr="00A27DA8">
        <w:rPr>
          <w:rFonts w:eastAsia="SimSun"/>
          <w:b/>
          <w:bCs/>
          <w:szCs w:val="24"/>
        </w:rPr>
        <w:t>adopt an updated rate of return in this case.</w:t>
      </w:r>
    </w:p>
    <w:p w:rsidR="00313201" w:rsidRPr="00313201" w:rsidP="00313201" w14:paraId="23890007" w14:textId="358BC412">
      <w:pPr>
        <w:spacing w:line="480" w:lineRule="auto"/>
        <w:ind w:firstLine="720"/>
        <w:rPr>
          <w:szCs w:val="24"/>
        </w:rPr>
      </w:pPr>
      <w:r w:rsidRPr="00313201">
        <w:rPr>
          <w:szCs w:val="24"/>
        </w:rPr>
        <w:t xml:space="preserve">Dominion proposes to continue </w:t>
      </w:r>
      <w:r w:rsidR="00C611A1">
        <w:rPr>
          <w:szCs w:val="24"/>
        </w:rPr>
        <w:t xml:space="preserve">to </w:t>
      </w:r>
      <w:r w:rsidRPr="00313201">
        <w:rPr>
          <w:szCs w:val="24"/>
        </w:rPr>
        <w:t xml:space="preserve">use the rate of return that </w:t>
      </w:r>
      <w:r w:rsidR="00C611A1">
        <w:rPr>
          <w:szCs w:val="24"/>
        </w:rPr>
        <w:t xml:space="preserve">was </w:t>
      </w:r>
      <w:r w:rsidRPr="00313201">
        <w:rPr>
          <w:szCs w:val="24"/>
        </w:rPr>
        <w:t xml:space="preserve">set </w:t>
      </w:r>
      <w:r>
        <w:rPr>
          <w:szCs w:val="24"/>
        </w:rPr>
        <w:t>1</w:t>
      </w:r>
      <w:r w:rsidR="00B0334A">
        <w:rPr>
          <w:szCs w:val="24"/>
        </w:rPr>
        <w:t>3</w:t>
      </w:r>
      <w:r w:rsidRPr="00313201">
        <w:rPr>
          <w:szCs w:val="24"/>
        </w:rPr>
        <w:t xml:space="preserve"> years ago in Case No. 07-829-GA-AIR in charging customers a profit on the pipeline investment</w:t>
      </w:r>
      <w:r w:rsidR="00B0334A">
        <w:rPr>
          <w:szCs w:val="24"/>
        </w:rPr>
        <w:t xml:space="preserve"> in this </w:t>
      </w:r>
      <w:r w:rsidR="00E3296C">
        <w:rPr>
          <w:szCs w:val="24"/>
        </w:rPr>
        <w:t>a</w:t>
      </w:r>
      <w:r w:rsidR="00B0334A">
        <w:rPr>
          <w:szCs w:val="24"/>
        </w:rPr>
        <w:t>pplication</w:t>
      </w:r>
      <w:r w:rsidRPr="00313201">
        <w:rPr>
          <w:szCs w:val="24"/>
        </w:rPr>
        <w:t>. Dominion filed this case under Revised Code 4929.05 governing approval of natural gas company alternative rate plans. Revised Code 4929.05(A)(3) expressly provides that alternative rate plans must be just and reasonable.</w:t>
      </w:r>
      <w:r w:rsidR="006B4C9F">
        <w:rPr>
          <w:szCs w:val="24"/>
        </w:rPr>
        <w:t xml:space="preserve"> </w:t>
      </w:r>
      <w:r w:rsidRPr="00313201">
        <w:rPr>
          <w:szCs w:val="24"/>
        </w:rPr>
        <w:t xml:space="preserve">And Revised Code 4929.05(B) provides that the utility has the burden of proof. </w:t>
      </w:r>
    </w:p>
    <w:p w:rsidR="00F64C84" w:rsidP="00313201" w14:paraId="07C67419" w14:textId="629D79E4">
      <w:pPr>
        <w:spacing w:line="480" w:lineRule="auto"/>
        <w:ind w:firstLine="720"/>
        <w:rPr>
          <w:szCs w:val="24"/>
        </w:rPr>
      </w:pPr>
      <w:r w:rsidRPr="00313201">
        <w:rPr>
          <w:szCs w:val="24"/>
        </w:rPr>
        <w:t xml:space="preserve">In </w:t>
      </w:r>
      <w:r w:rsidR="004C682A">
        <w:rPr>
          <w:szCs w:val="24"/>
        </w:rPr>
        <w:t xml:space="preserve">two </w:t>
      </w:r>
      <w:r w:rsidRPr="00313201">
        <w:rPr>
          <w:szCs w:val="24"/>
        </w:rPr>
        <w:t>recent case</w:t>
      </w:r>
      <w:r w:rsidR="004C682A">
        <w:rPr>
          <w:szCs w:val="24"/>
        </w:rPr>
        <w:t>s</w:t>
      </w:r>
      <w:r w:rsidRPr="00313201">
        <w:rPr>
          <w:szCs w:val="24"/>
        </w:rPr>
        <w:t>, in unchallenged and uncontroverted testimony, an OCC expert witness conclusively demonstrated that the 9.91% pre-tax rate of return set in Case No. 07-829-GA-AIR is inflated and outdated</w:t>
      </w:r>
      <w:r>
        <w:rPr>
          <w:szCs w:val="24"/>
        </w:rPr>
        <w:t>.</w:t>
      </w:r>
      <w:r>
        <w:rPr>
          <w:rStyle w:val="FootnoteReference"/>
          <w:szCs w:val="24"/>
        </w:rPr>
        <w:footnoteReference w:id="5"/>
      </w:r>
      <w:r w:rsidR="006B4C9F">
        <w:rPr>
          <w:szCs w:val="24"/>
        </w:rPr>
        <w:t xml:space="preserve"> </w:t>
      </w:r>
      <w:r>
        <w:rPr>
          <w:szCs w:val="24"/>
        </w:rPr>
        <w:t xml:space="preserve">If Dominion is allowed to continue using this outdated and inflated rate of return, consumers served by Dominion would </w:t>
      </w:r>
      <w:r>
        <w:rPr>
          <w:szCs w:val="24"/>
        </w:rPr>
        <w:t xml:space="preserve">be </w:t>
      </w:r>
      <w:r w:rsidRPr="00313201">
        <w:rPr>
          <w:szCs w:val="24"/>
        </w:rPr>
        <w:t>paying far more than they should be paying for Dominion’s facilities and services.</w:t>
      </w:r>
      <w:r>
        <w:rPr>
          <w:szCs w:val="24"/>
          <w:vertAlign w:val="superscript"/>
        </w:rPr>
        <w:footnoteReference w:id="6"/>
      </w:r>
      <w:r w:rsidRPr="00313201">
        <w:rPr>
          <w:szCs w:val="24"/>
        </w:rPr>
        <w:t xml:space="preserve"> </w:t>
      </w:r>
    </w:p>
    <w:p w:rsidR="00313201" w:rsidRPr="00313201" w:rsidP="00313201" w14:paraId="59D2D0BA" w14:textId="3E3CFBDF">
      <w:pPr>
        <w:spacing w:line="480" w:lineRule="auto"/>
        <w:ind w:firstLine="720"/>
        <w:rPr>
          <w:szCs w:val="24"/>
        </w:rPr>
      </w:pPr>
      <w:r w:rsidRPr="00313201">
        <w:rPr>
          <w:szCs w:val="24"/>
        </w:rPr>
        <w:t>The OCC witness</w:t>
      </w:r>
      <w:r w:rsidR="00F64C84">
        <w:rPr>
          <w:szCs w:val="24"/>
        </w:rPr>
        <w:t xml:space="preserve">, Dr. Daniel J. Duann, </w:t>
      </w:r>
      <w:r w:rsidRPr="00313201">
        <w:rPr>
          <w:szCs w:val="24"/>
        </w:rPr>
        <w:t>demonstrated that the return on equity component of Dominion’s rate of return no longer reflects Dominion’s current financial risks and is far higher than recent returns on equity for comparable utilities.</w:t>
      </w:r>
      <w:r>
        <w:rPr>
          <w:rStyle w:val="FootnoteReference"/>
          <w:szCs w:val="24"/>
        </w:rPr>
        <w:footnoteReference w:id="7"/>
      </w:r>
      <w:r w:rsidRPr="00313201">
        <w:rPr>
          <w:szCs w:val="24"/>
        </w:rPr>
        <w:t xml:space="preserve"> </w:t>
      </w:r>
      <w:r w:rsidR="00F64C84">
        <w:rPr>
          <w:szCs w:val="24"/>
        </w:rPr>
        <w:t xml:space="preserve">Dr. Duann </w:t>
      </w:r>
      <w:r w:rsidRPr="00313201">
        <w:rPr>
          <w:szCs w:val="24"/>
        </w:rPr>
        <w:t>testified that Dominion’s return on equity should be no higher than 9.36% instead of the 10.38% embedded in Dominion’s proposed rate of return.</w:t>
      </w:r>
      <w:r>
        <w:rPr>
          <w:rStyle w:val="FootnoteReference"/>
          <w:szCs w:val="24"/>
        </w:rPr>
        <w:footnoteReference w:id="8"/>
      </w:r>
      <w:r w:rsidR="006B4C9F">
        <w:rPr>
          <w:szCs w:val="24"/>
        </w:rPr>
        <w:t xml:space="preserve"> </w:t>
      </w:r>
      <w:r w:rsidRPr="00313201">
        <w:rPr>
          <w:szCs w:val="24"/>
        </w:rPr>
        <w:t xml:space="preserve">Similarly, </w:t>
      </w:r>
      <w:r w:rsidR="00F64C84">
        <w:rPr>
          <w:szCs w:val="24"/>
        </w:rPr>
        <w:t xml:space="preserve">Dr. Duann </w:t>
      </w:r>
      <w:r w:rsidRPr="00313201">
        <w:rPr>
          <w:szCs w:val="24"/>
        </w:rPr>
        <w:t>showed</w:t>
      </w:r>
      <w:r w:rsidR="00F64C84">
        <w:rPr>
          <w:szCs w:val="24"/>
        </w:rPr>
        <w:t xml:space="preserve"> </w:t>
      </w:r>
      <w:r w:rsidRPr="00313201">
        <w:rPr>
          <w:szCs w:val="24"/>
        </w:rPr>
        <w:t xml:space="preserve">that Dominion’s outdated rate of return includes an embedded cost of debt component of 6.50%, </w:t>
      </w:r>
      <w:r w:rsidR="00740269">
        <w:rPr>
          <w:szCs w:val="24"/>
        </w:rPr>
        <w:t>when</w:t>
      </w:r>
      <w:r w:rsidRPr="00313201">
        <w:rPr>
          <w:szCs w:val="24"/>
        </w:rPr>
        <w:t xml:space="preserve"> its actual cost of debt is only 2.29%, as shown in DEO’s own filing with the PUCO.</w:t>
      </w:r>
      <w:r>
        <w:rPr>
          <w:rStyle w:val="FootnoteReference"/>
          <w:szCs w:val="24"/>
        </w:rPr>
        <w:footnoteReference w:id="9"/>
      </w:r>
      <w:r w:rsidR="006B4C9F">
        <w:rPr>
          <w:szCs w:val="24"/>
        </w:rPr>
        <w:t xml:space="preserve"> </w:t>
      </w:r>
      <w:r w:rsidRPr="00313201">
        <w:rPr>
          <w:szCs w:val="24"/>
        </w:rPr>
        <w:t>Taken together (updated return on equity and current cost of debt), the OCC expert showed conclusively that Dominion’s updated pre-tax rate of return should be no more than 7.20%.</w:t>
      </w:r>
      <w:r>
        <w:rPr>
          <w:rStyle w:val="FootnoteReference"/>
          <w:szCs w:val="24"/>
        </w:rPr>
        <w:footnoteReference w:id="10"/>
      </w:r>
      <w:r w:rsidR="006B4C9F">
        <w:rPr>
          <w:szCs w:val="24"/>
        </w:rPr>
        <w:t xml:space="preserve"> </w:t>
      </w:r>
    </w:p>
    <w:p w:rsidR="00DB2831" w:rsidP="00313201" w14:paraId="07B3D217" w14:textId="4FC18C5D">
      <w:pPr>
        <w:spacing w:line="480" w:lineRule="auto"/>
        <w:ind w:firstLine="720"/>
      </w:pPr>
      <w:r w:rsidRPr="00313201">
        <w:rPr>
          <w:szCs w:val="24"/>
        </w:rPr>
        <w:t xml:space="preserve">The PUCO should find in this case that Dominion’s use of an outdated and </w:t>
      </w:r>
      <w:r w:rsidRPr="00B47115">
        <w:rPr>
          <w:szCs w:val="24"/>
        </w:rPr>
        <w:t xml:space="preserve">inflated rate of return set </w:t>
      </w:r>
      <w:r w:rsidRPr="00B47115" w:rsidR="00F64C84">
        <w:rPr>
          <w:szCs w:val="24"/>
        </w:rPr>
        <w:t>13</w:t>
      </w:r>
      <w:r w:rsidRPr="00B47115">
        <w:rPr>
          <w:szCs w:val="24"/>
        </w:rPr>
        <w:t xml:space="preserve"> years ago </w:t>
      </w:r>
      <w:r w:rsidRPr="00B47115" w:rsidR="00232029">
        <w:rPr>
          <w:szCs w:val="24"/>
        </w:rPr>
        <w:t>i</w:t>
      </w:r>
      <w:r w:rsidRPr="00A27DA8">
        <w:rPr>
          <w:szCs w:val="24"/>
        </w:rPr>
        <w:t>s ne</w:t>
      </w:r>
      <w:r w:rsidR="002103FD">
        <w:rPr>
          <w:szCs w:val="24"/>
        </w:rPr>
        <w:t>i</w:t>
      </w:r>
      <w:r w:rsidRPr="00A27DA8">
        <w:rPr>
          <w:szCs w:val="24"/>
        </w:rPr>
        <w:t xml:space="preserve">ther just nor reasonable. </w:t>
      </w:r>
      <w:r w:rsidR="00D97B1C">
        <w:rPr>
          <w:szCs w:val="24"/>
        </w:rPr>
        <w:t>The result of using</w:t>
      </w:r>
      <w:r w:rsidRPr="00340405" w:rsidR="00A27DA8">
        <w:t xml:space="preserve"> an outdated and </w:t>
      </w:r>
      <w:r w:rsidR="00A27DA8">
        <w:t xml:space="preserve">inflated pre-tax rate of return </w:t>
      </w:r>
      <w:r w:rsidR="00D97B1C">
        <w:t>is that it</w:t>
      </w:r>
      <w:r w:rsidR="00A27DA8">
        <w:t xml:space="preserve"> </w:t>
      </w:r>
      <w:r w:rsidRPr="00340405" w:rsidR="00A27DA8">
        <w:t xml:space="preserve">will increase the revenue requirement for </w:t>
      </w:r>
      <w:r w:rsidR="00A27DA8">
        <w:t>the</w:t>
      </w:r>
      <w:r w:rsidRPr="00340405" w:rsidR="00A27DA8">
        <w:t xml:space="preserve"> </w:t>
      </w:r>
      <w:r w:rsidR="00A27DA8">
        <w:t>PIR</w:t>
      </w:r>
      <w:r w:rsidRPr="00340405" w:rsidR="00A27DA8">
        <w:t xml:space="preserve"> </w:t>
      </w:r>
      <w:r w:rsidR="00A27DA8">
        <w:t xml:space="preserve">program </w:t>
      </w:r>
      <w:r w:rsidRPr="00340405" w:rsidR="00A27DA8">
        <w:t xml:space="preserve">and lead to rates that are unjust and unreasonable (and too high) for </w:t>
      </w:r>
      <w:r w:rsidR="00A27DA8">
        <w:t>consumer</w:t>
      </w:r>
      <w:r w:rsidRPr="00340405" w:rsidR="00A27DA8">
        <w:t>s.</w:t>
      </w:r>
      <w:r>
        <w:rPr>
          <w:rStyle w:val="FootnoteReference"/>
        </w:rPr>
        <w:footnoteReference w:id="11"/>
      </w:r>
      <w:r w:rsidRPr="00340405" w:rsidR="00A27DA8">
        <w:t xml:space="preserve"> This </w:t>
      </w:r>
      <w:r w:rsidR="00A27DA8">
        <w:t>violates</w:t>
      </w:r>
      <w:r w:rsidRPr="00340405" w:rsidR="00A27DA8">
        <w:t xml:space="preserve"> the </w:t>
      </w:r>
      <w:r w:rsidR="00A27DA8">
        <w:t>fundamental r</w:t>
      </w:r>
      <w:r w:rsidRPr="00340405" w:rsidR="00A27DA8">
        <w:t xml:space="preserve">egulatory </w:t>
      </w:r>
      <w:r w:rsidR="00A27DA8">
        <w:t>p</w:t>
      </w:r>
      <w:r w:rsidRPr="00340405" w:rsidR="00A27DA8">
        <w:t>rinciple</w:t>
      </w:r>
      <w:r w:rsidR="00A27DA8">
        <w:t xml:space="preserve"> that all rates for monopoly utility services should be just and reasonable for consumers.</w:t>
      </w:r>
      <w:r>
        <w:rPr>
          <w:rStyle w:val="FootnoteReference"/>
        </w:rPr>
        <w:footnoteReference w:id="12"/>
      </w:r>
      <w:r w:rsidR="00A27DA8">
        <w:t xml:space="preserve"> Ohio law also requires </w:t>
      </w:r>
      <w:r w:rsidR="00740269">
        <w:t xml:space="preserve">that </w:t>
      </w:r>
      <w:r w:rsidR="00A27DA8">
        <w:t>all utility rates be just and reasonable.</w:t>
      </w:r>
      <w:r>
        <w:rPr>
          <w:rStyle w:val="FootnoteReference"/>
        </w:rPr>
        <w:footnoteReference w:id="13"/>
      </w:r>
      <w:r w:rsidR="00A27DA8">
        <w:t xml:space="preserve"> </w:t>
      </w:r>
    </w:p>
    <w:p w:rsidR="00313201" w:rsidP="00313201" w14:paraId="079E54A7" w14:textId="40382575">
      <w:pPr>
        <w:spacing w:line="480" w:lineRule="auto"/>
        <w:ind w:firstLine="720"/>
        <w:rPr>
          <w:szCs w:val="24"/>
        </w:rPr>
      </w:pPr>
      <w:r w:rsidRPr="00A27DA8">
        <w:rPr>
          <w:szCs w:val="24"/>
        </w:rPr>
        <w:t>The PUCO should</w:t>
      </w:r>
      <w:r w:rsidRPr="00313201">
        <w:rPr>
          <w:szCs w:val="24"/>
        </w:rPr>
        <w:t xml:space="preserve"> take the opportunity presented </w:t>
      </w:r>
      <w:r w:rsidR="00F64C84">
        <w:rPr>
          <w:szCs w:val="24"/>
        </w:rPr>
        <w:t xml:space="preserve">in the annual update of Rider PIR to </w:t>
      </w:r>
      <w:r w:rsidRPr="00313201">
        <w:rPr>
          <w:szCs w:val="24"/>
        </w:rPr>
        <w:t xml:space="preserve">update the rate of return to be used to set </w:t>
      </w:r>
      <w:r w:rsidR="00740269">
        <w:rPr>
          <w:szCs w:val="24"/>
        </w:rPr>
        <w:t xml:space="preserve">the </w:t>
      </w:r>
      <w:r w:rsidRPr="00313201">
        <w:rPr>
          <w:szCs w:val="24"/>
        </w:rPr>
        <w:t xml:space="preserve">PIR Cost Recovery Charge </w:t>
      </w:r>
      <w:r w:rsidR="00E5502E">
        <w:rPr>
          <w:szCs w:val="24"/>
        </w:rPr>
        <w:t>collected from consumers</w:t>
      </w:r>
      <w:r w:rsidRPr="00313201">
        <w:rPr>
          <w:szCs w:val="24"/>
        </w:rPr>
        <w:t>.</w:t>
      </w:r>
      <w:r w:rsidR="006B4C9F">
        <w:rPr>
          <w:szCs w:val="24"/>
        </w:rPr>
        <w:t xml:space="preserve"> </w:t>
      </w:r>
      <w:r w:rsidRPr="00313201">
        <w:rPr>
          <w:szCs w:val="24"/>
        </w:rPr>
        <w:t xml:space="preserve">Equity and reasonableness require the PUCO to consider whether charging customers </w:t>
      </w:r>
      <w:r w:rsidR="00A27DA8">
        <w:rPr>
          <w:szCs w:val="24"/>
        </w:rPr>
        <w:t>a</w:t>
      </w:r>
      <w:r w:rsidRPr="00313201">
        <w:rPr>
          <w:szCs w:val="24"/>
        </w:rPr>
        <w:t xml:space="preserve"> rate</w:t>
      </w:r>
      <w:r w:rsidR="00232029">
        <w:rPr>
          <w:szCs w:val="24"/>
        </w:rPr>
        <w:t xml:space="preserve"> of return set 13 years ago</w:t>
      </w:r>
      <w:r w:rsidRPr="00313201">
        <w:rPr>
          <w:szCs w:val="24"/>
        </w:rPr>
        <w:t xml:space="preserve"> remains justified—and it does not, for the reasons explained above.</w:t>
      </w:r>
    </w:p>
    <w:p w:rsidR="006B4C9F" w:rsidRPr="00313201" w:rsidP="006B4C9F" w14:paraId="4F856E53" w14:textId="77777777">
      <w:pPr>
        <w:ind w:firstLine="720"/>
        <w:rPr>
          <w:szCs w:val="24"/>
        </w:rPr>
      </w:pPr>
    </w:p>
    <w:p w:rsidR="00313201" w:rsidRPr="00F64C84" w:rsidP="006B4C9F" w14:paraId="60223F6A" w14:textId="62928E00">
      <w:pPr>
        <w:pStyle w:val="ListParagraph"/>
        <w:keepNext/>
        <w:keepLines/>
        <w:numPr>
          <w:ilvl w:val="0"/>
          <w:numId w:val="7"/>
        </w:numPr>
        <w:spacing w:after="240"/>
        <w:ind w:left="720"/>
        <w:outlineLvl w:val="0"/>
        <w:rPr>
          <w:rFonts w:eastAsia="SimSun"/>
          <w:b/>
          <w:bCs/>
          <w:caps/>
          <w:szCs w:val="24"/>
        </w:rPr>
      </w:pPr>
      <w:r w:rsidRPr="00F64C84">
        <w:rPr>
          <w:rFonts w:eastAsia="SimSun"/>
          <w:b/>
          <w:bCs/>
          <w:caps/>
          <w:szCs w:val="24"/>
        </w:rPr>
        <w:t>Conclusion</w:t>
      </w:r>
    </w:p>
    <w:p w:rsidR="006B4C9F" w:rsidP="00313201" w14:paraId="01E0B112" w14:textId="0724D7C0">
      <w:pPr>
        <w:spacing w:line="480" w:lineRule="auto"/>
        <w:ind w:firstLine="720"/>
        <w:rPr>
          <w:szCs w:val="24"/>
        </w:rPr>
      </w:pPr>
      <w:r w:rsidRPr="00313201">
        <w:rPr>
          <w:szCs w:val="24"/>
        </w:rPr>
        <w:t xml:space="preserve">Dominion's filed application, requesting to </w:t>
      </w:r>
      <w:r w:rsidR="00F64C84">
        <w:rPr>
          <w:szCs w:val="24"/>
        </w:rPr>
        <w:t xml:space="preserve">continue charging consumers an outdated and inflated rate of return </w:t>
      </w:r>
      <w:r w:rsidRPr="00313201">
        <w:rPr>
          <w:szCs w:val="24"/>
        </w:rPr>
        <w:t>through single issue ratemaking</w:t>
      </w:r>
      <w:r w:rsidR="00A27DA8">
        <w:rPr>
          <w:szCs w:val="24"/>
        </w:rPr>
        <w:t>,</w:t>
      </w:r>
      <w:r w:rsidRPr="00313201">
        <w:rPr>
          <w:szCs w:val="24"/>
        </w:rPr>
        <w:t xml:space="preserve"> should be denied. Single issue ratemaking, coupled with base distribution rates that have not been reviewed in t</w:t>
      </w:r>
      <w:r w:rsidR="003B7A1E">
        <w:rPr>
          <w:szCs w:val="24"/>
        </w:rPr>
        <w:t xml:space="preserve">hirteen </w:t>
      </w:r>
      <w:r w:rsidRPr="00313201">
        <w:rPr>
          <w:szCs w:val="24"/>
        </w:rPr>
        <w:t xml:space="preserve">years, is not good public policy. OCC recommends that the PUCO </w:t>
      </w:r>
      <w:r w:rsidR="00F64C84">
        <w:rPr>
          <w:szCs w:val="24"/>
        </w:rPr>
        <w:t>adopt a reasonable pre-tax rate of return of no higher than 7.20% in updating Dominion’s Rider PIR</w:t>
      </w:r>
      <w:r w:rsidR="00E5502E">
        <w:rPr>
          <w:szCs w:val="24"/>
        </w:rPr>
        <w:t xml:space="preserve"> revenue requirement</w:t>
      </w:r>
      <w:r w:rsidR="00F64C84">
        <w:rPr>
          <w:szCs w:val="24"/>
        </w:rPr>
        <w:t xml:space="preserve">. </w:t>
      </w:r>
    </w:p>
    <w:p w:rsidR="006B4C9F" w14:paraId="2520FAE3" w14:textId="1E39830F">
      <w:pPr>
        <w:rPr>
          <w:szCs w:val="24"/>
        </w:rPr>
      </w:pPr>
    </w:p>
    <w:p w:rsidR="00313201" w:rsidRPr="00313201" w:rsidP="00313201" w14:paraId="23F5ADC6" w14:textId="77777777">
      <w:pPr>
        <w:widowControl w:val="0"/>
        <w:spacing w:line="480" w:lineRule="auto"/>
        <w:ind w:left="3600" w:right="-672" w:firstLine="720"/>
        <w:rPr>
          <w:szCs w:val="24"/>
        </w:rPr>
      </w:pPr>
      <w:r w:rsidRPr="00313201">
        <w:rPr>
          <w:szCs w:val="24"/>
        </w:rPr>
        <w:t>Respectfully submitted,</w:t>
      </w:r>
    </w:p>
    <w:p w:rsidR="00313201" w:rsidRPr="00313201" w:rsidP="00313201" w14:paraId="23183B2F" w14:textId="77777777">
      <w:pPr>
        <w:widowControl w:val="0"/>
        <w:ind w:left="3600" w:right="-672" w:firstLine="720"/>
        <w:rPr>
          <w:szCs w:val="24"/>
        </w:rPr>
      </w:pPr>
      <w:r w:rsidRPr="00313201">
        <w:rPr>
          <w:szCs w:val="24"/>
        </w:rPr>
        <w:t>Bruce Weston (0016973)</w:t>
      </w:r>
    </w:p>
    <w:p w:rsidR="00313201" w:rsidRPr="00313201" w:rsidP="00313201" w14:paraId="73A331AB" w14:textId="77777777">
      <w:pPr>
        <w:tabs>
          <w:tab w:val="left" w:pos="4320"/>
        </w:tabs>
        <w:rPr>
          <w:szCs w:val="24"/>
        </w:rPr>
      </w:pPr>
      <w:r w:rsidRPr="00313201">
        <w:rPr>
          <w:szCs w:val="24"/>
        </w:rPr>
        <w:tab/>
        <w:t>Ohio Consumers’ Counsel</w:t>
      </w:r>
    </w:p>
    <w:p w:rsidR="00313201" w:rsidRPr="00313201" w:rsidP="00313201" w14:paraId="56B564C8" w14:textId="77777777">
      <w:pPr>
        <w:tabs>
          <w:tab w:val="left" w:pos="4320"/>
        </w:tabs>
        <w:rPr>
          <w:szCs w:val="24"/>
        </w:rPr>
      </w:pPr>
      <w:r w:rsidRPr="00313201">
        <w:rPr>
          <w:szCs w:val="24"/>
        </w:rPr>
        <w:tab/>
      </w:r>
    </w:p>
    <w:p w:rsidR="00313201" w:rsidRPr="00313201" w:rsidP="00313201" w14:paraId="07E829A5" w14:textId="77777777">
      <w:pPr>
        <w:tabs>
          <w:tab w:val="left" w:pos="4320"/>
        </w:tabs>
        <w:rPr>
          <w:i/>
          <w:iCs/>
          <w:szCs w:val="24"/>
          <w:u w:val="single"/>
        </w:rPr>
      </w:pPr>
      <w:r w:rsidRPr="00313201">
        <w:rPr>
          <w:szCs w:val="24"/>
        </w:rPr>
        <w:tab/>
      </w:r>
      <w:r w:rsidRPr="00313201">
        <w:rPr>
          <w:i/>
          <w:iCs/>
          <w:szCs w:val="24"/>
          <w:u w:val="single"/>
        </w:rPr>
        <w:t>/s/ Amy Botschner O’Brien</w:t>
      </w:r>
    </w:p>
    <w:p w:rsidR="00313201" w:rsidRPr="00313201" w:rsidP="00313201" w14:paraId="70926260" w14:textId="77777777">
      <w:pPr>
        <w:tabs>
          <w:tab w:val="left" w:pos="4320"/>
        </w:tabs>
        <w:rPr>
          <w:szCs w:val="24"/>
        </w:rPr>
      </w:pPr>
      <w:r w:rsidRPr="00313201">
        <w:rPr>
          <w:szCs w:val="24"/>
        </w:rPr>
        <w:tab/>
        <w:t>Amy Botschner O’Brien (0074423)</w:t>
      </w:r>
    </w:p>
    <w:p w:rsidR="00313201" w:rsidRPr="00313201" w:rsidP="00313201" w14:paraId="3AD4E8FF" w14:textId="77777777">
      <w:pPr>
        <w:tabs>
          <w:tab w:val="left" w:pos="4320"/>
        </w:tabs>
        <w:ind w:firstLine="4320"/>
        <w:rPr>
          <w:szCs w:val="24"/>
        </w:rPr>
      </w:pPr>
      <w:r w:rsidRPr="00313201">
        <w:rPr>
          <w:szCs w:val="24"/>
        </w:rPr>
        <w:t>Counsel of Record</w:t>
      </w:r>
    </w:p>
    <w:p w:rsidR="00313201" w:rsidRPr="00313201" w:rsidP="00313201" w14:paraId="14FB5CAD" w14:textId="77777777">
      <w:pPr>
        <w:tabs>
          <w:tab w:val="left" w:pos="4320"/>
        </w:tabs>
        <w:ind w:left="4320"/>
        <w:jc w:val="both"/>
      </w:pPr>
      <w:r w:rsidRPr="00313201">
        <w:t>Ambrosia E. Wilson (0096598)</w:t>
      </w:r>
    </w:p>
    <w:p w:rsidR="00313201" w:rsidRPr="00313201" w:rsidP="00313201" w14:paraId="0A1F0AC1" w14:textId="77777777">
      <w:pPr>
        <w:tabs>
          <w:tab w:val="left" w:pos="4320"/>
        </w:tabs>
        <w:rPr>
          <w:szCs w:val="24"/>
        </w:rPr>
      </w:pPr>
      <w:r w:rsidRPr="00313201">
        <w:rPr>
          <w:szCs w:val="24"/>
        </w:rPr>
        <w:tab/>
        <w:t>Assistant Consumers’ Counsel</w:t>
      </w:r>
    </w:p>
    <w:p w:rsidR="00313201" w:rsidRPr="00313201" w:rsidP="00313201" w14:paraId="63EC408A" w14:textId="77777777">
      <w:r w:rsidRPr="00313201">
        <w:tab/>
      </w:r>
    </w:p>
    <w:p w:rsidR="00313201" w:rsidRPr="00313201" w:rsidP="00313201" w14:paraId="7974D156" w14:textId="77777777">
      <w:pPr>
        <w:ind w:left="4320"/>
        <w:rPr>
          <w:b/>
          <w:bCs/>
        </w:rPr>
      </w:pPr>
      <w:r w:rsidRPr="00313201">
        <w:rPr>
          <w:b/>
          <w:bCs/>
        </w:rPr>
        <w:t>Office of the Ohio Consumers’ Counsel</w:t>
      </w:r>
    </w:p>
    <w:p w:rsidR="00313201" w:rsidRPr="00313201" w:rsidP="00313201" w14:paraId="118FBCF7" w14:textId="6CD43FAB">
      <w:pPr>
        <w:ind w:left="4320"/>
        <w:rPr>
          <w:b/>
        </w:rPr>
      </w:pPr>
      <w:r w:rsidRPr="00313201">
        <w:t xml:space="preserve">65 East State Street, </w:t>
      </w:r>
      <w:r w:rsidR="006B4C9F">
        <w:t>Suite 700</w:t>
      </w:r>
    </w:p>
    <w:p w:rsidR="00313201" w:rsidRPr="00313201" w:rsidP="00313201" w14:paraId="525118C9" w14:textId="77777777">
      <w:pPr>
        <w:ind w:left="4320"/>
        <w:rPr>
          <w:b/>
        </w:rPr>
      </w:pPr>
      <w:r w:rsidRPr="00313201">
        <w:t>Columbus, Ohio 43215-4213</w:t>
      </w:r>
    </w:p>
    <w:p w:rsidR="00313201" w:rsidRPr="00313201" w:rsidP="00313201" w14:paraId="0C30B4AF" w14:textId="77777777">
      <w:pPr>
        <w:autoSpaceDE w:val="0"/>
        <w:autoSpaceDN w:val="0"/>
        <w:adjustRightInd w:val="0"/>
        <w:ind w:left="3600" w:firstLine="720"/>
        <w:rPr>
          <w:szCs w:val="24"/>
        </w:rPr>
      </w:pPr>
      <w:r w:rsidRPr="00313201">
        <w:rPr>
          <w:szCs w:val="24"/>
        </w:rPr>
        <w:t>Telephone [Botschner]: (614) 466-9575</w:t>
      </w:r>
    </w:p>
    <w:p w:rsidR="00313201" w:rsidRPr="00313201" w:rsidP="00313201" w14:paraId="43905300" w14:textId="77777777">
      <w:pPr>
        <w:autoSpaceDE w:val="0"/>
        <w:autoSpaceDN w:val="0"/>
        <w:adjustRightInd w:val="0"/>
        <w:ind w:left="3600" w:firstLine="720"/>
        <w:rPr>
          <w:szCs w:val="24"/>
        </w:rPr>
      </w:pPr>
      <w:r w:rsidRPr="00313201">
        <w:rPr>
          <w:szCs w:val="24"/>
        </w:rPr>
        <w:t>Telephone [Wilson]: (614) 466-1292</w:t>
      </w:r>
    </w:p>
    <w:p w:rsidR="00313201" w:rsidRPr="00313201" w:rsidP="00313201" w14:paraId="12CCEE09" w14:textId="77777777">
      <w:pPr>
        <w:rPr>
          <w:szCs w:val="24"/>
        </w:rPr>
      </w:pPr>
      <w:r w:rsidRPr="00313201">
        <w:rPr>
          <w:szCs w:val="24"/>
        </w:rPr>
        <w:tab/>
      </w:r>
      <w:r w:rsidRPr="00313201">
        <w:rPr>
          <w:szCs w:val="24"/>
        </w:rPr>
        <w:tab/>
      </w:r>
      <w:r w:rsidRPr="00313201">
        <w:rPr>
          <w:szCs w:val="24"/>
        </w:rPr>
        <w:tab/>
      </w:r>
      <w:r w:rsidRPr="00313201">
        <w:rPr>
          <w:szCs w:val="24"/>
        </w:rPr>
        <w:tab/>
      </w:r>
      <w:r w:rsidRPr="00313201">
        <w:rPr>
          <w:szCs w:val="24"/>
        </w:rPr>
        <w:tab/>
      </w:r>
      <w:r w:rsidRPr="00313201">
        <w:rPr>
          <w:szCs w:val="24"/>
        </w:rPr>
        <w:tab/>
      </w:r>
      <w:r w:rsidRPr="00313201">
        <w:rPr>
          <w:rFonts w:eastAsia="SimSun"/>
          <w:color w:val="0000FF"/>
          <w:szCs w:val="24"/>
          <w:u w:val="single"/>
        </w:rPr>
        <w:t>amy.botschner.obrien@occ.ohio.gov</w:t>
      </w:r>
    </w:p>
    <w:p w:rsidR="00313201" w:rsidRPr="00313201" w:rsidP="00313201" w14:paraId="5AD48A3D" w14:textId="77777777">
      <w:pPr>
        <w:ind w:left="4320"/>
        <w:jc w:val="both"/>
        <w:rPr>
          <w:color w:val="0000FF"/>
        </w:rPr>
      </w:pPr>
      <w:r w:rsidRPr="00313201">
        <w:rPr>
          <w:rFonts w:eastAsia="SimSun"/>
          <w:color w:val="0000FF"/>
          <w:u w:val="single"/>
        </w:rPr>
        <w:t>ambrosia.wilson@occ.ohio.gov</w:t>
      </w:r>
      <w:r w:rsidRPr="00313201">
        <w:rPr>
          <w:color w:val="0000FF"/>
        </w:rPr>
        <w:t xml:space="preserve"> </w:t>
      </w:r>
    </w:p>
    <w:p w:rsidR="00313201" w:rsidRPr="00313201" w:rsidP="00313201" w14:paraId="26C81E21" w14:textId="54602EF2">
      <w:pPr>
        <w:rPr>
          <w:szCs w:val="24"/>
        </w:rPr>
      </w:pPr>
      <w:r w:rsidRPr="00313201">
        <w:rPr>
          <w:szCs w:val="24"/>
        </w:rPr>
        <w:tab/>
      </w:r>
      <w:r w:rsidRPr="00313201">
        <w:rPr>
          <w:szCs w:val="24"/>
        </w:rPr>
        <w:tab/>
      </w:r>
      <w:r w:rsidRPr="00313201">
        <w:rPr>
          <w:szCs w:val="24"/>
        </w:rPr>
        <w:tab/>
      </w:r>
      <w:r w:rsidRPr="00313201">
        <w:rPr>
          <w:szCs w:val="24"/>
        </w:rPr>
        <w:tab/>
      </w:r>
      <w:r w:rsidRPr="00313201">
        <w:rPr>
          <w:szCs w:val="24"/>
        </w:rPr>
        <w:tab/>
      </w:r>
      <w:r w:rsidRPr="00313201">
        <w:rPr>
          <w:szCs w:val="24"/>
        </w:rPr>
        <w:tab/>
        <w:t>(</w:t>
      </w:r>
      <w:r w:rsidR="0091075E">
        <w:rPr>
          <w:szCs w:val="24"/>
        </w:rPr>
        <w:t>willing</w:t>
      </w:r>
      <w:r w:rsidRPr="00313201">
        <w:t xml:space="preserve"> to accept service by e-mail)</w:t>
      </w:r>
      <w:r w:rsidRPr="00313201">
        <w:rPr>
          <w:szCs w:val="24"/>
        </w:rPr>
        <w:tab/>
      </w:r>
    </w:p>
    <w:p w:rsidR="00313201" w:rsidRPr="00313201" w:rsidP="00313201" w14:paraId="663894E7" w14:textId="77777777">
      <w:pPr>
        <w:rPr>
          <w:szCs w:val="24"/>
        </w:rPr>
      </w:pPr>
      <w:r w:rsidRPr="00313201">
        <w:rPr>
          <w:szCs w:val="24"/>
        </w:rPr>
        <w:br w:type="page"/>
      </w:r>
    </w:p>
    <w:p w:rsidR="006B4C9F" w:rsidP="006B4C9F" w14:paraId="2DE55BB0" w14:textId="77777777">
      <w:pPr>
        <w:jc w:val="center"/>
        <w:rPr>
          <w:b/>
          <w:bCs/>
          <w:u w:val="single"/>
        </w:rPr>
      </w:pPr>
      <w:r>
        <w:rPr>
          <w:szCs w:val="24"/>
        </w:rPr>
        <w:tab/>
      </w:r>
      <w:bookmarkEnd w:id="2"/>
      <w:bookmarkEnd w:id="3"/>
      <w:r>
        <w:rPr>
          <w:b/>
          <w:bCs/>
          <w:u w:val="single"/>
        </w:rPr>
        <w:t>CERTIFICATE OF SERVICE</w:t>
      </w:r>
    </w:p>
    <w:p w:rsidR="006B4C9F" w:rsidP="006B4C9F" w14:paraId="52FB2EB3" w14:textId="308CA95D">
      <w:pPr>
        <w:spacing w:line="480" w:lineRule="atLeast"/>
      </w:pPr>
      <w:r>
        <w:tab/>
        <w:t xml:space="preserve">I hereby certify that a copy of </w:t>
      </w:r>
      <w:r w:rsidRPr="006B4C9F">
        <w:t>these Consumer Protection Comments</w:t>
      </w:r>
      <w:r>
        <w:t xml:space="preserve"> was served on the persons stated below </w:t>
      </w:r>
      <w:r w:rsidRPr="009D37EA">
        <w:t xml:space="preserve">via </w:t>
      </w:r>
      <w:r>
        <w:t>electronic transmission, this 23rd day of March 2022.</w:t>
      </w:r>
    </w:p>
    <w:p w:rsidR="006B4C9F" w:rsidP="006B4C9F" w14:paraId="093B78F9" w14:textId="77777777">
      <w:pPr>
        <w:spacing w:line="480" w:lineRule="atLeast"/>
      </w:pPr>
    </w:p>
    <w:p w:rsidR="006B4C9F" w:rsidRPr="00460D90" w:rsidP="006B4C9F" w14:paraId="499CAA2B" w14:textId="77777777">
      <w:pPr>
        <w:tabs>
          <w:tab w:val="left" w:pos="4320"/>
        </w:tabs>
        <w:rPr>
          <w:iCs/>
          <w:u w:val="single"/>
        </w:rPr>
      </w:pPr>
      <w:r>
        <w:tab/>
      </w:r>
      <w:r>
        <w:rPr>
          <w:i/>
          <w:iCs/>
          <w:u w:val="single"/>
        </w:rPr>
        <w:t>/s/ Amy Botschner O’Brien</w:t>
      </w:r>
      <w:r>
        <w:rPr>
          <w:iCs/>
          <w:u w:val="single"/>
        </w:rPr>
        <w:tab/>
      </w:r>
      <w:r>
        <w:rPr>
          <w:iCs/>
          <w:u w:val="single"/>
        </w:rPr>
        <w:tab/>
      </w:r>
    </w:p>
    <w:p w:rsidR="006B4C9F" w:rsidP="006B4C9F" w14:paraId="1A3918ED" w14:textId="77777777">
      <w:pPr>
        <w:tabs>
          <w:tab w:val="left" w:pos="4320"/>
        </w:tabs>
      </w:pPr>
      <w:r>
        <w:tab/>
        <w:t>Amy Botschner O’Brien</w:t>
      </w:r>
    </w:p>
    <w:p w:rsidR="006B4C9F" w:rsidP="006B4C9F" w14:paraId="1B7E05C1" w14:textId="77777777">
      <w:pPr>
        <w:tabs>
          <w:tab w:val="left" w:pos="4320"/>
        </w:tabs>
      </w:pPr>
      <w:r>
        <w:tab/>
        <w:t>Assistant Consumers’ Counsel</w:t>
      </w:r>
    </w:p>
    <w:p w:rsidR="006B4C9F" w:rsidP="006B4C9F" w14:paraId="4CAF85CB" w14:textId="77777777">
      <w:pPr>
        <w:pStyle w:val="CommentSubject"/>
      </w:pPr>
    </w:p>
    <w:p w:rsidR="006B4C9F" w:rsidRPr="005D4EA5" w:rsidP="006B4C9F" w14:paraId="04AC9DEF" w14:textId="77777777">
      <w:pPr>
        <w:rPr>
          <w:b/>
          <w:bCs/>
        </w:rPr>
      </w:pPr>
      <w:r w:rsidRPr="005D4EA5">
        <w:t>The PUCO’s e-filing system will electronically serve notice of the filing of this document on the following parties:</w:t>
      </w:r>
    </w:p>
    <w:p w:rsidR="006B4C9F" w:rsidRPr="005D4EA5" w:rsidP="006B4C9F" w14:paraId="6D337D7D" w14:textId="77777777">
      <w:pPr>
        <w:widowControl w:val="0"/>
        <w:autoSpaceDE w:val="0"/>
        <w:autoSpaceDN w:val="0"/>
        <w:adjustRightInd w:val="0"/>
      </w:pPr>
    </w:p>
    <w:p w:rsidR="006B4C9F" w:rsidRPr="00CE1566" w:rsidP="006B4C9F" w14:paraId="6B620FEE" w14:textId="77777777">
      <w:pPr>
        <w:jc w:val="center"/>
        <w:rPr>
          <w:b/>
          <w:bCs/>
          <w:u w:val="single"/>
        </w:rPr>
      </w:pPr>
      <w:r w:rsidRPr="00CE1566">
        <w:rPr>
          <w:b/>
          <w:bCs/>
          <w:u w:val="single"/>
        </w:rPr>
        <w:t>SERVICE LIST</w:t>
      </w:r>
    </w:p>
    <w:p w:rsidR="006B4C9F" w:rsidRPr="002F4BA7" w:rsidP="006B4C9F" w14:paraId="2C0A107A" w14:textId="77777777">
      <w:pPr>
        <w:jc w:val="center"/>
        <w:rPr>
          <w:u w:val="single"/>
        </w:rPr>
      </w:pPr>
    </w:p>
    <w:tbl>
      <w:tblPr>
        <w:tblW w:w="0" w:type="auto"/>
        <w:tblInd w:w="0" w:type="dxa"/>
        <w:tblCellMar>
          <w:top w:w="0" w:type="dxa"/>
          <w:left w:w="108" w:type="dxa"/>
          <w:bottom w:w="0" w:type="dxa"/>
          <w:right w:w="108" w:type="dxa"/>
        </w:tblCellMar>
        <w:tblLook w:val="01E0"/>
      </w:tblPr>
      <w:tblGrid>
        <w:gridCol w:w="3748"/>
        <w:gridCol w:w="4892"/>
      </w:tblGrid>
      <w:tr w14:paraId="265D8C18" w14:textId="77777777" w:rsidTr="00DD0C02">
        <w:tblPrEx>
          <w:tblW w:w="0" w:type="auto"/>
          <w:tblInd w:w="0" w:type="dxa"/>
          <w:tblCellMar>
            <w:top w:w="0" w:type="dxa"/>
            <w:left w:w="108" w:type="dxa"/>
            <w:bottom w:w="0" w:type="dxa"/>
            <w:right w:w="108" w:type="dxa"/>
          </w:tblCellMar>
          <w:tblLook w:val="01E0"/>
        </w:tblPrEx>
        <w:trPr>
          <w:trHeight w:val="1647"/>
        </w:trPr>
        <w:tc>
          <w:tcPr>
            <w:tcW w:w="3748" w:type="dxa"/>
            <w:shd w:val="clear" w:color="auto" w:fill="auto"/>
          </w:tcPr>
          <w:p w:rsidR="006B4C9F" w:rsidRPr="00A93456" w:rsidP="00DD0C02" w14:paraId="1926EB45" w14:textId="77777777">
            <w:pPr>
              <w:rPr>
                <w:rStyle w:val="DefaultParagraphFont"/>
                <w:bCs/>
                <w:sz w:val="24"/>
                <w:lang w:val="en-US" w:eastAsia="en-US" w:bidi="ar-SA"/>
              </w:rPr>
            </w:pPr>
            <w:r w:rsidRPr="00A93456">
              <w:rPr>
                <w:rStyle w:val="DefaultParagraphFont"/>
                <w:bCs/>
                <w:sz w:val="24"/>
                <w:lang w:val="en-US" w:eastAsia="en-US" w:bidi="ar-SA"/>
              </w:rPr>
              <w:t>Sarah.feldkamp@ohioAGO.gov</w:t>
            </w:r>
          </w:p>
          <w:p w:rsidR="006B4C9F" w:rsidP="00DD0C02" w14:paraId="051C6C78" w14:textId="77777777">
            <w:pPr>
              <w:rPr>
                <w:rStyle w:val="DefaultParagraphFont"/>
                <w:bCs/>
                <w:sz w:val="24"/>
                <w:lang w:val="en-US" w:eastAsia="en-US" w:bidi="ar-SA"/>
              </w:rPr>
            </w:pPr>
            <w:r w:rsidRPr="00A93456">
              <w:rPr>
                <w:rStyle w:val="DefaultParagraphFont"/>
                <w:bCs/>
                <w:sz w:val="24"/>
                <w:lang w:val="en-US" w:eastAsia="en-US" w:bidi="ar-SA"/>
              </w:rPr>
              <w:t>Jodi.bair@ohioAGO.gov</w:t>
            </w:r>
          </w:p>
          <w:p w:rsidR="006B4C9F" w:rsidRPr="00A93456" w:rsidP="00DD0C02" w14:paraId="2E79E620" w14:textId="77777777">
            <w:pPr>
              <w:rPr>
                <w:rStyle w:val="DefaultParagraphFont"/>
                <w:bCs/>
                <w:sz w:val="24"/>
                <w:lang w:val="en-US" w:eastAsia="en-US" w:bidi="ar-SA"/>
              </w:rPr>
            </w:pPr>
          </w:p>
          <w:p w:rsidR="006B4C9F" w:rsidRPr="00A93456" w:rsidP="00DD0C02" w14:paraId="157E2BC0" w14:textId="77777777">
            <w:pPr>
              <w:rPr>
                <w:rStyle w:val="DefaultParagraphFont"/>
                <w:bCs/>
                <w:sz w:val="24"/>
                <w:lang w:val="en-US" w:eastAsia="en-US" w:bidi="ar-SA"/>
              </w:rPr>
            </w:pPr>
            <w:r w:rsidRPr="00A93456">
              <w:rPr>
                <w:bCs/>
                <w:sz w:val="24"/>
                <w:lang w:val="en-US" w:eastAsia="en-US" w:bidi="ar-SA"/>
              </w:rPr>
              <w:t>Attorney Examiner:</w:t>
            </w:r>
          </w:p>
          <w:p w:rsidR="006B4C9F" w:rsidRPr="005D4EA5" w:rsidP="00DD0C02" w14:paraId="24611B3A" w14:textId="77777777">
            <w:pPr>
              <w:spacing w:line="480" w:lineRule="auto"/>
              <w:rPr>
                <w:rStyle w:val="DefaultParagraphFont"/>
                <w:b/>
                <w:sz w:val="24"/>
                <w:lang w:val="en-US" w:eastAsia="en-US" w:bidi="ar-SA"/>
              </w:rPr>
            </w:pPr>
            <w:r w:rsidRPr="00A93456">
              <w:rPr>
                <w:rStyle w:val="DefaultParagraphFont"/>
                <w:bCs/>
                <w:sz w:val="24"/>
                <w:lang w:val="en-US" w:eastAsia="en-US" w:bidi="ar-SA"/>
              </w:rPr>
              <w:t>Greta.see@puco.ohio.gov</w:t>
            </w:r>
          </w:p>
        </w:tc>
        <w:tc>
          <w:tcPr>
            <w:tcW w:w="4892" w:type="dxa"/>
            <w:shd w:val="clear" w:color="auto" w:fill="auto"/>
          </w:tcPr>
          <w:p w:rsidR="006B4C9F" w:rsidRPr="00A93456" w:rsidP="00DD0C02" w14:paraId="3C5E3592" w14:textId="77777777">
            <w:pPr>
              <w:autoSpaceDE w:val="0"/>
              <w:autoSpaceDN w:val="0"/>
              <w:adjustRightInd w:val="0"/>
              <w:ind w:left="636"/>
              <w:rPr>
                <w:rStyle w:val="DefaultParagraphFont"/>
                <w:bCs/>
                <w:sz w:val="24"/>
                <w:lang w:val="en-US" w:eastAsia="en-US" w:bidi="ar-SA"/>
              </w:rPr>
            </w:pPr>
            <w:r w:rsidRPr="00A93456">
              <w:rPr>
                <w:rStyle w:val="DefaultParagraphFont"/>
                <w:bCs/>
                <w:sz w:val="24"/>
                <w:lang w:val="en-US" w:eastAsia="en-US" w:bidi="ar-SA"/>
              </w:rPr>
              <w:t>whitt@whitt-sturtevant.com</w:t>
            </w:r>
          </w:p>
          <w:p w:rsidR="006B4C9F" w:rsidRPr="00A93456" w:rsidP="00DD0C02" w14:paraId="0539F00B" w14:textId="77777777">
            <w:pPr>
              <w:autoSpaceDE w:val="0"/>
              <w:autoSpaceDN w:val="0"/>
              <w:adjustRightInd w:val="0"/>
              <w:ind w:left="636"/>
              <w:rPr>
                <w:rStyle w:val="DefaultParagraphFont"/>
                <w:bCs/>
                <w:sz w:val="24"/>
                <w:lang w:val="en-US" w:eastAsia="en-US" w:bidi="ar-SA"/>
              </w:rPr>
            </w:pPr>
            <w:r w:rsidRPr="00A93456">
              <w:rPr>
                <w:rStyle w:val="DefaultParagraphFont"/>
                <w:bCs/>
                <w:sz w:val="24"/>
                <w:lang w:val="en-US" w:eastAsia="en-US" w:bidi="ar-SA"/>
              </w:rPr>
              <w:t>kennedy@whitt-sturtevant.com</w:t>
            </w:r>
          </w:p>
          <w:p w:rsidR="006B4C9F" w:rsidRPr="00A93456" w:rsidP="00DD0C02" w14:paraId="1ABA8CD9" w14:textId="77777777">
            <w:pPr>
              <w:autoSpaceDE w:val="0"/>
              <w:autoSpaceDN w:val="0"/>
              <w:adjustRightInd w:val="0"/>
              <w:ind w:left="636"/>
              <w:rPr>
                <w:rStyle w:val="DefaultParagraphFont"/>
                <w:bCs/>
                <w:sz w:val="24"/>
                <w:lang w:val="en-US" w:eastAsia="en-US" w:bidi="ar-SA"/>
              </w:rPr>
            </w:pPr>
            <w:r w:rsidRPr="00A93456">
              <w:rPr>
                <w:rStyle w:val="DefaultParagraphFont"/>
                <w:bCs/>
                <w:sz w:val="24"/>
                <w:lang w:val="en-US" w:eastAsia="en-US" w:bidi="ar-SA"/>
              </w:rPr>
              <w:t>fykes@whitt-sturtevant.com</w:t>
            </w:r>
          </w:p>
          <w:p w:rsidR="006B4C9F" w:rsidRPr="00A93456" w:rsidP="00DD0C02" w14:paraId="01BA12D0" w14:textId="77777777">
            <w:pPr>
              <w:autoSpaceDE w:val="0"/>
              <w:autoSpaceDN w:val="0"/>
              <w:adjustRightInd w:val="0"/>
              <w:ind w:left="636"/>
              <w:rPr>
                <w:rStyle w:val="DefaultParagraphFont"/>
                <w:bCs/>
                <w:sz w:val="24"/>
                <w:lang w:val="en-US" w:eastAsia="en-US" w:bidi="ar-SA"/>
              </w:rPr>
            </w:pPr>
            <w:r w:rsidRPr="00A93456">
              <w:rPr>
                <w:rStyle w:val="DefaultParagraphFont"/>
                <w:bCs/>
                <w:sz w:val="24"/>
                <w:lang w:val="en-US" w:eastAsia="en-US" w:bidi="ar-SA"/>
              </w:rPr>
              <w:t>andrew.j.campbell@dominionenergy.com</w:t>
            </w:r>
          </w:p>
          <w:p w:rsidR="006B4C9F" w:rsidRPr="005D4EA5" w:rsidP="00DD0C02" w14:paraId="5A706EF5" w14:textId="77777777">
            <w:pPr>
              <w:autoSpaceDE w:val="0"/>
              <w:autoSpaceDN w:val="0"/>
              <w:adjustRightInd w:val="0"/>
              <w:ind w:left="636"/>
              <w:rPr>
                <w:rStyle w:val="DefaultParagraphFont"/>
                <w:b/>
                <w:sz w:val="24"/>
                <w:lang w:val="en-US" w:eastAsia="en-US" w:bidi="ar-SA"/>
              </w:rPr>
            </w:pPr>
          </w:p>
        </w:tc>
      </w:tr>
    </w:tbl>
    <w:p w:rsidR="006B4C9F" w:rsidP="006B4C9F" w14:paraId="6DD42C17" w14:textId="77777777">
      <w:pPr>
        <w:rPr>
          <w:b/>
          <w:bCs/>
        </w:rPr>
      </w:pPr>
    </w:p>
    <w:p w:rsidR="00A044B5" w:rsidP="002F4BA7" w14:paraId="1A4811E1" w14:textId="7FAC511B">
      <w:pPr>
        <w:rPr>
          <w:b/>
          <w:bCs/>
        </w:rPr>
      </w:pPr>
    </w:p>
    <w:sectPr>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pgNumType w:start="1"/>
      <w:cols w:space="720"/>
      <w:titlePg/>
      <w:docGrid w:linePitch="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ucida Grande">
    <w:altName w:val="Segoe UI"/>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77278" w14:paraId="6EEB3EB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859126282"/>
      <w:docPartObj>
        <w:docPartGallery w:val="Page Numbers (Bottom of Page)"/>
        <w:docPartUnique/>
      </w:docPartObj>
    </w:sdtPr>
    <w:sdtEndPr>
      <w:rPr>
        <w:noProof/>
        <w:sz w:val="24"/>
        <w:szCs w:val="24"/>
      </w:rPr>
    </w:sdtEndPr>
    <w:sdtContent>
      <w:p w:rsidR="00FE7F0A" w:rsidRPr="00FE7F0A" w14:paraId="15358668" w14:textId="77777777">
        <w:pPr>
          <w:pStyle w:val="Footer"/>
          <w:jc w:val="center"/>
          <w:rPr>
            <w:sz w:val="24"/>
            <w:szCs w:val="24"/>
          </w:rPr>
        </w:pPr>
        <w:r w:rsidRPr="00FE7F0A">
          <w:rPr>
            <w:sz w:val="24"/>
            <w:szCs w:val="24"/>
          </w:rPr>
          <w:fldChar w:fldCharType="begin"/>
        </w:r>
        <w:r w:rsidRPr="00FE7F0A">
          <w:rPr>
            <w:sz w:val="24"/>
            <w:szCs w:val="24"/>
          </w:rPr>
          <w:instrText xml:space="preserve"> PAGE   \* MERGEFORMAT </w:instrText>
        </w:r>
        <w:r w:rsidRPr="00FE7F0A">
          <w:rPr>
            <w:sz w:val="24"/>
            <w:szCs w:val="24"/>
          </w:rPr>
          <w:fldChar w:fldCharType="separate"/>
        </w:r>
        <w:r w:rsidRPr="00FE7F0A">
          <w:rPr>
            <w:noProof/>
            <w:sz w:val="24"/>
            <w:szCs w:val="24"/>
          </w:rPr>
          <w:t>6</w:t>
        </w:r>
        <w:r w:rsidRPr="00FE7F0A">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308976931"/>
      <w:docPartObj>
        <w:docPartGallery w:val="Page Numbers (Bottom of Page)"/>
        <w:docPartUnique/>
      </w:docPartObj>
    </w:sdtPr>
    <w:sdtEndPr>
      <w:rPr>
        <w:noProof/>
        <w:sz w:val="24"/>
        <w:szCs w:val="24"/>
      </w:rPr>
    </w:sdtEndPr>
    <w:sdtContent>
      <w:p w:rsidR="002F4BA7" w:rsidRPr="00CE1566" w14:paraId="566E92D9" w14:textId="24109612">
        <w:pPr>
          <w:pStyle w:val="Footer"/>
          <w:jc w:val="center"/>
          <w:rPr>
            <w:sz w:val="24"/>
            <w:szCs w:val="24"/>
          </w:rPr>
        </w:pPr>
        <w:r w:rsidRPr="00CE1566">
          <w:rPr>
            <w:sz w:val="24"/>
            <w:szCs w:val="24"/>
          </w:rPr>
          <w:fldChar w:fldCharType="begin"/>
        </w:r>
        <w:r w:rsidRPr="00CE1566">
          <w:rPr>
            <w:sz w:val="24"/>
            <w:szCs w:val="24"/>
          </w:rPr>
          <w:instrText xml:space="preserve"> PAGE   \* MERGEFORMAT </w:instrText>
        </w:r>
        <w:r w:rsidRPr="00CE1566">
          <w:rPr>
            <w:sz w:val="24"/>
            <w:szCs w:val="24"/>
          </w:rPr>
          <w:fldChar w:fldCharType="separate"/>
        </w:r>
        <w:r w:rsidRPr="00CE1566">
          <w:rPr>
            <w:noProof/>
            <w:sz w:val="24"/>
            <w:szCs w:val="24"/>
          </w:rPr>
          <w:t>1</w:t>
        </w:r>
        <w:r w:rsidRPr="00CE1566">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54BCE" w14:paraId="6DC639E3" w14:textId="77777777">
      <w:r>
        <w:separator/>
      </w:r>
    </w:p>
  </w:footnote>
  <w:footnote w:type="continuationSeparator" w:id="1">
    <w:p w:rsidR="00D54BCE" w14:paraId="056B0838" w14:textId="77777777">
      <w:r>
        <w:continuationSeparator/>
      </w:r>
    </w:p>
  </w:footnote>
  <w:footnote w:id="2">
    <w:p w:rsidR="007C0801" w:rsidP="006B4C9F" w14:paraId="6C5227F5" w14:textId="2C3D0DE8">
      <w:pPr>
        <w:pStyle w:val="FootnoteText"/>
        <w:spacing w:after="120"/>
      </w:pPr>
      <w:r>
        <w:rPr>
          <w:rStyle w:val="FootnoteReference"/>
        </w:rPr>
        <w:footnoteRef/>
      </w:r>
      <w:r>
        <w:t xml:space="preserve"> </w:t>
      </w:r>
      <w:r w:rsidR="002706C9">
        <w:t xml:space="preserve">Application </w:t>
      </w:r>
      <w:r w:rsidR="00C611A1">
        <w:t>to</w:t>
      </w:r>
      <w:r w:rsidR="002706C9">
        <w:t xml:space="preserve"> A</w:t>
      </w:r>
      <w:r w:rsidR="0064238F">
        <w:t>djust the Pipeline Infrastructure Replacement Cost Recovery Charge</w:t>
      </w:r>
      <w:r w:rsidR="00C611A1">
        <w:t xml:space="preserve"> (“Application”)</w:t>
      </w:r>
      <w:r w:rsidR="00C92D1E">
        <w:t xml:space="preserve"> at 2</w:t>
      </w:r>
      <w:r w:rsidR="00A93456">
        <w:t xml:space="preserve"> </w:t>
      </w:r>
      <w:r w:rsidR="0064238F">
        <w:t>(Feb</w:t>
      </w:r>
      <w:r w:rsidR="006B4C9F">
        <w:t>ruary</w:t>
      </w:r>
      <w:r w:rsidR="0064238F">
        <w:t xml:space="preserve"> 25, 2022</w:t>
      </w:r>
      <w:r w:rsidR="00C92D1E">
        <w:t>)</w:t>
      </w:r>
      <w:r w:rsidR="00EF1FEC">
        <w:t>.</w:t>
      </w:r>
    </w:p>
  </w:footnote>
  <w:footnote w:id="3">
    <w:p w:rsidR="00C92D1E" w:rsidP="006B4C9F" w14:paraId="74F100D3" w14:textId="171FA458">
      <w:pPr>
        <w:pStyle w:val="FootnoteText"/>
        <w:spacing w:after="120"/>
      </w:pPr>
      <w:r>
        <w:rPr>
          <w:rStyle w:val="FootnoteReference"/>
        </w:rPr>
        <w:footnoteRef/>
      </w:r>
      <w:r>
        <w:t xml:space="preserve"> Application</w:t>
      </w:r>
      <w:r w:rsidR="00C611A1">
        <w:t>,</w:t>
      </w:r>
      <w:r>
        <w:t xml:space="preserve"> Attachment B</w:t>
      </w:r>
      <w:r w:rsidR="00C611A1">
        <w:t>.</w:t>
      </w:r>
    </w:p>
  </w:footnote>
  <w:footnote w:id="4">
    <w:p w:rsidR="00A27DA8" w:rsidP="006B4C9F" w14:paraId="04A65715" w14:textId="09A86292">
      <w:pPr>
        <w:pStyle w:val="FootnoteText"/>
        <w:spacing w:after="120"/>
      </w:pPr>
      <w:r>
        <w:rPr>
          <w:rStyle w:val="FootnoteReference"/>
        </w:rPr>
        <w:footnoteRef/>
      </w:r>
      <w:r>
        <w:t xml:space="preserve"> R.C. 4905.22; R.C. 4929.05(A)(3)</w:t>
      </w:r>
      <w:r w:rsidR="00DB2831">
        <w:t>.</w:t>
      </w:r>
    </w:p>
  </w:footnote>
  <w:footnote w:id="5">
    <w:p w:rsidR="00F64C84" w:rsidP="006B4C9F" w14:paraId="5F274630" w14:textId="40872C87">
      <w:pPr>
        <w:pStyle w:val="FootnoteText"/>
        <w:spacing w:after="120"/>
      </w:pPr>
      <w:r>
        <w:rPr>
          <w:rStyle w:val="FootnoteReference"/>
        </w:rPr>
        <w:footnoteRef/>
      </w:r>
      <w:r>
        <w:t xml:space="preserve"> </w:t>
      </w:r>
      <w:r w:rsidR="00B47115">
        <w:t xml:space="preserve">Case No. </w:t>
      </w:r>
      <w:r w:rsidR="002103FD">
        <w:t>20-</w:t>
      </w:r>
      <w:r w:rsidR="001F4809">
        <w:t xml:space="preserve">1634-GA-ALT, Direct Testimony of Daniel J. Duann, Ph.D. at 6 (October 25, 2021); </w:t>
      </w:r>
      <w:r>
        <w:t xml:space="preserve">Case No. 19-0468-GA-ALT, Direct Testimony of Daniel J. Duann, Ph.D. </w:t>
      </w:r>
      <w:r w:rsidR="004C682A">
        <w:t xml:space="preserve">at 9-10 </w:t>
      </w:r>
      <w:r>
        <w:t>(September 11, 2020</w:t>
      </w:r>
      <w:r w:rsidR="001F4809">
        <w:t>)</w:t>
      </w:r>
      <w:r>
        <w:t xml:space="preserve">. </w:t>
      </w:r>
    </w:p>
  </w:footnote>
  <w:footnote w:id="6">
    <w:p w:rsidR="00313201" w:rsidP="006B4C9F" w14:paraId="726D13E2" w14:textId="4F01291B">
      <w:pPr>
        <w:pStyle w:val="FootnoteText"/>
        <w:spacing w:after="120"/>
      </w:pPr>
      <w:r>
        <w:rPr>
          <w:rStyle w:val="FootnoteReference"/>
        </w:rPr>
        <w:footnoteRef/>
      </w:r>
      <w:r>
        <w:t xml:space="preserve"> </w:t>
      </w:r>
      <w:bookmarkStart w:id="4" w:name="_Hlk98681884"/>
      <w:r w:rsidR="00E10C89">
        <w:t xml:space="preserve">Case No. 20-1634-GA-ALT, Duann Direct Testimony at 7; </w:t>
      </w:r>
      <w:r>
        <w:t xml:space="preserve">Case No. 19-0468-GA-ALT, </w:t>
      </w:r>
      <w:r w:rsidR="00B47115">
        <w:t xml:space="preserve">Duann </w:t>
      </w:r>
      <w:r>
        <w:t>Direct Testimony</w:t>
      </w:r>
      <w:bookmarkEnd w:id="4"/>
      <w:r w:rsidR="004C682A">
        <w:t xml:space="preserve"> at 22-26</w:t>
      </w:r>
      <w:r>
        <w:t>.</w:t>
      </w:r>
    </w:p>
  </w:footnote>
  <w:footnote w:id="7">
    <w:p w:rsidR="00B47115" w:rsidP="006B4C9F" w14:paraId="5FEBB6A7" w14:textId="6C85D1BF">
      <w:pPr>
        <w:pStyle w:val="FootnoteText"/>
        <w:spacing w:after="120"/>
      </w:pPr>
      <w:r>
        <w:rPr>
          <w:rStyle w:val="FootnoteReference"/>
        </w:rPr>
        <w:footnoteRef/>
      </w:r>
      <w:r>
        <w:t xml:space="preserve"> Case No. 20-1634-GA-ALT, Duann Direct Testimony at 6-8.</w:t>
      </w:r>
    </w:p>
  </w:footnote>
  <w:footnote w:id="8">
    <w:p w:rsidR="00B47115" w:rsidP="006B4C9F" w14:paraId="1157E6CA" w14:textId="354F3F84">
      <w:pPr>
        <w:pStyle w:val="FootnoteText"/>
        <w:spacing w:after="120"/>
      </w:pPr>
      <w:r>
        <w:rPr>
          <w:rStyle w:val="FootnoteReference"/>
        </w:rPr>
        <w:footnoteRef/>
      </w:r>
      <w:r>
        <w:t xml:space="preserve"> </w:t>
      </w:r>
      <w:r w:rsidRPr="00A27DA8">
        <w:rPr>
          <w:i/>
          <w:iCs/>
        </w:rPr>
        <w:t>Id</w:t>
      </w:r>
      <w:r>
        <w:t>. at 11-12.</w:t>
      </w:r>
    </w:p>
  </w:footnote>
  <w:footnote w:id="9">
    <w:p w:rsidR="00B47115" w:rsidP="006B4C9F" w14:paraId="5A389D56" w14:textId="0A750FDE">
      <w:pPr>
        <w:pStyle w:val="FootnoteText"/>
        <w:spacing w:after="120"/>
      </w:pPr>
      <w:r>
        <w:rPr>
          <w:rStyle w:val="FootnoteReference"/>
        </w:rPr>
        <w:footnoteRef/>
      </w:r>
      <w:r>
        <w:t xml:space="preserve"> </w:t>
      </w:r>
      <w:r w:rsidRPr="00A27DA8">
        <w:rPr>
          <w:i/>
          <w:iCs/>
        </w:rPr>
        <w:t>Id</w:t>
      </w:r>
      <w:r>
        <w:t>. at 7-8.</w:t>
      </w:r>
    </w:p>
  </w:footnote>
  <w:footnote w:id="10">
    <w:p w:rsidR="00B47115" w:rsidP="006B4C9F" w14:paraId="71D966F1" w14:textId="5DAB29F2">
      <w:pPr>
        <w:pStyle w:val="FootnoteText"/>
        <w:spacing w:after="120"/>
      </w:pPr>
      <w:r>
        <w:rPr>
          <w:rStyle w:val="FootnoteReference"/>
        </w:rPr>
        <w:footnoteRef/>
      </w:r>
      <w:r>
        <w:t xml:space="preserve"> </w:t>
      </w:r>
      <w:r w:rsidRPr="00A27DA8">
        <w:rPr>
          <w:i/>
          <w:iCs/>
        </w:rPr>
        <w:t>Id</w:t>
      </w:r>
      <w:r>
        <w:t>. at 11-12.</w:t>
      </w:r>
    </w:p>
  </w:footnote>
  <w:footnote w:id="11">
    <w:p w:rsidR="00A27DA8" w:rsidRPr="001572D1" w:rsidP="006B4C9F" w14:paraId="3E6FEBC1" w14:textId="76327B12">
      <w:pPr>
        <w:pStyle w:val="FootnoteText"/>
        <w:spacing w:after="120"/>
      </w:pPr>
      <w:r w:rsidRPr="001572D1">
        <w:rPr>
          <w:rStyle w:val="FootnoteReference"/>
        </w:rPr>
        <w:footnoteRef/>
      </w:r>
      <w:r w:rsidRPr="001572D1">
        <w:t xml:space="preserve"> </w:t>
      </w:r>
      <w:r w:rsidR="00DB2831">
        <w:t>Case No. 20-1634-GA-ALT, D</w:t>
      </w:r>
      <w:r>
        <w:t>uann</w:t>
      </w:r>
      <w:r w:rsidRPr="001572D1">
        <w:t xml:space="preserve"> Direct </w:t>
      </w:r>
      <w:r w:rsidR="00DB2831">
        <w:t>Testimony at</w:t>
      </w:r>
      <w:r w:rsidRPr="001572D1">
        <w:t xml:space="preserve"> 17.</w:t>
      </w:r>
    </w:p>
  </w:footnote>
  <w:footnote w:id="12">
    <w:p w:rsidR="00A27DA8" w:rsidRPr="001572D1" w:rsidP="006B4C9F" w14:paraId="124947B5" w14:textId="77777777">
      <w:pPr>
        <w:pStyle w:val="FootnoteText"/>
        <w:spacing w:after="120"/>
      </w:pPr>
      <w:r w:rsidRPr="001572D1">
        <w:rPr>
          <w:rStyle w:val="FootnoteReference"/>
        </w:rPr>
        <w:footnoteRef/>
      </w:r>
      <w:r w:rsidRPr="001572D1">
        <w:t xml:space="preserve"> This regulatory principle is also referred as cost-based regulation. In other words, the rates of utility services that consumers pay should be based on the prudently-incurred costs of providing these utility services to consumers, which includes a reasonable and fair rate of return on the capital invested. </w:t>
      </w:r>
      <w:r w:rsidRPr="001572D1">
        <w:rPr>
          <w:i/>
        </w:rPr>
        <w:t>See</w:t>
      </w:r>
      <w:r w:rsidRPr="001572D1">
        <w:t xml:space="preserve">, for example, James C. Bonbright, Principles of Public Utility Rates, Columbia University Press, New York (1961) at 240-241. </w:t>
      </w:r>
    </w:p>
  </w:footnote>
  <w:footnote w:id="13">
    <w:p w:rsidR="00A27DA8" w:rsidRPr="001572D1" w:rsidP="006B4C9F" w14:paraId="2050ADE4" w14:textId="77777777">
      <w:pPr>
        <w:pStyle w:val="FootnoteText"/>
        <w:spacing w:after="120"/>
      </w:pPr>
      <w:r w:rsidRPr="001572D1">
        <w:rPr>
          <w:rStyle w:val="FootnoteReference"/>
        </w:rPr>
        <w:footnoteRef/>
      </w:r>
      <w:r w:rsidRPr="001572D1">
        <w:t xml:space="preserve"> </w:t>
      </w:r>
      <w:r w:rsidRPr="001572D1">
        <w:rPr>
          <w:i/>
        </w:rPr>
        <w:t xml:space="preserve">See </w:t>
      </w:r>
      <w:r w:rsidRPr="001572D1">
        <w:t xml:space="preserve">R.C. 4905.22.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77278" w14:paraId="35CCC4D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77278" w14:paraId="3AD34C79"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77278" w14:paraId="071730A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B52698C"/>
    <w:multiLevelType w:val="hybridMultilevel"/>
    <w:tmpl w:val="FCCA683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2224079D"/>
    <w:multiLevelType w:val="hybridMultilevel"/>
    <w:tmpl w:val="E58A8570"/>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53454FCE"/>
    <w:multiLevelType w:val="hybridMultilevel"/>
    <w:tmpl w:val="C576D4C6"/>
    <w:lvl w:ilvl="0">
      <w:start w:val="3"/>
      <w:numFmt w:val="upperRoman"/>
      <w:lvlText w:val="%1."/>
      <w:lvlJc w:val="left"/>
      <w:pPr>
        <w:tabs>
          <w:tab w:val="num" w:pos="1080"/>
        </w:tabs>
        <w:ind w:left="1080" w:hanging="720"/>
      </w:pPr>
      <w:rPr>
        <w:rFonts w:hint="default"/>
        <w:u w:val="none"/>
      </w:rPr>
    </w:lvl>
    <w:lvl w:ilvl="1">
      <w:start w:val="1"/>
      <w:numFmt w:val="upperLetter"/>
      <w:lvlText w:val="%2."/>
      <w:lvlJc w:val="left"/>
      <w:pPr>
        <w:tabs>
          <w:tab w:val="num" w:pos="2085"/>
        </w:tabs>
        <w:ind w:left="2085" w:hanging="1005"/>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5A164567"/>
    <w:multiLevelType w:val="hybridMultilevel"/>
    <w:tmpl w:val="924AB3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5F8249F4"/>
    <w:multiLevelType w:val="hybridMultilevel"/>
    <w:tmpl w:val="2020BA1E"/>
    <w:lvl w:ilvl="0">
      <w:start w:val="2"/>
      <w:numFmt w:val="upperLetter"/>
      <w:lvlText w:val="%1."/>
      <w:lvlJc w:val="left"/>
      <w:pPr>
        <w:tabs>
          <w:tab w:val="num" w:pos="1440"/>
        </w:tabs>
        <w:ind w:left="1440" w:hanging="72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
    <w:nsid w:val="65D27B79"/>
    <w:multiLevelType w:val="hybridMultilevel"/>
    <w:tmpl w:val="72B87570"/>
    <w:lvl w:ilvl="0">
      <w:start w:val="4"/>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6">
    <w:nsid w:val="73F12727"/>
    <w:multiLevelType w:val="hybridMultilevel"/>
    <w:tmpl w:val="5F4A28FE"/>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754B0E0C"/>
    <w:multiLevelType w:val="hybridMultilevel"/>
    <w:tmpl w:val="6E148B9E"/>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nsid w:val="78B05554"/>
    <w:multiLevelType w:val="hybridMultilevel"/>
    <w:tmpl w:val="6C22C984"/>
    <w:lvl w:ilvl="0">
      <w:start w:val="5"/>
      <w:numFmt w:val="decimal"/>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num w:numId="1">
    <w:abstractNumId w:val="3"/>
  </w:num>
  <w:num w:numId="2">
    <w:abstractNumId w:val="2"/>
  </w:num>
  <w:num w:numId="3">
    <w:abstractNumId w:val="5"/>
  </w:num>
  <w:num w:numId="4">
    <w:abstractNumId w:val="4"/>
  </w:num>
  <w:num w:numId="5">
    <w:abstractNumId w:val="0"/>
  </w:num>
  <w:num w:numId="6">
    <w:abstractNumId w:val="8"/>
  </w:num>
  <w:num w:numId="7">
    <w:abstractNumId w:val="6"/>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removePersonalInformation/>
  <w:removeDateAndTime/>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24"/>
  <w:drawingGridVerticalSpacing w:val="65"/>
  <w:displayHorizontalDrawingGridEvery w:val="0"/>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D58"/>
    <w:rsid w:val="00020E0B"/>
    <w:rsid w:val="00030E6F"/>
    <w:rsid w:val="00075E08"/>
    <w:rsid w:val="00077662"/>
    <w:rsid w:val="000830FB"/>
    <w:rsid w:val="000914AB"/>
    <w:rsid w:val="000D1D58"/>
    <w:rsid w:val="00113D54"/>
    <w:rsid w:val="0011517F"/>
    <w:rsid w:val="001572D1"/>
    <w:rsid w:val="0016164D"/>
    <w:rsid w:val="00165AF9"/>
    <w:rsid w:val="00171048"/>
    <w:rsid w:val="00177519"/>
    <w:rsid w:val="00182CC4"/>
    <w:rsid w:val="00186B4F"/>
    <w:rsid w:val="001A5325"/>
    <w:rsid w:val="001C3193"/>
    <w:rsid w:val="001C5BFB"/>
    <w:rsid w:val="001D1E49"/>
    <w:rsid w:val="001F4809"/>
    <w:rsid w:val="0020720A"/>
    <w:rsid w:val="002103FD"/>
    <w:rsid w:val="00222CAF"/>
    <w:rsid w:val="00232029"/>
    <w:rsid w:val="002706C9"/>
    <w:rsid w:val="00282B56"/>
    <w:rsid w:val="002F4BA7"/>
    <w:rsid w:val="0030568E"/>
    <w:rsid w:val="0031242C"/>
    <w:rsid w:val="00313201"/>
    <w:rsid w:val="00340405"/>
    <w:rsid w:val="003513EB"/>
    <w:rsid w:val="003B7A1E"/>
    <w:rsid w:val="003C08DE"/>
    <w:rsid w:val="003F4042"/>
    <w:rsid w:val="0041019C"/>
    <w:rsid w:val="00415210"/>
    <w:rsid w:val="0043192F"/>
    <w:rsid w:val="00434043"/>
    <w:rsid w:val="00457A68"/>
    <w:rsid w:val="00460D90"/>
    <w:rsid w:val="0048490D"/>
    <w:rsid w:val="00486336"/>
    <w:rsid w:val="00493097"/>
    <w:rsid w:val="004A69CF"/>
    <w:rsid w:val="004C19D3"/>
    <w:rsid w:val="004C3EBD"/>
    <w:rsid w:val="004C682A"/>
    <w:rsid w:val="00514389"/>
    <w:rsid w:val="00530AD0"/>
    <w:rsid w:val="00543D28"/>
    <w:rsid w:val="005673E0"/>
    <w:rsid w:val="00572055"/>
    <w:rsid w:val="00584B15"/>
    <w:rsid w:val="00592142"/>
    <w:rsid w:val="005966EF"/>
    <w:rsid w:val="005A4A50"/>
    <w:rsid w:val="005B033C"/>
    <w:rsid w:val="005D4EA5"/>
    <w:rsid w:val="00613D04"/>
    <w:rsid w:val="0064238F"/>
    <w:rsid w:val="00654E5D"/>
    <w:rsid w:val="006A1731"/>
    <w:rsid w:val="006A31F2"/>
    <w:rsid w:val="006B4C9F"/>
    <w:rsid w:val="006B63DF"/>
    <w:rsid w:val="006B7B05"/>
    <w:rsid w:val="0071605A"/>
    <w:rsid w:val="00737871"/>
    <w:rsid w:val="00740269"/>
    <w:rsid w:val="007523AC"/>
    <w:rsid w:val="00761D6D"/>
    <w:rsid w:val="00773157"/>
    <w:rsid w:val="00791AA1"/>
    <w:rsid w:val="0079244C"/>
    <w:rsid w:val="007A3C04"/>
    <w:rsid w:val="007B35D7"/>
    <w:rsid w:val="007C0801"/>
    <w:rsid w:val="007C0F00"/>
    <w:rsid w:val="007D5580"/>
    <w:rsid w:val="00815FA1"/>
    <w:rsid w:val="00824D53"/>
    <w:rsid w:val="00837128"/>
    <w:rsid w:val="008371F9"/>
    <w:rsid w:val="0084358C"/>
    <w:rsid w:val="0089046B"/>
    <w:rsid w:val="008916C8"/>
    <w:rsid w:val="008A53D5"/>
    <w:rsid w:val="008F44F9"/>
    <w:rsid w:val="0091075E"/>
    <w:rsid w:val="00973651"/>
    <w:rsid w:val="00976C12"/>
    <w:rsid w:val="0098323E"/>
    <w:rsid w:val="009D37EA"/>
    <w:rsid w:val="009E313B"/>
    <w:rsid w:val="009F72AB"/>
    <w:rsid w:val="00A044B5"/>
    <w:rsid w:val="00A27DA8"/>
    <w:rsid w:val="00A45086"/>
    <w:rsid w:val="00A93456"/>
    <w:rsid w:val="00A96C12"/>
    <w:rsid w:val="00AA063A"/>
    <w:rsid w:val="00AC0E6A"/>
    <w:rsid w:val="00AD30C2"/>
    <w:rsid w:val="00AD40E1"/>
    <w:rsid w:val="00B0334A"/>
    <w:rsid w:val="00B12B8F"/>
    <w:rsid w:val="00B23790"/>
    <w:rsid w:val="00B3705B"/>
    <w:rsid w:val="00B47115"/>
    <w:rsid w:val="00B61087"/>
    <w:rsid w:val="00B81E54"/>
    <w:rsid w:val="00BD7F7B"/>
    <w:rsid w:val="00BF3CC9"/>
    <w:rsid w:val="00C1151D"/>
    <w:rsid w:val="00C25AEB"/>
    <w:rsid w:val="00C611A1"/>
    <w:rsid w:val="00C77278"/>
    <w:rsid w:val="00C9050C"/>
    <w:rsid w:val="00C92D1E"/>
    <w:rsid w:val="00C93B14"/>
    <w:rsid w:val="00CB76F9"/>
    <w:rsid w:val="00CE1566"/>
    <w:rsid w:val="00D24446"/>
    <w:rsid w:val="00D54BCE"/>
    <w:rsid w:val="00D56145"/>
    <w:rsid w:val="00D628A8"/>
    <w:rsid w:val="00D74797"/>
    <w:rsid w:val="00D74FF1"/>
    <w:rsid w:val="00D9752F"/>
    <w:rsid w:val="00D97B1C"/>
    <w:rsid w:val="00DA5859"/>
    <w:rsid w:val="00DB0196"/>
    <w:rsid w:val="00DB2831"/>
    <w:rsid w:val="00DD0C02"/>
    <w:rsid w:val="00DD5E85"/>
    <w:rsid w:val="00DE0FD7"/>
    <w:rsid w:val="00DE1F0E"/>
    <w:rsid w:val="00DE37E6"/>
    <w:rsid w:val="00E10C89"/>
    <w:rsid w:val="00E3296C"/>
    <w:rsid w:val="00E5502E"/>
    <w:rsid w:val="00E567EE"/>
    <w:rsid w:val="00E71D00"/>
    <w:rsid w:val="00E94266"/>
    <w:rsid w:val="00E94368"/>
    <w:rsid w:val="00EA1FC7"/>
    <w:rsid w:val="00EB1CE1"/>
    <w:rsid w:val="00EF1FEC"/>
    <w:rsid w:val="00EF5FDB"/>
    <w:rsid w:val="00EF74EA"/>
    <w:rsid w:val="00F00274"/>
    <w:rsid w:val="00F02990"/>
    <w:rsid w:val="00F146F2"/>
    <w:rsid w:val="00F16A10"/>
    <w:rsid w:val="00F21B7D"/>
    <w:rsid w:val="00F312B7"/>
    <w:rsid w:val="00F45119"/>
    <w:rsid w:val="00F577D8"/>
    <w:rsid w:val="00F64C84"/>
    <w:rsid w:val="00F773A5"/>
    <w:rsid w:val="00F775BD"/>
    <w:rsid w:val="00FB0059"/>
    <w:rsid w:val="00FC37A4"/>
    <w:rsid w:val="00FD0572"/>
    <w:rsid w:val="00FD55F5"/>
    <w:rsid w:val="00FE7F0A"/>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annotation text" w:uiPriority="99"/>
    <w:lsdException w:name="footer" w:uiPriority="99"/>
    <w:lsdException w:name="caption" w:semiHidden="1" w:unhideWhenUsed="1" w:qFormat="1"/>
    <w:lsdException w:name="footnote reference" w:qFormat="1"/>
    <w:lsdException w:name="annotation reference" w:uiPriority="99"/>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E0B"/>
    <w:rPr>
      <w:sz w:val="24"/>
    </w:rPr>
  </w:style>
  <w:style w:type="paragraph" w:styleId="Heading1">
    <w:name w:val="heading 1"/>
    <w:basedOn w:val="Normal"/>
    <w:next w:val="Normal"/>
    <w:link w:val="Heading1Char"/>
    <w:qFormat/>
    <w:pPr>
      <w:keepNext/>
      <w:outlineLvl w:val="0"/>
    </w:pPr>
    <w:rPr>
      <w:b/>
      <w:szCs w:val="24"/>
      <w:u w:val="single"/>
    </w:rPr>
  </w:style>
  <w:style w:type="paragraph" w:styleId="Heading2">
    <w:name w:val="heading 2"/>
    <w:basedOn w:val="Normal"/>
    <w:next w:val="Normal"/>
    <w:qFormat/>
    <w:pPr>
      <w:keepNext/>
      <w:tabs>
        <w:tab w:val="left" w:pos="4320"/>
      </w:tabs>
      <w:jc w:val="center"/>
      <w:outlineLvl w:val="1"/>
    </w:pPr>
    <w:rPr>
      <w:b/>
    </w:rPr>
  </w:style>
  <w:style w:type="paragraph" w:styleId="Heading3">
    <w:name w:val="heading 3"/>
    <w:basedOn w:val="Normal"/>
    <w:next w:val="Normal"/>
    <w:qFormat/>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link w:val="FooterChar"/>
    <w:uiPriority w:val="99"/>
    <w:pPr>
      <w:tabs>
        <w:tab w:val="center" w:pos="4320"/>
        <w:tab w:val="right" w:pos="8640"/>
      </w:tabs>
    </w:pPr>
    <w:rPr>
      <w:sz w:val="20"/>
    </w:rPr>
  </w:style>
  <w:style w:type="character" w:styleId="Hyperlink">
    <w:name w:val="Hyperlink"/>
    <w:rPr>
      <w:color w:val="0000FF"/>
      <w:u w:val="single"/>
    </w:rPr>
  </w:style>
  <w:style w:type="paragraph" w:styleId="FootnoteText">
    <w:name w:val="footnote text"/>
    <w:aliases w:val="Footnote Text Char Char,Footnote Text Char Char Char Char,Footnote Text Char Char Char1,Footnote Text Char Char1,Footnote Text Char1 Char Char,Footnote Text Char1 Char1,Footnote Text Char2,Footnote Text Char4 Char Char Char Char,fn"/>
    <w:basedOn w:val="Normal"/>
    <w:link w:val="FootnoteTextChar"/>
    <w:qFormat/>
    <w:rPr>
      <w:sz w:val="20"/>
    </w:rPr>
  </w:style>
  <w:style w:type="character" w:styleId="FootnoteReference">
    <w:name w:val="footnote reference"/>
    <w:aliases w:val="(NECG) Footnote Reference,Appel note de bas de p,Style,Style 11,Style 12,Style 124,Style 13,Style 15,Style 17,Style 18,Style 19,Style 20,Style 21,Style 28,Style 3,Style 4,Style 42,Style 7,Style 8,Style 9,fnr,fr,fr1,fr2,fr3,o,o1,o2,o3"/>
    <w:qFormat/>
    <w:rPr>
      <w:vertAlign w:val="superscript"/>
    </w:rPr>
  </w:style>
  <w:style w:type="paragraph" w:styleId="BodyTextIndent">
    <w:name w:val="Body Text Indent"/>
    <w:basedOn w:val="Normal"/>
    <w:pPr>
      <w:spacing w:line="480" w:lineRule="auto"/>
      <w:ind w:firstLine="720"/>
    </w:pPr>
  </w:style>
  <w:style w:type="paragraph" w:styleId="BodyTextIndent3">
    <w:name w:val="Body Text Indent 3"/>
    <w:basedOn w:val="Normal"/>
    <w:link w:val="BodyTextIndent3Char"/>
    <w:pPr>
      <w:spacing w:line="480" w:lineRule="atLeast"/>
      <w:ind w:firstLine="720"/>
    </w:pPr>
  </w:style>
  <w:style w:type="paragraph" w:styleId="BodyTextIndent2">
    <w:name w:val="Body Text Indent 2"/>
    <w:basedOn w:val="Normal"/>
    <w:pPr>
      <w:tabs>
        <w:tab w:val="left" w:pos="720"/>
      </w:tabs>
      <w:spacing w:before="240" w:after="240"/>
      <w:ind w:left="1464" w:hanging="744"/>
    </w:pPr>
  </w:style>
  <w:style w:type="character" w:styleId="PageNumber">
    <w:name w:val="page number"/>
    <w:basedOn w:val="DefaultParagraphFont"/>
  </w:style>
  <w:style w:type="paragraph" w:styleId="BodyText">
    <w:name w:val="Body Text"/>
    <w:basedOn w:val="Normal"/>
    <w:pPr>
      <w:jc w:val="both"/>
    </w:pPr>
  </w:style>
  <w:style w:type="paragraph" w:styleId="BlockText">
    <w:name w:val="Block Text"/>
    <w:basedOn w:val="Normal"/>
    <w:pPr>
      <w:ind w:left="1440" w:right="7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BodyText2">
    <w:name w:val="Body Text 2"/>
    <w:basedOn w:val="Normal"/>
    <w:pPr>
      <w:spacing w:line="480" w:lineRule="auto"/>
      <w:ind w:right="1440"/>
    </w:pPr>
  </w:style>
  <w:style w:type="paragraph" w:styleId="Header">
    <w:name w:val="header"/>
    <w:basedOn w:val="Normal"/>
    <w:pPr>
      <w:tabs>
        <w:tab w:val="center" w:pos="4320"/>
        <w:tab w:val="right" w:pos="8640"/>
      </w:tabs>
    </w:pPr>
  </w:style>
  <w:style w:type="paragraph" w:styleId="BalloonText">
    <w:name w:val="Balloon Text"/>
    <w:basedOn w:val="Normal"/>
    <w:semiHidden/>
    <w:rPr>
      <w:rFonts w:ascii="Lucida Grande" w:hAnsi="Lucida Grande"/>
      <w:sz w:val="18"/>
      <w:szCs w:val="18"/>
    </w:rPr>
  </w:style>
  <w:style w:type="character" w:styleId="CommentReference">
    <w:name w:val="annotation reference"/>
    <w:uiPriority w:val="99"/>
    <w:semiHidden/>
    <w:rPr>
      <w:sz w:val="18"/>
    </w:rPr>
  </w:style>
  <w:style w:type="paragraph" w:styleId="CommentText">
    <w:name w:val="annotation text"/>
    <w:basedOn w:val="Normal"/>
    <w:link w:val="CommentTextChar"/>
    <w:uiPriority w:val="99"/>
    <w:semiHidden/>
    <w:rPr>
      <w:szCs w:val="24"/>
    </w:rPr>
  </w:style>
  <w:style w:type="paragraph" w:styleId="CommentSubject">
    <w:name w:val="annotation subject"/>
    <w:basedOn w:val="CommentText"/>
    <w:next w:val="CommentText"/>
    <w:link w:val="CommentSubjectChar"/>
    <w:semiHidden/>
    <w:rPr>
      <w:szCs w:val="20"/>
    </w:rPr>
  </w:style>
  <w:style w:type="character" w:styleId="FollowedHyperlink">
    <w:name w:val="FollowedHyperlink"/>
    <w:rPr>
      <w:color w:val="800080"/>
      <w:u w:val="single"/>
    </w:rPr>
  </w:style>
  <w:style w:type="character" w:customStyle="1" w:styleId="term1">
    <w:name w:val="term1"/>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pPr>
      <w:suppressAutoHyphens/>
      <w:spacing w:line="480" w:lineRule="atLeast"/>
      <w:ind w:firstLine="720"/>
    </w:pPr>
    <w:rPr>
      <w:lang w:eastAsia="ar-SA"/>
    </w:rPr>
  </w:style>
  <w:style w:type="character" w:customStyle="1" w:styleId="UnresolvedMention1">
    <w:name w:val="Unresolved Mention1"/>
    <w:basedOn w:val="DefaultParagraphFont"/>
    <w:uiPriority w:val="99"/>
    <w:semiHidden/>
    <w:unhideWhenUsed/>
    <w:rsid w:val="00FE7F0A"/>
    <w:rPr>
      <w:color w:val="605E5C"/>
      <w:shd w:val="clear" w:color="auto" w:fill="E1DFDD"/>
    </w:rPr>
  </w:style>
  <w:style w:type="character" w:customStyle="1" w:styleId="FooterChar">
    <w:name w:val="Footer Char"/>
    <w:basedOn w:val="DefaultParagraphFont"/>
    <w:link w:val="Footer"/>
    <w:uiPriority w:val="99"/>
    <w:rsid w:val="00FE7F0A"/>
  </w:style>
  <w:style w:type="character" w:customStyle="1" w:styleId="UnresolvedMention2">
    <w:name w:val="Unresolved Mention2"/>
    <w:basedOn w:val="DefaultParagraphFont"/>
    <w:rsid w:val="005A4A50"/>
    <w:rPr>
      <w:color w:val="605E5C"/>
      <w:shd w:val="clear" w:color="auto" w:fill="E1DFDD"/>
    </w:rPr>
  </w:style>
  <w:style w:type="character" w:customStyle="1" w:styleId="Heading1Char">
    <w:name w:val="Heading 1 Char"/>
    <w:basedOn w:val="DefaultParagraphFont"/>
    <w:link w:val="Heading1"/>
    <w:rsid w:val="00020E0B"/>
    <w:rPr>
      <w:b/>
      <w:sz w:val="24"/>
      <w:szCs w:val="24"/>
      <w:u w:val="single"/>
    </w:rPr>
  </w:style>
  <w:style w:type="character" w:customStyle="1" w:styleId="BodyTextIndent3Char">
    <w:name w:val="Body Text Indent 3 Char"/>
    <w:basedOn w:val="DefaultParagraphFont"/>
    <w:link w:val="BodyTextIndent3"/>
    <w:rsid w:val="00020E0B"/>
    <w:rPr>
      <w:sz w:val="24"/>
    </w:rPr>
  </w:style>
  <w:style w:type="character" w:customStyle="1" w:styleId="FootnoteTextChar">
    <w:name w:val="Footnote Text Char"/>
    <w:aliases w:val="Footnote Text Char Char Char,Footnote Text Char Char Char Char Char,Footnote Text Char Char Char1 Char,Footnote Text Char Char1 Char,Footnote Text Char1 Char Char Char,Footnote Text Char1 Char1 Char,Footnote Text Char2 Char,fn Char"/>
    <w:basedOn w:val="DefaultParagraphFont"/>
    <w:link w:val="FootnoteText"/>
    <w:uiPriority w:val="99"/>
    <w:rsid w:val="00B61087"/>
  </w:style>
  <w:style w:type="character" w:customStyle="1" w:styleId="UnresolvedMention">
    <w:name w:val="Unresolved Mention"/>
    <w:basedOn w:val="DefaultParagraphFont"/>
    <w:rsid w:val="007D5580"/>
    <w:rPr>
      <w:color w:val="605E5C"/>
      <w:shd w:val="clear" w:color="auto" w:fill="E1DFDD"/>
    </w:rPr>
  </w:style>
  <w:style w:type="character" w:customStyle="1" w:styleId="CommentTextChar">
    <w:name w:val="Comment Text Char"/>
    <w:basedOn w:val="DefaultParagraphFont"/>
    <w:link w:val="CommentText"/>
    <w:uiPriority w:val="99"/>
    <w:semiHidden/>
    <w:rsid w:val="00313201"/>
    <w:rPr>
      <w:sz w:val="24"/>
      <w:szCs w:val="24"/>
    </w:rPr>
  </w:style>
  <w:style w:type="paragraph" w:styleId="ListParagraph">
    <w:name w:val="List Paragraph"/>
    <w:basedOn w:val="Normal"/>
    <w:uiPriority w:val="34"/>
    <w:qFormat/>
    <w:rsid w:val="00313201"/>
    <w:pPr>
      <w:ind w:left="720"/>
      <w:contextualSpacing/>
    </w:pPr>
  </w:style>
  <w:style w:type="character" w:customStyle="1" w:styleId="CommentSubjectChar">
    <w:name w:val="Comment Subject Char"/>
    <w:basedOn w:val="CommentTextChar"/>
    <w:link w:val="CommentSubject"/>
    <w:semiHidden/>
    <w:rsid w:val="006B4C9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88070-6990-4A15-A6C0-7013D20EB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1090</Words>
  <Characters>6219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(DEO Annual PIR Comments 21-1095 (djd) ls (djd-3-22-22)).docx</vt:lpstr>
    </vt:vector>
  </TitlesOfParts>
  <Company/>
  <LinksUpToDate>false</LinksUpToDate>
  <CharactersWithSpaces>7295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2022-03-23T17:56:03Z</dcterms:created>
  <dcterms:modified xsi:type="dcterms:W3CDTF">2022-03-23T17:56:03Z</dcterms:modified>
</cp:coreProperties>
</file>