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27FDC" w:rsidRPr="001E6727" w14:paraId="5D63DDE9"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BEFORE</w:t>
      </w:r>
    </w:p>
    <w:p w:rsidR="00E27FDC" w:rsidRPr="001E6727" w14:paraId="5B452742"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THE PUBLIC UTILITIES COMMISSION OF OHIO</w:t>
      </w:r>
    </w:p>
    <w:p w:rsidR="00E27FDC" w:rsidRPr="001E6727" w14:paraId="06FFF33C" w14:textId="77777777">
      <w:pPr>
        <w:spacing w:after="0" w:line="240" w:lineRule="auto"/>
        <w:rPr>
          <w:rFonts w:ascii="Times New Roman" w:eastAsia="Times New Roman" w:hAnsi="Times New Roman" w:cs="Times New Roman"/>
          <w:sz w:val="24"/>
          <w:szCs w:val="24"/>
        </w:rPr>
      </w:pPr>
    </w:p>
    <w:tbl>
      <w:tblPr>
        <w:tblW w:w="9450" w:type="dxa"/>
        <w:tblLook w:val="01E0"/>
      </w:tblPr>
      <w:tblGrid>
        <w:gridCol w:w="4230"/>
        <w:gridCol w:w="540"/>
        <w:gridCol w:w="4680"/>
      </w:tblGrid>
      <w:tr w14:paraId="45999D6E" w14:textId="77777777">
        <w:tblPrEx>
          <w:tblW w:w="9450" w:type="dxa"/>
          <w:tblLook w:val="01E0"/>
        </w:tblPrEx>
        <w:trPr>
          <w:trHeight w:val="807"/>
        </w:trPr>
        <w:tc>
          <w:tcPr>
            <w:tcW w:w="4230" w:type="dxa"/>
            <w:shd w:val="clear" w:color="auto" w:fill="auto"/>
          </w:tcPr>
          <w:p w:rsidR="00E27FDC" w:rsidRPr="001E6727" w14:paraId="2422F9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In the Matter of the Review of the Reconciliation Rider of Duke Energy Ohio, Inc.</w:t>
            </w:r>
          </w:p>
        </w:tc>
        <w:tc>
          <w:tcPr>
            <w:tcW w:w="540" w:type="dxa"/>
            <w:shd w:val="clear" w:color="auto" w:fill="auto"/>
          </w:tcPr>
          <w:p w:rsidR="00E27FDC" w:rsidRPr="001E6727" w14:paraId="6CCF24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E27FDC" w:rsidRPr="001E6727" w14:paraId="61C29B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E27FDC" w:rsidRPr="001E6727" w14:paraId="01E268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tc>
        <w:tc>
          <w:tcPr>
            <w:tcW w:w="4680" w:type="dxa"/>
            <w:shd w:val="clear" w:color="auto" w:fill="auto"/>
          </w:tcPr>
          <w:p w:rsidR="00E27FDC" w:rsidRPr="001E6727" w14:paraId="65D72E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7FDC" w:rsidRPr="001E6727" w14:paraId="0B1A54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 xml:space="preserve"> Case No. 20-167-EL-RDR</w:t>
            </w:r>
          </w:p>
          <w:p w:rsidR="00E27FDC" w:rsidRPr="001E6727" w14:paraId="0C1611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7FDC" w:rsidRPr="001E6727" w14:paraId="31396026" w14:textId="77777777">
      <w:pPr>
        <w:spacing w:after="0" w:line="240" w:lineRule="auto"/>
        <w:rPr>
          <w:rFonts w:ascii="Times New Roman" w:eastAsia="Times New Roman" w:hAnsi="Times New Roman" w:cs="Times New Roman"/>
          <w:sz w:val="24"/>
          <w:szCs w:val="24"/>
        </w:rPr>
      </w:pPr>
    </w:p>
    <w:p w:rsidR="00E27FDC" w:rsidRPr="001E6727" w14:paraId="012A6DD2" w14:textId="77777777">
      <w:pPr>
        <w:pBdr>
          <w:top w:val="single" w:sz="12" w:space="1" w:color="auto"/>
        </w:pBdr>
        <w:spacing w:after="0" w:line="240" w:lineRule="auto"/>
        <w:rPr>
          <w:rFonts w:ascii="Times New Roman" w:eastAsia="Times New Roman" w:hAnsi="Times New Roman" w:cs="Times New Roman"/>
          <w:sz w:val="24"/>
          <w:szCs w:val="24"/>
        </w:rPr>
      </w:pPr>
    </w:p>
    <w:p w:rsidR="008C0F19" w:rsidRPr="001E6727" w14:paraId="5F5F5700"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 xml:space="preserve">APPLICATION FOR REHEARING </w:t>
      </w:r>
    </w:p>
    <w:p w:rsidR="00E27FDC" w:rsidRPr="001E6727" w14:paraId="18B0E142" w14:textId="417FD01A">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BY</w:t>
      </w:r>
    </w:p>
    <w:p w:rsidR="00E27FDC" w:rsidRPr="001E6727" w14:paraId="54BE5F2B"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OFFICE OF THE OHIO CONSUMERS’ COUNSEL</w:t>
      </w:r>
    </w:p>
    <w:p w:rsidR="00E27FDC" w:rsidRPr="001E6727" w14:paraId="2655C552" w14:textId="77777777">
      <w:pPr>
        <w:pBdr>
          <w:bottom w:val="single" w:sz="12" w:space="1" w:color="auto"/>
        </w:pBdr>
        <w:spacing w:after="0" w:line="240" w:lineRule="auto"/>
        <w:rPr>
          <w:rFonts w:ascii="Times New Roman" w:eastAsia="Times New Roman" w:hAnsi="Times New Roman" w:cs="Times New Roman"/>
          <w:sz w:val="24"/>
          <w:szCs w:val="24"/>
        </w:rPr>
      </w:pPr>
    </w:p>
    <w:p w:rsidR="00E27FDC" w:rsidRPr="001E6727" w14:paraId="437FA651" w14:textId="77777777">
      <w:pPr>
        <w:spacing w:after="0" w:line="240" w:lineRule="auto"/>
        <w:rPr>
          <w:rFonts w:ascii="Times New Roman" w:eastAsia="Times New Roman" w:hAnsi="Times New Roman" w:cs="Times New Roman"/>
          <w:sz w:val="24"/>
          <w:szCs w:val="24"/>
        </w:rPr>
      </w:pPr>
    </w:p>
    <w:p w:rsidR="00E27FDC" w:rsidRPr="001E6727" w14:paraId="131C4EDD" w14:textId="77777777">
      <w:pPr>
        <w:kinsoku w:val="0"/>
        <w:overflowPunct w:val="0"/>
        <w:autoSpaceDE w:val="0"/>
        <w:autoSpaceDN w:val="0"/>
        <w:adjustRightInd w:val="0"/>
        <w:spacing w:before="1" w:after="0" w:line="240" w:lineRule="auto"/>
        <w:jc w:val="center"/>
        <w:rPr>
          <w:rFonts w:ascii="Times New Roman" w:hAnsi="Times New Roman" w:cs="Times New Roman"/>
          <w:b/>
          <w:bCs/>
          <w:sz w:val="24"/>
          <w:szCs w:val="24"/>
        </w:rPr>
      </w:pPr>
    </w:p>
    <w:p w:rsidR="00C03D85" w14:paraId="5C4BA22F" w14:textId="77777777">
      <w:pPr>
        <w:spacing w:after="0" w:line="240" w:lineRule="auto"/>
        <w:ind w:left="4507"/>
        <w:contextualSpacing/>
        <w:rPr>
          <w:rFonts w:ascii="Times New Roman" w:eastAsia="Times New Roman" w:hAnsi="Times New Roman" w:cs="Times New Roman"/>
          <w:sz w:val="24"/>
          <w:szCs w:val="24"/>
        </w:rPr>
      </w:pPr>
    </w:p>
    <w:p w:rsidR="00C03D85" w14:paraId="10A86F68" w14:textId="77777777">
      <w:pPr>
        <w:spacing w:after="0" w:line="240" w:lineRule="auto"/>
        <w:ind w:left="4507"/>
        <w:contextualSpacing/>
        <w:rPr>
          <w:rFonts w:ascii="Times New Roman" w:eastAsia="Times New Roman" w:hAnsi="Times New Roman" w:cs="Times New Roman"/>
          <w:sz w:val="24"/>
          <w:szCs w:val="24"/>
        </w:rPr>
      </w:pPr>
    </w:p>
    <w:p w:rsidR="00543507" w:rsidRPr="001E6727" w14:paraId="55A22C3B" w14:textId="5C99BB04">
      <w:pPr>
        <w:spacing w:after="0" w:line="240" w:lineRule="auto"/>
        <w:ind w:left="4507"/>
        <w:contextualSpacing/>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Maureen R. Willis (0020847)</w:t>
      </w:r>
    </w:p>
    <w:p w:rsidR="00E27FDC" w:rsidRPr="001E6727" w14:paraId="638CB404" w14:textId="6F316951">
      <w:pPr>
        <w:spacing w:after="0" w:line="240" w:lineRule="auto"/>
        <w:ind w:left="4507"/>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Ohio Consumers’ Counsel</w:t>
      </w:r>
    </w:p>
    <w:p w:rsidR="00E27FDC" w:rsidRPr="001E6727" w14:paraId="27E2DDAA" w14:textId="77777777">
      <w:pPr>
        <w:spacing w:after="0" w:line="240" w:lineRule="auto"/>
        <w:ind w:left="4507"/>
        <w:contextualSpacing/>
        <w:rPr>
          <w:rFonts w:ascii="Times New Roman" w:eastAsia="Calibri" w:hAnsi="Times New Roman" w:cs="Times New Roman"/>
          <w:sz w:val="24"/>
          <w:szCs w:val="24"/>
        </w:rPr>
      </w:pPr>
    </w:p>
    <w:p w:rsidR="00E27FDC" w:rsidRPr="001E6727" w14:paraId="455E7EED" w14:textId="77777777">
      <w:pPr>
        <w:spacing w:after="0" w:line="240" w:lineRule="auto"/>
        <w:ind w:left="4507"/>
        <w:contextualSpacing/>
        <w:rPr>
          <w:rFonts w:ascii="Times New Roman" w:eastAsia="Calibri" w:hAnsi="Times New Roman" w:cs="Times New Roman"/>
          <w:sz w:val="24"/>
          <w:szCs w:val="24"/>
        </w:rPr>
      </w:pPr>
      <w:r w:rsidRPr="001E6727">
        <w:rPr>
          <w:rFonts w:ascii="Times New Roman" w:eastAsia="Times New Roman" w:hAnsi="Times New Roman" w:cs="Times New Roman"/>
          <w:sz w:val="24"/>
          <w:szCs w:val="24"/>
        </w:rPr>
        <w:t>Angela D. O’Brien (0097579)</w:t>
      </w:r>
    </w:p>
    <w:p w:rsidR="00E27FDC" w:rsidRPr="001E6727" w14:paraId="55381E77" w14:textId="77777777">
      <w:pPr>
        <w:spacing w:after="0" w:line="240" w:lineRule="auto"/>
        <w:ind w:left="4507"/>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Counsel of Record</w:t>
      </w:r>
    </w:p>
    <w:p w:rsidR="003B4461" w:rsidRPr="001E6727" w14:paraId="782FB30F" w14:textId="562B7C3F">
      <w:pPr>
        <w:spacing w:after="0" w:line="240" w:lineRule="auto"/>
        <w:ind w:left="4507"/>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Deputy Consumers’ Counsel</w:t>
      </w:r>
    </w:p>
    <w:p w:rsidR="00E27FDC" w:rsidRPr="001E6727" w14:paraId="64F5A94C" w14:textId="77777777">
      <w:pPr>
        <w:spacing w:after="0" w:line="240" w:lineRule="auto"/>
        <w:ind w:left="4507"/>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John Finnigan (0018689)</w:t>
      </w:r>
    </w:p>
    <w:p w:rsidR="00E27FDC" w:rsidRPr="001E6727" w14:paraId="3F6CC24B" w14:textId="77777777">
      <w:pPr>
        <w:spacing w:after="0" w:line="240" w:lineRule="auto"/>
        <w:ind w:left="4507"/>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Assistant Consumers’ Counsel</w:t>
      </w:r>
    </w:p>
    <w:p w:rsidR="00E27FDC" w:rsidRPr="001E6727" w14:paraId="4A66907C" w14:textId="77777777">
      <w:pPr>
        <w:tabs>
          <w:tab w:val="left" w:pos="4320"/>
        </w:tabs>
        <w:spacing w:after="0" w:line="240" w:lineRule="auto"/>
        <w:ind w:left="4507"/>
        <w:rPr>
          <w:rFonts w:ascii="Times New Roman" w:eastAsia="Times New Roman" w:hAnsi="Times New Roman" w:cs="Times New Roman"/>
          <w:b/>
          <w:sz w:val="24"/>
          <w:szCs w:val="24"/>
        </w:rPr>
      </w:pPr>
    </w:p>
    <w:p w:rsidR="00E27FDC" w:rsidRPr="001E6727" w14:paraId="5BC1CBB2" w14:textId="77777777">
      <w:pPr>
        <w:tabs>
          <w:tab w:val="left" w:pos="4320"/>
        </w:tabs>
        <w:spacing w:after="0" w:line="240" w:lineRule="auto"/>
        <w:ind w:left="4507"/>
        <w:rPr>
          <w:rFonts w:ascii="Times New Roman" w:eastAsia="Times New Roman" w:hAnsi="Times New Roman" w:cs="Times New Roman"/>
          <w:b/>
          <w:bCs/>
          <w:sz w:val="24"/>
          <w:szCs w:val="24"/>
        </w:rPr>
      </w:pPr>
      <w:r w:rsidRPr="001E6727">
        <w:rPr>
          <w:rFonts w:ascii="Times New Roman" w:eastAsia="Times New Roman" w:hAnsi="Times New Roman" w:cs="Times New Roman"/>
          <w:b/>
          <w:sz w:val="24"/>
          <w:szCs w:val="24"/>
        </w:rPr>
        <w:t>Office of the Ohio Consumers’ Counsel</w:t>
      </w:r>
    </w:p>
    <w:p w:rsidR="00E27FDC" w:rsidRPr="001E6727" w14:paraId="34B06606" w14:textId="77777777">
      <w:pPr>
        <w:spacing w:after="0" w:line="240" w:lineRule="auto"/>
        <w:ind w:left="4507"/>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65 East State Street, Suite 700</w:t>
      </w:r>
    </w:p>
    <w:p w:rsidR="00E27FDC" w:rsidRPr="001E6727" w14:paraId="6E46BF68" w14:textId="77777777">
      <w:pPr>
        <w:spacing w:after="0" w:line="240" w:lineRule="auto"/>
        <w:ind w:left="4507"/>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Columbus, Ohio 43215</w:t>
      </w:r>
    </w:p>
    <w:p w:rsidR="00E27FDC" w:rsidRPr="001E6727" w14:paraId="2B29E0B5" w14:textId="77777777">
      <w:pPr>
        <w:spacing w:after="0" w:line="240" w:lineRule="auto"/>
        <w:ind w:left="4507"/>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Telephone [O’Brien]: (614) 466-9531</w:t>
      </w:r>
    </w:p>
    <w:p w:rsidR="00E27FDC" w:rsidRPr="001E6727" w14:paraId="009E5733" w14:textId="77777777">
      <w:pPr>
        <w:autoSpaceDE w:val="0"/>
        <w:autoSpaceDN w:val="0"/>
        <w:adjustRightInd w:val="0"/>
        <w:spacing w:after="0" w:line="240" w:lineRule="auto"/>
        <w:ind w:left="4507"/>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Telephone [Finnigan]: (614) 466-9585</w:t>
      </w:r>
    </w:p>
    <w:p w:rsidR="00E27FDC" w:rsidRPr="001E6727" w14:paraId="5583F207" w14:textId="77777777">
      <w:pPr>
        <w:autoSpaceDE w:val="0"/>
        <w:autoSpaceDN w:val="0"/>
        <w:adjustRightInd w:val="0"/>
        <w:spacing w:after="0" w:line="240" w:lineRule="auto"/>
        <w:ind w:left="4507"/>
        <w:contextualSpacing/>
        <w:rPr>
          <w:rFonts w:ascii="Times New Roman" w:eastAsia="Calibri" w:hAnsi="Times New Roman" w:cs="Times New Roman"/>
          <w:color w:val="0000FF"/>
          <w:sz w:val="24"/>
          <w:szCs w:val="24"/>
        </w:rPr>
      </w:pPr>
      <w:hyperlink r:id="rId6" w:history="1">
        <w:r w:rsidRPr="001E6727" w:rsidR="00FE4662">
          <w:rPr>
            <w:rStyle w:val="Hyperlink"/>
            <w:rFonts w:ascii="Times New Roman" w:eastAsia="Calibri" w:hAnsi="Times New Roman" w:cs="Times New Roman"/>
            <w:color w:val="0000FF"/>
            <w:sz w:val="24"/>
            <w:szCs w:val="24"/>
          </w:rPr>
          <w:t>angela.obrien@occ.ohio.gov</w:t>
        </w:r>
      </w:hyperlink>
    </w:p>
    <w:p w:rsidR="00E27FDC" w:rsidRPr="001E6727" w14:paraId="41E8E0B8" w14:textId="77777777">
      <w:pPr>
        <w:autoSpaceDE w:val="0"/>
        <w:autoSpaceDN w:val="0"/>
        <w:adjustRightInd w:val="0"/>
        <w:spacing w:after="0" w:line="240" w:lineRule="auto"/>
        <w:ind w:left="4507"/>
        <w:contextualSpacing/>
        <w:rPr>
          <w:rFonts w:ascii="Times New Roman" w:eastAsia="Calibri" w:hAnsi="Times New Roman" w:cs="Times New Roman"/>
          <w:color w:val="0000FF"/>
          <w:sz w:val="24"/>
          <w:szCs w:val="24"/>
        </w:rPr>
      </w:pPr>
      <w:hyperlink r:id="rId7" w:history="1">
        <w:r w:rsidRPr="001E6727" w:rsidR="00FE4662">
          <w:rPr>
            <w:rStyle w:val="Hyperlink"/>
            <w:rFonts w:ascii="Times New Roman" w:eastAsia="Calibri" w:hAnsi="Times New Roman" w:cs="Times New Roman"/>
            <w:color w:val="0000FF"/>
            <w:sz w:val="24"/>
            <w:szCs w:val="24"/>
          </w:rPr>
          <w:t>john.finnigan@occ.ohio.gov</w:t>
        </w:r>
      </w:hyperlink>
    </w:p>
    <w:p w:rsidR="00E27FDC" w:rsidP="00DB2C25" w14:paraId="144DAC6B" w14:textId="77777777">
      <w:pPr>
        <w:spacing w:after="0" w:line="240" w:lineRule="auto"/>
        <w:ind w:left="4500" w:hanging="4500"/>
        <w:rPr>
          <w:rFonts w:ascii="Times New Roman" w:hAnsi="Times New Roman" w:cs="Times New Roman"/>
          <w:sz w:val="24"/>
          <w:szCs w:val="24"/>
        </w:rPr>
      </w:pPr>
      <w:r w:rsidRPr="001E6727">
        <w:rPr>
          <w:rFonts w:ascii="Times New Roman" w:hAnsi="Times New Roman" w:cs="Times New Roman"/>
          <w:sz w:val="24"/>
          <w:szCs w:val="24"/>
        </w:rPr>
        <w:tab/>
        <w:t>(willing to accept service by e-mail)</w:t>
      </w:r>
    </w:p>
    <w:p w:rsidR="00C03D85" w:rsidP="00DB2C25" w14:paraId="5852FE82" w14:textId="77777777">
      <w:pPr>
        <w:spacing w:after="0" w:line="240" w:lineRule="auto"/>
        <w:ind w:left="4500" w:hanging="4500"/>
        <w:rPr>
          <w:rFonts w:ascii="Times New Roman" w:hAnsi="Times New Roman" w:cs="Times New Roman"/>
          <w:sz w:val="24"/>
          <w:szCs w:val="24"/>
        </w:rPr>
      </w:pPr>
    </w:p>
    <w:p w:rsidR="00C03D85" w:rsidP="00DB2C25" w14:paraId="641018DB" w14:textId="77777777">
      <w:pPr>
        <w:spacing w:after="0" w:line="240" w:lineRule="auto"/>
        <w:ind w:left="4500" w:hanging="4500"/>
        <w:rPr>
          <w:rFonts w:ascii="Times New Roman" w:hAnsi="Times New Roman" w:cs="Times New Roman"/>
          <w:sz w:val="24"/>
          <w:szCs w:val="24"/>
        </w:rPr>
      </w:pPr>
    </w:p>
    <w:p w:rsidR="00C03D85" w:rsidP="00DB2C25" w14:paraId="20023F9B" w14:textId="77777777">
      <w:pPr>
        <w:spacing w:after="0" w:line="240" w:lineRule="auto"/>
        <w:ind w:left="4500" w:hanging="4500"/>
        <w:rPr>
          <w:rFonts w:ascii="Times New Roman" w:hAnsi="Times New Roman" w:cs="Times New Roman"/>
          <w:sz w:val="24"/>
          <w:szCs w:val="24"/>
        </w:rPr>
      </w:pPr>
    </w:p>
    <w:p w:rsidR="00C03D85" w:rsidP="00DB2C25" w14:paraId="1B137982" w14:textId="77777777">
      <w:pPr>
        <w:spacing w:after="0" w:line="240" w:lineRule="auto"/>
        <w:ind w:left="4500" w:hanging="4500"/>
        <w:rPr>
          <w:rFonts w:ascii="Times New Roman" w:hAnsi="Times New Roman" w:cs="Times New Roman"/>
          <w:sz w:val="24"/>
          <w:szCs w:val="24"/>
        </w:rPr>
      </w:pPr>
    </w:p>
    <w:p w:rsidR="00C03D85" w:rsidP="00DB2C25" w14:paraId="28D244F7" w14:textId="77777777">
      <w:pPr>
        <w:spacing w:after="0" w:line="240" w:lineRule="auto"/>
        <w:ind w:left="4500" w:hanging="4500"/>
        <w:rPr>
          <w:rFonts w:ascii="Times New Roman" w:hAnsi="Times New Roman" w:cs="Times New Roman"/>
          <w:sz w:val="24"/>
          <w:szCs w:val="24"/>
        </w:rPr>
      </w:pPr>
    </w:p>
    <w:p w:rsidR="00C03D85" w:rsidP="00DB2C25" w14:paraId="674E0BBC" w14:textId="77777777">
      <w:pPr>
        <w:spacing w:after="0" w:line="240" w:lineRule="auto"/>
        <w:ind w:left="4500" w:hanging="4500"/>
        <w:rPr>
          <w:rFonts w:ascii="Times New Roman" w:hAnsi="Times New Roman" w:cs="Times New Roman"/>
          <w:sz w:val="24"/>
          <w:szCs w:val="24"/>
        </w:rPr>
      </w:pPr>
    </w:p>
    <w:p w:rsidR="00C03D85" w:rsidP="00DB2C25" w14:paraId="04E30099" w14:textId="77777777">
      <w:pPr>
        <w:spacing w:after="0" w:line="240" w:lineRule="auto"/>
        <w:ind w:left="4500" w:hanging="4500"/>
        <w:rPr>
          <w:rFonts w:ascii="Times New Roman" w:hAnsi="Times New Roman" w:cs="Times New Roman"/>
          <w:sz w:val="24"/>
          <w:szCs w:val="24"/>
        </w:rPr>
      </w:pPr>
    </w:p>
    <w:p w:rsidR="00C03D85" w:rsidRPr="001E6727" w:rsidP="00DB2C25" w14:paraId="0FA0DC67" w14:textId="139AA794">
      <w:pPr>
        <w:spacing w:after="0" w:line="240" w:lineRule="auto"/>
        <w:ind w:left="4500" w:hanging="4500"/>
        <w:rPr>
          <w:rFonts w:ascii="Times New Roman" w:hAnsi="Times New Roman" w:cs="Times New Roman"/>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1E6727">
        <w:rPr>
          <w:rFonts w:ascii="Times New Roman" w:hAnsi="Times New Roman" w:cs="Times New Roman"/>
          <w:sz w:val="24"/>
          <w:szCs w:val="24"/>
        </w:rPr>
        <w:t>October 6, 2023</w:t>
      </w:r>
    </w:p>
    <w:p w:rsidR="00E27FDC" w:rsidRPr="001E6727" w14:paraId="5850ABA4"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BEFORE</w:t>
      </w:r>
    </w:p>
    <w:p w:rsidR="00E27FDC" w:rsidRPr="001E6727" w14:paraId="29D5853A"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THE PUBLIC UTILITIES COMMISSION OF OHIO</w:t>
      </w:r>
    </w:p>
    <w:p w:rsidR="00E27FDC" w:rsidRPr="001E6727" w14:paraId="7F64C2F4" w14:textId="77777777">
      <w:pPr>
        <w:spacing w:after="0" w:line="240" w:lineRule="auto"/>
        <w:rPr>
          <w:rFonts w:ascii="Times New Roman" w:eastAsia="Times New Roman" w:hAnsi="Times New Roman" w:cs="Times New Roman"/>
          <w:sz w:val="24"/>
          <w:szCs w:val="24"/>
        </w:rPr>
      </w:pPr>
    </w:p>
    <w:tbl>
      <w:tblPr>
        <w:tblW w:w="9450" w:type="dxa"/>
        <w:tblLook w:val="01E0"/>
      </w:tblPr>
      <w:tblGrid>
        <w:gridCol w:w="4230"/>
        <w:gridCol w:w="540"/>
        <w:gridCol w:w="4680"/>
      </w:tblGrid>
      <w:tr w14:paraId="4E38CF13" w14:textId="77777777">
        <w:tblPrEx>
          <w:tblW w:w="9450" w:type="dxa"/>
          <w:tblLook w:val="01E0"/>
        </w:tblPrEx>
        <w:trPr>
          <w:trHeight w:val="807"/>
        </w:trPr>
        <w:tc>
          <w:tcPr>
            <w:tcW w:w="4230" w:type="dxa"/>
            <w:shd w:val="clear" w:color="auto" w:fill="auto"/>
          </w:tcPr>
          <w:p w:rsidR="00E27FDC" w:rsidRPr="001E6727" w14:paraId="579816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In the Matter of the Review of the Reconciliation Rider of Duke Energy Ohio, Inc.</w:t>
            </w:r>
          </w:p>
        </w:tc>
        <w:tc>
          <w:tcPr>
            <w:tcW w:w="540" w:type="dxa"/>
            <w:shd w:val="clear" w:color="auto" w:fill="auto"/>
          </w:tcPr>
          <w:p w:rsidR="00E27FDC" w:rsidRPr="001E6727" w14:paraId="009F7E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E27FDC" w:rsidRPr="001E6727" w14:paraId="01BD1B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E27FDC" w:rsidRPr="001E6727" w14:paraId="4ED4DA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tc>
        <w:tc>
          <w:tcPr>
            <w:tcW w:w="4680" w:type="dxa"/>
            <w:shd w:val="clear" w:color="auto" w:fill="auto"/>
          </w:tcPr>
          <w:p w:rsidR="00E27FDC" w:rsidRPr="001E6727" w14:paraId="56DFFB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7FDC" w:rsidRPr="001E6727" w14:paraId="69C2DB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 xml:space="preserve"> Case No. 20-167-EL-RDR</w:t>
            </w:r>
          </w:p>
          <w:p w:rsidR="00E27FDC" w:rsidRPr="001E6727" w14:paraId="735CE7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7FDC" w:rsidRPr="001E6727" w14:paraId="746CDD0C" w14:textId="77777777">
      <w:pPr>
        <w:spacing w:after="0" w:line="240" w:lineRule="auto"/>
        <w:rPr>
          <w:rFonts w:ascii="Times New Roman" w:eastAsia="Times New Roman" w:hAnsi="Times New Roman" w:cs="Times New Roman"/>
          <w:sz w:val="24"/>
          <w:szCs w:val="24"/>
        </w:rPr>
      </w:pPr>
    </w:p>
    <w:p w:rsidR="00E27FDC" w:rsidRPr="001E6727" w14:paraId="0F690AB3" w14:textId="77777777">
      <w:pPr>
        <w:pBdr>
          <w:top w:val="single" w:sz="12" w:space="1" w:color="auto"/>
        </w:pBdr>
        <w:spacing w:after="0" w:line="240" w:lineRule="auto"/>
        <w:rPr>
          <w:rFonts w:ascii="Times New Roman" w:eastAsia="Times New Roman" w:hAnsi="Times New Roman" w:cs="Times New Roman"/>
          <w:sz w:val="24"/>
          <w:szCs w:val="24"/>
        </w:rPr>
      </w:pPr>
    </w:p>
    <w:p w:rsidR="00A2640C" w:rsidRPr="001E6727" w:rsidP="00A2640C" w14:paraId="7A169B94"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 xml:space="preserve">APPLICATION FOR REHEARING </w:t>
      </w:r>
    </w:p>
    <w:p w:rsidR="00E27FDC" w:rsidRPr="001E6727" w14:paraId="74D59087"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BY</w:t>
      </w:r>
    </w:p>
    <w:p w:rsidR="00E27FDC" w:rsidRPr="001E6727" w14:paraId="40168DCB"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OFFICE OF THE OHIO CONSUMERS’ COUNSEL</w:t>
      </w:r>
    </w:p>
    <w:p w:rsidR="00E27FDC" w:rsidRPr="001E6727" w14:paraId="3C4A7D3D" w14:textId="77777777">
      <w:pPr>
        <w:pBdr>
          <w:bottom w:val="single" w:sz="12" w:space="1" w:color="auto"/>
        </w:pBdr>
        <w:spacing w:after="0" w:line="240" w:lineRule="auto"/>
        <w:rPr>
          <w:rFonts w:ascii="Times New Roman" w:eastAsia="Times New Roman" w:hAnsi="Times New Roman" w:cs="Times New Roman"/>
          <w:sz w:val="24"/>
          <w:szCs w:val="24"/>
        </w:rPr>
      </w:pPr>
    </w:p>
    <w:p w:rsidR="00E27FDC" w:rsidRPr="001E6727" w14:paraId="10B3547F" w14:textId="77777777">
      <w:pPr>
        <w:kinsoku w:val="0"/>
        <w:overflowPunct w:val="0"/>
        <w:autoSpaceDE w:val="0"/>
        <w:autoSpaceDN w:val="0"/>
        <w:adjustRightInd w:val="0"/>
        <w:spacing w:before="1" w:after="0" w:line="240" w:lineRule="auto"/>
        <w:rPr>
          <w:rFonts w:ascii="Times New Roman" w:hAnsi="Times New Roman" w:cs="Times New Roman"/>
          <w:b/>
          <w:bCs/>
          <w:sz w:val="24"/>
          <w:szCs w:val="24"/>
        </w:rPr>
      </w:pPr>
    </w:p>
    <w:p w:rsidR="00B63194" w:rsidRPr="001E6727" w:rsidP="008936E6" w14:paraId="6FA1EA18" w14:textId="545102D7">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On September 6, 2023, the Public Utilities Commission of Ohio (“PUCO”) issued an order that permits Duke Energy Ohio (“Duke”) to keep </w:t>
      </w:r>
      <w:r w:rsidRPr="001E6727" w:rsidR="00785D97">
        <w:rPr>
          <w:rFonts w:ascii="Times New Roman" w:hAnsi="Times New Roman" w:eastAsiaTheme="minorEastAsia" w:cs="Times New Roman"/>
          <w:sz w:val="24"/>
          <w:szCs w:val="24"/>
        </w:rPr>
        <w:t>$24.6 million</w:t>
      </w:r>
      <w:r>
        <w:rPr>
          <w:rStyle w:val="FootnoteReference"/>
          <w:rFonts w:ascii="Times New Roman" w:hAnsi="Times New Roman" w:eastAsiaTheme="minorEastAsia" w:cs="Times New Roman"/>
          <w:sz w:val="24"/>
          <w:szCs w:val="24"/>
        </w:rPr>
        <w:footnoteReference w:id="2"/>
      </w:r>
      <w:r w:rsidRPr="001E6727" w:rsidR="00785D97">
        <w:rPr>
          <w:rFonts w:ascii="Times New Roman" w:hAnsi="Times New Roman" w:eastAsiaTheme="minorEastAsia" w:cs="Times New Roman"/>
          <w:sz w:val="24"/>
          <w:szCs w:val="24"/>
        </w:rPr>
        <w:t xml:space="preserve"> in above-market energy prices charged to consumers in order to operate two </w:t>
      </w:r>
      <w:r w:rsidRPr="001E6727" w:rsidR="0054426A">
        <w:rPr>
          <w:rFonts w:ascii="Times New Roman" w:hAnsi="Times New Roman" w:eastAsiaTheme="minorEastAsia" w:cs="Times New Roman"/>
          <w:sz w:val="24"/>
          <w:szCs w:val="24"/>
        </w:rPr>
        <w:t xml:space="preserve">dirty </w:t>
      </w:r>
      <w:r w:rsidRPr="001E6727" w:rsidR="00785D97">
        <w:rPr>
          <w:rFonts w:ascii="Times New Roman" w:hAnsi="Times New Roman" w:eastAsiaTheme="minorEastAsia" w:cs="Times New Roman"/>
          <w:sz w:val="24"/>
          <w:szCs w:val="24"/>
        </w:rPr>
        <w:t xml:space="preserve">old coal plants located in </w:t>
      </w:r>
      <w:r w:rsidRPr="001E6727" w:rsidR="0054426A">
        <w:rPr>
          <w:rFonts w:ascii="Times New Roman" w:hAnsi="Times New Roman" w:eastAsiaTheme="minorEastAsia" w:cs="Times New Roman"/>
          <w:sz w:val="24"/>
          <w:szCs w:val="24"/>
        </w:rPr>
        <w:t>Ohio and Indiana</w:t>
      </w:r>
      <w:r w:rsidRPr="001E6727" w:rsidR="00785D97">
        <w:rPr>
          <w:rFonts w:ascii="Times New Roman" w:hAnsi="Times New Roman" w:eastAsiaTheme="minorEastAsia" w:cs="Times New Roman"/>
          <w:sz w:val="24"/>
          <w:szCs w:val="24"/>
        </w:rPr>
        <w:t>.</w:t>
      </w:r>
      <w:r w:rsidRPr="001E6727" w:rsidR="0054426A">
        <w:rPr>
          <w:rFonts w:ascii="Times New Roman" w:hAnsi="Times New Roman" w:eastAsiaTheme="minorEastAsia" w:cs="Times New Roman"/>
          <w:sz w:val="24"/>
          <w:szCs w:val="24"/>
        </w:rPr>
        <w:t xml:space="preserve"> The coal plants are owned by the Ohio Valley Electric Corporation (“OVEC”), which Duke </w:t>
      </w:r>
      <w:r w:rsidRPr="001E6727" w:rsidR="00F55E88">
        <w:rPr>
          <w:rFonts w:ascii="Times New Roman" w:hAnsi="Times New Roman" w:eastAsiaTheme="minorEastAsia" w:cs="Times New Roman"/>
          <w:sz w:val="24"/>
          <w:szCs w:val="24"/>
        </w:rPr>
        <w:t>owns</w:t>
      </w:r>
      <w:r w:rsidRPr="001E6727" w:rsidR="00033301">
        <w:rPr>
          <w:rFonts w:ascii="Times New Roman" w:hAnsi="Times New Roman" w:eastAsiaTheme="minorEastAsia" w:cs="Times New Roman"/>
          <w:sz w:val="24"/>
          <w:szCs w:val="24"/>
        </w:rPr>
        <w:t xml:space="preserve"> along</w:t>
      </w:r>
      <w:r w:rsidRPr="001E6727" w:rsidR="00F55E88">
        <w:rPr>
          <w:rFonts w:ascii="Times New Roman" w:hAnsi="Times New Roman" w:eastAsiaTheme="minorEastAsia" w:cs="Times New Roman"/>
          <w:sz w:val="24"/>
          <w:szCs w:val="24"/>
        </w:rPr>
        <w:t xml:space="preserve"> with</w:t>
      </w:r>
      <w:r w:rsidRPr="001E6727" w:rsidR="0054426A">
        <w:rPr>
          <w:rFonts w:ascii="Times New Roman" w:hAnsi="Times New Roman" w:eastAsiaTheme="minorEastAsia" w:cs="Times New Roman"/>
          <w:sz w:val="24"/>
          <w:szCs w:val="24"/>
        </w:rPr>
        <w:t xml:space="preserve"> other  </w:t>
      </w:r>
      <w:r w:rsidRPr="001E6727" w:rsidR="00F55E88">
        <w:rPr>
          <w:rFonts w:ascii="Times New Roman" w:hAnsi="Times New Roman" w:eastAsiaTheme="minorEastAsia" w:cs="Times New Roman"/>
          <w:sz w:val="24"/>
          <w:szCs w:val="24"/>
        </w:rPr>
        <w:t xml:space="preserve">electric </w:t>
      </w:r>
      <w:r w:rsidRPr="001E6727" w:rsidR="0054426A">
        <w:rPr>
          <w:rFonts w:ascii="Times New Roman" w:hAnsi="Times New Roman" w:eastAsiaTheme="minorEastAsia" w:cs="Times New Roman"/>
          <w:sz w:val="24"/>
          <w:szCs w:val="24"/>
        </w:rPr>
        <w:t>utilities</w:t>
      </w:r>
      <w:r w:rsidR="00B022A7">
        <w:rPr>
          <w:rFonts w:ascii="Times New Roman" w:hAnsi="Times New Roman" w:eastAsiaTheme="minorEastAsia" w:cs="Times New Roman"/>
          <w:sz w:val="24"/>
          <w:szCs w:val="24"/>
        </w:rPr>
        <w:t xml:space="preserve"> and electric cooperatives</w:t>
      </w:r>
      <w:r w:rsidRPr="001E6727" w:rsidR="0054426A">
        <w:rPr>
          <w:rFonts w:ascii="Times New Roman" w:hAnsi="Times New Roman" w:eastAsiaTheme="minorEastAsia" w:cs="Times New Roman"/>
          <w:sz w:val="24"/>
          <w:szCs w:val="24"/>
        </w:rPr>
        <w:t>.</w:t>
      </w:r>
      <w:r w:rsidR="009A41AD">
        <w:rPr>
          <w:rFonts w:ascii="Times New Roman" w:hAnsi="Times New Roman" w:eastAsiaTheme="minorEastAsia" w:cs="Times New Roman"/>
          <w:sz w:val="24"/>
          <w:szCs w:val="24"/>
        </w:rPr>
        <w:t xml:space="preserve"> </w:t>
      </w:r>
      <w:r w:rsidRPr="001E6727" w:rsidR="008936E6">
        <w:rPr>
          <w:rFonts w:ascii="Times New Roman" w:hAnsi="Times New Roman" w:eastAsiaTheme="minorEastAsia" w:cs="Times New Roman"/>
          <w:sz w:val="24"/>
          <w:szCs w:val="24"/>
        </w:rPr>
        <w:t xml:space="preserve">The Office of the Ohio Consumers’ Counsel (“OCC”) files this Application for Rehearing to protect over 700,000 Duke residential consumers </w:t>
      </w:r>
      <w:r w:rsidRPr="001E6727" w:rsidR="00E45715">
        <w:rPr>
          <w:rFonts w:ascii="Times New Roman" w:hAnsi="Times New Roman" w:eastAsiaTheme="minorEastAsia" w:cs="Times New Roman"/>
          <w:sz w:val="24"/>
          <w:szCs w:val="24"/>
        </w:rPr>
        <w:t xml:space="preserve">who </w:t>
      </w:r>
      <w:r w:rsidRPr="001E6727" w:rsidR="00785D97">
        <w:rPr>
          <w:rFonts w:ascii="Times New Roman" w:hAnsi="Times New Roman" w:eastAsiaTheme="minorEastAsia" w:cs="Times New Roman"/>
          <w:sz w:val="24"/>
          <w:szCs w:val="24"/>
        </w:rPr>
        <w:t>were overcharged by Duke through</w:t>
      </w:r>
      <w:r w:rsidRPr="001E6727" w:rsidR="0052754E">
        <w:rPr>
          <w:rFonts w:ascii="Times New Roman" w:hAnsi="Times New Roman" w:eastAsiaTheme="minorEastAsia" w:cs="Times New Roman"/>
          <w:sz w:val="24"/>
          <w:szCs w:val="24"/>
        </w:rPr>
        <w:t xml:space="preserve"> a so-called “Price Stabilization Rider” approved by the PUCO.</w:t>
      </w:r>
      <w:r w:rsidR="009A41AD">
        <w:rPr>
          <w:rFonts w:ascii="Times New Roman" w:hAnsi="Times New Roman" w:eastAsiaTheme="minorEastAsia" w:cs="Times New Roman"/>
          <w:sz w:val="24"/>
          <w:szCs w:val="24"/>
        </w:rPr>
        <w:t xml:space="preserve"> </w:t>
      </w:r>
    </w:p>
    <w:p w:rsidR="00AB2FB5" w:rsidP="00F768EE" w14:paraId="57FC8E8D" w14:textId="3AB31554">
      <w:pPr>
        <w:spacing w:after="0" w:line="480" w:lineRule="auto"/>
        <w:ind w:firstLine="720"/>
        <w:rPr>
          <w:rFonts w:ascii="Times New Roman" w:hAnsi="Times New Roman" w:cs="Times New Roman"/>
          <w:sz w:val="24"/>
          <w:szCs w:val="24"/>
        </w:rPr>
      </w:pPr>
      <w:r w:rsidRPr="001E6727">
        <w:rPr>
          <w:rFonts w:ascii="Times New Roman" w:hAnsi="Times New Roman" w:eastAsiaTheme="minorEastAsia" w:cs="Times New Roman"/>
          <w:sz w:val="24"/>
          <w:szCs w:val="24"/>
        </w:rPr>
        <w:t>The PUCO</w:t>
      </w:r>
      <w:r w:rsidRPr="001E6727" w:rsidR="0054426A">
        <w:rPr>
          <w:rFonts w:ascii="Times New Roman" w:hAnsi="Times New Roman" w:eastAsiaTheme="minorEastAsia" w:cs="Times New Roman"/>
          <w:sz w:val="24"/>
          <w:szCs w:val="24"/>
        </w:rPr>
        <w:t xml:space="preserve"> hired </w:t>
      </w:r>
      <w:r w:rsidR="00BC058E">
        <w:rPr>
          <w:rFonts w:ascii="Times New Roman" w:hAnsi="Times New Roman" w:eastAsiaTheme="minorEastAsia" w:cs="Times New Roman"/>
          <w:sz w:val="24"/>
          <w:szCs w:val="24"/>
        </w:rPr>
        <w:t xml:space="preserve">what was purported to be an </w:t>
      </w:r>
      <w:r w:rsidRPr="001E6727" w:rsidR="0054426A">
        <w:rPr>
          <w:rFonts w:ascii="Times New Roman" w:hAnsi="Times New Roman" w:eastAsiaTheme="minorEastAsia" w:cs="Times New Roman"/>
          <w:sz w:val="24"/>
          <w:szCs w:val="24"/>
        </w:rPr>
        <w:t xml:space="preserve"> independent auditor to review Duke’s costs</w:t>
      </w:r>
      <w:r w:rsidRPr="001E6727" w:rsidR="00F55E88">
        <w:rPr>
          <w:rFonts w:ascii="Times New Roman" w:hAnsi="Times New Roman" w:eastAsiaTheme="minorEastAsia" w:cs="Times New Roman"/>
          <w:sz w:val="24"/>
          <w:szCs w:val="24"/>
        </w:rPr>
        <w:t xml:space="preserve"> of operating the OVEC plants. The Auditor</w:t>
      </w:r>
      <w:r w:rsidRPr="001E6727">
        <w:rPr>
          <w:rFonts w:ascii="Times New Roman" w:hAnsi="Times New Roman" w:eastAsiaTheme="minorEastAsia" w:cs="Times New Roman"/>
          <w:sz w:val="24"/>
          <w:szCs w:val="24"/>
        </w:rPr>
        <w:t xml:space="preserve"> </w:t>
      </w:r>
      <w:r w:rsidRPr="001E6727" w:rsidR="00F55E88">
        <w:rPr>
          <w:rFonts w:ascii="Times New Roman" w:hAnsi="Times New Roman" w:eastAsiaTheme="minorEastAsia" w:cs="Times New Roman"/>
          <w:sz w:val="24"/>
          <w:szCs w:val="24"/>
        </w:rPr>
        <w:t>stated</w:t>
      </w:r>
      <w:r w:rsidRPr="001E6727" w:rsidR="007C4351">
        <w:rPr>
          <w:rFonts w:ascii="Times New Roman" w:hAnsi="Times New Roman" w:eastAsiaTheme="minorEastAsia" w:cs="Times New Roman"/>
          <w:sz w:val="24"/>
          <w:szCs w:val="24"/>
        </w:rPr>
        <w:t xml:space="preserve"> “[t]</w:t>
      </w:r>
      <w:r w:rsidRPr="003F1007" w:rsidR="007C4351">
        <w:rPr>
          <w:rFonts w:ascii="Times New Roman" w:hAnsi="Times New Roman" w:cs="Times New Roman"/>
          <w:sz w:val="24"/>
          <w:szCs w:val="24"/>
        </w:rPr>
        <w:t xml:space="preserve">he purpose of the audit is to establish the prudency of all the costs and sales flowing through the PSR, and to investigate whether </w:t>
      </w:r>
      <w:r w:rsidRPr="001E6727" w:rsidR="00F55E88">
        <w:rPr>
          <w:rFonts w:ascii="Times New Roman" w:hAnsi="Times New Roman" w:cs="Times New Roman"/>
          <w:sz w:val="24"/>
          <w:szCs w:val="24"/>
        </w:rPr>
        <w:t>[Duke’s]</w:t>
      </w:r>
      <w:r w:rsidRPr="003F1007" w:rsidR="007C4351">
        <w:rPr>
          <w:rFonts w:ascii="Times New Roman" w:hAnsi="Times New Roman" w:cs="Times New Roman"/>
          <w:sz w:val="24"/>
          <w:szCs w:val="24"/>
        </w:rPr>
        <w:t xml:space="preserve"> actions were in the best interest of its retail ratepayers.</w:t>
      </w:r>
      <w:r w:rsidRPr="001E6727" w:rsidR="00F55E8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9A41AD">
        <w:rPr>
          <w:rFonts w:ascii="Times New Roman" w:hAnsi="Times New Roman" w:cs="Times New Roman"/>
          <w:sz w:val="24"/>
          <w:szCs w:val="24"/>
        </w:rPr>
        <w:t xml:space="preserve"> </w:t>
      </w:r>
      <w:r w:rsidRPr="001E6727" w:rsidR="004D4110">
        <w:rPr>
          <w:rFonts w:ascii="Times New Roman" w:hAnsi="Times New Roman" w:eastAsiaTheme="minorEastAsia" w:cs="Times New Roman"/>
          <w:sz w:val="24"/>
          <w:szCs w:val="24"/>
        </w:rPr>
        <w:t>Notably, however, the Auditor determined that “</w:t>
      </w:r>
      <w:r w:rsidRPr="003F1007" w:rsidR="004D4110">
        <w:rPr>
          <w:rFonts w:ascii="Times New Roman" w:hAnsi="Times New Roman" w:cs="Times New Roman"/>
          <w:sz w:val="24"/>
          <w:szCs w:val="24"/>
        </w:rPr>
        <w:t>the OVEC plants cost customers more than the cost of energy and capacity that could be bought on the PJM wholesale markets.”</w:t>
      </w:r>
      <w:r>
        <w:rPr>
          <w:rStyle w:val="FootnoteReference"/>
          <w:rFonts w:ascii="Times New Roman" w:hAnsi="Times New Roman" w:cs="Times New Roman"/>
          <w:sz w:val="24"/>
          <w:szCs w:val="24"/>
        </w:rPr>
        <w:footnoteReference w:id="4"/>
      </w:r>
      <w:r w:rsidR="006227AA">
        <w:rPr>
          <w:rFonts w:ascii="Times New Roman" w:hAnsi="Times New Roman" w:cs="Times New Roman"/>
          <w:sz w:val="24"/>
          <w:szCs w:val="24"/>
        </w:rPr>
        <w:t xml:space="preserve"> </w:t>
      </w:r>
      <w:r>
        <w:rPr>
          <w:rFonts w:ascii="Times New Roman" w:hAnsi="Times New Roman" w:cs="Times New Roman"/>
          <w:sz w:val="24"/>
          <w:szCs w:val="24"/>
        </w:rPr>
        <w:t>Remarkably, though,</w:t>
      </w:r>
      <w:r w:rsidR="006227AA">
        <w:rPr>
          <w:rFonts w:ascii="Times New Roman" w:hAnsi="Times New Roman" w:cs="Times New Roman"/>
          <w:sz w:val="24"/>
          <w:szCs w:val="24"/>
        </w:rPr>
        <w:t xml:space="preserve"> </w:t>
      </w:r>
      <w:r>
        <w:rPr>
          <w:rFonts w:ascii="Times New Roman" w:hAnsi="Times New Roman" w:cs="Times New Roman"/>
          <w:sz w:val="24"/>
          <w:szCs w:val="24"/>
        </w:rPr>
        <w:t>the Auditor found no imprudence on Duke’s part and did not recommend a disallowance.</w:t>
      </w:r>
      <w:r w:rsidR="006227AA">
        <w:rPr>
          <w:rFonts w:ascii="Times New Roman" w:hAnsi="Times New Roman" w:cs="Times New Roman"/>
          <w:sz w:val="24"/>
          <w:szCs w:val="24"/>
        </w:rPr>
        <w:t xml:space="preserve"> </w:t>
      </w:r>
      <w:r>
        <w:rPr>
          <w:rFonts w:ascii="Times New Roman" w:hAnsi="Times New Roman" w:cs="Times New Roman"/>
          <w:sz w:val="24"/>
          <w:szCs w:val="24"/>
        </w:rPr>
        <w:t xml:space="preserve">The PUCO agreed. </w:t>
      </w:r>
    </w:p>
    <w:p w:rsidR="008936E6" w:rsidRPr="001E6727" w:rsidP="00AB2FB5" w14:paraId="068A59D8" w14:textId="2654D46E">
      <w:pPr>
        <w:spacing w:after="0" w:line="480" w:lineRule="auto"/>
        <w:ind w:firstLine="720"/>
        <w:rPr>
          <w:rFonts w:ascii="Times New Roman" w:hAnsi="Times New Roman" w:eastAsiaTheme="minorEastAsia" w:cs="Times New Roman"/>
          <w:sz w:val="24"/>
          <w:szCs w:val="24"/>
        </w:rPr>
      </w:pPr>
      <w:r>
        <w:rPr>
          <w:rFonts w:ascii="Times New Roman" w:hAnsi="Times New Roman" w:cs="Times New Roman"/>
          <w:sz w:val="24"/>
          <w:szCs w:val="24"/>
        </w:rPr>
        <w:t xml:space="preserve"> But, charging for</w:t>
      </w:r>
      <w:r w:rsidR="006227AA">
        <w:rPr>
          <w:rFonts w:ascii="Times New Roman" w:hAnsi="Times New Roman" w:cs="Times New Roman"/>
          <w:sz w:val="24"/>
          <w:szCs w:val="24"/>
        </w:rPr>
        <w:t xml:space="preserve"> </w:t>
      </w:r>
      <w:r w:rsidRPr="001E6727" w:rsidR="004D4110">
        <w:rPr>
          <w:rFonts w:ascii="Times New Roman" w:hAnsi="Times New Roman" w:cs="Times New Roman"/>
          <w:sz w:val="24"/>
          <w:szCs w:val="24"/>
        </w:rPr>
        <w:t>millions</w:t>
      </w:r>
      <w:r>
        <w:rPr>
          <w:rFonts w:ascii="Times New Roman" w:hAnsi="Times New Roman" w:cs="Times New Roman"/>
          <w:sz w:val="24"/>
          <w:szCs w:val="24"/>
        </w:rPr>
        <w:t xml:space="preserve"> in above</w:t>
      </w:r>
      <w:r w:rsidR="003760BF">
        <w:rPr>
          <w:rFonts w:ascii="Times New Roman" w:hAnsi="Times New Roman" w:cs="Times New Roman"/>
          <w:sz w:val="24"/>
          <w:szCs w:val="24"/>
        </w:rPr>
        <w:t>-</w:t>
      </w:r>
      <w:r>
        <w:rPr>
          <w:rFonts w:ascii="Times New Roman" w:hAnsi="Times New Roman" w:cs="Times New Roman"/>
          <w:sz w:val="24"/>
          <w:szCs w:val="24"/>
        </w:rPr>
        <w:t>market charges to</w:t>
      </w:r>
      <w:r w:rsidR="006227AA">
        <w:rPr>
          <w:rFonts w:ascii="Times New Roman" w:hAnsi="Times New Roman" w:cs="Times New Roman"/>
          <w:sz w:val="24"/>
          <w:szCs w:val="24"/>
        </w:rPr>
        <w:t xml:space="preserve"> </w:t>
      </w:r>
      <w:r w:rsidRPr="001E6727" w:rsidR="004D4110">
        <w:rPr>
          <w:rFonts w:ascii="Times New Roman" w:hAnsi="Times New Roman" w:cs="Times New Roman"/>
          <w:sz w:val="24"/>
          <w:szCs w:val="24"/>
        </w:rPr>
        <w:t xml:space="preserve">subsidize Duke’s operation of the OVEC plants is </w:t>
      </w:r>
      <w:r w:rsidRPr="003F1007" w:rsidR="004D4110">
        <w:rPr>
          <w:rFonts w:ascii="Times New Roman" w:hAnsi="Times New Roman" w:cs="Times New Roman"/>
          <w:b/>
          <w:bCs/>
          <w:i/>
          <w:iCs/>
          <w:sz w:val="24"/>
          <w:szCs w:val="24"/>
        </w:rPr>
        <w:t>not</w:t>
      </w:r>
      <w:r w:rsidRPr="001E6727" w:rsidR="00555337">
        <w:rPr>
          <w:rFonts w:ascii="Times New Roman" w:hAnsi="Times New Roman" w:eastAsiaTheme="minorEastAsia" w:cs="Times New Roman"/>
          <w:sz w:val="24"/>
          <w:szCs w:val="24"/>
        </w:rPr>
        <w:t xml:space="preserve"> </w:t>
      </w:r>
      <w:r w:rsidRPr="001E6727" w:rsidR="004D4110">
        <w:rPr>
          <w:rFonts w:ascii="Times New Roman" w:hAnsi="Times New Roman" w:eastAsiaTheme="minorEastAsia" w:cs="Times New Roman"/>
          <w:sz w:val="24"/>
          <w:szCs w:val="24"/>
        </w:rPr>
        <w:t xml:space="preserve">in the best interest of consumers. </w:t>
      </w:r>
      <w:r>
        <w:rPr>
          <w:rFonts w:ascii="Times New Roman" w:hAnsi="Times New Roman" w:eastAsiaTheme="minorEastAsia" w:cs="Times New Roman"/>
          <w:sz w:val="24"/>
          <w:szCs w:val="24"/>
        </w:rPr>
        <w:t>Accordingly, =t</w:t>
      </w:r>
      <w:r w:rsidRPr="001E6727" w:rsidR="00B63194">
        <w:rPr>
          <w:rFonts w:ascii="Times New Roman" w:hAnsi="Times New Roman" w:eastAsiaTheme="minorEastAsia" w:cs="Times New Roman"/>
          <w:sz w:val="24"/>
          <w:szCs w:val="24"/>
        </w:rPr>
        <w:t xml:space="preserve">he PUCO </w:t>
      </w:r>
      <w:r w:rsidRPr="001E6727">
        <w:rPr>
          <w:rFonts w:ascii="Times New Roman" w:hAnsi="Times New Roman" w:eastAsiaTheme="minorEastAsia" w:cs="Times New Roman"/>
          <w:sz w:val="24"/>
          <w:szCs w:val="24"/>
        </w:rPr>
        <w:t xml:space="preserve">should </w:t>
      </w:r>
      <w:r w:rsidRPr="001E6727" w:rsidR="00B84E06">
        <w:rPr>
          <w:rFonts w:ascii="Times New Roman" w:hAnsi="Times New Roman" w:eastAsiaTheme="minorEastAsia" w:cs="Times New Roman"/>
          <w:sz w:val="24"/>
          <w:szCs w:val="24"/>
        </w:rPr>
        <w:t xml:space="preserve">abrogate or modify its September 6, 2023 Order and </w:t>
      </w:r>
      <w:r w:rsidRPr="001E6727">
        <w:rPr>
          <w:rFonts w:ascii="Times New Roman" w:hAnsi="Times New Roman" w:eastAsiaTheme="minorEastAsia" w:cs="Times New Roman"/>
          <w:sz w:val="24"/>
          <w:szCs w:val="24"/>
        </w:rPr>
        <w:t xml:space="preserve">require Duke to return the $24.6 million in above-market </w:t>
      </w:r>
      <w:r w:rsidRPr="001E6727" w:rsidR="00E45715">
        <w:rPr>
          <w:rFonts w:ascii="Times New Roman" w:hAnsi="Times New Roman" w:eastAsiaTheme="minorEastAsia" w:cs="Times New Roman"/>
          <w:sz w:val="24"/>
          <w:szCs w:val="24"/>
        </w:rPr>
        <w:t xml:space="preserve">energy </w:t>
      </w:r>
      <w:r w:rsidRPr="001E6727">
        <w:rPr>
          <w:rFonts w:ascii="Times New Roman" w:hAnsi="Times New Roman" w:eastAsiaTheme="minorEastAsia" w:cs="Times New Roman"/>
          <w:sz w:val="24"/>
          <w:szCs w:val="24"/>
        </w:rPr>
        <w:t xml:space="preserve">prices it unfairly </w:t>
      </w:r>
      <w:r w:rsidRPr="001E6727" w:rsidR="00B84E06">
        <w:rPr>
          <w:rFonts w:ascii="Times New Roman" w:hAnsi="Times New Roman" w:eastAsiaTheme="minorEastAsia" w:cs="Times New Roman"/>
          <w:sz w:val="24"/>
          <w:szCs w:val="24"/>
        </w:rPr>
        <w:t>charged to Ohio consumers</w:t>
      </w:r>
      <w:r w:rsidRPr="001E6727">
        <w:rPr>
          <w:rFonts w:ascii="Times New Roman" w:hAnsi="Times New Roman" w:eastAsiaTheme="minorEastAsia" w:cs="Times New Roman"/>
          <w:sz w:val="24"/>
          <w:szCs w:val="24"/>
        </w:rPr>
        <w:t>.</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The PUCO’s Opinion and </w:t>
      </w:r>
      <w:r w:rsidRPr="001E6727" w:rsidR="00F051E8">
        <w:rPr>
          <w:rFonts w:ascii="Times New Roman" w:hAnsi="Times New Roman" w:eastAsiaTheme="minorEastAsia" w:cs="Times New Roman"/>
          <w:sz w:val="24"/>
          <w:szCs w:val="24"/>
        </w:rPr>
        <w:t xml:space="preserve">Order </w:t>
      </w:r>
      <w:r w:rsidRPr="001E6727">
        <w:rPr>
          <w:rFonts w:ascii="Times New Roman" w:hAnsi="Times New Roman" w:eastAsiaTheme="minorEastAsia" w:cs="Times New Roman"/>
          <w:sz w:val="24"/>
          <w:szCs w:val="24"/>
        </w:rPr>
        <w:t>allowing Duke to collect $24.6 million</w:t>
      </w:r>
      <w:r w:rsidRPr="001E6727" w:rsidR="00654ADC">
        <w:rPr>
          <w:rFonts w:ascii="Times New Roman" w:hAnsi="Times New Roman" w:eastAsiaTheme="minorEastAsia" w:cs="Times New Roman"/>
          <w:sz w:val="24"/>
          <w:szCs w:val="24"/>
        </w:rPr>
        <w:t xml:space="preserve"> from</w:t>
      </w:r>
      <w:r w:rsidRPr="001E6727">
        <w:rPr>
          <w:rFonts w:ascii="Times New Roman" w:hAnsi="Times New Roman" w:eastAsiaTheme="minorEastAsia" w:cs="Times New Roman"/>
          <w:sz w:val="24"/>
          <w:szCs w:val="24"/>
        </w:rPr>
        <w:t xml:space="preserve"> consumers to subsidize </w:t>
      </w:r>
      <w:r w:rsidRPr="001E6727" w:rsidR="00555337">
        <w:rPr>
          <w:rFonts w:ascii="Times New Roman" w:hAnsi="Times New Roman" w:eastAsiaTheme="minorEastAsia" w:cs="Times New Roman"/>
          <w:sz w:val="24"/>
          <w:szCs w:val="24"/>
        </w:rPr>
        <w:t>its affiliated company’s</w:t>
      </w:r>
      <w:r w:rsidRPr="001E6727">
        <w:rPr>
          <w:rFonts w:ascii="Times New Roman" w:hAnsi="Times New Roman" w:eastAsiaTheme="minorEastAsia" w:cs="Times New Roman"/>
          <w:sz w:val="24"/>
          <w:szCs w:val="24"/>
        </w:rPr>
        <w:t xml:space="preserve"> old coal plants was unreasonable and unlawful</w:t>
      </w:r>
      <w:r w:rsidRPr="001E6727" w:rsidR="00B84E06">
        <w:rPr>
          <w:rFonts w:ascii="Times New Roman" w:hAnsi="Times New Roman" w:eastAsiaTheme="minorEastAsia" w:cs="Times New Roman"/>
          <w:sz w:val="24"/>
          <w:szCs w:val="24"/>
        </w:rPr>
        <w:t xml:space="preserve"> for the following reasons</w:t>
      </w:r>
      <w:r w:rsidRPr="001E6727">
        <w:rPr>
          <w:rFonts w:ascii="Times New Roman" w:hAnsi="Times New Roman" w:eastAsiaTheme="minorEastAsia" w:cs="Times New Roman"/>
          <w:sz w:val="24"/>
          <w:szCs w:val="24"/>
        </w:rPr>
        <w:t xml:space="preserve">: </w:t>
      </w:r>
    </w:p>
    <w:p w:rsidR="003F1007" w:rsidP="00931CDF" w14:paraId="2C1BA796" w14:textId="1F66542F">
      <w:pPr>
        <w:spacing w:after="0" w:line="240" w:lineRule="auto"/>
        <w:rPr>
          <w:rFonts w:ascii="Times New Roman" w:hAnsi="Times New Roman" w:eastAsiaTheme="minorEastAsia" w:cs="Times New Roman"/>
          <w:sz w:val="24"/>
          <w:szCs w:val="24"/>
        </w:rPr>
      </w:pPr>
      <w:r w:rsidRPr="001E6727">
        <w:rPr>
          <w:rFonts w:ascii="Times New Roman" w:hAnsi="Times New Roman" w:eastAsiaTheme="minorEastAsia" w:cs="Times New Roman"/>
          <w:b/>
          <w:bCs/>
          <w:sz w:val="24"/>
          <w:szCs w:val="24"/>
        </w:rPr>
        <w:t>ASSIGNMENT OF ERROR 1:</w:t>
      </w:r>
      <w:r w:rsidRPr="001E6727" w:rsidR="00044B36">
        <w:rPr>
          <w:rFonts w:ascii="Times New Roman" w:hAnsi="Times New Roman" w:eastAsiaTheme="minorEastAsia" w:cs="Times New Roman"/>
          <w:b/>
          <w:bCs/>
          <w:sz w:val="24"/>
          <w:szCs w:val="24"/>
        </w:rPr>
        <w:t xml:space="preserve"> </w:t>
      </w:r>
      <w:r w:rsidRPr="001E6727" w:rsidR="006B2D16">
        <w:rPr>
          <w:rFonts w:ascii="Times New Roman" w:hAnsi="Times New Roman" w:eastAsiaTheme="minorEastAsia" w:cs="Times New Roman"/>
          <w:sz w:val="24"/>
          <w:szCs w:val="24"/>
        </w:rPr>
        <w:t>The PUCO erred in determining that all costs charged by Duke to consumers through the price stabilization rider for January 1, 2019 through December 31, 2019 were prudent. The PUCO</w:t>
      </w:r>
      <w:r w:rsidRPr="001E6727" w:rsidR="00E632A7">
        <w:rPr>
          <w:rFonts w:ascii="Times New Roman" w:hAnsi="Times New Roman" w:eastAsiaTheme="minorEastAsia" w:cs="Times New Roman"/>
          <w:sz w:val="24"/>
          <w:szCs w:val="24"/>
        </w:rPr>
        <w:t>’s Order</w:t>
      </w:r>
      <w:r w:rsidRPr="001E6727" w:rsidR="006B2D16">
        <w:rPr>
          <w:rFonts w:ascii="Times New Roman" w:hAnsi="Times New Roman" w:eastAsiaTheme="minorEastAsia" w:cs="Times New Roman"/>
          <w:sz w:val="24"/>
          <w:szCs w:val="24"/>
        </w:rPr>
        <w:t xml:space="preserve"> </w:t>
      </w:r>
      <w:r w:rsidRPr="001E6727" w:rsidR="003C4B46">
        <w:rPr>
          <w:rFonts w:ascii="Times New Roman" w:hAnsi="Times New Roman" w:eastAsiaTheme="minorEastAsia" w:cs="Times New Roman"/>
          <w:sz w:val="24"/>
          <w:szCs w:val="24"/>
        </w:rPr>
        <w:t xml:space="preserve">allowing Duke to charge consumers $24.6 million in above-market energy costs </w:t>
      </w:r>
      <w:r w:rsidRPr="001E6727" w:rsidR="00D04A15">
        <w:rPr>
          <w:rFonts w:ascii="Times New Roman" w:hAnsi="Times New Roman" w:eastAsiaTheme="minorEastAsia" w:cs="Times New Roman"/>
          <w:sz w:val="24"/>
          <w:szCs w:val="24"/>
        </w:rPr>
        <w:t xml:space="preserve">disregards </w:t>
      </w:r>
      <w:r w:rsidRPr="001E6727" w:rsidR="006B2D16">
        <w:rPr>
          <w:rFonts w:ascii="Times New Roman" w:hAnsi="Times New Roman" w:eastAsiaTheme="minorEastAsia" w:cs="Times New Roman"/>
          <w:sz w:val="24"/>
          <w:szCs w:val="24"/>
        </w:rPr>
        <w:t xml:space="preserve">evidence </w:t>
      </w:r>
      <w:r w:rsidRPr="001E6727" w:rsidR="00E632A7">
        <w:rPr>
          <w:rFonts w:ascii="Times New Roman" w:hAnsi="Times New Roman" w:eastAsiaTheme="minorEastAsia" w:cs="Times New Roman"/>
          <w:sz w:val="24"/>
          <w:szCs w:val="24"/>
        </w:rPr>
        <w:t xml:space="preserve">that Duke’s commitment strategy for OVEC in the PJM market was </w:t>
      </w:r>
      <w:r w:rsidRPr="001E6727" w:rsidR="003C4B46">
        <w:rPr>
          <w:rFonts w:ascii="Times New Roman" w:hAnsi="Times New Roman" w:eastAsiaTheme="minorEastAsia" w:cs="Times New Roman"/>
          <w:sz w:val="24"/>
          <w:szCs w:val="24"/>
        </w:rPr>
        <w:t xml:space="preserve">imprudent and </w:t>
      </w:r>
      <w:r w:rsidRPr="001E6727" w:rsidR="00E632A7">
        <w:rPr>
          <w:rFonts w:ascii="Times New Roman" w:hAnsi="Times New Roman" w:eastAsiaTheme="minorEastAsia" w:cs="Times New Roman"/>
          <w:sz w:val="24"/>
          <w:szCs w:val="24"/>
        </w:rPr>
        <w:t>not in the best interest of consumers</w:t>
      </w:r>
      <w:r w:rsidR="001E6727">
        <w:rPr>
          <w:rFonts w:ascii="Times New Roman" w:hAnsi="Times New Roman" w:eastAsiaTheme="minorEastAsia" w:cs="Times New Roman"/>
          <w:sz w:val="24"/>
          <w:szCs w:val="24"/>
        </w:rPr>
        <w:t xml:space="preserve"> </w:t>
      </w:r>
      <w:r w:rsidRPr="001E6727" w:rsidR="00D04A15">
        <w:rPr>
          <w:rFonts w:ascii="Times New Roman" w:hAnsi="Times New Roman" w:eastAsiaTheme="minorEastAsia" w:cs="Times New Roman"/>
          <w:sz w:val="24"/>
          <w:szCs w:val="24"/>
        </w:rPr>
        <w:t>in violation of R.C. 4903.</w:t>
      </w:r>
      <w:r w:rsidR="00EE1E8B">
        <w:rPr>
          <w:rFonts w:ascii="Times New Roman" w:hAnsi="Times New Roman" w:eastAsiaTheme="minorEastAsia" w:cs="Times New Roman"/>
          <w:sz w:val="24"/>
          <w:szCs w:val="24"/>
        </w:rPr>
        <w:t>13</w:t>
      </w:r>
      <w:r w:rsidRPr="001E6727" w:rsidR="00D04A15">
        <w:rPr>
          <w:rFonts w:ascii="Times New Roman" w:hAnsi="Times New Roman" w:eastAsiaTheme="minorEastAsia" w:cs="Times New Roman"/>
          <w:sz w:val="24"/>
          <w:szCs w:val="24"/>
        </w:rPr>
        <w:t>.</w:t>
      </w:r>
      <w:r w:rsidRPr="001E6727" w:rsidR="003C4B46">
        <w:rPr>
          <w:rFonts w:ascii="Times New Roman" w:hAnsi="Times New Roman" w:eastAsiaTheme="minorEastAsia" w:cs="Times New Roman"/>
          <w:sz w:val="24"/>
          <w:szCs w:val="24"/>
        </w:rPr>
        <w:t xml:space="preserve"> T</w:t>
      </w:r>
      <w:r w:rsidRPr="001E6727" w:rsidR="004A4ED0">
        <w:rPr>
          <w:rFonts w:ascii="Times New Roman" w:hAnsi="Times New Roman" w:eastAsiaTheme="minorEastAsia" w:cs="Times New Roman"/>
          <w:sz w:val="24"/>
          <w:szCs w:val="24"/>
        </w:rPr>
        <w:t>o protect consumers, t</w:t>
      </w:r>
      <w:r w:rsidRPr="001E6727" w:rsidR="003C4B46">
        <w:rPr>
          <w:rFonts w:ascii="Times New Roman" w:hAnsi="Times New Roman" w:eastAsiaTheme="minorEastAsia" w:cs="Times New Roman"/>
          <w:sz w:val="24"/>
          <w:szCs w:val="24"/>
        </w:rPr>
        <w:t>he</w:t>
      </w:r>
      <w:r w:rsidRPr="001E6727" w:rsidR="004A4ED0">
        <w:rPr>
          <w:rFonts w:ascii="Times New Roman" w:hAnsi="Times New Roman" w:eastAsiaTheme="minorEastAsia" w:cs="Times New Roman"/>
          <w:sz w:val="24"/>
          <w:szCs w:val="24"/>
        </w:rPr>
        <w:t xml:space="preserve"> PUCO should grant rehearing and abrogate or modify the Order</w:t>
      </w:r>
      <w:r w:rsidRPr="001E6727" w:rsidR="00560CD3">
        <w:rPr>
          <w:rFonts w:ascii="Times New Roman" w:hAnsi="Times New Roman" w:eastAsiaTheme="minorEastAsia" w:cs="Times New Roman"/>
          <w:sz w:val="24"/>
          <w:szCs w:val="24"/>
        </w:rPr>
        <w:t>.</w:t>
      </w:r>
      <w:r w:rsidR="009A41AD">
        <w:rPr>
          <w:rFonts w:ascii="Times New Roman" w:hAnsi="Times New Roman" w:eastAsiaTheme="minorEastAsia" w:cs="Times New Roman"/>
          <w:sz w:val="24"/>
          <w:szCs w:val="24"/>
        </w:rPr>
        <w:t xml:space="preserve"> </w:t>
      </w:r>
    </w:p>
    <w:p w:rsidR="008548F2" w:rsidP="00931CDF" w14:paraId="6342EA74" w14:textId="77777777">
      <w:pPr>
        <w:spacing w:after="0" w:line="240" w:lineRule="auto"/>
        <w:rPr>
          <w:rFonts w:ascii="Times New Roman" w:hAnsi="Times New Roman" w:eastAsiaTheme="minorEastAsia" w:cs="Times New Roman"/>
          <w:sz w:val="24"/>
          <w:szCs w:val="24"/>
        </w:rPr>
      </w:pPr>
    </w:p>
    <w:p w:rsidR="008548F2" w:rsidRPr="008548F2" w:rsidP="00931CDF" w14:paraId="00346FE0" w14:textId="7141A340">
      <w:pPr>
        <w:spacing w:after="0" w:line="240" w:lineRule="auto"/>
        <w:rPr>
          <w:rFonts w:ascii="Times New Roman" w:hAnsi="Times New Roman" w:eastAsiaTheme="minorEastAsia" w:cs="Times New Roman"/>
          <w:sz w:val="24"/>
          <w:szCs w:val="24"/>
        </w:rPr>
      </w:pPr>
      <w:r w:rsidRPr="00C03D85">
        <w:rPr>
          <w:rFonts w:ascii="Times New Roman" w:hAnsi="Times New Roman" w:eastAsiaTheme="minorEastAsia" w:cs="Times New Roman"/>
          <w:b/>
          <w:bCs/>
          <w:sz w:val="24"/>
          <w:szCs w:val="24"/>
        </w:rPr>
        <w:t>ASSIGNMENT OF ERROR 2</w:t>
      </w:r>
      <w:r>
        <w:rPr>
          <w:rFonts w:ascii="Times New Roman" w:hAnsi="Times New Roman" w:eastAsiaTheme="minorEastAsia" w:cs="Times New Roman"/>
          <w:b/>
          <w:bCs/>
          <w:sz w:val="24"/>
          <w:szCs w:val="24"/>
        </w:rPr>
        <w:t xml:space="preserve">: </w:t>
      </w:r>
      <w:r>
        <w:rPr>
          <w:rFonts w:ascii="Times New Roman" w:hAnsi="Times New Roman" w:eastAsiaTheme="minorEastAsia" w:cs="Times New Roman"/>
          <w:sz w:val="24"/>
          <w:szCs w:val="24"/>
        </w:rPr>
        <w:t xml:space="preserve">The PUCO failed to follow past precedent </w:t>
      </w:r>
      <w:r w:rsidR="007E0671">
        <w:rPr>
          <w:rFonts w:ascii="Times New Roman" w:hAnsi="Times New Roman" w:eastAsiaTheme="minorEastAsia" w:cs="Times New Roman"/>
          <w:sz w:val="24"/>
          <w:szCs w:val="24"/>
        </w:rPr>
        <w:t>when it did not</w:t>
      </w:r>
      <w:r w:rsidR="006227AA">
        <w:rPr>
          <w:rFonts w:ascii="Times New Roman" w:hAnsi="Times New Roman" w:eastAsiaTheme="minorEastAsia" w:cs="Times New Roman"/>
          <w:sz w:val="24"/>
          <w:szCs w:val="24"/>
        </w:rPr>
        <w:t xml:space="preserve"> </w:t>
      </w:r>
      <w:r w:rsidR="007E0671">
        <w:rPr>
          <w:rFonts w:ascii="Times New Roman" w:hAnsi="Times New Roman" w:eastAsiaTheme="minorEastAsia" w:cs="Times New Roman"/>
          <w:sz w:val="24"/>
          <w:szCs w:val="24"/>
        </w:rPr>
        <w:t xml:space="preserve">review the coal plant subsidy costs according to its prior announced standards. The PUCO ruled that </w:t>
      </w:r>
      <w:r w:rsidR="006227AA">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“[r]</w:t>
      </w:r>
      <w:r w:rsidRPr="00C03D85">
        <w:rPr>
          <w:rFonts w:ascii="Times New Roman" w:hAnsi="Times New Roman" w:eastAsiaTheme="minorEastAsia" w:cs="Times New Roman"/>
          <w:sz w:val="24"/>
          <w:szCs w:val="24"/>
        </w:rPr>
        <w:t>etail cost recovery may be disallowed as a result of the annual prudency review if the output from the units was not bid in a manner that is consistent with participation in a broader competitive marketplace comprised of sellers attempting to maximize revenues</w:t>
      </w:r>
      <w:r>
        <w:rPr>
          <w:rFonts w:ascii="Times New Roman" w:hAnsi="Times New Roman" w:eastAsiaTheme="minorEastAsia" w:cs="Times New Roman"/>
          <w:sz w:val="24"/>
          <w:szCs w:val="24"/>
        </w:rPr>
        <w:t xml:space="preserve"> . . . [and] </w:t>
      </w:r>
      <w:r w:rsidRPr="00C03D85">
        <w:rPr>
          <w:rFonts w:ascii="Times New Roman" w:hAnsi="Times New Roman" w:eastAsiaTheme="minorEastAsia" w:cs="Times New Roman"/>
          <w:sz w:val="24"/>
          <w:szCs w:val="24"/>
        </w:rPr>
        <w:t>that bidding behavior is prudent and in the best interest of retail ratepayers.</w:t>
      </w:r>
      <w:r>
        <w:rPr>
          <w:rFonts w:ascii="Times New Roman" w:hAnsi="Times New Roman" w:eastAsiaTheme="minorEastAsia" w:cs="Times New Roman"/>
          <w:sz w:val="24"/>
          <w:szCs w:val="24"/>
        </w:rPr>
        <w:t xml:space="preserve">” </w:t>
      </w:r>
      <w:r w:rsidRPr="00C03D85">
        <w:rPr>
          <w:rFonts w:ascii="Times New Roman" w:hAnsi="Times New Roman" w:cs="Times New Roman"/>
          <w:i/>
          <w:iCs/>
          <w:sz w:val="24"/>
          <w:szCs w:val="24"/>
        </w:rPr>
        <w:t xml:space="preserve">In re Ohio Power PPA Rider, </w:t>
      </w:r>
      <w:r w:rsidRPr="00C03D85">
        <w:rPr>
          <w:rFonts w:ascii="Times New Roman" w:hAnsi="Times New Roman" w:cs="Times New Roman"/>
          <w:sz w:val="24"/>
          <w:szCs w:val="24"/>
        </w:rPr>
        <w:t>Case No. 14-1693-EL-RDR, Opinion and Order at 89 (Mar. 31, 2016)</w:t>
      </w:r>
      <w:r>
        <w:rPr>
          <w:rFonts w:ascii="Times New Roman" w:hAnsi="Times New Roman" w:cs="Times New Roman"/>
          <w:sz w:val="24"/>
          <w:szCs w:val="24"/>
        </w:rPr>
        <w:t>.</w:t>
      </w:r>
      <w:r w:rsidR="006227AA">
        <w:rPr>
          <w:rFonts w:ascii="Times New Roman" w:hAnsi="Times New Roman" w:cs="Times New Roman"/>
          <w:sz w:val="24"/>
          <w:szCs w:val="24"/>
        </w:rPr>
        <w:t xml:space="preserve"> </w:t>
      </w:r>
      <w:r>
        <w:rPr>
          <w:rFonts w:ascii="Times New Roman" w:hAnsi="Times New Roman" w:cs="Times New Roman"/>
          <w:sz w:val="24"/>
          <w:szCs w:val="24"/>
        </w:rPr>
        <w:t>The PUCO’s failure to follow this precedent</w:t>
      </w:r>
      <w:r w:rsidR="00E66A23">
        <w:rPr>
          <w:rFonts w:ascii="Times New Roman" w:hAnsi="Times New Roman" w:cs="Times New Roman"/>
          <w:sz w:val="24"/>
          <w:szCs w:val="24"/>
        </w:rPr>
        <w:t>, without providing any reason, violates R.C. 4903.09.</w:t>
      </w:r>
    </w:p>
    <w:p w:rsidR="003F1007" w:rsidP="00931CDF" w14:paraId="592BFFC6" w14:textId="77777777">
      <w:pPr>
        <w:spacing w:after="0" w:line="240" w:lineRule="auto"/>
        <w:rPr>
          <w:rFonts w:ascii="Times New Roman" w:hAnsi="Times New Roman" w:eastAsiaTheme="minorEastAsia" w:cs="Times New Roman"/>
          <w:sz w:val="24"/>
          <w:szCs w:val="24"/>
        </w:rPr>
      </w:pPr>
    </w:p>
    <w:p w:rsidR="00B2368B" w:rsidRPr="001E6727" w:rsidP="00931CDF" w14:paraId="4F9A2733" w14:textId="7E20D1E5">
      <w:pPr>
        <w:spacing w:after="0" w:line="240" w:lineRule="auto"/>
        <w:rPr>
          <w:rFonts w:ascii="Times New Roman" w:hAnsi="Times New Roman" w:eastAsiaTheme="minorEastAsia" w:cs="Times New Roman"/>
          <w:sz w:val="24"/>
          <w:szCs w:val="24"/>
        </w:rPr>
      </w:pPr>
      <w:r w:rsidRPr="001E6727">
        <w:rPr>
          <w:rFonts w:ascii="Times New Roman" w:hAnsi="Times New Roman" w:eastAsiaTheme="minorEastAsia" w:cs="Times New Roman"/>
          <w:b/>
          <w:bCs/>
          <w:sz w:val="24"/>
          <w:szCs w:val="24"/>
        </w:rPr>
        <w:t xml:space="preserve">ASSIGNMENT OF ERROR </w:t>
      </w:r>
      <w:r w:rsidR="00CA408B">
        <w:rPr>
          <w:rFonts w:ascii="Times New Roman" w:hAnsi="Times New Roman" w:eastAsiaTheme="minorEastAsia" w:cs="Times New Roman"/>
          <w:b/>
          <w:bCs/>
          <w:sz w:val="24"/>
          <w:szCs w:val="24"/>
        </w:rPr>
        <w:t>3:</w:t>
      </w:r>
      <w:r w:rsidRPr="001E6727">
        <w:rPr>
          <w:rFonts w:ascii="Times New Roman" w:hAnsi="Times New Roman" w:eastAsiaTheme="minorEastAsia" w:cs="Times New Roman"/>
          <w:b/>
          <w:bCs/>
          <w:sz w:val="24"/>
          <w:szCs w:val="24"/>
        </w:rPr>
        <w:t xml:space="preserve"> </w:t>
      </w:r>
      <w:r w:rsidRPr="001E6727">
        <w:rPr>
          <w:rFonts w:ascii="Times New Roman" w:hAnsi="Times New Roman" w:eastAsiaTheme="minorEastAsia" w:cs="Times New Roman"/>
          <w:sz w:val="24"/>
          <w:szCs w:val="24"/>
        </w:rPr>
        <w:t xml:space="preserve">The PUCO erred by </w:t>
      </w:r>
      <w:r w:rsidRPr="001E6727" w:rsidR="009219F0">
        <w:rPr>
          <w:rFonts w:ascii="Times New Roman" w:hAnsi="Times New Roman" w:eastAsiaTheme="minorEastAsia" w:cs="Times New Roman"/>
          <w:sz w:val="24"/>
          <w:szCs w:val="24"/>
        </w:rPr>
        <w:t xml:space="preserve">excluding </w:t>
      </w:r>
      <w:r w:rsidRPr="001E6727" w:rsidR="00B97F1A">
        <w:rPr>
          <w:rFonts w:ascii="Times New Roman" w:hAnsi="Times New Roman" w:eastAsiaTheme="minorEastAsia" w:cs="Times New Roman"/>
          <w:sz w:val="24"/>
          <w:szCs w:val="24"/>
        </w:rPr>
        <w:t>relevant e</w:t>
      </w:r>
      <w:r w:rsidRPr="001E6727" w:rsidR="009219F0">
        <w:rPr>
          <w:rFonts w:ascii="Times New Roman" w:hAnsi="Times New Roman" w:eastAsiaTheme="minorEastAsia" w:cs="Times New Roman"/>
          <w:sz w:val="24"/>
          <w:szCs w:val="24"/>
        </w:rPr>
        <w:t>vidence</w:t>
      </w:r>
      <w:r w:rsidRPr="001E6727" w:rsidR="00FB3C19">
        <w:rPr>
          <w:rFonts w:ascii="Times New Roman" w:hAnsi="Times New Roman" w:eastAsiaTheme="minorEastAsia" w:cs="Times New Roman"/>
          <w:sz w:val="24"/>
          <w:szCs w:val="24"/>
        </w:rPr>
        <w:t xml:space="preserve"> </w:t>
      </w:r>
      <w:r w:rsidRPr="001E6727" w:rsidR="00B97F1A">
        <w:rPr>
          <w:rFonts w:ascii="Times New Roman" w:hAnsi="Times New Roman" w:eastAsiaTheme="minorEastAsia" w:cs="Times New Roman"/>
          <w:sz w:val="24"/>
          <w:szCs w:val="24"/>
        </w:rPr>
        <w:t xml:space="preserve">regarding the Auditor’s conclusions in another case about </w:t>
      </w:r>
      <w:r w:rsidRPr="001E6727" w:rsidR="00012803">
        <w:rPr>
          <w:rFonts w:ascii="Times New Roman" w:hAnsi="Times New Roman" w:eastAsiaTheme="minorEastAsia" w:cs="Times New Roman"/>
          <w:sz w:val="24"/>
          <w:szCs w:val="24"/>
        </w:rPr>
        <w:t>another utility’s</w:t>
      </w:r>
      <w:r w:rsidRPr="001E6727" w:rsidR="00B97F1A">
        <w:rPr>
          <w:rFonts w:ascii="Times New Roman" w:hAnsi="Times New Roman" w:eastAsiaTheme="minorEastAsia" w:cs="Times New Roman"/>
          <w:sz w:val="24"/>
          <w:szCs w:val="24"/>
        </w:rPr>
        <w:t xml:space="preserve"> costs to operate </w:t>
      </w:r>
      <w:r w:rsidRPr="001E6727" w:rsidR="009219F0">
        <w:rPr>
          <w:rFonts w:ascii="Times New Roman" w:hAnsi="Times New Roman" w:eastAsiaTheme="minorEastAsia" w:cs="Times New Roman"/>
          <w:sz w:val="24"/>
          <w:szCs w:val="24"/>
        </w:rPr>
        <w:t xml:space="preserve">the </w:t>
      </w:r>
      <w:r w:rsidRPr="001E6727" w:rsidR="00012803">
        <w:rPr>
          <w:rFonts w:ascii="Times New Roman" w:hAnsi="Times New Roman" w:eastAsiaTheme="minorEastAsia" w:cs="Times New Roman"/>
          <w:sz w:val="24"/>
          <w:szCs w:val="24"/>
        </w:rPr>
        <w:t xml:space="preserve">exact </w:t>
      </w:r>
      <w:r w:rsidRPr="001E6727" w:rsidR="009219F0">
        <w:rPr>
          <w:rFonts w:ascii="Times New Roman" w:hAnsi="Times New Roman" w:eastAsiaTheme="minorEastAsia" w:cs="Times New Roman"/>
          <w:sz w:val="24"/>
          <w:szCs w:val="24"/>
        </w:rPr>
        <w:t>same coal plant</w:t>
      </w:r>
      <w:r w:rsidRPr="001E6727" w:rsidR="00B97F1A">
        <w:rPr>
          <w:rFonts w:ascii="Times New Roman" w:hAnsi="Times New Roman" w:eastAsiaTheme="minorEastAsia" w:cs="Times New Roman"/>
          <w:sz w:val="24"/>
          <w:szCs w:val="24"/>
        </w:rPr>
        <w:t>s</w:t>
      </w:r>
      <w:r w:rsidRPr="001E6727" w:rsidR="009219F0">
        <w:rPr>
          <w:rFonts w:ascii="Times New Roman" w:hAnsi="Times New Roman" w:eastAsiaTheme="minorEastAsia" w:cs="Times New Roman"/>
          <w:sz w:val="24"/>
          <w:szCs w:val="24"/>
        </w:rPr>
        <w:t xml:space="preserve"> during the same </w:t>
      </w:r>
      <w:r w:rsidRPr="001E6727" w:rsidR="009C3920">
        <w:rPr>
          <w:rFonts w:ascii="Times New Roman" w:hAnsi="Times New Roman" w:eastAsiaTheme="minorEastAsia" w:cs="Times New Roman"/>
          <w:sz w:val="24"/>
          <w:szCs w:val="24"/>
        </w:rPr>
        <w:t>time period</w:t>
      </w:r>
      <w:r w:rsidRPr="001E6727" w:rsidR="00B97F1A">
        <w:rPr>
          <w:rFonts w:ascii="Times New Roman" w:hAnsi="Times New Roman" w:eastAsiaTheme="minorEastAsia" w:cs="Times New Roman"/>
          <w:sz w:val="24"/>
          <w:szCs w:val="24"/>
        </w:rPr>
        <w:t>. The PUCO’s exclusion of evidence that the Audito</w:t>
      </w:r>
      <w:r w:rsidRPr="001E6727" w:rsidR="00012803">
        <w:rPr>
          <w:rFonts w:ascii="Times New Roman" w:hAnsi="Times New Roman" w:eastAsiaTheme="minorEastAsia" w:cs="Times New Roman"/>
          <w:sz w:val="24"/>
          <w:szCs w:val="24"/>
        </w:rPr>
        <w:t>r</w:t>
      </w:r>
      <w:r w:rsidRPr="001E6727" w:rsidR="00D64F6A">
        <w:rPr>
          <w:rFonts w:ascii="Times New Roman" w:hAnsi="Times New Roman" w:eastAsiaTheme="minorEastAsia" w:cs="Times New Roman"/>
          <w:sz w:val="24"/>
          <w:szCs w:val="24"/>
        </w:rPr>
        <w:t xml:space="preserve"> concluded in</w:t>
      </w:r>
      <w:r w:rsidR="009A41AD">
        <w:rPr>
          <w:rFonts w:ascii="Times New Roman" w:hAnsi="Times New Roman" w:eastAsiaTheme="minorEastAsia" w:cs="Times New Roman"/>
          <w:sz w:val="24"/>
          <w:szCs w:val="24"/>
        </w:rPr>
        <w:t xml:space="preserve"> </w:t>
      </w:r>
      <w:r w:rsidRPr="001E6727" w:rsidR="00D64F6A">
        <w:rPr>
          <w:rFonts w:ascii="Times New Roman" w:hAnsi="Times New Roman" w:eastAsiaTheme="minorEastAsia" w:cs="Times New Roman"/>
          <w:sz w:val="24"/>
          <w:szCs w:val="24"/>
        </w:rPr>
        <w:t xml:space="preserve">a </w:t>
      </w:r>
      <w:r w:rsidRPr="001E6727" w:rsidR="009219F0">
        <w:rPr>
          <w:rFonts w:ascii="Times New Roman" w:hAnsi="Times New Roman" w:eastAsiaTheme="minorEastAsia" w:cs="Times New Roman"/>
          <w:sz w:val="24"/>
          <w:szCs w:val="24"/>
        </w:rPr>
        <w:t>draft audit report</w:t>
      </w:r>
      <w:r w:rsidRPr="001E6727" w:rsidR="00D64F6A">
        <w:rPr>
          <w:rFonts w:ascii="Times New Roman" w:hAnsi="Times New Roman" w:eastAsiaTheme="minorEastAsia" w:cs="Times New Roman"/>
          <w:sz w:val="24"/>
          <w:szCs w:val="24"/>
        </w:rPr>
        <w:t xml:space="preserve"> that operating the coal plants is not in the best interest of consumers was unreasonable. To protect consumers, the PUCO should grant rehearing and abrogate or modify the Order</w:t>
      </w:r>
      <w:r w:rsidR="009A41AD">
        <w:rPr>
          <w:rFonts w:ascii="Times New Roman" w:hAnsi="Times New Roman" w:eastAsiaTheme="minorEastAsia" w:cs="Times New Roman"/>
          <w:sz w:val="24"/>
          <w:szCs w:val="24"/>
        </w:rPr>
        <w:t xml:space="preserve"> </w:t>
      </w:r>
      <w:r w:rsidRPr="001E6727" w:rsidR="00D64F6A">
        <w:rPr>
          <w:rFonts w:ascii="Times New Roman" w:hAnsi="Times New Roman" w:eastAsiaTheme="minorEastAsia" w:cs="Times New Roman"/>
          <w:sz w:val="24"/>
          <w:szCs w:val="24"/>
        </w:rPr>
        <w:t xml:space="preserve">to include this evidence, which is directly relevant to whether Duke’s operation of the OVEC plants was </w:t>
      </w:r>
      <w:r w:rsidR="004B3B88">
        <w:rPr>
          <w:rFonts w:ascii="Times New Roman" w:hAnsi="Times New Roman" w:eastAsiaTheme="minorEastAsia" w:cs="Times New Roman"/>
          <w:sz w:val="24"/>
          <w:szCs w:val="24"/>
        </w:rPr>
        <w:t xml:space="preserve">prudent and </w:t>
      </w:r>
      <w:r w:rsidRPr="001E6727" w:rsidR="00D64F6A">
        <w:rPr>
          <w:rFonts w:ascii="Times New Roman" w:hAnsi="Times New Roman" w:eastAsiaTheme="minorEastAsia" w:cs="Times New Roman"/>
          <w:sz w:val="24"/>
          <w:szCs w:val="24"/>
        </w:rPr>
        <w:t>in the best interest of consumers.</w:t>
      </w:r>
      <w:r w:rsidR="001E6727">
        <w:rPr>
          <w:rFonts w:ascii="Times New Roman" w:hAnsi="Times New Roman" w:eastAsiaTheme="minorEastAsia" w:cs="Times New Roman"/>
          <w:sz w:val="24"/>
          <w:szCs w:val="24"/>
        </w:rPr>
        <w:t xml:space="preserve"> </w:t>
      </w:r>
    </w:p>
    <w:p w:rsidR="00FB3C19" w:rsidRPr="001E6727" w:rsidP="00931CDF" w14:paraId="013D1CFD" w14:textId="77777777">
      <w:pPr>
        <w:spacing w:after="0" w:line="240" w:lineRule="auto"/>
        <w:rPr>
          <w:rFonts w:ascii="Times New Roman" w:hAnsi="Times New Roman" w:eastAsiaTheme="minorEastAsia" w:cs="Times New Roman"/>
          <w:sz w:val="24"/>
          <w:szCs w:val="24"/>
        </w:rPr>
      </w:pPr>
    </w:p>
    <w:p w:rsidR="00971DD4" w:rsidRPr="001E6727" w:rsidP="00971DD4" w14:paraId="0D096EA8" w14:textId="1D4E199B">
      <w:pPr>
        <w:spacing w:after="0" w:line="480" w:lineRule="auto"/>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ab/>
        <w:t xml:space="preserve">The Memorandum in Support </w:t>
      </w:r>
      <w:r w:rsidRPr="001E6727" w:rsidR="0007640E">
        <w:rPr>
          <w:rFonts w:ascii="Times New Roman" w:hAnsi="Times New Roman" w:eastAsiaTheme="minorEastAsia" w:cs="Times New Roman"/>
          <w:sz w:val="24"/>
          <w:szCs w:val="24"/>
        </w:rPr>
        <w:t>gives</w:t>
      </w:r>
      <w:r w:rsidRPr="001E6727">
        <w:rPr>
          <w:rFonts w:ascii="Times New Roman" w:hAnsi="Times New Roman" w:eastAsiaTheme="minorEastAsia" w:cs="Times New Roman"/>
          <w:sz w:val="24"/>
          <w:szCs w:val="24"/>
        </w:rPr>
        <w:t xml:space="preserve"> the reasons for granting this Application for Rehearing.</w:t>
      </w:r>
    </w:p>
    <w:p w:rsidR="00E27FDC" w:rsidRPr="001E6727" w:rsidP="00844ABA" w14:paraId="5848A4D8" w14:textId="3925E35B">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Respectfully submitted,</w:t>
      </w:r>
    </w:p>
    <w:p w:rsidR="00E27FDC" w:rsidRPr="001E6727" w:rsidP="00844ABA" w14:paraId="75E8C530" w14:textId="77777777">
      <w:pPr>
        <w:tabs>
          <w:tab w:val="left" w:pos="4320"/>
          <w:tab w:val="right" w:pos="8640"/>
        </w:tabs>
        <w:spacing w:after="0" w:line="240" w:lineRule="auto"/>
        <w:ind w:left="4320"/>
        <w:rPr>
          <w:rFonts w:ascii="Times New Roman" w:eastAsia="Times New Roman" w:hAnsi="Times New Roman" w:cs="Times New Roman"/>
          <w:sz w:val="24"/>
          <w:szCs w:val="24"/>
        </w:rPr>
      </w:pPr>
    </w:p>
    <w:p w:rsidR="001725A4" w:rsidRPr="001E6727" w:rsidP="00844ABA" w14:paraId="4EEFB4A9" w14:textId="43DFACF4">
      <w:pPr>
        <w:spacing w:after="0" w:line="240" w:lineRule="auto"/>
        <w:ind w:left="4320"/>
        <w:contextualSpacing/>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Maureen R. Willis (0020847)</w:t>
      </w:r>
    </w:p>
    <w:p w:rsidR="00E27FDC" w:rsidRPr="001E6727" w:rsidP="00844ABA" w14:paraId="5642FE5D" w14:textId="6E4457F8">
      <w:pPr>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Ohio Consumers’ Counsel</w:t>
      </w:r>
    </w:p>
    <w:p w:rsidR="00E27FDC" w:rsidRPr="001E6727" w:rsidP="00844ABA" w14:paraId="63250DD3" w14:textId="77777777">
      <w:pPr>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ab/>
      </w:r>
    </w:p>
    <w:p w:rsidR="00E27FDC" w:rsidRPr="001E6727" w:rsidP="00844ABA" w14:paraId="1F9041E7" w14:textId="4C2143F0">
      <w:pPr>
        <w:spacing w:after="0" w:line="240" w:lineRule="auto"/>
        <w:ind w:left="3600" w:firstLine="720"/>
        <w:rPr>
          <w:rFonts w:ascii="Times New Roman" w:eastAsia="Times New Roman" w:hAnsi="Times New Roman" w:cs="Times New Roman"/>
          <w:i/>
          <w:iCs/>
          <w:sz w:val="24"/>
          <w:szCs w:val="24"/>
          <w:u w:val="single"/>
        </w:rPr>
      </w:pPr>
      <w:bookmarkStart w:id="0" w:name="_Hlk86832658"/>
      <w:r w:rsidRPr="001E6727">
        <w:rPr>
          <w:rFonts w:ascii="Times New Roman" w:eastAsia="Times New Roman" w:hAnsi="Times New Roman" w:cs="Times New Roman"/>
          <w:i/>
          <w:iCs/>
          <w:sz w:val="24"/>
          <w:szCs w:val="24"/>
          <w:u w:val="single"/>
        </w:rPr>
        <w:t xml:space="preserve">/s/ </w:t>
      </w:r>
      <w:r w:rsidR="002E5ACE">
        <w:rPr>
          <w:rFonts w:ascii="Times New Roman" w:eastAsia="Times New Roman" w:hAnsi="Times New Roman" w:cs="Times New Roman"/>
          <w:i/>
          <w:iCs/>
          <w:sz w:val="24"/>
          <w:szCs w:val="24"/>
          <w:u w:val="single"/>
        </w:rPr>
        <w:t>John Finnigan</w:t>
      </w:r>
    </w:p>
    <w:bookmarkEnd w:id="0"/>
    <w:p w:rsidR="00E27FDC" w:rsidRPr="001E6727" w:rsidP="00844ABA" w14:paraId="7C3D041F" w14:textId="77777777">
      <w:pPr>
        <w:spacing w:after="0" w:line="240" w:lineRule="auto"/>
        <w:ind w:left="3600" w:firstLine="7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Angela D. O’Brien (0097579)</w:t>
      </w:r>
    </w:p>
    <w:p w:rsidR="00E27FDC" w:rsidRPr="001E6727" w:rsidP="00844ABA" w14:paraId="4BD404DC"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Counsel of Record</w:t>
      </w:r>
    </w:p>
    <w:p w:rsidR="006B084F" w:rsidRPr="001E6727" w:rsidP="00844ABA" w14:paraId="5EDDA25A" w14:textId="5666BE1B">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Deputy Consumers’ Counsel</w:t>
      </w:r>
    </w:p>
    <w:p w:rsidR="00E27FDC" w:rsidRPr="001E6727" w:rsidP="00844ABA" w14:paraId="1FCB3F78"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John Finnigan (0018689)</w:t>
      </w:r>
    </w:p>
    <w:p w:rsidR="00E27FDC" w:rsidRPr="001E6727" w:rsidP="00844ABA" w14:paraId="534EA660"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Assistant Consumers’ Counsel</w:t>
      </w:r>
    </w:p>
    <w:p w:rsidR="00E27FDC" w:rsidRPr="001E6727" w:rsidP="00844ABA" w14:paraId="0B518B2B" w14:textId="77777777">
      <w:pPr>
        <w:tabs>
          <w:tab w:val="left" w:pos="4320"/>
        </w:tabs>
        <w:spacing w:after="0" w:line="240" w:lineRule="auto"/>
        <w:ind w:left="4320"/>
        <w:rPr>
          <w:rFonts w:ascii="Times New Roman" w:eastAsia="Times New Roman" w:hAnsi="Times New Roman" w:cs="Times New Roman"/>
          <w:b/>
          <w:sz w:val="24"/>
          <w:szCs w:val="24"/>
        </w:rPr>
      </w:pPr>
    </w:p>
    <w:p w:rsidR="00E27FDC" w:rsidRPr="001E6727" w:rsidP="00844ABA" w14:paraId="52549F60" w14:textId="77777777">
      <w:pPr>
        <w:tabs>
          <w:tab w:val="left" w:pos="4320"/>
        </w:tabs>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b/>
          <w:sz w:val="24"/>
          <w:szCs w:val="24"/>
        </w:rPr>
        <w:t>Office of the Ohio Consumers’ Counsel</w:t>
      </w:r>
    </w:p>
    <w:p w:rsidR="00E27FDC" w:rsidRPr="001E6727" w:rsidP="00844ABA" w14:paraId="13730CE8"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65 East State Street, Suite 700</w:t>
      </w:r>
    </w:p>
    <w:p w:rsidR="00E27FDC" w:rsidRPr="001E6727" w:rsidP="00844ABA" w14:paraId="3FC2CA64"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Columbus, Ohio 43215</w:t>
      </w:r>
    </w:p>
    <w:p w:rsidR="00E27FDC" w:rsidRPr="001E6727" w:rsidP="00844ABA" w14:paraId="2EDB3B51"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Telephone [O’Brien]: (614) 466-9531</w:t>
      </w:r>
    </w:p>
    <w:p w:rsidR="00E27FDC" w:rsidRPr="001E6727" w:rsidP="00844ABA" w14:paraId="2B7F55DD" w14:textId="77777777">
      <w:pPr>
        <w:autoSpaceDE w:val="0"/>
        <w:autoSpaceDN w:val="0"/>
        <w:adjustRightInd w:val="0"/>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Telephone [Finnigan]: (614) 466-9585</w:t>
      </w:r>
    </w:p>
    <w:p w:rsidR="00E27FDC" w:rsidRPr="001E6727" w:rsidP="00844ABA" w14:paraId="4F0DC50B" w14:textId="77777777">
      <w:pPr>
        <w:autoSpaceDE w:val="0"/>
        <w:autoSpaceDN w:val="0"/>
        <w:adjustRightInd w:val="0"/>
        <w:spacing w:after="0" w:line="240" w:lineRule="auto"/>
        <w:ind w:left="4320"/>
        <w:contextualSpacing/>
        <w:rPr>
          <w:rFonts w:ascii="Times New Roman" w:eastAsia="Calibri" w:hAnsi="Times New Roman" w:cs="Times New Roman"/>
          <w:color w:val="0000FF"/>
          <w:sz w:val="24"/>
          <w:szCs w:val="24"/>
        </w:rPr>
      </w:pPr>
      <w:hyperlink r:id="rId6" w:history="1">
        <w:r w:rsidRPr="001E6727" w:rsidR="00FE4662">
          <w:rPr>
            <w:rStyle w:val="Hyperlink"/>
            <w:rFonts w:ascii="Times New Roman" w:eastAsia="Calibri" w:hAnsi="Times New Roman" w:cs="Times New Roman"/>
            <w:color w:val="0000FF"/>
            <w:sz w:val="24"/>
            <w:szCs w:val="24"/>
          </w:rPr>
          <w:t>angela.obrien@occ.ohio.gov</w:t>
        </w:r>
      </w:hyperlink>
    </w:p>
    <w:p w:rsidR="00E27FDC" w:rsidRPr="001E6727" w:rsidP="00844ABA" w14:paraId="5E4D14F4" w14:textId="77777777">
      <w:pPr>
        <w:autoSpaceDE w:val="0"/>
        <w:autoSpaceDN w:val="0"/>
        <w:adjustRightInd w:val="0"/>
        <w:spacing w:after="0" w:line="240" w:lineRule="auto"/>
        <w:ind w:left="4320"/>
        <w:contextualSpacing/>
        <w:rPr>
          <w:rFonts w:ascii="Times New Roman" w:eastAsia="Calibri" w:hAnsi="Times New Roman" w:cs="Times New Roman"/>
          <w:color w:val="0000FF"/>
          <w:sz w:val="24"/>
          <w:szCs w:val="24"/>
        </w:rPr>
      </w:pPr>
      <w:hyperlink r:id="rId7" w:history="1">
        <w:r w:rsidRPr="001E6727" w:rsidR="00FE4662">
          <w:rPr>
            <w:rStyle w:val="Hyperlink"/>
            <w:rFonts w:ascii="Times New Roman" w:eastAsia="Calibri" w:hAnsi="Times New Roman" w:cs="Times New Roman"/>
            <w:color w:val="0000FF"/>
            <w:sz w:val="24"/>
            <w:szCs w:val="24"/>
          </w:rPr>
          <w:t>john.finnigan@occ.ohio.gov</w:t>
        </w:r>
      </w:hyperlink>
    </w:p>
    <w:p w:rsidR="006D7431" w:rsidRPr="001E6727" w:rsidP="00844ABA" w14:paraId="0E504DB8" w14:textId="564AA7B8">
      <w:pPr>
        <w:autoSpaceDE w:val="0"/>
        <w:autoSpaceDN w:val="0"/>
        <w:adjustRightInd w:val="0"/>
        <w:spacing w:after="0" w:line="240" w:lineRule="auto"/>
        <w:ind w:left="4320"/>
        <w:contextualSpacing/>
        <w:rPr>
          <w:rFonts w:ascii="Times New Roman" w:eastAsia="Calibri" w:hAnsi="Times New Roman" w:cs="Times New Roman"/>
          <w:sz w:val="24"/>
          <w:szCs w:val="24"/>
        </w:rPr>
        <w:sectPr>
          <w:footerReference w:type="default" r:id="rId14"/>
          <w:pgSz w:w="12240" w:h="15840"/>
          <w:pgMar w:top="1440" w:right="1800" w:bottom="1440" w:left="1800" w:header="720" w:footer="720" w:gutter="0"/>
          <w:pgNumType w:start="1"/>
          <w:cols w:space="720"/>
          <w:docGrid w:linePitch="360"/>
        </w:sectPr>
      </w:pPr>
      <w:r w:rsidRPr="001E6727">
        <w:rPr>
          <w:rFonts w:ascii="Times New Roman" w:eastAsia="Calibri" w:hAnsi="Times New Roman" w:cs="Times New Roman"/>
          <w:sz w:val="24"/>
          <w:szCs w:val="24"/>
        </w:rPr>
        <w:t>(willing to accept service by e-mail)</w:t>
      </w:r>
    </w:p>
    <w:p w:rsidR="006D7431" w:rsidRPr="001E6727" w:rsidP="006D7431" w14:paraId="39C23E6C" w14:textId="77777777">
      <w:pPr>
        <w:spacing w:after="0" w:line="240" w:lineRule="auto"/>
        <w:jc w:val="center"/>
        <w:rPr>
          <w:rFonts w:ascii="Times New Roman" w:hAnsi="Times New Roman" w:cs="Times New Roman"/>
          <w:b/>
          <w:caps/>
          <w:sz w:val="24"/>
          <w:szCs w:val="24"/>
          <w:u w:val="single"/>
          <w:lang w:eastAsia="ja-JP"/>
        </w:rPr>
      </w:pPr>
      <w:r w:rsidRPr="001E6727">
        <w:rPr>
          <w:rFonts w:ascii="Times New Roman" w:hAnsi="Times New Roman" w:cs="Times New Roman"/>
          <w:b/>
          <w:caps/>
          <w:sz w:val="24"/>
          <w:szCs w:val="24"/>
          <w:u w:val="single"/>
          <w:lang w:eastAsia="ja-JP"/>
        </w:rPr>
        <w:t>TABLE OF CONTENTS</w:t>
      </w:r>
    </w:p>
    <w:p w:rsidR="006D7431" w:rsidRPr="001E6727" w:rsidP="006D7431" w14:paraId="6BE18003" w14:textId="77777777">
      <w:pPr>
        <w:spacing w:after="0" w:line="240" w:lineRule="auto"/>
        <w:jc w:val="right"/>
        <w:rPr>
          <w:rFonts w:ascii="Times New Roman" w:hAnsi="Times New Roman" w:cs="Times New Roman"/>
          <w:b/>
          <w:caps/>
          <w:sz w:val="24"/>
          <w:szCs w:val="24"/>
          <w:lang w:eastAsia="ja-JP"/>
        </w:rPr>
      </w:pPr>
      <w:r w:rsidRPr="001E6727">
        <w:rPr>
          <w:rFonts w:ascii="Times New Roman" w:hAnsi="Times New Roman" w:cs="Times New Roman"/>
          <w:b/>
          <w:caps/>
          <w:sz w:val="24"/>
          <w:szCs w:val="24"/>
          <w:lang w:eastAsia="ja-JP"/>
        </w:rPr>
        <w:t>PAGE</w:t>
      </w:r>
    </w:p>
    <w:p w:rsidR="006D7431" w:rsidRPr="001E6727" w:rsidP="006D7431" w14:paraId="44F8D792" w14:textId="77777777">
      <w:pPr>
        <w:spacing w:after="0" w:line="240" w:lineRule="auto"/>
        <w:rPr>
          <w:rFonts w:ascii="Times New Roman" w:hAnsi="Times New Roman" w:cs="Times New Roman"/>
          <w:b/>
          <w:caps/>
          <w:sz w:val="24"/>
          <w:szCs w:val="24"/>
          <w:lang w:eastAsia="ja-JP"/>
        </w:rPr>
      </w:pPr>
    </w:p>
    <w:p w:rsidR="0004087D" w14:paraId="1B807215" w14:textId="1C9A89BE">
      <w:pPr>
        <w:pStyle w:val="TOC1"/>
        <w:rPr>
          <w:rFonts w:asciiTheme="minorHAnsi" w:eastAsiaTheme="minorEastAsia" w:hAnsiTheme="minorHAnsi"/>
          <w:noProof/>
          <w:kern w:val="2"/>
          <w:sz w:val="22"/>
          <w14:ligatures w14:val="standardContextual"/>
        </w:rPr>
      </w:pPr>
      <w:r>
        <w:rPr>
          <w:rFonts w:eastAsia="Times New Roman" w:cs="Times New Roman"/>
          <w:b/>
          <w:bCs/>
          <w:szCs w:val="24"/>
        </w:rPr>
        <w:fldChar w:fldCharType="begin"/>
      </w:r>
      <w:r>
        <w:rPr>
          <w:rFonts w:eastAsia="Times New Roman" w:cs="Times New Roman"/>
          <w:b/>
          <w:bCs/>
          <w:szCs w:val="24"/>
        </w:rPr>
        <w:instrText xml:space="preserve"> TOC \o "1-3" \h \z \u </w:instrText>
      </w:r>
      <w:r>
        <w:rPr>
          <w:rFonts w:eastAsia="Times New Roman" w:cs="Times New Roman"/>
          <w:b/>
          <w:bCs/>
          <w:szCs w:val="24"/>
        </w:rPr>
        <w:fldChar w:fldCharType="separate"/>
      </w:r>
      <w:hyperlink w:anchor="_Toc147500821" w:history="1">
        <w:r w:rsidRPr="002F0A08">
          <w:rPr>
            <w:rStyle w:val="Hyperlink"/>
            <w:noProof/>
          </w:rPr>
          <w:t>I.</w:t>
        </w:r>
        <w:r>
          <w:rPr>
            <w:rFonts w:asciiTheme="minorHAnsi" w:eastAsiaTheme="minorEastAsia" w:hAnsiTheme="minorHAnsi"/>
            <w:noProof/>
            <w:kern w:val="2"/>
            <w:sz w:val="22"/>
            <w14:ligatures w14:val="standardContextual"/>
          </w:rPr>
          <w:tab/>
        </w:r>
        <w:r w:rsidRPr="002F0A08">
          <w:rPr>
            <w:rStyle w:val="Hyperlink"/>
            <w:noProof/>
          </w:rPr>
          <w:t>INTRODUCTION</w:t>
        </w:r>
        <w:r>
          <w:rPr>
            <w:noProof/>
            <w:webHidden/>
          </w:rPr>
          <w:tab/>
        </w:r>
        <w:r>
          <w:rPr>
            <w:noProof/>
            <w:webHidden/>
          </w:rPr>
          <w:fldChar w:fldCharType="begin"/>
        </w:r>
        <w:r>
          <w:rPr>
            <w:noProof/>
            <w:webHidden/>
          </w:rPr>
          <w:instrText xml:space="preserve"> PAGEREF _Toc147500821 \h </w:instrText>
        </w:r>
        <w:r>
          <w:rPr>
            <w:noProof/>
            <w:webHidden/>
          </w:rPr>
          <w:fldChar w:fldCharType="separate"/>
        </w:r>
        <w:r>
          <w:rPr>
            <w:noProof/>
            <w:webHidden/>
          </w:rPr>
          <w:t>1</w:t>
        </w:r>
        <w:r>
          <w:rPr>
            <w:noProof/>
            <w:webHidden/>
          </w:rPr>
          <w:fldChar w:fldCharType="end"/>
        </w:r>
      </w:hyperlink>
    </w:p>
    <w:p w:rsidR="0004087D" w14:paraId="29A54102" w14:textId="401EACA9">
      <w:pPr>
        <w:pStyle w:val="TOC1"/>
        <w:rPr>
          <w:rFonts w:asciiTheme="minorHAnsi" w:eastAsiaTheme="minorEastAsia" w:hAnsiTheme="minorHAnsi"/>
          <w:noProof/>
          <w:kern w:val="2"/>
          <w:sz w:val="22"/>
          <w14:ligatures w14:val="standardContextual"/>
        </w:rPr>
      </w:pPr>
      <w:hyperlink w:anchor="_Toc147500822" w:history="1">
        <w:r w:rsidRPr="002F0A08">
          <w:rPr>
            <w:rStyle w:val="Hyperlink"/>
            <w:noProof/>
          </w:rPr>
          <w:t>II.</w:t>
        </w:r>
        <w:r>
          <w:rPr>
            <w:rFonts w:asciiTheme="minorHAnsi" w:eastAsiaTheme="minorEastAsia" w:hAnsiTheme="minorHAnsi"/>
            <w:noProof/>
            <w:kern w:val="2"/>
            <w:sz w:val="22"/>
            <w14:ligatures w14:val="standardContextual"/>
          </w:rPr>
          <w:tab/>
        </w:r>
        <w:r w:rsidRPr="002F0A08">
          <w:rPr>
            <w:rStyle w:val="Hyperlink"/>
            <w:noProof/>
          </w:rPr>
          <w:t>ASSIGNMENTS OF ERROR</w:t>
        </w:r>
        <w:r>
          <w:rPr>
            <w:noProof/>
            <w:webHidden/>
          </w:rPr>
          <w:tab/>
        </w:r>
        <w:r>
          <w:rPr>
            <w:noProof/>
            <w:webHidden/>
          </w:rPr>
          <w:fldChar w:fldCharType="begin"/>
        </w:r>
        <w:r>
          <w:rPr>
            <w:noProof/>
            <w:webHidden/>
          </w:rPr>
          <w:instrText xml:space="preserve"> PAGEREF _Toc147500822 \h </w:instrText>
        </w:r>
        <w:r>
          <w:rPr>
            <w:noProof/>
            <w:webHidden/>
          </w:rPr>
          <w:fldChar w:fldCharType="separate"/>
        </w:r>
        <w:r>
          <w:rPr>
            <w:noProof/>
            <w:webHidden/>
          </w:rPr>
          <w:t>3</w:t>
        </w:r>
        <w:r>
          <w:rPr>
            <w:noProof/>
            <w:webHidden/>
          </w:rPr>
          <w:fldChar w:fldCharType="end"/>
        </w:r>
      </w:hyperlink>
    </w:p>
    <w:p w:rsidR="0004087D" w14:paraId="43BBB81A" w14:textId="624D4B8C">
      <w:pPr>
        <w:pStyle w:val="TOC2"/>
        <w:rPr>
          <w:rFonts w:asciiTheme="minorHAnsi" w:eastAsiaTheme="minorEastAsia" w:hAnsiTheme="minorHAnsi"/>
          <w:noProof/>
          <w:kern w:val="2"/>
          <w:sz w:val="22"/>
          <w14:ligatures w14:val="standardContextual"/>
        </w:rPr>
      </w:pPr>
      <w:hyperlink w:anchor="_Toc147500823" w:history="1">
        <w:r w:rsidRPr="002F0A08">
          <w:rPr>
            <w:rStyle w:val="Hyperlink"/>
            <w:noProof/>
          </w:rPr>
          <w:t xml:space="preserve">ASSIGNMENT OF ERROR 1: The PUCO erred in determining that all costs </w:t>
        </w:r>
        <w:r>
          <w:rPr>
            <w:rStyle w:val="Hyperlink"/>
            <w:noProof/>
          </w:rPr>
          <w:br/>
        </w:r>
        <w:r w:rsidRPr="002F0A08">
          <w:rPr>
            <w:rStyle w:val="Hyperlink"/>
            <w:noProof/>
          </w:rPr>
          <w:t xml:space="preserve">charged by Duke to consumers through the price stabilization rider for January 1, 2019 through December 31, 2019 were prudent. The PUCO’s Order allowing Duke to </w:t>
        </w:r>
        <w:r>
          <w:rPr>
            <w:rStyle w:val="Hyperlink"/>
            <w:noProof/>
          </w:rPr>
          <w:br/>
        </w:r>
        <w:r w:rsidRPr="002F0A08">
          <w:rPr>
            <w:rStyle w:val="Hyperlink"/>
            <w:noProof/>
          </w:rPr>
          <w:t xml:space="preserve">charge consumers $24.6 million in above-market energy costs disregards evidence </w:t>
        </w:r>
        <w:r>
          <w:rPr>
            <w:rStyle w:val="Hyperlink"/>
            <w:noProof/>
          </w:rPr>
          <w:br/>
        </w:r>
        <w:r w:rsidRPr="002F0A08">
          <w:rPr>
            <w:rStyle w:val="Hyperlink"/>
            <w:noProof/>
          </w:rPr>
          <w:t xml:space="preserve">that Duke’s commitment strategy for OVEC in the PJM market was imprudent and </w:t>
        </w:r>
        <w:r>
          <w:rPr>
            <w:rStyle w:val="Hyperlink"/>
            <w:noProof/>
          </w:rPr>
          <w:br/>
        </w:r>
        <w:r w:rsidRPr="002F0A08">
          <w:rPr>
            <w:rStyle w:val="Hyperlink"/>
            <w:noProof/>
          </w:rPr>
          <w:t xml:space="preserve">not in the best interest of consumers in violation of R.C. 4903.13 To protect </w:t>
        </w:r>
        <w:r>
          <w:rPr>
            <w:rStyle w:val="Hyperlink"/>
            <w:noProof/>
          </w:rPr>
          <w:br/>
        </w:r>
        <w:r w:rsidRPr="002F0A08">
          <w:rPr>
            <w:rStyle w:val="Hyperlink"/>
            <w:noProof/>
          </w:rPr>
          <w:t>consumers, the PUCO should grant rehearing and abrogate or modify the Order.</w:t>
        </w:r>
        <w:r>
          <w:rPr>
            <w:noProof/>
            <w:webHidden/>
          </w:rPr>
          <w:tab/>
        </w:r>
        <w:r>
          <w:rPr>
            <w:noProof/>
            <w:webHidden/>
          </w:rPr>
          <w:fldChar w:fldCharType="begin"/>
        </w:r>
        <w:r>
          <w:rPr>
            <w:noProof/>
            <w:webHidden/>
          </w:rPr>
          <w:instrText xml:space="preserve"> PAGEREF _Toc147500823 \h </w:instrText>
        </w:r>
        <w:r>
          <w:rPr>
            <w:noProof/>
            <w:webHidden/>
          </w:rPr>
          <w:fldChar w:fldCharType="separate"/>
        </w:r>
        <w:r>
          <w:rPr>
            <w:noProof/>
            <w:webHidden/>
          </w:rPr>
          <w:t>3</w:t>
        </w:r>
        <w:r>
          <w:rPr>
            <w:noProof/>
            <w:webHidden/>
          </w:rPr>
          <w:fldChar w:fldCharType="end"/>
        </w:r>
      </w:hyperlink>
    </w:p>
    <w:p w:rsidR="0004087D" w14:paraId="13929723" w14:textId="68E90BF7">
      <w:pPr>
        <w:pStyle w:val="TOC2"/>
        <w:rPr>
          <w:rFonts w:asciiTheme="minorHAnsi" w:eastAsiaTheme="minorEastAsia" w:hAnsiTheme="minorHAnsi"/>
          <w:noProof/>
          <w:kern w:val="2"/>
          <w:sz w:val="22"/>
          <w14:ligatures w14:val="standardContextual"/>
        </w:rPr>
      </w:pPr>
      <w:hyperlink w:anchor="_Toc147500824" w:history="1">
        <w:r w:rsidRPr="002F0A08">
          <w:rPr>
            <w:rStyle w:val="Hyperlink"/>
            <w:noProof/>
          </w:rPr>
          <w:t xml:space="preserve">ASSIGNMENT OF ERROR 2: The PUCO failed to follow past precedent when it </w:t>
        </w:r>
        <w:r>
          <w:rPr>
            <w:rStyle w:val="Hyperlink"/>
            <w:noProof/>
          </w:rPr>
          <w:br/>
        </w:r>
        <w:r w:rsidRPr="002F0A08">
          <w:rPr>
            <w:rStyle w:val="Hyperlink"/>
            <w:noProof/>
          </w:rPr>
          <w:t xml:space="preserve">did not review the coal plant subsidy costs according to its prior announced standards. The PUCO ruled that “[r]etail cost recovery may be disallowed as a result of the annual prudency review if the output from the units was not bid in a manner that is consistent with participation in a broader competitive marketplace comprised of sellers attempting to maximize revenues . . . [and] that bidding behavior is prudent and in the best interest </w:t>
        </w:r>
        <w:r>
          <w:rPr>
            <w:rStyle w:val="Hyperlink"/>
            <w:noProof/>
          </w:rPr>
          <w:br/>
        </w:r>
        <w:r w:rsidRPr="002F0A08">
          <w:rPr>
            <w:rStyle w:val="Hyperlink"/>
            <w:noProof/>
          </w:rPr>
          <w:t xml:space="preserve">of retail ratepayers.” In re Ohio Power PPA Rider, Case No. 14-1693-EL-RDR, Opinion and Order at 89 (Mar. 31, 2016). The PUCO’s failure to follow this precedent, </w:t>
        </w:r>
        <w:r>
          <w:rPr>
            <w:rStyle w:val="Hyperlink"/>
            <w:noProof/>
          </w:rPr>
          <w:br/>
        </w:r>
        <w:r w:rsidRPr="002F0A08">
          <w:rPr>
            <w:rStyle w:val="Hyperlink"/>
            <w:noProof/>
          </w:rPr>
          <w:t>without providing any reason, violates R.C. 4903.09.</w:t>
        </w:r>
        <w:r>
          <w:rPr>
            <w:noProof/>
            <w:webHidden/>
          </w:rPr>
          <w:tab/>
        </w:r>
        <w:r>
          <w:rPr>
            <w:noProof/>
            <w:webHidden/>
          </w:rPr>
          <w:fldChar w:fldCharType="begin"/>
        </w:r>
        <w:r>
          <w:rPr>
            <w:noProof/>
            <w:webHidden/>
          </w:rPr>
          <w:instrText xml:space="preserve"> PAGEREF _Toc147500824 \h </w:instrText>
        </w:r>
        <w:r>
          <w:rPr>
            <w:noProof/>
            <w:webHidden/>
          </w:rPr>
          <w:fldChar w:fldCharType="separate"/>
        </w:r>
        <w:r>
          <w:rPr>
            <w:noProof/>
            <w:webHidden/>
          </w:rPr>
          <w:t>8</w:t>
        </w:r>
        <w:r>
          <w:rPr>
            <w:noProof/>
            <w:webHidden/>
          </w:rPr>
          <w:fldChar w:fldCharType="end"/>
        </w:r>
      </w:hyperlink>
    </w:p>
    <w:p w:rsidR="0004087D" w14:paraId="79BCDD72" w14:textId="0165B7BA">
      <w:pPr>
        <w:pStyle w:val="TOC2"/>
        <w:rPr>
          <w:rFonts w:asciiTheme="minorHAnsi" w:eastAsiaTheme="minorEastAsia" w:hAnsiTheme="minorHAnsi"/>
          <w:noProof/>
          <w:kern w:val="2"/>
          <w:sz w:val="22"/>
          <w14:ligatures w14:val="standardContextual"/>
        </w:rPr>
      </w:pPr>
      <w:hyperlink w:anchor="_Toc147500825" w:history="1">
        <w:r w:rsidRPr="002F0A08">
          <w:rPr>
            <w:rStyle w:val="Hyperlink"/>
            <w:noProof/>
          </w:rPr>
          <w:t xml:space="preserve">ASSIGNMENT OF ERROR 3: The PUCO erred by excluding relevant evidence regarding the Auditor’s conclusions in another case about another utility’s costs to operate the exact same coal plants during the same time period. The PUCO’s </w:t>
        </w:r>
        <w:r>
          <w:rPr>
            <w:rStyle w:val="Hyperlink"/>
            <w:noProof/>
          </w:rPr>
          <w:br/>
        </w:r>
        <w:r w:rsidRPr="002F0A08">
          <w:rPr>
            <w:rStyle w:val="Hyperlink"/>
            <w:noProof/>
          </w:rPr>
          <w:t xml:space="preserve">exclusion of evidence that the Auditor concluded in a draft audit report that </w:t>
        </w:r>
        <w:r>
          <w:rPr>
            <w:rStyle w:val="Hyperlink"/>
            <w:noProof/>
          </w:rPr>
          <w:br/>
        </w:r>
        <w:r w:rsidRPr="002F0A08">
          <w:rPr>
            <w:rStyle w:val="Hyperlink"/>
            <w:noProof/>
          </w:rPr>
          <w:t xml:space="preserve">operating the coal plants is not in the best interest of consumers was unreasonable. </w:t>
        </w:r>
        <w:r>
          <w:rPr>
            <w:rStyle w:val="Hyperlink"/>
            <w:noProof/>
          </w:rPr>
          <w:br/>
        </w:r>
        <w:r w:rsidRPr="002F0A08">
          <w:rPr>
            <w:rStyle w:val="Hyperlink"/>
            <w:noProof/>
          </w:rPr>
          <w:t xml:space="preserve">To protect consumers, the PUCO should grant rehearing and abrogate or modify the Order to include this evidence, which is directly relevant to whether Duke’s operation </w:t>
        </w:r>
        <w:r>
          <w:rPr>
            <w:rStyle w:val="Hyperlink"/>
            <w:noProof/>
          </w:rPr>
          <w:br/>
        </w:r>
        <w:r w:rsidRPr="002F0A08">
          <w:rPr>
            <w:rStyle w:val="Hyperlink"/>
            <w:noProof/>
          </w:rPr>
          <w:t>of the OVEC plants was prudent and in the best interest of consumers.</w:t>
        </w:r>
        <w:r>
          <w:rPr>
            <w:noProof/>
            <w:webHidden/>
          </w:rPr>
          <w:tab/>
        </w:r>
        <w:r>
          <w:rPr>
            <w:noProof/>
            <w:webHidden/>
          </w:rPr>
          <w:fldChar w:fldCharType="begin"/>
        </w:r>
        <w:r>
          <w:rPr>
            <w:noProof/>
            <w:webHidden/>
          </w:rPr>
          <w:instrText xml:space="preserve"> PAGEREF _Toc147500825 \h </w:instrText>
        </w:r>
        <w:r>
          <w:rPr>
            <w:noProof/>
            <w:webHidden/>
          </w:rPr>
          <w:fldChar w:fldCharType="separate"/>
        </w:r>
        <w:r>
          <w:rPr>
            <w:noProof/>
            <w:webHidden/>
          </w:rPr>
          <w:t>10</w:t>
        </w:r>
        <w:r>
          <w:rPr>
            <w:noProof/>
            <w:webHidden/>
          </w:rPr>
          <w:fldChar w:fldCharType="end"/>
        </w:r>
      </w:hyperlink>
    </w:p>
    <w:p w:rsidR="0004087D" w14:paraId="5D886668" w14:textId="33A7D5D0">
      <w:pPr>
        <w:pStyle w:val="TOC1"/>
        <w:rPr>
          <w:rFonts w:asciiTheme="minorHAnsi" w:eastAsiaTheme="minorEastAsia" w:hAnsiTheme="minorHAnsi"/>
          <w:noProof/>
          <w:kern w:val="2"/>
          <w:sz w:val="22"/>
          <w14:ligatures w14:val="standardContextual"/>
        </w:rPr>
      </w:pPr>
      <w:hyperlink w:anchor="_Toc147500826" w:history="1">
        <w:r w:rsidRPr="002F0A08">
          <w:rPr>
            <w:rStyle w:val="Hyperlink"/>
            <w:noProof/>
          </w:rPr>
          <w:t>III.</w:t>
        </w:r>
        <w:r>
          <w:rPr>
            <w:rFonts w:asciiTheme="minorHAnsi" w:eastAsiaTheme="minorEastAsia" w:hAnsiTheme="minorHAnsi"/>
            <w:noProof/>
            <w:kern w:val="2"/>
            <w:sz w:val="22"/>
            <w14:ligatures w14:val="standardContextual"/>
          </w:rPr>
          <w:tab/>
        </w:r>
        <w:r w:rsidRPr="002F0A08">
          <w:rPr>
            <w:rStyle w:val="Hyperlink"/>
            <w:noProof/>
          </w:rPr>
          <w:t>CONCLUSION</w:t>
        </w:r>
        <w:r>
          <w:rPr>
            <w:noProof/>
            <w:webHidden/>
          </w:rPr>
          <w:tab/>
        </w:r>
        <w:r>
          <w:rPr>
            <w:noProof/>
            <w:webHidden/>
          </w:rPr>
          <w:fldChar w:fldCharType="begin"/>
        </w:r>
        <w:r>
          <w:rPr>
            <w:noProof/>
            <w:webHidden/>
          </w:rPr>
          <w:instrText xml:space="preserve"> PAGEREF _Toc147500826 \h </w:instrText>
        </w:r>
        <w:r>
          <w:rPr>
            <w:noProof/>
            <w:webHidden/>
          </w:rPr>
          <w:fldChar w:fldCharType="separate"/>
        </w:r>
        <w:r>
          <w:rPr>
            <w:noProof/>
            <w:webHidden/>
          </w:rPr>
          <w:t>15</w:t>
        </w:r>
        <w:r>
          <w:rPr>
            <w:noProof/>
            <w:webHidden/>
          </w:rPr>
          <w:fldChar w:fldCharType="end"/>
        </w:r>
      </w:hyperlink>
    </w:p>
    <w:p w:rsidR="006D7431" w:rsidRPr="001E6727" w:rsidP="006D7431" w14:paraId="631CC616" w14:textId="54CD97B2">
      <w:pPr>
        <w:spacing w:after="0" w:line="240" w:lineRule="auto"/>
        <w:jc w:val="center"/>
        <w:rPr>
          <w:rFonts w:ascii="Times New Roman" w:eastAsia="Times New Roman" w:hAnsi="Times New Roman" w:cs="Times New Roman"/>
          <w:b/>
          <w:sz w:val="24"/>
          <w:szCs w:val="24"/>
        </w:rPr>
        <w:sectPr>
          <w:footerReference w:type="default" r:id="rId15"/>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b/>
          <w:bCs/>
          <w:sz w:val="24"/>
          <w:szCs w:val="24"/>
        </w:rPr>
        <w:fldChar w:fldCharType="end"/>
      </w:r>
    </w:p>
    <w:p w:rsidR="00725788" w:rsidRPr="001E6727" w:rsidP="00725788" w14:paraId="046551DA" w14:textId="7111525A">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BEFORE</w:t>
      </w:r>
    </w:p>
    <w:p w:rsidR="00725788" w:rsidRPr="001E6727" w:rsidP="00725788" w14:paraId="3E01DD6E" w14:textId="77777777">
      <w:pP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THE PUBLIC UTILITIES COMMISSION OF OHIO</w:t>
      </w:r>
    </w:p>
    <w:p w:rsidR="00725788" w:rsidRPr="001E6727" w:rsidP="00725788" w14:paraId="68989881" w14:textId="77777777">
      <w:pPr>
        <w:spacing w:after="0" w:line="240" w:lineRule="auto"/>
        <w:rPr>
          <w:rFonts w:ascii="Times New Roman" w:eastAsia="Times New Roman" w:hAnsi="Times New Roman" w:cs="Times New Roman"/>
          <w:sz w:val="24"/>
          <w:szCs w:val="24"/>
        </w:rPr>
      </w:pPr>
    </w:p>
    <w:tbl>
      <w:tblPr>
        <w:tblW w:w="9450" w:type="dxa"/>
        <w:tblLook w:val="01E0"/>
      </w:tblPr>
      <w:tblGrid>
        <w:gridCol w:w="4230"/>
        <w:gridCol w:w="540"/>
        <w:gridCol w:w="4680"/>
      </w:tblGrid>
      <w:tr w14:paraId="05CD4B57" w14:textId="77777777" w:rsidTr="00572C8C">
        <w:tblPrEx>
          <w:tblW w:w="9450" w:type="dxa"/>
          <w:tblLook w:val="01E0"/>
        </w:tblPrEx>
        <w:trPr>
          <w:trHeight w:val="807"/>
        </w:trPr>
        <w:tc>
          <w:tcPr>
            <w:tcW w:w="4230" w:type="dxa"/>
            <w:shd w:val="clear" w:color="auto" w:fill="auto"/>
          </w:tcPr>
          <w:p w:rsidR="00725788" w:rsidRPr="001E6727" w:rsidP="00572C8C" w14:paraId="411F7B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In the Matter of the Review of the Reconciliation Rider of Duke Energy Ohio, Inc.</w:t>
            </w:r>
          </w:p>
        </w:tc>
        <w:tc>
          <w:tcPr>
            <w:tcW w:w="540" w:type="dxa"/>
            <w:shd w:val="clear" w:color="auto" w:fill="auto"/>
          </w:tcPr>
          <w:p w:rsidR="00725788" w:rsidRPr="001E6727" w:rsidP="00572C8C" w14:paraId="6FBED6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725788" w:rsidRPr="001E6727" w:rsidP="00572C8C" w14:paraId="07252C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p w:rsidR="00725788" w:rsidRPr="001E6727" w:rsidP="00572C8C" w14:paraId="382BC4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w:t>
            </w:r>
          </w:p>
        </w:tc>
        <w:tc>
          <w:tcPr>
            <w:tcW w:w="4680" w:type="dxa"/>
            <w:shd w:val="clear" w:color="auto" w:fill="auto"/>
          </w:tcPr>
          <w:p w:rsidR="00725788" w:rsidRPr="001E6727" w:rsidP="00572C8C" w14:paraId="020D90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25788" w:rsidRPr="001E6727" w:rsidP="00572C8C" w14:paraId="5D730D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E6727">
              <w:rPr>
                <w:rFonts w:ascii="Times New Roman" w:eastAsia="Courier New" w:hAnsi="Times New Roman" w:cs="Times New Roman"/>
                <w:sz w:val="24"/>
                <w:szCs w:val="24"/>
              </w:rPr>
              <w:t xml:space="preserve"> Case No. 20-167-EL-RDR</w:t>
            </w:r>
          </w:p>
          <w:p w:rsidR="00725788" w:rsidRPr="001E6727" w:rsidP="00572C8C" w14:paraId="21D1B9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725788" w:rsidRPr="001E6727" w:rsidP="00725788" w14:paraId="2FCFF723" w14:textId="77777777">
      <w:pPr>
        <w:spacing w:after="0" w:line="240" w:lineRule="auto"/>
        <w:rPr>
          <w:rFonts w:ascii="Times New Roman" w:eastAsia="Times New Roman" w:hAnsi="Times New Roman" w:cs="Times New Roman"/>
          <w:sz w:val="24"/>
          <w:szCs w:val="24"/>
        </w:rPr>
      </w:pPr>
    </w:p>
    <w:p w:rsidR="00725788" w:rsidRPr="001E6727" w:rsidP="00725788" w14:paraId="5848CBD6" w14:textId="77777777">
      <w:pPr>
        <w:pBdr>
          <w:top w:val="single" w:sz="12" w:space="1" w:color="auto"/>
        </w:pBdr>
        <w:spacing w:after="0" w:line="240" w:lineRule="auto"/>
        <w:rPr>
          <w:rFonts w:ascii="Times New Roman" w:eastAsia="Times New Roman" w:hAnsi="Times New Roman" w:cs="Times New Roman"/>
          <w:sz w:val="24"/>
          <w:szCs w:val="24"/>
        </w:rPr>
      </w:pPr>
    </w:p>
    <w:p w:rsidR="00725788" w:rsidRPr="001E6727" w:rsidP="00806756" w14:paraId="5EF6405C" w14:textId="55ADE14B">
      <w:pPr>
        <w:pBdr>
          <w:bottom w:val="single" w:sz="12" w:space="1" w:color="auto"/>
        </w:pBdr>
        <w:spacing w:after="0" w:line="240" w:lineRule="auto"/>
        <w:jc w:val="center"/>
        <w:rPr>
          <w:rFonts w:ascii="Times New Roman" w:eastAsia="Times New Roman" w:hAnsi="Times New Roman" w:cs="Times New Roman"/>
          <w:b/>
          <w:sz w:val="24"/>
          <w:szCs w:val="24"/>
        </w:rPr>
      </w:pPr>
      <w:r w:rsidRPr="001E6727">
        <w:rPr>
          <w:rFonts w:ascii="Times New Roman" w:eastAsia="Times New Roman" w:hAnsi="Times New Roman" w:cs="Times New Roman"/>
          <w:b/>
          <w:sz w:val="24"/>
          <w:szCs w:val="24"/>
        </w:rPr>
        <w:t>MEMORANDUM IN SUPPORT</w:t>
      </w:r>
    </w:p>
    <w:p w:rsidR="00806756" w:rsidRPr="001E6727" w:rsidP="00806756" w14:paraId="0169C3DE" w14:textId="77777777">
      <w:pPr>
        <w:pBdr>
          <w:bottom w:val="single" w:sz="12" w:space="1" w:color="auto"/>
        </w:pBdr>
        <w:spacing w:after="0" w:line="240" w:lineRule="auto"/>
        <w:jc w:val="center"/>
        <w:rPr>
          <w:rFonts w:ascii="Times New Roman" w:eastAsia="Times New Roman" w:hAnsi="Times New Roman" w:cs="Times New Roman"/>
          <w:sz w:val="24"/>
          <w:szCs w:val="24"/>
        </w:rPr>
      </w:pPr>
    </w:p>
    <w:p w:rsidR="006D7431" w:rsidRPr="001E6727" w:rsidP="006D7431" w14:paraId="6B9F694A" w14:textId="77777777">
      <w:pPr>
        <w:pStyle w:val="Heading1"/>
        <w:spacing w:after="0"/>
      </w:pPr>
    </w:p>
    <w:p w:rsidR="006D7431" w:rsidRPr="001E6727" w:rsidP="00B50AE5" w14:paraId="40375E70" w14:textId="291D7F0A">
      <w:pPr>
        <w:pStyle w:val="Heading1"/>
        <w:spacing w:after="0" w:line="480" w:lineRule="auto"/>
        <w:ind w:left="720" w:hanging="720"/>
      </w:pPr>
      <w:bookmarkStart w:id="1" w:name="_Toc147500821"/>
      <w:r w:rsidRPr="001E6727">
        <w:t>I.</w:t>
      </w:r>
      <w:r w:rsidRPr="001E6727">
        <w:tab/>
        <w:t>INTRODUCTION</w:t>
      </w:r>
      <w:bookmarkEnd w:id="1"/>
    </w:p>
    <w:p w:rsidR="007508B8" w:rsidRPr="001E6727" w:rsidP="008F3600" w14:paraId="7ED75C61" w14:textId="768D7EA7">
      <w:pPr>
        <w:spacing w:after="0" w:line="480" w:lineRule="auto"/>
        <w:ind w:firstLine="720"/>
        <w:rPr>
          <w:rFonts w:ascii="Times New Roman" w:hAnsi="Times New Roman" w:cs="Times New Roman"/>
          <w:sz w:val="24"/>
          <w:szCs w:val="24"/>
        </w:rPr>
      </w:pPr>
      <w:r w:rsidRPr="001E6727">
        <w:rPr>
          <w:rFonts w:ascii="Times New Roman" w:eastAsia="Calibri" w:hAnsi="Times New Roman" w:cs="Times New Roman"/>
          <w:sz w:val="24"/>
          <w:szCs w:val="24"/>
        </w:rPr>
        <w:t>This case concerns</w:t>
      </w:r>
      <w:r w:rsidR="009A41AD">
        <w:rPr>
          <w:rFonts w:ascii="Times New Roman" w:eastAsia="Calibri" w:hAnsi="Times New Roman" w:cs="Times New Roman"/>
          <w:sz w:val="24"/>
          <w:szCs w:val="24"/>
        </w:rPr>
        <w:t xml:space="preserve"> </w:t>
      </w:r>
      <w:r w:rsidRPr="001E6727" w:rsidR="0006332A">
        <w:rPr>
          <w:rFonts w:ascii="Times New Roman" w:eastAsia="Calibri" w:hAnsi="Times New Roman" w:cs="Times New Roman"/>
          <w:sz w:val="24"/>
          <w:szCs w:val="24"/>
        </w:rPr>
        <w:t>the PUCO’s</w:t>
      </w:r>
      <w:r w:rsidRPr="001E6727">
        <w:rPr>
          <w:rFonts w:ascii="Times New Roman" w:eastAsia="Calibri" w:hAnsi="Times New Roman" w:cs="Times New Roman"/>
          <w:sz w:val="24"/>
          <w:szCs w:val="24"/>
        </w:rPr>
        <w:t xml:space="preserve"> audit of Duke’s </w:t>
      </w:r>
      <w:r w:rsidRPr="001E6727" w:rsidR="0006332A">
        <w:rPr>
          <w:rFonts w:ascii="Times New Roman" w:eastAsia="Calibri" w:hAnsi="Times New Roman" w:cs="Times New Roman"/>
          <w:sz w:val="24"/>
          <w:szCs w:val="24"/>
        </w:rPr>
        <w:t>c</w:t>
      </w:r>
      <w:r w:rsidRPr="001E6727">
        <w:rPr>
          <w:rFonts w:ascii="Times New Roman" w:eastAsia="Calibri" w:hAnsi="Times New Roman" w:cs="Times New Roman"/>
          <w:sz w:val="24"/>
          <w:szCs w:val="24"/>
        </w:rPr>
        <w:t xml:space="preserve">oal </w:t>
      </w:r>
      <w:r w:rsidRPr="001E6727" w:rsidR="0006332A">
        <w:rPr>
          <w:rFonts w:ascii="Times New Roman" w:eastAsia="Calibri" w:hAnsi="Times New Roman" w:cs="Times New Roman"/>
          <w:sz w:val="24"/>
          <w:szCs w:val="24"/>
        </w:rPr>
        <w:t>p</w:t>
      </w:r>
      <w:r w:rsidRPr="001E6727">
        <w:rPr>
          <w:rFonts w:ascii="Times New Roman" w:eastAsia="Calibri" w:hAnsi="Times New Roman" w:cs="Times New Roman"/>
          <w:sz w:val="24"/>
          <w:szCs w:val="24"/>
        </w:rPr>
        <w:t xml:space="preserve">lant </w:t>
      </w:r>
      <w:r w:rsidRPr="001E6727" w:rsidR="0006332A">
        <w:rPr>
          <w:rFonts w:ascii="Times New Roman" w:eastAsia="Calibri" w:hAnsi="Times New Roman" w:cs="Times New Roman"/>
          <w:sz w:val="24"/>
          <w:szCs w:val="24"/>
        </w:rPr>
        <w:t>s</w:t>
      </w:r>
      <w:r w:rsidRPr="001E6727">
        <w:rPr>
          <w:rFonts w:ascii="Times New Roman" w:eastAsia="Calibri" w:hAnsi="Times New Roman" w:cs="Times New Roman"/>
          <w:sz w:val="24"/>
          <w:szCs w:val="24"/>
        </w:rPr>
        <w:t>ubsidy costs</w:t>
      </w:r>
      <w:r w:rsidRPr="001E6727" w:rsidR="0006332A">
        <w:rPr>
          <w:rFonts w:ascii="Times New Roman" w:eastAsia="Calibri" w:hAnsi="Times New Roman" w:cs="Times New Roman"/>
          <w:sz w:val="24"/>
          <w:szCs w:val="24"/>
        </w:rPr>
        <w:t xml:space="preserve"> charged to Ohioans</w:t>
      </w:r>
      <w:r w:rsidRPr="001E6727">
        <w:rPr>
          <w:rFonts w:ascii="Times New Roman" w:eastAsia="Calibri" w:hAnsi="Times New Roman" w:cs="Times New Roman"/>
          <w:sz w:val="24"/>
          <w:szCs w:val="24"/>
        </w:rPr>
        <w:t xml:space="preserve"> </w:t>
      </w:r>
      <w:r w:rsidRPr="001E6727" w:rsidR="00C10B1E">
        <w:rPr>
          <w:rFonts w:ascii="Times New Roman" w:eastAsia="Calibri" w:hAnsi="Times New Roman" w:cs="Times New Roman"/>
          <w:sz w:val="24"/>
          <w:szCs w:val="24"/>
        </w:rPr>
        <w:t xml:space="preserve">in </w:t>
      </w:r>
      <w:r w:rsidRPr="001E6727">
        <w:rPr>
          <w:rFonts w:ascii="Times New Roman" w:eastAsia="Calibri" w:hAnsi="Times New Roman" w:cs="Times New Roman"/>
          <w:sz w:val="24"/>
          <w:szCs w:val="24"/>
        </w:rPr>
        <w:t>2019</w:t>
      </w:r>
      <w:r w:rsidRPr="001E6727" w:rsidR="0006332A">
        <w:rPr>
          <w:rFonts w:ascii="Times New Roman" w:eastAsia="Calibri" w:hAnsi="Times New Roman" w:cs="Times New Roman"/>
          <w:sz w:val="24"/>
          <w:szCs w:val="24"/>
        </w:rPr>
        <w:t xml:space="preserve"> through Duke’s</w:t>
      </w:r>
      <w:r w:rsidRPr="001E6727" w:rsidR="00C10B1E">
        <w:rPr>
          <w:rFonts w:ascii="Times New Roman" w:eastAsia="Calibri" w:hAnsi="Times New Roman" w:cs="Times New Roman"/>
          <w:sz w:val="24"/>
          <w:szCs w:val="24"/>
        </w:rPr>
        <w:t xml:space="preserve"> PUCO-approved</w:t>
      </w:r>
      <w:r w:rsidRPr="001E6727" w:rsidR="0006332A">
        <w:rPr>
          <w:rFonts w:ascii="Times New Roman" w:eastAsia="Calibri" w:hAnsi="Times New Roman" w:cs="Times New Roman"/>
          <w:sz w:val="24"/>
          <w:szCs w:val="24"/>
        </w:rPr>
        <w:t xml:space="preserve"> </w:t>
      </w:r>
      <w:r w:rsidRPr="001E6727" w:rsidR="00C10B1E">
        <w:rPr>
          <w:rFonts w:ascii="Times New Roman" w:eastAsia="Calibri" w:hAnsi="Times New Roman" w:cs="Times New Roman"/>
          <w:sz w:val="24"/>
          <w:szCs w:val="24"/>
        </w:rPr>
        <w:t>P</w:t>
      </w:r>
      <w:r w:rsidRPr="001E6727" w:rsidR="0006332A">
        <w:rPr>
          <w:rFonts w:ascii="Times New Roman" w:eastAsia="Calibri" w:hAnsi="Times New Roman" w:cs="Times New Roman"/>
          <w:sz w:val="24"/>
          <w:szCs w:val="24"/>
        </w:rPr>
        <w:t xml:space="preserve">rice </w:t>
      </w:r>
      <w:r w:rsidRPr="001E6727" w:rsidR="00C10B1E">
        <w:rPr>
          <w:rFonts w:ascii="Times New Roman" w:eastAsia="Calibri" w:hAnsi="Times New Roman" w:cs="Times New Roman"/>
          <w:sz w:val="24"/>
          <w:szCs w:val="24"/>
        </w:rPr>
        <w:t>S</w:t>
      </w:r>
      <w:r w:rsidRPr="001E6727" w:rsidR="0006332A">
        <w:rPr>
          <w:rFonts w:ascii="Times New Roman" w:eastAsia="Calibri" w:hAnsi="Times New Roman" w:cs="Times New Roman"/>
          <w:sz w:val="24"/>
          <w:szCs w:val="24"/>
        </w:rPr>
        <w:t xml:space="preserve">tabilization </w:t>
      </w:r>
      <w:r w:rsidRPr="001E6727" w:rsidR="00C10B1E">
        <w:rPr>
          <w:rFonts w:ascii="Times New Roman" w:eastAsia="Calibri" w:hAnsi="Times New Roman" w:cs="Times New Roman"/>
          <w:sz w:val="24"/>
          <w:szCs w:val="24"/>
        </w:rPr>
        <w:t>R</w:t>
      </w:r>
      <w:r w:rsidRPr="001E6727" w:rsidR="0006332A">
        <w:rPr>
          <w:rFonts w:ascii="Times New Roman" w:eastAsia="Calibri" w:hAnsi="Times New Roman" w:cs="Times New Roman"/>
          <w:sz w:val="24"/>
          <w:szCs w:val="24"/>
        </w:rPr>
        <w:t>ider</w:t>
      </w:r>
      <w:r w:rsidRPr="001E6727" w:rsidR="00C10B1E">
        <w:rPr>
          <w:rFonts w:ascii="Times New Roman" w:eastAsia="Calibri" w:hAnsi="Times New Roman" w:cs="Times New Roman"/>
          <w:sz w:val="24"/>
          <w:szCs w:val="24"/>
        </w:rPr>
        <w:t xml:space="preserve"> (“PSR”)</w:t>
      </w:r>
      <w:r w:rsidRPr="001E6727">
        <w:rPr>
          <w:rFonts w:ascii="Times New Roman" w:eastAsia="Calibri" w:hAnsi="Times New Roman" w:cs="Times New Roman"/>
          <w:sz w:val="24"/>
          <w:szCs w:val="24"/>
        </w:rPr>
        <w:t>.</w:t>
      </w:r>
      <w:r w:rsidRPr="001E6727" w:rsidR="0006332A">
        <w:rPr>
          <w:rFonts w:ascii="Times New Roman" w:eastAsia="Calibri" w:hAnsi="Times New Roman" w:cs="Times New Roman"/>
          <w:sz w:val="24"/>
          <w:szCs w:val="24"/>
        </w:rPr>
        <w:t xml:space="preserve"> In a September 6, Order, the PUCO determined that Duke </w:t>
      </w:r>
      <w:r w:rsidRPr="001E6727" w:rsidR="007E02A2">
        <w:rPr>
          <w:rFonts w:ascii="Times New Roman" w:eastAsia="Calibri" w:hAnsi="Times New Roman" w:cs="Times New Roman"/>
          <w:sz w:val="24"/>
          <w:szCs w:val="24"/>
        </w:rPr>
        <w:t xml:space="preserve">properly </w:t>
      </w:r>
      <w:r w:rsidRPr="001E6727" w:rsidR="0006332A">
        <w:rPr>
          <w:rFonts w:ascii="Times New Roman" w:eastAsia="Calibri" w:hAnsi="Times New Roman" w:cs="Times New Roman"/>
          <w:sz w:val="24"/>
          <w:szCs w:val="24"/>
        </w:rPr>
        <w:t xml:space="preserve">charged Ohio consumers $24.6 million in above-market energy costs </w:t>
      </w:r>
      <w:r w:rsidRPr="001E6727" w:rsidR="00561C44">
        <w:rPr>
          <w:rFonts w:ascii="Times New Roman" w:eastAsia="Calibri" w:hAnsi="Times New Roman" w:cs="Times New Roman"/>
          <w:sz w:val="24"/>
          <w:szCs w:val="24"/>
        </w:rPr>
        <w:t>to operate</w:t>
      </w:r>
      <w:r w:rsidR="001E6727">
        <w:rPr>
          <w:rFonts w:ascii="Times New Roman" w:eastAsia="Calibri" w:hAnsi="Times New Roman" w:cs="Times New Roman"/>
          <w:sz w:val="24"/>
          <w:szCs w:val="24"/>
        </w:rPr>
        <w:t xml:space="preserve"> </w:t>
      </w:r>
      <w:r w:rsidRPr="001E6727">
        <w:rPr>
          <w:rFonts w:ascii="Times New Roman" w:eastAsia="Calibri" w:hAnsi="Times New Roman" w:cs="Times New Roman"/>
          <w:sz w:val="24"/>
          <w:szCs w:val="24"/>
        </w:rPr>
        <w:t xml:space="preserve">two </w:t>
      </w:r>
      <w:r w:rsidRPr="001E6727" w:rsidR="0006332A">
        <w:rPr>
          <w:rFonts w:ascii="Times New Roman" w:eastAsia="Calibri" w:hAnsi="Times New Roman" w:cs="Times New Roman"/>
          <w:sz w:val="24"/>
          <w:szCs w:val="24"/>
        </w:rPr>
        <w:t xml:space="preserve">dirty </w:t>
      </w:r>
      <w:r w:rsidRPr="001E6727">
        <w:rPr>
          <w:rFonts w:ascii="Times New Roman" w:eastAsia="Calibri" w:hAnsi="Times New Roman" w:cs="Times New Roman"/>
          <w:sz w:val="24"/>
          <w:szCs w:val="24"/>
        </w:rPr>
        <w:t>old</w:t>
      </w:r>
      <w:r w:rsidRPr="001E6727" w:rsidR="00561C44">
        <w:rPr>
          <w:rFonts w:ascii="Times New Roman" w:eastAsia="Calibri" w:hAnsi="Times New Roman" w:cs="Times New Roman"/>
          <w:sz w:val="24"/>
          <w:szCs w:val="24"/>
        </w:rPr>
        <w:t xml:space="preserve"> inefficient</w:t>
      </w:r>
      <w:r w:rsidRPr="001E6727">
        <w:rPr>
          <w:rFonts w:ascii="Times New Roman" w:eastAsia="Calibri" w:hAnsi="Times New Roman" w:cs="Times New Roman"/>
          <w:sz w:val="24"/>
          <w:szCs w:val="24"/>
        </w:rPr>
        <w:t xml:space="preserve"> coal plants </w:t>
      </w:r>
      <w:r w:rsidRPr="001E6727" w:rsidR="0006332A">
        <w:rPr>
          <w:rFonts w:ascii="Times New Roman" w:eastAsia="Calibri" w:hAnsi="Times New Roman" w:cs="Times New Roman"/>
          <w:sz w:val="24"/>
          <w:szCs w:val="24"/>
        </w:rPr>
        <w:t>– one of which is in Indiana</w:t>
      </w:r>
      <w:r w:rsidRPr="001E6727" w:rsidR="00561C44">
        <w:rPr>
          <w:rFonts w:ascii="Times New Roman" w:eastAsia="Calibri" w:hAnsi="Times New Roman" w:cs="Times New Roman"/>
          <w:sz w:val="24"/>
          <w:szCs w:val="24"/>
        </w:rPr>
        <w:t>. The coal plants are</w:t>
      </w:r>
      <w:r w:rsidRPr="001E6727" w:rsidR="0006332A">
        <w:rPr>
          <w:rFonts w:ascii="Times New Roman" w:eastAsia="Calibri" w:hAnsi="Times New Roman" w:cs="Times New Roman"/>
          <w:sz w:val="24"/>
          <w:szCs w:val="24"/>
        </w:rPr>
        <w:t xml:space="preserve"> </w:t>
      </w:r>
      <w:r w:rsidRPr="001E6727">
        <w:rPr>
          <w:rFonts w:ascii="Times New Roman" w:eastAsia="Calibri" w:hAnsi="Times New Roman" w:cs="Times New Roman"/>
          <w:sz w:val="24"/>
          <w:szCs w:val="24"/>
        </w:rPr>
        <w:t>owned</w:t>
      </w:r>
      <w:r w:rsidRPr="001E6727" w:rsidR="00561C44">
        <w:rPr>
          <w:rFonts w:ascii="Times New Roman" w:eastAsia="Calibri" w:hAnsi="Times New Roman" w:cs="Times New Roman"/>
          <w:sz w:val="24"/>
          <w:szCs w:val="24"/>
        </w:rPr>
        <w:t xml:space="preserve"> and operated</w:t>
      </w:r>
      <w:r w:rsidRPr="001E6727">
        <w:rPr>
          <w:rFonts w:ascii="Times New Roman" w:eastAsia="Calibri" w:hAnsi="Times New Roman" w:cs="Times New Roman"/>
          <w:sz w:val="24"/>
          <w:szCs w:val="24"/>
        </w:rPr>
        <w:t xml:space="preserve"> by the Ohio Valley Electric Corporation (“OVEC”),</w:t>
      </w:r>
      <w:r w:rsidR="001E6727">
        <w:rPr>
          <w:rFonts w:ascii="Times New Roman" w:eastAsia="Calibri" w:hAnsi="Times New Roman" w:cs="Times New Roman"/>
          <w:sz w:val="24"/>
          <w:szCs w:val="24"/>
        </w:rPr>
        <w:t xml:space="preserve"> </w:t>
      </w:r>
      <w:r w:rsidRPr="001E6727" w:rsidR="00561C44">
        <w:rPr>
          <w:rFonts w:ascii="Times New Roman" w:eastAsia="Calibri" w:hAnsi="Times New Roman" w:cs="Times New Roman"/>
          <w:sz w:val="24"/>
          <w:szCs w:val="24"/>
        </w:rPr>
        <w:t xml:space="preserve">which is </w:t>
      </w:r>
      <w:r w:rsidRPr="001E6727" w:rsidR="00C10B1E">
        <w:rPr>
          <w:rFonts w:ascii="Times New Roman" w:eastAsia="Calibri" w:hAnsi="Times New Roman" w:cs="Times New Roman"/>
          <w:sz w:val="24"/>
          <w:szCs w:val="24"/>
        </w:rPr>
        <w:t xml:space="preserve">in turn </w:t>
      </w:r>
      <w:r w:rsidRPr="001E6727">
        <w:rPr>
          <w:rFonts w:ascii="Times New Roman" w:eastAsia="Calibri" w:hAnsi="Times New Roman" w:cs="Times New Roman"/>
          <w:sz w:val="24"/>
          <w:szCs w:val="24"/>
        </w:rPr>
        <w:t xml:space="preserve">owned by </w:t>
      </w:r>
      <w:r w:rsidRPr="001E6727" w:rsidR="0006332A">
        <w:rPr>
          <w:rFonts w:ascii="Times New Roman" w:eastAsia="Calibri" w:hAnsi="Times New Roman" w:cs="Times New Roman"/>
          <w:sz w:val="24"/>
          <w:szCs w:val="24"/>
        </w:rPr>
        <w:t xml:space="preserve">Duke and other </w:t>
      </w:r>
      <w:r w:rsidRPr="001E6727">
        <w:rPr>
          <w:rFonts w:ascii="Times New Roman" w:eastAsia="Calibri" w:hAnsi="Times New Roman" w:cs="Times New Roman"/>
          <w:sz w:val="24"/>
          <w:szCs w:val="24"/>
        </w:rPr>
        <w:t>electric utilities</w:t>
      </w:r>
      <w:r w:rsidR="00CD07D4">
        <w:rPr>
          <w:rFonts w:ascii="Times New Roman" w:eastAsia="Calibri" w:hAnsi="Times New Roman" w:cs="Times New Roman"/>
          <w:sz w:val="24"/>
          <w:szCs w:val="24"/>
        </w:rPr>
        <w:t xml:space="preserve"> and electric cooperatives</w:t>
      </w:r>
      <w:r w:rsidRPr="001E6727" w:rsidR="00561C44">
        <w:rPr>
          <w:rFonts w:ascii="Times New Roman" w:eastAsia="Calibri" w:hAnsi="Times New Roman" w:cs="Times New Roman"/>
          <w:sz w:val="24"/>
          <w:szCs w:val="24"/>
        </w:rPr>
        <w:t>.</w:t>
      </w:r>
      <w:r w:rsidRPr="001E6727">
        <w:rPr>
          <w:rFonts w:ascii="Times New Roman" w:eastAsia="Calibri" w:hAnsi="Times New Roman" w:cs="Times New Roman"/>
          <w:sz w:val="24"/>
          <w:szCs w:val="24"/>
        </w:rPr>
        <w:t xml:space="preserve"> </w:t>
      </w:r>
      <w:r w:rsidRPr="001E6727" w:rsidR="007E02A2">
        <w:rPr>
          <w:rFonts w:ascii="Times New Roman" w:eastAsia="Calibri" w:hAnsi="Times New Roman" w:cs="Times New Roman"/>
          <w:sz w:val="24"/>
          <w:szCs w:val="24"/>
        </w:rPr>
        <w:t>The PUCO should grant rehearing to abrogate or modify its Order allowing Duke to charge consumers for the $24.6 million in above-market energy costs to operate the OVEC plants.</w:t>
      </w:r>
      <w:bookmarkStart w:id="2" w:name="_Toc109294641"/>
    </w:p>
    <w:p w:rsidR="007508B8" w:rsidRPr="001E6727" w:rsidP="007508B8" w14:paraId="26FFEEB3" w14:textId="28540C1B">
      <w:pPr>
        <w:spacing w:after="0" w:line="480" w:lineRule="auto"/>
        <w:ind w:firstLine="720"/>
        <w:rPr>
          <w:rFonts w:ascii="Times New Roman" w:hAnsi="Times New Roman" w:cs="Times New Roman"/>
          <w:sz w:val="24"/>
          <w:szCs w:val="24"/>
        </w:rPr>
      </w:pPr>
      <w:r w:rsidRPr="001E6727">
        <w:rPr>
          <w:rFonts w:ascii="Times New Roman" w:hAnsi="Times New Roman" w:cs="Times New Roman"/>
          <w:color w:val="000000"/>
          <w:sz w:val="24"/>
          <w:szCs w:val="24"/>
        </w:rPr>
        <w:t>The Office of the Ohio Consumers’ Counsel (“OCC”) and the Ohio Manufacturers’ Association Energy Group (“OMAEG”) presented evidence that t</w:t>
      </w:r>
      <w:r w:rsidRPr="001E6727">
        <w:rPr>
          <w:rFonts w:ascii="Times New Roman" w:hAnsi="Times New Roman" w:cs="Times New Roman"/>
          <w:color w:val="000000"/>
          <w:sz w:val="24"/>
          <w:szCs w:val="24"/>
        </w:rPr>
        <w:t>he OVEC plants are old, inefficient, and costly to maintain and operate.</w:t>
      </w:r>
      <w:r>
        <w:rPr>
          <w:rStyle w:val="FootnoteReference"/>
          <w:rFonts w:ascii="Times New Roman" w:hAnsi="Times New Roman" w:cs="Times New Roman"/>
          <w:color w:val="000000"/>
          <w:sz w:val="24"/>
          <w:szCs w:val="24"/>
        </w:rPr>
        <w:footnoteReference w:id="5"/>
      </w:r>
      <w:r w:rsidRPr="001E6727">
        <w:rPr>
          <w:rFonts w:ascii="Times New Roman" w:hAnsi="Times New Roman" w:cs="Times New Roman"/>
          <w:color w:val="000000"/>
          <w:sz w:val="24"/>
          <w:szCs w:val="24"/>
        </w:rPr>
        <w:t xml:space="preserve"> The</w:t>
      </w:r>
      <w:r w:rsidRPr="001E6727">
        <w:rPr>
          <w:rFonts w:ascii="Times New Roman" w:hAnsi="Times New Roman" w:cs="Times New Roman"/>
          <w:color w:val="000000"/>
          <w:sz w:val="24"/>
          <w:szCs w:val="24"/>
        </w:rPr>
        <w:t xml:space="preserve"> OVEC plants cannot compete in the competitive </w:t>
      </w:r>
      <w:r w:rsidRPr="001E6727">
        <w:rPr>
          <w:rFonts w:ascii="Times New Roman" w:hAnsi="Times New Roman" w:cs="Times New Roman"/>
          <w:color w:val="000000"/>
          <w:sz w:val="24"/>
          <w:szCs w:val="24"/>
        </w:rPr>
        <w:t>market, due in large part to the entry and abundance of new renewable generation and gas facilities that are coming online.</w:t>
      </w:r>
      <w:r>
        <w:rPr>
          <w:rStyle w:val="FootnoteReference"/>
          <w:rFonts w:ascii="Times New Roman" w:hAnsi="Times New Roman" w:cs="Times New Roman"/>
          <w:color w:val="000000"/>
          <w:sz w:val="24"/>
          <w:szCs w:val="24"/>
        </w:rPr>
        <w:footnoteReference w:id="6"/>
      </w:r>
      <w:bookmarkStart w:id="4" w:name="_Toc109294642"/>
      <w:bookmarkEnd w:id="2"/>
      <w:r w:rsidRPr="001E6727">
        <w:rPr>
          <w:rFonts w:ascii="Times New Roman" w:hAnsi="Times New Roman" w:cs="Times New Roman"/>
          <w:color w:val="000000"/>
          <w:sz w:val="24"/>
          <w:szCs w:val="24"/>
        </w:rPr>
        <w:t xml:space="preserve"> In 2019, OVEC’s costs for energy and capacity were significantly higher than market prices for energy and capacity. These high costs were passed on to the </w:t>
      </w:r>
      <w:r w:rsidRPr="001E6727">
        <w:rPr>
          <w:rFonts w:ascii="Times New Roman" w:hAnsi="Times New Roman" w:cs="Times New Roman"/>
          <w:color w:val="000000"/>
          <w:sz w:val="24"/>
          <w:szCs w:val="24"/>
        </w:rPr>
        <w:t xml:space="preserve">companies </w:t>
      </w:r>
      <w:r w:rsidRPr="001E6727">
        <w:rPr>
          <w:rFonts w:ascii="Times New Roman" w:hAnsi="Times New Roman" w:cs="Times New Roman"/>
          <w:color w:val="000000"/>
          <w:sz w:val="24"/>
          <w:szCs w:val="24"/>
        </w:rPr>
        <w:t>that own OVEC, including Duke</w:t>
      </w:r>
      <w:r w:rsidRPr="001E6727">
        <w:rPr>
          <w:rFonts w:ascii="Times New Roman" w:hAnsi="Times New Roman" w:cs="Times New Roman"/>
          <w:color w:val="000000"/>
          <w:sz w:val="24"/>
          <w:szCs w:val="24"/>
        </w:rPr>
        <w:t>,</w:t>
      </w:r>
      <w:r w:rsidRPr="001E6727">
        <w:rPr>
          <w:rFonts w:ascii="Times New Roman" w:hAnsi="Times New Roman" w:cs="Times New Roman"/>
          <w:color w:val="000000"/>
          <w:sz w:val="24"/>
          <w:szCs w:val="24"/>
        </w:rPr>
        <w:t xml:space="preserve"> which owns a nine percent (9.0%) share in OVEC.</w:t>
      </w:r>
      <w:r>
        <w:rPr>
          <w:rStyle w:val="FootnoteReference"/>
          <w:rFonts w:ascii="Times New Roman" w:hAnsi="Times New Roman" w:cs="Times New Roman"/>
          <w:color w:val="000000"/>
          <w:sz w:val="24"/>
          <w:szCs w:val="24"/>
        </w:rPr>
        <w:footnoteReference w:id="7"/>
      </w:r>
      <w:bookmarkStart w:id="6" w:name="_Toc109294643"/>
      <w:bookmarkEnd w:id="4"/>
      <w:r w:rsidRPr="001E6727">
        <w:rPr>
          <w:rFonts w:ascii="Times New Roman" w:hAnsi="Times New Roman" w:cs="Times New Roman"/>
          <w:color w:val="000000"/>
          <w:sz w:val="24"/>
          <w:szCs w:val="24"/>
        </w:rPr>
        <w:t xml:space="preserve"> </w:t>
      </w:r>
      <w:r w:rsidRPr="001E6727">
        <w:rPr>
          <w:rFonts w:ascii="Times New Roman" w:hAnsi="Times New Roman" w:cs="Times New Roman"/>
          <w:sz w:val="24"/>
          <w:szCs w:val="24"/>
        </w:rPr>
        <w:t>I</w:t>
      </w:r>
      <w:r w:rsidRPr="001E6727">
        <w:rPr>
          <w:rFonts w:ascii="Times New Roman" w:hAnsi="Times New Roman" w:cs="Times New Roman"/>
          <w:sz w:val="24"/>
          <w:szCs w:val="24"/>
        </w:rPr>
        <w:t xml:space="preserve">n 2019, Duke incurred $24,635,143.47 in above-market costs for power from </w:t>
      </w:r>
      <w:bookmarkStart w:id="7" w:name="_Hlk109133129"/>
      <w:r w:rsidRPr="001E6727">
        <w:rPr>
          <w:rFonts w:ascii="Times New Roman" w:hAnsi="Times New Roman" w:cs="Times New Roman"/>
          <w:sz w:val="24"/>
          <w:szCs w:val="24"/>
        </w:rPr>
        <w:t xml:space="preserve">OVEC </w:t>
      </w:r>
      <w:bookmarkEnd w:id="7"/>
      <w:r w:rsidRPr="001E6727">
        <w:rPr>
          <w:rFonts w:ascii="Times New Roman" w:hAnsi="Times New Roman" w:cs="Times New Roman"/>
          <w:sz w:val="24"/>
          <w:szCs w:val="24"/>
        </w:rPr>
        <w:t>plants</w:t>
      </w:r>
      <w:r w:rsidRPr="001E6727">
        <w:rPr>
          <w:rFonts w:ascii="Times New Roman" w:hAnsi="Times New Roman" w:cs="Times New Roman"/>
          <w:sz w:val="24"/>
          <w:szCs w:val="24"/>
        </w:rPr>
        <w:t xml:space="preserve">. </w:t>
      </w:r>
      <w:r w:rsidRPr="001E6727" w:rsidR="00444886">
        <w:rPr>
          <w:rFonts w:ascii="Times New Roman" w:hAnsi="Times New Roman" w:cs="Times New Roman"/>
          <w:sz w:val="24"/>
          <w:szCs w:val="24"/>
        </w:rPr>
        <w:t>Duke</w:t>
      </w:r>
      <w:r w:rsidRPr="001E6727">
        <w:rPr>
          <w:rFonts w:ascii="Times New Roman" w:hAnsi="Times New Roman" w:cs="Times New Roman"/>
          <w:sz w:val="24"/>
          <w:szCs w:val="24"/>
        </w:rPr>
        <w:t xml:space="preserve"> passed the costs on to Ohio consumers through the PSR,</w:t>
      </w:r>
      <w:r w:rsidRPr="001E6727" w:rsidR="007E02A2">
        <w:rPr>
          <w:rFonts w:ascii="Times New Roman" w:hAnsi="Times New Roman" w:cs="Times New Roman"/>
          <w:sz w:val="24"/>
          <w:szCs w:val="24"/>
        </w:rPr>
        <w:t xml:space="preserve"> an action the PUCO</w:t>
      </w:r>
      <w:r w:rsidRPr="001E6727">
        <w:rPr>
          <w:rFonts w:ascii="Times New Roman" w:hAnsi="Times New Roman" w:cs="Times New Roman"/>
          <w:sz w:val="24"/>
          <w:szCs w:val="24"/>
        </w:rPr>
        <w:t xml:space="preserve"> approved</w:t>
      </w:r>
      <w:r w:rsidRPr="001E6727" w:rsidR="007E02A2">
        <w:rPr>
          <w:rFonts w:ascii="Times New Roman" w:hAnsi="Times New Roman" w:cs="Times New Roman"/>
          <w:sz w:val="24"/>
          <w:szCs w:val="24"/>
        </w:rPr>
        <w:t xml:space="preserve"> in the September 6 Order. But Duke’s foisting of $24.6 million on to Ohioans</w:t>
      </w:r>
      <w:r w:rsidR="001E6727">
        <w:rPr>
          <w:rFonts w:ascii="Times New Roman" w:hAnsi="Times New Roman" w:cs="Times New Roman"/>
          <w:sz w:val="24"/>
          <w:szCs w:val="24"/>
        </w:rPr>
        <w:t xml:space="preserve"> </w:t>
      </w:r>
      <w:r w:rsidRPr="001E6727">
        <w:rPr>
          <w:rFonts w:ascii="Times New Roman" w:hAnsi="Times New Roman" w:cs="Times New Roman"/>
          <w:sz w:val="24"/>
          <w:szCs w:val="24"/>
        </w:rPr>
        <w:t>was neither prudent nor in the consumers’ best interest.</w:t>
      </w:r>
      <w:bookmarkEnd w:id="6"/>
      <w:r w:rsidRPr="001E6727">
        <w:rPr>
          <w:rFonts w:ascii="Times New Roman" w:hAnsi="Times New Roman" w:cs="Times New Roman"/>
          <w:sz w:val="24"/>
          <w:szCs w:val="24"/>
        </w:rPr>
        <w:t xml:space="preserve"> </w:t>
      </w:r>
      <w:bookmarkStart w:id="8" w:name="_Toc109294644"/>
      <w:r w:rsidR="007E0671">
        <w:rPr>
          <w:rFonts w:ascii="Times New Roman" w:hAnsi="Times New Roman" w:cs="Times New Roman"/>
          <w:sz w:val="24"/>
          <w:szCs w:val="24"/>
        </w:rPr>
        <w:t xml:space="preserve">And the power from these coal plants was not </w:t>
      </w:r>
      <w:r w:rsidRPr="00C8548A" w:rsidR="007E0671">
        <w:rPr>
          <w:rFonts w:ascii="Times New Roman" w:hAnsi="Times New Roman" w:eastAsiaTheme="minorEastAsia" w:cs="Times New Roman"/>
          <w:sz w:val="24"/>
          <w:szCs w:val="24"/>
        </w:rPr>
        <w:t>bid in</w:t>
      </w:r>
      <w:r w:rsidR="007E0671">
        <w:rPr>
          <w:rFonts w:ascii="Times New Roman" w:hAnsi="Times New Roman" w:eastAsiaTheme="minorEastAsia" w:cs="Times New Roman"/>
          <w:sz w:val="24"/>
          <w:szCs w:val="24"/>
        </w:rPr>
        <w:t xml:space="preserve">to the market in </w:t>
      </w:r>
      <w:r w:rsidR="003A0995">
        <w:rPr>
          <w:rFonts w:ascii="Times New Roman" w:hAnsi="Times New Roman" w:eastAsiaTheme="minorEastAsia" w:cs="Times New Roman"/>
          <w:sz w:val="24"/>
          <w:szCs w:val="24"/>
        </w:rPr>
        <w:t>manner that is consistent with how merchant coal plant operators</w:t>
      </w:r>
      <w:r w:rsidR="00A06793">
        <w:rPr>
          <w:rFonts w:ascii="Times New Roman" w:hAnsi="Times New Roman" w:eastAsiaTheme="minorEastAsia" w:cs="Times New Roman"/>
          <w:sz w:val="24"/>
          <w:szCs w:val="24"/>
        </w:rPr>
        <w:t xml:space="preserve"> would bid when they are</w:t>
      </w:r>
      <w:r w:rsidR="006227AA">
        <w:rPr>
          <w:rFonts w:ascii="Times New Roman" w:hAnsi="Times New Roman" w:eastAsiaTheme="minorEastAsia" w:cs="Times New Roman"/>
          <w:sz w:val="24"/>
          <w:szCs w:val="24"/>
        </w:rPr>
        <w:t xml:space="preserve"> </w:t>
      </w:r>
      <w:r w:rsidR="003A0995">
        <w:rPr>
          <w:rFonts w:ascii="Times New Roman" w:hAnsi="Times New Roman" w:eastAsiaTheme="minorEastAsia" w:cs="Times New Roman"/>
          <w:sz w:val="24"/>
          <w:szCs w:val="24"/>
        </w:rPr>
        <w:t>seeking to maximize profits</w:t>
      </w:r>
      <w:r w:rsidR="00A06793">
        <w:rPr>
          <w:rFonts w:ascii="Times New Roman" w:hAnsi="Times New Roman" w:eastAsiaTheme="minorEastAsia" w:cs="Times New Roman"/>
          <w:sz w:val="24"/>
          <w:szCs w:val="24"/>
        </w:rPr>
        <w:t>.</w:t>
      </w:r>
    </w:p>
    <w:p w:rsidR="007508B8" w:rsidRPr="001E6727" w:rsidP="007508B8" w14:paraId="43750D70" w14:textId="196E9987">
      <w:pPr>
        <w:spacing w:after="0" w:line="480" w:lineRule="auto"/>
        <w:ind w:firstLine="720"/>
        <w:rPr>
          <w:rFonts w:ascii="Times New Roman" w:hAnsi="Times New Roman" w:cs="Times New Roman"/>
          <w:sz w:val="24"/>
          <w:szCs w:val="24"/>
        </w:rPr>
      </w:pPr>
      <w:r w:rsidRPr="001E6727">
        <w:rPr>
          <w:rFonts w:ascii="Times New Roman" w:hAnsi="Times New Roman" w:cs="Times New Roman"/>
          <w:sz w:val="24"/>
          <w:szCs w:val="24"/>
        </w:rPr>
        <w:t>The PUCO selected</w:t>
      </w:r>
      <w:r w:rsidRPr="001E6727" w:rsidR="003F71AF">
        <w:rPr>
          <w:rFonts w:ascii="Times New Roman" w:hAnsi="Times New Roman" w:cs="Times New Roman"/>
          <w:sz w:val="24"/>
          <w:szCs w:val="24"/>
        </w:rPr>
        <w:t xml:space="preserve"> London Economics International, LLC (“Auditor”)</w:t>
      </w:r>
      <w:r w:rsidRPr="001E6727">
        <w:rPr>
          <w:rFonts w:ascii="Times New Roman" w:hAnsi="Times New Roman" w:cs="Times New Roman"/>
          <w:sz w:val="24"/>
          <w:szCs w:val="24"/>
        </w:rPr>
        <w:t xml:space="preserve"> to conduct an independent audit of Duke</w:t>
      </w:r>
      <w:r w:rsidRPr="001E6727" w:rsidR="003F71AF">
        <w:rPr>
          <w:rFonts w:ascii="Times New Roman" w:hAnsi="Times New Roman" w:cs="Times New Roman"/>
          <w:sz w:val="24"/>
          <w:szCs w:val="24"/>
        </w:rPr>
        <w:t>’s</w:t>
      </w:r>
      <w:r w:rsidRPr="001E6727">
        <w:rPr>
          <w:rFonts w:ascii="Times New Roman" w:hAnsi="Times New Roman" w:cs="Times New Roman"/>
          <w:sz w:val="24"/>
          <w:szCs w:val="24"/>
        </w:rPr>
        <w:t xml:space="preserve"> P</w:t>
      </w:r>
      <w:r w:rsidRPr="001E6727" w:rsidR="003F71AF">
        <w:rPr>
          <w:rFonts w:ascii="Times New Roman" w:hAnsi="Times New Roman" w:cs="Times New Roman"/>
          <w:sz w:val="24"/>
          <w:szCs w:val="24"/>
        </w:rPr>
        <w:t>rice Stabilization Rider</w:t>
      </w:r>
      <w:r w:rsidRPr="001E6727">
        <w:rPr>
          <w:rFonts w:ascii="Times New Roman" w:hAnsi="Times New Roman" w:cs="Times New Roman"/>
          <w:sz w:val="24"/>
          <w:szCs w:val="24"/>
        </w:rPr>
        <w:t xml:space="preserve"> for the period of January 1, 2019, through December 31, 2019.</w:t>
      </w:r>
      <w:r>
        <w:rPr>
          <w:rStyle w:val="FootnoteReference"/>
          <w:rFonts w:ascii="Times New Roman" w:hAnsi="Times New Roman" w:cs="Times New Roman"/>
          <w:sz w:val="24"/>
          <w:szCs w:val="24"/>
        </w:rPr>
        <w:footnoteReference w:id="8"/>
      </w:r>
      <w:r w:rsidRPr="001E6727">
        <w:rPr>
          <w:rFonts w:ascii="Times New Roman" w:hAnsi="Times New Roman" w:cs="Times New Roman"/>
          <w:sz w:val="24"/>
          <w:szCs w:val="24"/>
        </w:rPr>
        <w:t xml:space="preserve"> The final Audit Report for this proceeding was issued on October </w:t>
      </w:r>
      <w:r w:rsidRPr="001E6727" w:rsidR="003F71AF">
        <w:rPr>
          <w:rFonts w:ascii="Times New Roman" w:hAnsi="Times New Roman" w:cs="Times New Roman"/>
          <w:sz w:val="24"/>
          <w:szCs w:val="24"/>
        </w:rPr>
        <w:t>15, 2020</w:t>
      </w:r>
      <w:r w:rsidRPr="001E6727">
        <w:rPr>
          <w:rFonts w:ascii="Times New Roman" w:hAnsi="Times New Roman" w:cs="Times New Roman"/>
          <w:sz w:val="24"/>
          <w:szCs w:val="24"/>
        </w:rPr>
        <w:t xml:space="preserve"> and detailed </w:t>
      </w:r>
      <w:r w:rsidR="00CD07D4">
        <w:rPr>
          <w:rFonts w:ascii="Times New Roman" w:hAnsi="Times New Roman" w:cs="Times New Roman"/>
          <w:sz w:val="24"/>
          <w:szCs w:val="24"/>
        </w:rPr>
        <w:t>the Auditor</w:t>
      </w:r>
      <w:r w:rsidRPr="001E6727">
        <w:rPr>
          <w:rFonts w:ascii="Times New Roman" w:hAnsi="Times New Roman" w:cs="Times New Roman"/>
          <w:sz w:val="24"/>
          <w:szCs w:val="24"/>
        </w:rPr>
        <w:t>’s review of costs associated with Duke’s contractual entitlement to a share of the electrical output of generating units owned by OVEC.</w:t>
      </w:r>
      <w:bookmarkStart w:id="9" w:name="_Toc109294645"/>
      <w:bookmarkEnd w:id="8"/>
    </w:p>
    <w:p w:rsidR="007508B8" w:rsidRPr="001E6727" w:rsidP="007508B8" w14:paraId="7C91554E" w14:textId="425F93AF">
      <w:pPr>
        <w:spacing w:after="0" w:line="480" w:lineRule="auto"/>
        <w:ind w:firstLine="720"/>
        <w:rPr>
          <w:rFonts w:ascii="Times New Roman" w:hAnsi="Times New Roman" w:cs="Times New Roman"/>
          <w:b/>
          <w:bCs/>
          <w:sz w:val="24"/>
          <w:szCs w:val="24"/>
        </w:rPr>
      </w:pPr>
      <w:r w:rsidRPr="001E6727">
        <w:rPr>
          <w:rFonts w:ascii="Times New Roman" w:hAnsi="Times New Roman" w:cs="Times New Roman"/>
          <w:sz w:val="24"/>
          <w:szCs w:val="24"/>
        </w:rPr>
        <w:t>Despite being given clear direction by the PUCO – to establish the prudency of all costs and sales flowing through the Rider –</w:t>
      </w:r>
      <w:r w:rsidR="001E6727">
        <w:rPr>
          <w:rFonts w:ascii="Times New Roman" w:hAnsi="Times New Roman" w:cs="Times New Roman"/>
          <w:sz w:val="24"/>
          <w:szCs w:val="24"/>
        </w:rPr>
        <w:t xml:space="preserve"> </w:t>
      </w:r>
      <w:r w:rsidRPr="001E6727">
        <w:rPr>
          <w:rFonts w:ascii="Times New Roman" w:hAnsi="Times New Roman" w:cs="Times New Roman"/>
          <w:sz w:val="24"/>
          <w:szCs w:val="24"/>
        </w:rPr>
        <w:t xml:space="preserve">the Auditor determined </w:t>
      </w:r>
      <w:r w:rsidRPr="001E6727" w:rsidR="003F71AF">
        <w:rPr>
          <w:rFonts w:ascii="Times New Roman" w:hAnsi="Times New Roman" w:cs="Times New Roman"/>
          <w:sz w:val="24"/>
          <w:szCs w:val="24"/>
        </w:rPr>
        <w:t>that Duke’s</w:t>
      </w:r>
      <w:r w:rsidRPr="001E6727">
        <w:rPr>
          <w:rFonts w:ascii="Times New Roman" w:hAnsi="Times New Roman" w:cs="Times New Roman"/>
          <w:sz w:val="24"/>
          <w:szCs w:val="24"/>
        </w:rPr>
        <w:t xml:space="preserve"> “processes, procedures, and oversight were mostly adequate</w:t>
      </w:r>
      <w:r w:rsidRPr="001E6727" w:rsidR="003F71AF">
        <w:rPr>
          <w:rFonts w:ascii="Times New Roman" w:hAnsi="Times New Roman" w:cs="Times New Roman"/>
          <w:sz w:val="24"/>
          <w:szCs w:val="24"/>
        </w:rPr>
        <w:t>.</w:t>
      </w:r>
      <w:r w:rsidRPr="001E6727">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1E6727">
        <w:rPr>
          <w:rFonts w:ascii="Times New Roman" w:hAnsi="Times New Roman" w:cs="Times New Roman"/>
          <w:sz w:val="24"/>
          <w:szCs w:val="24"/>
        </w:rPr>
        <w:t xml:space="preserve"> </w:t>
      </w:r>
      <w:bookmarkEnd w:id="9"/>
      <w:r w:rsidRPr="001E6727" w:rsidR="003F71AF">
        <w:rPr>
          <w:rFonts w:ascii="Times New Roman" w:hAnsi="Times New Roman" w:cs="Times New Roman"/>
          <w:sz w:val="24"/>
          <w:szCs w:val="24"/>
        </w:rPr>
        <w:t xml:space="preserve">However, </w:t>
      </w:r>
      <w:r w:rsidRPr="001E6727">
        <w:rPr>
          <w:rFonts w:ascii="Times New Roman" w:hAnsi="Times New Roman" w:cs="Times New Roman"/>
          <w:sz w:val="24"/>
          <w:szCs w:val="24"/>
        </w:rPr>
        <w:t xml:space="preserve">Duke’s “mostly adequate” actions do not justify charging consumers $24.6 million in above-market costs. </w:t>
      </w:r>
    </w:p>
    <w:p w:rsidR="00BD7238" w:rsidRPr="001E6727" w:rsidP="007508B8" w14:paraId="41EBDBAF" w14:textId="4E3564F6">
      <w:pPr>
        <w:spacing w:after="0" w:line="480" w:lineRule="auto"/>
        <w:ind w:firstLine="720"/>
        <w:rPr>
          <w:rFonts w:ascii="Times New Roman" w:hAnsi="Times New Roman" w:cs="Times New Roman"/>
          <w:sz w:val="24"/>
          <w:szCs w:val="24"/>
        </w:rPr>
      </w:pPr>
      <w:r w:rsidRPr="001E6727">
        <w:rPr>
          <w:rFonts w:ascii="Times New Roman" w:hAnsi="Times New Roman" w:cs="Times New Roman"/>
          <w:sz w:val="24"/>
          <w:szCs w:val="24"/>
        </w:rPr>
        <w:t>OCC presented evidence that Duke’s charges to consumers for the coal plant</w:t>
      </w:r>
      <w:r w:rsidRPr="001E6727" w:rsidR="003F71AF">
        <w:rPr>
          <w:rFonts w:ascii="Times New Roman" w:hAnsi="Times New Roman" w:cs="Times New Roman"/>
          <w:sz w:val="24"/>
          <w:szCs w:val="24"/>
        </w:rPr>
        <w:t>s</w:t>
      </w:r>
      <w:r w:rsidRPr="001E6727">
        <w:rPr>
          <w:rFonts w:ascii="Times New Roman" w:hAnsi="Times New Roman" w:cs="Times New Roman"/>
          <w:sz w:val="24"/>
          <w:szCs w:val="24"/>
        </w:rPr>
        <w:t xml:space="preserve"> in 2019 were imprudent</w:t>
      </w:r>
      <w:r w:rsidR="004C2B94">
        <w:rPr>
          <w:rFonts w:ascii="Times New Roman" w:hAnsi="Times New Roman" w:cs="Times New Roman"/>
          <w:sz w:val="24"/>
          <w:szCs w:val="24"/>
        </w:rPr>
        <w:t>, that the plants were not bid using the same practices followed by merchant plant operators</w:t>
      </w:r>
      <w:r w:rsidRPr="001E6727">
        <w:rPr>
          <w:rFonts w:ascii="Times New Roman" w:hAnsi="Times New Roman" w:cs="Times New Roman"/>
          <w:sz w:val="24"/>
          <w:szCs w:val="24"/>
        </w:rPr>
        <w:t xml:space="preserve"> and that operation of the OVEC plants is not in the best interest of consumers.</w:t>
      </w:r>
      <w:r>
        <w:rPr>
          <w:rStyle w:val="FootnoteReference"/>
          <w:rFonts w:ascii="Times New Roman" w:hAnsi="Times New Roman" w:cs="Times New Roman"/>
          <w:sz w:val="24"/>
          <w:szCs w:val="24"/>
        </w:rPr>
        <w:footnoteReference w:id="10"/>
      </w:r>
      <w:r w:rsidRPr="001E6727">
        <w:rPr>
          <w:rFonts w:ascii="Times New Roman" w:hAnsi="Times New Roman" w:cs="Times New Roman"/>
          <w:sz w:val="24"/>
          <w:szCs w:val="24"/>
        </w:rPr>
        <w:t xml:space="preserve"> </w:t>
      </w:r>
      <w:r w:rsidRPr="001E6727" w:rsidR="003F71AF">
        <w:rPr>
          <w:rFonts w:ascii="Times New Roman" w:hAnsi="Times New Roman" w:cs="Times New Roman"/>
          <w:sz w:val="24"/>
          <w:szCs w:val="24"/>
        </w:rPr>
        <w:t>The PUCO’s Order largely ignores this evidence</w:t>
      </w:r>
      <w:r w:rsidR="00DD32A5">
        <w:rPr>
          <w:rFonts w:ascii="Times New Roman" w:hAnsi="Times New Roman" w:cs="Times New Roman"/>
          <w:sz w:val="24"/>
          <w:szCs w:val="24"/>
        </w:rPr>
        <w:t xml:space="preserve"> ignores the “best interest of consumers” standard</w:t>
      </w:r>
      <w:r w:rsidR="00A06793">
        <w:rPr>
          <w:rFonts w:ascii="Times New Roman" w:hAnsi="Times New Roman" w:cs="Times New Roman"/>
          <w:sz w:val="24"/>
          <w:szCs w:val="24"/>
        </w:rPr>
        <w:t xml:space="preserve"> and failed to look at whether the bidding was done consistent with profit maximization</w:t>
      </w:r>
      <w:r w:rsidRPr="001E6727" w:rsidR="003F71AF">
        <w:rPr>
          <w:rFonts w:ascii="Times New Roman" w:hAnsi="Times New Roman" w:cs="Times New Roman"/>
          <w:sz w:val="24"/>
          <w:szCs w:val="24"/>
        </w:rPr>
        <w:t xml:space="preserve">. The PUCO’s Order also excluded </w:t>
      </w:r>
      <w:r w:rsidRPr="001E6727">
        <w:rPr>
          <w:rFonts w:ascii="Times New Roman" w:hAnsi="Times New Roman" w:cs="Times New Roman"/>
          <w:sz w:val="24"/>
          <w:szCs w:val="24"/>
        </w:rPr>
        <w:t xml:space="preserve">highly relevant evidence that the Auditor had previously determined that operation of the OVEC plants is not in the best interest of consumers. </w:t>
      </w:r>
    </w:p>
    <w:p w:rsidR="007508B8" w:rsidP="007508B8" w14:paraId="070F5C5B" w14:textId="0893591F">
      <w:pPr>
        <w:spacing w:after="0" w:line="480" w:lineRule="auto"/>
        <w:ind w:firstLine="720"/>
        <w:rPr>
          <w:rFonts w:ascii="Times New Roman" w:hAnsi="Times New Roman" w:cs="Times New Roman"/>
          <w:sz w:val="24"/>
          <w:szCs w:val="24"/>
        </w:rPr>
      </w:pPr>
      <w:r w:rsidRPr="001E6727">
        <w:rPr>
          <w:rFonts w:ascii="Times New Roman" w:hAnsi="Times New Roman" w:cs="Times New Roman"/>
          <w:sz w:val="24"/>
          <w:szCs w:val="24"/>
        </w:rPr>
        <w:t xml:space="preserve">The PUCO’s Order is unreasonable and unlawful and should be abrogated or modified. To protect consumers from subsidizing imprudent operation of the OVEC plants, the PUCO should grant rehearing and </w:t>
      </w:r>
      <w:r w:rsidRPr="001E6727">
        <w:rPr>
          <w:rFonts w:ascii="Times New Roman" w:hAnsi="Times New Roman" w:cs="Times New Roman"/>
          <w:sz w:val="24"/>
          <w:szCs w:val="24"/>
        </w:rPr>
        <w:t>disallow Duke’s charges</w:t>
      </w:r>
      <w:r w:rsidRPr="001E6727">
        <w:rPr>
          <w:rFonts w:ascii="Times New Roman" w:hAnsi="Times New Roman" w:cs="Times New Roman"/>
          <w:sz w:val="24"/>
          <w:szCs w:val="24"/>
        </w:rPr>
        <w:t xml:space="preserve"> to consumers</w:t>
      </w:r>
      <w:r w:rsidRPr="001E6727">
        <w:rPr>
          <w:rFonts w:ascii="Times New Roman" w:hAnsi="Times New Roman" w:cs="Times New Roman"/>
          <w:sz w:val="24"/>
          <w:szCs w:val="24"/>
        </w:rPr>
        <w:t xml:space="preserve"> of $24.6 million</w:t>
      </w:r>
      <w:r w:rsidRPr="001E6727">
        <w:rPr>
          <w:rFonts w:ascii="Times New Roman" w:hAnsi="Times New Roman" w:cs="Times New Roman"/>
          <w:sz w:val="24"/>
          <w:szCs w:val="24"/>
        </w:rPr>
        <w:t xml:space="preserve"> in above-market energy costs.</w:t>
      </w:r>
      <w:r w:rsidR="006227AA">
        <w:rPr>
          <w:rFonts w:ascii="Times New Roman" w:hAnsi="Times New Roman" w:cs="Times New Roman"/>
          <w:sz w:val="24"/>
          <w:szCs w:val="24"/>
        </w:rPr>
        <w:t xml:space="preserve"> </w:t>
      </w:r>
    </w:p>
    <w:p w:rsidR="00F23227" w:rsidRPr="001E6727" w:rsidP="00F23227" w14:paraId="5BEF1432" w14:textId="77777777">
      <w:pPr>
        <w:spacing w:after="0" w:line="240" w:lineRule="auto"/>
        <w:ind w:firstLine="720"/>
        <w:rPr>
          <w:rFonts w:ascii="Times New Roman" w:hAnsi="Times New Roman" w:cs="Times New Roman"/>
          <w:sz w:val="24"/>
          <w:szCs w:val="24"/>
        </w:rPr>
      </w:pPr>
    </w:p>
    <w:p w:rsidR="008342F4" w:rsidP="003F1007" w14:paraId="13FDA1BB" w14:textId="691D4B89">
      <w:pPr>
        <w:pStyle w:val="Heading1"/>
      </w:pPr>
      <w:bookmarkStart w:id="10" w:name="_Toc147500822"/>
      <w:bookmarkStart w:id="11" w:name="_Toc109294653"/>
      <w:r>
        <w:t>II.</w:t>
      </w:r>
      <w:r>
        <w:tab/>
      </w:r>
      <w:r w:rsidRPr="001E6727" w:rsidR="00566A27">
        <w:t>ASSIGNMENTS OF ERROR</w:t>
      </w:r>
      <w:bookmarkEnd w:id="10"/>
    </w:p>
    <w:p w:rsidR="008C1FF9" w:rsidRPr="0083537F" w:rsidP="0083537F" w14:paraId="4FC918E9" w14:textId="712AE377">
      <w:pPr>
        <w:pStyle w:val="Heading2"/>
      </w:pPr>
      <w:bookmarkStart w:id="12" w:name="_Toc147500823"/>
      <w:r w:rsidRPr="001E6727">
        <w:t>ASSIGNMENT OF ERROR 1: The PUCO erred in determining that all costs charged by Duke to consumers through the price stabilization rider for January 1, 2019 through December 31, 2019 were prudent. The PUCO’s Order allowing Duke to charge consumers $24.6 million in above-market energy costs disregards evidence that Duke’s commitment strategy for OVEC in the PJM market was imprudent and not in the best interest of consumers</w:t>
      </w:r>
      <w:r>
        <w:t xml:space="preserve"> </w:t>
      </w:r>
      <w:r w:rsidRPr="001E6727">
        <w:t>in violation of R.C. 4903.</w:t>
      </w:r>
      <w:r w:rsidR="006F7E8D">
        <w:t>13</w:t>
      </w:r>
      <w:r w:rsidRPr="001E6727">
        <w:t xml:space="preserve"> To protect consumers, the PUCO should grant rehearing and abrogate or modify the Order.</w:t>
      </w:r>
      <w:bookmarkEnd w:id="12"/>
      <w:r>
        <w:t xml:space="preserve"> </w:t>
      </w:r>
    </w:p>
    <w:p w:rsidR="00BD4143" w:rsidP="008C1FF9" w14:paraId="257961C9" w14:textId="76DEFECB">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The PUCO’s ruling that Duke’s 2019 </w:t>
      </w:r>
      <w:r w:rsidR="002E691F">
        <w:rPr>
          <w:rFonts w:ascii="Times New Roman" w:hAnsi="Times New Roman" w:eastAsiaTheme="minorEastAsia" w:cs="Times New Roman"/>
          <w:sz w:val="24"/>
          <w:szCs w:val="24"/>
        </w:rPr>
        <w:t>Price Stabilization Rider</w:t>
      </w:r>
      <w:r>
        <w:rPr>
          <w:rFonts w:ascii="Times New Roman" w:hAnsi="Times New Roman" w:eastAsiaTheme="minorEastAsia" w:cs="Times New Roman"/>
          <w:sz w:val="24"/>
          <w:szCs w:val="24"/>
        </w:rPr>
        <w:t xml:space="preserve"> charges were prudent is in error and disregards the evidence presented at the evidentiary hearing.</w:t>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 PUCO ignored that OVEC’s use of the “must-run” commitment strategy was unreasonable and inconsistent with how merchant coal plant operators seeking to maximize profits would bid their plants.</w:t>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This bidding strategy was not in the best interest of retail consumers</w:t>
      </w:r>
      <w:r w:rsidRPr="00844ABA">
        <w:rPr>
          <w:rFonts w:ascii="Times New Roman" w:hAnsi="Times New Roman" w:eastAsiaTheme="minorEastAsia" w:cs="Times New Roman"/>
          <w:sz w:val="24"/>
          <w:szCs w:val="24"/>
        </w:rPr>
        <w:t>.</w:t>
      </w:r>
      <w:r w:rsidRPr="00844ABA" w:rsidR="009A41AD">
        <w:rPr>
          <w:rFonts w:ascii="Times New Roman" w:hAnsi="Times New Roman" w:eastAsiaTheme="minorEastAsia" w:cs="Times New Roman"/>
          <w:sz w:val="24"/>
          <w:szCs w:val="24"/>
        </w:rPr>
        <w:t xml:space="preserve"> </w:t>
      </w:r>
      <w:r w:rsidRPr="00844ABA">
        <w:rPr>
          <w:rFonts w:ascii="Times New Roman" w:hAnsi="Times New Roman" w:eastAsiaTheme="minorEastAsia" w:cs="Times New Roman"/>
          <w:sz w:val="24"/>
          <w:szCs w:val="24"/>
        </w:rPr>
        <w:t xml:space="preserve">The PUCO’s </w:t>
      </w:r>
      <w:r w:rsidRPr="00844ABA" w:rsidR="00A06793">
        <w:rPr>
          <w:rFonts w:ascii="Times New Roman" w:hAnsi="Times New Roman" w:eastAsiaTheme="minorEastAsia" w:cs="Times New Roman"/>
          <w:sz w:val="24"/>
          <w:szCs w:val="24"/>
        </w:rPr>
        <w:t xml:space="preserve">ruling is against the manifest </w:t>
      </w:r>
      <w:r w:rsidRPr="00844ABA" w:rsidR="003218CF">
        <w:rPr>
          <w:rFonts w:ascii="Times New Roman" w:hAnsi="Times New Roman" w:eastAsiaTheme="minorEastAsia" w:cs="Times New Roman"/>
          <w:sz w:val="24"/>
          <w:szCs w:val="24"/>
        </w:rPr>
        <w:t>weight of the evidence, violating</w:t>
      </w:r>
      <w:r w:rsidRPr="00844ABA">
        <w:rPr>
          <w:rFonts w:ascii="Times New Roman" w:hAnsi="Times New Roman" w:eastAsiaTheme="minorEastAsia" w:cs="Times New Roman"/>
          <w:sz w:val="24"/>
          <w:szCs w:val="24"/>
        </w:rPr>
        <w:t xml:space="preserve"> R.C. 4903.</w:t>
      </w:r>
      <w:r w:rsidRPr="00844ABA" w:rsidR="00EE1E8B">
        <w:rPr>
          <w:rFonts w:ascii="Times New Roman" w:hAnsi="Times New Roman" w:eastAsiaTheme="minorEastAsia" w:cs="Times New Roman"/>
          <w:sz w:val="24"/>
          <w:szCs w:val="24"/>
        </w:rPr>
        <w:t>13</w:t>
      </w:r>
      <w:r w:rsidRPr="00844ABA">
        <w:rPr>
          <w:rFonts w:ascii="Times New Roman" w:hAnsi="Times New Roman" w:eastAsiaTheme="minorEastAsia" w:cs="Times New Roman"/>
          <w:sz w:val="24"/>
          <w:szCs w:val="24"/>
        </w:rPr>
        <w:t>.</w:t>
      </w:r>
    </w:p>
    <w:p w:rsidR="00F85437" w:rsidP="00F85437" w14:paraId="433B5F9A" w14:textId="53897E48">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Under </w:t>
      </w:r>
      <w:r w:rsidRPr="001E6727" w:rsidR="006E1FB2">
        <w:rPr>
          <w:rFonts w:ascii="Times New Roman" w:hAnsi="Times New Roman" w:eastAsiaTheme="minorEastAsia" w:cs="Times New Roman"/>
          <w:sz w:val="24"/>
          <w:szCs w:val="24"/>
        </w:rPr>
        <w:t>Ohio law</w:t>
      </w:r>
      <w:r w:rsidRPr="001E6727" w:rsidR="006A765B">
        <w:rPr>
          <w:rFonts w:ascii="Times New Roman" w:hAnsi="Times New Roman" w:eastAsiaTheme="minorEastAsia" w:cs="Times New Roman"/>
          <w:sz w:val="24"/>
          <w:szCs w:val="24"/>
        </w:rPr>
        <w:t>, a</w:t>
      </w:r>
      <w:r w:rsidRPr="001E6727" w:rsidR="006E1FB2">
        <w:rPr>
          <w:rFonts w:ascii="Times New Roman" w:hAnsi="Times New Roman" w:eastAsiaTheme="minorEastAsia" w:cs="Times New Roman"/>
          <w:sz w:val="24"/>
          <w:szCs w:val="24"/>
        </w:rPr>
        <w:t xml:space="preserve"> prudent decision, for purposes of evaluating utility rate-making decisions, is defined as “one which reflects what a reasonable person would have done in light of conditions and circumstances which were known or reasonably should have been known at the time the decision was made.”</w:t>
      </w:r>
      <w:r w:rsidR="001E6727">
        <w:rPr>
          <w:rFonts w:ascii="Times New Roman" w:hAnsi="Times New Roman" w:eastAsiaTheme="minorEastAsia" w:cs="Times New Roman"/>
          <w:sz w:val="24"/>
          <w:szCs w:val="24"/>
        </w:rPr>
        <w:t xml:space="preserve"> </w:t>
      </w:r>
      <w:r w:rsidRPr="001E6727" w:rsidR="006A765B">
        <w:rPr>
          <w:rFonts w:ascii="Times New Roman" w:hAnsi="Times New Roman" w:eastAsiaTheme="minorEastAsia" w:cs="Times New Roman"/>
          <w:sz w:val="24"/>
          <w:szCs w:val="24"/>
        </w:rPr>
        <w:t>A utility company bears the ultimate burden of proving that its costs were prudently incurred.</w:t>
      </w:r>
      <w:r w:rsidRPr="001E6727" w:rsidR="0069771A">
        <w:rPr>
          <w:rFonts w:ascii="Times New Roman" w:hAnsi="Times New Roman" w:eastAsiaTheme="minorEastAsia" w:cs="Times New Roman"/>
          <w:sz w:val="24"/>
          <w:szCs w:val="24"/>
        </w:rPr>
        <w:t xml:space="preserve"> </w:t>
      </w:r>
      <w:r w:rsidRPr="001E6727" w:rsidR="006A765B">
        <w:rPr>
          <w:rFonts w:ascii="Times New Roman" w:hAnsi="Times New Roman" w:eastAsiaTheme="minorEastAsia" w:cs="Times New Roman"/>
          <w:sz w:val="24"/>
          <w:szCs w:val="24"/>
        </w:rPr>
        <w:t>To the extent that any general presumption of prudence exists, parties claiming imprudence only need to introduce some concrete evidence that imprudence occurred.</w:t>
      </w:r>
      <w:r w:rsidR="001E6727">
        <w:rPr>
          <w:rFonts w:ascii="Times New Roman" w:hAnsi="Times New Roman" w:eastAsiaTheme="minorEastAsia" w:cs="Times New Roman"/>
          <w:sz w:val="24"/>
          <w:szCs w:val="24"/>
        </w:rPr>
        <w:t xml:space="preserve"> </w:t>
      </w:r>
      <w:r w:rsidRPr="001E6727" w:rsidR="006A765B">
        <w:rPr>
          <w:rFonts w:ascii="Times New Roman" w:hAnsi="Times New Roman" w:eastAsiaTheme="minorEastAsia" w:cs="Times New Roman"/>
          <w:sz w:val="24"/>
          <w:szCs w:val="24"/>
        </w:rPr>
        <w:t xml:space="preserve">The burden then shifts to the utility to prove that its actions were prudent. </w:t>
      </w:r>
    </w:p>
    <w:p w:rsidR="00F85437" w:rsidP="00F85437" w14:paraId="6AA93521" w14:textId="63E1B0E6">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In fact, as shown in the following chart (which represents OVEC’s total output for each year), OVEC’s costs were consistently above</w:t>
      </w:r>
      <w:r w:rsidR="00CD07D4">
        <w:rPr>
          <w:rFonts w:ascii="Times New Roman" w:hAnsi="Times New Roman" w:cs="Times New Roman"/>
          <w:sz w:val="24"/>
          <w:szCs w:val="24"/>
        </w:rPr>
        <w:t>-</w:t>
      </w:r>
      <w:r w:rsidRPr="003F1007">
        <w:rPr>
          <w:rFonts w:ascii="Times New Roman" w:hAnsi="Times New Roman" w:cs="Times New Roman"/>
          <w:sz w:val="24"/>
          <w:szCs w:val="24"/>
        </w:rPr>
        <w:t xml:space="preserve">market prices in the four years </w:t>
      </w:r>
      <w:r>
        <w:rPr>
          <w:rFonts w:ascii="Times New Roman" w:hAnsi="Times New Roman" w:cs="Times New Roman"/>
          <w:sz w:val="24"/>
          <w:szCs w:val="24"/>
        </w:rPr>
        <w:t>up to and including</w:t>
      </w:r>
      <w:r w:rsidRPr="003F1007">
        <w:rPr>
          <w:rFonts w:ascii="Times New Roman" w:hAnsi="Times New Roman" w:cs="Times New Roman"/>
          <w:sz w:val="24"/>
          <w:szCs w:val="24"/>
        </w:rPr>
        <w:t xml:space="preserve"> the 2019 audit year.</w:t>
      </w:r>
      <w:r>
        <w:rPr>
          <w:rStyle w:val="FootnoteReference"/>
          <w:rFonts w:ascii="Times New Roman" w:hAnsi="Times New Roman" w:cs="Times New Roman"/>
          <w:sz w:val="24"/>
          <w:szCs w:val="24"/>
        </w:rPr>
        <w:footnoteReference w:id="11"/>
      </w:r>
    </w:p>
    <w:tbl>
      <w:tblPr>
        <w:tblW w:w="0" w:type="auto"/>
        <w:jc w:val="center"/>
        <w:tblCellMar>
          <w:left w:w="0" w:type="dxa"/>
          <w:right w:w="0" w:type="dxa"/>
        </w:tblCellMar>
        <w:tblLook w:val="04A0"/>
      </w:tblPr>
      <w:tblGrid>
        <w:gridCol w:w="837"/>
        <w:gridCol w:w="1559"/>
        <w:gridCol w:w="1499"/>
        <w:gridCol w:w="1381"/>
        <w:gridCol w:w="1602"/>
        <w:gridCol w:w="1742"/>
      </w:tblGrid>
      <w:tr w14:paraId="087C67EA" w14:textId="77777777" w:rsidTr="00941B28">
        <w:tblPrEx>
          <w:tblW w:w="0" w:type="auto"/>
          <w:jc w:val="center"/>
          <w:tblCellMar>
            <w:left w:w="0" w:type="dxa"/>
            <w:right w:w="0" w:type="dxa"/>
          </w:tblCellMar>
          <w:tblLook w:val="04A0"/>
        </w:tblPrEx>
        <w:trPr>
          <w:trHeight w:val="1245"/>
          <w:jc w:val="center"/>
        </w:trPr>
        <w:tc>
          <w:tcPr>
            <w:tcW w:w="840" w:type="dxa"/>
            <w:tcBorders>
              <w:top w:val="single" w:sz="8" w:space="0" w:color="000000"/>
              <w:left w:val="single" w:sz="8" w:space="0" w:color="000000"/>
              <w:bottom w:val="single" w:sz="8" w:space="0" w:color="000000"/>
              <w:right w:val="single" w:sz="8" w:space="0" w:color="000000"/>
            </w:tcBorders>
            <w:vAlign w:val="bottom"/>
          </w:tcPr>
          <w:p w:rsidR="00941B28" w14:paraId="5BE4573B" w14:textId="77777777">
            <w:pPr>
              <w:overflowPunct w:val="0"/>
              <w:autoSpaceDE w:val="0"/>
              <w:autoSpaceDN w:val="0"/>
              <w:rPr>
                <w:rFonts w:ascii="Times New Roman" w:hAnsi="Times New Roman" w:cs="Times New Roman"/>
                <w:sz w:val="24"/>
                <w:szCs w:val="24"/>
              </w:rPr>
            </w:pPr>
          </w:p>
        </w:tc>
        <w:tc>
          <w:tcPr>
            <w:tcW w:w="1559" w:type="dxa"/>
            <w:tcBorders>
              <w:top w:val="single" w:sz="8" w:space="0" w:color="000000"/>
              <w:left w:val="nil"/>
              <w:bottom w:val="single" w:sz="8" w:space="0" w:color="000000"/>
              <w:right w:val="nil"/>
            </w:tcBorders>
            <w:vAlign w:val="bottom"/>
            <w:hideMark/>
          </w:tcPr>
          <w:p w:rsidR="00941B28" w14:paraId="61F34753" w14:textId="77777777">
            <w:pPr>
              <w:overflowPunct w:val="0"/>
              <w:autoSpaceDE w:val="0"/>
              <w:autoSpaceDN w:val="0"/>
              <w:ind w:left="251" w:firstLine="232"/>
              <w:rPr>
                <w:rFonts w:ascii="Times New Roman" w:hAnsi="Times New Roman" w:cs="Times New Roman"/>
                <w:b/>
                <w:bCs/>
                <w:sz w:val="24"/>
                <w:szCs w:val="24"/>
                <w14:ligatures w14:val="standardContextual"/>
              </w:rPr>
            </w:pPr>
            <w:r>
              <w:rPr>
                <w:rFonts w:ascii="Times New Roman" w:hAnsi="Times New Roman" w:cs="Times New Roman"/>
                <w:b/>
                <w:bCs/>
                <w:sz w:val="24"/>
                <w:szCs w:val="24"/>
              </w:rPr>
              <w:t>MWh Electricity</w:t>
            </w:r>
          </w:p>
        </w:tc>
        <w:tc>
          <w:tcPr>
            <w:tcW w:w="1500" w:type="dxa"/>
            <w:tcBorders>
              <w:top w:val="single" w:sz="8" w:space="0" w:color="000000"/>
              <w:left w:val="nil"/>
              <w:bottom w:val="single" w:sz="8" w:space="0" w:color="000000"/>
              <w:right w:val="nil"/>
            </w:tcBorders>
            <w:vAlign w:val="bottom"/>
            <w:hideMark/>
          </w:tcPr>
          <w:p w:rsidR="00941B28" w14:paraId="4D0433A3" w14:textId="77777777">
            <w:pPr>
              <w:overflowPunct w:val="0"/>
              <w:autoSpaceDE w:val="0"/>
              <w:autoSpaceDN w:val="0"/>
              <w:ind w:right="12"/>
              <w:rPr>
                <w:rFonts w:ascii="Times New Roman" w:hAnsi="Times New Roman" w:cs="Times New Roman"/>
                <w:b/>
                <w:bCs/>
                <w:sz w:val="24"/>
                <w:szCs w:val="24"/>
              </w:rPr>
            </w:pPr>
            <w:r>
              <w:rPr>
                <w:rFonts w:ascii="Times New Roman" w:hAnsi="Times New Roman" w:cs="Times New Roman"/>
                <w:b/>
                <w:bCs/>
                <w:sz w:val="24"/>
                <w:szCs w:val="24"/>
              </w:rPr>
              <w:t xml:space="preserve">Total OVEC </w:t>
            </w:r>
          </w:p>
          <w:p w:rsidR="00941B28" w14:paraId="353DD10D" w14:textId="77777777">
            <w:pPr>
              <w:overflowPunct w:val="0"/>
              <w:autoSpaceDE w:val="0"/>
              <w:autoSpaceDN w:val="0"/>
              <w:ind w:left="-38" w:right="12"/>
              <w:jc w:val="center"/>
              <w:rPr>
                <w:rFonts w:ascii="Times New Roman" w:hAnsi="Times New Roman" w:cs="Times New Roman"/>
                <w:b/>
                <w:bCs/>
                <w:sz w:val="24"/>
                <w:szCs w:val="24"/>
              </w:rPr>
            </w:pPr>
            <w:r>
              <w:rPr>
                <w:rFonts w:ascii="Times New Roman" w:hAnsi="Times New Roman" w:cs="Times New Roman"/>
                <w:b/>
                <w:bCs/>
                <w:sz w:val="24"/>
                <w:szCs w:val="24"/>
              </w:rPr>
              <w:t>Charges</w:t>
            </w:r>
          </w:p>
          <w:p w:rsidR="00941B28" w14:paraId="1F89BB96" w14:textId="77777777">
            <w:pPr>
              <w:overflowPunct w:val="0"/>
              <w:autoSpaceDE w:val="0"/>
              <w:autoSpaceDN w:val="0"/>
              <w:ind w:left="228" w:right="204"/>
              <w:jc w:val="center"/>
              <w:rPr>
                <w:rFonts w:ascii="Times New Roman" w:hAnsi="Times New Roman" w:cs="Times New Roman"/>
                <w:b/>
                <w:bCs/>
                <w:sz w:val="24"/>
                <w:szCs w:val="24"/>
              </w:rPr>
            </w:pPr>
            <w:r>
              <w:rPr>
                <w:rFonts w:ascii="Times New Roman" w:hAnsi="Times New Roman" w:cs="Times New Roman"/>
                <w:b/>
                <w:bCs/>
                <w:sz w:val="24"/>
                <w:szCs w:val="24"/>
              </w:rPr>
              <w:t>($Million)</w:t>
            </w:r>
          </w:p>
        </w:tc>
        <w:tc>
          <w:tcPr>
            <w:tcW w:w="1382" w:type="dxa"/>
            <w:tcBorders>
              <w:top w:val="single" w:sz="8" w:space="0" w:color="000000"/>
              <w:left w:val="nil"/>
              <w:bottom w:val="single" w:sz="8" w:space="0" w:color="000000"/>
              <w:right w:val="nil"/>
            </w:tcBorders>
            <w:vAlign w:val="bottom"/>
            <w:hideMark/>
          </w:tcPr>
          <w:p w:rsidR="00941B28" w14:paraId="01EE377F" w14:textId="77777777">
            <w:pPr>
              <w:overflowPunct w:val="0"/>
              <w:autoSpaceDE w:val="0"/>
              <w:autoSpaceDN w:val="0"/>
              <w:ind w:left="220" w:right="174"/>
              <w:jc w:val="center"/>
              <w:rPr>
                <w:rFonts w:ascii="Times New Roman" w:hAnsi="Times New Roman" w:cs="Times New Roman"/>
                <w:b/>
                <w:bCs/>
                <w:sz w:val="24"/>
                <w:szCs w:val="24"/>
              </w:rPr>
            </w:pPr>
            <w:r>
              <w:rPr>
                <w:rFonts w:ascii="Times New Roman" w:hAnsi="Times New Roman" w:cs="Times New Roman"/>
                <w:b/>
                <w:bCs/>
                <w:sz w:val="24"/>
                <w:szCs w:val="24"/>
              </w:rPr>
              <w:t>OVEC</w:t>
            </w:r>
          </w:p>
          <w:p w:rsidR="00941B28" w14:paraId="2AD3B9FC" w14:textId="77777777">
            <w:pPr>
              <w:overflowPunct w:val="0"/>
              <w:autoSpaceDE w:val="0"/>
              <w:autoSpaceDN w:val="0"/>
              <w:ind w:left="220" w:right="174"/>
              <w:jc w:val="center"/>
              <w:rPr>
                <w:rFonts w:ascii="Times New Roman" w:hAnsi="Times New Roman" w:cs="Times New Roman"/>
                <w:b/>
                <w:bCs/>
                <w:sz w:val="24"/>
                <w:szCs w:val="24"/>
              </w:rPr>
            </w:pPr>
            <w:r>
              <w:rPr>
                <w:rFonts w:ascii="Times New Roman" w:hAnsi="Times New Roman" w:cs="Times New Roman"/>
                <w:b/>
                <w:bCs/>
                <w:sz w:val="24"/>
                <w:szCs w:val="24"/>
              </w:rPr>
              <w:t>($/MWh)</w:t>
            </w:r>
          </w:p>
        </w:tc>
        <w:tc>
          <w:tcPr>
            <w:tcW w:w="1606" w:type="dxa"/>
            <w:tcBorders>
              <w:top w:val="single" w:sz="8" w:space="0" w:color="000000"/>
              <w:left w:val="nil"/>
              <w:bottom w:val="single" w:sz="8" w:space="0" w:color="000000"/>
              <w:right w:val="nil"/>
            </w:tcBorders>
            <w:vAlign w:val="bottom"/>
            <w:hideMark/>
          </w:tcPr>
          <w:p w:rsidR="00941B28" w14:paraId="1792D0E4" w14:textId="77777777">
            <w:pPr>
              <w:overflowPunct w:val="0"/>
              <w:autoSpaceDE w:val="0"/>
              <w:autoSpaceDN w:val="0"/>
              <w:ind w:left="210" w:right="199"/>
              <w:jc w:val="center"/>
              <w:rPr>
                <w:rFonts w:ascii="Times New Roman" w:hAnsi="Times New Roman" w:cs="Times New Roman"/>
                <w:b/>
                <w:bCs/>
                <w:sz w:val="24"/>
                <w:szCs w:val="24"/>
              </w:rPr>
            </w:pPr>
            <w:r>
              <w:rPr>
                <w:rFonts w:ascii="Times New Roman" w:hAnsi="Times New Roman" w:cs="Times New Roman"/>
                <w:b/>
                <w:bCs/>
                <w:sz w:val="24"/>
                <w:szCs w:val="24"/>
              </w:rPr>
              <w:t>Energy and capacity market value*</w:t>
            </w:r>
          </w:p>
          <w:p w:rsidR="00941B28" w14:paraId="76648B39" w14:textId="77777777">
            <w:pPr>
              <w:overflowPunct w:val="0"/>
              <w:autoSpaceDE w:val="0"/>
              <w:autoSpaceDN w:val="0"/>
              <w:ind w:left="209" w:right="199"/>
              <w:jc w:val="center"/>
              <w:rPr>
                <w:rFonts w:ascii="Times New Roman" w:hAnsi="Times New Roman" w:cs="Times New Roman"/>
                <w:b/>
                <w:bCs/>
                <w:sz w:val="24"/>
                <w:szCs w:val="24"/>
              </w:rPr>
            </w:pPr>
            <w:r>
              <w:rPr>
                <w:rFonts w:ascii="Times New Roman" w:hAnsi="Times New Roman" w:cs="Times New Roman"/>
                <w:b/>
                <w:bCs/>
                <w:sz w:val="24"/>
                <w:szCs w:val="24"/>
              </w:rPr>
              <w:t>($/MWh)</w:t>
            </w:r>
          </w:p>
        </w:tc>
        <w:tc>
          <w:tcPr>
            <w:tcW w:w="1743" w:type="dxa"/>
            <w:tcBorders>
              <w:top w:val="single" w:sz="8" w:space="0" w:color="000000"/>
              <w:left w:val="nil"/>
              <w:bottom w:val="single" w:sz="8" w:space="0" w:color="000000"/>
              <w:right w:val="single" w:sz="8" w:space="0" w:color="000000"/>
            </w:tcBorders>
            <w:vAlign w:val="bottom"/>
            <w:hideMark/>
          </w:tcPr>
          <w:p w:rsidR="00941B28" w14:paraId="0A3E0617" w14:textId="77777777">
            <w:pPr>
              <w:overflowPunct w:val="0"/>
              <w:autoSpaceDE w:val="0"/>
              <w:autoSpaceDN w:val="0"/>
              <w:ind w:left="214" w:right="223" w:firstLine="4"/>
              <w:jc w:val="both"/>
              <w:rPr>
                <w:rFonts w:ascii="Times New Roman" w:hAnsi="Times New Roman" w:cs="Times New Roman"/>
                <w:b/>
                <w:bCs/>
                <w:sz w:val="24"/>
                <w:szCs w:val="24"/>
              </w:rPr>
            </w:pPr>
            <w:r>
              <w:rPr>
                <w:rFonts w:ascii="Times New Roman" w:hAnsi="Times New Roman" w:cs="Times New Roman"/>
                <w:b/>
                <w:bCs/>
                <w:sz w:val="24"/>
                <w:szCs w:val="24"/>
              </w:rPr>
              <w:t>Total above- market costs ($Million)</w:t>
            </w:r>
          </w:p>
        </w:tc>
      </w:tr>
      <w:tr w14:paraId="05EAD046" w14:textId="77777777" w:rsidTr="00941B28">
        <w:tblPrEx>
          <w:tblW w:w="0" w:type="auto"/>
          <w:jc w:val="center"/>
          <w:tblCellMar>
            <w:left w:w="0" w:type="dxa"/>
            <w:right w:w="0" w:type="dxa"/>
          </w:tblCellMar>
          <w:tblLook w:val="04A0"/>
        </w:tblPrEx>
        <w:trPr>
          <w:trHeight w:val="314"/>
          <w:jc w:val="center"/>
        </w:trPr>
        <w:tc>
          <w:tcPr>
            <w:tcW w:w="840" w:type="dxa"/>
            <w:tcBorders>
              <w:top w:val="nil"/>
              <w:left w:val="single" w:sz="8" w:space="0" w:color="000000"/>
              <w:bottom w:val="nil"/>
              <w:right w:val="single" w:sz="8" w:space="0" w:color="000000"/>
            </w:tcBorders>
            <w:hideMark/>
          </w:tcPr>
          <w:p w:rsidR="00941B28" w14:paraId="27AB4165" w14:textId="77777777">
            <w:pPr>
              <w:overflowPunct w:val="0"/>
              <w:autoSpaceDE w:val="0"/>
              <w:autoSpaceDN w:val="0"/>
              <w:spacing w:line="275" w:lineRule="exact"/>
              <w:ind w:right="91"/>
              <w:jc w:val="right"/>
              <w:rPr>
                <w:rFonts w:ascii="Times New Roman" w:hAnsi="Times New Roman" w:cs="Times New Roman"/>
                <w:b/>
                <w:bCs/>
                <w:sz w:val="24"/>
                <w:szCs w:val="24"/>
              </w:rPr>
            </w:pPr>
            <w:r>
              <w:rPr>
                <w:rFonts w:ascii="Times New Roman" w:hAnsi="Times New Roman" w:cs="Times New Roman"/>
                <w:b/>
                <w:bCs/>
                <w:sz w:val="24"/>
                <w:szCs w:val="24"/>
              </w:rPr>
              <w:t>2015</w:t>
            </w:r>
          </w:p>
        </w:tc>
        <w:tc>
          <w:tcPr>
            <w:tcW w:w="1559" w:type="dxa"/>
            <w:hideMark/>
          </w:tcPr>
          <w:p w:rsidR="00941B28" w14:paraId="6FF87ACF" w14:textId="77777777">
            <w:pPr>
              <w:overflowPunct w:val="0"/>
              <w:autoSpaceDE w:val="0"/>
              <w:autoSpaceDN w:val="0"/>
              <w:spacing w:line="275" w:lineRule="exact"/>
              <w:ind w:left="224" w:right="210"/>
              <w:jc w:val="center"/>
              <w:rPr>
                <w:rFonts w:ascii="Times New Roman" w:hAnsi="Times New Roman" w:cs="Times New Roman"/>
                <w:sz w:val="24"/>
                <w:szCs w:val="24"/>
              </w:rPr>
            </w:pPr>
            <w:r>
              <w:rPr>
                <w:rFonts w:ascii="Times New Roman" w:hAnsi="Times New Roman" w:cs="Times New Roman"/>
                <w:sz w:val="24"/>
                <w:szCs w:val="24"/>
              </w:rPr>
              <w:t>8,681,829</w:t>
            </w:r>
          </w:p>
        </w:tc>
        <w:tc>
          <w:tcPr>
            <w:tcW w:w="1500" w:type="dxa"/>
            <w:hideMark/>
          </w:tcPr>
          <w:p w:rsidR="00941B28" w14:paraId="2A8C3D1A" w14:textId="77777777">
            <w:pPr>
              <w:overflowPunct w:val="0"/>
              <w:autoSpaceDE w:val="0"/>
              <w:autoSpaceDN w:val="0"/>
              <w:spacing w:line="275" w:lineRule="exact"/>
              <w:ind w:left="228" w:right="203"/>
              <w:jc w:val="center"/>
              <w:rPr>
                <w:rFonts w:ascii="Times New Roman" w:hAnsi="Times New Roman" w:cs="Times New Roman"/>
                <w:sz w:val="24"/>
                <w:szCs w:val="24"/>
              </w:rPr>
            </w:pPr>
            <w:r>
              <w:rPr>
                <w:rFonts w:ascii="Times New Roman" w:hAnsi="Times New Roman" w:cs="Times New Roman"/>
                <w:sz w:val="24"/>
                <w:szCs w:val="24"/>
              </w:rPr>
              <w:t>$559.1</w:t>
            </w:r>
          </w:p>
        </w:tc>
        <w:tc>
          <w:tcPr>
            <w:tcW w:w="1382" w:type="dxa"/>
            <w:hideMark/>
          </w:tcPr>
          <w:p w:rsidR="00941B28" w14:paraId="6110E97B" w14:textId="77777777">
            <w:pPr>
              <w:overflowPunct w:val="0"/>
              <w:autoSpaceDE w:val="0"/>
              <w:autoSpaceDN w:val="0"/>
              <w:spacing w:line="275" w:lineRule="exact"/>
              <w:ind w:right="337"/>
              <w:jc w:val="right"/>
              <w:rPr>
                <w:rFonts w:ascii="Times New Roman" w:hAnsi="Times New Roman" w:cs="Times New Roman"/>
                <w:sz w:val="24"/>
                <w:szCs w:val="24"/>
              </w:rPr>
            </w:pPr>
            <w:r>
              <w:rPr>
                <w:rFonts w:ascii="Times New Roman" w:hAnsi="Times New Roman" w:cs="Times New Roman"/>
                <w:sz w:val="24"/>
                <w:szCs w:val="24"/>
              </w:rPr>
              <w:t>$64.40</w:t>
            </w:r>
          </w:p>
        </w:tc>
        <w:tc>
          <w:tcPr>
            <w:tcW w:w="1606" w:type="dxa"/>
            <w:hideMark/>
          </w:tcPr>
          <w:p w:rsidR="00941B28" w14:paraId="60DA081F" w14:textId="77777777">
            <w:pPr>
              <w:overflowPunct w:val="0"/>
              <w:autoSpaceDE w:val="0"/>
              <w:autoSpaceDN w:val="0"/>
              <w:spacing w:line="275" w:lineRule="exact"/>
              <w:ind w:left="210" w:right="199"/>
              <w:jc w:val="center"/>
              <w:rPr>
                <w:rFonts w:ascii="Times New Roman" w:hAnsi="Times New Roman" w:cs="Times New Roman"/>
                <w:sz w:val="24"/>
                <w:szCs w:val="24"/>
              </w:rPr>
            </w:pPr>
            <w:r>
              <w:rPr>
                <w:rFonts w:ascii="Times New Roman" w:hAnsi="Times New Roman" w:cs="Times New Roman"/>
                <w:sz w:val="24"/>
                <w:szCs w:val="24"/>
              </w:rPr>
              <w:t>$47.02</w:t>
            </w:r>
          </w:p>
        </w:tc>
        <w:tc>
          <w:tcPr>
            <w:tcW w:w="1743" w:type="dxa"/>
            <w:tcBorders>
              <w:top w:val="nil"/>
              <w:left w:val="nil"/>
              <w:bottom w:val="nil"/>
              <w:right w:val="single" w:sz="8" w:space="0" w:color="000000"/>
            </w:tcBorders>
            <w:hideMark/>
          </w:tcPr>
          <w:p w:rsidR="00941B28" w14:paraId="27767171" w14:textId="77777777">
            <w:pPr>
              <w:overflowPunct w:val="0"/>
              <w:autoSpaceDE w:val="0"/>
              <w:autoSpaceDN w:val="0"/>
              <w:spacing w:line="275" w:lineRule="exact"/>
              <w:ind w:left="455" w:right="463"/>
              <w:jc w:val="center"/>
              <w:rPr>
                <w:rFonts w:ascii="Times New Roman" w:hAnsi="Times New Roman" w:cs="Times New Roman"/>
                <w:sz w:val="24"/>
                <w:szCs w:val="24"/>
              </w:rPr>
            </w:pPr>
            <w:r>
              <w:rPr>
                <w:rFonts w:ascii="Times New Roman" w:hAnsi="Times New Roman" w:cs="Times New Roman"/>
                <w:sz w:val="24"/>
                <w:szCs w:val="24"/>
              </w:rPr>
              <w:t>$150.84</w:t>
            </w:r>
          </w:p>
        </w:tc>
      </w:tr>
      <w:tr w14:paraId="469D6BE0" w14:textId="77777777" w:rsidTr="00941B28">
        <w:tblPrEx>
          <w:tblW w:w="0" w:type="auto"/>
          <w:jc w:val="center"/>
          <w:tblCellMar>
            <w:left w:w="0" w:type="dxa"/>
            <w:right w:w="0" w:type="dxa"/>
          </w:tblCellMar>
          <w:tblLook w:val="04A0"/>
        </w:tblPrEx>
        <w:trPr>
          <w:trHeight w:val="316"/>
          <w:jc w:val="center"/>
        </w:trPr>
        <w:tc>
          <w:tcPr>
            <w:tcW w:w="840" w:type="dxa"/>
            <w:tcBorders>
              <w:top w:val="nil"/>
              <w:left w:val="single" w:sz="8" w:space="0" w:color="000000"/>
              <w:bottom w:val="nil"/>
              <w:right w:val="single" w:sz="8" w:space="0" w:color="000000"/>
            </w:tcBorders>
            <w:hideMark/>
          </w:tcPr>
          <w:p w:rsidR="00941B28" w14:paraId="1C44C734" w14:textId="77777777">
            <w:pPr>
              <w:overflowPunct w:val="0"/>
              <w:autoSpaceDE w:val="0"/>
              <w:autoSpaceDN w:val="0"/>
              <w:ind w:right="91"/>
              <w:jc w:val="right"/>
              <w:rPr>
                <w:rFonts w:ascii="Times New Roman" w:hAnsi="Times New Roman" w:cs="Times New Roman"/>
                <w:b/>
                <w:bCs/>
                <w:sz w:val="24"/>
                <w:szCs w:val="24"/>
              </w:rPr>
            </w:pPr>
            <w:r>
              <w:rPr>
                <w:rFonts w:ascii="Times New Roman" w:hAnsi="Times New Roman" w:cs="Times New Roman"/>
                <w:b/>
                <w:bCs/>
                <w:sz w:val="24"/>
                <w:szCs w:val="24"/>
              </w:rPr>
              <w:t>2016</w:t>
            </w:r>
          </w:p>
        </w:tc>
        <w:tc>
          <w:tcPr>
            <w:tcW w:w="1559" w:type="dxa"/>
            <w:hideMark/>
          </w:tcPr>
          <w:p w:rsidR="00941B28" w14:paraId="159ACB18" w14:textId="77777777">
            <w:pPr>
              <w:overflowPunct w:val="0"/>
              <w:autoSpaceDE w:val="0"/>
              <w:autoSpaceDN w:val="0"/>
              <w:ind w:left="224" w:right="210"/>
              <w:jc w:val="center"/>
              <w:rPr>
                <w:rFonts w:ascii="Times New Roman" w:hAnsi="Times New Roman" w:cs="Times New Roman"/>
                <w:sz w:val="24"/>
                <w:szCs w:val="24"/>
              </w:rPr>
            </w:pPr>
            <w:r>
              <w:rPr>
                <w:rFonts w:ascii="Times New Roman" w:hAnsi="Times New Roman" w:cs="Times New Roman"/>
                <w:sz w:val="24"/>
                <w:szCs w:val="24"/>
              </w:rPr>
              <w:t>9,745,956</w:t>
            </w:r>
          </w:p>
        </w:tc>
        <w:tc>
          <w:tcPr>
            <w:tcW w:w="1500" w:type="dxa"/>
            <w:hideMark/>
          </w:tcPr>
          <w:p w:rsidR="00941B28" w14:paraId="6E6E09D8" w14:textId="77777777">
            <w:pPr>
              <w:overflowPunct w:val="0"/>
              <w:autoSpaceDE w:val="0"/>
              <w:autoSpaceDN w:val="0"/>
              <w:ind w:left="228" w:right="203"/>
              <w:jc w:val="center"/>
              <w:rPr>
                <w:rFonts w:ascii="Times New Roman" w:hAnsi="Times New Roman" w:cs="Times New Roman"/>
                <w:sz w:val="24"/>
                <w:szCs w:val="24"/>
              </w:rPr>
            </w:pPr>
            <w:r>
              <w:rPr>
                <w:rFonts w:ascii="Times New Roman" w:hAnsi="Times New Roman" w:cs="Times New Roman"/>
                <w:sz w:val="24"/>
                <w:szCs w:val="24"/>
              </w:rPr>
              <w:t>$571.7</w:t>
            </w:r>
          </w:p>
        </w:tc>
        <w:tc>
          <w:tcPr>
            <w:tcW w:w="1382" w:type="dxa"/>
            <w:hideMark/>
          </w:tcPr>
          <w:p w:rsidR="00941B28" w14:paraId="0E7C912B" w14:textId="77777777">
            <w:pPr>
              <w:overflowPunct w:val="0"/>
              <w:autoSpaceDE w:val="0"/>
              <w:autoSpaceDN w:val="0"/>
              <w:ind w:right="337"/>
              <w:jc w:val="right"/>
              <w:rPr>
                <w:rFonts w:ascii="Times New Roman" w:hAnsi="Times New Roman" w:cs="Times New Roman"/>
                <w:sz w:val="24"/>
                <w:szCs w:val="24"/>
              </w:rPr>
            </w:pPr>
            <w:r>
              <w:rPr>
                <w:rFonts w:ascii="Times New Roman" w:hAnsi="Times New Roman" w:cs="Times New Roman"/>
                <w:sz w:val="24"/>
                <w:szCs w:val="24"/>
              </w:rPr>
              <w:t>$58.66</w:t>
            </w:r>
          </w:p>
        </w:tc>
        <w:tc>
          <w:tcPr>
            <w:tcW w:w="1606" w:type="dxa"/>
            <w:hideMark/>
          </w:tcPr>
          <w:p w:rsidR="00941B28" w14:paraId="5BD9CF19" w14:textId="77777777">
            <w:pPr>
              <w:overflowPunct w:val="0"/>
              <w:autoSpaceDE w:val="0"/>
              <w:autoSpaceDN w:val="0"/>
              <w:ind w:left="210" w:right="199"/>
              <w:jc w:val="center"/>
              <w:rPr>
                <w:rFonts w:ascii="Times New Roman" w:hAnsi="Times New Roman" w:cs="Times New Roman"/>
                <w:sz w:val="24"/>
                <w:szCs w:val="24"/>
              </w:rPr>
            </w:pPr>
            <w:r>
              <w:rPr>
                <w:rFonts w:ascii="Times New Roman" w:hAnsi="Times New Roman" w:cs="Times New Roman"/>
                <w:sz w:val="24"/>
                <w:szCs w:val="24"/>
              </w:rPr>
              <w:t>$38.50</w:t>
            </w:r>
          </w:p>
        </w:tc>
        <w:tc>
          <w:tcPr>
            <w:tcW w:w="1743" w:type="dxa"/>
            <w:tcBorders>
              <w:top w:val="nil"/>
              <w:left w:val="nil"/>
              <w:bottom w:val="nil"/>
              <w:right w:val="single" w:sz="8" w:space="0" w:color="000000"/>
            </w:tcBorders>
            <w:hideMark/>
          </w:tcPr>
          <w:p w:rsidR="00941B28" w14:paraId="4DEADFED" w14:textId="77777777">
            <w:pPr>
              <w:overflowPunct w:val="0"/>
              <w:autoSpaceDE w:val="0"/>
              <w:autoSpaceDN w:val="0"/>
              <w:ind w:left="455" w:right="463"/>
              <w:jc w:val="center"/>
              <w:rPr>
                <w:rFonts w:ascii="Times New Roman" w:hAnsi="Times New Roman" w:cs="Times New Roman"/>
                <w:sz w:val="24"/>
                <w:szCs w:val="24"/>
              </w:rPr>
            </w:pPr>
            <w:r>
              <w:rPr>
                <w:rFonts w:ascii="Times New Roman" w:hAnsi="Times New Roman" w:cs="Times New Roman"/>
                <w:sz w:val="24"/>
                <w:szCs w:val="24"/>
              </w:rPr>
              <w:t>$196.50</w:t>
            </w:r>
          </w:p>
        </w:tc>
      </w:tr>
      <w:tr w14:paraId="6CB3CFF0" w14:textId="77777777" w:rsidTr="00941B28">
        <w:tblPrEx>
          <w:tblW w:w="0" w:type="auto"/>
          <w:jc w:val="center"/>
          <w:tblCellMar>
            <w:left w:w="0" w:type="dxa"/>
            <w:right w:w="0" w:type="dxa"/>
          </w:tblCellMar>
          <w:tblLook w:val="04A0"/>
        </w:tblPrEx>
        <w:trPr>
          <w:trHeight w:val="317"/>
          <w:jc w:val="center"/>
        </w:trPr>
        <w:tc>
          <w:tcPr>
            <w:tcW w:w="840" w:type="dxa"/>
            <w:tcBorders>
              <w:top w:val="nil"/>
              <w:left w:val="single" w:sz="8" w:space="0" w:color="000000"/>
              <w:bottom w:val="nil"/>
              <w:right w:val="single" w:sz="8" w:space="0" w:color="000000"/>
            </w:tcBorders>
            <w:hideMark/>
          </w:tcPr>
          <w:p w:rsidR="00941B28" w14:paraId="204055FB" w14:textId="77777777">
            <w:pPr>
              <w:overflowPunct w:val="0"/>
              <w:autoSpaceDE w:val="0"/>
              <w:autoSpaceDN w:val="0"/>
              <w:ind w:right="91"/>
              <w:jc w:val="right"/>
              <w:rPr>
                <w:rFonts w:ascii="Times New Roman" w:hAnsi="Times New Roman" w:cs="Times New Roman"/>
                <w:b/>
                <w:bCs/>
                <w:sz w:val="24"/>
                <w:szCs w:val="24"/>
              </w:rPr>
            </w:pPr>
            <w:r>
              <w:rPr>
                <w:rFonts w:ascii="Times New Roman" w:hAnsi="Times New Roman" w:cs="Times New Roman"/>
                <w:b/>
                <w:bCs/>
                <w:sz w:val="24"/>
                <w:szCs w:val="24"/>
              </w:rPr>
              <w:t>2017</w:t>
            </w:r>
          </w:p>
        </w:tc>
        <w:tc>
          <w:tcPr>
            <w:tcW w:w="1559" w:type="dxa"/>
            <w:hideMark/>
          </w:tcPr>
          <w:p w:rsidR="00941B28" w14:paraId="5F2F3D59" w14:textId="77777777">
            <w:pPr>
              <w:overflowPunct w:val="0"/>
              <w:autoSpaceDE w:val="0"/>
              <w:autoSpaceDN w:val="0"/>
              <w:ind w:left="224" w:right="210"/>
              <w:jc w:val="center"/>
              <w:rPr>
                <w:rFonts w:ascii="Times New Roman" w:hAnsi="Times New Roman" w:cs="Times New Roman"/>
                <w:sz w:val="24"/>
                <w:szCs w:val="24"/>
              </w:rPr>
            </w:pPr>
            <w:r>
              <w:rPr>
                <w:rFonts w:ascii="Times New Roman" w:hAnsi="Times New Roman" w:cs="Times New Roman"/>
                <w:sz w:val="24"/>
                <w:szCs w:val="24"/>
              </w:rPr>
              <w:t>11,724,662</w:t>
            </w:r>
          </w:p>
        </w:tc>
        <w:tc>
          <w:tcPr>
            <w:tcW w:w="1500" w:type="dxa"/>
            <w:hideMark/>
          </w:tcPr>
          <w:p w:rsidR="00941B28" w14:paraId="32515DE5" w14:textId="77777777">
            <w:pPr>
              <w:overflowPunct w:val="0"/>
              <w:autoSpaceDE w:val="0"/>
              <w:autoSpaceDN w:val="0"/>
              <w:ind w:left="228" w:right="203"/>
              <w:jc w:val="center"/>
              <w:rPr>
                <w:rFonts w:ascii="Times New Roman" w:hAnsi="Times New Roman" w:cs="Times New Roman"/>
                <w:sz w:val="24"/>
                <w:szCs w:val="24"/>
              </w:rPr>
            </w:pPr>
            <w:r>
              <w:rPr>
                <w:rFonts w:ascii="Times New Roman" w:hAnsi="Times New Roman" w:cs="Times New Roman"/>
                <w:sz w:val="24"/>
                <w:szCs w:val="24"/>
              </w:rPr>
              <w:t>$636.3</w:t>
            </w:r>
          </w:p>
        </w:tc>
        <w:tc>
          <w:tcPr>
            <w:tcW w:w="1382" w:type="dxa"/>
            <w:hideMark/>
          </w:tcPr>
          <w:p w:rsidR="00941B28" w14:paraId="768BD681" w14:textId="77777777">
            <w:pPr>
              <w:overflowPunct w:val="0"/>
              <w:autoSpaceDE w:val="0"/>
              <w:autoSpaceDN w:val="0"/>
              <w:ind w:right="337"/>
              <w:jc w:val="right"/>
              <w:rPr>
                <w:rFonts w:ascii="Times New Roman" w:hAnsi="Times New Roman" w:cs="Times New Roman"/>
                <w:sz w:val="24"/>
                <w:szCs w:val="24"/>
              </w:rPr>
            </w:pPr>
            <w:r>
              <w:rPr>
                <w:rFonts w:ascii="Times New Roman" w:hAnsi="Times New Roman" w:cs="Times New Roman"/>
                <w:sz w:val="24"/>
                <w:szCs w:val="24"/>
              </w:rPr>
              <w:t>$54.27</w:t>
            </w:r>
          </w:p>
        </w:tc>
        <w:tc>
          <w:tcPr>
            <w:tcW w:w="1606" w:type="dxa"/>
            <w:hideMark/>
          </w:tcPr>
          <w:p w:rsidR="00941B28" w14:paraId="6DB11B88" w14:textId="77777777">
            <w:pPr>
              <w:overflowPunct w:val="0"/>
              <w:autoSpaceDE w:val="0"/>
              <w:autoSpaceDN w:val="0"/>
              <w:ind w:left="210" w:right="199"/>
              <w:jc w:val="center"/>
              <w:rPr>
                <w:rFonts w:ascii="Times New Roman" w:hAnsi="Times New Roman" w:cs="Times New Roman"/>
                <w:sz w:val="24"/>
                <w:szCs w:val="24"/>
              </w:rPr>
            </w:pPr>
            <w:r>
              <w:rPr>
                <w:rFonts w:ascii="Times New Roman" w:hAnsi="Times New Roman" w:cs="Times New Roman"/>
                <w:sz w:val="24"/>
                <w:szCs w:val="24"/>
              </w:rPr>
              <w:t>$37.85</w:t>
            </w:r>
          </w:p>
        </w:tc>
        <w:tc>
          <w:tcPr>
            <w:tcW w:w="1743" w:type="dxa"/>
            <w:tcBorders>
              <w:top w:val="nil"/>
              <w:left w:val="nil"/>
              <w:bottom w:val="nil"/>
              <w:right w:val="single" w:sz="8" w:space="0" w:color="000000"/>
            </w:tcBorders>
            <w:hideMark/>
          </w:tcPr>
          <w:p w:rsidR="00941B28" w14:paraId="3E7A163C" w14:textId="77777777">
            <w:pPr>
              <w:overflowPunct w:val="0"/>
              <w:autoSpaceDE w:val="0"/>
              <w:autoSpaceDN w:val="0"/>
              <w:ind w:left="455" w:right="463"/>
              <w:jc w:val="center"/>
              <w:rPr>
                <w:rFonts w:ascii="Times New Roman" w:hAnsi="Times New Roman" w:cs="Times New Roman"/>
                <w:sz w:val="24"/>
                <w:szCs w:val="24"/>
              </w:rPr>
            </w:pPr>
            <w:r>
              <w:rPr>
                <w:rFonts w:ascii="Times New Roman" w:hAnsi="Times New Roman" w:cs="Times New Roman"/>
                <w:sz w:val="24"/>
                <w:szCs w:val="24"/>
              </w:rPr>
              <w:t>$192.47</w:t>
            </w:r>
          </w:p>
        </w:tc>
      </w:tr>
      <w:tr w14:paraId="7843306E" w14:textId="77777777" w:rsidTr="00941B28">
        <w:tblPrEx>
          <w:tblW w:w="0" w:type="auto"/>
          <w:jc w:val="center"/>
          <w:tblCellMar>
            <w:left w:w="0" w:type="dxa"/>
            <w:right w:w="0" w:type="dxa"/>
          </w:tblCellMar>
          <w:tblLook w:val="04A0"/>
        </w:tblPrEx>
        <w:trPr>
          <w:trHeight w:val="317"/>
          <w:jc w:val="center"/>
        </w:trPr>
        <w:tc>
          <w:tcPr>
            <w:tcW w:w="840" w:type="dxa"/>
            <w:tcBorders>
              <w:top w:val="nil"/>
              <w:left w:val="single" w:sz="8" w:space="0" w:color="000000"/>
              <w:bottom w:val="nil"/>
              <w:right w:val="single" w:sz="8" w:space="0" w:color="000000"/>
            </w:tcBorders>
            <w:hideMark/>
          </w:tcPr>
          <w:p w:rsidR="00941B28" w14:paraId="493D29B7" w14:textId="77777777">
            <w:pPr>
              <w:overflowPunct w:val="0"/>
              <w:autoSpaceDE w:val="0"/>
              <w:autoSpaceDN w:val="0"/>
              <w:spacing w:before="2"/>
              <w:ind w:right="91"/>
              <w:jc w:val="right"/>
              <w:rPr>
                <w:rFonts w:ascii="Times New Roman" w:hAnsi="Times New Roman" w:cs="Times New Roman"/>
                <w:b/>
                <w:bCs/>
                <w:sz w:val="24"/>
                <w:szCs w:val="24"/>
              </w:rPr>
            </w:pPr>
            <w:r>
              <w:rPr>
                <w:rFonts w:ascii="Times New Roman" w:hAnsi="Times New Roman" w:cs="Times New Roman"/>
                <w:b/>
                <w:bCs/>
                <w:sz w:val="24"/>
                <w:szCs w:val="24"/>
              </w:rPr>
              <w:t>2018</w:t>
            </w:r>
          </w:p>
        </w:tc>
        <w:tc>
          <w:tcPr>
            <w:tcW w:w="1559" w:type="dxa"/>
            <w:hideMark/>
          </w:tcPr>
          <w:p w:rsidR="00941B28" w14:paraId="4A763150" w14:textId="77777777">
            <w:pPr>
              <w:overflowPunct w:val="0"/>
              <w:autoSpaceDE w:val="0"/>
              <w:autoSpaceDN w:val="0"/>
              <w:spacing w:before="2"/>
              <w:ind w:left="224" w:right="210"/>
              <w:jc w:val="center"/>
              <w:rPr>
                <w:rFonts w:ascii="Times New Roman" w:hAnsi="Times New Roman" w:cs="Times New Roman"/>
                <w:sz w:val="24"/>
                <w:szCs w:val="24"/>
              </w:rPr>
            </w:pPr>
            <w:r>
              <w:rPr>
                <w:rFonts w:ascii="Times New Roman" w:hAnsi="Times New Roman" w:cs="Times New Roman"/>
                <w:sz w:val="24"/>
                <w:szCs w:val="24"/>
              </w:rPr>
              <w:t>11,863,505</w:t>
            </w:r>
          </w:p>
        </w:tc>
        <w:tc>
          <w:tcPr>
            <w:tcW w:w="1500" w:type="dxa"/>
            <w:hideMark/>
          </w:tcPr>
          <w:p w:rsidR="00941B28" w14:paraId="334EB01E" w14:textId="77777777">
            <w:pPr>
              <w:overflowPunct w:val="0"/>
              <w:autoSpaceDE w:val="0"/>
              <w:autoSpaceDN w:val="0"/>
              <w:spacing w:before="2"/>
              <w:ind w:left="228" w:right="203"/>
              <w:jc w:val="center"/>
              <w:rPr>
                <w:rFonts w:ascii="Times New Roman" w:hAnsi="Times New Roman" w:cs="Times New Roman"/>
                <w:sz w:val="24"/>
                <w:szCs w:val="24"/>
              </w:rPr>
            </w:pPr>
            <w:r>
              <w:rPr>
                <w:rFonts w:ascii="Times New Roman" w:hAnsi="Times New Roman" w:cs="Times New Roman"/>
                <w:sz w:val="24"/>
                <w:szCs w:val="24"/>
              </w:rPr>
              <w:t>$644.1</w:t>
            </w:r>
          </w:p>
        </w:tc>
        <w:tc>
          <w:tcPr>
            <w:tcW w:w="1382" w:type="dxa"/>
            <w:hideMark/>
          </w:tcPr>
          <w:p w:rsidR="00941B28" w14:paraId="6CC73182" w14:textId="77777777">
            <w:pPr>
              <w:overflowPunct w:val="0"/>
              <w:autoSpaceDE w:val="0"/>
              <w:autoSpaceDN w:val="0"/>
              <w:spacing w:before="2"/>
              <w:ind w:right="337"/>
              <w:jc w:val="right"/>
              <w:rPr>
                <w:rFonts w:ascii="Times New Roman" w:hAnsi="Times New Roman" w:cs="Times New Roman"/>
                <w:sz w:val="24"/>
                <w:szCs w:val="24"/>
              </w:rPr>
            </w:pPr>
            <w:r>
              <w:rPr>
                <w:rFonts w:ascii="Times New Roman" w:hAnsi="Times New Roman" w:cs="Times New Roman"/>
                <w:sz w:val="24"/>
                <w:szCs w:val="24"/>
              </w:rPr>
              <w:t>$54.29</w:t>
            </w:r>
          </w:p>
        </w:tc>
        <w:tc>
          <w:tcPr>
            <w:tcW w:w="1606" w:type="dxa"/>
            <w:hideMark/>
          </w:tcPr>
          <w:p w:rsidR="00941B28" w14:paraId="30C3346D" w14:textId="77777777">
            <w:pPr>
              <w:overflowPunct w:val="0"/>
              <w:autoSpaceDE w:val="0"/>
              <w:autoSpaceDN w:val="0"/>
              <w:spacing w:before="2"/>
              <w:ind w:left="210" w:right="199"/>
              <w:jc w:val="center"/>
              <w:rPr>
                <w:rFonts w:ascii="Times New Roman" w:hAnsi="Times New Roman" w:cs="Times New Roman"/>
                <w:sz w:val="24"/>
                <w:szCs w:val="24"/>
              </w:rPr>
            </w:pPr>
            <w:r>
              <w:rPr>
                <w:rFonts w:ascii="Times New Roman" w:hAnsi="Times New Roman" w:cs="Times New Roman"/>
                <w:sz w:val="24"/>
                <w:szCs w:val="24"/>
              </w:rPr>
              <w:t>$44.28</w:t>
            </w:r>
          </w:p>
        </w:tc>
        <w:tc>
          <w:tcPr>
            <w:tcW w:w="1743" w:type="dxa"/>
            <w:tcBorders>
              <w:top w:val="nil"/>
              <w:left w:val="nil"/>
              <w:bottom w:val="nil"/>
              <w:right w:val="single" w:sz="8" w:space="0" w:color="000000"/>
            </w:tcBorders>
            <w:hideMark/>
          </w:tcPr>
          <w:p w:rsidR="00941B28" w14:paraId="4BBEF82A" w14:textId="77777777">
            <w:pPr>
              <w:overflowPunct w:val="0"/>
              <w:autoSpaceDE w:val="0"/>
              <w:autoSpaceDN w:val="0"/>
              <w:spacing w:before="2"/>
              <w:ind w:left="455" w:right="463"/>
              <w:jc w:val="center"/>
              <w:rPr>
                <w:rFonts w:ascii="Times New Roman" w:hAnsi="Times New Roman" w:cs="Times New Roman"/>
                <w:sz w:val="24"/>
                <w:szCs w:val="24"/>
              </w:rPr>
            </w:pPr>
            <w:r>
              <w:rPr>
                <w:rFonts w:ascii="Times New Roman" w:hAnsi="Times New Roman" w:cs="Times New Roman"/>
                <w:sz w:val="24"/>
                <w:szCs w:val="24"/>
              </w:rPr>
              <w:t>$118.75</w:t>
            </w:r>
          </w:p>
        </w:tc>
      </w:tr>
      <w:tr w14:paraId="3FE1C21A" w14:textId="77777777" w:rsidTr="00941B28">
        <w:tblPrEx>
          <w:tblW w:w="0" w:type="auto"/>
          <w:jc w:val="center"/>
          <w:tblCellMar>
            <w:left w:w="0" w:type="dxa"/>
            <w:right w:w="0" w:type="dxa"/>
          </w:tblCellMar>
          <w:tblLook w:val="04A0"/>
        </w:tblPrEx>
        <w:trPr>
          <w:trHeight w:val="49"/>
          <w:jc w:val="center"/>
        </w:trPr>
        <w:tc>
          <w:tcPr>
            <w:tcW w:w="840" w:type="dxa"/>
            <w:tcBorders>
              <w:top w:val="nil"/>
              <w:left w:val="single" w:sz="8" w:space="0" w:color="000000"/>
              <w:bottom w:val="single" w:sz="8" w:space="0" w:color="000000"/>
              <w:right w:val="single" w:sz="8" w:space="0" w:color="000000"/>
            </w:tcBorders>
            <w:hideMark/>
          </w:tcPr>
          <w:p w:rsidR="00941B28" w14:paraId="44A5EF9C" w14:textId="77777777">
            <w:pPr>
              <w:overflowPunct w:val="0"/>
              <w:autoSpaceDE w:val="0"/>
              <w:autoSpaceDN w:val="0"/>
              <w:ind w:right="91"/>
              <w:jc w:val="right"/>
              <w:rPr>
                <w:rFonts w:ascii="Times New Roman" w:hAnsi="Times New Roman" w:cs="Times New Roman"/>
                <w:b/>
                <w:bCs/>
                <w:sz w:val="24"/>
                <w:szCs w:val="24"/>
              </w:rPr>
            </w:pPr>
            <w:r>
              <w:rPr>
                <w:rFonts w:ascii="Times New Roman" w:hAnsi="Times New Roman" w:cs="Times New Roman"/>
                <w:b/>
                <w:bCs/>
                <w:sz w:val="24"/>
                <w:szCs w:val="24"/>
              </w:rPr>
              <w:t>2019</w:t>
            </w:r>
          </w:p>
        </w:tc>
        <w:tc>
          <w:tcPr>
            <w:tcW w:w="1559" w:type="dxa"/>
            <w:tcBorders>
              <w:top w:val="nil"/>
              <w:left w:val="nil"/>
              <w:bottom w:val="single" w:sz="8" w:space="0" w:color="000000"/>
              <w:right w:val="nil"/>
            </w:tcBorders>
            <w:hideMark/>
          </w:tcPr>
          <w:p w:rsidR="00941B28" w14:paraId="2CE6130F" w14:textId="77777777">
            <w:pPr>
              <w:overflowPunct w:val="0"/>
              <w:autoSpaceDE w:val="0"/>
              <w:autoSpaceDN w:val="0"/>
              <w:ind w:left="224" w:right="210"/>
              <w:jc w:val="center"/>
              <w:rPr>
                <w:rFonts w:ascii="Times New Roman" w:hAnsi="Times New Roman" w:cs="Times New Roman"/>
                <w:sz w:val="24"/>
                <w:szCs w:val="24"/>
              </w:rPr>
            </w:pPr>
            <w:r>
              <w:rPr>
                <w:rFonts w:ascii="Times New Roman" w:hAnsi="Times New Roman" w:cs="Times New Roman"/>
                <w:sz w:val="24"/>
                <w:szCs w:val="24"/>
              </w:rPr>
              <w:t>11,234,353</w:t>
            </w:r>
          </w:p>
        </w:tc>
        <w:tc>
          <w:tcPr>
            <w:tcW w:w="1500" w:type="dxa"/>
            <w:tcBorders>
              <w:top w:val="nil"/>
              <w:left w:val="nil"/>
              <w:bottom w:val="single" w:sz="8" w:space="0" w:color="000000"/>
              <w:right w:val="nil"/>
            </w:tcBorders>
            <w:hideMark/>
          </w:tcPr>
          <w:p w:rsidR="00941B28" w14:paraId="1175E2B2" w14:textId="77777777">
            <w:pPr>
              <w:overflowPunct w:val="0"/>
              <w:autoSpaceDE w:val="0"/>
              <w:autoSpaceDN w:val="0"/>
              <w:ind w:left="228" w:right="203"/>
              <w:jc w:val="center"/>
              <w:rPr>
                <w:rFonts w:ascii="Times New Roman" w:hAnsi="Times New Roman" w:cs="Times New Roman"/>
                <w:sz w:val="24"/>
                <w:szCs w:val="24"/>
              </w:rPr>
            </w:pPr>
            <w:r>
              <w:rPr>
                <w:rFonts w:ascii="Times New Roman" w:hAnsi="Times New Roman" w:cs="Times New Roman"/>
                <w:sz w:val="24"/>
                <w:szCs w:val="24"/>
              </w:rPr>
              <w:t>$640.8</w:t>
            </w:r>
          </w:p>
        </w:tc>
        <w:tc>
          <w:tcPr>
            <w:tcW w:w="1382" w:type="dxa"/>
            <w:tcBorders>
              <w:top w:val="nil"/>
              <w:left w:val="nil"/>
              <w:bottom w:val="single" w:sz="8" w:space="0" w:color="000000"/>
              <w:right w:val="nil"/>
            </w:tcBorders>
            <w:hideMark/>
          </w:tcPr>
          <w:p w:rsidR="00941B28" w14:paraId="72867BA3" w14:textId="77777777">
            <w:pPr>
              <w:overflowPunct w:val="0"/>
              <w:autoSpaceDE w:val="0"/>
              <w:autoSpaceDN w:val="0"/>
              <w:ind w:right="337"/>
              <w:jc w:val="right"/>
              <w:rPr>
                <w:rFonts w:ascii="Times New Roman" w:hAnsi="Times New Roman" w:cs="Times New Roman"/>
                <w:sz w:val="24"/>
                <w:szCs w:val="24"/>
              </w:rPr>
            </w:pPr>
            <w:r>
              <w:rPr>
                <w:rFonts w:ascii="Times New Roman" w:hAnsi="Times New Roman" w:cs="Times New Roman"/>
                <w:sz w:val="24"/>
                <w:szCs w:val="24"/>
              </w:rPr>
              <w:t>$57.04</w:t>
            </w:r>
          </w:p>
        </w:tc>
        <w:tc>
          <w:tcPr>
            <w:tcW w:w="1606" w:type="dxa"/>
            <w:tcBorders>
              <w:top w:val="nil"/>
              <w:left w:val="nil"/>
              <w:bottom w:val="single" w:sz="8" w:space="0" w:color="000000"/>
              <w:right w:val="nil"/>
            </w:tcBorders>
            <w:hideMark/>
          </w:tcPr>
          <w:p w:rsidR="00941B28" w14:paraId="2C42062A" w14:textId="77777777">
            <w:pPr>
              <w:overflowPunct w:val="0"/>
              <w:autoSpaceDE w:val="0"/>
              <w:autoSpaceDN w:val="0"/>
              <w:ind w:left="210" w:right="199"/>
              <w:jc w:val="center"/>
              <w:rPr>
                <w:rFonts w:ascii="Times New Roman" w:hAnsi="Times New Roman" w:cs="Times New Roman"/>
                <w:sz w:val="24"/>
                <w:szCs w:val="24"/>
              </w:rPr>
            </w:pPr>
            <w:r>
              <w:rPr>
                <w:rFonts w:ascii="Times New Roman" w:hAnsi="Times New Roman" w:cs="Times New Roman"/>
                <w:sz w:val="24"/>
                <w:szCs w:val="24"/>
              </w:rPr>
              <w:t>$35.91</w:t>
            </w:r>
          </w:p>
        </w:tc>
        <w:tc>
          <w:tcPr>
            <w:tcW w:w="1743" w:type="dxa"/>
            <w:tcBorders>
              <w:top w:val="nil"/>
              <w:left w:val="nil"/>
              <w:bottom w:val="single" w:sz="8" w:space="0" w:color="000000"/>
              <w:right w:val="single" w:sz="8" w:space="0" w:color="000000"/>
            </w:tcBorders>
            <w:hideMark/>
          </w:tcPr>
          <w:p w:rsidR="00941B28" w14:paraId="7BF34D19" w14:textId="77777777">
            <w:pPr>
              <w:overflowPunct w:val="0"/>
              <w:autoSpaceDE w:val="0"/>
              <w:autoSpaceDN w:val="0"/>
              <w:ind w:left="455" w:right="463"/>
              <w:jc w:val="center"/>
              <w:rPr>
                <w:rFonts w:ascii="Times New Roman" w:hAnsi="Times New Roman" w:cs="Times New Roman"/>
                <w:sz w:val="24"/>
                <w:szCs w:val="24"/>
              </w:rPr>
            </w:pPr>
            <w:r>
              <w:rPr>
                <w:rFonts w:ascii="Times New Roman" w:hAnsi="Times New Roman" w:cs="Times New Roman"/>
                <w:sz w:val="24"/>
                <w:szCs w:val="24"/>
              </w:rPr>
              <w:t>$237.36</w:t>
            </w:r>
          </w:p>
        </w:tc>
      </w:tr>
    </w:tbl>
    <w:p w:rsidR="00941B28" w:rsidP="00941B28" w14:paraId="51FB89A3" w14:textId="77777777">
      <w:pPr>
        <w:spacing w:after="0" w:line="240" w:lineRule="auto"/>
        <w:ind w:firstLine="720"/>
        <w:rPr>
          <w:rFonts w:ascii="Times New Roman" w:hAnsi="Times New Roman" w:cs="Times New Roman"/>
          <w:sz w:val="24"/>
          <w:szCs w:val="24"/>
        </w:rPr>
      </w:pPr>
    </w:p>
    <w:p w:rsidR="00F85437" w:rsidRPr="003F1007" w:rsidP="00113DAD" w14:paraId="76EA5557" w14:textId="3B01E002">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 xml:space="preserve">OCC witness Ms. Glick testified that in 2019, Duke collected $24.6 million in </w:t>
      </w:r>
      <w:r w:rsidR="00113DAD">
        <w:rPr>
          <w:rFonts w:ascii="Times New Roman" w:hAnsi="Times New Roman" w:cs="Times New Roman"/>
          <w:sz w:val="24"/>
          <w:szCs w:val="24"/>
        </w:rPr>
        <w:t>above-market electricity</w:t>
      </w:r>
      <w:r w:rsidRPr="003F1007">
        <w:rPr>
          <w:rFonts w:ascii="Times New Roman" w:hAnsi="Times New Roman" w:cs="Times New Roman"/>
          <w:sz w:val="24"/>
          <w:szCs w:val="24"/>
        </w:rPr>
        <w:t xml:space="preserve"> costs under the Price Stabilization Rider</w:t>
      </w:r>
      <w:r w:rsidR="00113DAD">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9A41AD">
        <w:rPr>
          <w:rFonts w:ascii="Times New Roman" w:hAnsi="Times New Roman" w:cs="Times New Roman"/>
          <w:sz w:val="24"/>
          <w:szCs w:val="24"/>
        </w:rPr>
        <w:t xml:space="preserve"> </w:t>
      </w:r>
      <w:r w:rsidRPr="003F1007" w:rsidR="00113DAD">
        <w:rPr>
          <w:rFonts w:ascii="Times New Roman" w:hAnsi="Times New Roman" w:cs="Times New Roman"/>
          <w:sz w:val="24"/>
          <w:szCs w:val="24"/>
        </w:rPr>
        <w:t>OCC witness Mr. Haugh testified that Duke and OVEC imprudently committed the OVEC plants into the PJM Day-Ahead Energy Market on a “must run” basis.</w:t>
      </w:r>
      <w:r>
        <w:rPr>
          <w:rStyle w:val="FootnoteReference"/>
          <w:rFonts w:ascii="Times New Roman" w:hAnsi="Times New Roman" w:cs="Times New Roman"/>
          <w:sz w:val="24"/>
          <w:szCs w:val="24"/>
        </w:rPr>
        <w:footnoteReference w:id="13"/>
      </w:r>
      <w:r w:rsidRPr="003F1007" w:rsidR="00113DAD">
        <w:rPr>
          <w:rFonts w:ascii="Times New Roman" w:hAnsi="Times New Roman" w:cs="Times New Roman"/>
          <w:sz w:val="24"/>
          <w:szCs w:val="24"/>
        </w:rPr>
        <w:t xml:space="preserve"> </w:t>
      </w:r>
      <w:r w:rsidR="00113DAD">
        <w:rPr>
          <w:rFonts w:ascii="Times New Roman" w:hAnsi="Times New Roman" w:cs="Times New Roman"/>
          <w:sz w:val="24"/>
          <w:szCs w:val="24"/>
        </w:rPr>
        <w:t>“</w:t>
      </w:r>
      <w:r w:rsidRPr="003F1007" w:rsidR="00113DAD">
        <w:rPr>
          <w:rFonts w:ascii="Times New Roman" w:hAnsi="Times New Roman" w:cs="Times New Roman"/>
          <w:sz w:val="24"/>
          <w:szCs w:val="24"/>
        </w:rPr>
        <w:t>Must</w:t>
      </w:r>
      <w:r w:rsidR="00113DAD">
        <w:rPr>
          <w:rFonts w:ascii="Times New Roman" w:hAnsi="Times New Roman" w:cs="Times New Roman"/>
          <w:sz w:val="24"/>
          <w:szCs w:val="24"/>
        </w:rPr>
        <w:t>-</w:t>
      </w:r>
      <w:r w:rsidRPr="003F1007" w:rsidR="00113DAD">
        <w:rPr>
          <w:rFonts w:ascii="Times New Roman" w:hAnsi="Times New Roman" w:cs="Times New Roman"/>
          <w:sz w:val="24"/>
          <w:szCs w:val="24"/>
        </w:rPr>
        <w:t>run</w:t>
      </w:r>
      <w:r w:rsidR="00113DAD">
        <w:rPr>
          <w:rFonts w:ascii="Times New Roman" w:hAnsi="Times New Roman" w:cs="Times New Roman"/>
          <w:sz w:val="24"/>
          <w:szCs w:val="24"/>
        </w:rPr>
        <w:t>”</w:t>
      </w:r>
      <w:r w:rsidRPr="003F1007" w:rsidR="00113DAD">
        <w:rPr>
          <w:rFonts w:ascii="Times New Roman" w:hAnsi="Times New Roman" w:cs="Times New Roman"/>
          <w:sz w:val="24"/>
          <w:szCs w:val="24"/>
        </w:rPr>
        <w:t xml:space="preserve"> means that the OVEC plants were committed to run regardless of whether the plants’ operating costs exceeded the expected PJM revenues. That means the plants are a money loser and burden on consumers, for Duke’s benefit.</w:t>
      </w:r>
    </w:p>
    <w:p w:rsidR="006B132B" w:rsidP="006B132B" w14:paraId="4810CD85" w14:textId="644C4AD5">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 xml:space="preserve">This </w:t>
      </w:r>
      <w:r>
        <w:rPr>
          <w:rFonts w:ascii="Times New Roman" w:hAnsi="Times New Roman" w:cs="Times New Roman"/>
          <w:sz w:val="24"/>
          <w:szCs w:val="24"/>
        </w:rPr>
        <w:t>was imprudent because power plant</w:t>
      </w:r>
      <w:r w:rsidRPr="003F1007">
        <w:rPr>
          <w:rFonts w:ascii="Times New Roman" w:hAnsi="Times New Roman" w:cs="Times New Roman"/>
          <w:sz w:val="24"/>
          <w:szCs w:val="24"/>
        </w:rPr>
        <w:t xml:space="preserve"> operators</w:t>
      </w:r>
      <w:r>
        <w:rPr>
          <w:rFonts w:ascii="Times New Roman" w:hAnsi="Times New Roman" w:cs="Times New Roman"/>
          <w:sz w:val="24"/>
          <w:szCs w:val="24"/>
        </w:rPr>
        <w:t>, following good utility practice,</w:t>
      </w:r>
      <w:r w:rsidRPr="003F1007">
        <w:rPr>
          <w:rFonts w:ascii="Times New Roman" w:hAnsi="Times New Roman" w:cs="Times New Roman"/>
          <w:sz w:val="24"/>
          <w:szCs w:val="24"/>
        </w:rPr>
        <w:t xml:space="preserve"> do a daily financial analysis of the projected costs and projected revenues for operating their plants before deciding</w:t>
      </w:r>
      <w:r>
        <w:rPr>
          <w:rFonts w:ascii="Times New Roman" w:hAnsi="Times New Roman" w:cs="Times New Roman"/>
          <w:sz w:val="24"/>
          <w:szCs w:val="24"/>
        </w:rPr>
        <w:t xml:space="preserve"> </w:t>
      </w:r>
      <w:r w:rsidRPr="003F1007">
        <w:rPr>
          <w:rFonts w:ascii="Times New Roman" w:hAnsi="Times New Roman" w:cs="Times New Roman"/>
          <w:sz w:val="24"/>
          <w:szCs w:val="24"/>
        </w:rPr>
        <w:t>whether to commit the plant as must-run or economic.</w:t>
      </w:r>
      <w:r>
        <w:rPr>
          <w:rStyle w:val="FootnoteReference"/>
          <w:rFonts w:ascii="Times New Roman" w:hAnsi="Times New Roman" w:cs="Times New Roman"/>
          <w:sz w:val="24"/>
          <w:szCs w:val="24"/>
        </w:rPr>
        <w:footnoteReference w:id="14"/>
      </w:r>
      <w:r w:rsidR="002E691F">
        <w:rPr>
          <w:rFonts w:ascii="Times New Roman" w:hAnsi="Times New Roman" w:cs="Times New Roman"/>
          <w:sz w:val="24"/>
          <w:szCs w:val="24"/>
        </w:rPr>
        <w:t xml:space="preserve"> By imprudently failing to do this analysis</w:t>
      </w:r>
      <w:r w:rsidRPr="003F1007">
        <w:rPr>
          <w:rFonts w:ascii="Times New Roman" w:hAnsi="Times New Roman" w:cs="Times New Roman"/>
          <w:sz w:val="24"/>
          <w:szCs w:val="24"/>
        </w:rPr>
        <w:t xml:space="preserve">, OVEC operated the plants during </w:t>
      </w:r>
      <w:r>
        <w:rPr>
          <w:rFonts w:ascii="Times New Roman" w:hAnsi="Times New Roman" w:cs="Times New Roman"/>
          <w:sz w:val="24"/>
          <w:szCs w:val="24"/>
        </w:rPr>
        <w:t>long periods</w:t>
      </w:r>
      <w:r w:rsidRPr="003F1007">
        <w:rPr>
          <w:rFonts w:ascii="Times New Roman" w:hAnsi="Times New Roman" w:cs="Times New Roman"/>
          <w:sz w:val="24"/>
          <w:szCs w:val="24"/>
        </w:rPr>
        <w:t xml:space="preserve"> when the plants’ revenue did not even cover variable operating costs. </w:t>
      </w:r>
    </w:p>
    <w:p w:rsidR="003218CF" w:rsidP="006B132B" w14:paraId="0CD085FB"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ignored this evidence.</w:t>
      </w:r>
      <w:r w:rsidR="009A41AD">
        <w:rPr>
          <w:rFonts w:ascii="Times New Roman" w:hAnsi="Times New Roman" w:cs="Times New Roman"/>
          <w:sz w:val="24"/>
          <w:szCs w:val="24"/>
        </w:rPr>
        <w:t xml:space="preserve"> </w:t>
      </w:r>
      <w:r w:rsidRPr="003F1007" w:rsidR="00113DAD">
        <w:rPr>
          <w:rFonts w:ascii="Times New Roman" w:hAnsi="Times New Roman" w:cs="Times New Roman"/>
          <w:sz w:val="24"/>
          <w:szCs w:val="24"/>
        </w:rPr>
        <w:t xml:space="preserve">The PUCO should </w:t>
      </w:r>
      <w:r>
        <w:rPr>
          <w:rFonts w:ascii="Times New Roman" w:hAnsi="Times New Roman" w:cs="Times New Roman"/>
          <w:sz w:val="24"/>
          <w:szCs w:val="24"/>
        </w:rPr>
        <w:t xml:space="preserve">have </w:t>
      </w:r>
      <w:r w:rsidRPr="003F1007" w:rsidR="00113DAD">
        <w:rPr>
          <w:rFonts w:ascii="Times New Roman" w:hAnsi="Times New Roman" w:cs="Times New Roman"/>
          <w:sz w:val="24"/>
          <w:szCs w:val="24"/>
        </w:rPr>
        <w:t>disallow</w:t>
      </w:r>
      <w:r>
        <w:rPr>
          <w:rFonts w:ascii="Times New Roman" w:hAnsi="Times New Roman" w:cs="Times New Roman"/>
          <w:sz w:val="24"/>
          <w:szCs w:val="24"/>
        </w:rPr>
        <w:t>ed</w:t>
      </w:r>
      <w:r w:rsidRPr="003F1007" w:rsidR="00113DAD">
        <w:rPr>
          <w:rFonts w:ascii="Times New Roman" w:hAnsi="Times New Roman" w:cs="Times New Roman"/>
          <w:sz w:val="24"/>
          <w:szCs w:val="24"/>
        </w:rPr>
        <w:t xml:space="preserve"> the $24.6 million in above</w:t>
      </w:r>
      <w:r w:rsidR="006B132B">
        <w:rPr>
          <w:rFonts w:ascii="Times New Roman" w:hAnsi="Times New Roman" w:cs="Times New Roman"/>
          <w:sz w:val="24"/>
          <w:szCs w:val="24"/>
        </w:rPr>
        <w:t>-</w:t>
      </w:r>
      <w:r w:rsidRPr="003F1007" w:rsidR="00113DAD">
        <w:rPr>
          <w:rFonts w:ascii="Times New Roman" w:hAnsi="Times New Roman" w:cs="Times New Roman"/>
          <w:sz w:val="24"/>
          <w:szCs w:val="24"/>
        </w:rPr>
        <w:t>market costs charged to consumers. The management practices leading to the charges and the charges themselves are unreasonable and imprudent.</w:t>
      </w:r>
      <w:r>
        <w:rPr>
          <w:rStyle w:val="FootnoteReference"/>
          <w:rFonts w:ascii="Times New Roman" w:hAnsi="Times New Roman" w:cs="Times New Roman"/>
          <w:sz w:val="24"/>
          <w:szCs w:val="24"/>
        </w:rPr>
        <w:footnoteReference w:id="15"/>
      </w:r>
      <w:r w:rsidRPr="003F1007" w:rsidR="00113DAD">
        <w:rPr>
          <w:rFonts w:ascii="Times New Roman" w:hAnsi="Times New Roman" w:cs="Times New Roman"/>
          <w:sz w:val="24"/>
          <w:szCs w:val="24"/>
        </w:rPr>
        <w:t xml:space="preserve"> </w:t>
      </w:r>
    </w:p>
    <w:p w:rsidR="006B132B" w:rsidP="006B132B" w14:paraId="38D55AF5" w14:textId="074F6B35">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Generators, like the OVEC plants, operating within the PJM market generally commit their available units as either economic or must-run.</w:t>
      </w:r>
      <w:r>
        <w:rPr>
          <w:rStyle w:val="FootnoteReference"/>
          <w:rFonts w:ascii="Times New Roman" w:hAnsi="Times New Roman" w:cs="Times New Roman"/>
          <w:sz w:val="24"/>
          <w:szCs w:val="24"/>
        </w:rPr>
        <w:footnoteReference w:id="16"/>
      </w:r>
      <w:r w:rsidRPr="003F1007">
        <w:rPr>
          <w:rFonts w:ascii="Times New Roman" w:hAnsi="Times New Roman" w:cs="Times New Roman"/>
          <w:sz w:val="24"/>
          <w:szCs w:val="24"/>
        </w:rPr>
        <w:t xml:space="preserve"> For units committed economically, the market operator (PJM) has the responsibility for unit commitment and dispatch decisions. Those decisions prioritize reliability for the system as a whole, but then select plants to commit and dispatch based on short-term economics to ensure consumers are served by the lowest-cost resources available to the system.</w:t>
      </w:r>
      <w:r>
        <w:rPr>
          <w:rStyle w:val="FootnoteReference"/>
          <w:rFonts w:ascii="Times New Roman" w:hAnsi="Times New Roman" w:cs="Times New Roman"/>
          <w:sz w:val="24"/>
          <w:szCs w:val="24"/>
        </w:rPr>
        <w:footnoteReference w:id="17"/>
      </w:r>
      <w:r w:rsidRPr="003F1007">
        <w:rPr>
          <w:rFonts w:ascii="Times New Roman" w:hAnsi="Times New Roman" w:cs="Times New Roman"/>
          <w:sz w:val="24"/>
          <w:szCs w:val="24"/>
        </w:rPr>
        <w:t xml:space="preserve"> </w:t>
      </w:r>
    </w:p>
    <w:p w:rsidR="006B132B" w:rsidRPr="003F1007" w:rsidP="006B132B" w14:paraId="3D2FD613" w14:textId="107BA20A">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A plant committed as “economic” will operate only if it is the least-cost option available to the market (i.e., has a lower average commitment period cost than other resources available at the time).</w:t>
      </w:r>
      <w:r>
        <w:rPr>
          <w:rStyle w:val="FootnoteReference"/>
          <w:rFonts w:ascii="Times New Roman" w:hAnsi="Times New Roman" w:cs="Times New Roman"/>
          <w:sz w:val="24"/>
          <w:szCs w:val="24"/>
        </w:rPr>
        <w:footnoteReference w:id="18"/>
      </w:r>
      <w:r w:rsidRPr="003F1007">
        <w:rPr>
          <w:rFonts w:ascii="Times New Roman" w:hAnsi="Times New Roman" w:cs="Times New Roman"/>
          <w:sz w:val="24"/>
          <w:szCs w:val="24"/>
        </w:rPr>
        <w:t xml:space="preserve"> However, a unit designated as “must-run” will operate with a power output no less than its minimum operating level.</w:t>
      </w:r>
      <w:r>
        <w:rPr>
          <w:rStyle w:val="FootnoteReference"/>
          <w:rFonts w:ascii="Times New Roman" w:hAnsi="Times New Roman" w:cs="Times New Roman"/>
          <w:sz w:val="24"/>
          <w:szCs w:val="24"/>
        </w:rPr>
        <w:footnoteReference w:id="19"/>
      </w:r>
      <w:r w:rsidRPr="003F1007">
        <w:rPr>
          <w:rFonts w:ascii="Times New Roman" w:hAnsi="Times New Roman" w:cs="Times New Roman"/>
          <w:sz w:val="24"/>
          <w:szCs w:val="24"/>
        </w:rPr>
        <w:t xml:space="preserve"> The unit receives market revenue (and incurs variable operational costs), but does not set the market price of energy. If the market price of energy falls below its operational cost, a must-run unit will not turn off and can incur losses that a regulated utility often seeks to collect from consumers.</w:t>
      </w:r>
      <w:r>
        <w:rPr>
          <w:rStyle w:val="FootnoteReference"/>
          <w:rFonts w:ascii="Times New Roman" w:hAnsi="Times New Roman" w:cs="Times New Roman"/>
          <w:sz w:val="24"/>
          <w:szCs w:val="24"/>
        </w:rPr>
        <w:footnoteReference w:id="20"/>
      </w:r>
      <w:r w:rsidR="009A41AD">
        <w:rPr>
          <w:rFonts w:ascii="Times New Roman" w:hAnsi="Times New Roman" w:cs="Times New Roman"/>
          <w:sz w:val="24"/>
          <w:szCs w:val="24"/>
        </w:rPr>
        <w:t xml:space="preserve"> </w:t>
      </w:r>
      <w:r>
        <w:rPr>
          <w:rFonts w:ascii="Times New Roman" w:hAnsi="Times New Roman" w:cs="Times New Roman"/>
          <w:sz w:val="24"/>
          <w:szCs w:val="24"/>
        </w:rPr>
        <w:t>Duke/OVEC were imprudent because they operated the plants as must-run continuously and did not use daily financial analysis to guide their decision-making.</w:t>
      </w:r>
    </w:p>
    <w:p w:rsidR="005B1C47" w:rsidP="009A10AC" w14:paraId="609EBAAB" w14:textId="58B0413D">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Duke cannot escape responsibility by arguing that the OVEC Operating Committee is responsible for the daily unit commitment decisions.</w:t>
      </w:r>
      <w:r w:rsidR="009A41AD">
        <w:rPr>
          <w:rFonts w:ascii="Times New Roman" w:hAnsi="Times New Roman" w:eastAsiaTheme="minorEastAsia" w:cs="Times New Roman"/>
          <w:sz w:val="24"/>
          <w:szCs w:val="24"/>
        </w:rPr>
        <w:t xml:space="preserve"> </w:t>
      </w:r>
      <w:r w:rsidR="004C0897">
        <w:rPr>
          <w:rFonts w:ascii="Times New Roman" w:hAnsi="Times New Roman" w:eastAsiaTheme="minorEastAsia" w:cs="Times New Roman"/>
          <w:sz w:val="24"/>
          <w:szCs w:val="24"/>
        </w:rPr>
        <w:t>The auditor failed to review whether the OVEC Operating Committee’s use of the must-run commitment designation was reasonable.</w:t>
      </w:r>
      <w:r w:rsidR="009A41AD">
        <w:rPr>
          <w:rFonts w:ascii="Times New Roman" w:hAnsi="Times New Roman" w:eastAsiaTheme="minorEastAsia" w:cs="Times New Roman"/>
          <w:sz w:val="24"/>
          <w:szCs w:val="24"/>
        </w:rPr>
        <w:t xml:space="preserve"> </w:t>
      </w:r>
      <w:r w:rsidRPr="001E6727" w:rsidR="009A10AC">
        <w:rPr>
          <w:rFonts w:ascii="Times New Roman" w:hAnsi="Times New Roman" w:eastAsiaTheme="minorEastAsia" w:cs="Times New Roman"/>
          <w:sz w:val="24"/>
          <w:szCs w:val="24"/>
        </w:rPr>
        <w:t>The PUCO should have reviewed the actual bidding practices, regardless of who was responsible for deciding them.</w:t>
      </w:r>
      <w:r w:rsidR="009A10AC">
        <w:rPr>
          <w:rFonts w:ascii="Times New Roman" w:hAnsi="Times New Roman" w:eastAsiaTheme="minorEastAsia" w:cs="Times New Roman"/>
          <w:sz w:val="24"/>
          <w:szCs w:val="24"/>
        </w:rPr>
        <w:t xml:space="preserve"> </w:t>
      </w:r>
      <w:r w:rsidRPr="001E6727" w:rsidR="009A10AC">
        <w:rPr>
          <w:rFonts w:ascii="Times New Roman" w:hAnsi="Times New Roman" w:eastAsiaTheme="minorEastAsia" w:cs="Times New Roman"/>
          <w:sz w:val="24"/>
          <w:szCs w:val="24"/>
        </w:rPr>
        <w:t xml:space="preserve">If the </w:t>
      </w:r>
      <w:r w:rsidR="002E691F">
        <w:rPr>
          <w:rFonts w:ascii="Times New Roman" w:hAnsi="Times New Roman" w:eastAsiaTheme="minorEastAsia" w:cs="Times New Roman"/>
          <w:sz w:val="24"/>
          <w:szCs w:val="24"/>
        </w:rPr>
        <w:t xml:space="preserve">OVEC Operating Committee’s </w:t>
      </w:r>
      <w:r w:rsidR="006227AA">
        <w:rPr>
          <w:rFonts w:ascii="Times New Roman" w:hAnsi="Times New Roman" w:eastAsiaTheme="minorEastAsia" w:cs="Times New Roman"/>
          <w:sz w:val="24"/>
          <w:szCs w:val="24"/>
        </w:rPr>
        <w:t xml:space="preserve"> </w:t>
      </w:r>
      <w:r w:rsidR="002E691F">
        <w:rPr>
          <w:rFonts w:ascii="Times New Roman" w:hAnsi="Times New Roman" w:eastAsiaTheme="minorEastAsia" w:cs="Times New Roman"/>
          <w:sz w:val="24"/>
          <w:szCs w:val="24"/>
        </w:rPr>
        <w:t xml:space="preserve">use of must-run commitment </w:t>
      </w:r>
      <w:r w:rsidRPr="00844ABA" w:rsidR="002E691F">
        <w:rPr>
          <w:rFonts w:ascii="Times New Roman" w:hAnsi="Times New Roman" w:eastAsiaTheme="minorEastAsia" w:cs="Times New Roman"/>
          <w:sz w:val="24"/>
          <w:szCs w:val="24"/>
        </w:rPr>
        <w:t xml:space="preserve">was </w:t>
      </w:r>
      <w:r w:rsidRPr="00844ABA" w:rsidR="009A10AC">
        <w:rPr>
          <w:rFonts w:ascii="Times New Roman" w:hAnsi="Times New Roman" w:eastAsiaTheme="minorEastAsia" w:cs="Times New Roman"/>
          <w:sz w:val="24"/>
          <w:szCs w:val="24"/>
        </w:rPr>
        <w:t>imprudent, then the PUCO should have held Duke responsible for such imprudence. In past cases, the PUCO found that minority owners of Ohio nuclear plants were responsible for imprudence in the plants’ operation, regardless of whether the imprudence was d</w:t>
      </w:r>
      <w:r w:rsidRPr="001E6727" w:rsidR="009A10AC">
        <w:rPr>
          <w:rFonts w:ascii="Times New Roman" w:hAnsi="Times New Roman" w:eastAsiaTheme="minorEastAsia" w:cs="Times New Roman"/>
          <w:sz w:val="24"/>
          <w:szCs w:val="24"/>
        </w:rPr>
        <w:t>irectly caused by the plant operator or an outside contractor.</w:t>
      </w:r>
      <w:r w:rsidR="009A10AC">
        <w:rPr>
          <w:rFonts w:ascii="Times New Roman" w:hAnsi="Times New Roman" w:eastAsiaTheme="minorEastAsia" w:cs="Times New Roman"/>
          <w:sz w:val="24"/>
          <w:szCs w:val="24"/>
        </w:rPr>
        <w:t xml:space="preserve"> </w:t>
      </w:r>
      <w:r>
        <w:rPr>
          <w:rStyle w:val="FootnoteReference"/>
          <w:rFonts w:ascii="Times New Roman" w:hAnsi="Times New Roman" w:eastAsiaTheme="minorEastAsia" w:cs="Times New Roman"/>
          <w:sz w:val="24"/>
          <w:szCs w:val="24"/>
        </w:rPr>
        <w:footnoteReference w:id="21"/>
      </w:r>
    </w:p>
    <w:p w:rsidR="005B1C47" w14:paraId="7277EAAD" w14:textId="77777777">
      <w:pPr>
        <w:rPr>
          <w:rFonts w:ascii="Times New Roman" w:hAnsi="Times New Roman" w:eastAsiaTheme="minorEastAsia" w:cs="Times New Roman"/>
          <w:sz w:val="24"/>
          <w:szCs w:val="24"/>
        </w:rPr>
      </w:pPr>
      <w:r>
        <w:rPr>
          <w:rFonts w:ascii="Times New Roman" w:hAnsi="Times New Roman" w:eastAsiaTheme="minorEastAsia" w:cs="Times New Roman"/>
          <w:sz w:val="24"/>
          <w:szCs w:val="24"/>
        </w:rPr>
        <w:br w:type="page"/>
      </w:r>
    </w:p>
    <w:p w:rsidR="00301FD4" w:rsidRPr="003F1007" w:rsidP="00BB05AB" w14:paraId="45689007" w14:textId="26774B69">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The PUCO previously adopted this rule for reviewing Coal Plant Subsidy costs:</w:t>
      </w:r>
    </w:p>
    <w:p w:rsidR="00301FD4" w:rsidRPr="003F1007" w:rsidP="00301FD4" w14:paraId="576A30B0" w14:textId="59E6CE50">
      <w:pPr>
        <w:ind w:left="1440" w:right="1440"/>
        <w:rPr>
          <w:rFonts w:ascii="Times New Roman" w:hAnsi="Times New Roman" w:cs="Times New Roman"/>
          <w:sz w:val="24"/>
          <w:szCs w:val="24"/>
        </w:rPr>
      </w:pPr>
      <w:r w:rsidRPr="003F1007">
        <w:rPr>
          <w:rFonts w:ascii="Times New Roman" w:hAnsi="Times New Roman" w:cs="Times New Roman"/>
          <w:sz w:val="24"/>
          <w:szCs w:val="24"/>
        </w:rPr>
        <w:t xml:space="preserve">Retail cost recovery may be disallowed as a result of the annual prudency review </w:t>
      </w:r>
      <w:r w:rsidRPr="003F1007">
        <w:rPr>
          <w:rFonts w:ascii="Times New Roman" w:hAnsi="Times New Roman" w:cs="Times New Roman"/>
          <w:i/>
          <w:iCs/>
          <w:sz w:val="24"/>
          <w:szCs w:val="24"/>
        </w:rPr>
        <w:t>if the output from the units was not bid in a manner that is consistent with participation in a broader competitive marketplace comprised of sellers attempting to maximize revenues</w:t>
      </w:r>
      <w:r w:rsidRPr="003F1007">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3F1007">
        <w:rPr>
          <w:rFonts w:ascii="Times New Roman" w:hAnsi="Times New Roman" w:cs="Times New Roman"/>
          <w:sz w:val="24"/>
          <w:szCs w:val="24"/>
        </w:rPr>
        <w:t xml:space="preserve"> </w:t>
      </w:r>
    </w:p>
    <w:p w:rsidR="00301FD4" w:rsidP="00301FD4" w14:paraId="43ED2A21" w14:textId="1A99EC5C">
      <w:pPr>
        <w:spacing w:after="0" w:line="480" w:lineRule="auto"/>
        <w:ind w:firstLine="720"/>
        <w:rPr>
          <w:rFonts w:ascii="Times New Roman" w:hAnsi="Times New Roman" w:cs="Times New Roman"/>
          <w:sz w:val="24"/>
          <w:szCs w:val="24"/>
        </w:rPr>
      </w:pPr>
      <w:r w:rsidRPr="003F1007">
        <w:rPr>
          <w:rFonts w:ascii="Times New Roman" w:hAnsi="Times New Roman" w:cs="Times New Roman"/>
          <w:sz w:val="24"/>
          <w:szCs w:val="24"/>
        </w:rPr>
        <w:t>The PUCO has also stated that it will not approve Coal Plant Subsidy costs unless the utility meets its burden of proof to establish that the charges are in the best interest of retail ratepayers.</w:t>
      </w:r>
      <w:r>
        <w:rPr>
          <w:rStyle w:val="FootnoteReference"/>
          <w:rFonts w:ascii="Times New Roman" w:hAnsi="Times New Roman" w:cs="Times New Roman"/>
          <w:sz w:val="24"/>
          <w:szCs w:val="24"/>
        </w:rPr>
        <w:footnoteReference w:id="23"/>
      </w:r>
      <w:r w:rsidR="009A41AD">
        <w:rPr>
          <w:rFonts w:ascii="Times New Roman" w:hAnsi="Times New Roman" w:cs="Times New Roman"/>
          <w:sz w:val="24"/>
          <w:szCs w:val="24"/>
        </w:rPr>
        <w:t xml:space="preserve"> </w:t>
      </w:r>
    </w:p>
    <w:p w:rsidR="005B1C47" w:rsidP="00AD4C3A" w14:paraId="25299B78" w14:textId="629E7A91">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OCC’s witnesses established not only that the OVEC plants were operated imprudently, but also that the plants were not operated consistently with how a merchant coal plant operator seeking to maximize profits would have done it.</w:t>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In addition, the OCC witnesses’ testimony discussed above also established that it was not in the best interest of retail consumers to run the plants in this manner</w:t>
      </w:r>
      <w:r w:rsidRPr="005B1C47">
        <w:rPr>
          <w:rFonts w:ascii="Times New Roman" w:hAnsi="Times New Roman" w:eastAsiaTheme="minorEastAsia" w:cs="Times New Roman"/>
          <w:sz w:val="24"/>
          <w:szCs w:val="24"/>
        </w:rPr>
        <w:t>.</w:t>
      </w:r>
      <w:r w:rsidRPr="005B1C47" w:rsidR="009A41AD">
        <w:rPr>
          <w:rFonts w:ascii="Times New Roman" w:hAnsi="Times New Roman" w:eastAsiaTheme="minorEastAsia" w:cs="Times New Roman"/>
          <w:sz w:val="24"/>
          <w:szCs w:val="24"/>
        </w:rPr>
        <w:t xml:space="preserve"> </w:t>
      </w:r>
      <w:r w:rsidRPr="005B1C47" w:rsidR="00301FD4">
        <w:rPr>
          <w:rFonts w:ascii="Times New Roman" w:hAnsi="Times New Roman" w:eastAsiaTheme="minorEastAsia" w:cs="Times New Roman"/>
          <w:sz w:val="24"/>
          <w:szCs w:val="24"/>
        </w:rPr>
        <w:t xml:space="preserve">The PUCO’s ruling </w:t>
      </w:r>
      <w:r w:rsidRPr="005B1C47" w:rsidR="002E691F">
        <w:rPr>
          <w:rFonts w:ascii="Times New Roman" w:hAnsi="Times New Roman" w:eastAsiaTheme="minorEastAsia" w:cs="Times New Roman"/>
          <w:sz w:val="24"/>
          <w:szCs w:val="24"/>
        </w:rPr>
        <w:t>ignores this evidence</w:t>
      </w:r>
      <w:r w:rsidRPr="005B1C47" w:rsidR="00B53F36">
        <w:rPr>
          <w:rFonts w:ascii="Times New Roman" w:hAnsi="Times New Roman" w:eastAsiaTheme="minorEastAsia" w:cs="Times New Roman"/>
          <w:sz w:val="24"/>
          <w:szCs w:val="24"/>
        </w:rPr>
        <w:t>.</w:t>
      </w:r>
      <w:r w:rsidRPr="005B1C47" w:rsidR="006227AA">
        <w:rPr>
          <w:rFonts w:ascii="Times New Roman" w:hAnsi="Times New Roman" w:eastAsiaTheme="minorEastAsia" w:cs="Times New Roman"/>
          <w:sz w:val="24"/>
          <w:szCs w:val="24"/>
        </w:rPr>
        <w:t xml:space="preserve"> </w:t>
      </w:r>
      <w:r w:rsidRPr="005B1C47" w:rsidR="00B53F36">
        <w:rPr>
          <w:rFonts w:ascii="Times New Roman" w:hAnsi="Times New Roman" w:eastAsiaTheme="minorEastAsia" w:cs="Times New Roman"/>
          <w:sz w:val="24"/>
          <w:szCs w:val="24"/>
        </w:rPr>
        <w:t>The PUCO’s ruling was against the manifest weight of the evidence, violating R.C. 4903.</w:t>
      </w:r>
      <w:r w:rsidRPr="005B1C47" w:rsidR="00EE1E8B">
        <w:rPr>
          <w:rFonts w:ascii="Times New Roman" w:hAnsi="Times New Roman" w:eastAsiaTheme="minorEastAsia" w:cs="Times New Roman"/>
          <w:sz w:val="24"/>
          <w:szCs w:val="24"/>
        </w:rPr>
        <w:t>13</w:t>
      </w:r>
      <w:r w:rsidRPr="005B1C47" w:rsidR="00B53F36">
        <w:rPr>
          <w:rFonts w:ascii="Times New Roman" w:hAnsi="Times New Roman" w:eastAsiaTheme="minorEastAsia" w:cs="Times New Roman"/>
          <w:sz w:val="24"/>
          <w:szCs w:val="24"/>
        </w:rPr>
        <w:t>.</w:t>
      </w:r>
      <w:r w:rsidRPr="005B1C47" w:rsidR="006227AA">
        <w:rPr>
          <w:rFonts w:ascii="Times New Roman" w:hAnsi="Times New Roman" w:eastAsiaTheme="minorEastAsia" w:cs="Times New Roman"/>
          <w:sz w:val="24"/>
          <w:szCs w:val="24"/>
        </w:rPr>
        <w:t xml:space="preserve"> </w:t>
      </w:r>
      <w:r w:rsidRPr="005B1C47" w:rsidR="00B53F36">
        <w:rPr>
          <w:rFonts w:ascii="Times New Roman" w:hAnsi="Times New Roman" w:eastAsiaTheme="minorEastAsia" w:cs="Times New Roman"/>
          <w:sz w:val="24"/>
          <w:szCs w:val="24"/>
        </w:rPr>
        <w:t>Rehearing should be granted.</w:t>
      </w:r>
      <w:r w:rsidRPr="005B1C47" w:rsidR="006227AA">
        <w:rPr>
          <w:rFonts w:ascii="Times New Roman" w:hAnsi="Times New Roman" w:eastAsiaTheme="minorEastAsia" w:cs="Times New Roman"/>
          <w:sz w:val="24"/>
          <w:szCs w:val="24"/>
        </w:rPr>
        <w:t xml:space="preserve"> </w:t>
      </w:r>
    </w:p>
    <w:p w:rsidR="005B1C47" w14:paraId="74D102E9" w14:textId="77777777">
      <w:pPr>
        <w:rPr>
          <w:rFonts w:ascii="Times New Roman" w:hAnsi="Times New Roman" w:eastAsiaTheme="minorEastAsia" w:cs="Times New Roman"/>
          <w:sz w:val="24"/>
          <w:szCs w:val="24"/>
        </w:rPr>
      </w:pPr>
      <w:r>
        <w:rPr>
          <w:rFonts w:ascii="Times New Roman" w:hAnsi="Times New Roman" w:eastAsiaTheme="minorEastAsia" w:cs="Times New Roman"/>
          <w:sz w:val="24"/>
          <w:szCs w:val="24"/>
        </w:rPr>
        <w:br w:type="page"/>
      </w:r>
    </w:p>
    <w:p w:rsidR="00E66A23" w:rsidRPr="00E60992" w:rsidP="00E60992" w14:paraId="5A949C2C" w14:textId="42495FE4">
      <w:pPr>
        <w:pStyle w:val="Heading2"/>
        <w:rPr>
          <w:rStyle w:val="Heading2Char"/>
          <w:b/>
          <w:bCs/>
        </w:rPr>
      </w:pPr>
      <w:bookmarkStart w:id="13" w:name="_Toc147500824"/>
      <w:r w:rsidRPr="00E60992">
        <w:rPr>
          <w:rStyle w:val="Heading2Char"/>
          <w:b/>
          <w:bCs/>
        </w:rPr>
        <w:t>ASSIGNMENT OF ERROR 2: The PUCO failed to follow past precedent</w:t>
      </w:r>
      <w:r w:rsidRPr="00E60992" w:rsidR="002574FE">
        <w:rPr>
          <w:rStyle w:val="Heading2Char"/>
          <w:b/>
          <w:bCs/>
        </w:rPr>
        <w:t xml:space="preserve"> when it did</w:t>
      </w:r>
      <w:r w:rsidRPr="00E60992" w:rsidR="002574FE">
        <w:t xml:space="preserve"> </w:t>
      </w:r>
      <w:r w:rsidRPr="00E60992" w:rsidR="002574FE">
        <w:rPr>
          <w:rStyle w:val="Heading2Char"/>
          <w:b/>
          <w:bCs/>
        </w:rPr>
        <w:t>not review the coal plant subsidy costs according to its prior announced standards.</w:t>
      </w:r>
      <w:r w:rsidRPr="00E60992" w:rsidR="006227AA">
        <w:rPr>
          <w:rStyle w:val="Heading2Char"/>
          <w:b/>
          <w:bCs/>
        </w:rPr>
        <w:t xml:space="preserve"> </w:t>
      </w:r>
      <w:r w:rsidRPr="00E60992" w:rsidR="002574FE">
        <w:rPr>
          <w:rStyle w:val="Heading2Char"/>
          <w:b/>
          <w:bCs/>
        </w:rPr>
        <w:t>The PUCO ruled</w:t>
      </w:r>
      <w:r w:rsidRPr="00E60992">
        <w:rPr>
          <w:rStyle w:val="Heading2Char"/>
          <w:b/>
          <w:bCs/>
        </w:rPr>
        <w:t xml:space="preserve"> that “[r]etail cost recovery may be disallowed as a result of the annual prudency review if the output from the units was not bid in a manner that is consistent with participation in a broader competitive marketplace comprised of sellers attempting to maximize revenues . . . [and] that bidding behavior is prudent and in the best interest of retail ratepayers.” In re Ohio Power PPA Rider, Case No. 14-1693-EL-RDR, Opinion and Order at 89 (Mar. 31, 2016).</w:t>
      </w:r>
      <w:r w:rsidRPr="00E60992" w:rsidR="006227AA">
        <w:rPr>
          <w:rStyle w:val="Heading2Char"/>
          <w:b/>
          <w:bCs/>
        </w:rPr>
        <w:t xml:space="preserve"> </w:t>
      </w:r>
      <w:r w:rsidRPr="00E60992">
        <w:rPr>
          <w:rStyle w:val="Heading2Char"/>
          <w:b/>
          <w:bCs/>
        </w:rPr>
        <w:t>The PUCO’s failure to follow this precedent, without providing any reason, violates R.C. 4903.09.</w:t>
      </w:r>
      <w:bookmarkEnd w:id="13"/>
    </w:p>
    <w:p w:rsidR="00E66A23" w:rsidP="00E66A23" w14:paraId="5B2469D2" w14:textId="4E79680F">
      <w:pPr>
        <w:spacing w:after="0" w:line="480" w:lineRule="auto"/>
        <w:rPr>
          <w:rFonts w:ascii="Times New Roman" w:hAnsi="Times New Roman" w:eastAsiaTheme="minorEastAsia" w:cs="Times New Roman"/>
          <w:sz w:val="24"/>
          <w:szCs w:val="24"/>
        </w:rPr>
      </w:pPr>
      <w:r>
        <w:tab/>
      </w:r>
      <w:r>
        <w:rPr>
          <w:rFonts w:ascii="Times New Roman" w:hAnsi="Times New Roman" w:cs="Times New Roman"/>
          <w:sz w:val="24"/>
          <w:szCs w:val="24"/>
        </w:rPr>
        <w:t>The PUCO ruled that Duke’s $24.6 million in above-market electricity costs were prudent.</w:t>
      </w:r>
      <w:r>
        <w:rPr>
          <w:rStyle w:val="FootnoteReference"/>
          <w:rFonts w:ascii="Times New Roman" w:hAnsi="Times New Roman" w:cs="Times New Roman"/>
          <w:sz w:val="24"/>
          <w:szCs w:val="24"/>
        </w:rPr>
        <w:footnoteReference w:id="24"/>
      </w:r>
      <w:r w:rsidR="006227AA">
        <w:rPr>
          <w:rFonts w:ascii="Times New Roman" w:hAnsi="Times New Roman" w:cs="Times New Roman"/>
          <w:sz w:val="24"/>
          <w:szCs w:val="24"/>
        </w:rPr>
        <w:t xml:space="preserve"> </w:t>
      </w:r>
      <w:r>
        <w:rPr>
          <w:rFonts w:ascii="Times New Roman" w:hAnsi="Times New Roman" w:cs="Times New Roman"/>
          <w:sz w:val="24"/>
          <w:szCs w:val="24"/>
        </w:rPr>
        <w:t>The PUCO did not, however, make any fi</w:t>
      </w:r>
      <w:r w:rsidR="00180E1A">
        <w:rPr>
          <w:rFonts w:ascii="Times New Roman" w:hAnsi="Times New Roman" w:cs="Times New Roman"/>
          <w:sz w:val="24"/>
          <w:szCs w:val="24"/>
        </w:rPr>
        <w:t>nding</w:t>
      </w:r>
      <w:r>
        <w:rPr>
          <w:rFonts w:ascii="Times New Roman" w:hAnsi="Times New Roman" w:cs="Times New Roman"/>
          <w:sz w:val="24"/>
          <w:szCs w:val="24"/>
        </w:rPr>
        <w:t xml:space="preserve"> as to whether the bidding practices were “</w:t>
      </w:r>
      <w:r w:rsidRPr="00251700">
        <w:rPr>
          <w:rFonts w:ascii="Times New Roman" w:hAnsi="Times New Roman" w:eastAsiaTheme="minorEastAsia" w:cs="Times New Roman"/>
          <w:sz w:val="24"/>
          <w:szCs w:val="24"/>
        </w:rPr>
        <w:t>consistent with participation in a broader competitive marketplace comprised of sellers attempting to maximize revenues</w:t>
      </w:r>
      <w:r>
        <w:rPr>
          <w:rFonts w:ascii="Times New Roman" w:hAnsi="Times New Roman" w:eastAsiaTheme="minorEastAsia" w:cs="Times New Roman"/>
          <w:sz w:val="24"/>
          <w:szCs w:val="24"/>
        </w:rPr>
        <w:t>” or “in the best interest of retail ratepayers.”</w:t>
      </w:r>
      <w:r w:rsidR="006227AA">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These findings are required under existing PUCO precedent.</w:t>
      </w:r>
      <w:r w:rsidR="006227AA">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 PUCO’s failure to follow this precedent, without explanation, violates R.C. 4903.09.</w:t>
      </w:r>
    </w:p>
    <w:p w:rsidR="00E66A23" w:rsidP="00E66A23" w14:paraId="53369962" w14:textId="2299E988">
      <w:pPr>
        <w:spacing w:after="0" w:line="480" w:lineRule="auto"/>
        <w:rPr>
          <w:rFonts w:ascii="Times New Roman" w:hAnsi="Times New Roman" w:eastAsiaTheme="minorEastAsia" w:cs="Times New Roman"/>
          <w:sz w:val="24"/>
          <w:szCs w:val="24"/>
        </w:rPr>
      </w:pPr>
      <w:r>
        <w:rPr>
          <w:rFonts w:ascii="Times New Roman" w:hAnsi="Times New Roman" w:eastAsiaTheme="minorEastAsia" w:cs="Times New Roman"/>
          <w:sz w:val="24"/>
          <w:szCs w:val="24"/>
        </w:rPr>
        <w:tab/>
        <w:t xml:space="preserve">The PUCO established this precedent in </w:t>
      </w:r>
      <w:r w:rsidRPr="00251700">
        <w:rPr>
          <w:rFonts w:ascii="Times New Roman" w:hAnsi="Times New Roman" w:cs="Times New Roman"/>
          <w:i/>
          <w:iCs/>
          <w:sz w:val="24"/>
          <w:szCs w:val="24"/>
        </w:rPr>
        <w:t>In re Ohio Power PPA Rider</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25"/>
      </w:r>
      <w:r>
        <w:rPr>
          <w:rFonts w:ascii="Times New Roman" w:hAnsi="Times New Roman" w:eastAsiaTheme="minorEastAsia" w:cs="Times New Roman"/>
          <w:sz w:val="24"/>
          <w:szCs w:val="24"/>
        </w:rPr>
        <w:t xml:space="preserve"> the first case when it approved Coal Plant Subsidy costs.</w:t>
      </w:r>
      <w:r w:rsidR="006227AA">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 PUCO’s ruling states:</w:t>
      </w:r>
    </w:p>
    <w:p w:rsidR="00E66A23" w:rsidP="00130905" w14:paraId="7B3B716A" w14:textId="5C6EA351">
      <w:pPr>
        <w:tabs>
          <w:tab w:val="left" w:pos="1080"/>
        </w:tabs>
        <w:spacing w:after="0" w:line="240" w:lineRule="auto"/>
        <w:ind w:left="1440" w:right="1440"/>
        <w:rPr>
          <w:rFonts w:ascii="Times New Roman" w:hAnsi="Times New Roman" w:eastAsiaTheme="minorEastAsia" w:cs="Times New Roman"/>
          <w:sz w:val="24"/>
          <w:szCs w:val="24"/>
        </w:rPr>
      </w:pPr>
      <w:r w:rsidRPr="00C03D85">
        <w:rPr>
          <w:rFonts w:ascii="Times New Roman" w:hAnsi="Times New Roman" w:eastAsiaTheme="minorEastAsia" w:cs="Times New Roman"/>
          <w:sz w:val="24"/>
          <w:szCs w:val="24"/>
        </w:rPr>
        <w:t>Retail cost recovery may be disallowed as a result of the annual prudency review if the output from the units was not bid in a manner that is consistent with participation in a broader competitive marketplace comprised of sellers attempting to maximize revenues. As noted above, AEP Ohio will bear the burden of proof in demonst</w:t>
      </w:r>
      <w:r>
        <w:rPr>
          <w:rFonts w:ascii="Times New Roman" w:hAnsi="Times New Roman" w:eastAsiaTheme="minorEastAsia" w:cs="Times New Roman"/>
          <w:sz w:val="24"/>
          <w:szCs w:val="24"/>
        </w:rPr>
        <w:t>r</w:t>
      </w:r>
      <w:r w:rsidRPr="00C03D85">
        <w:rPr>
          <w:rFonts w:ascii="Times New Roman" w:hAnsi="Times New Roman" w:eastAsiaTheme="minorEastAsia" w:cs="Times New Roman"/>
          <w:sz w:val="24"/>
          <w:szCs w:val="24"/>
        </w:rPr>
        <w:t>ating that bidding behavior is prudent and in the best interest of retail ratepayers.</w:t>
      </w:r>
      <w:r>
        <w:rPr>
          <w:rStyle w:val="FootnoteReference"/>
          <w:rFonts w:ascii="Times New Roman" w:hAnsi="Times New Roman" w:eastAsiaTheme="minorEastAsia" w:cs="Times New Roman"/>
          <w:sz w:val="24"/>
          <w:szCs w:val="24"/>
        </w:rPr>
        <w:footnoteReference w:id="26"/>
      </w:r>
    </w:p>
    <w:p w:rsidR="00130905" w:rsidP="00130905" w14:paraId="1E24B335" w14:textId="77777777">
      <w:pPr>
        <w:tabs>
          <w:tab w:val="left" w:pos="1080"/>
        </w:tabs>
        <w:spacing w:after="0" w:line="240" w:lineRule="auto"/>
        <w:ind w:right="1440"/>
        <w:rPr>
          <w:rFonts w:ascii="Times New Roman" w:hAnsi="Times New Roman" w:eastAsiaTheme="minorEastAsia" w:cs="Times New Roman"/>
          <w:sz w:val="24"/>
          <w:szCs w:val="24"/>
        </w:rPr>
      </w:pPr>
    </w:p>
    <w:p w:rsidR="00130905" w:rsidP="00130905" w14:paraId="022C2DEE" w14:textId="3D99C45F">
      <w:pPr>
        <w:spacing w:after="0" w:line="480" w:lineRule="auto"/>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In the present case, the PUCO made no findings on these issues. </w:t>
      </w:r>
      <w:r w:rsidR="00894E79">
        <w:rPr>
          <w:rFonts w:ascii="Times New Roman" w:hAnsi="Times New Roman" w:eastAsiaTheme="minorEastAsia" w:cs="Times New Roman"/>
          <w:sz w:val="24"/>
          <w:szCs w:val="24"/>
        </w:rPr>
        <w:t>It did not find that it was in consumers’ best interests to pay for $24.6 million in above</w:t>
      </w:r>
      <w:r w:rsidR="00AA06E7">
        <w:rPr>
          <w:rFonts w:ascii="Times New Roman" w:hAnsi="Times New Roman" w:eastAsiaTheme="minorEastAsia" w:cs="Times New Roman"/>
          <w:sz w:val="24"/>
          <w:szCs w:val="24"/>
        </w:rPr>
        <w:t>-</w:t>
      </w:r>
      <w:r w:rsidR="00894E79">
        <w:rPr>
          <w:rFonts w:ascii="Times New Roman" w:hAnsi="Times New Roman" w:eastAsiaTheme="minorEastAsia" w:cs="Times New Roman"/>
          <w:sz w:val="24"/>
          <w:szCs w:val="24"/>
        </w:rPr>
        <w:t>market energy costs coming from the two dirty coal plants.</w:t>
      </w:r>
      <w:r w:rsidR="006227AA">
        <w:rPr>
          <w:rFonts w:ascii="Times New Roman" w:hAnsi="Times New Roman" w:eastAsiaTheme="minorEastAsia" w:cs="Times New Roman"/>
          <w:sz w:val="24"/>
          <w:szCs w:val="24"/>
        </w:rPr>
        <w:t xml:space="preserve"> </w:t>
      </w:r>
      <w:r w:rsidR="00894E79">
        <w:rPr>
          <w:rFonts w:ascii="Times New Roman" w:hAnsi="Times New Roman" w:eastAsiaTheme="minorEastAsia" w:cs="Times New Roman"/>
          <w:sz w:val="24"/>
          <w:szCs w:val="24"/>
        </w:rPr>
        <w:t>Nor did the PUCO find that the bidding of the units as must run was</w:t>
      </w:r>
      <w:r w:rsidR="006227AA">
        <w:rPr>
          <w:rFonts w:ascii="Times New Roman" w:hAnsi="Times New Roman" w:eastAsiaTheme="minorEastAsia" w:cs="Times New Roman"/>
          <w:sz w:val="24"/>
          <w:szCs w:val="24"/>
        </w:rPr>
        <w:t xml:space="preserve"> </w:t>
      </w:r>
      <w:r>
        <w:rPr>
          <w:rFonts w:ascii="Times New Roman" w:hAnsi="Times New Roman" w:cs="Times New Roman"/>
          <w:sz w:val="24"/>
          <w:szCs w:val="24"/>
        </w:rPr>
        <w:t>“</w:t>
      </w:r>
      <w:r w:rsidRPr="00251700">
        <w:rPr>
          <w:rFonts w:ascii="Times New Roman" w:hAnsi="Times New Roman" w:eastAsiaTheme="minorEastAsia" w:cs="Times New Roman"/>
          <w:sz w:val="24"/>
          <w:szCs w:val="24"/>
        </w:rPr>
        <w:t>consistent with participation in a broader competitive marketplace comprised of sellers attempting to maximize revenues</w:t>
      </w:r>
      <w:r w:rsidR="00AA06E7">
        <w:rPr>
          <w:rFonts w:ascii="Times New Roman" w:hAnsi="Times New Roman" w:eastAsiaTheme="minorEastAsia" w:cs="Times New Roman"/>
          <w:sz w:val="24"/>
          <w:szCs w:val="24"/>
        </w:rPr>
        <w:t>.</w:t>
      </w:r>
      <w:r>
        <w:rPr>
          <w:rFonts w:ascii="Times New Roman" w:hAnsi="Times New Roman" w:eastAsiaTheme="minorEastAsia" w:cs="Times New Roman"/>
          <w:sz w:val="24"/>
          <w:szCs w:val="24"/>
        </w:rPr>
        <w:t xml:space="preserve">” </w:t>
      </w:r>
    </w:p>
    <w:p w:rsidR="00894E79" w:rsidP="005B1C47" w14:paraId="5CC1E790" w14:textId="676C4C8C">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The PUCO departed from its precedent when it failed to follow these more protective standards for review.</w:t>
      </w:r>
      <w:r w:rsidR="006227AA">
        <w:rPr>
          <w:rFonts w:ascii="Times New Roman" w:hAnsi="Times New Roman" w:eastAsiaTheme="minorEastAsia" w:cs="Times New Roman"/>
          <w:sz w:val="24"/>
          <w:szCs w:val="24"/>
        </w:rPr>
        <w:t xml:space="preserve"> </w:t>
      </w:r>
    </w:p>
    <w:p w:rsidR="00CA408B" w:rsidRPr="00C03D85" w:rsidP="00C03D85" w14:paraId="0F07279E" w14:textId="4D39AE44">
      <w:pPr>
        <w:spacing w:after="0" w:line="480" w:lineRule="auto"/>
        <w:ind w:firstLine="720"/>
        <w:rPr>
          <w:rFonts w:eastAsiaTheme="minorEastAsia"/>
        </w:rPr>
      </w:pPr>
      <w:r w:rsidRPr="00C03D85">
        <w:rPr>
          <w:rFonts w:ascii="Times New Roman" w:hAnsi="Times New Roman" w:eastAsiaTheme="minorEastAsia" w:cs="Times New Roman"/>
          <w:sz w:val="24"/>
          <w:szCs w:val="24"/>
        </w:rPr>
        <w:t xml:space="preserve">The Supreme Court of Ohio has </w:t>
      </w:r>
      <w:r w:rsidR="0046470A">
        <w:rPr>
          <w:rFonts w:ascii="Times New Roman" w:hAnsi="Times New Roman" w:eastAsiaTheme="minorEastAsia" w:cs="Times New Roman"/>
          <w:sz w:val="24"/>
          <w:szCs w:val="24"/>
        </w:rPr>
        <w:t>instructed the PUCO to “respect its own precedent in its decisions to assure the predictability which is essential in all areas of the law, including administrative law.”</w:t>
      </w:r>
      <w:r>
        <w:rPr>
          <w:rStyle w:val="FootnoteReference"/>
          <w:rFonts w:ascii="Times New Roman" w:hAnsi="Times New Roman" w:eastAsiaTheme="minorEastAsia" w:cs="Times New Roman"/>
          <w:sz w:val="24"/>
          <w:szCs w:val="24"/>
        </w:rPr>
        <w:footnoteReference w:id="27"/>
      </w:r>
      <w:r w:rsidR="006227AA">
        <w:rPr>
          <w:rFonts w:ascii="Times New Roman" w:hAnsi="Times New Roman" w:eastAsiaTheme="minorEastAsia" w:cs="Times New Roman"/>
          <w:sz w:val="24"/>
          <w:szCs w:val="24"/>
        </w:rPr>
        <w:t xml:space="preserve"> </w:t>
      </w:r>
      <w:r w:rsidR="0046470A">
        <w:rPr>
          <w:rFonts w:ascii="Times New Roman" w:hAnsi="Times New Roman" w:eastAsiaTheme="minorEastAsia" w:cs="Times New Roman"/>
          <w:sz w:val="24"/>
          <w:szCs w:val="24"/>
        </w:rPr>
        <w:t>If the PUCO departs from precedent it must explain why</w:t>
      </w:r>
      <w:r w:rsidR="00CA374E">
        <w:rPr>
          <w:rFonts w:ascii="Times New Roman" w:hAnsi="Times New Roman" w:eastAsiaTheme="minorEastAsia" w:cs="Times New Roman"/>
          <w:sz w:val="24"/>
          <w:szCs w:val="24"/>
        </w:rPr>
        <w:t xml:space="preserve"> </w:t>
      </w:r>
      <w:r w:rsidR="00180E1A">
        <w:rPr>
          <w:rFonts w:ascii="Times New Roman" w:hAnsi="Times New Roman" w:eastAsiaTheme="minorEastAsia" w:cs="Times New Roman"/>
          <w:sz w:val="24"/>
          <w:szCs w:val="24"/>
        </w:rPr>
        <w:t>t</w:t>
      </w:r>
      <w:r w:rsidR="00CA374E">
        <w:rPr>
          <w:rFonts w:ascii="Times New Roman" w:hAnsi="Times New Roman" w:eastAsiaTheme="minorEastAsia" w:cs="Times New Roman"/>
          <w:sz w:val="24"/>
          <w:szCs w:val="24"/>
        </w:rPr>
        <w:t>he new course also must be substantively reasonable and lawful.</w:t>
      </w:r>
      <w:r>
        <w:rPr>
          <w:rStyle w:val="FootnoteReference"/>
          <w:rFonts w:ascii="Times New Roman" w:hAnsi="Times New Roman" w:eastAsiaTheme="minorEastAsia" w:cs="Times New Roman"/>
          <w:sz w:val="24"/>
          <w:szCs w:val="24"/>
        </w:rPr>
        <w:footnoteReference w:id="28"/>
      </w:r>
      <w:r w:rsidR="0046470A">
        <w:rPr>
          <w:rFonts w:ascii="Times New Roman" w:hAnsi="Times New Roman" w:eastAsiaTheme="minorEastAsia" w:cs="Times New Roman"/>
          <w:sz w:val="24"/>
          <w:szCs w:val="24"/>
        </w:rPr>
        <w:t>.</w:t>
      </w:r>
    </w:p>
    <w:p w:rsidR="005B1C47" w:rsidRPr="0004087D" w:rsidP="0004087D" w14:paraId="22AA4AE6" w14:textId="2AF7A51B">
      <w:pPr>
        <w:spacing w:line="480" w:lineRule="auto"/>
        <w:rPr>
          <w:rFonts w:ascii="Times New Roman" w:hAnsi="Times New Roman" w:cs="Times New Roman"/>
          <w:b/>
          <w:bCs/>
          <w:sz w:val="24"/>
          <w:szCs w:val="24"/>
        </w:rPr>
      </w:pPr>
      <w:r w:rsidRPr="0004087D">
        <w:rPr>
          <w:rFonts w:ascii="Times New Roman" w:hAnsi="Times New Roman" w:cs="Times New Roman"/>
          <w:sz w:val="24"/>
          <w:szCs w:val="24"/>
        </w:rPr>
        <w:tab/>
        <w:t xml:space="preserve">The PUCO’s failure to </w:t>
      </w:r>
      <w:r w:rsidRPr="0004087D" w:rsidR="00CA374E">
        <w:rPr>
          <w:rFonts w:ascii="Times New Roman" w:hAnsi="Times New Roman" w:cs="Times New Roman"/>
          <w:sz w:val="24"/>
          <w:szCs w:val="24"/>
        </w:rPr>
        <w:t>review the coal plant subsidies under the standard previously adopted violated PUCO precedent.</w:t>
      </w:r>
      <w:r w:rsidRPr="0004087D" w:rsidR="006227AA">
        <w:rPr>
          <w:rFonts w:ascii="Times New Roman" w:hAnsi="Times New Roman" w:cs="Times New Roman"/>
          <w:b/>
          <w:bCs/>
          <w:sz w:val="24"/>
          <w:szCs w:val="24"/>
        </w:rPr>
        <w:t xml:space="preserve"> </w:t>
      </w:r>
      <w:r w:rsidRPr="0004087D" w:rsidR="00CA374E">
        <w:rPr>
          <w:rFonts w:ascii="Times New Roman" w:hAnsi="Times New Roman" w:cs="Times New Roman"/>
          <w:sz w:val="24"/>
          <w:szCs w:val="24"/>
        </w:rPr>
        <w:t>And the PUCO did not explain why it did not follow its precedent. Additionally, the use of “prudence” alone, defined without reference to what is in consumers’ best interest and without reference to a more objective merchant standard, was not substantively reasonable.</w:t>
      </w:r>
      <w:r w:rsidRPr="0004087D" w:rsidR="006227AA">
        <w:rPr>
          <w:rFonts w:ascii="Times New Roman" w:hAnsi="Times New Roman" w:cs="Times New Roman"/>
          <w:b/>
          <w:bCs/>
          <w:sz w:val="24"/>
          <w:szCs w:val="24"/>
        </w:rPr>
        <w:t xml:space="preserve"> </w:t>
      </w:r>
      <w:r w:rsidRPr="0004087D" w:rsidR="00CA374E">
        <w:rPr>
          <w:rFonts w:ascii="Times New Roman" w:hAnsi="Times New Roman" w:cs="Times New Roman"/>
          <w:sz w:val="24"/>
          <w:szCs w:val="24"/>
        </w:rPr>
        <w:t xml:space="preserve">The PUCO’s actions </w:t>
      </w:r>
      <w:r w:rsidRPr="0004087D">
        <w:rPr>
          <w:rFonts w:ascii="Times New Roman" w:hAnsi="Times New Roman" w:cs="Times New Roman"/>
          <w:sz w:val="24"/>
          <w:szCs w:val="24"/>
        </w:rPr>
        <w:t>violate</w:t>
      </w:r>
      <w:r w:rsidRPr="0004087D" w:rsidR="00CA374E">
        <w:rPr>
          <w:rFonts w:ascii="Times New Roman" w:hAnsi="Times New Roman" w:cs="Times New Roman"/>
          <w:sz w:val="24"/>
          <w:szCs w:val="24"/>
        </w:rPr>
        <w:t xml:space="preserve">d </w:t>
      </w:r>
      <w:r w:rsidRPr="0004087D">
        <w:rPr>
          <w:rFonts w:ascii="Times New Roman" w:hAnsi="Times New Roman" w:cs="Times New Roman"/>
          <w:sz w:val="24"/>
          <w:szCs w:val="24"/>
        </w:rPr>
        <w:t xml:space="preserve"> R.C. 4903.09.</w:t>
      </w:r>
      <w:r w:rsidRPr="0004087D" w:rsidR="006227AA">
        <w:rPr>
          <w:rFonts w:ascii="Times New Roman" w:hAnsi="Times New Roman" w:cs="Times New Roman"/>
          <w:b/>
          <w:bCs/>
          <w:sz w:val="24"/>
          <w:szCs w:val="24"/>
        </w:rPr>
        <w:t xml:space="preserve"> </w:t>
      </w:r>
      <w:r w:rsidRPr="0004087D">
        <w:rPr>
          <w:rFonts w:ascii="Times New Roman" w:hAnsi="Times New Roman" w:cs="Times New Roman"/>
          <w:sz w:val="24"/>
          <w:szCs w:val="24"/>
        </w:rPr>
        <w:t>The PUCO should grant rehearing to re-evaluate the evidence in light of these</w:t>
      </w:r>
      <w:r w:rsidRPr="0004087D" w:rsidR="003218CF">
        <w:rPr>
          <w:rFonts w:ascii="Times New Roman" w:hAnsi="Times New Roman" w:cs="Times New Roman"/>
          <w:sz w:val="24"/>
          <w:szCs w:val="24"/>
        </w:rPr>
        <w:t xml:space="preserve"> previously established</w:t>
      </w:r>
      <w:r w:rsidRPr="0004087D" w:rsidR="006227AA">
        <w:rPr>
          <w:rFonts w:ascii="Times New Roman" w:hAnsi="Times New Roman" w:cs="Times New Roman"/>
          <w:b/>
          <w:bCs/>
          <w:sz w:val="24"/>
          <w:szCs w:val="24"/>
        </w:rPr>
        <w:t xml:space="preserve"> </w:t>
      </w:r>
      <w:r w:rsidRPr="0004087D">
        <w:rPr>
          <w:rFonts w:ascii="Times New Roman" w:hAnsi="Times New Roman" w:cs="Times New Roman"/>
          <w:sz w:val="24"/>
          <w:szCs w:val="24"/>
        </w:rPr>
        <w:t>standards for review.</w:t>
      </w:r>
      <w:r w:rsidRPr="0004087D" w:rsidR="006227AA">
        <w:rPr>
          <w:rFonts w:ascii="Times New Roman" w:hAnsi="Times New Roman" w:cs="Times New Roman"/>
          <w:b/>
          <w:bCs/>
          <w:sz w:val="24"/>
          <w:szCs w:val="24"/>
        </w:rPr>
        <w:t xml:space="preserve"> </w:t>
      </w:r>
    </w:p>
    <w:p w:rsidR="005B1C47" w14:paraId="7985D2AC" w14:textId="77777777">
      <w:pPr>
        <w:rPr>
          <w:rFonts w:ascii="Times New Roman" w:hAnsi="Times New Roman" w:cs="Times New Roman"/>
          <w:sz w:val="24"/>
          <w:szCs w:val="24"/>
        </w:rPr>
      </w:pPr>
      <w:r>
        <w:rPr>
          <w:b/>
          <w:bCs/>
        </w:rPr>
        <w:br w:type="page"/>
      </w:r>
    </w:p>
    <w:p w:rsidR="008342F4" w:rsidRPr="00AD4C3A" w:rsidP="00AD4C3A" w14:paraId="2B5F06B6" w14:textId="3E82228E">
      <w:pPr>
        <w:pStyle w:val="Heading2"/>
      </w:pPr>
      <w:bookmarkStart w:id="14" w:name="_Toc147500825"/>
      <w:r w:rsidRPr="001E6727">
        <w:t xml:space="preserve">ASSIGNMENT OF ERROR </w:t>
      </w:r>
      <w:r w:rsidR="00E66A23">
        <w:t>3:</w:t>
      </w:r>
      <w:r w:rsidRPr="001E6727">
        <w:t xml:space="preserve"> The PUCO erred by excluding relevant evidence regarding the Auditor’s conclusions in another case about another utility’s costs to operate the exact same coal plants during the same time period. The PUCO’s exclusion of evidence that the Auditor concluded in</w:t>
      </w:r>
      <w:r>
        <w:t xml:space="preserve"> </w:t>
      </w:r>
      <w:r w:rsidRPr="001E6727">
        <w:t>a draft audit report that operating the coal plants is not in the best interest of consumers was unreasonable. To protect consumers, the PUCO should grant rehearing and abrogate or modify the Order</w:t>
      </w:r>
      <w:r>
        <w:t xml:space="preserve"> </w:t>
      </w:r>
      <w:r w:rsidRPr="001E6727">
        <w:t xml:space="preserve">to include this evidence, which is directly relevant to whether Duke’s operation of the OVEC plants was </w:t>
      </w:r>
      <w:r>
        <w:t xml:space="preserve">prudent and </w:t>
      </w:r>
      <w:r w:rsidRPr="001E6727">
        <w:t>in the best interest of consumers.</w:t>
      </w:r>
      <w:bookmarkEnd w:id="14"/>
      <w:r>
        <w:t xml:space="preserve"> </w:t>
      </w:r>
    </w:p>
    <w:p w:rsidR="000D35F0" w:rsidP="0045016E" w14:paraId="5DC1B3A1" w14:textId="45F9766D">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The PUCO</w:t>
      </w:r>
      <w:r>
        <w:rPr>
          <w:rFonts w:ascii="Times New Roman" w:hAnsi="Times New Roman" w:eastAsiaTheme="minorEastAsia" w:cs="Times New Roman"/>
          <w:sz w:val="24"/>
          <w:szCs w:val="24"/>
        </w:rPr>
        <w:t xml:space="preserve"> upheld two crucial evidentiary rulings by the Attorney Examiner that excluded highly relevant evidence of the Auditor’s bias or lack of independence.</w:t>
      </w:r>
      <w:r w:rsidRPr="000D35F0">
        <w:rPr>
          <w:rStyle w:val="FootnoteReference"/>
          <w:rFonts w:ascii="Times New Roman" w:hAnsi="Times New Roman" w:eastAsiaTheme="minorEastAsia" w:cs="Times New Roman"/>
          <w:sz w:val="24"/>
          <w:szCs w:val="24"/>
        </w:rPr>
        <w:t xml:space="preserve"> </w:t>
      </w:r>
      <w:r>
        <w:rPr>
          <w:rStyle w:val="FootnoteReference"/>
          <w:rFonts w:ascii="Times New Roman" w:hAnsi="Times New Roman" w:eastAsiaTheme="minorEastAsia" w:cs="Times New Roman"/>
          <w:sz w:val="24"/>
          <w:szCs w:val="24"/>
        </w:rPr>
        <w:footnoteReference w:id="29"/>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Those underlying rulings violated OCC’s substantial rights.</w:t>
      </w:r>
    </w:p>
    <w:p w:rsidR="005A64C3" w:rsidP="0045016E" w14:paraId="373ABC8D" w14:textId="0D900C2F">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The PUCO’s ruling incorporates </w:t>
      </w:r>
      <w:r w:rsidR="00D737BF">
        <w:rPr>
          <w:rFonts w:ascii="Times New Roman" w:hAnsi="Times New Roman" w:eastAsiaTheme="minorEastAsia" w:cs="Times New Roman"/>
          <w:sz w:val="24"/>
          <w:szCs w:val="24"/>
        </w:rPr>
        <w:t xml:space="preserve">the following </w:t>
      </w:r>
      <w:r>
        <w:rPr>
          <w:rFonts w:ascii="Times New Roman" w:hAnsi="Times New Roman" w:eastAsiaTheme="minorEastAsia" w:cs="Times New Roman"/>
          <w:sz w:val="24"/>
          <w:szCs w:val="24"/>
        </w:rPr>
        <w:t>two erroneous rulings from the Attorney Examiner.</w:t>
      </w:r>
      <w:r w:rsidR="009A41AD">
        <w:rPr>
          <w:rFonts w:ascii="Times New Roman" w:hAnsi="Times New Roman" w:eastAsiaTheme="minorEastAsia" w:cs="Times New Roman"/>
          <w:sz w:val="24"/>
          <w:szCs w:val="24"/>
        </w:rPr>
        <w:t xml:space="preserve"> </w:t>
      </w:r>
      <w:r w:rsidRPr="001E6727" w:rsidR="0045016E">
        <w:rPr>
          <w:rFonts w:ascii="Times New Roman" w:hAnsi="Times New Roman" w:eastAsiaTheme="minorEastAsia" w:cs="Times New Roman"/>
          <w:sz w:val="24"/>
          <w:szCs w:val="24"/>
        </w:rPr>
        <w:t xml:space="preserve">First, the </w:t>
      </w:r>
      <w:r w:rsidR="00D737BF">
        <w:rPr>
          <w:rFonts w:ascii="Times New Roman" w:hAnsi="Times New Roman" w:eastAsiaTheme="minorEastAsia" w:cs="Times New Roman"/>
          <w:sz w:val="24"/>
          <w:szCs w:val="24"/>
        </w:rPr>
        <w:t xml:space="preserve">PUCO approved the </w:t>
      </w:r>
      <w:r w:rsidRPr="001E6727" w:rsidR="0045016E">
        <w:rPr>
          <w:rFonts w:ascii="Times New Roman" w:hAnsi="Times New Roman" w:eastAsiaTheme="minorEastAsia" w:cs="Times New Roman"/>
          <w:sz w:val="24"/>
          <w:szCs w:val="24"/>
        </w:rPr>
        <w:t>Attorney Examiner</w:t>
      </w:r>
      <w:r w:rsidR="00D737BF">
        <w:rPr>
          <w:rFonts w:ascii="Times New Roman" w:hAnsi="Times New Roman" w:eastAsiaTheme="minorEastAsia" w:cs="Times New Roman"/>
          <w:sz w:val="24"/>
          <w:szCs w:val="24"/>
        </w:rPr>
        <w:t>’s</w:t>
      </w:r>
      <w:r w:rsidRPr="001E6727" w:rsidR="0045016E">
        <w:rPr>
          <w:rFonts w:ascii="Times New Roman" w:hAnsi="Times New Roman" w:eastAsiaTheme="minorEastAsia" w:cs="Times New Roman"/>
          <w:sz w:val="24"/>
          <w:szCs w:val="24"/>
        </w:rPr>
        <w:t xml:space="preserve"> improper </w:t>
      </w:r>
      <w:r w:rsidR="00D737BF">
        <w:rPr>
          <w:rFonts w:ascii="Times New Roman" w:hAnsi="Times New Roman" w:eastAsiaTheme="minorEastAsia" w:cs="Times New Roman"/>
          <w:sz w:val="24"/>
          <w:szCs w:val="24"/>
        </w:rPr>
        <w:t>exclusion of</w:t>
      </w:r>
      <w:r w:rsidRPr="001E6727" w:rsidR="0045016E">
        <w:rPr>
          <w:rFonts w:ascii="Times New Roman" w:hAnsi="Times New Roman" w:eastAsiaTheme="minorEastAsia" w:cs="Times New Roman"/>
          <w:sz w:val="24"/>
          <w:szCs w:val="24"/>
        </w:rPr>
        <w:t xml:space="preserve"> </w:t>
      </w:r>
      <w:r w:rsidRPr="001E6727" w:rsidR="00FA199C">
        <w:rPr>
          <w:rFonts w:ascii="Times New Roman" w:hAnsi="Times New Roman" w:eastAsiaTheme="minorEastAsia" w:cs="Times New Roman"/>
          <w:sz w:val="24"/>
          <w:szCs w:val="24"/>
        </w:rPr>
        <w:t>parts of OCC witness Mike Haugh’s testimony discussing how PUCO Staff asked the</w:t>
      </w:r>
      <w:r w:rsidRPr="001E6727" w:rsidR="0045016E">
        <w:rPr>
          <w:rFonts w:ascii="Times New Roman" w:hAnsi="Times New Roman" w:eastAsiaTheme="minorEastAsia" w:cs="Times New Roman"/>
          <w:sz w:val="24"/>
          <w:szCs w:val="24"/>
        </w:rPr>
        <w:t xml:space="preserve"> </w:t>
      </w:r>
      <w:r w:rsidR="000D35F0">
        <w:rPr>
          <w:rFonts w:ascii="Times New Roman" w:hAnsi="Times New Roman" w:eastAsiaTheme="minorEastAsia" w:cs="Times New Roman"/>
          <w:sz w:val="24"/>
          <w:szCs w:val="24"/>
        </w:rPr>
        <w:t xml:space="preserve">same </w:t>
      </w:r>
      <w:r w:rsidRPr="001E6727" w:rsidR="0045016E">
        <w:rPr>
          <w:rFonts w:ascii="Times New Roman" w:hAnsi="Times New Roman" w:eastAsiaTheme="minorEastAsia" w:cs="Times New Roman"/>
          <w:sz w:val="24"/>
          <w:szCs w:val="24"/>
        </w:rPr>
        <w:t>a</w:t>
      </w:r>
      <w:r w:rsidRPr="001E6727" w:rsidR="00FA199C">
        <w:rPr>
          <w:rFonts w:ascii="Times New Roman" w:hAnsi="Times New Roman" w:eastAsiaTheme="minorEastAsia" w:cs="Times New Roman"/>
          <w:sz w:val="24"/>
          <w:szCs w:val="24"/>
        </w:rPr>
        <w:t xml:space="preserve">uditor to change </w:t>
      </w:r>
      <w:r w:rsidR="000D35F0">
        <w:rPr>
          <w:rFonts w:ascii="Times New Roman" w:hAnsi="Times New Roman" w:eastAsiaTheme="minorEastAsia" w:cs="Times New Roman"/>
          <w:sz w:val="24"/>
          <w:szCs w:val="24"/>
        </w:rPr>
        <w:t>her findings in a draft audit report.</w:t>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 PUCO improperly upheld this ruling.</w:t>
      </w:r>
      <w:r w:rsidR="009A41AD">
        <w:rPr>
          <w:rFonts w:ascii="Times New Roman" w:hAnsi="Times New Roman" w:eastAsiaTheme="minorEastAsia" w:cs="Times New Roman"/>
          <w:sz w:val="24"/>
          <w:szCs w:val="24"/>
        </w:rPr>
        <w:t xml:space="preserve"> </w:t>
      </w:r>
      <w:r w:rsidR="000D35F0">
        <w:rPr>
          <w:rFonts w:ascii="Times New Roman" w:hAnsi="Times New Roman" w:eastAsiaTheme="minorEastAsia" w:cs="Times New Roman"/>
          <w:sz w:val="24"/>
          <w:szCs w:val="24"/>
        </w:rPr>
        <w:t>Specifically, the auditor was asked to change her conclusion</w:t>
      </w:r>
      <w:r w:rsidR="009A41AD">
        <w:rPr>
          <w:rFonts w:ascii="Times New Roman" w:hAnsi="Times New Roman" w:eastAsiaTheme="minorEastAsia" w:cs="Times New Roman"/>
          <w:sz w:val="24"/>
          <w:szCs w:val="24"/>
        </w:rPr>
        <w:t xml:space="preserve"> </w:t>
      </w:r>
      <w:r w:rsidRPr="001E6727" w:rsidR="00FA199C">
        <w:rPr>
          <w:rFonts w:ascii="Times New Roman" w:hAnsi="Times New Roman" w:eastAsiaTheme="minorEastAsia" w:cs="Times New Roman"/>
          <w:sz w:val="24"/>
          <w:szCs w:val="24"/>
        </w:rPr>
        <w:t xml:space="preserve">in a draft AEP </w:t>
      </w:r>
      <w:r w:rsidRPr="001E6727" w:rsidR="0045016E">
        <w:rPr>
          <w:rFonts w:ascii="Times New Roman" w:hAnsi="Times New Roman" w:eastAsiaTheme="minorEastAsia" w:cs="Times New Roman"/>
          <w:sz w:val="24"/>
          <w:szCs w:val="24"/>
        </w:rPr>
        <w:t>a</w:t>
      </w:r>
      <w:r w:rsidRPr="001E6727" w:rsidR="00FA199C">
        <w:rPr>
          <w:rFonts w:ascii="Times New Roman" w:hAnsi="Times New Roman" w:eastAsiaTheme="minorEastAsia" w:cs="Times New Roman"/>
          <w:sz w:val="24"/>
          <w:szCs w:val="24"/>
        </w:rPr>
        <w:t xml:space="preserve">udit </w:t>
      </w:r>
      <w:r w:rsidRPr="001E6727" w:rsidR="0045016E">
        <w:rPr>
          <w:rFonts w:ascii="Times New Roman" w:hAnsi="Times New Roman" w:eastAsiaTheme="minorEastAsia" w:cs="Times New Roman"/>
          <w:sz w:val="24"/>
          <w:szCs w:val="24"/>
        </w:rPr>
        <w:t>r</w:t>
      </w:r>
      <w:r w:rsidRPr="001E6727" w:rsidR="00FA199C">
        <w:rPr>
          <w:rFonts w:ascii="Times New Roman" w:hAnsi="Times New Roman" w:eastAsiaTheme="minorEastAsia" w:cs="Times New Roman"/>
          <w:sz w:val="24"/>
          <w:szCs w:val="24"/>
        </w:rPr>
        <w:t>eport that “keeping the plants running does not seem to be in the best interests of the ratepayers.”</w:t>
      </w:r>
      <w:r>
        <w:rPr>
          <w:rStyle w:val="FootnoteReference"/>
          <w:rFonts w:ascii="Times New Roman" w:hAnsi="Times New Roman" w:eastAsiaTheme="minorEastAsia" w:cs="Times New Roman"/>
          <w:sz w:val="24"/>
          <w:szCs w:val="24"/>
        </w:rPr>
        <w:footnoteReference w:id="30"/>
      </w:r>
      <w:r w:rsidRPr="001E6727" w:rsidR="00FA199C">
        <w:rPr>
          <w:rFonts w:ascii="Times New Roman" w:hAnsi="Times New Roman" w:eastAsiaTheme="minorEastAsia" w:cs="Times New Roman"/>
          <w:sz w:val="24"/>
          <w:szCs w:val="24"/>
        </w:rPr>
        <w:t xml:space="preserve"> </w:t>
      </w:r>
      <w:r w:rsidRPr="001E6727" w:rsidR="0045016E">
        <w:rPr>
          <w:rFonts w:ascii="Times New Roman" w:hAnsi="Times New Roman" w:eastAsiaTheme="minorEastAsia" w:cs="Times New Roman"/>
          <w:sz w:val="24"/>
          <w:szCs w:val="24"/>
        </w:rPr>
        <w:t xml:space="preserve">Second, the </w:t>
      </w:r>
      <w:r>
        <w:rPr>
          <w:rFonts w:ascii="Times New Roman" w:hAnsi="Times New Roman" w:eastAsiaTheme="minorEastAsia" w:cs="Times New Roman"/>
          <w:sz w:val="24"/>
          <w:szCs w:val="24"/>
        </w:rPr>
        <w:t xml:space="preserve">PUCO also improperly upheld the </w:t>
      </w:r>
      <w:r w:rsidRPr="001E6727" w:rsidR="0045016E">
        <w:rPr>
          <w:rFonts w:ascii="Times New Roman" w:hAnsi="Times New Roman" w:eastAsiaTheme="minorEastAsia" w:cs="Times New Roman"/>
          <w:sz w:val="24"/>
          <w:szCs w:val="24"/>
        </w:rPr>
        <w:t>Attorney Examiner</w:t>
      </w:r>
      <w:r>
        <w:rPr>
          <w:rFonts w:ascii="Times New Roman" w:hAnsi="Times New Roman" w:eastAsiaTheme="minorEastAsia" w:cs="Times New Roman"/>
          <w:sz w:val="24"/>
          <w:szCs w:val="24"/>
        </w:rPr>
        <w:t>’s erroneous exclusion</w:t>
      </w:r>
      <w:r w:rsidRPr="001E6727" w:rsidR="0045016E">
        <w:rPr>
          <w:rFonts w:ascii="Times New Roman" w:hAnsi="Times New Roman" w:eastAsiaTheme="minorEastAsia" w:cs="Times New Roman"/>
          <w:sz w:val="24"/>
          <w:szCs w:val="24"/>
        </w:rPr>
        <w:t xml:space="preserve"> f</w:t>
      </w:r>
      <w:r w:rsidRPr="001E6727" w:rsidR="00FA199C">
        <w:rPr>
          <w:rFonts w:ascii="Times New Roman" w:hAnsi="Times New Roman" w:eastAsiaTheme="minorEastAsia" w:cs="Times New Roman"/>
          <w:sz w:val="24"/>
          <w:szCs w:val="24"/>
        </w:rPr>
        <w:t xml:space="preserve">rom evidence </w:t>
      </w:r>
      <w:r>
        <w:rPr>
          <w:rFonts w:ascii="Times New Roman" w:hAnsi="Times New Roman" w:eastAsiaTheme="minorEastAsia" w:cs="Times New Roman"/>
          <w:sz w:val="24"/>
          <w:szCs w:val="24"/>
        </w:rPr>
        <w:t xml:space="preserve">of </w:t>
      </w:r>
      <w:r w:rsidRPr="001E6727" w:rsidR="00FA199C">
        <w:rPr>
          <w:rFonts w:ascii="Times New Roman" w:hAnsi="Times New Roman" w:eastAsiaTheme="minorEastAsia" w:cs="Times New Roman"/>
          <w:sz w:val="24"/>
          <w:szCs w:val="24"/>
        </w:rPr>
        <w:t xml:space="preserve">the draft AEP </w:t>
      </w:r>
      <w:r w:rsidRPr="001E6727" w:rsidR="0045016E">
        <w:rPr>
          <w:rFonts w:ascii="Times New Roman" w:hAnsi="Times New Roman" w:eastAsiaTheme="minorEastAsia" w:cs="Times New Roman"/>
          <w:sz w:val="24"/>
          <w:szCs w:val="24"/>
        </w:rPr>
        <w:t>a</w:t>
      </w:r>
      <w:r w:rsidRPr="001E6727" w:rsidR="00FA199C">
        <w:rPr>
          <w:rFonts w:ascii="Times New Roman" w:hAnsi="Times New Roman" w:eastAsiaTheme="minorEastAsia" w:cs="Times New Roman"/>
          <w:sz w:val="24"/>
          <w:szCs w:val="24"/>
        </w:rPr>
        <w:t xml:space="preserve">udit </w:t>
      </w:r>
      <w:r w:rsidRPr="001E6727" w:rsidR="0045016E">
        <w:rPr>
          <w:rFonts w:ascii="Times New Roman" w:hAnsi="Times New Roman" w:eastAsiaTheme="minorEastAsia" w:cs="Times New Roman"/>
          <w:sz w:val="24"/>
          <w:szCs w:val="24"/>
        </w:rPr>
        <w:t>r</w:t>
      </w:r>
      <w:r w:rsidRPr="001E6727" w:rsidR="00FA199C">
        <w:rPr>
          <w:rFonts w:ascii="Times New Roman" w:hAnsi="Times New Roman" w:eastAsiaTheme="minorEastAsia" w:cs="Times New Roman"/>
          <w:sz w:val="24"/>
          <w:szCs w:val="24"/>
        </w:rPr>
        <w:t xml:space="preserve">eport itself. </w:t>
      </w:r>
      <w:r w:rsidRPr="001E6727" w:rsidR="0045016E">
        <w:rPr>
          <w:rFonts w:ascii="Times New Roman" w:hAnsi="Times New Roman" w:eastAsiaTheme="minorEastAsia" w:cs="Times New Roman"/>
          <w:sz w:val="24"/>
          <w:szCs w:val="24"/>
        </w:rPr>
        <w:t>The PUCO’s Opinion and Order upheld these evidentiary rulings.</w:t>
      </w:r>
      <w:r w:rsidR="001E6727">
        <w:rPr>
          <w:rFonts w:ascii="Times New Roman" w:hAnsi="Times New Roman" w:eastAsiaTheme="minorEastAsia" w:cs="Times New Roman"/>
          <w:sz w:val="24"/>
          <w:szCs w:val="24"/>
        </w:rPr>
        <w:t xml:space="preserve"> </w:t>
      </w:r>
      <w:r w:rsidRPr="001E6727" w:rsidR="00FA199C">
        <w:rPr>
          <w:rFonts w:ascii="Times New Roman" w:hAnsi="Times New Roman" w:eastAsiaTheme="minorEastAsia" w:cs="Times New Roman"/>
          <w:sz w:val="24"/>
          <w:szCs w:val="24"/>
        </w:rPr>
        <w:t>Under O</w:t>
      </w:r>
      <w:r w:rsidRPr="001E6727" w:rsidR="00727726">
        <w:rPr>
          <w:rFonts w:ascii="Times New Roman" w:hAnsi="Times New Roman" w:eastAsiaTheme="minorEastAsia" w:cs="Times New Roman"/>
          <w:sz w:val="24"/>
          <w:szCs w:val="24"/>
        </w:rPr>
        <w:t>.A.C.</w:t>
      </w:r>
      <w:r w:rsidRPr="001E6727" w:rsidR="00FA199C">
        <w:rPr>
          <w:rFonts w:ascii="Times New Roman" w:hAnsi="Times New Roman" w:eastAsiaTheme="minorEastAsia" w:cs="Times New Roman"/>
          <w:sz w:val="24"/>
          <w:szCs w:val="24"/>
        </w:rPr>
        <w:t xml:space="preserve"> 4901-1-15(F), OCC </w:t>
      </w:r>
      <w:r w:rsidRPr="001E6727" w:rsidR="004358FA">
        <w:rPr>
          <w:rFonts w:ascii="Times New Roman" w:hAnsi="Times New Roman" w:eastAsiaTheme="minorEastAsia" w:cs="Times New Roman"/>
          <w:sz w:val="24"/>
          <w:szCs w:val="24"/>
        </w:rPr>
        <w:t xml:space="preserve">preserved its right to appeal these rulings </w:t>
      </w:r>
      <w:r w:rsidRPr="001E6727" w:rsidR="00FA199C">
        <w:rPr>
          <w:rFonts w:ascii="Times New Roman" w:hAnsi="Times New Roman" w:eastAsiaTheme="minorEastAsia" w:cs="Times New Roman"/>
          <w:sz w:val="24"/>
          <w:szCs w:val="24"/>
        </w:rPr>
        <w:t>by “discussing the matter as a distinct issue in its initial brief….”</w:t>
      </w:r>
      <w:r>
        <w:rPr>
          <w:rStyle w:val="FootnoteReference"/>
          <w:rFonts w:ascii="Times New Roman" w:hAnsi="Times New Roman" w:eastAsiaTheme="minorEastAsia" w:cs="Times New Roman"/>
          <w:sz w:val="24"/>
          <w:szCs w:val="24"/>
        </w:rPr>
        <w:footnoteReference w:id="31"/>
      </w:r>
      <w:r w:rsidR="001E6727">
        <w:rPr>
          <w:rFonts w:ascii="Times New Roman" w:hAnsi="Times New Roman" w:eastAsiaTheme="minorEastAsia" w:cs="Times New Roman"/>
          <w:sz w:val="24"/>
          <w:szCs w:val="24"/>
        </w:rPr>
        <w:t xml:space="preserve"> </w:t>
      </w:r>
    </w:p>
    <w:p w:rsidR="00BD341F" w:rsidP="0045016E" w14:paraId="4296B3CA" w14:textId="5FEE68CE">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These evidentiary </w:t>
      </w:r>
      <w:r w:rsidRPr="001E6727" w:rsidR="00FA199C">
        <w:rPr>
          <w:rFonts w:ascii="Times New Roman" w:hAnsi="Times New Roman" w:eastAsiaTheme="minorEastAsia" w:cs="Times New Roman"/>
          <w:sz w:val="24"/>
          <w:szCs w:val="24"/>
        </w:rPr>
        <w:t>rulings violated OCC’s substantial rights.</w:t>
      </w:r>
      <w:r>
        <w:rPr>
          <w:rStyle w:val="FootnoteReference"/>
          <w:rFonts w:ascii="Times New Roman" w:hAnsi="Times New Roman" w:eastAsiaTheme="minorEastAsia" w:cs="Times New Roman"/>
          <w:sz w:val="24"/>
          <w:szCs w:val="24"/>
        </w:rPr>
        <w:footnoteReference w:id="32"/>
      </w:r>
      <w:r w:rsidRPr="001E6727" w:rsidR="00FA199C">
        <w:rPr>
          <w:rFonts w:ascii="Times New Roman" w:hAnsi="Times New Roman" w:eastAsiaTheme="minorEastAsia" w:cs="Times New Roman"/>
          <w:sz w:val="24"/>
          <w:szCs w:val="24"/>
        </w:rPr>
        <w:t xml:space="preserve"> </w:t>
      </w:r>
      <w:r w:rsidR="005A64C3">
        <w:rPr>
          <w:rFonts w:ascii="Times New Roman" w:hAnsi="Times New Roman" w:eastAsiaTheme="minorEastAsia" w:cs="Times New Roman"/>
          <w:sz w:val="24"/>
          <w:szCs w:val="24"/>
        </w:rPr>
        <w:t>The PUCO’s ruling had a significant impact on the outcome of the case, which led to an unjust and unreasonable result.</w:t>
      </w:r>
      <w:r w:rsidR="009A41AD">
        <w:rPr>
          <w:rFonts w:ascii="Times New Roman" w:hAnsi="Times New Roman" w:eastAsiaTheme="minorEastAsia" w:cs="Times New Roman"/>
          <w:sz w:val="24"/>
          <w:szCs w:val="24"/>
        </w:rPr>
        <w:t xml:space="preserve"> </w:t>
      </w:r>
      <w:r w:rsidR="005A64C3">
        <w:rPr>
          <w:rFonts w:ascii="Times New Roman" w:hAnsi="Times New Roman" w:eastAsiaTheme="minorEastAsia" w:cs="Times New Roman"/>
          <w:sz w:val="24"/>
          <w:szCs w:val="24"/>
        </w:rPr>
        <w:t xml:space="preserve">Had the PUCO allowed evidence into the record, it would have been cause for the PUCO to question its wholesale reliance on the </w:t>
      </w:r>
      <w:r>
        <w:rPr>
          <w:rFonts w:ascii="Times New Roman" w:hAnsi="Times New Roman" w:eastAsiaTheme="minorEastAsia" w:cs="Times New Roman"/>
          <w:sz w:val="24"/>
          <w:szCs w:val="24"/>
        </w:rPr>
        <w:t>a</w:t>
      </w:r>
      <w:r w:rsidR="005A64C3">
        <w:rPr>
          <w:rFonts w:ascii="Times New Roman" w:hAnsi="Times New Roman" w:eastAsiaTheme="minorEastAsia" w:cs="Times New Roman"/>
          <w:sz w:val="24"/>
          <w:szCs w:val="24"/>
        </w:rPr>
        <w:t>uditor’s findings.</w:t>
      </w:r>
      <w:r w:rsidR="009A41AD">
        <w:rPr>
          <w:rFonts w:ascii="Times New Roman" w:hAnsi="Times New Roman" w:eastAsiaTheme="minorEastAsia" w:cs="Times New Roman"/>
          <w:sz w:val="24"/>
          <w:szCs w:val="24"/>
        </w:rPr>
        <w:t xml:space="preserve"> </w:t>
      </w:r>
      <w:r w:rsidR="005A64C3">
        <w:rPr>
          <w:rFonts w:ascii="Times New Roman" w:hAnsi="Times New Roman" w:eastAsiaTheme="minorEastAsia" w:cs="Times New Roman"/>
          <w:sz w:val="24"/>
          <w:szCs w:val="24"/>
        </w:rPr>
        <w:t>Base</w:t>
      </w:r>
      <w:r w:rsidR="00D047F2">
        <w:rPr>
          <w:rFonts w:ascii="Times New Roman" w:hAnsi="Times New Roman" w:eastAsiaTheme="minorEastAsia" w:cs="Times New Roman"/>
          <w:sz w:val="24"/>
          <w:szCs w:val="24"/>
        </w:rPr>
        <w:t>d</w:t>
      </w:r>
      <w:r w:rsidR="005A64C3">
        <w:rPr>
          <w:rFonts w:ascii="Times New Roman" w:hAnsi="Times New Roman" w:eastAsiaTheme="minorEastAsia" w:cs="Times New Roman"/>
          <w:sz w:val="24"/>
          <w:szCs w:val="24"/>
        </w:rPr>
        <w:t xml:space="preserve"> on its heavy reliance on the auditor’s findings, the PUCO concluded that</w:t>
      </w:r>
      <w:r w:rsidR="00F718C6">
        <w:rPr>
          <w:rFonts w:ascii="Times New Roman" w:hAnsi="Times New Roman" w:eastAsiaTheme="minorEastAsia" w:cs="Times New Roman"/>
          <w:sz w:val="24"/>
          <w:szCs w:val="24"/>
        </w:rPr>
        <w:t xml:space="preserve"> “the audit report, including all its recommendations, should be adopted” and “the audit was conducted appropriately and consistent with our directives.”</w:t>
      </w:r>
      <w:r>
        <w:rPr>
          <w:rStyle w:val="FootnoteReference"/>
          <w:rFonts w:ascii="Times New Roman" w:hAnsi="Times New Roman" w:eastAsiaTheme="minorEastAsia" w:cs="Times New Roman"/>
          <w:sz w:val="24"/>
          <w:szCs w:val="24"/>
        </w:rPr>
        <w:footnoteReference w:id="33"/>
      </w:r>
      <w:r w:rsidR="005A64C3">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 xml:space="preserve">But the excluded evidence would have established that the auditor’s actual opinion was that </w:t>
      </w:r>
      <w:r w:rsidRPr="001E6727">
        <w:rPr>
          <w:rFonts w:ascii="Times New Roman" w:hAnsi="Times New Roman" w:eastAsiaTheme="minorEastAsia" w:cs="Times New Roman"/>
          <w:sz w:val="24"/>
          <w:szCs w:val="24"/>
        </w:rPr>
        <w:t>“keeping the plants running does not seem to be in the best interests of the ratepayers.”</w:t>
      </w:r>
    </w:p>
    <w:p w:rsidR="00BD341F" w:rsidP="0045016E" w14:paraId="750F8574" w14:textId="6A3031ED">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The PUCO should grant rehearing and </w:t>
      </w:r>
      <w:r>
        <w:rPr>
          <w:rFonts w:ascii="Times New Roman" w:hAnsi="Times New Roman" w:eastAsiaTheme="minorEastAsia" w:cs="Times New Roman"/>
          <w:sz w:val="24"/>
          <w:szCs w:val="24"/>
        </w:rPr>
        <w:t>reconsider its decision that the plants were operated prudently, based on the PUCO’s reliance on the auditor’s report and without considering the excluded evidence.</w:t>
      </w:r>
      <w:r w:rsidR="009A41AD">
        <w:rPr>
          <w:rFonts w:ascii="Times New Roman" w:hAnsi="Times New Roman" w:eastAsiaTheme="minorEastAsia" w:cs="Times New Roman"/>
          <w:sz w:val="24"/>
          <w:szCs w:val="24"/>
        </w:rPr>
        <w:t xml:space="preserve"> </w:t>
      </w:r>
      <w:r>
        <w:rPr>
          <w:rFonts w:ascii="Times New Roman" w:hAnsi="Times New Roman" w:eastAsiaTheme="minorEastAsia" w:cs="Times New Roman"/>
          <w:sz w:val="24"/>
          <w:szCs w:val="24"/>
        </w:rPr>
        <w:t>The PUCO should weigh the excluded evidence as part of the reconsideration process and rule that the entire $24.6 million in above-market costs should be disallowed, based on the testimony of OCC’s witnesses and the excluded evidence that the auditor</w:t>
      </w:r>
      <w:r w:rsidR="00D737BF">
        <w:rPr>
          <w:rFonts w:ascii="Times New Roman" w:hAnsi="Times New Roman" w:eastAsiaTheme="minorEastAsia" w:cs="Times New Roman"/>
          <w:sz w:val="24"/>
          <w:szCs w:val="24"/>
        </w:rPr>
        <w:t>’s true opinion was</w:t>
      </w:r>
      <w:r>
        <w:rPr>
          <w:rFonts w:ascii="Times New Roman" w:hAnsi="Times New Roman" w:eastAsiaTheme="minorEastAsia" w:cs="Times New Roman"/>
          <w:sz w:val="24"/>
          <w:szCs w:val="24"/>
        </w:rPr>
        <w:t xml:space="preserve"> that </w:t>
      </w:r>
      <w:r w:rsidRPr="001E6727">
        <w:rPr>
          <w:rFonts w:ascii="Times New Roman" w:hAnsi="Times New Roman" w:eastAsiaTheme="minorEastAsia" w:cs="Times New Roman"/>
          <w:sz w:val="24"/>
          <w:szCs w:val="24"/>
        </w:rPr>
        <w:t>“keeping the plants running does not seem to be in the best interests of the ratepayers.”</w:t>
      </w:r>
    </w:p>
    <w:p w:rsidR="00897867" w:rsidP="00CA0016" w14:paraId="7BB205F8" w14:textId="32B14A56">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The PUCO upheld the rulings on the grounds that </w:t>
      </w:r>
      <w:r w:rsidR="00D737BF">
        <w:rPr>
          <w:rFonts w:ascii="Times New Roman" w:hAnsi="Times New Roman" w:eastAsiaTheme="minorEastAsia" w:cs="Times New Roman"/>
          <w:sz w:val="24"/>
          <w:szCs w:val="24"/>
        </w:rPr>
        <w:t>the draft audit report and Mr. Haugh’s related testimony were not relevant.</w:t>
      </w:r>
      <w:r>
        <w:rPr>
          <w:rStyle w:val="FootnoteReference"/>
          <w:rFonts w:ascii="Times New Roman" w:hAnsi="Times New Roman" w:eastAsiaTheme="minorEastAsia" w:cs="Times New Roman"/>
          <w:sz w:val="24"/>
          <w:szCs w:val="24"/>
        </w:rPr>
        <w:footnoteReference w:id="34"/>
      </w:r>
      <w:r w:rsidR="00413960">
        <w:rPr>
          <w:rFonts w:ascii="Times New Roman" w:hAnsi="Times New Roman" w:eastAsiaTheme="minorEastAsia" w:cs="Times New Roman"/>
          <w:sz w:val="24"/>
          <w:szCs w:val="24"/>
        </w:rPr>
        <w:t xml:space="preserve"> T</w:t>
      </w:r>
      <w:r w:rsidR="00783FA1">
        <w:rPr>
          <w:rFonts w:ascii="Times New Roman" w:hAnsi="Times New Roman" w:eastAsiaTheme="minorEastAsia" w:cs="Times New Roman"/>
          <w:sz w:val="24"/>
          <w:szCs w:val="24"/>
        </w:rPr>
        <w:t>he PUCO was wrong</w:t>
      </w:r>
      <w:r w:rsidR="00CA0016">
        <w:rPr>
          <w:rFonts w:ascii="Times New Roman" w:hAnsi="Times New Roman" w:eastAsiaTheme="minorEastAsia" w:cs="Times New Roman"/>
          <w:sz w:val="24"/>
          <w:szCs w:val="24"/>
        </w:rPr>
        <w:t>.</w:t>
      </w:r>
    </w:p>
    <w:p w:rsidR="006D236D" w:rsidRPr="001E6727" w:rsidP="0045016E" w14:paraId="7D2BBC53" w14:textId="1D376A00">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The audit report in the present case and the excluded AEP audit </w:t>
      </w:r>
      <w:r w:rsidRPr="001E6727" w:rsidR="00E578A4">
        <w:rPr>
          <w:rFonts w:ascii="Times New Roman" w:hAnsi="Times New Roman" w:eastAsiaTheme="minorEastAsia" w:cs="Times New Roman"/>
          <w:sz w:val="24"/>
          <w:szCs w:val="24"/>
        </w:rPr>
        <w:t>report h</w:t>
      </w:r>
      <w:r w:rsidRPr="001E6727">
        <w:rPr>
          <w:rFonts w:ascii="Times New Roman" w:hAnsi="Times New Roman" w:eastAsiaTheme="minorEastAsia" w:cs="Times New Roman"/>
          <w:sz w:val="24"/>
          <w:szCs w:val="24"/>
        </w:rPr>
        <w:t>ad many similarities.</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Both audits involved </w:t>
      </w:r>
      <w:r w:rsidRPr="001E6727" w:rsidR="00F767B8">
        <w:rPr>
          <w:rFonts w:ascii="Times New Roman" w:hAnsi="Times New Roman" w:eastAsiaTheme="minorEastAsia" w:cs="Times New Roman"/>
          <w:sz w:val="24"/>
          <w:szCs w:val="24"/>
        </w:rPr>
        <w:t xml:space="preserve">the same </w:t>
      </w:r>
      <w:r w:rsidRPr="001E6727">
        <w:rPr>
          <w:rFonts w:ascii="Times New Roman" w:hAnsi="Times New Roman" w:eastAsiaTheme="minorEastAsia" w:cs="Times New Roman"/>
          <w:sz w:val="24"/>
          <w:szCs w:val="24"/>
        </w:rPr>
        <w:t>Coal Plant Subsidy costs from the OVEC plants for 2019.</w:t>
      </w:r>
      <w:r>
        <w:rPr>
          <w:rStyle w:val="FootnoteReference"/>
          <w:rFonts w:ascii="Times New Roman" w:hAnsi="Times New Roman" w:eastAsiaTheme="minorEastAsia" w:cs="Times New Roman"/>
          <w:sz w:val="24"/>
          <w:szCs w:val="24"/>
        </w:rPr>
        <w:footnoteReference w:id="35"/>
      </w:r>
      <w:r w:rsidR="001E6727">
        <w:rPr>
          <w:rFonts w:ascii="Times New Roman" w:hAnsi="Times New Roman" w:eastAsiaTheme="minorEastAsia" w:cs="Times New Roman"/>
          <w:sz w:val="24"/>
          <w:szCs w:val="24"/>
        </w:rPr>
        <w:t xml:space="preserve"> </w:t>
      </w:r>
      <w:r w:rsidRPr="001E6727" w:rsidR="0041148B">
        <w:rPr>
          <w:rFonts w:ascii="Times New Roman" w:hAnsi="Times New Roman" w:eastAsiaTheme="minorEastAsia" w:cs="Times New Roman"/>
          <w:sz w:val="24"/>
          <w:szCs w:val="24"/>
        </w:rPr>
        <w:t>Both audits were performed by the same auditor.</w:t>
      </w:r>
      <w:r>
        <w:rPr>
          <w:rStyle w:val="FootnoteReference"/>
          <w:rFonts w:ascii="Times New Roman" w:hAnsi="Times New Roman" w:eastAsiaTheme="minorEastAsia" w:cs="Times New Roman"/>
          <w:sz w:val="24"/>
          <w:szCs w:val="24"/>
        </w:rPr>
        <w:footnoteReference w:id="36"/>
      </w:r>
      <w:r w:rsidR="001E6727">
        <w:rPr>
          <w:rFonts w:ascii="Times New Roman" w:hAnsi="Times New Roman" w:eastAsiaTheme="minorEastAsia" w:cs="Times New Roman"/>
          <w:sz w:val="24"/>
          <w:szCs w:val="24"/>
        </w:rPr>
        <w:t xml:space="preserve"> </w:t>
      </w:r>
      <w:r w:rsidRPr="001E6727" w:rsidR="0041148B">
        <w:rPr>
          <w:rFonts w:ascii="Times New Roman" w:hAnsi="Times New Roman" w:eastAsiaTheme="minorEastAsia" w:cs="Times New Roman"/>
          <w:sz w:val="24"/>
          <w:szCs w:val="24"/>
        </w:rPr>
        <w:t>Both audits involved the same PUCO Staff audit supervisor.</w:t>
      </w:r>
      <w:r>
        <w:rPr>
          <w:rStyle w:val="FootnoteReference"/>
          <w:rFonts w:ascii="Times New Roman" w:hAnsi="Times New Roman" w:eastAsiaTheme="minorEastAsia" w:cs="Times New Roman"/>
          <w:sz w:val="24"/>
          <w:szCs w:val="24"/>
        </w:rPr>
        <w:footnoteReference w:id="37"/>
      </w:r>
      <w:r w:rsidR="001E6727">
        <w:rPr>
          <w:rFonts w:ascii="Times New Roman" w:hAnsi="Times New Roman" w:eastAsiaTheme="minorEastAsia" w:cs="Times New Roman"/>
          <w:sz w:val="24"/>
          <w:szCs w:val="24"/>
        </w:rPr>
        <w:t xml:space="preserve"> </w:t>
      </w:r>
      <w:r w:rsidRPr="001E6727" w:rsidR="0041148B">
        <w:rPr>
          <w:rFonts w:ascii="Times New Roman" w:hAnsi="Times New Roman" w:eastAsiaTheme="minorEastAsia" w:cs="Times New Roman"/>
          <w:sz w:val="24"/>
          <w:szCs w:val="24"/>
        </w:rPr>
        <w:t>Both audit contracts were awarded at about the same time.</w:t>
      </w:r>
      <w:r>
        <w:rPr>
          <w:rStyle w:val="FootnoteReference"/>
          <w:rFonts w:ascii="Times New Roman" w:hAnsi="Times New Roman" w:eastAsiaTheme="minorEastAsia" w:cs="Times New Roman"/>
          <w:sz w:val="24"/>
          <w:szCs w:val="24"/>
        </w:rPr>
        <w:footnoteReference w:id="38"/>
      </w:r>
      <w:r w:rsidR="001E6727">
        <w:rPr>
          <w:rFonts w:ascii="Times New Roman" w:hAnsi="Times New Roman" w:eastAsiaTheme="minorEastAsia" w:cs="Times New Roman"/>
          <w:sz w:val="24"/>
          <w:szCs w:val="24"/>
        </w:rPr>
        <w:t xml:space="preserve"> </w:t>
      </w:r>
      <w:r w:rsidRPr="001E6727" w:rsidR="0041148B">
        <w:rPr>
          <w:rFonts w:ascii="Times New Roman" w:hAnsi="Times New Roman" w:eastAsiaTheme="minorEastAsia" w:cs="Times New Roman"/>
          <w:sz w:val="24"/>
          <w:szCs w:val="24"/>
        </w:rPr>
        <w:t>Both audits were performed at the same time.</w:t>
      </w:r>
      <w:r>
        <w:rPr>
          <w:rStyle w:val="FootnoteReference"/>
          <w:rFonts w:ascii="Times New Roman" w:hAnsi="Times New Roman" w:eastAsiaTheme="minorEastAsia" w:cs="Times New Roman"/>
          <w:sz w:val="24"/>
          <w:szCs w:val="24"/>
        </w:rPr>
        <w:footnoteReference w:id="39"/>
      </w:r>
      <w:r w:rsidR="001E6727">
        <w:rPr>
          <w:rFonts w:ascii="Times New Roman" w:hAnsi="Times New Roman" w:eastAsiaTheme="minorEastAsia" w:cs="Times New Roman"/>
          <w:sz w:val="24"/>
          <w:szCs w:val="24"/>
        </w:rPr>
        <w:t xml:space="preserve"> </w:t>
      </w:r>
      <w:r w:rsidRPr="001E6727" w:rsidR="0041148B">
        <w:rPr>
          <w:rFonts w:ascii="Times New Roman" w:hAnsi="Times New Roman" w:eastAsiaTheme="minorEastAsia" w:cs="Times New Roman"/>
          <w:sz w:val="24"/>
          <w:szCs w:val="24"/>
        </w:rPr>
        <w:t>Both audit reports were filed at about the same time.</w:t>
      </w:r>
      <w:r>
        <w:rPr>
          <w:rStyle w:val="FootnoteReference"/>
          <w:rFonts w:ascii="Times New Roman" w:hAnsi="Times New Roman" w:eastAsiaTheme="minorEastAsia" w:cs="Times New Roman"/>
          <w:sz w:val="24"/>
          <w:szCs w:val="24"/>
        </w:rPr>
        <w:footnoteReference w:id="40"/>
      </w:r>
      <w:r w:rsidR="001E6727">
        <w:rPr>
          <w:rFonts w:ascii="Times New Roman" w:hAnsi="Times New Roman" w:eastAsiaTheme="minorEastAsia" w:cs="Times New Roman"/>
          <w:sz w:val="24"/>
          <w:szCs w:val="24"/>
        </w:rPr>
        <w:t xml:space="preserve"> </w:t>
      </w:r>
      <w:r w:rsidRPr="001E6727" w:rsidR="00F767B8">
        <w:rPr>
          <w:rFonts w:ascii="Times New Roman" w:hAnsi="Times New Roman" w:eastAsiaTheme="minorEastAsia" w:cs="Times New Roman"/>
          <w:sz w:val="24"/>
          <w:szCs w:val="24"/>
        </w:rPr>
        <w:t>Both audit reports are nearly identical in wording.</w:t>
      </w:r>
      <w:r w:rsidR="001E6727">
        <w:rPr>
          <w:rFonts w:ascii="Times New Roman" w:hAnsi="Times New Roman" w:eastAsiaTheme="minorEastAsia" w:cs="Times New Roman"/>
          <w:sz w:val="24"/>
          <w:szCs w:val="24"/>
        </w:rPr>
        <w:t xml:space="preserve"> </w:t>
      </w:r>
    </w:p>
    <w:p w:rsidR="00492044" w:rsidRPr="001E6727" w:rsidP="00E578A4" w14:paraId="75FE62C7" w14:textId="4CF3E9CA">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The first </w:t>
      </w:r>
      <w:r w:rsidRPr="001E6727" w:rsidR="00E578A4">
        <w:rPr>
          <w:rFonts w:ascii="Times New Roman" w:hAnsi="Times New Roman" w:eastAsiaTheme="minorEastAsia" w:cs="Times New Roman"/>
          <w:sz w:val="24"/>
          <w:szCs w:val="24"/>
        </w:rPr>
        <w:t xml:space="preserve">evidentiary </w:t>
      </w:r>
      <w:r w:rsidRPr="001E6727">
        <w:rPr>
          <w:rFonts w:ascii="Times New Roman" w:hAnsi="Times New Roman" w:eastAsiaTheme="minorEastAsia" w:cs="Times New Roman"/>
          <w:sz w:val="24"/>
          <w:szCs w:val="24"/>
        </w:rPr>
        <w:t xml:space="preserve">ruling occurred when </w:t>
      </w:r>
      <w:r w:rsidRPr="001E6727" w:rsidR="00E578A4">
        <w:rPr>
          <w:rFonts w:ascii="Times New Roman" w:hAnsi="Times New Roman" w:eastAsiaTheme="minorEastAsia" w:cs="Times New Roman"/>
          <w:sz w:val="24"/>
          <w:szCs w:val="24"/>
        </w:rPr>
        <w:t xml:space="preserve">the </w:t>
      </w:r>
      <w:r w:rsidRPr="001E6727">
        <w:rPr>
          <w:rFonts w:ascii="Times New Roman" w:hAnsi="Times New Roman" w:eastAsiaTheme="minorEastAsia" w:cs="Times New Roman"/>
          <w:sz w:val="24"/>
          <w:szCs w:val="24"/>
        </w:rPr>
        <w:t>Attorney Examiner granted a Motion to Strike OCC witness Mike Haugh</w:t>
      </w:r>
      <w:r w:rsidRPr="001E6727" w:rsidR="00E578A4">
        <w:rPr>
          <w:rFonts w:ascii="Times New Roman" w:hAnsi="Times New Roman" w:eastAsiaTheme="minorEastAsia" w:cs="Times New Roman"/>
          <w:sz w:val="24"/>
          <w:szCs w:val="24"/>
        </w:rPr>
        <w:t>’s testimony</w:t>
      </w:r>
      <w:r w:rsidRPr="001E6727">
        <w:rPr>
          <w:rFonts w:ascii="Times New Roman" w:hAnsi="Times New Roman" w:eastAsiaTheme="minorEastAsia" w:cs="Times New Roman"/>
          <w:sz w:val="24"/>
          <w:szCs w:val="24"/>
        </w:rPr>
        <w:t xml:space="preserve"> discussing PUCO Staff’s request to the Auditor in the AEP case to eliminate her statement that “keeping the plants running does not seem to be in the best interests of the ratepayers.</w:t>
      </w:r>
      <w:r w:rsidRPr="001E6727" w:rsidR="00E578A4">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41"/>
      </w:r>
      <w:r w:rsidRPr="001E6727">
        <w:rPr>
          <w:rFonts w:ascii="Times New Roman" w:hAnsi="Times New Roman" w:eastAsiaTheme="minorEastAsia" w:cs="Times New Roman"/>
          <w:sz w:val="24"/>
          <w:szCs w:val="24"/>
        </w:rPr>
        <w:t xml:space="preserve"> Th</w:t>
      </w:r>
      <w:r w:rsidRPr="001E6727">
        <w:rPr>
          <w:rFonts w:ascii="Times New Roman" w:hAnsi="Times New Roman" w:eastAsiaTheme="minorEastAsia" w:cs="Times New Roman"/>
          <w:sz w:val="24"/>
          <w:szCs w:val="24"/>
        </w:rPr>
        <w:t>is</w:t>
      </w:r>
      <w:r w:rsidRPr="001E6727">
        <w:rPr>
          <w:rFonts w:ascii="Times New Roman" w:hAnsi="Times New Roman" w:eastAsiaTheme="minorEastAsia" w:cs="Times New Roman"/>
          <w:sz w:val="24"/>
          <w:szCs w:val="24"/>
        </w:rPr>
        <w:t xml:space="preserve"> portion of Mr. Haugh’s testimony </w:t>
      </w:r>
      <w:r w:rsidRPr="001E6727">
        <w:rPr>
          <w:rFonts w:ascii="Times New Roman" w:hAnsi="Times New Roman" w:eastAsiaTheme="minorEastAsia" w:cs="Times New Roman"/>
          <w:sz w:val="24"/>
          <w:szCs w:val="24"/>
        </w:rPr>
        <w:t>gave</w:t>
      </w:r>
      <w:r w:rsidRPr="001E6727">
        <w:rPr>
          <w:rFonts w:ascii="Times New Roman" w:hAnsi="Times New Roman" w:eastAsiaTheme="minorEastAsia" w:cs="Times New Roman"/>
          <w:sz w:val="24"/>
          <w:szCs w:val="24"/>
        </w:rPr>
        <w:t xml:space="preserve"> a detailed explanation of the communications between PUCO Staff and the </w:t>
      </w:r>
      <w:r w:rsidRPr="001E6727">
        <w:rPr>
          <w:rFonts w:ascii="Times New Roman" w:hAnsi="Times New Roman" w:eastAsiaTheme="minorEastAsia" w:cs="Times New Roman"/>
          <w:sz w:val="24"/>
          <w:szCs w:val="24"/>
        </w:rPr>
        <w:t>a</w:t>
      </w:r>
      <w:r w:rsidRPr="001E6727">
        <w:rPr>
          <w:rFonts w:ascii="Times New Roman" w:hAnsi="Times New Roman" w:eastAsiaTheme="minorEastAsia" w:cs="Times New Roman"/>
          <w:sz w:val="24"/>
          <w:szCs w:val="24"/>
        </w:rPr>
        <w:t xml:space="preserve">uditor, which OCC learned </w:t>
      </w:r>
      <w:r w:rsidRPr="001E6727">
        <w:rPr>
          <w:rFonts w:ascii="Times New Roman" w:hAnsi="Times New Roman" w:eastAsiaTheme="minorEastAsia" w:cs="Times New Roman"/>
          <w:sz w:val="24"/>
          <w:szCs w:val="24"/>
        </w:rPr>
        <w:t>of</w:t>
      </w:r>
      <w:r w:rsidRPr="001E6727">
        <w:rPr>
          <w:rFonts w:ascii="Times New Roman" w:hAnsi="Times New Roman" w:eastAsiaTheme="minorEastAsia" w:cs="Times New Roman"/>
          <w:sz w:val="24"/>
          <w:szCs w:val="24"/>
        </w:rPr>
        <w:t xml:space="preserve"> through a public records request in the AEP case. Mr. Haugh also explained how PUCO Staff’s actions prejudiced consumers because the PUCO had ordered an “independent” </w:t>
      </w:r>
      <w:r w:rsidRPr="001E6727" w:rsidR="00832060">
        <w:rPr>
          <w:rFonts w:ascii="Times New Roman" w:hAnsi="Times New Roman" w:eastAsiaTheme="minorEastAsia" w:cs="Times New Roman"/>
          <w:sz w:val="24"/>
          <w:szCs w:val="24"/>
        </w:rPr>
        <w:t>audit,</w:t>
      </w:r>
      <w:r w:rsidRPr="001E6727">
        <w:rPr>
          <w:rFonts w:ascii="Times New Roman" w:hAnsi="Times New Roman" w:eastAsiaTheme="minorEastAsia" w:cs="Times New Roman"/>
          <w:sz w:val="24"/>
          <w:szCs w:val="24"/>
        </w:rPr>
        <w:t xml:space="preserve"> but PUCO Staff interfered with the </w:t>
      </w:r>
      <w:r w:rsidRPr="001E6727">
        <w:rPr>
          <w:rFonts w:ascii="Times New Roman" w:hAnsi="Times New Roman" w:eastAsiaTheme="minorEastAsia" w:cs="Times New Roman"/>
          <w:sz w:val="24"/>
          <w:szCs w:val="24"/>
        </w:rPr>
        <w:t>a</w:t>
      </w:r>
      <w:r w:rsidRPr="001E6727">
        <w:rPr>
          <w:rFonts w:ascii="Times New Roman" w:hAnsi="Times New Roman" w:eastAsiaTheme="minorEastAsia" w:cs="Times New Roman"/>
          <w:sz w:val="24"/>
          <w:szCs w:val="24"/>
        </w:rPr>
        <w:t>uditor’s independen</w:t>
      </w:r>
      <w:r w:rsidRPr="001E6727">
        <w:rPr>
          <w:rFonts w:ascii="Times New Roman" w:hAnsi="Times New Roman" w:eastAsiaTheme="minorEastAsia" w:cs="Times New Roman"/>
          <w:sz w:val="24"/>
          <w:szCs w:val="24"/>
        </w:rPr>
        <w:t>t judgment</w:t>
      </w:r>
      <w:r w:rsidRPr="001E6727">
        <w:rPr>
          <w:rFonts w:ascii="Times New Roman" w:hAnsi="Times New Roman" w:eastAsiaTheme="minorEastAsia" w:cs="Times New Roman"/>
          <w:sz w:val="24"/>
          <w:szCs w:val="24"/>
        </w:rPr>
        <w:t xml:space="preserve"> by asking her to modify her ultimate conclusion in the case – whether the plants were operated </w:t>
      </w:r>
      <w:r w:rsidRPr="001E6727">
        <w:rPr>
          <w:rFonts w:ascii="Times New Roman" w:hAnsi="Times New Roman" w:eastAsiaTheme="minorEastAsia" w:cs="Times New Roman"/>
          <w:sz w:val="24"/>
          <w:szCs w:val="24"/>
        </w:rPr>
        <w:t>in the best interest of retail ratepayers</w:t>
      </w:r>
      <w:r w:rsidRPr="001E6727">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42"/>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The </w:t>
      </w:r>
      <w:r w:rsidRPr="001E6727">
        <w:rPr>
          <w:rFonts w:ascii="Times New Roman" w:hAnsi="Times New Roman" w:eastAsiaTheme="minorEastAsia" w:cs="Times New Roman"/>
          <w:sz w:val="24"/>
          <w:szCs w:val="24"/>
        </w:rPr>
        <w:t xml:space="preserve">Attorney Examiner unreasonably and unlawfully denied the admission of a copy of the draft AEP Audit Report into evidence. </w:t>
      </w:r>
    </w:p>
    <w:p w:rsidR="00492044" w:rsidRPr="001E6727" w:rsidP="00E578A4" w14:paraId="2D6FC9B5" w14:textId="465538BF">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 xml:space="preserve">The second ruling occurred when the Attorney Examiner precluded </w:t>
      </w:r>
      <w:r w:rsidRPr="001E6727">
        <w:rPr>
          <w:rFonts w:ascii="Times New Roman" w:hAnsi="Times New Roman" w:eastAsiaTheme="minorEastAsia" w:cs="Times New Roman"/>
          <w:sz w:val="24"/>
          <w:szCs w:val="24"/>
        </w:rPr>
        <w:t>intervenors</w:t>
      </w:r>
      <w:r w:rsidRPr="001E6727">
        <w:rPr>
          <w:rFonts w:ascii="Times New Roman" w:hAnsi="Times New Roman" w:eastAsiaTheme="minorEastAsia" w:cs="Times New Roman"/>
          <w:sz w:val="24"/>
          <w:szCs w:val="24"/>
        </w:rPr>
        <w:t xml:space="preserve"> from introducing into evidence a draft copy of the AEP </w:t>
      </w:r>
      <w:r w:rsidRPr="001E6727">
        <w:rPr>
          <w:rFonts w:ascii="Times New Roman" w:hAnsi="Times New Roman" w:eastAsiaTheme="minorEastAsia" w:cs="Times New Roman"/>
          <w:sz w:val="24"/>
          <w:szCs w:val="24"/>
        </w:rPr>
        <w:t>a</w:t>
      </w:r>
      <w:r w:rsidRPr="001E6727">
        <w:rPr>
          <w:rFonts w:ascii="Times New Roman" w:hAnsi="Times New Roman" w:eastAsiaTheme="minorEastAsia" w:cs="Times New Roman"/>
          <w:sz w:val="24"/>
          <w:szCs w:val="24"/>
        </w:rPr>
        <w:t xml:space="preserve">udit </w:t>
      </w:r>
      <w:r w:rsidRPr="001E6727">
        <w:rPr>
          <w:rFonts w:ascii="Times New Roman" w:hAnsi="Times New Roman" w:eastAsiaTheme="minorEastAsia" w:cs="Times New Roman"/>
          <w:sz w:val="24"/>
          <w:szCs w:val="24"/>
        </w:rPr>
        <w:t>r</w:t>
      </w:r>
      <w:r w:rsidRPr="001E6727">
        <w:rPr>
          <w:rFonts w:ascii="Times New Roman" w:hAnsi="Times New Roman" w:eastAsiaTheme="minorEastAsia" w:cs="Times New Roman"/>
          <w:sz w:val="24"/>
          <w:szCs w:val="24"/>
        </w:rPr>
        <w:t>eport</w:t>
      </w:r>
      <w:r w:rsidR="00EF36E5">
        <w:rPr>
          <w:rFonts w:ascii="Times New Roman" w:hAnsi="Times New Roman" w:eastAsiaTheme="minorEastAsia" w:cs="Times New Roman"/>
          <w:sz w:val="24"/>
          <w:szCs w:val="24"/>
        </w:rPr>
        <w:t>.</w:t>
      </w:r>
      <w:r w:rsidR="006227AA">
        <w:rPr>
          <w:rFonts w:ascii="Times New Roman" w:hAnsi="Times New Roman" w:eastAsiaTheme="minorEastAsia" w:cs="Times New Roman"/>
          <w:sz w:val="24"/>
          <w:szCs w:val="24"/>
        </w:rPr>
        <w:t xml:space="preserve"> </w:t>
      </w:r>
      <w:r w:rsidR="00EF36E5">
        <w:rPr>
          <w:rFonts w:ascii="Times New Roman" w:hAnsi="Times New Roman" w:eastAsiaTheme="minorEastAsia" w:cs="Times New Roman"/>
          <w:sz w:val="24"/>
          <w:szCs w:val="24"/>
        </w:rPr>
        <w:t>That draft</w:t>
      </w:r>
      <w:r w:rsidR="006227AA">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contain</w:t>
      </w:r>
      <w:r w:rsidR="00EF36E5">
        <w:rPr>
          <w:rFonts w:ascii="Times New Roman" w:hAnsi="Times New Roman" w:eastAsiaTheme="minorEastAsia" w:cs="Times New Roman"/>
          <w:sz w:val="24"/>
          <w:szCs w:val="24"/>
        </w:rPr>
        <w:t>ed</w:t>
      </w:r>
      <w:r w:rsidRPr="001E6727">
        <w:rPr>
          <w:rFonts w:ascii="Times New Roman" w:hAnsi="Times New Roman" w:eastAsiaTheme="minorEastAsia" w:cs="Times New Roman"/>
          <w:sz w:val="24"/>
          <w:szCs w:val="24"/>
        </w:rPr>
        <w:t xml:space="preserve"> the </w:t>
      </w:r>
      <w:r w:rsidRPr="001E6727">
        <w:rPr>
          <w:rFonts w:ascii="Times New Roman" w:hAnsi="Times New Roman" w:eastAsiaTheme="minorEastAsia" w:cs="Times New Roman"/>
          <w:sz w:val="24"/>
          <w:szCs w:val="24"/>
        </w:rPr>
        <w:t>a</w:t>
      </w:r>
      <w:r w:rsidRPr="001E6727">
        <w:rPr>
          <w:rFonts w:ascii="Times New Roman" w:hAnsi="Times New Roman" w:eastAsiaTheme="minorEastAsia" w:cs="Times New Roman"/>
          <w:sz w:val="24"/>
          <w:szCs w:val="24"/>
        </w:rPr>
        <w:t>uditor’s statement that “keeping the plants running does not seem to be in the best interests of the ratepayers.</w:t>
      </w:r>
      <w:r w:rsidRPr="001E6727">
        <w:rPr>
          <w:rFonts w:ascii="Times New Roman" w:hAnsi="Times New Roman" w:eastAsiaTheme="minorEastAsia" w:cs="Times New Roman"/>
          <w:sz w:val="24"/>
          <w:szCs w:val="24"/>
        </w:rPr>
        <w:t xml:space="preserve">” </w:t>
      </w:r>
      <w:r>
        <w:rPr>
          <w:rStyle w:val="FootnoteReference"/>
          <w:rFonts w:ascii="Times New Roman" w:hAnsi="Times New Roman" w:eastAsiaTheme="minorEastAsia" w:cs="Times New Roman"/>
          <w:sz w:val="24"/>
          <w:szCs w:val="24"/>
        </w:rPr>
        <w:footnoteReference w:id="43"/>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Given the similarities between the two audits, it is extremely unlikely the auditor would have </w:t>
      </w:r>
      <w:r w:rsidR="00EF36E5">
        <w:rPr>
          <w:rFonts w:ascii="Times New Roman" w:hAnsi="Times New Roman" w:eastAsiaTheme="minorEastAsia" w:cs="Times New Roman"/>
          <w:sz w:val="24"/>
          <w:szCs w:val="24"/>
        </w:rPr>
        <w:t>come to a different conclusion about what was in utility consumers’ best interests.</w:t>
      </w:r>
    </w:p>
    <w:p w:rsidR="00FA199C" w:rsidRPr="001E6727" w:rsidP="004E384D" w14:paraId="713FCB28" w14:textId="48917D6B">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The PUCO’s Opinion and Order</w:t>
      </w:r>
      <w:r w:rsidR="009A41AD">
        <w:rPr>
          <w:rFonts w:ascii="Times New Roman" w:hAnsi="Times New Roman" w:eastAsiaTheme="minorEastAsia" w:cs="Times New Roman"/>
          <w:sz w:val="24"/>
          <w:szCs w:val="24"/>
        </w:rPr>
        <w:t xml:space="preserve"> </w:t>
      </w:r>
      <w:r w:rsidR="007B4BDD">
        <w:rPr>
          <w:rFonts w:ascii="Times New Roman" w:hAnsi="Times New Roman" w:eastAsiaTheme="minorEastAsia" w:cs="Times New Roman"/>
          <w:sz w:val="24"/>
          <w:szCs w:val="24"/>
        </w:rPr>
        <w:t xml:space="preserve">erred </w:t>
      </w:r>
      <w:r w:rsidRPr="001E6727">
        <w:rPr>
          <w:rFonts w:ascii="Times New Roman" w:hAnsi="Times New Roman" w:eastAsiaTheme="minorEastAsia" w:cs="Times New Roman"/>
          <w:sz w:val="24"/>
          <w:szCs w:val="24"/>
        </w:rPr>
        <w:t>in upholding these evidentiary rulings.</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The PUCO simply concluded that the excluded evidence “lack relevance.”</w:t>
      </w:r>
      <w:r>
        <w:rPr>
          <w:rStyle w:val="FootnoteReference"/>
          <w:rFonts w:ascii="Times New Roman" w:hAnsi="Times New Roman" w:eastAsiaTheme="minorEastAsia" w:cs="Times New Roman"/>
          <w:sz w:val="24"/>
          <w:szCs w:val="24"/>
        </w:rPr>
        <w:footnoteReference w:id="44"/>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This ruling was incorrect.</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The evidence was both relevant and it was admissible for impeachment purposes.</w:t>
      </w:r>
      <w:r w:rsidR="001E6727">
        <w:rPr>
          <w:rFonts w:ascii="Times New Roman" w:hAnsi="Times New Roman" w:eastAsiaTheme="minorEastAsia" w:cs="Times New Roman"/>
          <w:sz w:val="24"/>
          <w:szCs w:val="24"/>
        </w:rPr>
        <w:t xml:space="preserve"> </w:t>
      </w:r>
    </w:p>
    <w:p w:rsidR="008D350D" w:rsidP="004E384D" w14:paraId="6FBB9562" w14:textId="77777777">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Relevant evidence is defined as “evidence having any tendency to make the existence of any fact that is of consequence to the determination of the action more probable or less probable than it would be without the evidence.”</w:t>
      </w:r>
      <w:r>
        <w:rPr>
          <w:rStyle w:val="FootnoteReference"/>
          <w:rFonts w:ascii="Times New Roman" w:hAnsi="Times New Roman" w:eastAsiaTheme="minorEastAsia" w:cs="Times New Roman"/>
          <w:sz w:val="24"/>
          <w:szCs w:val="24"/>
        </w:rPr>
        <w:footnoteReference w:id="45"/>
      </w:r>
      <w:r w:rsidR="001E6727">
        <w:rPr>
          <w:rFonts w:ascii="Times New Roman" w:hAnsi="Times New Roman" w:eastAsiaTheme="minorEastAsia" w:cs="Times New Roman"/>
          <w:sz w:val="24"/>
          <w:szCs w:val="24"/>
        </w:rPr>
        <w:t xml:space="preserve"> </w:t>
      </w:r>
      <w:r w:rsidRPr="001E6727" w:rsidR="0088540F">
        <w:rPr>
          <w:rFonts w:ascii="Times New Roman" w:hAnsi="Times New Roman" w:eastAsiaTheme="minorEastAsia" w:cs="Times New Roman"/>
          <w:sz w:val="24"/>
          <w:szCs w:val="24"/>
        </w:rPr>
        <w:t xml:space="preserve">In complex business </w:t>
      </w:r>
      <w:r w:rsidRPr="001E6727" w:rsidR="00820CB7">
        <w:rPr>
          <w:rFonts w:ascii="Times New Roman" w:hAnsi="Times New Roman" w:eastAsiaTheme="minorEastAsia" w:cs="Times New Roman"/>
          <w:sz w:val="24"/>
          <w:szCs w:val="24"/>
        </w:rPr>
        <w:t>matters</w:t>
      </w:r>
      <w:r w:rsidRPr="001E6727" w:rsidR="0088540F">
        <w:rPr>
          <w:rFonts w:ascii="Times New Roman" w:hAnsi="Times New Roman" w:eastAsiaTheme="minorEastAsia" w:cs="Times New Roman"/>
          <w:sz w:val="24"/>
          <w:szCs w:val="24"/>
        </w:rPr>
        <w:t>, courts should grant wide latitude in admitting evidence which might prove a party’s intent.</w:t>
      </w:r>
      <w:r>
        <w:rPr>
          <w:rStyle w:val="FootnoteReference"/>
          <w:rFonts w:ascii="Times New Roman" w:hAnsi="Times New Roman" w:eastAsiaTheme="minorEastAsia" w:cs="Times New Roman"/>
          <w:sz w:val="24"/>
          <w:szCs w:val="24"/>
        </w:rPr>
        <w:footnoteReference w:id="46"/>
      </w:r>
      <w:r w:rsidR="001E6727">
        <w:rPr>
          <w:rFonts w:ascii="Times New Roman" w:hAnsi="Times New Roman" w:eastAsiaTheme="minorEastAsia" w:cs="Times New Roman"/>
          <w:sz w:val="24"/>
          <w:szCs w:val="24"/>
        </w:rPr>
        <w:t xml:space="preserve"> </w:t>
      </w:r>
      <w:r w:rsidRPr="001E6727" w:rsidR="0088540F">
        <w:rPr>
          <w:rFonts w:ascii="Times New Roman" w:hAnsi="Times New Roman" w:eastAsiaTheme="minorEastAsia" w:cs="Times New Roman"/>
          <w:sz w:val="24"/>
          <w:szCs w:val="24"/>
        </w:rPr>
        <w:t xml:space="preserve">Draft documents </w:t>
      </w:r>
      <w:r w:rsidRPr="001E6727" w:rsidR="00F504A1">
        <w:rPr>
          <w:rFonts w:ascii="Times New Roman" w:hAnsi="Times New Roman" w:eastAsiaTheme="minorEastAsia" w:cs="Times New Roman"/>
          <w:sz w:val="24"/>
          <w:szCs w:val="24"/>
        </w:rPr>
        <w:t>can be</w:t>
      </w:r>
      <w:r w:rsidRPr="001E6727" w:rsidR="0088540F">
        <w:rPr>
          <w:rFonts w:ascii="Times New Roman" w:hAnsi="Times New Roman" w:eastAsiaTheme="minorEastAsia" w:cs="Times New Roman"/>
          <w:sz w:val="24"/>
          <w:szCs w:val="24"/>
        </w:rPr>
        <w:t xml:space="preserve"> </w:t>
      </w:r>
      <w:r w:rsidRPr="001E6727" w:rsidR="00F504A1">
        <w:rPr>
          <w:rFonts w:ascii="Times New Roman" w:hAnsi="Times New Roman" w:eastAsiaTheme="minorEastAsia" w:cs="Times New Roman"/>
          <w:sz w:val="24"/>
          <w:szCs w:val="24"/>
        </w:rPr>
        <w:t>relevant</w:t>
      </w:r>
      <w:r w:rsidRPr="001E6727" w:rsidR="0088540F">
        <w:rPr>
          <w:rFonts w:ascii="Times New Roman" w:hAnsi="Times New Roman" w:eastAsiaTheme="minorEastAsia" w:cs="Times New Roman"/>
          <w:sz w:val="24"/>
          <w:szCs w:val="24"/>
        </w:rPr>
        <w:t xml:space="preserve"> to show a party’s intent.</w:t>
      </w:r>
      <w:r>
        <w:rPr>
          <w:rStyle w:val="FootnoteReference"/>
          <w:rFonts w:ascii="Times New Roman" w:hAnsi="Times New Roman" w:eastAsiaTheme="minorEastAsia" w:cs="Times New Roman"/>
          <w:sz w:val="24"/>
          <w:szCs w:val="24"/>
        </w:rPr>
        <w:footnoteReference w:id="47"/>
      </w:r>
      <w:r w:rsidR="001E6727">
        <w:rPr>
          <w:rFonts w:ascii="Times New Roman" w:hAnsi="Times New Roman" w:eastAsiaTheme="minorEastAsia" w:cs="Times New Roman"/>
          <w:sz w:val="24"/>
          <w:szCs w:val="24"/>
        </w:rPr>
        <w:t xml:space="preserve"> </w:t>
      </w:r>
    </w:p>
    <w:p w:rsidR="004E384D" w:rsidRPr="001E6727" w:rsidP="004E384D" w14:paraId="3DADE277" w14:textId="34F32ABE">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The excluded evidence was proba</w:t>
      </w:r>
      <w:r w:rsidRPr="001E6727" w:rsidR="003F54C4">
        <w:rPr>
          <w:rFonts w:ascii="Times New Roman" w:hAnsi="Times New Roman" w:eastAsiaTheme="minorEastAsia" w:cs="Times New Roman"/>
          <w:sz w:val="24"/>
          <w:szCs w:val="24"/>
        </w:rPr>
        <w:t>tive of the auditor’s true opinion as to whether running the plants was in the best interests of consumers.</w:t>
      </w:r>
      <w:r w:rsidR="001E6727">
        <w:rPr>
          <w:rFonts w:ascii="Times New Roman" w:hAnsi="Times New Roman" w:eastAsiaTheme="minorEastAsia" w:cs="Times New Roman"/>
          <w:sz w:val="24"/>
          <w:szCs w:val="24"/>
        </w:rPr>
        <w:t xml:space="preserve"> </w:t>
      </w:r>
      <w:r w:rsidRPr="001E6727" w:rsidR="003F54C4">
        <w:rPr>
          <w:rFonts w:ascii="Times New Roman" w:hAnsi="Times New Roman" w:eastAsiaTheme="minorEastAsia" w:cs="Times New Roman"/>
          <w:sz w:val="24"/>
          <w:szCs w:val="24"/>
        </w:rPr>
        <w:t>The evidence showed that PUCO Staff expressed concern that this finding was too critical of the utility.</w:t>
      </w:r>
      <w:r w:rsidR="001E6727">
        <w:rPr>
          <w:rFonts w:ascii="Times New Roman" w:hAnsi="Times New Roman" w:eastAsiaTheme="minorEastAsia" w:cs="Times New Roman"/>
          <w:sz w:val="24"/>
          <w:szCs w:val="24"/>
        </w:rPr>
        <w:t xml:space="preserve"> </w:t>
      </w:r>
      <w:r w:rsidRPr="001E6727" w:rsidR="003F54C4">
        <w:rPr>
          <w:rFonts w:ascii="Times New Roman" w:hAnsi="Times New Roman" w:eastAsiaTheme="minorEastAsia" w:cs="Times New Roman"/>
          <w:sz w:val="24"/>
          <w:szCs w:val="24"/>
        </w:rPr>
        <w:t>The evidence further showed that the auditor eliminated this sentence from her final report after PUCO Staff expressed this concern.</w:t>
      </w:r>
    </w:p>
    <w:p w:rsidR="003F54C4" w:rsidRPr="001E6727" w:rsidP="003F54C4" w14:paraId="3D6618A4" w14:textId="2992BCE7">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The excluded evidence was therefore highly relevant to prove three key points: (1) the auditor’s real opinion was that operating the plants was not in the best interests of the ratepayers; (2) both the PUCO Staff witness and the auditor were biased and prejudiced in Duke’s favor and against consumers’ interests; and (3) the audit was not an independent audit, as required by PUCO precedent.</w:t>
      </w:r>
      <w:r w:rsidR="001E6727">
        <w:rPr>
          <w:rFonts w:ascii="Times New Roman" w:hAnsi="Times New Roman" w:eastAsiaTheme="minorEastAsia" w:cs="Times New Roman"/>
          <w:sz w:val="24"/>
          <w:szCs w:val="24"/>
        </w:rPr>
        <w:t xml:space="preserve"> </w:t>
      </w:r>
    </w:p>
    <w:p w:rsidR="004D4089" w:rsidRPr="001E6727" w:rsidP="003F54C4" w14:paraId="492A7A04" w14:textId="7491D6DE">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Relevant evidence is generally admissible.</w:t>
      </w:r>
      <w:r>
        <w:rPr>
          <w:rStyle w:val="FootnoteReference"/>
          <w:rFonts w:ascii="Times New Roman" w:hAnsi="Times New Roman" w:eastAsiaTheme="minorEastAsia" w:cs="Times New Roman"/>
          <w:sz w:val="24"/>
          <w:szCs w:val="24"/>
        </w:rPr>
        <w:footnoteReference w:id="48"/>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Relevant evidence can be excluded if it causes confusion of the issues, but only if the probative value is substantially outweighed by the danger of confusion.</w:t>
      </w:r>
      <w:r>
        <w:rPr>
          <w:rStyle w:val="FootnoteReference"/>
          <w:rFonts w:ascii="Times New Roman" w:hAnsi="Times New Roman" w:eastAsiaTheme="minorEastAsia" w:cs="Times New Roman"/>
          <w:sz w:val="24"/>
          <w:szCs w:val="24"/>
        </w:rPr>
        <w:footnoteReference w:id="49"/>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This case was decided by PUCO Commissioners who are experts in utility regulation and who have decided many cases relating to OVEC over the years.</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It cannot reasonably be argued that any danger of confusion would substantially outweigh the probative value of the excluded evidence.</w:t>
      </w:r>
    </w:p>
    <w:p w:rsidR="00F75A3B" w:rsidRPr="001E6727" w:rsidP="003F54C4" w14:paraId="279E7F97" w14:textId="0825DF57">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The PUCO ordered an independent audit in this case.</w:t>
      </w:r>
      <w:r>
        <w:rPr>
          <w:rStyle w:val="FootnoteReference"/>
          <w:rFonts w:ascii="Times New Roman" w:hAnsi="Times New Roman" w:eastAsiaTheme="minorEastAsia" w:cs="Times New Roman"/>
          <w:sz w:val="24"/>
          <w:szCs w:val="24"/>
        </w:rPr>
        <w:footnoteReference w:id="50"/>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The evidence was also admissible for impeachment purposes, to show that both the auditor and PUCO Staff witness were biased and prejudiced in favor of the utility and that they both lacked independence.</w:t>
      </w:r>
      <w:r>
        <w:rPr>
          <w:rStyle w:val="FootnoteReference"/>
          <w:rFonts w:ascii="Times New Roman" w:hAnsi="Times New Roman" w:eastAsiaTheme="minorEastAsia" w:cs="Times New Roman"/>
          <w:sz w:val="24"/>
          <w:szCs w:val="24"/>
        </w:rPr>
        <w:footnoteReference w:id="51"/>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Ohio </w:t>
      </w:r>
      <w:r w:rsidR="00AD7B00">
        <w:rPr>
          <w:rFonts w:ascii="Times New Roman" w:hAnsi="Times New Roman" w:eastAsiaTheme="minorEastAsia" w:cs="Times New Roman"/>
          <w:sz w:val="24"/>
          <w:szCs w:val="24"/>
        </w:rPr>
        <w:t>R.Evid</w:t>
      </w:r>
      <w:r w:rsidRPr="001E6727">
        <w:rPr>
          <w:rFonts w:ascii="Times New Roman" w:hAnsi="Times New Roman" w:eastAsiaTheme="minorEastAsia" w:cs="Times New Roman"/>
          <w:sz w:val="24"/>
          <w:szCs w:val="24"/>
        </w:rPr>
        <w:t>. 611(B) states that “cross-examination shall be permitted on all relevant matters and matters affecting credibility.”</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 xml:space="preserve">Ohio </w:t>
      </w:r>
      <w:r w:rsidR="00AD7B00">
        <w:rPr>
          <w:rFonts w:ascii="Times New Roman" w:hAnsi="Times New Roman" w:eastAsiaTheme="minorEastAsia" w:cs="Times New Roman"/>
          <w:sz w:val="24"/>
          <w:szCs w:val="24"/>
        </w:rPr>
        <w:t>R.Evid</w:t>
      </w:r>
      <w:r w:rsidRP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616(A) provides that a witness can be impeached with evidence of bias, prejudice, or motive to misrepresent. The excluded evidence therefore should have been admitted for impeachment purposes.</w:t>
      </w:r>
      <w:r>
        <w:rPr>
          <w:rStyle w:val="FootnoteReference"/>
          <w:rFonts w:ascii="Times New Roman" w:hAnsi="Times New Roman" w:eastAsiaTheme="minorEastAsia" w:cs="Times New Roman"/>
          <w:sz w:val="24"/>
          <w:szCs w:val="24"/>
        </w:rPr>
        <w:footnoteReference w:id="52"/>
      </w:r>
    </w:p>
    <w:p w:rsidR="00AA6457" w:rsidRPr="001E6727" w:rsidP="003F54C4" w14:paraId="62505D01" w14:textId="630A0A0F">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The excluded evidence was admissible because it was highly relevant.</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It was also admissible for impeachment purposes.</w:t>
      </w:r>
      <w:r w:rsidR="001E6727">
        <w:rPr>
          <w:rFonts w:ascii="Times New Roman" w:hAnsi="Times New Roman" w:eastAsiaTheme="minorEastAsia" w:cs="Times New Roman"/>
          <w:sz w:val="24"/>
          <w:szCs w:val="24"/>
        </w:rPr>
        <w:t xml:space="preserve"> </w:t>
      </w:r>
      <w:r w:rsidRPr="001E6727">
        <w:rPr>
          <w:rFonts w:ascii="Times New Roman" w:hAnsi="Times New Roman" w:eastAsiaTheme="minorEastAsia" w:cs="Times New Roman"/>
          <w:sz w:val="24"/>
          <w:szCs w:val="24"/>
        </w:rPr>
        <w:t>The</w:t>
      </w:r>
      <w:r w:rsidRPr="001E6727" w:rsidR="00C05C52">
        <w:rPr>
          <w:rFonts w:ascii="Times New Roman" w:hAnsi="Times New Roman" w:eastAsiaTheme="minorEastAsia" w:cs="Times New Roman"/>
          <w:sz w:val="24"/>
          <w:szCs w:val="24"/>
        </w:rPr>
        <w:t xml:space="preserve"> probative value of the evidence greatly outweighed any risk of confusion, given the fact that the PUCO Commissioners are experienced in these matters.</w:t>
      </w:r>
      <w:r w:rsidR="001E6727">
        <w:rPr>
          <w:rFonts w:ascii="Times New Roman" w:hAnsi="Times New Roman" w:eastAsiaTheme="minorEastAsia" w:cs="Times New Roman"/>
          <w:sz w:val="24"/>
          <w:szCs w:val="24"/>
        </w:rPr>
        <w:t xml:space="preserve"> </w:t>
      </w:r>
      <w:r w:rsidRPr="001E6727" w:rsidR="00C05C52">
        <w:rPr>
          <w:rFonts w:ascii="Times New Roman" w:hAnsi="Times New Roman" w:eastAsiaTheme="minorEastAsia" w:cs="Times New Roman"/>
          <w:sz w:val="24"/>
          <w:szCs w:val="24"/>
        </w:rPr>
        <w:t>Under the circumstances, the Attorney Examiners violated OCC’s substantial rights by excluding this evidence.</w:t>
      </w:r>
      <w:r w:rsidR="001E6727">
        <w:rPr>
          <w:rFonts w:ascii="Times New Roman" w:hAnsi="Times New Roman" w:eastAsiaTheme="minorEastAsia" w:cs="Times New Roman"/>
          <w:sz w:val="24"/>
          <w:szCs w:val="24"/>
        </w:rPr>
        <w:t xml:space="preserve"> </w:t>
      </w:r>
      <w:r w:rsidRPr="001E6727" w:rsidR="00C05C52">
        <w:rPr>
          <w:rFonts w:ascii="Times New Roman" w:hAnsi="Times New Roman" w:eastAsiaTheme="minorEastAsia" w:cs="Times New Roman"/>
          <w:sz w:val="24"/>
          <w:szCs w:val="24"/>
        </w:rPr>
        <w:t xml:space="preserve">The PUCO should sustain OCC’s </w:t>
      </w:r>
      <w:r w:rsidR="00295CDF">
        <w:rPr>
          <w:rFonts w:ascii="Times New Roman" w:hAnsi="Times New Roman" w:eastAsiaTheme="minorEastAsia" w:cs="Times New Roman"/>
          <w:sz w:val="24"/>
          <w:szCs w:val="24"/>
        </w:rPr>
        <w:t>Second</w:t>
      </w:r>
      <w:r w:rsidR="009A41AD">
        <w:rPr>
          <w:rFonts w:ascii="Times New Roman" w:hAnsi="Times New Roman" w:eastAsiaTheme="minorEastAsia" w:cs="Times New Roman"/>
          <w:sz w:val="24"/>
          <w:szCs w:val="24"/>
        </w:rPr>
        <w:t xml:space="preserve"> </w:t>
      </w:r>
      <w:r w:rsidRPr="001E6727" w:rsidR="00C05C52">
        <w:rPr>
          <w:rFonts w:ascii="Times New Roman" w:hAnsi="Times New Roman" w:eastAsiaTheme="minorEastAsia" w:cs="Times New Roman"/>
          <w:sz w:val="24"/>
          <w:szCs w:val="24"/>
        </w:rPr>
        <w:t>Assignment of Error.</w:t>
      </w:r>
    </w:p>
    <w:p w:rsidR="004C5B5E" w:rsidRPr="001E6727" w:rsidP="00673E4F" w14:paraId="6808266F" w14:textId="77777777">
      <w:pPr>
        <w:spacing w:after="0" w:line="240" w:lineRule="auto"/>
        <w:rPr>
          <w:rFonts w:ascii="Times New Roman" w:hAnsi="Times New Roman" w:eastAsiaTheme="minorEastAsia" w:cs="Times New Roman"/>
          <w:sz w:val="24"/>
          <w:szCs w:val="24"/>
        </w:rPr>
      </w:pPr>
    </w:p>
    <w:p w:rsidR="004F75EF" w:rsidRPr="00AD35FC" w:rsidP="00AD35FC" w14:paraId="155F9D0E" w14:textId="4B03AF12">
      <w:pPr>
        <w:pStyle w:val="Heading1"/>
      </w:pPr>
      <w:bookmarkStart w:id="16" w:name="_Toc147500826"/>
      <w:r>
        <w:t>III.</w:t>
      </w:r>
      <w:r>
        <w:tab/>
      </w:r>
      <w:r w:rsidRPr="001E6727">
        <w:t>CONCLUSION</w:t>
      </w:r>
      <w:bookmarkEnd w:id="16"/>
    </w:p>
    <w:p w:rsidR="00144C79" w:rsidP="00AD35FC" w14:paraId="79F2C235" w14:textId="601BCC4C">
      <w:pPr>
        <w:spacing w:after="0" w:line="480" w:lineRule="auto"/>
        <w:ind w:firstLine="720"/>
        <w:rPr>
          <w:rFonts w:ascii="Times New Roman" w:hAnsi="Times New Roman" w:eastAsiaTheme="minorEastAsia" w:cs="Times New Roman"/>
          <w:sz w:val="24"/>
          <w:szCs w:val="24"/>
        </w:rPr>
      </w:pPr>
      <w:r w:rsidRPr="001E6727">
        <w:rPr>
          <w:rFonts w:ascii="Times New Roman" w:hAnsi="Times New Roman" w:eastAsiaTheme="minorEastAsia" w:cs="Times New Roman"/>
          <w:sz w:val="24"/>
          <w:szCs w:val="24"/>
        </w:rPr>
        <w:t>OCC requests that the PUCO grant rehearing</w:t>
      </w:r>
      <w:r w:rsidRPr="001E6727" w:rsidR="00F051E8">
        <w:rPr>
          <w:rFonts w:ascii="Times New Roman" w:hAnsi="Times New Roman" w:eastAsiaTheme="minorEastAsia" w:cs="Times New Roman"/>
          <w:sz w:val="24"/>
          <w:szCs w:val="24"/>
        </w:rPr>
        <w:t xml:space="preserve"> on these matters.</w:t>
      </w:r>
      <w:r w:rsidR="006227AA">
        <w:rPr>
          <w:rFonts w:ascii="Times New Roman" w:hAnsi="Times New Roman" w:eastAsiaTheme="minorEastAsia" w:cs="Times New Roman"/>
          <w:sz w:val="24"/>
          <w:szCs w:val="24"/>
        </w:rPr>
        <w:t xml:space="preserve"> </w:t>
      </w:r>
      <w:r w:rsidR="009F490F">
        <w:rPr>
          <w:rFonts w:ascii="Times New Roman" w:hAnsi="Times New Roman" w:eastAsiaTheme="minorEastAsia" w:cs="Times New Roman"/>
          <w:sz w:val="24"/>
          <w:szCs w:val="24"/>
        </w:rPr>
        <w:t>When the PUCO initially approved collection of Coal Plant Subsidy costs, it stated that “[r]</w:t>
      </w:r>
      <w:r w:rsidRPr="0044437D" w:rsidR="009F490F">
        <w:rPr>
          <w:rFonts w:ascii="Times New Roman" w:hAnsi="Times New Roman" w:eastAsiaTheme="minorEastAsia" w:cs="Times New Roman"/>
          <w:sz w:val="24"/>
          <w:szCs w:val="24"/>
        </w:rPr>
        <w:t>etail cost recovery may be disallowed as a result of the annual prudency review if the output from the units was not bid in a manner that is consistent with participation in a broader competitive marketplace comprised of sellers attempting to maximize revenues</w:t>
      </w:r>
      <w:r w:rsidR="009F490F">
        <w:rPr>
          <w:rFonts w:ascii="Times New Roman" w:hAnsi="Times New Roman" w:eastAsiaTheme="minorEastAsia" w:cs="Times New Roman"/>
          <w:sz w:val="24"/>
          <w:szCs w:val="24"/>
        </w:rPr>
        <w:t xml:space="preserve"> . . . [and] </w:t>
      </w:r>
      <w:r w:rsidRPr="0044437D" w:rsidR="009F490F">
        <w:rPr>
          <w:rFonts w:ascii="Times New Roman" w:hAnsi="Times New Roman" w:eastAsiaTheme="minorEastAsia" w:cs="Times New Roman"/>
          <w:sz w:val="24"/>
          <w:szCs w:val="24"/>
        </w:rPr>
        <w:t>that bidding behavior is prudent and in the best interest of retail ratepayers</w:t>
      </w:r>
      <w:r w:rsidR="009F490F">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53"/>
      </w:r>
      <w:r w:rsidR="006227AA">
        <w:rPr>
          <w:rFonts w:ascii="Times New Roman" w:hAnsi="Times New Roman" w:eastAsiaTheme="minorEastAsia" w:cs="Times New Roman"/>
          <w:sz w:val="24"/>
          <w:szCs w:val="24"/>
        </w:rPr>
        <w:t xml:space="preserve"> </w:t>
      </w:r>
      <w:r w:rsidR="009F490F">
        <w:rPr>
          <w:rFonts w:ascii="Times New Roman" w:hAnsi="Times New Roman" w:eastAsiaTheme="minorEastAsia" w:cs="Times New Roman"/>
          <w:sz w:val="24"/>
          <w:szCs w:val="24"/>
        </w:rPr>
        <w:t>These are important consumer protections which must be applied to this case.</w:t>
      </w:r>
      <w:r w:rsidR="006227AA">
        <w:rPr>
          <w:rFonts w:ascii="Times New Roman" w:hAnsi="Times New Roman" w:eastAsiaTheme="minorEastAsia" w:cs="Times New Roman"/>
          <w:sz w:val="24"/>
          <w:szCs w:val="24"/>
        </w:rPr>
        <w:t xml:space="preserve"> </w:t>
      </w:r>
      <w:r w:rsidR="009F490F">
        <w:rPr>
          <w:rFonts w:ascii="Times New Roman" w:hAnsi="Times New Roman" w:eastAsiaTheme="minorEastAsia" w:cs="Times New Roman"/>
          <w:sz w:val="24"/>
          <w:szCs w:val="24"/>
        </w:rPr>
        <w:t>The Coal Plant Subsidy costs in this case clearly fail to meet this standard.</w:t>
      </w:r>
      <w:r w:rsidR="006227AA">
        <w:rPr>
          <w:rFonts w:ascii="Times New Roman" w:hAnsi="Times New Roman" w:eastAsiaTheme="minorEastAsia" w:cs="Times New Roman"/>
          <w:sz w:val="24"/>
          <w:szCs w:val="24"/>
        </w:rPr>
        <w:t xml:space="preserve"> </w:t>
      </w:r>
      <w:r w:rsidR="009F490F">
        <w:rPr>
          <w:rFonts w:ascii="Times New Roman" w:hAnsi="Times New Roman" w:eastAsiaTheme="minorEastAsia" w:cs="Times New Roman"/>
          <w:sz w:val="24"/>
          <w:szCs w:val="24"/>
        </w:rPr>
        <w:t>In addition, the PUCO evidentiary rulings harmed consumers substantial rights because the evidence was admissible and highly probative of imprudence.</w:t>
      </w:r>
      <w:r w:rsidR="006227AA">
        <w:rPr>
          <w:rFonts w:ascii="Times New Roman" w:hAnsi="Times New Roman" w:eastAsiaTheme="minorEastAsia" w:cs="Times New Roman"/>
          <w:sz w:val="24"/>
          <w:szCs w:val="24"/>
        </w:rPr>
        <w:t xml:space="preserve"> </w:t>
      </w:r>
    </w:p>
    <w:p w:rsidR="009F490F" w:rsidP="00AD35FC" w14:paraId="2D3BB3E1" w14:textId="3C4FD812">
      <w:pPr>
        <w:spacing w:after="0" w:line="480" w:lineRule="auto"/>
        <w:ind w:firstLine="720"/>
        <w:rPr>
          <w:rFonts w:ascii="Times New Roman" w:hAnsi="Times New Roman" w:eastAsiaTheme="minorEastAsia" w:cs="Times New Roman"/>
          <w:sz w:val="24"/>
          <w:szCs w:val="24"/>
        </w:rPr>
      </w:pPr>
      <w:r>
        <w:rPr>
          <w:rFonts w:ascii="Times New Roman" w:hAnsi="Times New Roman" w:eastAsiaTheme="minorEastAsia" w:cs="Times New Roman"/>
          <w:sz w:val="24"/>
          <w:szCs w:val="24"/>
        </w:rPr>
        <w:t>On rehearing, the PUCO should evaluate the excluded evidence, apply the correct legal standard and abrogate or modify its decision to disallow the entire $24.6 million in Coal Plant Subsidy costs.</w:t>
      </w:r>
    </w:p>
    <w:p w:rsidR="00144C79" w14:paraId="01AF9DE5" w14:textId="77777777">
      <w:pPr>
        <w:rPr>
          <w:rFonts w:ascii="Times New Roman" w:hAnsi="Times New Roman" w:eastAsiaTheme="minorEastAsia" w:cs="Times New Roman"/>
          <w:sz w:val="24"/>
          <w:szCs w:val="24"/>
        </w:rPr>
      </w:pPr>
      <w:r>
        <w:rPr>
          <w:rFonts w:ascii="Times New Roman" w:hAnsi="Times New Roman" w:eastAsiaTheme="minorEastAsia" w:cs="Times New Roman"/>
          <w:sz w:val="24"/>
          <w:szCs w:val="24"/>
        </w:rPr>
        <w:br w:type="page"/>
      </w:r>
    </w:p>
    <w:p w:rsidR="004D5D33" w:rsidRPr="001E6727" w:rsidP="00D91FDE" w14:paraId="4C7311F3"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Respectfully submitted,</w:t>
      </w:r>
    </w:p>
    <w:p w:rsidR="004D5D33" w:rsidRPr="001E6727" w:rsidP="00D91FDE" w14:paraId="7584821F" w14:textId="77777777">
      <w:pPr>
        <w:tabs>
          <w:tab w:val="left" w:pos="4320"/>
          <w:tab w:val="right" w:pos="8640"/>
        </w:tabs>
        <w:spacing w:after="0" w:line="240" w:lineRule="auto"/>
        <w:ind w:left="4320"/>
        <w:rPr>
          <w:rFonts w:ascii="Times New Roman" w:eastAsia="Times New Roman" w:hAnsi="Times New Roman" w:cs="Times New Roman"/>
          <w:sz w:val="24"/>
          <w:szCs w:val="24"/>
        </w:rPr>
      </w:pPr>
    </w:p>
    <w:p w:rsidR="00824A36" w:rsidRPr="001E6727" w:rsidP="00D91FDE" w14:paraId="118111B9" w14:textId="77777777">
      <w:pPr>
        <w:spacing w:after="0" w:line="240" w:lineRule="auto"/>
        <w:ind w:left="4320"/>
        <w:contextualSpacing/>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Maureen R. Willis (0020847)</w:t>
      </w:r>
    </w:p>
    <w:p w:rsidR="004D5D33" w:rsidRPr="001E6727" w:rsidP="00D91FDE" w14:paraId="262668B0" w14:textId="721E5A74">
      <w:pPr>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Ohio Consumers’ Counsel</w:t>
      </w:r>
    </w:p>
    <w:p w:rsidR="004D5D33" w:rsidRPr="001E6727" w:rsidP="00D91FDE" w14:paraId="2A8ADF29" w14:textId="77777777">
      <w:pPr>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ab/>
      </w:r>
    </w:p>
    <w:p w:rsidR="004D5D33" w:rsidRPr="001E6727" w:rsidP="00D91FDE" w14:paraId="2C9FFCB7" w14:textId="3C609754">
      <w:pPr>
        <w:spacing w:after="0" w:line="240" w:lineRule="auto"/>
        <w:ind w:left="3600" w:firstLine="720"/>
        <w:rPr>
          <w:rFonts w:ascii="Times New Roman" w:eastAsia="Times New Roman" w:hAnsi="Times New Roman" w:cs="Times New Roman"/>
          <w:i/>
          <w:iCs/>
          <w:sz w:val="24"/>
          <w:szCs w:val="24"/>
          <w:u w:val="single"/>
        </w:rPr>
      </w:pPr>
      <w:r w:rsidRPr="001E6727">
        <w:rPr>
          <w:rFonts w:ascii="Times New Roman" w:eastAsia="Times New Roman" w:hAnsi="Times New Roman" w:cs="Times New Roman"/>
          <w:i/>
          <w:iCs/>
          <w:sz w:val="24"/>
          <w:szCs w:val="24"/>
          <w:u w:val="single"/>
        </w:rPr>
        <w:t xml:space="preserve">/s/ </w:t>
      </w:r>
      <w:r w:rsidR="00DA5DA1">
        <w:rPr>
          <w:rFonts w:ascii="Times New Roman" w:eastAsia="Times New Roman" w:hAnsi="Times New Roman" w:cs="Times New Roman"/>
          <w:i/>
          <w:iCs/>
          <w:sz w:val="24"/>
          <w:szCs w:val="24"/>
          <w:u w:val="single"/>
        </w:rPr>
        <w:t>John Finnigan</w:t>
      </w:r>
    </w:p>
    <w:p w:rsidR="004D5D33" w:rsidRPr="001E6727" w:rsidP="00D91FDE" w14:paraId="10AEC3A3"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Angela D. O’Brien (0097579)</w:t>
      </w:r>
    </w:p>
    <w:p w:rsidR="004D5D33" w:rsidRPr="001E6727" w:rsidP="00D91FDE" w14:paraId="1B93FED0"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Counsel of Record</w:t>
      </w:r>
    </w:p>
    <w:p w:rsidR="004D5D33" w:rsidRPr="001E6727" w:rsidP="00D91FDE" w14:paraId="17A326B0"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Deputy Consumers’ Counsel</w:t>
      </w:r>
    </w:p>
    <w:p w:rsidR="004D5D33" w:rsidRPr="001E6727" w:rsidP="00D91FDE" w14:paraId="690FFF75"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John Finnigan (0018689)</w:t>
      </w:r>
    </w:p>
    <w:p w:rsidR="004D5D33" w:rsidRPr="001E6727" w:rsidP="00D91FDE" w14:paraId="25C81D52"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Assistant Consumers’ Counsel</w:t>
      </w:r>
    </w:p>
    <w:p w:rsidR="004D5D33" w:rsidRPr="001E6727" w:rsidP="00D91FDE" w14:paraId="0919A943" w14:textId="77777777">
      <w:pPr>
        <w:tabs>
          <w:tab w:val="left" w:pos="4320"/>
        </w:tabs>
        <w:spacing w:after="0" w:line="240" w:lineRule="auto"/>
        <w:ind w:left="4320"/>
        <w:rPr>
          <w:rFonts w:ascii="Times New Roman" w:eastAsia="Times New Roman" w:hAnsi="Times New Roman" w:cs="Times New Roman"/>
          <w:b/>
          <w:sz w:val="24"/>
          <w:szCs w:val="24"/>
        </w:rPr>
      </w:pPr>
    </w:p>
    <w:p w:rsidR="004D5D33" w:rsidRPr="001E6727" w:rsidP="00D91FDE" w14:paraId="387F13FB" w14:textId="77777777">
      <w:pPr>
        <w:tabs>
          <w:tab w:val="left" w:pos="4320"/>
        </w:tabs>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b/>
          <w:sz w:val="24"/>
          <w:szCs w:val="24"/>
        </w:rPr>
        <w:t>Office of the Ohio Consumers’ Counsel</w:t>
      </w:r>
    </w:p>
    <w:p w:rsidR="004D5D33" w:rsidRPr="001E6727" w:rsidP="00D91FDE" w14:paraId="7E2E5733"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65 East State Street, Suite 700</w:t>
      </w:r>
    </w:p>
    <w:p w:rsidR="004D5D33" w:rsidRPr="001E6727" w:rsidP="00D91FDE" w14:paraId="52D4499F" w14:textId="77777777">
      <w:pPr>
        <w:spacing w:after="0" w:line="240" w:lineRule="auto"/>
        <w:ind w:left="43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Columbus, Ohio 43215</w:t>
      </w:r>
    </w:p>
    <w:p w:rsidR="004D5D33" w:rsidRPr="001E6727" w:rsidP="00D91FDE" w14:paraId="3519299C" w14:textId="77777777">
      <w:pPr>
        <w:spacing w:after="0" w:line="240" w:lineRule="auto"/>
        <w:ind w:left="4320"/>
        <w:rPr>
          <w:rFonts w:ascii="Times New Roman" w:eastAsia="Times New Roman" w:hAnsi="Times New Roman" w:cs="Times New Roman"/>
          <w:b/>
          <w:bCs/>
          <w:sz w:val="24"/>
          <w:szCs w:val="24"/>
        </w:rPr>
      </w:pPr>
      <w:r w:rsidRPr="001E6727">
        <w:rPr>
          <w:rFonts w:ascii="Times New Roman" w:eastAsia="Times New Roman" w:hAnsi="Times New Roman" w:cs="Times New Roman"/>
          <w:sz w:val="24"/>
          <w:szCs w:val="24"/>
        </w:rPr>
        <w:t>Telephone [O’Brien]: (614) 466-9531</w:t>
      </w:r>
    </w:p>
    <w:p w:rsidR="004D5D33" w:rsidRPr="001E6727" w:rsidP="00D91FDE" w14:paraId="215E1F23" w14:textId="77777777">
      <w:pPr>
        <w:autoSpaceDE w:val="0"/>
        <w:autoSpaceDN w:val="0"/>
        <w:adjustRightInd w:val="0"/>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Telephone [Finnigan]: (614) 466-9585</w:t>
      </w:r>
    </w:p>
    <w:p w:rsidR="004D5D33" w:rsidRPr="001E6727" w:rsidP="00D91FDE" w14:paraId="32DD56E9" w14:textId="77777777">
      <w:pPr>
        <w:autoSpaceDE w:val="0"/>
        <w:autoSpaceDN w:val="0"/>
        <w:adjustRightInd w:val="0"/>
        <w:spacing w:after="0" w:line="240" w:lineRule="auto"/>
        <w:ind w:left="4320"/>
        <w:contextualSpacing/>
        <w:rPr>
          <w:rFonts w:ascii="Times New Roman" w:eastAsia="Calibri" w:hAnsi="Times New Roman" w:cs="Times New Roman"/>
          <w:color w:val="0000FF"/>
          <w:sz w:val="24"/>
          <w:szCs w:val="24"/>
        </w:rPr>
      </w:pPr>
      <w:hyperlink r:id="rId6" w:history="1">
        <w:r w:rsidRPr="001E6727">
          <w:rPr>
            <w:rStyle w:val="Hyperlink"/>
            <w:rFonts w:ascii="Times New Roman" w:eastAsia="Calibri" w:hAnsi="Times New Roman" w:cs="Times New Roman"/>
            <w:color w:val="0000FF"/>
            <w:sz w:val="24"/>
            <w:szCs w:val="24"/>
          </w:rPr>
          <w:t>angela.obrien@occ.ohio.gov</w:t>
        </w:r>
      </w:hyperlink>
    </w:p>
    <w:p w:rsidR="004D5D33" w:rsidRPr="001E6727" w:rsidP="00D91FDE" w14:paraId="705BF046" w14:textId="77777777">
      <w:pPr>
        <w:autoSpaceDE w:val="0"/>
        <w:autoSpaceDN w:val="0"/>
        <w:adjustRightInd w:val="0"/>
        <w:spacing w:after="0" w:line="240" w:lineRule="auto"/>
        <w:ind w:left="4320"/>
        <w:contextualSpacing/>
        <w:rPr>
          <w:rFonts w:ascii="Times New Roman" w:eastAsia="Calibri" w:hAnsi="Times New Roman" w:cs="Times New Roman"/>
          <w:color w:val="0000FF"/>
          <w:sz w:val="24"/>
          <w:szCs w:val="24"/>
        </w:rPr>
      </w:pPr>
      <w:hyperlink r:id="rId7" w:history="1">
        <w:r w:rsidRPr="001E6727">
          <w:rPr>
            <w:rStyle w:val="Hyperlink"/>
            <w:rFonts w:ascii="Times New Roman" w:eastAsia="Calibri" w:hAnsi="Times New Roman" w:cs="Times New Roman"/>
            <w:color w:val="0000FF"/>
            <w:sz w:val="24"/>
            <w:szCs w:val="24"/>
          </w:rPr>
          <w:t>john.finnigan@occ.ohio.gov</w:t>
        </w:r>
      </w:hyperlink>
    </w:p>
    <w:p w:rsidR="004D5D33" w:rsidP="00D91FDE" w14:paraId="44F01E62" w14:textId="5E8D62F7">
      <w:pPr>
        <w:autoSpaceDE w:val="0"/>
        <w:autoSpaceDN w:val="0"/>
        <w:adjustRightInd w:val="0"/>
        <w:spacing w:after="0" w:line="240" w:lineRule="auto"/>
        <w:ind w:left="4320"/>
        <w:contextualSpacing/>
        <w:rPr>
          <w:rFonts w:ascii="Times New Roman" w:eastAsia="Calibri" w:hAnsi="Times New Roman" w:cs="Times New Roman"/>
          <w:sz w:val="24"/>
          <w:szCs w:val="24"/>
        </w:rPr>
      </w:pPr>
      <w:r w:rsidRPr="001E6727">
        <w:rPr>
          <w:rFonts w:ascii="Times New Roman" w:eastAsia="Calibri" w:hAnsi="Times New Roman" w:cs="Times New Roman"/>
          <w:sz w:val="24"/>
          <w:szCs w:val="24"/>
        </w:rPr>
        <w:t>(willing to accept service by e-mail)</w:t>
      </w:r>
    </w:p>
    <w:p w:rsidR="006823A4" w:rsidP="004D5D33" w14:paraId="0B747D72" w14:textId="56D27E4D">
      <w:pPr>
        <w:autoSpaceDE w:val="0"/>
        <w:autoSpaceDN w:val="0"/>
        <w:adjustRightInd w:val="0"/>
        <w:spacing w:after="0" w:line="240" w:lineRule="auto"/>
        <w:contextualSpacing/>
        <w:rPr>
          <w:rFonts w:ascii="Times New Roman" w:eastAsia="Calibri" w:hAnsi="Times New Roman" w:cs="Times New Roman"/>
          <w:sz w:val="24"/>
          <w:szCs w:val="24"/>
        </w:rPr>
      </w:pPr>
    </w:p>
    <w:p w:rsidR="006823A4" w:rsidP="004D5D33" w14:paraId="066D846A"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6823A4" w14:paraId="121DA026" w14:textId="271FAA5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27FDC" w:rsidRPr="001E6727" w14:paraId="1F2E42F9" w14:textId="4919B2F2">
      <w:pPr>
        <w:jc w:val="center"/>
        <w:rPr>
          <w:rFonts w:ascii="Times New Roman" w:hAnsi="Times New Roman" w:cs="Times New Roman"/>
          <w:b/>
          <w:bCs/>
          <w:sz w:val="24"/>
          <w:szCs w:val="24"/>
          <w:u w:val="single"/>
        </w:rPr>
      </w:pPr>
      <w:r w:rsidRPr="001E6727">
        <w:rPr>
          <w:rFonts w:ascii="Times New Roman" w:hAnsi="Times New Roman" w:cs="Times New Roman"/>
          <w:b/>
          <w:bCs/>
          <w:sz w:val="24"/>
          <w:szCs w:val="24"/>
          <w:u w:val="single"/>
        </w:rPr>
        <w:t>CERTIFICATE OF SERVICE</w:t>
      </w:r>
      <w:bookmarkEnd w:id="11"/>
    </w:p>
    <w:p w:rsidR="00E27FDC" w:rsidRPr="001E6727" w14:paraId="4CCC0BCB" w14:textId="644D0CCB">
      <w:pPr>
        <w:spacing w:after="0" w:line="480" w:lineRule="auto"/>
        <w:ind w:firstLine="720"/>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 xml:space="preserve">I hereby certify that a copy of this </w:t>
      </w:r>
      <w:r w:rsidRPr="001E6727" w:rsidR="003E17F4">
        <w:rPr>
          <w:rFonts w:ascii="Times New Roman" w:eastAsia="Times New Roman" w:hAnsi="Times New Roman" w:cs="Times New Roman"/>
          <w:sz w:val="24"/>
          <w:szCs w:val="24"/>
        </w:rPr>
        <w:t>Application for Rehearing</w:t>
      </w:r>
      <w:r w:rsidRPr="001E6727">
        <w:rPr>
          <w:rFonts w:ascii="Times New Roman" w:eastAsia="Times New Roman" w:hAnsi="Times New Roman" w:cs="Times New Roman"/>
          <w:sz w:val="24"/>
          <w:szCs w:val="24"/>
        </w:rPr>
        <w:t xml:space="preserve"> was served on the persons stated below via</w:t>
      </w:r>
      <w:r w:rsidRPr="001E6727">
        <w:rPr>
          <w:rFonts w:ascii="Times New Roman" w:eastAsia="Times New Roman" w:hAnsi="Times New Roman" w:cs="Times New Roman"/>
          <w:i/>
          <w:sz w:val="24"/>
          <w:szCs w:val="24"/>
        </w:rPr>
        <w:t xml:space="preserve"> </w:t>
      </w:r>
      <w:r w:rsidRPr="001E6727">
        <w:rPr>
          <w:rFonts w:ascii="Times New Roman" w:eastAsia="Times New Roman" w:hAnsi="Times New Roman" w:cs="Times New Roman"/>
          <w:sz w:val="24"/>
          <w:szCs w:val="24"/>
        </w:rPr>
        <w:t xml:space="preserve">electric transmission this </w:t>
      </w:r>
      <w:r w:rsidRPr="001E6727" w:rsidR="00CB61FA">
        <w:rPr>
          <w:rFonts w:ascii="Times New Roman" w:eastAsia="Times New Roman" w:hAnsi="Times New Roman" w:cs="Times New Roman"/>
          <w:sz w:val="24"/>
          <w:szCs w:val="24"/>
        </w:rPr>
        <w:t>6</w:t>
      </w:r>
      <w:r w:rsidRPr="001E6727">
        <w:rPr>
          <w:rFonts w:ascii="Times New Roman" w:eastAsia="Times New Roman" w:hAnsi="Times New Roman" w:cs="Times New Roman"/>
          <w:sz w:val="24"/>
          <w:szCs w:val="24"/>
          <w:vertAlign w:val="superscript"/>
        </w:rPr>
        <w:t>th</w:t>
      </w:r>
      <w:r w:rsidRPr="001E6727">
        <w:rPr>
          <w:rFonts w:ascii="Times New Roman" w:eastAsia="Times New Roman" w:hAnsi="Times New Roman" w:cs="Times New Roman"/>
          <w:sz w:val="24"/>
          <w:szCs w:val="24"/>
        </w:rPr>
        <w:t xml:space="preserve"> day of </w:t>
      </w:r>
      <w:r w:rsidRPr="001E6727" w:rsidR="00CB61FA">
        <w:rPr>
          <w:rFonts w:ascii="Times New Roman" w:eastAsia="Times New Roman" w:hAnsi="Times New Roman" w:cs="Times New Roman"/>
          <w:sz w:val="24"/>
          <w:szCs w:val="24"/>
        </w:rPr>
        <w:t>October 2023</w:t>
      </w:r>
    </w:p>
    <w:p w:rsidR="00E27FDC" w:rsidRPr="001E6727" w14:paraId="4AED5392" w14:textId="14FA09BF">
      <w:pPr>
        <w:autoSpaceDE w:val="0"/>
        <w:autoSpaceDN w:val="0"/>
        <w:adjustRightInd w:val="0"/>
        <w:spacing w:after="0" w:line="240" w:lineRule="auto"/>
        <w:ind w:left="4320"/>
        <w:rPr>
          <w:rFonts w:ascii="Times New Roman" w:eastAsia="Times New Roman" w:hAnsi="Times New Roman" w:cs="Times New Roman"/>
          <w:i/>
          <w:sz w:val="24"/>
          <w:szCs w:val="24"/>
        </w:rPr>
      </w:pPr>
      <w:r w:rsidRPr="001E6727">
        <w:rPr>
          <w:rFonts w:ascii="Times New Roman" w:eastAsia="Times New Roman" w:hAnsi="Times New Roman" w:cs="Times New Roman"/>
          <w:i/>
          <w:sz w:val="24"/>
          <w:szCs w:val="24"/>
          <w:u w:val="single"/>
        </w:rPr>
        <w:t>/s/ </w:t>
      </w:r>
      <w:r w:rsidR="00DA5DA1">
        <w:rPr>
          <w:rFonts w:ascii="Times New Roman" w:eastAsia="Times New Roman" w:hAnsi="Times New Roman" w:cs="Times New Roman"/>
          <w:i/>
          <w:sz w:val="24"/>
          <w:szCs w:val="24"/>
          <w:u w:val="single"/>
        </w:rPr>
        <w:t>John Finnigan</w:t>
      </w:r>
    </w:p>
    <w:p w:rsidR="00E27FDC" w:rsidRPr="001E6727" w14:paraId="0DABE64D" w14:textId="575491A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John Finnigan</w:t>
      </w:r>
      <w:r w:rsidRPr="001E6727" w:rsidR="00383F5E">
        <w:rPr>
          <w:rFonts w:ascii="Times New Roman" w:eastAsia="Times New Roman" w:hAnsi="Times New Roman" w:cs="Times New Roman"/>
          <w:sz w:val="24"/>
          <w:szCs w:val="24"/>
        </w:rPr>
        <w:br/>
        <w:t>Assistant Consumers’ Counsel</w:t>
      </w:r>
    </w:p>
    <w:p w:rsidR="00E27FDC" w:rsidRPr="001E6727" w14:paraId="16AEDEC8"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27FDC" w:rsidRPr="001E6727" w14:paraId="4DA56B15" w14:textId="77777777">
      <w:pPr>
        <w:spacing w:after="0" w:line="240" w:lineRule="auto"/>
        <w:rPr>
          <w:rFonts w:ascii="Times New Roman" w:eastAsia="Times New Roman" w:hAnsi="Times New Roman" w:cs="Times New Roman"/>
          <w:bCs/>
          <w:sz w:val="24"/>
          <w:szCs w:val="24"/>
        </w:rPr>
      </w:pPr>
      <w:r w:rsidRPr="001E6727">
        <w:rPr>
          <w:rFonts w:ascii="Times New Roman" w:eastAsia="Times New Roman" w:hAnsi="Times New Roman" w:cs="Times New Roman"/>
          <w:bCs/>
          <w:sz w:val="24"/>
          <w:szCs w:val="24"/>
        </w:rPr>
        <w:t>The PUCO’s e-filing system will electronically serve notice of the filing of this document on the following parties:</w:t>
      </w:r>
    </w:p>
    <w:p w:rsidR="00E27FDC" w:rsidRPr="001E6727" w14:paraId="5E09E8F5" w14:textId="77777777">
      <w:pPr>
        <w:spacing w:after="0" w:line="240" w:lineRule="auto"/>
        <w:rPr>
          <w:rFonts w:ascii="Times New Roman" w:eastAsia="Times New Roman" w:hAnsi="Times New Roman" w:cs="Times New Roman"/>
          <w:b/>
          <w:sz w:val="24"/>
          <w:szCs w:val="24"/>
          <w:u w:val="single"/>
        </w:rPr>
      </w:pPr>
    </w:p>
    <w:p w:rsidR="00E27FDC" w:rsidRPr="001E6727" w14:paraId="3D3AE129" w14:textId="77777777">
      <w:pPr>
        <w:jc w:val="center"/>
        <w:rPr>
          <w:rFonts w:ascii="Times New Roman" w:hAnsi="Times New Roman" w:cs="Times New Roman"/>
          <w:b/>
          <w:bCs/>
          <w:sz w:val="24"/>
          <w:szCs w:val="24"/>
          <w:u w:val="single"/>
        </w:rPr>
      </w:pPr>
      <w:bookmarkStart w:id="17" w:name="_Toc109294654"/>
      <w:r w:rsidRPr="001E6727">
        <w:rPr>
          <w:rFonts w:ascii="Times New Roman" w:hAnsi="Times New Roman" w:cs="Times New Roman"/>
          <w:b/>
          <w:bCs/>
          <w:sz w:val="24"/>
          <w:szCs w:val="24"/>
          <w:u w:val="single"/>
        </w:rPr>
        <w:t>SERVICE LIST</w:t>
      </w:r>
      <w:bookmarkEnd w:id="17"/>
    </w:p>
    <w:tbl>
      <w:tblPr>
        <w:tblW w:w="0" w:type="auto"/>
        <w:tblLook w:val="04A0"/>
      </w:tblPr>
      <w:tblGrid>
        <w:gridCol w:w="4500"/>
        <w:gridCol w:w="4140"/>
      </w:tblGrid>
      <w:tr w14:paraId="0C7F2255" w14:textId="77777777" w:rsidTr="00A876B1">
        <w:tblPrEx>
          <w:tblW w:w="0" w:type="auto"/>
          <w:tblLook w:val="04A0"/>
        </w:tblPrEx>
        <w:tc>
          <w:tcPr>
            <w:tcW w:w="4500" w:type="dxa"/>
            <w:shd w:val="clear" w:color="auto" w:fill="auto"/>
          </w:tcPr>
          <w:p w:rsidR="00383F5E" w:rsidRPr="001E6727" w:rsidP="00A876B1" w14:paraId="3CFBB563" w14:textId="77777777">
            <w:pPr>
              <w:spacing w:after="0" w:line="240" w:lineRule="auto"/>
              <w:rPr>
                <w:rFonts w:ascii="Times New Roman" w:eastAsia="Times New Roman" w:hAnsi="Times New Roman" w:cs="Times New Roman"/>
                <w:bCs/>
                <w:color w:val="0000FF"/>
                <w:sz w:val="24"/>
                <w:szCs w:val="24"/>
              </w:rPr>
            </w:pPr>
            <w:hyperlink r:id="rId16" w:history="1">
              <w:r w:rsidRPr="001E6727">
                <w:rPr>
                  <w:rFonts w:ascii="Times New Roman" w:eastAsia="Times New Roman" w:hAnsi="Times New Roman" w:cs="Times New Roman"/>
                  <w:bCs/>
                  <w:color w:val="0000FF"/>
                  <w:sz w:val="24"/>
                  <w:szCs w:val="24"/>
                  <w:u w:val="single"/>
                </w:rPr>
                <w:t>thomas.lindgren@ohioAGO.gov</w:t>
              </w:r>
            </w:hyperlink>
          </w:p>
          <w:p w:rsidR="00383F5E" w:rsidRPr="001E6727" w:rsidP="00A876B1" w14:paraId="5070DAA9" w14:textId="77777777">
            <w:pPr>
              <w:spacing w:after="0" w:line="240" w:lineRule="auto"/>
              <w:rPr>
                <w:rFonts w:ascii="Times New Roman" w:eastAsia="Times New Roman" w:hAnsi="Times New Roman" w:cs="Times New Roman"/>
                <w:bCs/>
                <w:color w:val="0000FF"/>
                <w:sz w:val="24"/>
                <w:szCs w:val="24"/>
                <w:u w:val="single"/>
              </w:rPr>
            </w:pPr>
            <w:hyperlink r:id="rId17" w:history="1">
              <w:r w:rsidRPr="001E6727">
                <w:rPr>
                  <w:rFonts w:ascii="Times New Roman" w:eastAsia="Times New Roman" w:hAnsi="Times New Roman" w:cs="Times New Roman"/>
                  <w:bCs/>
                  <w:color w:val="0000FF"/>
                  <w:sz w:val="24"/>
                  <w:szCs w:val="24"/>
                  <w:u w:val="single"/>
                </w:rPr>
                <w:t>bojko@carpenterlipps.com</w:t>
              </w:r>
            </w:hyperlink>
          </w:p>
          <w:p w:rsidR="00383F5E" w:rsidRPr="001E6727" w:rsidP="00A876B1" w14:paraId="148177BD" w14:textId="77777777">
            <w:pPr>
              <w:spacing w:after="0" w:line="240" w:lineRule="auto"/>
              <w:rPr>
                <w:rFonts w:ascii="Times New Roman" w:eastAsia="Times New Roman" w:hAnsi="Times New Roman" w:cs="Times New Roman"/>
                <w:color w:val="0000FF"/>
                <w:sz w:val="24"/>
                <w:szCs w:val="24"/>
                <w:u w:val="single"/>
              </w:rPr>
            </w:pPr>
            <w:hyperlink r:id="rId18" w:history="1">
              <w:r w:rsidRPr="001E6727">
                <w:rPr>
                  <w:rFonts w:ascii="Times New Roman" w:eastAsia="Times New Roman" w:hAnsi="Times New Roman" w:cs="Times New Roman"/>
                  <w:color w:val="0000FF"/>
                  <w:sz w:val="24"/>
                  <w:szCs w:val="24"/>
                  <w:u w:val="single"/>
                </w:rPr>
                <w:t>paul@carpenterlipps.com</w:t>
              </w:r>
            </w:hyperlink>
          </w:p>
          <w:p w:rsidR="00383F5E" w:rsidRPr="001E6727" w:rsidP="00A876B1" w14:paraId="086CE13C"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9" w:history="1">
              <w:r w:rsidRPr="001E6727">
                <w:rPr>
                  <w:rFonts w:ascii="Times New Roman" w:eastAsia="Times New Roman" w:hAnsi="Times New Roman" w:cs="Times New Roman"/>
                  <w:color w:val="0000FF"/>
                  <w:sz w:val="24"/>
                  <w:szCs w:val="24"/>
                  <w:u w:val="single"/>
                </w:rPr>
                <w:t>mkurtz@BKLlawfirm.com</w:t>
              </w:r>
            </w:hyperlink>
          </w:p>
          <w:p w:rsidR="00383F5E" w:rsidRPr="001E6727" w:rsidP="00A876B1" w14:paraId="54096A13"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20" w:history="1">
              <w:r w:rsidRPr="001E6727">
                <w:rPr>
                  <w:rFonts w:ascii="Times New Roman" w:eastAsia="Times New Roman" w:hAnsi="Times New Roman" w:cs="Times New Roman"/>
                  <w:color w:val="0000FF"/>
                  <w:sz w:val="24"/>
                  <w:szCs w:val="24"/>
                  <w:u w:val="single"/>
                </w:rPr>
                <w:t>kboehm@BKLlawfirm.com</w:t>
              </w:r>
            </w:hyperlink>
          </w:p>
          <w:p w:rsidR="00383F5E" w:rsidRPr="001E6727" w:rsidP="00A876B1" w14:paraId="08374C59" w14:textId="77777777">
            <w:pPr>
              <w:spacing w:after="0" w:line="240" w:lineRule="auto"/>
              <w:rPr>
                <w:rFonts w:ascii="Times New Roman" w:eastAsia="Times New Roman" w:hAnsi="Times New Roman" w:cs="Times New Roman"/>
                <w:color w:val="0000FF"/>
                <w:sz w:val="24"/>
                <w:szCs w:val="24"/>
                <w:u w:val="single"/>
              </w:rPr>
            </w:pPr>
            <w:hyperlink r:id="rId21" w:history="1">
              <w:r w:rsidRPr="001E6727">
                <w:rPr>
                  <w:rFonts w:ascii="Times New Roman" w:eastAsia="Times New Roman" w:hAnsi="Times New Roman" w:cs="Times New Roman"/>
                  <w:color w:val="0000FF"/>
                  <w:sz w:val="24"/>
                  <w:szCs w:val="24"/>
                  <w:u w:val="single"/>
                </w:rPr>
                <w:t>jkylercohn@BKLlawfirm.com</w:t>
              </w:r>
            </w:hyperlink>
          </w:p>
          <w:p w:rsidR="00383F5E" w:rsidRPr="001E6727" w:rsidP="00A876B1" w14:paraId="4C78A5F5" w14:textId="77777777">
            <w:pPr>
              <w:spacing w:after="0" w:line="240" w:lineRule="auto"/>
              <w:rPr>
                <w:rFonts w:ascii="Times New Roman" w:eastAsia="Times New Roman" w:hAnsi="Times New Roman" w:cs="Times New Roman"/>
                <w:color w:val="0000FF"/>
                <w:sz w:val="24"/>
                <w:szCs w:val="24"/>
                <w:u w:val="single"/>
              </w:rPr>
            </w:pPr>
          </w:p>
          <w:p w:rsidR="00383F5E" w:rsidRPr="001E6727" w:rsidP="00A876B1" w14:paraId="4B83879D" w14:textId="77777777">
            <w:pPr>
              <w:spacing w:after="0" w:line="240" w:lineRule="auto"/>
              <w:rPr>
                <w:rFonts w:ascii="Times New Roman" w:eastAsia="Times New Roman" w:hAnsi="Times New Roman" w:cs="Times New Roman"/>
                <w:sz w:val="24"/>
                <w:szCs w:val="24"/>
              </w:rPr>
            </w:pPr>
            <w:r w:rsidRPr="001E6727">
              <w:rPr>
                <w:rFonts w:ascii="Times New Roman" w:eastAsia="Times New Roman" w:hAnsi="Times New Roman" w:cs="Times New Roman"/>
                <w:sz w:val="24"/>
                <w:szCs w:val="24"/>
              </w:rPr>
              <w:t>Attorney Examiners:</w:t>
            </w:r>
          </w:p>
          <w:p w:rsidR="00383F5E" w:rsidRPr="001E6727" w:rsidP="00A876B1" w14:paraId="0FF66330" w14:textId="77777777">
            <w:pPr>
              <w:spacing w:after="0" w:line="240" w:lineRule="auto"/>
              <w:rPr>
                <w:rFonts w:ascii="Times New Roman" w:eastAsia="Times New Roman" w:hAnsi="Times New Roman" w:cs="Times New Roman"/>
                <w:color w:val="0000FF"/>
                <w:sz w:val="24"/>
                <w:szCs w:val="24"/>
              </w:rPr>
            </w:pPr>
            <w:hyperlink r:id="rId22" w:history="1">
              <w:r w:rsidRPr="001E6727">
                <w:rPr>
                  <w:rStyle w:val="Hyperlink"/>
                  <w:rFonts w:ascii="Times New Roman" w:eastAsia="Times New Roman" w:hAnsi="Times New Roman" w:cs="Times New Roman"/>
                  <w:color w:val="0000FF"/>
                  <w:sz w:val="24"/>
                  <w:szCs w:val="24"/>
                </w:rPr>
                <w:t>matthew.sandor@puco.ohio.gov</w:t>
              </w:r>
            </w:hyperlink>
          </w:p>
          <w:p w:rsidR="00383F5E" w:rsidRPr="001E6727" w:rsidP="00A876B1" w14:paraId="7A47D10C" w14:textId="77777777">
            <w:pPr>
              <w:spacing w:after="0" w:line="240" w:lineRule="auto"/>
              <w:rPr>
                <w:rFonts w:ascii="Times New Roman" w:eastAsia="Times New Roman" w:hAnsi="Times New Roman" w:cs="Times New Roman"/>
                <w:color w:val="0000FF"/>
                <w:sz w:val="24"/>
                <w:szCs w:val="24"/>
              </w:rPr>
            </w:pPr>
            <w:hyperlink r:id="rId23" w:history="1">
              <w:r w:rsidRPr="001E6727">
                <w:rPr>
                  <w:rStyle w:val="Hyperlink"/>
                  <w:rFonts w:ascii="Times New Roman" w:eastAsia="Times New Roman" w:hAnsi="Times New Roman" w:cs="Times New Roman"/>
                  <w:color w:val="0000FF"/>
                  <w:sz w:val="24"/>
                  <w:szCs w:val="24"/>
                </w:rPr>
                <w:t>nicholas.walstra@puco.ohio.gov</w:t>
              </w:r>
            </w:hyperlink>
          </w:p>
        </w:tc>
        <w:tc>
          <w:tcPr>
            <w:tcW w:w="4140" w:type="dxa"/>
            <w:shd w:val="clear" w:color="auto" w:fill="auto"/>
          </w:tcPr>
          <w:p w:rsidR="00383F5E" w:rsidRPr="001E6727" w:rsidP="00A876B1" w14:paraId="302BA46F" w14:textId="77777777">
            <w:pPr>
              <w:spacing w:after="0" w:line="240" w:lineRule="auto"/>
              <w:ind w:left="360" w:firstLine="162"/>
              <w:rPr>
                <w:rFonts w:ascii="Times New Roman" w:eastAsia="Times New Roman" w:hAnsi="Times New Roman" w:cs="Times New Roman"/>
                <w:bCs/>
                <w:color w:val="0000FF"/>
                <w:sz w:val="24"/>
                <w:szCs w:val="24"/>
                <w:u w:val="single"/>
              </w:rPr>
            </w:pPr>
            <w:hyperlink r:id="rId24" w:history="1">
              <w:r w:rsidRPr="001E6727">
                <w:rPr>
                  <w:rFonts w:ascii="Times New Roman" w:eastAsia="Times New Roman" w:hAnsi="Times New Roman" w:cs="Times New Roman"/>
                  <w:bCs/>
                  <w:color w:val="0000FF"/>
                  <w:sz w:val="24"/>
                  <w:szCs w:val="24"/>
                  <w:u w:val="single"/>
                </w:rPr>
                <w:t>rocco.dascenzo@duke-energy.com</w:t>
              </w:r>
            </w:hyperlink>
          </w:p>
          <w:p w:rsidR="00383F5E" w:rsidRPr="001E6727" w:rsidP="00A876B1" w14:paraId="154FFF88" w14:textId="77777777">
            <w:pPr>
              <w:spacing w:after="0" w:line="240" w:lineRule="auto"/>
              <w:ind w:left="522" w:hanging="18"/>
              <w:rPr>
                <w:rFonts w:ascii="Times New Roman" w:eastAsia="Times New Roman" w:hAnsi="Times New Roman" w:cs="Times New Roman"/>
                <w:bCs/>
                <w:color w:val="0000FF"/>
                <w:sz w:val="24"/>
                <w:szCs w:val="24"/>
                <w:u w:val="single"/>
              </w:rPr>
            </w:pPr>
            <w:hyperlink r:id="rId25" w:history="1">
              <w:r w:rsidRPr="001E6727">
                <w:rPr>
                  <w:rStyle w:val="Hyperlink"/>
                  <w:rFonts w:ascii="Times New Roman" w:eastAsia="Times New Roman" w:hAnsi="Times New Roman" w:cs="Times New Roman"/>
                  <w:color w:val="0000FF"/>
                  <w:sz w:val="24"/>
                  <w:szCs w:val="24"/>
                </w:rPr>
                <w:t>j</w:t>
              </w:r>
              <w:r w:rsidRPr="001E6727">
                <w:rPr>
                  <w:rStyle w:val="Hyperlink"/>
                  <w:rFonts w:ascii="Times New Roman" w:eastAsia="Times New Roman" w:hAnsi="Times New Roman" w:cs="Times New Roman"/>
                  <w:bCs/>
                  <w:color w:val="0000FF"/>
                  <w:sz w:val="24"/>
                  <w:szCs w:val="24"/>
                </w:rPr>
                <w:t>eanne.kingery@duke-energy.com</w:t>
              </w:r>
            </w:hyperlink>
          </w:p>
          <w:p w:rsidR="00383F5E" w:rsidRPr="001E6727" w:rsidP="00A876B1" w14:paraId="390AC9A4" w14:textId="77777777">
            <w:pPr>
              <w:spacing w:after="0" w:line="240" w:lineRule="auto"/>
              <w:ind w:left="522" w:hanging="18"/>
              <w:rPr>
                <w:rFonts w:ascii="Times New Roman" w:eastAsia="Times New Roman" w:hAnsi="Times New Roman" w:cs="Times New Roman"/>
                <w:color w:val="0000FF"/>
                <w:sz w:val="24"/>
                <w:szCs w:val="24"/>
              </w:rPr>
            </w:pPr>
            <w:hyperlink r:id="rId26" w:history="1">
              <w:r w:rsidRPr="001E6727">
                <w:rPr>
                  <w:rStyle w:val="Hyperlink"/>
                  <w:rFonts w:ascii="Times New Roman" w:eastAsia="Times New Roman" w:hAnsi="Times New Roman" w:cs="Times New Roman"/>
                  <w:color w:val="0000FF"/>
                  <w:sz w:val="24"/>
                  <w:szCs w:val="24"/>
                </w:rPr>
                <w:t>larisa.vaysman@duke-energy.com</w:t>
              </w:r>
            </w:hyperlink>
          </w:p>
          <w:p w:rsidR="00383F5E" w:rsidRPr="001E6727" w:rsidP="00A876B1" w14:paraId="6DE66C1F" w14:textId="77777777">
            <w:pPr>
              <w:spacing w:after="0" w:line="240" w:lineRule="auto"/>
              <w:ind w:left="522" w:hanging="18"/>
              <w:rPr>
                <w:rFonts w:ascii="Times New Roman" w:eastAsia="Times New Roman" w:hAnsi="Times New Roman" w:cs="Times New Roman"/>
                <w:color w:val="0000FF"/>
                <w:sz w:val="24"/>
                <w:szCs w:val="24"/>
                <w:u w:val="single"/>
              </w:rPr>
            </w:pPr>
            <w:r w:rsidRPr="001E6727">
              <w:rPr>
                <w:rFonts w:ascii="Times New Roman" w:eastAsia="Times New Roman" w:hAnsi="Times New Roman" w:cs="Times New Roman"/>
                <w:color w:val="0000FF"/>
                <w:sz w:val="24"/>
                <w:szCs w:val="24"/>
                <w:u w:val="single"/>
              </w:rPr>
              <w:t>elyse.akhbari@duke-energy.com</w:t>
            </w:r>
          </w:p>
          <w:p w:rsidR="00383F5E" w:rsidRPr="001E6727" w:rsidP="00A876B1" w14:paraId="3BCECF68" w14:textId="77777777">
            <w:pPr>
              <w:spacing w:after="0" w:line="240" w:lineRule="auto"/>
              <w:ind w:left="522" w:hanging="18"/>
              <w:rPr>
                <w:rFonts w:ascii="Times New Roman" w:eastAsia="Times New Roman" w:hAnsi="Times New Roman" w:cs="Times New Roman"/>
                <w:color w:val="0000FF"/>
                <w:sz w:val="24"/>
                <w:szCs w:val="24"/>
              </w:rPr>
            </w:pPr>
            <w:hyperlink r:id="rId24" w:history="1">
              <w:r w:rsidRPr="001E6727">
                <w:rPr>
                  <w:rFonts w:ascii="Times New Roman" w:eastAsia="Times New Roman" w:hAnsi="Times New Roman" w:cs="Times New Roman"/>
                  <w:color w:val="0000FF"/>
                  <w:sz w:val="24"/>
                  <w:szCs w:val="24"/>
                  <w:u w:val="single"/>
                </w:rPr>
                <w:t>stnourse@aep.com</w:t>
              </w:r>
            </w:hyperlink>
          </w:p>
          <w:p w:rsidR="00383F5E" w:rsidRPr="001E6727" w:rsidP="00A876B1" w14:paraId="07F7A339" w14:textId="77777777">
            <w:pPr>
              <w:spacing w:after="0" w:line="240" w:lineRule="auto"/>
              <w:ind w:left="522" w:hanging="18"/>
              <w:rPr>
                <w:rFonts w:ascii="Times New Roman" w:eastAsia="Times New Roman" w:hAnsi="Times New Roman" w:cs="Times New Roman"/>
                <w:sz w:val="24"/>
                <w:szCs w:val="24"/>
              </w:rPr>
            </w:pPr>
            <w:hyperlink r:id="rId27" w:history="1">
              <w:r w:rsidRPr="001E6727">
                <w:rPr>
                  <w:rFonts w:ascii="Times New Roman" w:eastAsia="Times New Roman" w:hAnsi="Times New Roman" w:cs="Times New Roman"/>
                  <w:color w:val="0000FF"/>
                  <w:sz w:val="24"/>
                  <w:szCs w:val="24"/>
                  <w:u w:val="single"/>
                </w:rPr>
                <w:t>rdove@keglerbrown.com</w:t>
              </w:r>
            </w:hyperlink>
          </w:p>
          <w:p w:rsidR="00383F5E" w:rsidRPr="001E6727" w:rsidP="00A876B1" w14:paraId="423D7E66" w14:textId="77777777">
            <w:pPr>
              <w:spacing w:after="0" w:line="240" w:lineRule="auto"/>
              <w:ind w:left="522" w:hanging="18"/>
              <w:rPr>
                <w:rFonts w:ascii="Times New Roman" w:eastAsia="Times New Roman" w:hAnsi="Times New Roman" w:cs="Times New Roman"/>
                <w:color w:val="0000FF"/>
                <w:sz w:val="24"/>
                <w:szCs w:val="24"/>
                <w:u w:val="single"/>
              </w:rPr>
            </w:pPr>
          </w:p>
          <w:p w:rsidR="00383F5E" w:rsidRPr="001E6727" w:rsidP="00A876B1" w14:paraId="4C26EDD7" w14:textId="77777777">
            <w:pPr>
              <w:spacing w:after="0" w:line="240" w:lineRule="auto"/>
              <w:rPr>
                <w:rFonts w:ascii="Times New Roman" w:eastAsia="Times New Roman" w:hAnsi="Times New Roman" w:cs="Times New Roman"/>
                <w:b/>
                <w:sz w:val="24"/>
                <w:szCs w:val="24"/>
                <w:u w:val="single"/>
              </w:rPr>
            </w:pPr>
          </w:p>
        </w:tc>
      </w:tr>
    </w:tbl>
    <w:p w:rsidR="00E27FDC" w:rsidRPr="001E6727" w14:paraId="4E21D3FA" w14:textId="77777777">
      <w:pPr>
        <w:spacing w:after="0" w:line="240" w:lineRule="auto"/>
        <w:ind w:left="3600" w:hanging="4500"/>
        <w:rPr>
          <w:rFonts w:ascii="Times New Roman" w:hAnsi="Times New Roman" w:cs="Times New Roman"/>
          <w:sz w:val="24"/>
          <w:szCs w:val="24"/>
        </w:rPr>
      </w:pPr>
    </w:p>
    <w:p w:rsidR="00E27FDC" w:rsidRPr="001E6727" w14:paraId="02CDECCC" w14:textId="77777777">
      <w:pPr>
        <w:spacing w:after="0" w:line="240" w:lineRule="auto"/>
        <w:ind w:firstLine="4320"/>
        <w:jc w:val="both"/>
        <w:rPr>
          <w:rFonts w:ascii="Times New Roman" w:hAnsi="Times New Roman" w:cs="Times New Roman"/>
          <w:sz w:val="24"/>
          <w:szCs w:val="24"/>
        </w:rPr>
      </w:pPr>
    </w:p>
    <w:sectPr>
      <w:footerReference w:type="default" r:id="rId2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7D8FB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16E3FC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695209F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4119824"/>
      <w:docPartObj>
        <w:docPartGallery w:val="Page Numbers (Bottom of Page)"/>
        <w:docPartUnique/>
      </w:docPartObj>
    </w:sdtPr>
    <w:sdtEndPr>
      <w:rPr>
        <w:rFonts w:ascii="Times New Roman" w:hAnsi="Times New Roman" w:cs="Times New Roman"/>
        <w:noProof/>
        <w:sz w:val="24"/>
        <w:szCs w:val="24"/>
      </w:rPr>
    </w:sdtEndPr>
    <w:sdtContent>
      <w:p w:rsidR="00E27FDC" w14:paraId="73A59EDC"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4865831"/>
      <w:docPartObj>
        <w:docPartGallery w:val="Page Numbers (Bottom of Page)"/>
        <w:docPartUnique/>
      </w:docPartObj>
    </w:sdtPr>
    <w:sdtEndPr>
      <w:rPr>
        <w:rFonts w:ascii="Times New Roman" w:hAnsi="Times New Roman" w:cs="Times New Roman"/>
        <w:noProof/>
        <w:sz w:val="24"/>
        <w:szCs w:val="24"/>
      </w:rPr>
    </w:sdtEndPr>
    <w:sdtContent>
      <w:p w:rsidR="006D7431" w14:paraId="61E812EE"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6735459"/>
      <w:docPartObj>
        <w:docPartGallery w:val="Page Numbers (Bottom of Page)"/>
        <w:docPartUnique/>
      </w:docPartObj>
    </w:sdtPr>
    <w:sdtEndPr>
      <w:rPr>
        <w:rFonts w:ascii="Times New Roman" w:hAnsi="Times New Roman" w:cs="Times New Roman"/>
        <w:noProof/>
        <w:sz w:val="24"/>
        <w:szCs w:val="24"/>
      </w:rPr>
    </w:sdtEndPr>
    <w:sdtContent>
      <w:p w:rsidR="004D5D33" w14:paraId="7CC38B11"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4B96" w14:paraId="6FA152EF" w14:textId="77777777">
      <w:pPr>
        <w:spacing w:after="0" w:line="240" w:lineRule="auto"/>
      </w:pPr>
      <w:r>
        <w:separator/>
      </w:r>
    </w:p>
  </w:footnote>
  <w:footnote w:type="continuationSeparator" w:id="1">
    <w:p w:rsidR="000D4B96" w14:paraId="28D7E3B9" w14:textId="77777777">
      <w:pPr>
        <w:spacing w:after="0" w:line="240" w:lineRule="auto"/>
      </w:pPr>
      <w:r>
        <w:continuationSeparator/>
      </w:r>
    </w:p>
  </w:footnote>
  <w:footnote w:id="2">
    <w:p w:rsidR="00785D97" w:rsidRPr="005D7420" w:rsidP="005D7420" w14:paraId="2578719B"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OCC Ex. 2 (Glick Direct) at p. 7:19.</w:t>
      </w:r>
    </w:p>
  </w:footnote>
  <w:footnote w:id="3">
    <w:p w:rsidR="00F55E88" w:rsidRPr="005D7420" w:rsidP="005D7420" w14:paraId="3C879A30" w14:textId="73DB6409">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Audit of the Price Stabilization Rider of Duke Energy Ohio Final Report</w:t>
      </w:r>
      <w:r w:rsidRPr="005D7420" w:rsidR="00BD20DE">
        <w:rPr>
          <w:rFonts w:ascii="Times New Roman" w:hAnsi="Times New Roman" w:cs="Times New Roman"/>
        </w:rPr>
        <w:t xml:space="preserve"> by London Economics International, LLC, Case No. 20-167-EL-RDR (Oct</w:t>
      </w:r>
      <w:r w:rsidRPr="005D7420" w:rsidR="00C03D85">
        <w:rPr>
          <w:rFonts w:ascii="Times New Roman" w:hAnsi="Times New Roman" w:cs="Times New Roman"/>
        </w:rPr>
        <w:t>ober</w:t>
      </w:r>
      <w:r w:rsidRPr="005D7420" w:rsidR="00BD20DE">
        <w:rPr>
          <w:rFonts w:ascii="Times New Roman" w:hAnsi="Times New Roman" w:cs="Times New Roman"/>
        </w:rPr>
        <w:t xml:space="preserve"> 15, 2020)</w:t>
      </w:r>
      <w:r w:rsidRPr="005D7420" w:rsidR="0073744D">
        <w:rPr>
          <w:rFonts w:ascii="Times New Roman" w:hAnsi="Times New Roman" w:cs="Times New Roman"/>
        </w:rPr>
        <w:t xml:space="preserve"> (“Audit Report”), at 7</w:t>
      </w:r>
      <w:r w:rsidRPr="005D7420" w:rsidR="00BD20DE">
        <w:rPr>
          <w:rFonts w:ascii="Times New Roman" w:hAnsi="Times New Roman" w:cs="Times New Roman"/>
        </w:rPr>
        <w:t xml:space="preserve">. </w:t>
      </w:r>
    </w:p>
  </w:footnote>
  <w:footnote w:id="4">
    <w:p w:rsidR="00B022A7" w:rsidRPr="005D7420" w:rsidP="005D7420" w14:paraId="7AB8E747" w14:textId="59E69293">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Id. </w:t>
      </w:r>
      <w:r w:rsidRPr="005D7420">
        <w:rPr>
          <w:rFonts w:ascii="Times New Roman" w:hAnsi="Times New Roman" w:cs="Times New Roman"/>
        </w:rPr>
        <w:t>at 9.</w:t>
      </w:r>
    </w:p>
  </w:footnote>
  <w:footnote w:id="5">
    <w:p w:rsidR="007508B8" w:rsidRPr="005D7420" w:rsidP="005D7420" w14:paraId="7611B9E2"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OCC Ex. 2 (Glick Direct) at 10.</w:t>
      </w:r>
    </w:p>
  </w:footnote>
  <w:footnote w:id="6">
    <w:p w:rsidR="007508B8" w:rsidRPr="005D7420" w:rsidP="005D7420" w14:paraId="211515DB"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bookmarkStart w:id="3" w:name="_Hlk109216738"/>
      <w:r w:rsidRPr="005D7420">
        <w:rPr>
          <w:rFonts w:ascii="Times New Roman" w:hAnsi="Times New Roman" w:cs="Times New Roman"/>
          <w:i/>
          <w:iCs/>
        </w:rPr>
        <w:t>Id</w:t>
      </w:r>
      <w:r w:rsidRPr="005D7420">
        <w:rPr>
          <w:rFonts w:ascii="Times New Roman" w:hAnsi="Times New Roman" w:cs="Times New Roman"/>
        </w:rPr>
        <w:t>.</w:t>
      </w:r>
      <w:bookmarkEnd w:id="3"/>
    </w:p>
  </w:footnote>
  <w:footnote w:id="7">
    <w:p w:rsidR="007508B8" w:rsidRPr="005D7420" w:rsidP="005D7420" w14:paraId="40F424B0"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bookmarkStart w:id="5" w:name="_Hlk109216654"/>
      <w:r w:rsidRPr="005D7420">
        <w:rPr>
          <w:rFonts w:ascii="Times New Roman" w:hAnsi="Times New Roman" w:cs="Times New Roman"/>
          <w:i/>
          <w:iCs/>
        </w:rPr>
        <w:t>Id</w:t>
      </w:r>
      <w:r w:rsidRPr="005D7420">
        <w:rPr>
          <w:rFonts w:ascii="Times New Roman" w:hAnsi="Times New Roman" w:cs="Times New Roman"/>
        </w:rPr>
        <w:t xml:space="preserve">. at </w:t>
      </w:r>
      <w:bookmarkEnd w:id="5"/>
      <w:r w:rsidRPr="005D7420">
        <w:rPr>
          <w:rFonts w:ascii="Times New Roman" w:hAnsi="Times New Roman" w:cs="Times New Roman"/>
        </w:rPr>
        <w:t>16.</w:t>
      </w:r>
    </w:p>
  </w:footnote>
  <w:footnote w:id="8">
    <w:p w:rsidR="007508B8" w:rsidRPr="005D7420" w:rsidP="005D7420" w14:paraId="71303B44" w14:textId="1B18BB9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Entry (Apr</w:t>
      </w:r>
      <w:r w:rsidRPr="005D7420" w:rsidR="00C03D85">
        <w:rPr>
          <w:rFonts w:ascii="Times New Roman" w:hAnsi="Times New Roman" w:cs="Times New Roman"/>
        </w:rPr>
        <w:t>il</w:t>
      </w:r>
      <w:r w:rsidRPr="005D7420">
        <w:rPr>
          <w:rFonts w:ascii="Times New Roman" w:hAnsi="Times New Roman" w:cs="Times New Roman"/>
        </w:rPr>
        <w:t xml:space="preserve"> 8, 2020).</w:t>
      </w:r>
    </w:p>
  </w:footnote>
  <w:footnote w:id="9">
    <w:p w:rsidR="007508B8" w:rsidRPr="005D7420" w:rsidP="005D7420" w14:paraId="625E9CE8"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Audit Report, at 9.</w:t>
      </w:r>
    </w:p>
  </w:footnote>
  <w:footnote w:id="10">
    <w:p w:rsidR="007508B8" w:rsidRPr="005D7420" w:rsidP="005D7420" w14:paraId="0948B647" w14:textId="2B028E12">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4C2B94">
        <w:rPr>
          <w:rFonts w:ascii="Times New Roman" w:hAnsi="Times New Roman" w:cs="Times New Roman"/>
        </w:rPr>
        <w:t xml:space="preserve">OCC Ex. 1 (Haugh Direct) at 19-23; </w:t>
      </w:r>
      <w:r w:rsidRPr="005D7420">
        <w:rPr>
          <w:rFonts w:ascii="Times New Roman" w:hAnsi="Times New Roman" w:cs="Times New Roman"/>
        </w:rPr>
        <w:t>OCC Ex. 2 (Glick Direct) at 1-14.</w:t>
      </w:r>
    </w:p>
  </w:footnote>
  <w:footnote w:id="11">
    <w:p w:rsidR="00F85437" w:rsidRPr="005D7420" w:rsidP="005D7420" w14:paraId="5619829E" w14:textId="637D4DBA">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OCC Ex. 2 (Glick Direct) at p. 17.</w:t>
      </w:r>
    </w:p>
  </w:footnote>
  <w:footnote w:id="12">
    <w:p w:rsidR="00113DAD" w:rsidRPr="005D7420" w:rsidP="005D7420" w14:paraId="1546E8FB" w14:textId="27F6F6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Id. </w:t>
      </w:r>
      <w:r w:rsidRPr="005D7420">
        <w:rPr>
          <w:rFonts w:ascii="Times New Roman" w:hAnsi="Times New Roman" w:cs="Times New Roman"/>
        </w:rPr>
        <w:t>at 17-19.</w:t>
      </w:r>
    </w:p>
  </w:footnote>
  <w:footnote w:id="13">
    <w:p w:rsidR="00113DAD" w:rsidRPr="005D7420" w:rsidP="005D7420" w14:paraId="42A77CCB" w14:textId="448624E6">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OCC Ex. 1 (Haugh Direct) at 20-23.</w:t>
      </w:r>
    </w:p>
  </w:footnote>
  <w:footnote w:id="14">
    <w:p w:rsidR="006B132B" w:rsidRPr="005D7420" w:rsidP="005D7420" w14:paraId="435CF14A" w14:textId="25523CBB">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15">
    <w:p w:rsidR="006B132B" w:rsidRPr="005D7420" w:rsidP="005D7420" w14:paraId="7D13D4A5" w14:textId="571B9C57">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16">
    <w:p w:rsidR="006B132B" w:rsidRPr="005D7420" w:rsidP="005D7420" w14:paraId="664A55A4" w14:textId="41248EDB">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OCC Ex. 2 (Glick Direct) at 19.</w:t>
      </w:r>
    </w:p>
  </w:footnote>
  <w:footnote w:id="17">
    <w:p w:rsidR="006B132B" w:rsidRPr="005D7420" w:rsidP="005D7420" w14:paraId="1BC2E772" w14:textId="25DA8699">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Id. </w:t>
      </w:r>
      <w:r w:rsidRPr="005D7420">
        <w:rPr>
          <w:rFonts w:ascii="Times New Roman" w:hAnsi="Times New Roman" w:cs="Times New Roman"/>
        </w:rPr>
        <w:t>at 39.</w:t>
      </w:r>
    </w:p>
  </w:footnote>
  <w:footnote w:id="18">
    <w:p w:rsidR="006B132B" w:rsidRPr="005D7420" w:rsidP="005D7420" w14:paraId="70A958DC" w14:textId="067ED4E9">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19">
    <w:p w:rsidR="006B132B" w:rsidRPr="005D7420" w:rsidP="005D7420" w14:paraId="620FDD9F" w14:textId="39FA2122">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Id. </w:t>
      </w:r>
      <w:r w:rsidRPr="005D7420">
        <w:rPr>
          <w:rFonts w:ascii="Times New Roman" w:hAnsi="Times New Roman" w:cs="Times New Roman"/>
        </w:rPr>
        <w:t>at 40.</w:t>
      </w:r>
    </w:p>
  </w:footnote>
  <w:footnote w:id="20">
    <w:p w:rsidR="006B132B" w:rsidRPr="005D7420" w:rsidP="005D7420" w14:paraId="01E0D3CC" w14:textId="1782849C">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21">
    <w:p w:rsidR="005B1C47" w:rsidRPr="005D7420" w:rsidP="005D7420" w14:paraId="7CC39CCB" w14:textId="00033D3F">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In re Zimmer Nuclear Power Plant, </w:t>
      </w:r>
      <w:r w:rsidRPr="005D7420">
        <w:rPr>
          <w:rFonts w:ascii="Times New Roman" w:hAnsi="Times New Roman" w:cs="Times New Roman"/>
        </w:rPr>
        <w:t>Case No. 84-11870EL-UNC, 1985 Ohio PUC LEXIS 9 (Novemer 26, 1985).</w:t>
      </w:r>
    </w:p>
  </w:footnote>
  <w:footnote w:id="22">
    <w:p w:rsidR="00EF34A2" w:rsidRPr="005D7420" w:rsidP="005D7420" w14:paraId="0685AC9B" w14:textId="05DAD284">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Style w:val="Heading2Char"/>
          <w:b w:val="0"/>
          <w:bCs w:val="0"/>
          <w:i/>
          <w:iCs/>
          <w:sz w:val="20"/>
          <w:szCs w:val="20"/>
        </w:rPr>
        <w:t>In re Ohio Power PPA Rider,</w:t>
      </w:r>
      <w:r w:rsidRPr="005D7420">
        <w:rPr>
          <w:rStyle w:val="Heading2Char"/>
          <w:b w:val="0"/>
          <w:bCs w:val="0"/>
          <w:sz w:val="20"/>
          <w:szCs w:val="20"/>
        </w:rPr>
        <w:t xml:space="preserve"> Case No. 14-1693-EL-RDR, Opinion and Order at 89 (March 31, 2016).</w:t>
      </w:r>
    </w:p>
  </w:footnote>
  <w:footnote w:id="23">
    <w:p w:rsidR="00EF34A2" w:rsidRPr="005D7420" w:rsidP="005D7420" w14:paraId="1E0D4D0E" w14:textId="1268ABF5">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24">
    <w:p w:rsidR="00130905" w:rsidRPr="005D7420" w:rsidP="005D7420" w14:paraId="60576D50" w14:textId="4E1591F7">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E60992">
        <w:rPr>
          <w:rFonts w:ascii="Times New Roman" w:hAnsi="Times New Roman" w:cs="Times New Roman"/>
        </w:rPr>
        <w:t>Opinion and Order at ¶ 55 (September 6, 2023).</w:t>
      </w:r>
    </w:p>
  </w:footnote>
  <w:footnote w:id="25">
    <w:p w:rsidR="00E66A23" w:rsidRPr="005D7420" w:rsidP="005D7420" w14:paraId="4AB85815" w14:textId="68018E21">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130905">
        <w:rPr>
          <w:rFonts w:ascii="Times New Roman" w:hAnsi="Times New Roman" w:cs="Times New Roman"/>
          <w:i/>
          <w:iCs/>
        </w:rPr>
        <w:t xml:space="preserve">In re Ohio Power PPA Rider, </w:t>
      </w:r>
      <w:r w:rsidRPr="005D7420" w:rsidR="00130905">
        <w:rPr>
          <w:rFonts w:ascii="Times New Roman" w:hAnsi="Times New Roman" w:cs="Times New Roman"/>
        </w:rPr>
        <w:t>Case No. 14-1693-EL-RDR, Opinion and Order at 89 (Mar</w:t>
      </w:r>
      <w:r w:rsidRPr="005D7420" w:rsidR="00C03D85">
        <w:rPr>
          <w:rFonts w:ascii="Times New Roman" w:hAnsi="Times New Roman" w:cs="Times New Roman"/>
        </w:rPr>
        <w:t>ch</w:t>
      </w:r>
      <w:r w:rsidRPr="005D7420" w:rsidR="00130905">
        <w:rPr>
          <w:rFonts w:ascii="Times New Roman" w:hAnsi="Times New Roman" w:cs="Times New Roman"/>
        </w:rPr>
        <w:t xml:space="preserve"> 31, 2016)</w:t>
      </w:r>
    </w:p>
  </w:footnote>
  <w:footnote w:id="26">
    <w:p w:rsidR="00130905" w:rsidRPr="005D7420" w:rsidP="005D7420" w14:paraId="1B7C4E6B" w14:textId="3A9BEBA9">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Id. </w:t>
      </w:r>
      <w:r w:rsidRPr="005D7420">
        <w:rPr>
          <w:rFonts w:ascii="Times New Roman" w:hAnsi="Times New Roman" w:cs="Times New Roman"/>
        </w:rPr>
        <w:t>at 89.</w:t>
      </w:r>
    </w:p>
  </w:footnote>
  <w:footnote w:id="27">
    <w:p w:rsidR="0046470A" w:rsidRPr="005D7420" w:rsidP="005D7420" w14:paraId="0A2354BC" w14:textId="50B684BA">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Cleveland Elec. Illum. Co. v. Public Util. Comm</w:t>
      </w:r>
      <w:r w:rsidRPr="005D7420">
        <w:rPr>
          <w:rFonts w:ascii="Times New Roman" w:hAnsi="Times New Roman" w:cs="Times New Roman"/>
        </w:rPr>
        <w:t xml:space="preserve">., 42 Ohio St.2d 403, 431. </w:t>
      </w:r>
    </w:p>
  </w:footnote>
  <w:footnote w:id="28">
    <w:p w:rsidR="00CA374E" w:rsidRPr="005D7420" w:rsidP="005D7420" w14:paraId="2F16E36F" w14:textId="0EF219B7">
      <w:pPr>
        <w:pStyle w:val="FootnoteText"/>
        <w:spacing w:after="120"/>
        <w:rPr>
          <w:rFonts w:ascii="Times New Roman" w:hAnsi="Times New Roman" w:cs="Times New Roman"/>
        </w:rPr>
      </w:pPr>
      <w:r w:rsidRPr="005D7420">
        <w:rPr>
          <w:rStyle w:val="FootnoteReference"/>
          <w:rFonts w:ascii="Times New Roman" w:hAnsi="Times New Roman" w:eastAsiaTheme="minorEastAsia" w:cs="Times New Roman"/>
        </w:rPr>
        <w:footnoteRef/>
      </w:r>
      <w:r w:rsidRPr="005D7420" w:rsidR="00C03D85">
        <w:rPr>
          <w:rFonts w:ascii="Times New Roman" w:hAnsi="Times New Roman" w:cs="Times New Roman"/>
          <w:i/>
          <w:iCs/>
        </w:rPr>
        <w:t xml:space="preserve"> </w:t>
      </w:r>
      <w:r w:rsidRPr="005D7420">
        <w:rPr>
          <w:rFonts w:ascii="Times New Roman" w:hAnsi="Times New Roman" w:cs="Times New Roman"/>
          <w:i/>
          <w:iCs/>
        </w:rPr>
        <w:t>In re Columbus S. Power Co</w:t>
      </w:r>
      <w:r w:rsidRPr="005D7420">
        <w:rPr>
          <w:rFonts w:ascii="Times New Roman" w:hAnsi="Times New Roman" w:cs="Times New Roman"/>
        </w:rPr>
        <w:t xml:space="preserve">., 128 Ohio St.3d 512, 523. </w:t>
      </w:r>
    </w:p>
  </w:footnote>
  <w:footnote w:id="29">
    <w:p w:rsidR="000D35F0" w:rsidRPr="005D7420" w:rsidP="005D7420" w14:paraId="7F7E82F4" w14:textId="7777777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Staff Ex. 1, Audit Report at ¶¶ 27-34.</w:t>
      </w:r>
    </w:p>
  </w:footnote>
  <w:footnote w:id="30">
    <w:p w:rsidR="00D737BF" w:rsidRPr="005D7420" w:rsidP="005D7420" w14:paraId="6131904F" w14:textId="45BBF6D2">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Opinion and Order at ¶ 34 (Sept</w:t>
      </w:r>
      <w:r w:rsidRPr="005D7420" w:rsidR="00C03D85">
        <w:rPr>
          <w:rFonts w:ascii="Times New Roman" w:hAnsi="Times New Roman" w:cs="Times New Roman"/>
        </w:rPr>
        <w:t>ember</w:t>
      </w:r>
      <w:r w:rsidRPr="005D7420">
        <w:rPr>
          <w:rFonts w:ascii="Times New Roman" w:hAnsi="Times New Roman" w:cs="Times New Roman"/>
        </w:rPr>
        <w:t xml:space="preserve"> 6, 2023).</w:t>
      </w:r>
    </w:p>
  </w:footnote>
  <w:footnote w:id="31">
    <w:p w:rsidR="00E2527D" w:rsidRPr="005D7420" w:rsidP="005D7420" w14:paraId="69E991C2" w14:textId="4288E9FC">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727726">
        <w:rPr>
          <w:rFonts w:ascii="Times New Roman" w:hAnsi="Times New Roman" w:cs="Times New Roman"/>
        </w:rPr>
        <w:t>O.A.C. 4901-1-15(F).</w:t>
      </w:r>
      <w:r w:rsidRPr="005D7420" w:rsidR="001E6727">
        <w:rPr>
          <w:rFonts w:ascii="Times New Roman" w:hAnsi="Times New Roman" w:cs="Times New Roman"/>
        </w:rPr>
        <w:t xml:space="preserve"> </w:t>
      </w:r>
      <w:r w:rsidRPr="005D7420" w:rsidR="00727726">
        <w:rPr>
          <w:rFonts w:ascii="Times New Roman" w:hAnsi="Times New Roman" w:cs="Times New Roman"/>
          <w:i/>
          <w:iCs/>
        </w:rPr>
        <w:t xml:space="preserve">See </w:t>
      </w:r>
      <w:r w:rsidRPr="005D7420" w:rsidR="00727726">
        <w:rPr>
          <w:rFonts w:ascii="Times New Roman" w:hAnsi="Times New Roman" w:cs="Times New Roman"/>
        </w:rPr>
        <w:t>OCC Initial Brief at 20-24 (July 29, 2022).</w:t>
      </w:r>
    </w:p>
  </w:footnote>
  <w:footnote w:id="32">
    <w:p w:rsidR="00727726" w:rsidRPr="005D7420" w:rsidP="005D7420" w14:paraId="45F7ED15" w14:textId="010200E0">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Ohio </w:t>
      </w:r>
      <w:r w:rsidRPr="005D7420" w:rsidR="00AD7B00">
        <w:rPr>
          <w:rFonts w:ascii="Times New Roman" w:hAnsi="Times New Roman" w:cs="Times New Roman"/>
        </w:rPr>
        <w:t>R.Evid</w:t>
      </w:r>
      <w:r w:rsidRPr="005D7420">
        <w:rPr>
          <w:rFonts w:ascii="Times New Roman" w:hAnsi="Times New Roman" w:cs="Times New Roman"/>
        </w:rPr>
        <w:t>. 103(A).</w:t>
      </w:r>
    </w:p>
  </w:footnote>
  <w:footnote w:id="33">
    <w:p w:rsidR="00F718C6" w:rsidRPr="005D7420" w:rsidP="005D7420" w14:paraId="16CC3A28" w14:textId="23273380">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Opinion and Order at ¶¶ 55-56 (Sept</w:t>
      </w:r>
      <w:r w:rsidRPr="005D7420" w:rsidR="00C03D85">
        <w:rPr>
          <w:rFonts w:ascii="Times New Roman" w:hAnsi="Times New Roman" w:cs="Times New Roman"/>
        </w:rPr>
        <w:t>ember</w:t>
      </w:r>
      <w:r w:rsidRPr="005D7420">
        <w:rPr>
          <w:rFonts w:ascii="Times New Roman" w:hAnsi="Times New Roman" w:cs="Times New Roman"/>
        </w:rPr>
        <w:t xml:space="preserve"> 6, 2023).</w:t>
      </w:r>
    </w:p>
  </w:footnote>
  <w:footnote w:id="34">
    <w:p w:rsidR="00D737BF" w:rsidRPr="005D7420" w:rsidP="005D7420" w14:paraId="32410F10" w14:textId="4A6C6C81">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29765F">
        <w:rPr>
          <w:rFonts w:ascii="Times New Roman" w:hAnsi="Times New Roman" w:cs="Times New Roman"/>
          <w:i/>
          <w:iCs/>
        </w:rPr>
        <w:t xml:space="preserve">Id. </w:t>
      </w:r>
      <w:r w:rsidRPr="005D7420" w:rsidR="0029765F">
        <w:rPr>
          <w:rFonts w:ascii="Times New Roman" w:hAnsi="Times New Roman" w:cs="Times New Roman"/>
        </w:rPr>
        <w:t>at ¶ 34.</w:t>
      </w:r>
    </w:p>
  </w:footnote>
  <w:footnote w:id="35">
    <w:p w:rsidR="006D236D" w:rsidRPr="005D7420" w:rsidP="005D7420" w14:paraId="3DAC1EF4" w14:textId="3D03BC73">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Staff Ex. 1, Audit Report; </w:t>
      </w:r>
      <w:r w:rsidRPr="005D7420">
        <w:rPr>
          <w:rFonts w:ascii="Times New Roman" w:hAnsi="Times New Roman" w:cs="Times New Roman"/>
          <w:i/>
          <w:iCs/>
        </w:rPr>
        <w:t xml:space="preserve">In the Matter of the Review of the Power Purchase Agreement Rider of Ohio Power Company for 2018 and 2019, </w:t>
      </w:r>
      <w:r w:rsidRPr="005D7420">
        <w:rPr>
          <w:rFonts w:ascii="Times New Roman" w:hAnsi="Times New Roman" w:cs="Times New Roman"/>
        </w:rPr>
        <w:t>Case Nos. 18-1004-EL-RDR</w:t>
      </w:r>
      <w:r w:rsidRPr="005D7420" w:rsidR="00DA4BEC">
        <w:rPr>
          <w:rFonts w:ascii="Times New Roman" w:hAnsi="Times New Roman" w:cs="Times New Roman"/>
        </w:rPr>
        <w:t>, et al.</w:t>
      </w:r>
      <w:r w:rsidRPr="005D7420" w:rsidR="0041148B">
        <w:rPr>
          <w:rFonts w:ascii="Times New Roman" w:hAnsi="Times New Roman" w:cs="Times New Roman"/>
        </w:rPr>
        <w:t>, Audit Report (Sept</w:t>
      </w:r>
      <w:r w:rsidRPr="005D7420" w:rsidR="00C03D85">
        <w:rPr>
          <w:rFonts w:ascii="Times New Roman" w:hAnsi="Times New Roman" w:cs="Times New Roman"/>
        </w:rPr>
        <w:t>ember</w:t>
      </w:r>
      <w:r w:rsidRPr="005D7420" w:rsidR="0041148B">
        <w:rPr>
          <w:rFonts w:ascii="Times New Roman" w:hAnsi="Times New Roman" w:cs="Times New Roman"/>
        </w:rPr>
        <w:t xml:space="preserve"> 16, 2020).</w:t>
      </w:r>
    </w:p>
  </w:footnote>
  <w:footnote w:id="36">
    <w:p w:rsidR="0041148B" w:rsidRPr="005D7420" w:rsidP="005D7420" w14:paraId="713F5C8D" w14:textId="28B7D63B">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37">
    <w:p w:rsidR="0041148B" w:rsidRPr="005D7420" w:rsidP="005D7420" w14:paraId="014D0A59" w14:textId="1F23ED7C">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Pre-filed Testimony of Rodney P. Windle (May 18, 2022); </w:t>
      </w:r>
      <w:r w:rsidRPr="005D7420">
        <w:rPr>
          <w:rFonts w:ascii="Times New Roman" w:hAnsi="Times New Roman" w:cs="Times New Roman"/>
          <w:i/>
          <w:iCs/>
        </w:rPr>
        <w:t xml:space="preserve">In the Matter of the Review of the Power Purchase Agreement Rider of Ohio Power Company for 2018 and 2019, </w:t>
      </w:r>
      <w:r w:rsidRPr="005D7420">
        <w:rPr>
          <w:rFonts w:ascii="Times New Roman" w:hAnsi="Times New Roman" w:cs="Times New Roman"/>
        </w:rPr>
        <w:t>Case Nos. 18-1004-EL-RDR</w:t>
      </w:r>
      <w:r w:rsidRPr="005D7420" w:rsidR="00420705">
        <w:rPr>
          <w:rFonts w:ascii="Times New Roman" w:hAnsi="Times New Roman" w:cs="Times New Roman"/>
        </w:rPr>
        <w:t>, et al.</w:t>
      </w:r>
      <w:r w:rsidRPr="005D7420">
        <w:rPr>
          <w:rFonts w:ascii="Times New Roman" w:hAnsi="Times New Roman" w:cs="Times New Roman"/>
        </w:rPr>
        <w:t>, Pre-filed Testimony of Rodney P. Windle (Dec</w:t>
      </w:r>
      <w:r w:rsidRPr="005D7420" w:rsidR="00C03D85">
        <w:rPr>
          <w:rFonts w:ascii="Times New Roman" w:hAnsi="Times New Roman" w:cs="Times New Roman"/>
        </w:rPr>
        <w:t>ember</w:t>
      </w:r>
      <w:r w:rsidRPr="005D7420">
        <w:rPr>
          <w:rFonts w:ascii="Times New Roman" w:hAnsi="Times New Roman" w:cs="Times New Roman"/>
        </w:rPr>
        <w:t xml:space="preserve"> 29, 2021).</w:t>
      </w:r>
    </w:p>
  </w:footnote>
  <w:footnote w:id="38">
    <w:p w:rsidR="0041148B" w:rsidRPr="005D7420" w:rsidP="005D7420" w14:paraId="18BC5531" w14:textId="42DAE48B">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Entry (Apr</w:t>
      </w:r>
      <w:r w:rsidRPr="005D7420" w:rsidR="00E1017E">
        <w:rPr>
          <w:rFonts w:ascii="Times New Roman" w:hAnsi="Times New Roman" w:cs="Times New Roman"/>
        </w:rPr>
        <w:t>il</w:t>
      </w:r>
      <w:r w:rsidRPr="005D7420">
        <w:rPr>
          <w:rFonts w:ascii="Times New Roman" w:hAnsi="Times New Roman" w:cs="Times New Roman"/>
        </w:rPr>
        <w:t xml:space="preserve"> 8, 2020); </w:t>
      </w:r>
      <w:r w:rsidRPr="005D7420">
        <w:rPr>
          <w:rFonts w:ascii="Times New Roman" w:hAnsi="Times New Roman" w:cs="Times New Roman"/>
          <w:i/>
          <w:iCs/>
        </w:rPr>
        <w:t xml:space="preserve">In the Matter of the Review of the Power Purchase Agreement Rider of Ohio Power Company for 2018 and 2019, </w:t>
      </w:r>
      <w:r w:rsidRPr="005D7420">
        <w:rPr>
          <w:rFonts w:ascii="Times New Roman" w:hAnsi="Times New Roman" w:cs="Times New Roman"/>
        </w:rPr>
        <w:t>Case Nos. 18-1004-EL-RD</w:t>
      </w:r>
      <w:r w:rsidRPr="005D7420" w:rsidR="000C7E0D">
        <w:rPr>
          <w:rFonts w:ascii="Times New Roman" w:hAnsi="Times New Roman" w:cs="Times New Roman"/>
        </w:rPr>
        <w:t>R, et al.</w:t>
      </w:r>
      <w:r w:rsidRPr="005D7420">
        <w:rPr>
          <w:rFonts w:ascii="Times New Roman" w:hAnsi="Times New Roman" w:cs="Times New Roman"/>
        </w:rPr>
        <w:t>, Entry (Mar</w:t>
      </w:r>
      <w:r w:rsidRPr="005D7420" w:rsidR="00EA0C30">
        <w:rPr>
          <w:rFonts w:ascii="Times New Roman" w:hAnsi="Times New Roman" w:cs="Times New Roman"/>
        </w:rPr>
        <w:t>ch</w:t>
      </w:r>
      <w:r w:rsidRPr="005D7420">
        <w:rPr>
          <w:rFonts w:ascii="Times New Roman" w:hAnsi="Times New Roman" w:cs="Times New Roman"/>
        </w:rPr>
        <w:t xml:space="preserve"> 11, 2020).</w:t>
      </w:r>
    </w:p>
  </w:footnote>
  <w:footnote w:id="39">
    <w:p w:rsidR="0041148B" w:rsidRPr="005D7420" w:rsidP="005D7420" w14:paraId="115D92D9" w14:textId="7F0EF660">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40">
    <w:p w:rsidR="0041148B" w:rsidRPr="005D7420" w:rsidP="005D7420" w14:paraId="2AABC901" w14:textId="26F3C628">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Staff Ex. 1, Audit Report; </w:t>
      </w:r>
      <w:r w:rsidRPr="005D7420">
        <w:rPr>
          <w:rFonts w:ascii="Times New Roman" w:hAnsi="Times New Roman" w:cs="Times New Roman"/>
          <w:i/>
          <w:iCs/>
        </w:rPr>
        <w:t xml:space="preserve">In the Matter of the Review of the Power Purchase Agreement Rider of Ohio Power Company for 2018 and 2019, </w:t>
      </w:r>
      <w:r w:rsidRPr="005D7420">
        <w:rPr>
          <w:rFonts w:ascii="Times New Roman" w:hAnsi="Times New Roman" w:cs="Times New Roman"/>
        </w:rPr>
        <w:t>Case Nos. 18-1004-EL-RDR</w:t>
      </w:r>
      <w:r w:rsidRPr="005D7420" w:rsidR="000C7E0D">
        <w:rPr>
          <w:rFonts w:ascii="Times New Roman" w:hAnsi="Times New Roman" w:cs="Times New Roman"/>
        </w:rPr>
        <w:t>, et al.</w:t>
      </w:r>
      <w:r w:rsidRPr="005D7420">
        <w:rPr>
          <w:rFonts w:ascii="Times New Roman" w:hAnsi="Times New Roman" w:cs="Times New Roman"/>
        </w:rPr>
        <w:t>, Audit Report (Sept</w:t>
      </w:r>
      <w:r w:rsidRPr="005D7420" w:rsidR="00EA0C30">
        <w:rPr>
          <w:rFonts w:ascii="Times New Roman" w:hAnsi="Times New Roman" w:cs="Times New Roman"/>
        </w:rPr>
        <w:t>ember</w:t>
      </w:r>
      <w:r w:rsidRPr="005D7420">
        <w:rPr>
          <w:rFonts w:ascii="Times New Roman" w:hAnsi="Times New Roman" w:cs="Times New Roman"/>
        </w:rPr>
        <w:t xml:space="preserve"> 16, 2020).</w:t>
      </w:r>
    </w:p>
  </w:footnote>
  <w:footnote w:id="41">
    <w:p w:rsidR="00E578A4" w:rsidRPr="005D7420" w:rsidP="005D7420" w14:paraId="63690208" w14:textId="46906550">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Hearing Trans</w:t>
      </w:r>
      <w:r w:rsidRPr="005D7420" w:rsidR="000C7E0D">
        <w:rPr>
          <w:rFonts w:ascii="Times New Roman" w:hAnsi="Times New Roman" w:cs="Times New Roman"/>
        </w:rPr>
        <w:t>cript</w:t>
      </w:r>
      <w:r w:rsidRPr="005D7420">
        <w:rPr>
          <w:rFonts w:ascii="Times New Roman" w:hAnsi="Times New Roman" w:cs="Times New Roman"/>
        </w:rPr>
        <w:t xml:space="preserve"> Vol</w:t>
      </w:r>
      <w:r w:rsidRPr="005D7420" w:rsidR="000C7E0D">
        <w:rPr>
          <w:rFonts w:ascii="Times New Roman" w:hAnsi="Times New Roman" w:cs="Times New Roman"/>
        </w:rPr>
        <w:t>.</w:t>
      </w:r>
      <w:r w:rsidRPr="005D7420">
        <w:rPr>
          <w:rFonts w:ascii="Times New Roman" w:hAnsi="Times New Roman" w:cs="Times New Roman"/>
        </w:rPr>
        <w:t xml:space="preserve"> III, p. 426:14</w:t>
      </w:r>
      <w:r w:rsidRPr="005D7420" w:rsidR="00D51697">
        <w:rPr>
          <w:rFonts w:ascii="Times New Roman" w:hAnsi="Times New Roman" w:cs="Times New Roman"/>
        </w:rPr>
        <w:t>-</w:t>
      </w:r>
      <w:r w:rsidRPr="005D7420">
        <w:rPr>
          <w:rFonts w:ascii="Times New Roman" w:hAnsi="Times New Roman" w:cs="Times New Roman"/>
        </w:rPr>
        <w:t>428:3.</w:t>
      </w:r>
    </w:p>
  </w:footnote>
  <w:footnote w:id="42">
    <w:p w:rsidR="00492044" w:rsidRPr="005D7420" w:rsidP="005D7420" w14:paraId="541C064C" w14:textId="4C4CE5E7">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43">
    <w:p w:rsidR="00492044" w:rsidRPr="005D7420" w:rsidP="005D7420" w14:paraId="0674222A" w14:textId="5FF6187F">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Hearing Trans</w:t>
      </w:r>
      <w:r w:rsidRPr="005D7420" w:rsidR="000C7E0D">
        <w:rPr>
          <w:rFonts w:ascii="Times New Roman" w:hAnsi="Times New Roman" w:cs="Times New Roman"/>
        </w:rPr>
        <w:t>cript</w:t>
      </w:r>
      <w:r w:rsidRPr="005D7420">
        <w:rPr>
          <w:rFonts w:ascii="Times New Roman" w:hAnsi="Times New Roman" w:cs="Times New Roman"/>
        </w:rPr>
        <w:t xml:space="preserve"> Vol. II p. 214:10-14; Hearing Trans</w:t>
      </w:r>
      <w:r w:rsidRPr="005D7420" w:rsidR="00C472A9">
        <w:rPr>
          <w:rFonts w:ascii="Times New Roman" w:hAnsi="Times New Roman" w:cs="Times New Roman"/>
        </w:rPr>
        <w:t>cript</w:t>
      </w:r>
      <w:r w:rsidRPr="005D7420">
        <w:rPr>
          <w:rFonts w:ascii="Times New Roman" w:hAnsi="Times New Roman" w:cs="Times New Roman"/>
        </w:rPr>
        <w:t xml:space="preserve"> Vol. II, p. 222:20-223:20.</w:t>
      </w:r>
    </w:p>
  </w:footnote>
  <w:footnote w:id="44">
    <w:p w:rsidR="004E384D" w:rsidRPr="005D7420" w:rsidP="005D7420" w14:paraId="06BFDE23" w14:textId="128ED88E">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Opinion and Order at ¶ 34.</w:t>
      </w:r>
    </w:p>
  </w:footnote>
  <w:footnote w:id="45">
    <w:p w:rsidR="004E384D" w:rsidRPr="005D7420" w:rsidP="005D7420" w14:paraId="1D420123" w14:textId="1D4A3502">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Ohio </w:t>
      </w:r>
      <w:r w:rsidRPr="005D7420" w:rsidR="00AD7B00">
        <w:rPr>
          <w:rFonts w:ascii="Times New Roman" w:hAnsi="Times New Roman" w:cs="Times New Roman"/>
        </w:rPr>
        <w:t>R.Evid</w:t>
      </w:r>
      <w:r w:rsidRPr="005D7420">
        <w:rPr>
          <w:rFonts w:ascii="Times New Roman" w:hAnsi="Times New Roman" w:cs="Times New Roman"/>
        </w:rPr>
        <w:t xml:space="preserve"> 401.</w:t>
      </w:r>
    </w:p>
  </w:footnote>
  <w:footnote w:id="46">
    <w:p w:rsidR="0088540F" w:rsidRPr="005D7420" w:rsidP="005D7420" w14:paraId="06CFAF6A" w14:textId="24260A66">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sidR="00820CB7">
        <w:rPr>
          <w:rFonts w:ascii="Times New Roman" w:hAnsi="Times New Roman" w:cs="Times New Roman"/>
          <w:i/>
          <w:iCs/>
        </w:rPr>
        <w:t xml:space="preserve"> </w:t>
      </w:r>
      <w:r w:rsidRPr="005D7420">
        <w:rPr>
          <w:rFonts w:ascii="Times New Roman" w:hAnsi="Times New Roman" w:cs="Times New Roman"/>
          <w:i/>
          <w:iCs/>
        </w:rPr>
        <w:t xml:space="preserve">Colony by the Mall v. Duckro, </w:t>
      </w:r>
      <w:r w:rsidRPr="005D7420" w:rsidR="00586764">
        <w:rPr>
          <w:rFonts w:ascii="Times New Roman" w:hAnsi="Times New Roman" w:cs="Times New Roman"/>
        </w:rPr>
        <w:t>2d</w:t>
      </w:r>
      <w:r w:rsidRPr="005D7420">
        <w:rPr>
          <w:rFonts w:ascii="Times New Roman" w:hAnsi="Times New Roman" w:cs="Times New Roman"/>
        </w:rPr>
        <w:t xml:space="preserve"> Dist. Mont. No. CA 6169, </w:t>
      </w:r>
      <w:r w:rsidRPr="005D7420">
        <w:rPr>
          <w:rFonts w:ascii="Times New Roman" w:hAnsi="Times New Roman" w:cs="Times New Roman"/>
          <w:color w:val="212121"/>
          <w:shd w:val="clear" w:color="auto" w:fill="FFFFFF"/>
        </w:rPr>
        <w:t>1979 Ohio App. LEXIS 8802 (June 29, 1979).</w:t>
      </w:r>
    </w:p>
  </w:footnote>
  <w:footnote w:id="47">
    <w:p w:rsidR="0088540F" w:rsidRPr="005D7420" w:rsidP="005D7420" w14:paraId="11310217" w14:textId="736A939E">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sidR="00820CB7">
        <w:rPr>
          <w:rFonts w:ascii="Times New Roman" w:hAnsi="Times New Roman" w:cs="Times New Roman"/>
          <w:i/>
          <w:iCs/>
        </w:rPr>
        <w:t xml:space="preserve">State ex rel. Mohr v. Colerain Twp., </w:t>
      </w:r>
      <w:r w:rsidRPr="005D7420" w:rsidR="00820CB7">
        <w:rPr>
          <w:rFonts w:ascii="Times New Roman" w:hAnsi="Times New Roman" w:cs="Times New Roman"/>
        </w:rPr>
        <w:t>2022-Ohio-1109, 1</w:t>
      </w:r>
      <w:r w:rsidRPr="005D7420" w:rsidR="00820CB7">
        <w:rPr>
          <w:rFonts w:ascii="Times New Roman" w:hAnsi="Times New Roman" w:cs="Times New Roman"/>
          <w:vertAlign w:val="superscript"/>
        </w:rPr>
        <w:t>st</w:t>
      </w:r>
      <w:r w:rsidRPr="005D7420" w:rsidR="00820CB7">
        <w:rPr>
          <w:rFonts w:ascii="Times New Roman" w:hAnsi="Times New Roman" w:cs="Times New Roman"/>
        </w:rPr>
        <w:t xml:space="preserve"> Dist.; </w:t>
      </w:r>
      <w:hyperlink r:id="rId1" w:history="1">
        <w:r w:rsidRPr="005D7420" w:rsidR="00820CB7">
          <w:rPr>
            <w:rStyle w:val="ssit"/>
            <w:rFonts w:ascii="Times New Roman" w:hAnsi="Times New Roman" w:cs="Times New Roman"/>
            <w:i/>
            <w:iCs/>
            <w:bdr w:val="none" w:sz="0" w:space="0" w:color="auto" w:frame="1"/>
            <w:shd w:val="clear" w:color="auto" w:fill="FFFFFF"/>
          </w:rPr>
          <w:t>Shore v. Best Cuts, Inc.</w:t>
        </w:r>
        <w:r w:rsidRPr="005D7420" w:rsidR="00820CB7">
          <w:rPr>
            <w:rStyle w:val="Hyperlink"/>
            <w:rFonts w:ascii="Times New Roman" w:hAnsi="Times New Roman" w:cs="Times New Roman"/>
            <w:color w:val="auto"/>
            <w:u w:val="none"/>
            <w:bdr w:val="none" w:sz="0" w:space="0" w:color="auto" w:frame="1"/>
            <w:shd w:val="clear" w:color="auto" w:fill="FFFFFF"/>
          </w:rPr>
          <w:t>, 8th Dist. Cuyahoga No. 77340, 2000 Ohio App. LEXIS 5553, 2000 WL 1754007 (Nov</w:t>
        </w:r>
        <w:r w:rsidRPr="005D7420" w:rsidR="00EA0C30">
          <w:rPr>
            <w:rStyle w:val="Hyperlink"/>
            <w:rFonts w:ascii="Times New Roman" w:hAnsi="Times New Roman" w:cs="Times New Roman"/>
            <w:color w:val="auto"/>
            <w:u w:val="none"/>
            <w:bdr w:val="none" w:sz="0" w:space="0" w:color="auto" w:frame="1"/>
            <w:shd w:val="clear" w:color="auto" w:fill="FFFFFF"/>
          </w:rPr>
          <w:t>ember</w:t>
        </w:r>
        <w:r w:rsidRPr="005D7420" w:rsidR="00820CB7">
          <w:rPr>
            <w:rStyle w:val="Hyperlink"/>
            <w:rFonts w:ascii="Times New Roman" w:hAnsi="Times New Roman" w:cs="Times New Roman"/>
            <w:color w:val="auto"/>
            <w:u w:val="none"/>
            <w:bdr w:val="none" w:sz="0" w:space="0" w:color="auto" w:frame="1"/>
            <w:shd w:val="clear" w:color="auto" w:fill="FFFFFF"/>
          </w:rPr>
          <w:t xml:space="preserve"> 30, 2000)</w:t>
        </w:r>
      </w:hyperlink>
      <w:r w:rsidRPr="005D7420" w:rsidR="00820CB7">
        <w:rPr>
          <w:rFonts w:ascii="Times New Roman" w:hAnsi="Times New Roman" w:cs="Times New Roman"/>
          <w:shd w:val="clear" w:color="auto" w:fill="FFFFFF"/>
        </w:rPr>
        <w:t>; </w:t>
      </w:r>
      <w:r w:rsidRPr="005D7420" w:rsidR="00820CB7">
        <w:rPr>
          <w:rFonts w:ascii="Times New Roman" w:hAnsi="Times New Roman" w:cs="Times New Roman"/>
          <w:i/>
          <w:iCs/>
        </w:rPr>
        <w:t xml:space="preserve">Colony by the Mall v. Duckro, </w:t>
      </w:r>
      <w:r w:rsidRPr="005D7420" w:rsidR="00820CB7">
        <w:rPr>
          <w:rFonts w:ascii="Times New Roman" w:hAnsi="Times New Roman" w:cs="Times New Roman"/>
        </w:rPr>
        <w:t xml:space="preserve">2d Dist. Mont. No. CA 6169, </w:t>
      </w:r>
      <w:r w:rsidRPr="005D7420" w:rsidR="00820CB7">
        <w:rPr>
          <w:rFonts w:ascii="Times New Roman" w:hAnsi="Times New Roman" w:cs="Times New Roman"/>
          <w:color w:val="212121"/>
          <w:shd w:val="clear" w:color="auto" w:fill="FFFFFF"/>
        </w:rPr>
        <w:t>1979 Ohio App. LEXIS 8802 (June 29, 1979).</w:t>
      </w:r>
    </w:p>
  </w:footnote>
  <w:footnote w:id="48">
    <w:p w:rsidR="003F54C4" w:rsidRPr="005D7420" w:rsidP="005D7420" w14:paraId="313B1A20" w14:textId="345CA995">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Ohio </w:t>
      </w:r>
      <w:r w:rsidRPr="005D7420" w:rsidR="00AD7B00">
        <w:rPr>
          <w:rFonts w:ascii="Times New Roman" w:hAnsi="Times New Roman" w:cs="Times New Roman"/>
        </w:rPr>
        <w:t>R.Evid</w:t>
      </w:r>
      <w:r w:rsidRPr="005D7420">
        <w:rPr>
          <w:rFonts w:ascii="Times New Roman" w:hAnsi="Times New Roman" w:cs="Times New Roman"/>
        </w:rPr>
        <w:t>. 402.</w:t>
      </w:r>
    </w:p>
  </w:footnote>
  <w:footnote w:id="49">
    <w:p w:rsidR="003F54C4" w:rsidRPr="005D7420" w:rsidP="005D7420" w14:paraId="54D6581A" w14:textId="4CF35CD7">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Ohio </w:t>
      </w:r>
      <w:r w:rsidRPr="005D7420" w:rsidR="00AD7B00">
        <w:rPr>
          <w:rFonts w:ascii="Times New Roman" w:hAnsi="Times New Roman" w:cs="Times New Roman"/>
        </w:rPr>
        <w:t>R.Evid</w:t>
      </w:r>
      <w:r w:rsidRPr="005D7420">
        <w:rPr>
          <w:rFonts w:ascii="Times New Roman" w:hAnsi="Times New Roman" w:cs="Times New Roman"/>
        </w:rPr>
        <w:t>. 403.</w:t>
      </w:r>
    </w:p>
  </w:footnote>
  <w:footnote w:id="50">
    <w:p w:rsidR="00AA6457" w:rsidRPr="005D7420" w:rsidP="005D7420" w14:paraId="39C1C670" w14:textId="5AA7C8BF">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Entry (Feb</w:t>
      </w:r>
      <w:r w:rsidRPr="005D7420" w:rsidR="00EA0C30">
        <w:rPr>
          <w:rFonts w:ascii="Times New Roman" w:hAnsi="Times New Roman" w:cs="Times New Roman"/>
        </w:rPr>
        <w:t>ruary</w:t>
      </w:r>
      <w:r w:rsidRPr="005D7420">
        <w:rPr>
          <w:rFonts w:ascii="Times New Roman" w:hAnsi="Times New Roman" w:cs="Times New Roman"/>
        </w:rPr>
        <w:t xml:space="preserve"> 13, 2020).</w:t>
      </w:r>
    </w:p>
  </w:footnote>
  <w:footnote w:id="51">
    <w:p w:rsidR="00F75A3B" w:rsidRPr="005D7420" w:rsidP="005D7420" w14:paraId="438F0EB6" w14:textId="2551242B">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Oberlin v. Akron Gen. Med. Ctr., </w:t>
      </w:r>
      <w:bookmarkStart w:id="15" w:name="91_Ohio_St._3d_169"/>
      <w:r w:rsidRPr="005D7420">
        <w:rPr>
          <w:rFonts w:ascii="Times New Roman" w:hAnsi="Times New Roman" w:cs="Times New Roman"/>
        </w:rPr>
        <w:t>91 Ohio St.3d 169, 2001-Ohio-248, 743 N.E.2d 890.</w:t>
      </w:r>
      <w:r w:rsidRPr="005D7420" w:rsidR="001E6727">
        <w:rPr>
          <w:rFonts w:ascii="Times New Roman" w:hAnsi="Times New Roman" w:cs="Times New Roman"/>
          <w:i/>
          <w:iCs/>
        </w:rPr>
        <w:t xml:space="preserve"> </w:t>
      </w:r>
      <w:bookmarkEnd w:id="15"/>
    </w:p>
  </w:footnote>
  <w:footnote w:id="52">
    <w:p w:rsidR="00AA6457" w:rsidRPr="005D7420" w:rsidP="005D7420" w14:paraId="1FDDE052" w14:textId="0CE73927">
      <w:pPr>
        <w:pStyle w:val="FootnoteText"/>
        <w:spacing w:after="120"/>
        <w:rPr>
          <w:rFonts w:ascii="Times New Roman" w:hAnsi="Times New Roman" w:cs="Times New Roman"/>
          <w:i/>
          <w:iCs/>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Id.</w:t>
      </w:r>
    </w:p>
  </w:footnote>
  <w:footnote w:id="53">
    <w:p w:rsidR="009F490F" w:rsidRPr="005D7420" w:rsidP="005D7420" w14:paraId="462FBA37" w14:textId="42FD54FF">
      <w:pPr>
        <w:pStyle w:val="FootnoteText"/>
        <w:spacing w:after="120"/>
        <w:rPr>
          <w:rFonts w:ascii="Times New Roman" w:hAnsi="Times New Roman" w:cs="Times New Roman"/>
        </w:rPr>
      </w:pPr>
      <w:r w:rsidRPr="005D7420">
        <w:rPr>
          <w:rStyle w:val="FootnoteReference"/>
          <w:rFonts w:ascii="Times New Roman" w:hAnsi="Times New Roman" w:cs="Times New Roman"/>
        </w:rPr>
        <w:footnoteRef/>
      </w:r>
      <w:r w:rsidRPr="005D7420">
        <w:rPr>
          <w:rFonts w:ascii="Times New Roman" w:hAnsi="Times New Roman" w:cs="Times New Roman"/>
        </w:rPr>
        <w:t xml:space="preserve"> </w:t>
      </w:r>
      <w:r w:rsidRPr="005D7420">
        <w:rPr>
          <w:rFonts w:ascii="Times New Roman" w:hAnsi="Times New Roman" w:cs="Times New Roman"/>
          <w:i/>
          <w:iCs/>
        </w:rPr>
        <w:t xml:space="preserve">In re Ohio Power PPA Rider, </w:t>
      </w:r>
      <w:r w:rsidRPr="005D7420">
        <w:rPr>
          <w:rFonts w:ascii="Times New Roman" w:hAnsi="Times New Roman" w:cs="Times New Roman"/>
        </w:rPr>
        <w:t>Case No. 14-1693-EL-RDR, Opinion and Order at 89 (Mar</w:t>
      </w:r>
      <w:r w:rsidRPr="005D7420" w:rsidR="00EA0C30">
        <w:rPr>
          <w:rFonts w:ascii="Times New Roman" w:hAnsi="Times New Roman" w:cs="Times New Roman"/>
        </w:rPr>
        <w:t>ch</w:t>
      </w:r>
      <w:r w:rsidRPr="005D7420">
        <w:rPr>
          <w:rFonts w:ascii="Times New Roman" w:hAnsi="Times New Roman" w:cs="Times New Roman"/>
        </w:rPr>
        <w:t xml:space="preserve"> 31, 2016).</w:t>
      </w:r>
      <w:r w:rsidRPr="005D7420" w:rsidR="006227A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2C5F15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42AB18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B" w14:paraId="40F880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F97C54"/>
    <w:multiLevelType w:val="hybridMultilevel"/>
    <w:tmpl w:val="C8F4EFDC"/>
    <w:lvl w:ilvl="0">
      <w:start w:val="1"/>
      <w:numFmt w:val="upp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nsid w:val="19C41D10"/>
    <w:multiLevelType w:val="multilevel"/>
    <w:tmpl w:val="375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137E8"/>
    <w:multiLevelType w:val="hybridMultilevel"/>
    <w:tmpl w:val="42DA1C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69607B"/>
    <w:multiLevelType w:val="hybridMultilevel"/>
    <w:tmpl w:val="C8F4EFD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2E41DE2"/>
    <w:multiLevelType w:val="hybridMultilevel"/>
    <w:tmpl w:val="7A48B8CA"/>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025422C"/>
    <w:multiLevelType w:val="hybridMultilevel"/>
    <w:tmpl w:val="F6A6E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5054422"/>
    <w:multiLevelType w:val="hybridMultilevel"/>
    <w:tmpl w:val="CEC60F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DC7BC1"/>
    <w:multiLevelType w:val="hybridMultilevel"/>
    <w:tmpl w:val="ED4E891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177205A"/>
    <w:multiLevelType w:val="hybridMultilevel"/>
    <w:tmpl w:val="0256F2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DC"/>
    <w:rsid w:val="00007A84"/>
    <w:rsid w:val="00012803"/>
    <w:rsid w:val="00012A14"/>
    <w:rsid w:val="00013677"/>
    <w:rsid w:val="00024CB7"/>
    <w:rsid w:val="00032770"/>
    <w:rsid w:val="00033301"/>
    <w:rsid w:val="0004087D"/>
    <w:rsid w:val="000418EF"/>
    <w:rsid w:val="00044B36"/>
    <w:rsid w:val="000517D1"/>
    <w:rsid w:val="0006332A"/>
    <w:rsid w:val="0007320D"/>
    <w:rsid w:val="0007640E"/>
    <w:rsid w:val="000845DB"/>
    <w:rsid w:val="00091439"/>
    <w:rsid w:val="000A774D"/>
    <w:rsid w:val="000B4B82"/>
    <w:rsid w:val="000C3998"/>
    <w:rsid w:val="000C76D7"/>
    <w:rsid w:val="000C7E0D"/>
    <w:rsid w:val="000D0FDD"/>
    <w:rsid w:val="000D2211"/>
    <w:rsid w:val="000D35F0"/>
    <w:rsid w:val="000D4B96"/>
    <w:rsid w:val="000D76D9"/>
    <w:rsid w:val="000E6902"/>
    <w:rsid w:val="000F37AE"/>
    <w:rsid w:val="00112969"/>
    <w:rsid w:val="00113DAD"/>
    <w:rsid w:val="00120383"/>
    <w:rsid w:val="00130905"/>
    <w:rsid w:val="00144C3B"/>
    <w:rsid w:val="00144C79"/>
    <w:rsid w:val="001463A4"/>
    <w:rsid w:val="00146991"/>
    <w:rsid w:val="001557F5"/>
    <w:rsid w:val="00160D9F"/>
    <w:rsid w:val="001715A4"/>
    <w:rsid w:val="001725A4"/>
    <w:rsid w:val="001809E6"/>
    <w:rsid w:val="00180E1A"/>
    <w:rsid w:val="001858CD"/>
    <w:rsid w:val="00192338"/>
    <w:rsid w:val="001944E4"/>
    <w:rsid w:val="001A0A2E"/>
    <w:rsid w:val="001B7C0A"/>
    <w:rsid w:val="001D09EA"/>
    <w:rsid w:val="001E5A01"/>
    <w:rsid w:val="001E6727"/>
    <w:rsid w:val="00247447"/>
    <w:rsid w:val="00251700"/>
    <w:rsid w:val="00253DB3"/>
    <w:rsid w:val="002574FE"/>
    <w:rsid w:val="00262422"/>
    <w:rsid w:val="00275B23"/>
    <w:rsid w:val="00284B97"/>
    <w:rsid w:val="00293F60"/>
    <w:rsid w:val="0029528E"/>
    <w:rsid w:val="00295CDF"/>
    <w:rsid w:val="00297380"/>
    <w:rsid w:val="0029765F"/>
    <w:rsid w:val="002B1434"/>
    <w:rsid w:val="002D1225"/>
    <w:rsid w:val="002D42AB"/>
    <w:rsid w:val="002D67C2"/>
    <w:rsid w:val="002E5ACE"/>
    <w:rsid w:val="002E691F"/>
    <w:rsid w:val="002F0A08"/>
    <w:rsid w:val="00301FD4"/>
    <w:rsid w:val="0031486F"/>
    <w:rsid w:val="00315EC5"/>
    <w:rsid w:val="003218CF"/>
    <w:rsid w:val="003229BE"/>
    <w:rsid w:val="00326675"/>
    <w:rsid w:val="00330AC7"/>
    <w:rsid w:val="00340233"/>
    <w:rsid w:val="00351220"/>
    <w:rsid w:val="00364BF1"/>
    <w:rsid w:val="003760BF"/>
    <w:rsid w:val="00383F5E"/>
    <w:rsid w:val="003841E6"/>
    <w:rsid w:val="003A0995"/>
    <w:rsid w:val="003A78F3"/>
    <w:rsid w:val="003B4461"/>
    <w:rsid w:val="003C4B46"/>
    <w:rsid w:val="003D5BA0"/>
    <w:rsid w:val="003D6AE7"/>
    <w:rsid w:val="003E17F4"/>
    <w:rsid w:val="003E62A2"/>
    <w:rsid w:val="003F1007"/>
    <w:rsid w:val="003F54C4"/>
    <w:rsid w:val="003F71AF"/>
    <w:rsid w:val="003F7F84"/>
    <w:rsid w:val="0041148B"/>
    <w:rsid w:val="004117A0"/>
    <w:rsid w:val="00413960"/>
    <w:rsid w:val="00417B26"/>
    <w:rsid w:val="00420705"/>
    <w:rsid w:val="004358FA"/>
    <w:rsid w:val="00436BFD"/>
    <w:rsid w:val="0044437D"/>
    <w:rsid w:val="00444886"/>
    <w:rsid w:val="00445DDA"/>
    <w:rsid w:val="0045016E"/>
    <w:rsid w:val="0046470A"/>
    <w:rsid w:val="00471BDF"/>
    <w:rsid w:val="00483285"/>
    <w:rsid w:val="00492044"/>
    <w:rsid w:val="00496BA8"/>
    <w:rsid w:val="004A4ED0"/>
    <w:rsid w:val="004A5876"/>
    <w:rsid w:val="004B3B88"/>
    <w:rsid w:val="004C0897"/>
    <w:rsid w:val="004C20F5"/>
    <w:rsid w:val="004C2B94"/>
    <w:rsid w:val="004C5B5E"/>
    <w:rsid w:val="004C6670"/>
    <w:rsid w:val="004D4049"/>
    <w:rsid w:val="004D4089"/>
    <w:rsid w:val="004D4110"/>
    <w:rsid w:val="004D5D33"/>
    <w:rsid w:val="004E02A7"/>
    <w:rsid w:val="004E09CB"/>
    <w:rsid w:val="004E384D"/>
    <w:rsid w:val="004E3AA8"/>
    <w:rsid w:val="004E6921"/>
    <w:rsid w:val="004F75EF"/>
    <w:rsid w:val="0052754E"/>
    <w:rsid w:val="00543507"/>
    <w:rsid w:val="0054426A"/>
    <w:rsid w:val="005475B4"/>
    <w:rsid w:val="00555337"/>
    <w:rsid w:val="005568E9"/>
    <w:rsid w:val="00560CD3"/>
    <w:rsid w:val="00561C44"/>
    <w:rsid w:val="005659FB"/>
    <w:rsid w:val="00566A27"/>
    <w:rsid w:val="00572C8C"/>
    <w:rsid w:val="00586764"/>
    <w:rsid w:val="00590D41"/>
    <w:rsid w:val="005A64C3"/>
    <w:rsid w:val="005B1C47"/>
    <w:rsid w:val="005D7420"/>
    <w:rsid w:val="005E7627"/>
    <w:rsid w:val="005E7A28"/>
    <w:rsid w:val="00602669"/>
    <w:rsid w:val="00605A46"/>
    <w:rsid w:val="006066F3"/>
    <w:rsid w:val="00613BD7"/>
    <w:rsid w:val="006227AA"/>
    <w:rsid w:val="00633A33"/>
    <w:rsid w:val="006372EB"/>
    <w:rsid w:val="006404B7"/>
    <w:rsid w:val="00641A50"/>
    <w:rsid w:val="006426BB"/>
    <w:rsid w:val="00644F3D"/>
    <w:rsid w:val="006538FE"/>
    <w:rsid w:val="00654ADC"/>
    <w:rsid w:val="00666FC8"/>
    <w:rsid w:val="0067292B"/>
    <w:rsid w:val="00673E4F"/>
    <w:rsid w:val="006823A4"/>
    <w:rsid w:val="00683621"/>
    <w:rsid w:val="00687314"/>
    <w:rsid w:val="0069684F"/>
    <w:rsid w:val="0069771A"/>
    <w:rsid w:val="006A2741"/>
    <w:rsid w:val="006A765B"/>
    <w:rsid w:val="006B084F"/>
    <w:rsid w:val="006B132B"/>
    <w:rsid w:val="006B2D16"/>
    <w:rsid w:val="006C2713"/>
    <w:rsid w:val="006C5913"/>
    <w:rsid w:val="006D0E07"/>
    <w:rsid w:val="006D236D"/>
    <w:rsid w:val="006D7431"/>
    <w:rsid w:val="006E1FB2"/>
    <w:rsid w:val="006F34D3"/>
    <w:rsid w:val="006F7E8D"/>
    <w:rsid w:val="0070096F"/>
    <w:rsid w:val="00714D29"/>
    <w:rsid w:val="00717533"/>
    <w:rsid w:val="00725788"/>
    <w:rsid w:val="00727726"/>
    <w:rsid w:val="0073744D"/>
    <w:rsid w:val="007470D2"/>
    <w:rsid w:val="0074773A"/>
    <w:rsid w:val="007508B8"/>
    <w:rsid w:val="0076028A"/>
    <w:rsid w:val="00763475"/>
    <w:rsid w:val="00765793"/>
    <w:rsid w:val="00783FA1"/>
    <w:rsid w:val="007847E3"/>
    <w:rsid w:val="00785D97"/>
    <w:rsid w:val="007935DE"/>
    <w:rsid w:val="007B28EF"/>
    <w:rsid w:val="007B4BDD"/>
    <w:rsid w:val="007C4351"/>
    <w:rsid w:val="007D2380"/>
    <w:rsid w:val="007E02A2"/>
    <w:rsid w:val="007E0671"/>
    <w:rsid w:val="007E1F2E"/>
    <w:rsid w:val="007E2364"/>
    <w:rsid w:val="007F2D49"/>
    <w:rsid w:val="008062AB"/>
    <w:rsid w:val="0080632B"/>
    <w:rsid w:val="00806756"/>
    <w:rsid w:val="0081014C"/>
    <w:rsid w:val="0082059C"/>
    <w:rsid w:val="00820CB7"/>
    <w:rsid w:val="00824A36"/>
    <w:rsid w:val="00832060"/>
    <w:rsid w:val="008342F4"/>
    <w:rsid w:val="0083537F"/>
    <w:rsid w:val="00835B00"/>
    <w:rsid w:val="00841DA3"/>
    <w:rsid w:val="00843711"/>
    <w:rsid w:val="00844ABA"/>
    <w:rsid w:val="00845F8C"/>
    <w:rsid w:val="008474B0"/>
    <w:rsid w:val="008548F2"/>
    <w:rsid w:val="008570BA"/>
    <w:rsid w:val="00865309"/>
    <w:rsid w:val="0088540F"/>
    <w:rsid w:val="00886188"/>
    <w:rsid w:val="008910D4"/>
    <w:rsid w:val="008936E6"/>
    <w:rsid w:val="00894E79"/>
    <w:rsid w:val="00897867"/>
    <w:rsid w:val="008C0537"/>
    <w:rsid w:val="008C0F19"/>
    <w:rsid w:val="008C1FF9"/>
    <w:rsid w:val="008C7B65"/>
    <w:rsid w:val="008D29F8"/>
    <w:rsid w:val="008D350D"/>
    <w:rsid w:val="008F3600"/>
    <w:rsid w:val="00907DAE"/>
    <w:rsid w:val="009219F0"/>
    <w:rsid w:val="00931CDF"/>
    <w:rsid w:val="00933309"/>
    <w:rsid w:val="009340AB"/>
    <w:rsid w:val="00941B28"/>
    <w:rsid w:val="00950B21"/>
    <w:rsid w:val="00956075"/>
    <w:rsid w:val="00963EB7"/>
    <w:rsid w:val="00971DD4"/>
    <w:rsid w:val="009742D0"/>
    <w:rsid w:val="009872D2"/>
    <w:rsid w:val="009A10AC"/>
    <w:rsid w:val="009A41AD"/>
    <w:rsid w:val="009A7FA3"/>
    <w:rsid w:val="009B669B"/>
    <w:rsid w:val="009C3920"/>
    <w:rsid w:val="009C4599"/>
    <w:rsid w:val="009C4792"/>
    <w:rsid w:val="009C62EA"/>
    <w:rsid w:val="009E1DD7"/>
    <w:rsid w:val="009F14CD"/>
    <w:rsid w:val="009F490F"/>
    <w:rsid w:val="00A019CC"/>
    <w:rsid w:val="00A03D9D"/>
    <w:rsid w:val="00A06793"/>
    <w:rsid w:val="00A20986"/>
    <w:rsid w:val="00A2640C"/>
    <w:rsid w:val="00A53F5F"/>
    <w:rsid w:val="00A66668"/>
    <w:rsid w:val="00A75E11"/>
    <w:rsid w:val="00A876B1"/>
    <w:rsid w:val="00A96A00"/>
    <w:rsid w:val="00AA06E7"/>
    <w:rsid w:val="00AA6457"/>
    <w:rsid w:val="00AB2FB5"/>
    <w:rsid w:val="00AB4850"/>
    <w:rsid w:val="00AD35FC"/>
    <w:rsid w:val="00AD4C3A"/>
    <w:rsid w:val="00AD7B00"/>
    <w:rsid w:val="00AF034A"/>
    <w:rsid w:val="00AF3F81"/>
    <w:rsid w:val="00B022A7"/>
    <w:rsid w:val="00B1114E"/>
    <w:rsid w:val="00B2368B"/>
    <w:rsid w:val="00B35CB8"/>
    <w:rsid w:val="00B4614A"/>
    <w:rsid w:val="00B505E5"/>
    <w:rsid w:val="00B50AE5"/>
    <w:rsid w:val="00B53F36"/>
    <w:rsid w:val="00B60721"/>
    <w:rsid w:val="00B60A8C"/>
    <w:rsid w:val="00B63194"/>
    <w:rsid w:val="00B64D71"/>
    <w:rsid w:val="00B666CB"/>
    <w:rsid w:val="00B72919"/>
    <w:rsid w:val="00B76AC8"/>
    <w:rsid w:val="00B82624"/>
    <w:rsid w:val="00B84E06"/>
    <w:rsid w:val="00B91031"/>
    <w:rsid w:val="00B9272B"/>
    <w:rsid w:val="00B97F1A"/>
    <w:rsid w:val="00BA1909"/>
    <w:rsid w:val="00BB05AB"/>
    <w:rsid w:val="00BB6F2E"/>
    <w:rsid w:val="00BC058E"/>
    <w:rsid w:val="00BC1EFA"/>
    <w:rsid w:val="00BD20DE"/>
    <w:rsid w:val="00BD3093"/>
    <w:rsid w:val="00BD341F"/>
    <w:rsid w:val="00BD4143"/>
    <w:rsid w:val="00BD7238"/>
    <w:rsid w:val="00BF1806"/>
    <w:rsid w:val="00C03D85"/>
    <w:rsid w:val="00C05C52"/>
    <w:rsid w:val="00C10B1E"/>
    <w:rsid w:val="00C112CE"/>
    <w:rsid w:val="00C13897"/>
    <w:rsid w:val="00C25941"/>
    <w:rsid w:val="00C44503"/>
    <w:rsid w:val="00C45C02"/>
    <w:rsid w:val="00C46337"/>
    <w:rsid w:val="00C472A9"/>
    <w:rsid w:val="00C55FED"/>
    <w:rsid w:val="00C623DD"/>
    <w:rsid w:val="00C8548A"/>
    <w:rsid w:val="00C912E4"/>
    <w:rsid w:val="00C9190C"/>
    <w:rsid w:val="00CA0016"/>
    <w:rsid w:val="00CA374E"/>
    <w:rsid w:val="00CA408B"/>
    <w:rsid w:val="00CB61FA"/>
    <w:rsid w:val="00CC4227"/>
    <w:rsid w:val="00CC5737"/>
    <w:rsid w:val="00CD07D4"/>
    <w:rsid w:val="00CE39D1"/>
    <w:rsid w:val="00D047F2"/>
    <w:rsid w:val="00D04A15"/>
    <w:rsid w:val="00D05C24"/>
    <w:rsid w:val="00D24261"/>
    <w:rsid w:val="00D25276"/>
    <w:rsid w:val="00D27639"/>
    <w:rsid w:val="00D40966"/>
    <w:rsid w:val="00D40EE9"/>
    <w:rsid w:val="00D45F2E"/>
    <w:rsid w:val="00D51697"/>
    <w:rsid w:val="00D6360B"/>
    <w:rsid w:val="00D64F6A"/>
    <w:rsid w:val="00D71C04"/>
    <w:rsid w:val="00D737BF"/>
    <w:rsid w:val="00D73DA2"/>
    <w:rsid w:val="00D91FDE"/>
    <w:rsid w:val="00DA4BEC"/>
    <w:rsid w:val="00DA4DBB"/>
    <w:rsid w:val="00DA5CA2"/>
    <w:rsid w:val="00DA5DA1"/>
    <w:rsid w:val="00DA6DC2"/>
    <w:rsid w:val="00DA6E71"/>
    <w:rsid w:val="00DB2C25"/>
    <w:rsid w:val="00DC2725"/>
    <w:rsid w:val="00DC3631"/>
    <w:rsid w:val="00DD32A5"/>
    <w:rsid w:val="00DD3956"/>
    <w:rsid w:val="00E1017E"/>
    <w:rsid w:val="00E13620"/>
    <w:rsid w:val="00E14223"/>
    <w:rsid w:val="00E16EB1"/>
    <w:rsid w:val="00E2527D"/>
    <w:rsid w:val="00E27FDC"/>
    <w:rsid w:val="00E30FA5"/>
    <w:rsid w:val="00E45715"/>
    <w:rsid w:val="00E476ED"/>
    <w:rsid w:val="00E578A4"/>
    <w:rsid w:val="00E60992"/>
    <w:rsid w:val="00E632A7"/>
    <w:rsid w:val="00E66A23"/>
    <w:rsid w:val="00E71208"/>
    <w:rsid w:val="00E72925"/>
    <w:rsid w:val="00E809CD"/>
    <w:rsid w:val="00E83531"/>
    <w:rsid w:val="00EA0C30"/>
    <w:rsid w:val="00EC5BDB"/>
    <w:rsid w:val="00EE1E8B"/>
    <w:rsid w:val="00EE3533"/>
    <w:rsid w:val="00EF34A2"/>
    <w:rsid w:val="00EF36E5"/>
    <w:rsid w:val="00EF5F28"/>
    <w:rsid w:val="00F051E8"/>
    <w:rsid w:val="00F1700C"/>
    <w:rsid w:val="00F23227"/>
    <w:rsid w:val="00F26C8C"/>
    <w:rsid w:val="00F35DE4"/>
    <w:rsid w:val="00F445B5"/>
    <w:rsid w:val="00F458C4"/>
    <w:rsid w:val="00F46BD0"/>
    <w:rsid w:val="00F504A1"/>
    <w:rsid w:val="00F50809"/>
    <w:rsid w:val="00F53390"/>
    <w:rsid w:val="00F55E88"/>
    <w:rsid w:val="00F6699E"/>
    <w:rsid w:val="00F718C6"/>
    <w:rsid w:val="00F72F12"/>
    <w:rsid w:val="00F75A3B"/>
    <w:rsid w:val="00F767B8"/>
    <w:rsid w:val="00F768EE"/>
    <w:rsid w:val="00F85437"/>
    <w:rsid w:val="00FA199C"/>
    <w:rsid w:val="00FB3C19"/>
    <w:rsid w:val="00FB4C8C"/>
    <w:rsid w:val="00FC1DB6"/>
    <w:rsid w:val="00FE1CA5"/>
    <w:rsid w:val="00FE42F4"/>
    <w:rsid w:val="00FE4662"/>
    <w:rsid w:val="00FE62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D3BF13"/>
  <w15:chartTrackingRefBased/>
  <w15:docId w15:val="{1D2A1977-91FC-4D05-BCDF-7B13C7C4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F4"/>
  </w:style>
  <w:style w:type="paragraph" w:styleId="Heading1">
    <w:name w:val="heading 1"/>
    <w:basedOn w:val="Normal"/>
    <w:next w:val="Normal"/>
    <w:link w:val="Heading1Char"/>
    <w:uiPriority w:val="9"/>
    <w:qFormat/>
    <w:pPr>
      <w:spacing w:after="240" w:line="240" w:lineRule="auto"/>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1858CD"/>
    <w:pPr>
      <w:spacing w:after="240" w:line="24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fontstyle01">
    <w:name w:val="fontstyle01"/>
    <w:basedOn w:val="DefaultParagraphFont"/>
    <w:rPr>
      <w:rFonts w:ascii="Times-Roman" w:hAnsi="Times-Roman" w:hint="default"/>
      <w:b w:val="0"/>
      <w:bCs w:val="0"/>
      <w:i w:val="0"/>
      <w:iCs w:val="0"/>
      <w:color w:val="000000"/>
      <w:sz w:val="24"/>
      <w:szCs w:val="24"/>
    </w:rPr>
  </w:style>
  <w:style w:type="character" w:customStyle="1" w:styleId="fontstyle21">
    <w:name w:val="fontstyle21"/>
    <w:basedOn w:val="DefaultParagraphFont"/>
    <w:rPr>
      <w:rFonts w:ascii="Times-Bold" w:hAnsi="Times-Bold" w:hint="default"/>
      <w:b/>
      <w:bCs/>
      <w:i w:val="0"/>
      <w:iCs w:val="0"/>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Pr>
      <w:sz w:val="20"/>
      <w:szCs w:val="20"/>
    </w:rPr>
  </w:style>
  <w:style w:type="character" w:styleId="FootnoteReference">
    <w:name w:val="footnote reference"/>
    <w:aliases w:val="(NECG) Footnote Reference,Appel note de bas de p,SR FR,Style 11,Style 12,Style 124,Style 13,Style 15,Style 17,Style 18,Style 19,Style 20,Style 21,Style 28,Style 3,Style 4,Style 42,Style 7,Style 8,Style 9,fnr,fr,fr1,fr2,fr3,o,o1,o2,o3"/>
    <w:basedOn w:val="DefaultParagraphFont"/>
    <w:unhideWhenUsed/>
    <w:qFormat/>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TOC1">
    <w:name w:val="toc 1"/>
    <w:basedOn w:val="Normal"/>
    <w:next w:val="Normal"/>
    <w:autoRedefine/>
    <w:uiPriority w:val="39"/>
    <w:unhideWhenUsed/>
    <w:rsid w:val="00832060"/>
    <w:pPr>
      <w:tabs>
        <w:tab w:val="right" w:leader="dot" w:pos="935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32060"/>
    <w:pPr>
      <w:tabs>
        <w:tab w:val="left" w:pos="1440"/>
        <w:tab w:val="right" w:leader="dot" w:pos="9350"/>
      </w:tabs>
      <w:spacing w:after="240" w:line="240" w:lineRule="auto"/>
    </w:pPr>
    <w:rPr>
      <w:rFonts w:ascii="Times New Roman" w:hAnsi="Times New Roman"/>
      <w:sz w:val="24"/>
    </w:rPr>
  </w:style>
  <w:style w:type="paragraph" w:styleId="TOC3">
    <w:name w:val="toc 3"/>
    <w:basedOn w:val="Normal"/>
    <w:next w:val="Normal"/>
    <w:autoRedefine/>
    <w:uiPriority w:val="39"/>
    <w:unhideWhenUsed/>
    <w:pPr>
      <w:tabs>
        <w:tab w:val="decimal" w:leader="dot" w:pos="9360"/>
      </w:tabs>
      <w:spacing w:after="240" w:line="240" w:lineRule="auto"/>
      <w:ind w:left="2160" w:hanging="720"/>
    </w:pPr>
    <w:rPr>
      <w:rFonts w:ascii="Times New Roman" w:hAnsi="Times New Roman"/>
      <w:sz w:val="24"/>
    </w:rPr>
  </w:style>
  <w:style w:type="character" w:customStyle="1" w:styleId="Heading1Char">
    <w:name w:val="Heading 1 Char"/>
    <w:basedOn w:val="DefaultParagraphFont"/>
    <w:link w:val="Heading1"/>
    <w:uiPriority w:val="9"/>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1858CD"/>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8936E6"/>
    <w:pPr>
      <w:ind w:left="720"/>
      <w:contextualSpacing/>
    </w:pPr>
  </w:style>
  <w:style w:type="character" w:customStyle="1" w:styleId="title-text">
    <w:name w:val="title-text"/>
    <w:basedOn w:val="DefaultParagraphFont"/>
    <w:rsid w:val="009C3920"/>
  </w:style>
  <w:style w:type="character" w:customStyle="1" w:styleId="Date1">
    <w:name w:val="Date1"/>
    <w:basedOn w:val="DefaultParagraphFont"/>
    <w:rsid w:val="009C3920"/>
  </w:style>
  <w:style w:type="character" w:customStyle="1" w:styleId="active-reporter">
    <w:name w:val="active-reporter"/>
    <w:basedOn w:val="DefaultParagraphFont"/>
    <w:rsid w:val="009C3920"/>
  </w:style>
  <w:style w:type="character" w:customStyle="1" w:styleId="ssleftalign">
    <w:name w:val="ss_leftalign"/>
    <w:basedOn w:val="DefaultParagraphFont"/>
    <w:rsid w:val="001463A4"/>
  </w:style>
  <w:style w:type="paragraph" w:styleId="NormalWeb">
    <w:name w:val="Normal (Web)"/>
    <w:basedOn w:val="Normal"/>
    <w:uiPriority w:val="99"/>
    <w:semiHidden/>
    <w:unhideWhenUsed/>
    <w:rsid w:val="00146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1463A4"/>
  </w:style>
  <w:style w:type="character" w:customStyle="1" w:styleId="ssit">
    <w:name w:val="ss_it"/>
    <w:basedOn w:val="DefaultParagraphFont"/>
    <w:rsid w:val="001463A4"/>
  </w:style>
  <w:style w:type="character" w:customStyle="1" w:styleId="ssrfcpassagedeactivated">
    <w:name w:val="ss_rfcpassage_deactivated"/>
    <w:basedOn w:val="DefaultParagraphFont"/>
    <w:rsid w:val="001463A4"/>
  </w:style>
  <w:style w:type="character" w:customStyle="1" w:styleId="sssh">
    <w:name w:val="ss_sh"/>
    <w:basedOn w:val="DefaultParagraphFont"/>
    <w:rsid w:val="001463A4"/>
  </w:style>
  <w:style w:type="character" w:customStyle="1" w:styleId="ssbf">
    <w:name w:val="ss_bf"/>
    <w:basedOn w:val="DefaultParagraphFont"/>
    <w:rsid w:val="001463A4"/>
  </w:style>
  <w:style w:type="paragraph" w:customStyle="1" w:styleId="uccflyoutoptions">
    <w:name w:val="uccflyoutoptions"/>
    <w:basedOn w:val="Normal"/>
    <w:rsid w:val="001463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C4227"/>
    <w:pPr>
      <w:widowControl w:val="0"/>
      <w:spacing w:after="0" w:line="240" w:lineRule="auto"/>
      <w:ind w:left="10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C4227"/>
    <w:rPr>
      <w:rFonts w:ascii="Times New Roman" w:eastAsia="Times New Roman" w:hAnsi="Times New Roman"/>
      <w:sz w:val="23"/>
      <w:szCs w:val="23"/>
    </w:rPr>
  </w:style>
  <w:style w:type="character" w:customStyle="1" w:styleId="ssnonpaginatedrptr">
    <w:name w:val="ss_nonpaginatedrptr"/>
    <w:basedOn w:val="DefaultParagraphFont"/>
    <w:rsid w:val="00F75A3B"/>
  </w:style>
  <w:style w:type="paragraph" w:styleId="BodyTextIndent3">
    <w:name w:val="Body Text Indent 3"/>
    <w:basedOn w:val="Normal"/>
    <w:link w:val="BodyTextIndent3Char"/>
    <w:uiPriority w:val="99"/>
    <w:unhideWhenUsed/>
    <w:rsid w:val="00D40EE9"/>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D40E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yperlink" Target="mailto:thomas.lindgren@ohioAGO.gov" TargetMode="External" /><Relationship Id="rId17" Type="http://schemas.openxmlformats.org/officeDocument/2006/relationships/hyperlink" Target="mailto:bojko@carpenterlipps.com" TargetMode="External" /><Relationship Id="rId18" Type="http://schemas.openxmlformats.org/officeDocument/2006/relationships/hyperlink" Target="mailto:paul@carpenterlipps.com"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matthew.sandor@puco.ohio.gov" TargetMode="External" /><Relationship Id="rId23" Type="http://schemas.openxmlformats.org/officeDocument/2006/relationships/hyperlink" Target="mailto:nicholas.walstra@puco.ohio.gov" TargetMode="External" /><Relationship Id="rId24" Type="http://schemas.openxmlformats.org/officeDocument/2006/relationships/hyperlink" Target="mailto:stnourse@aep.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rdove@keglerbrown.com" TargetMode="External" /><Relationship Id="rId28" Type="http://schemas.openxmlformats.org/officeDocument/2006/relationships/footer" Target="footer6.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john.finnigan@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us.lexis.com/document/teaserdocument/?pdmfid=1530671&amp;crid=5958d610-18b4-48b1-bf51-95dc67f93177&amp;pddocfullpath=%2Fshared%2Fdocument%2Fcases%2Furn%3AcontentItem%3A5JHP-T7P1-F04J-C2S9-00000-00&amp;pddocid=urn%3AcontentItem%3A5JHP-T7P1-F04J-C2S9-00000-00&amp;pdcontentcomponentid=9249&amp;pdteaserkey=h1&amp;pdislpamode=false&amp;ecomp=n74k&amp;earg=sr2&amp;prid=0e6468bb-ea2c-47e3-862a-106e7afbb7a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5CE0-C565-4A16-92AD-70A0F6BA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2023-10-06T20:16:09Z</dcterms:created>
  <dcterms:modified xsi:type="dcterms:W3CDTF">2023-10-06T20:16:09Z</dcterms:modified>
</cp:coreProperties>
</file>