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D3" w:rsidRDefault="000B22D3">
      <w:pPr>
        <w:rPr>
          <w:rFonts w:ascii="Univers Com 55" w:hAnsi="Univers Com 55"/>
          <w:sz w:val="28"/>
          <w:szCs w:val="28"/>
        </w:rPr>
      </w:pPr>
    </w:p>
    <w:p w:rsidR="000B22D3" w:rsidRDefault="000B22D3">
      <w:pPr>
        <w:rPr>
          <w:rFonts w:ascii="Univers Com 55" w:hAnsi="Univers Com 55"/>
          <w:sz w:val="28"/>
          <w:szCs w:val="28"/>
        </w:rPr>
      </w:pPr>
    </w:p>
    <w:p w:rsidR="000B22D3" w:rsidRDefault="000B22D3">
      <w:pPr>
        <w:rPr>
          <w:rFonts w:ascii="Univers Com 55" w:hAnsi="Univers Com 55"/>
          <w:sz w:val="28"/>
          <w:szCs w:val="28"/>
        </w:rPr>
      </w:pPr>
    </w:p>
    <w:p w:rsidR="000B22D3" w:rsidRDefault="000B22D3">
      <w:pPr>
        <w:rPr>
          <w:rFonts w:ascii="Univers Com 55" w:hAnsi="Univers Com 55"/>
          <w:sz w:val="28"/>
          <w:szCs w:val="28"/>
        </w:rPr>
      </w:pPr>
    </w:p>
    <w:p w:rsidR="000B22D3" w:rsidRDefault="000B22D3">
      <w:pPr>
        <w:rPr>
          <w:rFonts w:ascii="Univers Com 55" w:hAnsi="Univers Com 55"/>
          <w:sz w:val="28"/>
          <w:szCs w:val="28"/>
        </w:rPr>
      </w:pPr>
    </w:p>
    <w:p w:rsidR="000B22D3" w:rsidRDefault="000B22D3">
      <w:pPr>
        <w:rPr>
          <w:rFonts w:ascii="Univers Com 55" w:hAnsi="Univers Com 55"/>
          <w:sz w:val="28"/>
          <w:szCs w:val="28"/>
        </w:rPr>
      </w:pPr>
    </w:p>
    <w:p w:rsidR="000B22D3" w:rsidRDefault="003D63D7">
      <w:pPr>
        <w:rPr>
          <w:rFonts w:ascii="Univers Com 55" w:hAnsi="Univers Com 55"/>
          <w:sz w:val="28"/>
          <w:szCs w:val="28"/>
        </w:rPr>
      </w:pPr>
      <w:r>
        <w:rPr>
          <w:noProof/>
        </w:rPr>
        <mc:AlternateContent>
          <mc:Choice Requires="wps">
            <w:drawing>
              <wp:anchor distT="0" distB="0" distL="114300" distR="114300" simplePos="0" relativeHeight="251656704" behindDoc="0" locked="0" layoutInCell="1" allowOverlap="1" wp14:anchorId="65592473" wp14:editId="27D8378E">
                <wp:simplePos x="0" y="0"/>
                <wp:positionH relativeFrom="column">
                  <wp:posOffset>-914400</wp:posOffset>
                </wp:positionH>
                <wp:positionV relativeFrom="paragraph">
                  <wp:posOffset>167640</wp:posOffset>
                </wp:positionV>
                <wp:extent cx="7759700" cy="302450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302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2D3" w:rsidRPr="002A3866" w:rsidRDefault="000B22D3" w:rsidP="00EC0084">
                            <w:pPr>
                              <w:jc w:val="center"/>
                              <w:rPr>
                                <w:rFonts w:ascii="Calibri" w:hAnsi="Calibri"/>
                                <w:b/>
                                <w:sz w:val="36"/>
                                <w:szCs w:val="36"/>
                              </w:rPr>
                            </w:pPr>
                            <w:r w:rsidRPr="002A3866">
                              <w:rPr>
                                <w:rFonts w:ascii="Calibri" w:hAnsi="Calibri"/>
                                <w:b/>
                                <w:sz w:val="36"/>
                                <w:szCs w:val="36"/>
                              </w:rPr>
                              <w:t xml:space="preserve">A </w:t>
                            </w:r>
                            <w:r w:rsidR="009C7DA6">
                              <w:rPr>
                                <w:rFonts w:ascii="Calibri" w:hAnsi="Calibri"/>
                                <w:b/>
                                <w:sz w:val="36"/>
                                <w:szCs w:val="36"/>
                              </w:rPr>
                              <w:t>R</w:t>
                            </w:r>
                            <w:r w:rsidRPr="002A3866">
                              <w:rPr>
                                <w:rFonts w:ascii="Calibri" w:hAnsi="Calibri"/>
                                <w:b/>
                                <w:sz w:val="36"/>
                                <w:szCs w:val="36"/>
                              </w:rPr>
                              <w:t>eport by the Staff of the</w:t>
                            </w:r>
                          </w:p>
                          <w:p w:rsidR="000B22D3" w:rsidRPr="002A3866" w:rsidRDefault="000B22D3" w:rsidP="00EC0084">
                            <w:pPr>
                              <w:jc w:val="center"/>
                              <w:rPr>
                                <w:rFonts w:ascii="Calibri" w:hAnsi="Calibri"/>
                                <w:b/>
                                <w:sz w:val="36"/>
                                <w:szCs w:val="36"/>
                              </w:rPr>
                            </w:pPr>
                            <w:r w:rsidRPr="002A3866">
                              <w:rPr>
                                <w:rFonts w:ascii="Calibri" w:hAnsi="Calibri"/>
                                <w:b/>
                                <w:sz w:val="36"/>
                                <w:szCs w:val="36"/>
                              </w:rPr>
                              <w:t>Public Utilities Commission of Ohio</w:t>
                            </w:r>
                          </w:p>
                          <w:p w:rsidR="000B22D3" w:rsidRPr="003A6424" w:rsidRDefault="000B22D3" w:rsidP="00EC0084">
                            <w:pPr>
                              <w:jc w:val="center"/>
                              <w:rPr>
                                <w:rFonts w:ascii="Calibri" w:hAnsi="Calibri"/>
                                <w:sz w:val="36"/>
                                <w:szCs w:val="36"/>
                              </w:rPr>
                            </w:pPr>
                          </w:p>
                          <w:p w:rsidR="0000739D" w:rsidRDefault="00463798" w:rsidP="00EC0084">
                            <w:pPr>
                              <w:jc w:val="center"/>
                              <w:rPr>
                                <w:rFonts w:ascii="Calibri" w:hAnsi="Calibri"/>
                                <w:sz w:val="36"/>
                                <w:szCs w:val="36"/>
                              </w:rPr>
                            </w:pPr>
                            <w:r w:rsidRPr="00463798">
                              <w:rPr>
                                <w:rFonts w:ascii="Calibri" w:hAnsi="Calibri"/>
                                <w:sz w:val="36"/>
                                <w:szCs w:val="36"/>
                              </w:rPr>
                              <w:t xml:space="preserve">Ohio Edison Company, The Cleveland Electric Illuminating Company, and </w:t>
                            </w:r>
                          </w:p>
                          <w:p w:rsidR="00463798" w:rsidRDefault="00463798" w:rsidP="00EC0084">
                            <w:pPr>
                              <w:jc w:val="center"/>
                              <w:rPr>
                                <w:rFonts w:ascii="Calibri" w:hAnsi="Calibri"/>
                                <w:sz w:val="36"/>
                                <w:szCs w:val="36"/>
                              </w:rPr>
                            </w:pPr>
                            <w:r w:rsidRPr="00463798">
                              <w:rPr>
                                <w:rFonts w:ascii="Calibri" w:hAnsi="Calibri"/>
                                <w:sz w:val="36"/>
                                <w:szCs w:val="36"/>
                              </w:rPr>
                              <w:t>The Toledo Edison Company</w:t>
                            </w:r>
                          </w:p>
                          <w:p w:rsidR="0074540E" w:rsidRDefault="001D3F36" w:rsidP="00EC0084">
                            <w:pPr>
                              <w:jc w:val="center"/>
                              <w:rPr>
                                <w:rFonts w:ascii="Calibri" w:hAnsi="Calibri"/>
                                <w:sz w:val="36"/>
                                <w:szCs w:val="36"/>
                              </w:rPr>
                            </w:pPr>
                            <w:r>
                              <w:rPr>
                                <w:rFonts w:ascii="Calibri" w:hAnsi="Calibri"/>
                                <w:sz w:val="36"/>
                                <w:szCs w:val="36"/>
                              </w:rPr>
                              <w:br/>
                              <w:t>Case Number</w:t>
                            </w:r>
                            <w:r w:rsidR="0074540E">
                              <w:rPr>
                                <w:rFonts w:ascii="Calibri" w:hAnsi="Calibri"/>
                                <w:sz w:val="36"/>
                                <w:szCs w:val="36"/>
                              </w:rPr>
                              <w:t>s</w:t>
                            </w:r>
                            <w:r>
                              <w:rPr>
                                <w:rFonts w:ascii="Calibri" w:hAnsi="Calibri"/>
                                <w:sz w:val="36"/>
                                <w:szCs w:val="36"/>
                              </w:rPr>
                              <w:t xml:space="preserve"> </w:t>
                            </w:r>
                            <w:r w:rsidR="00E03E86">
                              <w:rPr>
                                <w:rFonts w:ascii="Calibri" w:hAnsi="Calibri"/>
                                <w:sz w:val="36"/>
                                <w:szCs w:val="36"/>
                              </w:rPr>
                              <w:t>09-1820-EL-</w:t>
                            </w:r>
                            <w:r w:rsidR="0074540E">
                              <w:rPr>
                                <w:rFonts w:ascii="Calibri" w:hAnsi="Calibri"/>
                                <w:sz w:val="36"/>
                                <w:szCs w:val="36"/>
                              </w:rPr>
                              <w:t>ATA, 09-1821</w:t>
                            </w:r>
                            <w:r w:rsidR="0074540E" w:rsidRPr="0074540E">
                              <w:rPr>
                                <w:rFonts w:ascii="Calibri" w:hAnsi="Calibri"/>
                                <w:sz w:val="36"/>
                                <w:szCs w:val="36"/>
                              </w:rPr>
                              <w:t>-EL-</w:t>
                            </w:r>
                            <w:r w:rsidR="0074540E">
                              <w:rPr>
                                <w:rFonts w:ascii="Calibri" w:hAnsi="Calibri"/>
                                <w:sz w:val="36"/>
                                <w:szCs w:val="36"/>
                              </w:rPr>
                              <w:t xml:space="preserve">GRD, </w:t>
                            </w:r>
                          </w:p>
                          <w:p w:rsidR="000B22D3" w:rsidRPr="003A6424" w:rsidRDefault="00463798" w:rsidP="00EC0084">
                            <w:pPr>
                              <w:jc w:val="center"/>
                              <w:rPr>
                                <w:rFonts w:ascii="Calibri" w:hAnsi="Calibri"/>
                                <w:sz w:val="36"/>
                                <w:szCs w:val="36"/>
                              </w:rPr>
                            </w:pPr>
                            <w:r>
                              <w:rPr>
                                <w:rFonts w:ascii="Calibri" w:hAnsi="Calibri"/>
                                <w:sz w:val="36"/>
                                <w:szCs w:val="36"/>
                              </w:rPr>
                              <w:t>09-1822-EL-EEC</w:t>
                            </w:r>
                            <w:r w:rsidR="0074540E">
                              <w:rPr>
                                <w:rFonts w:ascii="Calibri" w:hAnsi="Calibri"/>
                                <w:sz w:val="36"/>
                                <w:szCs w:val="36"/>
                              </w:rPr>
                              <w:t xml:space="preserve"> and 09-1823-EL-AAM </w:t>
                            </w:r>
                            <w:r w:rsidR="0074540E" w:rsidRPr="0074540E" w:rsidDel="0074540E">
                              <w:rPr>
                                <w:rFonts w:ascii="Calibri" w:hAnsi="Calibri"/>
                                <w:sz w:val="36"/>
                                <w:szCs w:val="36"/>
                              </w:rPr>
                              <w:t xml:space="preserve"> </w:t>
                            </w:r>
                          </w:p>
                          <w:p w:rsidR="000B22D3" w:rsidRPr="003A6424" w:rsidRDefault="000B22D3" w:rsidP="00EC0084">
                            <w:pPr>
                              <w:jc w:val="center"/>
                              <w:rPr>
                                <w:rFonts w:ascii="Calibri" w:hAnsi="Calibri"/>
                                <w:sz w:val="36"/>
                                <w:szCs w:val="36"/>
                              </w:rPr>
                            </w:pPr>
                          </w:p>
                          <w:p w:rsidR="000B22D3" w:rsidRPr="003A6424" w:rsidRDefault="00E03E86" w:rsidP="00EC0084">
                            <w:pPr>
                              <w:jc w:val="center"/>
                              <w:rPr>
                                <w:rFonts w:ascii="Calibri" w:hAnsi="Calibri"/>
                                <w:sz w:val="36"/>
                                <w:szCs w:val="36"/>
                              </w:rPr>
                            </w:pPr>
                            <w:r>
                              <w:rPr>
                                <w:rFonts w:ascii="Calibri" w:hAnsi="Calibri"/>
                                <w:sz w:val="36"/>
                                <w:szCs w:val="36"/>
                              </w:rPr>
                              <w:t>February</w:t>
                            </w:r>
                            <w:r w:rsidR="009A3A1D">
                              <w:rPr>
                                <w:rFonts w:ascii="Calibri" w:hAnsi="Calibri"/>
                                <w:sz w:val="36"/>
                                <w:szCs w:val="36"/>
                              </w:rPr>
                              <w:t xml:space="preserve"> 8</w:t>
                            </w:r>
                            <w:r>
                              <w:rPr>
                                <w:rFonts w:ascii="Calibri" w:hAnsi="Calibri"/>
                                <w:sz w:val="36"/>
                                <w:szCs w:val="36"/>
                              </w:rPr>
                              <w:t>,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in;margin-top:13.2pt;width:611pt;height:2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" stroked="f">
                <v:textbox>
                  <w:txbxContent>
                    <w:p w:rsidR="000B22D3" w:rsidRPr="002A3866" w:rsidRDefault="000B22D3" w:rsidP="00EC0084">
                      <w:pPr>
                        <w:jc w:val="center"/>
                        <w:rPr>
                          <w:rFonts w:ascii="Calibri" w:hAnsi="Calibri"/>
                          <w:b/>
                          <w:sz w:val="36"/>
                          <w:szCs w:val="36"/>
                        </w:rPr>
                      </w:pPr>
                      <w:r w:rsidRPr="002A3866">
                        <w:rPr>
                          <w:rFonts w:ascii="Calibri" w:hAnsi="Calibri"/>
                          <w:b/>
                          <w:sz w:val="36"/>
                          <w:szCs w:val="36"/>
                        </w:rPr>
                        <w:t xml:space="preserve">A </w:t>
                      </w:r>
                      <w:r w:rsidR="009C7DA6">
                        <w:rPr>
                          <w:rFonts w:ascii="Calibri" w:hAnsi="Calibri"/>
                          <w:b/>
                          <w:sz w:val="36"/>
                          <w:szCs w:val="36"/>
                        </w:rPr>
                        <w:t>R</w:t>
                      </w:r>
                      <w:r w:rsidRPr="002A3866">
                        <w:rPr>
                          <w:rFonts w:ascii="Calibri" w:hAnsi="Calibri"/>
                          <w:b/>
                          <w:sz w:val="36"/>
                          <w:szCs w:val="36"/>
                        </w:rPr>
                        <w:t>eport by the Staff of the</w:t>
                      </w:r>
                    </w:p>
                    <w:p w:rsidR="000B22D3" w:rsidRPr="002A3866" w:rsidRDefault="000B22D3" w:rsidP="00EC0084">
                      <w:pPr>
                        <w:jc w:val="center"/>
                        <w:rPr>
                          <w:rFonts w:ascii="Calibri" w:hAnsi="Calibri"/>
                          <w:b/>
                          <w:sz w:val="36"/>
                          <w:szCs w:val="36"/>
                        </w:rPr>
                      </w:pPr>
                      <w:r w:rsidRPr="002A3866">
                        <w:rPr>
                          <w:rFonts w:ascii="Calibri" w:hAnsi="Calibri"/>
                          <w:b/>
                          <w:sz w:val="36"/>
                          <w:szCs w:val="36"/>
                        </w:rPr>
                        <w:t>Public Utilities Commission of Ohio</w:t>
                      </w:r>
                    </w:p>
                    <w:p w:rsidR="000B22D3" w:rsidRPr="003A6424" w:rsidRDefault="000B22D3" w:rsidP="00EC0084">
                      <w:pPr>
                        <w:jc w:val="center"/>
                        <w:rPr>
                          <w:rFonts w:ascii="Calibri" w:hAnsi="Calibri"/>
                          <w:sz w:val="36"/>
                          <w:szCs w:val="36"/>
                        </w:rPr>
                      </w:pPr>
                    </w:p>
                    <w:p w:rsidR="0000739D" w:rsidRDefault="00463798" w:rsidP="00EC0084">
                      <w:pPr>
                        <w:jc w:val="center"/>
                        <w:rPr>
                          <w:rFonts w:ascii="Calibri" w:hAnsi="Calibri"/>
                          <w:sz w:val="36"/>
                          <w:szCs w:val="36"/>
                        </w:rPr>
                      </w:pPr>
                      <w:r w:rsidRPr="00463798">
                        <w:rPr>
                          <w:rFonts w:ascii="Calibri" w:hAnsi="Calibri"/>
                          <w:sz w:val="36"/>
                          <w:szCs w:val="36"/>
                        </w:rPr>
                        <w:t xml:space="preserve">Ohio Edison Company, The Cleveland Electric Illuminating Company, and </w:t>
                      </w:r>
                    </w:p>
                    <w:p w:rsidR="00463798" w:rsidRDefault="00463798" w:rsidP="00EC0084">
                      <w:pPr>
                        <w:jc w:val="center"/>
                        <w:rPr>
                          <w:rFonts w:ascii="Calibri" w:hAnsi="Calibri"/>
                          <w:sz w:val="36"/>
                          <w:szCs w:val="36"/>
                        </w:rPr>
                      </w:pPr>
                      <w:r w:rsidRPr="00463798">
                        <w:rPr>
                          <w:rFonts w:ascii="Calibri" w:hAnsi="Calibri"/>
                          <w:sz w:val="36"/>
                          <w:szCs w:val="36"/>
                        </w:rPr>
                        <w:t>The Toledo Edison Company</w:t>
                      </w:r>
                    </w:p>
                    <w:p w:rsidR="0074540E" w:rsidRDefault="001D3F36" w:rsidP="00EC0084">
                      <w:pPr>
                        <w:jc w:val="center"/>
                        <w:rPr>
                          <w:rFonts w:ascii="Calibri" w:hAnsi="Calibri"/>
                          <w:sz w:val="36"/>
                          <w:szCs w:val="36"/>
                        </w:rPr>
                      </w:pPr>
                      <w:r>
                        <w:rPr>
                          <w:rFonts w:ascii="Calibri" w:hAnsi="Calibri"/>
                          <w:sz w:val="36"/>
                          <w:szCs w:val="36"/>
                        </w:rPr>
                        <w:br/>
                        <w:t>Case Number</w:t>
                      </w:r>
                      <w:r w:rsidR="0074540E">
                        <w:rPr>
                          <w:rFonts w:ascii="Calibri" w:hAnsi="Calibri"/>
                          <w:sz w:val="36"/>
                          <w:szCs w:val="36"/>
                        </w:rPr>
                        <w:t>s</w:t>
                      </w:r>
                      <w:r>
                        <w:rPr>
                          <w:rFonts w:ascii="Calibri" w:hAnsi="Calibri"/>
                          <w:sz w:val="36"/>
                          <w:szCs w:val="36"/>
                        </w:rPr>
                        <w:t xml:space="preserve"> </w:t>
                      </w:r>
                      <w:r w:rsidR="00E03E86">
                        <w:rPr>
                          <w:rFonts w:ascii="Calibri" w:hAnsi="Calibri"/>
                          <w:sz w:val="36"/>
                          <w:szCs w:val="36"/>
                        </w:rPr>
                        <w:t>09-1820-EL-</w:t>
                      </w:r>
                      <w:r w:rsidR="0074540E">
                        <w:rPr>
                          <w:rFonts w:ascii="Calibri" w:hAnsi="Calibri"/>
                          <w:sz w:val="36"/>
                          <w:szCs w:val="36"/>
                        </w:rPr>
                        <w:t>ATA, 09-1821</w:t>
                      </w:r>
                      <w:r w:rsidR="0074540E" w:rsidRPr="0074540E">
                        <w:rPr>
                          <w:rFonts w:ascii="Calibri" w:hAnsi="Calibri"/>
                          <w:sz w:val="36"/>
                          <w:szCs w:val="36"/>
                        </w:rPr>
                        <w:t>-EL-</w:t>
                      </w:r>
                      <w:r w:rsidR="0074540E">
                        <w:rPr>
                          <w:rFonts w:ascii="Calibri" w:hAnsi="Calibri"/>
                          <w:sz w:val="36"/>
                          <w:szCs w:val="36"/>
                        </w:rPr>
                        <w:t xml:space="preserve">GRD, </w:t>
                      </w:r>
                    </w:p>
                    <w:p w:rsidR="000B22D3" w:rsidRPr="003A6424" w:rsidRDefault="00463798" w:rsidP="00EC0084">
                      <w:pPr>
                        <w:jc w:val="center"/>
                        <w:rPr>
                          <w:rFonts w:ascii="Calibri" w:hAnsi="Calibri"/>
                          <w:sz w:val="36"/>
                          <w:szCs w:val="36"/>
                        </w:rPr>
                      </w:pPr>
                      <w:r>
                        <w:rPr>
                          <w:rFonts w:ascii="Calibri" w:hAnsi="Calibri"/>
                          <w:sz w:val="36"/>
                          <w:szCs w:val="36"/>
                        </w:rPr>
                        <w:t>09-1822-EL-EEC</w:t>
                      </w:r>
                      <w:r w:rsidR="0074540E">
                        <w:rPr>
                          <w:rFonts w:ascii="Calibri" w:hAnsi="Calibri"/>
                          <w:sz w:val="36"/>
                          <w:szCs w:val="36"/>
                        </w:rPr>
                        <w:t xml:space="preserve"> and 09-1823-EL-AAM </w:t>
                      </w:r>
                      <w:r w:rsidR="0074540E" w:rsidRPr="0074540E" w:rsidDel="0074540E">
                        <w:rPr>
                          <w:rFonts w:ascii="Calibri" w:hAnsi="Calibri"/>
                          <w:sz w:val="36"/>
                          <w:szCs w:val="36"/>
                        </w:rPr>
                        <w:t xml:space="preserve"> </w:t>
                      </w:r>
                    </w:p>
                    <w:p w:rsidR="000B22D3" w:rsidRPr="003A6424" w:rsidRDefault="000B22D3" w:rsidP="00EC0084">
                      <w:pPr>
                        <w:jc w:val="center"/>
                        <w:rPr>
                          <w:rFonts w:ascii="Calibri" w:hAnsi="Calibri"/>
                          <w:sz w:val="36"/>
                          <w:szCs w:val="36"/>
                        </w:rPr>
                      </w:pPr>
                    </w:p>
                    <w:p w:rsidR="000B22D3" w:rsidRPr="003A6424" w:rsidRDefault="00E03E86" w:rsidP="00EC0084">
                      <w:pPr>
                        <w:jc w:val="center"/>
                        <w:rPr>
                          <w:rFonts w:ascii="Calibri" w:hAnsi="Calibri"/>
                          <w:sz w:val="36"/>
                          <w:szCs w:val="36"/>
                        </w:rPr>
                      </w:pPr>
                      <w:r>
                        <w:rPr>
                          <w:rFonts w:ascii="Calibri" w:hAnsi="Calibri"/>
                          <w:sz w:val="36"/>
                          <w:szCs w:val="36"/>
                        </w:rPr>
                        <w:t>February</w:t>
                      </w:r>
                      <w:r w:rsidR="009A3A1D">
                        <w:rPr>
                          <w:rFonts w:ascii="Calibri" w:hAnsi="Calibri"/>
                          <w:sz w:val="36"/>
                          <w:szCs w:val="36"/>
                        </w:rPr>
                        <w:t xml:space="preserve"> 8</w:t>
                      </w:r>
                      <w:r>
                        <w:rPr>
                          <w:rFonts w:ascii="Calibri" w:hAnsi="Calibri"/>
                          <w:sz w:val="36"/>
                          <w:szCs w:val="36"/>
                        </w:rPr>
                        <w:t>, 2013</w:t>
                      </w:r>
                    </w:p>
                  </w:txbxContent>
                </v:textbox>
              </v:shape>
            </w:pict>
          </mc:Fallback>
        </mc:AlternateContent>
      </w:r>
    </w:p>
    <w:p w:rsidR="000B22D3" w:rsidRDefault="003D63D7">
      <w:r>
        <w:rPr>
          <w:noProof/>
        </w:rPr>
        <mc:AlternateContent>
          <mc:Choice Requires="wpc">
            <w:drawing>
              <wp:inline distT="0" distB="0" distL="0" distR="0" wp14:anchorId="2CD80C04" wp14:editId="7751CF97">
                <wp:extent cx="5143500" cy="2514600"/>
                <wp:effectExtent l="0" t="0" r="0" b="0"/>
                <wp:docPr id="2"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8" o:spid="_x0000_s1026" editas="canvas" style="width:405pt;height:198pt;mso-position-horizontal-relative:char;mso-position-vertical-relative:line" coordsize="5143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AsQAP4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25146;visibility:visible;mso-wrap-style:square">
                  <v:fill o:detectmouseclick="t"/>
                  <v:path o:connecttype="none"/>
                </v:shape>
                <w10:anchorlock/>
              </v:group>
            </w:pict>
          </mc:Fallback>
        </mc:AlternateContent>
      </w:r>
    </w:p>
    <w:p w:rsidR="000B22D3" w:rsidRDefault="000B22D3" w:rsidP="000B22D3"/>
    <w:p w:rsidR="00A63719" w:rsidRDefault="000B22D3" w:rsidP="000B22D3">
      <w:pPr>
        <w:tabs>
          <w:tab w:val="left" w:pos="2235"/>
        </w:tabs>
      </w:pPr>
      <w:r>
        <w:tab/>
      </w:r>
    </w:p>
    <w:p w:rsidR="000B22D3" w:rsidRDefault="000B22D3" w:rsidP="000B22D3">
      <w:pPr>
        <w:tabs>
          <w:tab w:val="left" w:pos="2235"/>
        </w:tabs>
      </w:pP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0B22D3" w:rsidRDefault="00EC0084" w:rsidP="000B22D3">
      <w:pPr>
        <w:tabs>
          <w:tab w:val="left" w:pos="720"/>
        </w:tabs>
      </w:pPr>
      <w:r>
        <w:softHyphen/>
      </w:r>
      <w:r>
        <w:softHyphen/>
      </w:r>
      <w:r>
        <w:softHyphen/>
      </w: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38524B" w:rsidRDefault="0038524B" w:rsidP="000B22D3">
      <w:pPr>
        <w:tabs>
          <w:tab w:val="left" w:pos="720"/>
        </w:tabs>
      </w:pPr>
    </w:p>
    <w:p w:rsidR="000B22D3" w:rsidRDefault="000B22D3" w:rsidP="000B22D3">
      <w:pPr>
        <w:tabs>
          <w:tab w:val="left" w:pos="720"/>
        </w:tabs>
      </w:pPr>
    </w:p>
    <w:p w:rsidR="000B22D3" w:rsidRDefault="000B22D3" w:rsidP="000B22D3">
      <w:pPr>
        <w:tabs>
          <w:tab w:val="left" w:pos="720"/>
        </w:tabs>
      </w:pPr>
    </w:p>
    <w:p w:rsidR="009969D8" w:rsidRDefault="009969D8" w:rsidP="000B22D3">
      <w:pPr>
        <w:tabs>
          <w:tab w:val="left" w:pos="720"/>
        </w:tabs>
        <w:sectPr w:rsidR="009969D8" w:rsidSect="000B22D3">
          <w:footerReference w:type="default" r:id="rId9"/>
          <w:footerReference w:type="first" r:id="rId10"/>
          <w:pgSz w:w="12240" w:h="15840" w:code="1"/>
          <w:pgMar w:top="1440" w:right="1440" w:bottom="1440" w:left="1440" w:header="720" w:footer="720" w:gutter="0"/>
          <w:cols w:space="720"/>
          <w:titlePg/>
          <w:docGrid w:linePitch="360"/>
        </w:sectPr>
      </w:pPr>
    </w:p>
    <w:p w:rsidR="009969D8" w:rsidRDefault="009969D8" w:rsidP="009969D8">
      <w:r>
        <w:lastRenderedPageBreak/>
        <w:t xml:space="preserve">This report is </w:t>
      </w:r>
      <w:r w:rsidR="009457F7">
        <w:t>S</w:t>
      </w:r>
      <w:r>
        <w:t>taff’s review of FirstEnergy’s Smart Grid Modernization Initiative</w:t>
      </w:r>
      <w:r w:rsidR="009457F7">
        <w:t>,</w:t>
      </w:r>
      <w:r>
        <w:t xml:space="preserve"> </w:t>
      </w:r>
      <w:r w:rsidR="001811B9">
        <w:t xml:space="preserve">also </w:t>
      </w:r>
      <w:r>
        <w:t>referred to as the Ohio Site Deployment</w:t>
      </w:r>
      <w:r w:rsidR="00BC5492">
        <w:t xml:space="preserve">.  </w:t>
      </w:r>
      <w:r w:rsidR="00117F82">
        <w:t xml:space="preserve">The </w:t>
      </w:r>
      <w:r w:rsidR="00BC5492">
        <w:t>Ohio Site Deployment</w:t>
      </w:r>
      <w:r>
        <w:t xml:space="preserve"> was initially approved by the Com</w:t>
      </w:r>
      <w:r w:rsidR="003A1A75">
        <w:softHyphen/>
      </w:r>
      <w:r>
        <w:t xml:space="preserve">mission in Case No. 09-1821-EL-GRD on June 30, 2010.  The </w:t>
      </w:r>
      <w:r w:rsidR="00BC5492">
        <w:t xml:space="preserve">Commission approved the </w:t>
      </w:r>
      <w:r>
        <w:t>Com</w:t>
      </w:r>
      <w:r w:rsidR="003A1A75">
        <w:softHyphen/>
      </w:r>
      <w:r>
        <w:t>pany</w:t>
      </w:r>
      <w:r w:rsidR="00BC5492">
        <w:t xml:space="preserve">’s request </w:t>
      </w:r>
      <w:r w:rsidR="003D63D7">
        <w:t>to implement</w:t>
      </w:r>
      <w:r w:rsidR="00BC5492">
        <w:t xml:space="preserve"> Phase 1 of </w:t>
      </w:r>
      <w:r>
        <w:t xml:space="preserve"> Ohio Site Deployment</w:t>
      </w:r>
      <w:r w:rsidR="00BC5492">
        <w:t xml:space="preserve">, which was </w:t>
      </w:r>
      <w:r>
        <w:t>an initial test phase of 5,000 customers in year one</w:t>
      </w:r>
      <w:r w:rsidR="009457F7">
        <w:t xml:space="preserve">.  After reviewing the results of Phase 1, the Commission would decide whether the Company should proceed to Phase 2.  </w:t>
      </w:r>
      <w:r w:rsidR="001811B9">
        <w:t xml:space="preserve">Phase 2 </w:t>
      </w:r>
      <w:r w:rsidR="00BC5492">
        <w:t xml:space="preserve">would </w:t>
      </w:r>
      <w:r>
        <w:t>expand the initial test</w:t>
      </w:r>
      <w:r w:rsidR="001811B9">
        <w:t xml:space="preserve"> phase</w:t>
      </w:r>
      <w:r>
        <w:t xml:space="preserve"> to 44,000 customers.  The Company has now reported on its assessment of </w:t>
      </w:r>
      <w:r w:rsidR="00BC5492">
        <w:t xml:space="preserve">Phase 1 </w:t>
      </w:r>
      <w:r>
        <w:t xml:space="preserve">of this project and the outcomes learned with the hope of deploying </w:t>
      </w:r>
      <w:r w:rsidR="001811B9">
        <w:t>Phase 2</w:t>
      </w:r>
      <w:r>
        <w:t>.  The Company work</w:t>
      </w:r>
      <w:r w:rsidR="00BC5492">
        <w:t>ed</w:t>
      </w:r>
      <w:r>
        <w:t xml:space="preserve"> with the Staff to develop an evaluation plan for its controlled randomized tests of consumer behavioral response to critical peak events through peak time rebate pricing, Company and cus</w:t>
      </w:r>
      <w:r w:rsidR="003A1A75">
        <w:softHyphen/>
      </w:r>
      <w:r>
        <w:t>tomer control of programmable thermostats, and in-home displays.  The Company engaged the Electric Power Research Institute (EPRI) to analyze customers’ response to the various permuta</w:t>
      </w:r>
      <w:r w:rsidR="003A1A75">
        <w:softHyphen/>
      </w:r>
      <w:r>
        <w:t xml:space="preserve">tions of technology and pricing they could select in this initial phase.  In addition, the Company retained the Shelton Group to determine the attitudes of customers regarding the initial pilot. </w:t>
      </w:r>
    </w:p>
    <w:p w:rsidR="009969D8" w:rsidRDefault="009969D8" w:rsidP="009969D8"/>
    <w:p w:rsidR="009969D8" w:rsidRDefault="009969D8" w:rsidP="009969D8">
      <w:r>
        <w:t>There are approximately 44,000 residential and commercial customers in the defined Ohio Site Deployment geographical area just east of Cleveland.  In October</w:t>
      </w:r>
      <w:r w:rsidR="002E0FB3">
        <w:t xml:space="preserve"> of</w:t>
      </w:r>
      <w:r>
        <w:t xml:space="preserve"> 2011 the Company con</w:t>
      </w:r>
      <w:r w:rsidR="003A1A75">
        <w:softHyphen/>
      </w:r>
      <w:r>
        <w:t xml:space="preserve">tacted approximately 6,500 residential customers in the pilot area </w:t>
      </w:r>
      <w:r w:rsidR="002E0FB3">
        <w:t xml:space="preserve">and </w:t>
      </w:r>
      <w:r>
        <w:t>achieve</w:t>
      </w:r>
      <w:r w:rsidR="002E0FB3">
        <w:t>d</w:t>
      </w:r>
      <w:r>
        <w:t xml:space="preserve"> an initial volun</w:t>
      </w:r>
      <w:r w:rsidR="003A1A75">
        <w:softHyphen/>
      </w:r>
      <w:r>
        <w:t>tary sign-up of almost 5,000 customers for advanced meters.  Of those customers who elect</w:t>
      </w:r>
      <w:r w:rsidR="001811B9">
        <w:t>ed</w:t>
      </w:r>
      <w:r>
        <w:t xml:space="preserve"> to take an advanced meter, the Company intended to sign up customers in the various cell permuta</w:t>
      </w:r>
      <w:r w:rsidR="003A1A75">
        <w:softHyphen/>
      </w:r>
      <w:r>
        <w:t>tions with at least 225 customers in each cell.  The</w:t>
      </w:r>
      <w:r w:rsidR="001811B9">
        <w:t xml:space="preserve"> Company </w:t>
      </w:r>
      <w:r>
        <w:t xml:space="preserve">identified 12 different treatment cell groups to observe any differences in customer behavior based on the pricing or technology selected.  In the end, only a small number of the customers who selected an advanced meter chose the peak time rebate, a programmable thermostat, or the in-home display.  The Staff </w:t>
      </w:r>
      <w:r w:rsidR="002E0FB3">
        <w:t>believes</w:t>
      </w:r>
      <w:r>
        <w:t xml:space="preserve"> that only two of the cell treatment groups had participation </w:t>
      </w:r>
      <w:r w:rsidR="002E0FB3">
        <w:t xml:space="preserve">significant enough </w:t>
      </w:r>
      <w:r>
        <w:t>to war</w:t>
      </w:r>
      <w:r w:rsidR="003A1A75">
        <w:softHyphen/>
      </w:r>
      <w:r>
        <w:t>rant valid statistical results.  These two cell groups were those that selected a programmable thermostat that either the customer or the Company controlled by cycling them for either 4 or 6 hours at a time.</w:t>
      </w:r>
      <w:r w:rsidR="001811B9">
        <w:t xml:space="preserve"> </w:t>
      </w:r>
      <w:r>
        <w:t xml:space="preserve"> In addition to these cell groups, a comparison control group of 500 customers was added to determine the behavioral impacts of the various cells. </w:t>
      </w:r>
    </w:p>
    <w:p w:rsidR="009969D8" w:rsidRDefault="009969D8" w:rsidP="009969D8"/>
    <w:p w:rsidR="009969D8" w:rsidRDefault="009969D8" w:rsidP="009969D8">
      <w:r>
        <w:t>EPRI conducted the following types of serial analysis to characterize the attributes of customer behavior in the initial pilot:</w:t>
      </w:r>
      <w:r w:rsidR="001811B9">
        <w:t xml:space="preserve"> (</w:t>
      </w:r>
      <w:r>
        <w:t xml:space="preserve">1) an Analysis of Variance (ANOVA), </w:t>
      </w:r>
      <w:r w:rsidR="001811B9">
        <w:t>(</w:t>
      </w:r>
      <w:r>
        <w:t>2) a Fixed Effects Regres</w:t>
      </w:r>
      <w:r w:rsidR="003A1A75">
        <w:softHyphen/>
      </w:r>
      <w:r>
        <w:t xml:space="preserve">sion model and </w:t>
      </w:r>
      <w:r w:rsidR="001811B9">
        <w:t>(</w:t>
      </w:r>
      <w:r>
        <w:t>3) a Constant Elasticity of Substitution model (CES).  The Company follow</w:t>
      </w:r>
      <w:r w:rsidR="001811B9">
        <w:t>ed</w:t>
      </w:r>
      <w:r>
        <w:t xml:space="preserve"> the ordered sampling that was recommended by the Technical Advisory Group of USDOE.  There were several hypotheses tested:</w:t>
      </w:r>
    </w:p>
    <w:p w:rsidR="009969D8" w:rsidRDefault="009969D8" w:rsidP="009969D8"/>
    <w:p w:rsidR="009969D8" w:rsidRDefault="009969D8" w:rsidP="003A1A75">
      <w:pPr>
        <w:pStyle w:val="ListParagraph"/>
        <w:numPr>
          <w:ilvl w:val="0"/>
          <w:numId w:val="1"/>
        </w:numPr>
        <w:spacing w:after="240"/>
        <w:contextualSpacing w:val="0"/>
      </w:pPr>
      <w:r>
        <w:t>Who would respond more?</w:t>
      </w:r>
    </w:p>
    <w:p w:rsidR="009969D8" w:rsidRDefault="009969D8" w:rsidP="003A1A75">
      <w:pPr>
        <w:pStyle w:val="ListParagraph"/>
        <w:numPr>
          <w:ilvl w:val="1"/>
          <w:numId w:val="1"/>
        </w:numPr>
        <w:spacing w:after="240"/>
        <w:contextualSpacing w:val="0"/>
      </w:pPr>
      <w:r>
        <w:t>Those customers who controlled the programmable thermostat themselves</w:t>
      </w:r>
    </w:p>
    <w:p w:rsidR="009969D8" w:rsidRDefault="009969D8" w:rsidP="003A1A75">
      <w:pPr>
        <w:pStyle w:val="ListParagraph"/>
        <w:numPr>
          <w:ilvl w:val="1"/>
          <w:numId w:val="1"/>
        </w:numPr>
        <w:spacing w:after="240"/>
        <w:contextualSpacing w:val="0"/>
      </w:pPr>
      <w:r>
        <w:t>Those customer who had the Company control the thermostat</w:t>
      </w:r>
    </w:p>
    <w:p w:rsidR="009969D8" w:rsidRDefault="009969D8" w:rsidP="003A1A75">
      <w:pPr>
        <w:pStyle w:val="ListParagraph"/>
        <w:numPr>
          <w:ilvl w:val="0"/>
          <w:numId w:val="1"/>
        </w:numPr>
        <w:spacing w:after="240"/>
        <w:contextualSpacing w:val="0"/>
      </w:pPr>
      <w:r>
        <w:t>Who would respond more?</w:t>
      </w:r>
    </w:p>
    <w:p w:rsidR="009969D8" w:rsidRDefault="009969D8" w:rsidP="003A1A75">
      <w:pPr>
        <w:pStyle w:val="ListParagraph"/>
        <w:numPr>
          <w:ilvl w:val="1"/>
          <w:numId w:val="1"/>
        </w:numPr>
        <w:spacing w:after="240"/>
        <w:contextualSpacing w:val="0"/>
      </w:pPr>
      <w:r>
        <w:t>Those who have 4 hour critical peak event lengths</w:t>
      </w:r>
    </w:p>
    <w:p w:rsidR="009969D8" w:rsidRDefault="009969D8" w:rsidP="003A1A75">
      <w:pPr>
        <w:pStyle w:val="ListParagraph"/>
        <w:numPr>
          <w:ilvl w:val="1"/>
          <w:numId w:val="1"/>
        </w:numPr>
        <w:spacing w:after="240"/>
        <w:contextualSpacing w:val="0"/>
      </w:pPr>
      <w:r>
        <w:t>Those who have 6 hour critical peak event lengths</w:t>
      </w:r>
    </w:p>
    <w:p w:rsidR="009969D8" w:rsidRDefault="009969D8" w:rsidP="003A1A75">
      <w:pPr>
        <w:pStyle w:val="ListParagraph"/>
        <w:numPr>
          <w:ilvl w:val="0"/>
          <w:numId w:val="1"/>
        </w:numPr>
        <w:spacing w:after="240"/>
        <w:contextualSpacing w:val="0"/>
      </w:pPr>
      <w:r>
        <w:t>The Peak Time Collateral Behavior Effects (i.e. conservation and snap-back)</w:t>
      </w:r>
    </w:p>
    <w:p w:rsidR="009969D8" w:rsidRDefault="009969D8" w:rsidP="003A1A75">
      <w:pPr>
        <w:pStyle w:val="ListParagraph"/>
        <w:numPr>
          <w:ilvl w:val="1"/>
          <w:numId w:val="1"/>
        </w:numPr>
        <w:spacing w:after="240"/>
        <w:contextualSpacing w:val="0"/>
      </w:pPr>
      <w:r>
        <w:t>Does the Peak Time rebate introduce incremental conservation behavior?</w:t>
      </w:r>
    </w:p>
    <w:p w:rsidR="009969D8" w:rsidRDefault="009969D8" w:rsidP="003A1A75">
      <w:pPr>
        <w:pStyle w:val="ListParagraph"/>
        <w:numPr>
          <w:ilvl w:val="1"/>
          <w:numId w:val="1"/>
        </w:numPr>
        <w:spacing w:after="240"/>
        <w:contextualSpacing w:val="0"/>
      </w:pPr>
      <w:r>
        <w:t>What is the degree of snap-back consumption after an event?</w:t>
      </w:r>
    </w:p>
    <w:p w:rsidR="009969D8" w:rsidRDefault="009969D8" w:rsidP="003A1A75">
      <w:pPr>
        <w:pStyle w:val="ListParagraph"/>
        <w:numPr>
          <w:ilvl w:val="0"/>
          <w:numId w:val="1"/>
        </w:numPr>
        <w:spacing w:after="240"/>
        <w:contextualSpacing w:val="0"/>
      </w:pPr>
      <w:r>
        <w:lastRenderedPageBreak/>
        <w:t>Would there be a persistent response over called consecutive days of peak time events?</w:t>
      </w:r>
    </w:p>
    <w:p w:rsidR="009969D8" w:rsidRDefault="009969D8" w:rsidP="009969D8">
      <w:r>
        <w:t xml:space="preserve">In order to evaluate these hypotheses, EPRI had proposed an analysis plan.  This plan involved several different steps of analysis which are provided in Exhibit A of the Company’s filing on September 27, 2012.  </w:t>
      </w:r>
    </w:p>
    <w:p w:rsidR="009969D8" w:rsidRDefault="009969D8" w:rsidP="009969D8"/>
    <w:p w:rsidR="009969D8" w:rsidRDefault="009969D8" w:rsidP="009969D8">
      <w:pPr>
        <w:pStyle w:val="ListParagraph"/>
        <w:numPr>
          <w:ilvl w:val="0"/>
          <w:numId w:val="3"/>
        </w:numPr>
        <w:ind w:left="360" w:hanging="270"/>
      </w:pPr>
      <w:r>
        <w:t>What was learned from this analysis?</w:t>
      </w:r>
    </w:p>
    <w:p w:rsidR="009969D8" w:rsidRDefault="009969D8" w:rsidP="009969D8"/>
    <w:p w:rsidR="009969D8" w:rsidRDefault="009969D8" w:rsidP="003A1A75">
      <w:pPr>
        <w:pStyle w:val="ListParagraph"/>
        <w:numPr>
          <w:ilvl w:val="0"/>
          <w:numId w:val="2"/>
        </w:numPr>
        <w:spacing w:after="240"/>
        <w:contextualSpacing w:val="0"/>
      </w:pPr>
      <w:r>
        <w:t>The Company had 15 peak day events called in the summer months of June through August of 2012.  The highest customer demand occurred on those days of the highest temperatures, which also provided the most demand reduction opportunity. As can be seen in the EPRI report, those days show the highest average reductions in kWh.</w:t>
      </w:r>
    </w:p>
    <w:p w:rsidR="009969D8" w:rsidRDefault="009969D8" w:rsidP="003A1A75">
      <w:pPr>
        <w:pStyle w:val="ListParagraph"/>
        <w:numPr>
          <w:ilvl w:val="0"/>
          <w:numId w:val="2"/>
        </w:numPr>
        <w:spacing w:after="240"/>
        <w:contextualSpacing w:val="0"/>
      </w:pPr>
      <w:r w:rsidRPr="00950BF2">
        <w:t>Customers who received a programmable thermostat (PCT) and allowed the Company to control their thermostat</w:t>
      </w:r>
      <w:r>
        <w:t>s</w:t>
      </w:r>
      <w:r w:rsidRPr="00950BF2">
        <w:t xml:space="preserve"> on called peak </w:t>
      </w:r>
      <w:r>
        <w:t xml:space="preserve">day </w:t>
      </w:r>
      <w:r w:rsidRPr="00950BF2">
        <w:t>event</w:t>
      </w:r>
      <w:r>
        <w:t xml:space="preserve">s showed a </w:t>
      </w:r>
      <w:r w:rsidRPr="00950BF2">
        <w:t xml:space="preserve">stronger </w:t>
      </w:r>
      <w:r>
        <w:t xml:space="preserve">demand reduction for electricity </w:t>
      </w:r>
      <w:r w:rsidRPr="00950BF2">
        <w:t>than those customers who reduc</w:t>
      </w:r>
      <w:r>
        <w:t>ed demand on their own initiative</w:t>
      </w:r>
      <w:r w:rsidRPr="00950BF2">
        <w:t>.  Cus</w:t>
      </w:r>
      <w:r w:rsidR="003A1A75">
        <w:softHyphen/>
      </w:r>
      <w:r w:rsidRPr="00950BF2">
        <w:t>tomers who only received in-home displays (IHDs) showed the lowest amount of demand reduction on event days.</w:t>
      </w:r>
      <w:r>
        <w:t xml:space="preserve">  This is largely due to the fact that these customers did not have central air</w:t>
      </w:r>
      <w:r w:rsidR="00F648E2">
        <w:t>-</w:t>
      </w:r>
      <w:r>
        <w:t>conditioning, however, their demand reduction was still significant.</w:t>
      </w:r>
      <w:r w:rsidRPr="00950BF2">
        <w:t xml:space="preserve">  The Company also tested </w:t>
      </w:r>
      <w:r>
        <w:t>the differences in response fro</w:t>
      </w:r>
      <w:r w:rsidRPr="00950BF2">
        <w:t xml:space="preserve">m those customers who were on a shorter event window of 4 hours versus those customers who had a 6-hour event window.  The Company found that there was </w:t>
      </w:r>
      <w:r>
        <w:t xml:space="preserve">a significant </w:t>
      </w:r>
      <w:r w:rsidRPr="00950BF2">
        <w:t>difference in the demand re</w:t>
      </w:r>
      <w:r>
        <w:t>duction for those customers who were Company controlled versus those who controlled their own usage via the thermostat, but they were both significant reductions</w:t>
      </w:r>
      <w:r w:rsidRPr="00950BF2">
        <w:t xml:space="preserve">.  </w:t>
      </w:r>
    </w:p>
    <w:p w:rsidR="009969D8" w:rsidRDefault="009969D8" w:rsidP="003A1A75">
      <w:pPr>
        <w:pStyle w:val="ListParagraph"/>
        <w:numPr>
          <w:ilvl w:val="0"/>
          <w:numId w:val="2"/>
        </w:numPr>
        <w:spacing w:after="240"/>
        <w:contextualSpacing w:val="0"/>
      </w:pPr>
      <w:r>
        <w:t xml:space="preserve">The graphical results also demonstrated a strong “snap back” effect for those customers who elected either the 4 hour or 6 hour events with the programmable thermostats.  By observing the data, these individual cell groups with the programmable thermostats would have had their highest peak consumption right after the event was finished.  The Staff is concerned that extrapolating such results to a larger population could present a new problem of having a higher peak demand than what the control group experienced had not this program existed.  </w:t>
      </w:r>
    </w:p>
    <w:p w:rsidR="009969D8" w:rsidRDefault="009969D8" w:rsidP="003A1A75">
      <w:pPr>
        <w:pStyle w:val="ListParagraph"/>
        <w:numPr>
          <w:ilvl w:val="0"/>
          <w:numId w:val="2"/>
        </w:numPr>
        <w:spacing w:after="240"/>
        <w:contextualSpacing w:val="0"/>
      </w:pPr>
      <w:r>
        <w:t>The Company also retained the Shelton Group to receive feedback from customers who par</w:t>
      </w:r>
      <w:r w:rsidR="003A1A75">
        <w:softHyphen/>
      </w:r>
      <w:r>
        <w:t>ticipated in year 1 of the program.  Their conclusions of customers’ feedback can found in their filing. The following are the highlights of their report.</w:t>
      </w:r>
    </w:p>
    <w:p w:rsidR="009969D8" w:rsidRDefault="009969D8" w:rsidP="003A1A75">
      <w:pPr>
        <w:pStyle w:val="ListParagraph"/>
        <w:numPr>
          <w:ilvl w:val="1"/>
          <w:numId w:val="2"/>
        </w:numPr>
        <w:spacing w:after="240"/>
        <w:contextualSpacing w:val="0"/>
      </w:pPr>
      <w:r>
        <w:t>Many of the initial pilot participants had an increased awareness of their energy usage; however the low participation levels could be increased by adding more communication touch points with potential participants in Years 2 &amp; 3 of the pilot.</w:t>
      </w:r>
    </w:p>
    <w:p w:rsidR="009969D8" w:rsidRDefault="009969D8" w:rsidP="003A1A75">
      <w:pPr>
        <w:pStyle w:val="ListParagraph"/>
        <w:numPr>
          <w:ilvl w:val="1"/>
          <w:numId w:val="2"/>
        </w:numPr>
        <w:spacing w:after="240"/>
        <w:contextualSpacing w:val="0"/>
      </w:pPr>
      <w:r>
        <w:t>Some of the customers who received the Peak Time rebate felt it was not high enough for the amount of reduced demand.</w:t>
      </w:r>
    </w:p>
    <w:p w:rsidR="009969D8" w:rsidRDefault="009969D8" w:rsidP="003A1A75">
      <w:pPr>
        <w:pStyle w:val="ListParagraph"/>
        <w:numPr>
          <w:ilvl w:val="1"/>
          <w:numId w:val="2"/>
        </w:numPr>
        <w:spacing w:after="240"/>
        <w:contextualSpacing w:val="0"/>
      </w:pPr>
      <w:r>
        <w:t>In order to increase participation in Years 2 and 3 of the pilot the Company should utilize both traditional print and other digital direct marketing.</w:t>
      </w:r>
    </w:p>
    <w:p w:rsidR="009969D8" w:rsidRDefault="009969D8" w:rsidP="003A1A75">
      <w:pPr>
        <w:pStyle w:val="ListParagraph"/>
        <w:numPr>
          <w:ilvl w:val="2"/>
          <w:numId w:val="2"/>
        </w:numPr>
        <w:spacing w:after="240"/>
        <w:contextualSpacing w:val="0"/>
      </w:pPr>
      <w:r>
        <w:t>This would involve direct mail, telephone, internet, and door hangers and geographical targeted communications.</w:t>
      </w:r>
    </w:p>
    <w:p w:rsidR="009969D8" w:rsidRDefault="009969D8" w:rsidP="009969D8">
      <w:pPr>
        <w:pStyle w:val="ListParagraph"/>
        <w:numPr>
          <w:ilvl w:val="0"/>
          <w:numId w:val="3"/>
        </w:numPr>
      </w:pPr>
      <w:r>
        <w:t>What other issues arose in the initial year of the Company’s pilot?</w:t>
      </w:r>
    </w:p>
    <w:p w:rsidR="009969D8" w:rsidRDefault="009969D8" w:rsidP="009969D8">
      <w:pPr>
        <w:pStyle w:val="ListParagraph"/>
      </w:pPr>
    </w:p>
    <w:p w:rsidR="009969D8" w:rsidRDefault="009969D8" w:rsidP="003A1A75">
      <w:pPr>
        <w:pStyle w:val="ListParagraph"/>
        <w:numPr>
          <w:ilvl w:val="0"/>
          <w:numId w:val="4"/>
        </w:numPr>
        <w:spacing w:after="240"/>
        <w:ind w:hanging="634"/>
        <w:contextualSpacing w:val="0"/>
      </w:pPr>
      <w:r>
        <w:t>C</w:t>
      </w:r>
      <w:r w:rsidRPr="00193992">
        <w:t xml:space="preserve">ustomers </w:t>
      </w:r>
      <w:r>
        <w:t xml:space="preserve">who </w:t>
      </w:r>
      <w:r w:rsidRPr="00193992">
        <w:t xml:space="preserve">participated in the pilot were provided </w:t>
      </w:r>
      <w:r>
        <w:t xml:space="preserve">with a single </w:t>
      </w:r>
      <w:r w:rsidRPr="00193992">
        <w:t xml:space="preserve">choice of PTR pricing, PTR pricing with a programmable thermostat controlled by either </w:t>
      </w:r>
      <w:r>
        <w:t>the Company or the customer, or</w:t>
      </w:r>
      <w:r w:rsidRPr="00193992">
        <w:t xml:space="preserve"> an in-home display for those that did not have central air conditioning.  If a customer did not opt for </w:t>
      </w:r>
      <w:r>
        <w:t xml:space="preserve">any choice in </w:t>
      </w:r>
      <w:r w:rsidRPr="00193992">
        <w:t>the Com</w:t>
      </w:r>
      <w:r w:rsidR="003A1A75">
        <w:softHyphen/>
      </w:r>
      <w:r w:rsidRPr="00193992">
        <w:t>pany’s initial offering</w:t>
      </w:r>
      <w:r>
        <w:t>,</w:t>
      </w:r>
      <w:r w:rsidRPr="00193992">
        <w:t xml:space="preserve"> they </w:t>
      </w:r>
      <w:r>
        <w:t xml:space="preserve">were placed in </w:t>
      </w:r>
      <w:r w:rsidRPr="00193992">
        <w:t xml:space="preserve">the overall non-participant group.  </w:t>
      </w:r>
    </w:p>
    <w:p w:rsidR="009969D8" w:rsidRDefault="009969D8" w:rsidP="003A1A75">
      <w:pPr>
        <w:pStyle w:val="ListParagraph"/>
        <w:numPr>
          <w:ilvl w:val="0"/>
          <w:numId w:val="4"/>
        </w:numPr>
        <w:spacing w:after="240"/>
        <w:ind w:hanging="634"/>
        <w:contextualSpacing w:val="0"/>
      </w:pPr>
      <w:r w:rsidRPr="00193992">
        <w:t>Staff is in agreement with the EPRI report that customers who opted for a program</w:t>
      </w:r>
      <w:r w:rsidR="003A1A75">
        <w:softHyphen/>
      </w:r>
      <w:r w:rsidRPr="00193992">
        <w:t>mable thermostat did demonstrate a significant amount of demand reduc</w:t>
      </w:r>
      <w:r w:rsidR="003A1A75">
        <w:softHyphen/>
      </w:r>
      <w:r w:rsidRPr="00193992">
        <w:t xml:space="preserve">tion on peak event days even when there were consecutive peak event days called.  </w:t>
      </w:r>
      <w:r>
        <w:t>This shows that customers were persistent in their demand reductions on consec</w:t>
      </w:r>
      <w:r w:rsidR="003A1A75">
        <w:softHyphen/>
      </w:r>
      <w:r>
        <w:t>utive days.</w:t>
      </w:r>
    </w:p>
    <w:p w:rsidR="009969D8" w:rsidRDefault="009969D8" w:rsidP="009969D8">
      <w:pPr>
        <w:pStyle w:val="ListParagraph"/>
        <w:numPr>
          <w:ilvl w:val="0"/>
          <w:numId w:val="3"/>
        </w:numPr>
      </w:pPr>
      <w:r>
        <w:t>What is the staff recommendation for the Company</w:t>
      </w:r>
      <w:r w:rsidRPr="00193992">
        <w:t xml:space="preserve"> </w:t>
      </w:r>
      <w:r>
        <w:t xml:space="preserve">to proceed with Years 2 and 3 of the Ohio Site Smartgrid Investment Project?  </w:t>
      </w:r>
    </w:p>
    <w:p w:rsidR="009969D8" w:rsidRDefault="009969D8" w:rsidP="009969D8">
      <w:pPr>
        <w:pStyle w:val="ListParagraph"/>
      </w:pPr>
    </w:p>
    <w:p w:rsidR="009969D8" w:rsidRDefault="009969D8" w:rsidP="009969D8">
      <w:pPr>
        <w:pStyle w:val="ListParagraph"/>
      </w:pPr>
      <w:r>
        <w:t>The staff recommends the Company proceed with the second phase of this pilot for Years 2 and 3 based primarily on the significant customer response to the peak time rebates offered in Year 1.  The Staff is in agreement with the recommendations put forward by both EPRI as well as the Shelton Group to improve</w:t>
      </w:r>
      <w:r w:rsidRPr="00193992">
        <w:t xml:space="preserve"> </w:t>
      </w:r>
      <w:r>
        <w:t>the pilot in years 2 and 3.  The Staff also has recommendations of its own and they are listed as follows:</w:t>
      </w:r>
    </w:p>
    <w:p w:rsidR="009969D8" w:rsidRDefault="009969D8" w:rsidP="009969D8">
      <w:pPr>
        <w:ind w:left="360"/>
      </w:pPr>
    </w:p>
    <w:p w:rsidR="009969D8" w:rsidRDefault="009969D8" w:rsidP="003A1A75">
      <w:pPr>
        <w:pStyle w:val="ListParagraph"/>
        <w:numPr>
          <w:ilvl w:val="0"/>
          <w:numId w:val="5"/>
        </w:numPr>
        <w:spacing w:after="240"/>
        <w:ind w:hanging="720"/>
        <w:contextualSpacing w:val="0"/>
      </w:pPr>
      <w:r>
        <w:t xml:space="preserve">Staff recommends that the customer snapback effect could be mitigated by either: 1) the Company scheduling the resumption of thermostats back to their normal levels gradually or 2) by offering overlapping time-based event windows.  The Staff suggests that the Company move forward with the first option and if that does not work, then proceed with the second option in Year 3. </w:t>
      </w:r>
    </w:p>
    <w:p w:rsidR="009969D8" w:rsidRDefault="009969D8" w:rsidP="003A1A75">
      <w:pPr>
        <w:pStyle w:val="ListParagraph"/>
        <w:numPr>
          <w:ilvl w:val="0"/>
          <w:numId w:val="5"/>
        </w:numPr>
        <w:spacing w:after="240"/>
        <w:ind w:hanging="720"/>
        <w:contextualSpacing w:val="0"/>
      </w:pPr>
      <w:r>
        <w:t>The Company currently plans to offer a $.40/kwh rebate for peak demand events called based on customer performance in the initial year.  If it is necessary for the Company to offer a higher peak time rebate to achieve a significant amount of customer response, then the Company should put forward its proposal in consul</w:t>
      </w:r>
      <w:r w:rsidR="003A1A75">
        <w:softHyphen/>
      </w:r>
      <w:r>
        <w:t>tation with the Staff for a different level of rebate.  In the longer term, the goal should be to link peak time rebates to the value of energy (LMP’s) and capacity in the ATSI energy and capacity market zone.</w:t>
      </w:r>
    </w:p>
    <w:p w:rsidR="009969D8" w:rsidRDefault="009969D8" w:rsidP="003A1A75">
      <w:pPr>
        <w:pStyle w:val="ListParagraph"/>
        <w:numPr>
          <w:ilvl w:val="0"/>
          <w:numId w:val="5"/>
        </w:numPr>
        <w:spacing w:after="240"/>
        <w:ind w:hanging="720"/>
        <w:contextualSpacing w:val="0"/>
      </w:pPr>
      <w:r>
        <w:t>The Company should meet 3 times a year with all interested Competitive Electric Retail Suppliers about the ability of offering time-differentiated rates to their shopping customers.  This is a necessary component of smartgrids where cus</w:t>
      </w:r>
      <w:r w:rsidR="003A1A75">
        <w:softHyphen/>
      </w:r>
      <w:r>
        <w:t xml:space="preserve">tomer choice of different generation suppliers is available in order for consumer benefits to be achieved. </w:t>
      </w:r>
    </w:p>
    <w:p w:rsidR="009969D8" w:rsidRDefault="009969D8" w:rsidP="003A1A75">
      <w:pPr>
        <w:pStyle w:val="ListParagraph"/>
        <w:numPr>
          <w:ilvl w:val="0"/>
          <w:numId w:val="5"/>
        </w:numPr>
        <w:spacing w:after="240"/>
        <w:ind w:hanging="720"/>
        <w:contextualSpacing w:val="0"/>
      </w:pPr>
      <w:r w:rsidRPr="00193992">
        <w:t xml:space="preserve">In order to increase overall </w:t>
      </w:r>
      <w:r>
        <w:t xml:space="preserve">customer </w:t>
      </w:r>
      <w:r w:rsidRPr="00193992">
        <w:t xml:space="preserve">participation </w:t>
      </w:r>
      <w:r>
        <w:t xml:space="preserve">in </w:t>
      </w:r>
      <w:r w:rsidRPr="00193992">
        <w:t xml:space="preserve">the </w:t>
      </w:r>
      <w:r>
        <w:t>technology and pricing options</w:t>
      </w:r>
      <w:r w:rsidR="00E63084">
        <w:t>,</w:t>
      </w:r>
      <w:r>
        <w:t xml:space="preserve"> the </w:t>
      </w:r>
      <w:r w:rsidRPr="00193992">
        <w:t xml:space="preserve">Staff recommends that customers be given a menu of </w:t>
      </w:r>
      <w:r>
        <w:t xml:space="preserve">second and third </w:t>
      </w:r>
      <w:r w:rsidRPr="00193992">
        <w:t>alternative</w:t>
      </w:r>
      <w:r>
        <w:t xml:space="preserve"> choice</w:t>
      </w:r>
      <w:r w:rsidRPr="00193992">
        <w:t>s in the second phase of this pilot</w:t>
      </w:r>
      <w:r>
        <w:t>,</w:t>
      </w:r>
      <w:r w:rsidRPr="00193992">
        <w:t xml:space="preserve"> instead of just being put into the non-participant group</w:t>
      </w:r>
      <w:r>
        <w:t xml:space="preserve"> after rejecting the Company’s initial offer</w:t>
      </w:r>
      <w:r w:rsidRPr="00193992">
        <w:t xml:space="preserve">.  These choices would include </w:t>
      </w:r>
      <w:r>
        <w:t xml:space="preserve">offering </w:t>
      </w:r>
      <w:r w:rsidRPr="00193992">
        <w:t>other pricing choices</w:t>
      </w:r>
      <w:r>
        <w:t xml:space="preserve"> to its SSO customers</w:t>
      </w:r>
      <w:r w:rsidRPr="00193992">
        <w:t xml:space="preserve">, e.g. a simple 2-part seasonal time-of-use </w:t>
      </w:r>
      <w:r>
        <w:t>of on and off peak pricing</w:t>
      </w:r>
      <w:r w:rsidRPr="00193992">
        <w:t xml:space="preserve"> and a critical pea</w:t>
      </w:r>
      <w:r>
        <w:t>k pricing period overlaid on this seasonal</w:t>
      </w:r>
      <w:r w:rsidRPr="00193992">
        <w:t xml:space="preserve"> time-of-</w:t>
      </w:r>
      <w:r>
        <w:t>use pricing structure</w:t>
      </w:r>
      <w:r w:rsidRPr="00193992">
        <w:t xml:space="preserve">. </w:t>
      </w:r>
      <w:r>
        <w:t xml:space="preserve"> An effective goal for the Company would be achieve an enrollment of at least 250 residential customers on this time differentiated rate.  The staff is recommending that the Company work through the rate design and tariff timing with the appro</w:t>
      </w:r>
      <w:r w:rsidR="003A1A75">
        <w:softHyphen/>
      </w:r>
      <w:r>
        <w:t>priate stakeholders.</w:t>
      </w:r>
    </w:p>
    <w:p w:rsidR="009969D8" w:rsidRDefault="009969D8" w:rsidP="003A1A75">
      <w:pPr>
        <w:pStyle w:val="ListParagraph"/>
        <w:numPr>
          <w:ilvl w:val="0"/>
          <w:numId w:val="5"/>
        </w:numPr>
        <w:spacing w:after="240"/>
        <w:ind w:hanging="720"/>
        <w:contextualSpacing w:val="0"/>
      </w:pPr>
      <w:r>
        <w:t xml:space="preserve">The Company shall offer the already Commission approved commercial time-of-use rate and critical peak price to those approximate 3,400 commercial customers in phase 2. </w:t>
      </w:r>
    </w:p>
    <w:p w:rsidR="009969D8" w:rsidRDefault="009969D8" w:rsidP="003A1A75">
      <w:pPr>
        <w:pStyle w:val="ListParagraph"/>
        <w:numPr>
          <w:ilvl w:val="0"/>
          <w:numId w:val="5"/>
        </w:numPr>
        <w:spacing w:after="240"/>
        <w:ind w:hanging="720"/>
        <w:contextualSpacing w:val="0"/>
      </w:pPr>
      <w:r>
        <w:t>In the event the Company has technologies that remain available after customers choose an option in the first instance, and some customers would like to combine some technology offerings, the staff recommends that the Company provide those technologies to those customers,</w:t>
      </w:r>
      <w:r w:rsidRPr="00193992">
        <w:t xml:space="preserve"> </w:t>
      </w:r>
      <w:r>
        <w:t xml:space="preserve">e.g. those customers who have already chosen a programmable thermostat </w:t>
      </w:r>
      <w:r w:rsidRPr="00193992">
        <w:t>could also select an in-home display.</w:t>
      </w:r>
    </w:p>
    <w:p w:rsidR="009969D8" w:rsidRDefault="009969D8" w:rsidP="003A1A75">
      <w:pPr>
        <w:pStyle w:val="ListParagraph"/>
        <w:numPr>
          <w:ilvl w:val="0"/>
          <w:numId w:val="5"/>
        </w:numPr>
        <w:spacing w:after="240"/>
        <w:ind w:hanging="720"/>
        <w:contextualSpacing w:val="0"/>
      </w:pPr>
      <w:r w:rsidRPr="00193992">
        <w:t>Staff would like for the Company to offer to any customer with central air condi</w:t>
      </w:r>
      <w:r w:rsidR="003A1A75">
        <w:softHyphen/>
      </w:r>
      <w:r w:rsidRPr="00193992">
        <w:t>tioning a programmable thermostat in phase 2 of this pilot to maximize peak demand reduction benefits.</w:t>
      </w:r>
    </w:p>
    <w:p w:rsidR="009969D8" w:rsidRDefault="009969D8" w:rsidP="003A1A75">
      <w:pPr>
        <w:pStyle w:val="ListParagraph"/>
        <w:numPr>
          <w:ilvl w:val="0"/>
          <w:numId w:val="5"/>
        </w:numPr>
        <w:spacing w:after="240"/>
        <w:ind w:hanging="720"/>
        <w:contextualSpacing w:val="0"/>
      </w:pPr>
      <w:r>
        <w:t>The Company should adopt all of the recommendations made by the Shelton Group to increase education and participation by those customers being added in the second phase of the pilot.</w:t>
      </w:r>
    </w:p>
    <w:p w:rsidR="009969D8" w:rsidRDefault="009969D8" w:rsidP="003A1A75">
      <w:pPr>
        <w:pStyle w:val="ListParagraph"/>
        <w:numPr>
          <w:ilvl w:val="0"/>
          <w:numId w:val="5"/>
        </w:numPr>
        <w:spacing w:after="240"/>
        <w:ind w:hanging="720"/>
        <w:contextualSpacing w:val="0"/>
      </w:pPr>
      <w:r>
        <w:t>The Company shall meet with the Staff regarding the resolution of any issues/problems that may arise with cyber security and customer privacy of con</w:t>
      </w:r>
      <w:r w:rsidR="003A1A75">
        <w:softHyphen/>
      </w:r>
      <w:r>
        <w:t>sumption data in this pilot.</w:t>
      </w:r>
    </w:p>
    <w:p w:rsidR="009969D8" w:rsidRDefault="009969D8" w:rsidP="003A1A75">
      <w:pPr>
        <w:pStyle w:val="ListParagraph"/>
        <w:numPr>
          <w:ilvl w:val="0"/>
          <w:numId w:val="5"/>
        </w:numPr>
        <w:spacing w:after="240"/>
        <w:ind w:hanging="720"/>
        <w:contextualSpacing w:val="0"/>
      </w:pPr>
      <w:r>
        <w:t xml:space="preserve">The Company shall provide all relevant improvement in </w:t>
      </w:r>
      <w:r w:rsidR="00E63084">
        <w:t>distribution reliability</w:t>
      </w:r>
      <w:r>
        <w:t xml:space="preserve"> of CAIDI, SAIFI, and customer minutes of outage as they relate to the geographical pilot area. </w:t>
      </w:r>
    </w:p>
    <w:p w:rsidR="009969D8" w:rsidRDefault="009969D8" w:rsidP="003A1A75">
      <w:pPr>
        <w:pStyle w:val="ListParagraph"/>
        <w:numPr>
          <w:ilvl w:val="0"/>
          <w:numId w:val="2"/>
        </w:numPr>
        <w:spacing w:after="240"/>
        <w:ind w:left="1440" w:hanging="720"/>
        <w:contextualSpacing w:val="0"/>
      </w:pPr>
      <w:r>
        <w:t>Since the Company has reduced the expected costs of the Ohio Project, Staff is in agreement with the Company that the estimated AMI Rider costs should be reduced by approximately $3.35 million</w:t>
      </w:r>
      <w:proofErr w:type="gramStart"/>
      <w:r>
        <w:t xml:space="preserve">. </w:t>
      </w:r>
      <w:proofErr w:type="gramEnd"/>
      <w:r>
        <w:t xml:space="preserve">An equal amount of USDOE ARRA matching funds would not need to be collected either. </w:t>
      </w:r>
    </w:p>
    <w:p w:rsidR="009969D8" w:rsidRDefault="009969D8" w:rsidP="009969D8"/>
    <w:p w:rsidR="009969D8" w:rsidRDefault="009969D8" w:rsidP="009969D8">
      <w:r>
        <w:t>In</w:t>
      </w:r>
      <w:bookmarkStart w:id="0" w:name="_GoBack"/>
      <w:bookmarkEnd w:id="0"/>
      <w:r>
        <w:t xml:space="preserve"> conclusion, Staff </w:t>
      </w:r>
      <w:r w:rsidR="00F31078">
        <w:t xml:space="preserve">believes that </w:t>
      </w:r>
      <w:r>
        <w:t xml:space="preserve">the second phase of FirstEnergy’s Ohio Site Smartgrid Deployment Project </w:t>
      </w:r>
      <w:r w:rsidR="00F31078">
        <w:t xml:space="preserve">should </w:t>
      </w:r>
      <w:r>
        <w:t xml:space="preserve">be approved.  </w:t>
      </w:r>
      <w:r w:rsidR="00F31078">
        <w:t>Staff hopes</w:t>
      </w:r>
      <w:r>
        <w:t xml:space="preserve"> this smartgrid pilot will help determine if this deployment will </w:t>
      </w:r>
      <w:r w:rsidR="00F31078">
        <w:t>assist</w:t>
      </w:r>
      <w:r>
        <w:t xml:space="preserve"> with electric retail customer choice and the overall reliability of the distribution system.  There will be a final report regarding these issues after the pilot project is completed.  </w:t>
      </w:r>
      <w:r w:rsidR="003D63D7">
        <w:t>This</w:t>
      </w:r>
      <w:r>
        <w:t xml:space="preserve"> final report </w:t>
      </w:r>
      <w:r w:rsidR="003D63D7">
        <w:t xml:space="preserve">will help </w:t>
      </w:r>
      <w:r w:rsidR="000935D0">
        <w:t xml:space="preserve">the Commission </w:t>
      </w:r>
      <w:r>
        <w:t xml:space="preserve">determine if smartgrid should be </w:t>
      </w:r>
      <w:r w:rsidR="00F648E2">
        <w:t>imple</w:t>
      </w:r>
      <w:r w:rsidR="003A1A75">
        <w:softHyphen/>
      </w:r>
      <w:r w:rsidR="00F648E2">
        <w:t>mented</w:t>
      </w:r>
      <w:r>
        <w:t xml:space="preserve"> </w:t>
      </w:r>
      <w:r w:rsidR="00F648E2">
        <w:t>o</w:t>
      </w:r>
      <w:r>
        <w:t>n a larger scale for the Ohio based FirstEnergy distribution companies.  The final report of this pilot project</w:t>
      </w:r>
      <w:r w:rsidR="000935D0">
        <w:t>,</w:t>
      </w:r>
      <w:r>
        <w:t xml:space="preserve"> </w:t>
      </w:r>
      <w:r w:rsidR="00653087">
        <w:t xml:space="preserve">along </w:t>
      </w:r>
      <w:r>
        <w:t>with appropriate metrics</w:t>
      </w:r>
      <w:r w:rsidR="000935D0">
        <w:t>,</w:t>
      </w:r>
      <w:r>
        <w:t xml:space="preserve"> shall be submitted to the Commission</w:t>
      </w:r>
      <w:r w:rsidR="003D63D7">
        <w:t xml:space="preserve"> after it is complete</w:t>
      </w:r>
      <w:r>
        <w:t xml:space="preserve">. </w:t>
      </w:r>
    </w:p>
    <w:p w:rsidR="009969D8" w:rsidRDefault="009969D8" w:rsidP="009969D8"/>
    <w:p w:rsidR="009969D8" w:rsidRDefault="009969D8" w:rsidP="009969D8">
      <w:r>
        <w:t>Greg Scheck, PUCO Staff</w:t>
      </w:r>
    </w:p>
    <w:p w:rsidR="009969D8" w:rsidRDefault="009969D8" w:rsidP="009969D8">
      <w:r>
        <w:t xml:space="preserve">February </w:t>
      </w:r>
      <w:r w:rsidR="003E0A62">
        <w:t>8</w:t>
      </w:r>
      <w:r>
        <w:t>, 2013</w:t>
      </w: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0B22D3" w:rsidRDefault="000B22D3" w:rsidP="000B22D3">
      <w:pPr>
        <w:tabs>
          <w:tab w:val="left" w:pos="720"/>
        </w:tabs>
      </w:pPr>
    </w:p>
    <w:p w:rsidR="0038524B" w:rsidRDefault="0038524B" w:rsidP="000B22D3">
      <w:pPr>
        <w:tabs>
          <w:tab w:val="left" w:pos="720"/>
        </w:tabs>
      </w:pPr>
    </w:p>
    <w:p w:rsidR="000B22D3" w:rsidRDefault="000B22D3" w:rsidP="000B22D3">
      <w:pPr>
        <w:tabs>
          <w:tab w:val="left" w:pos="720"/>
        </w:tabs>
      </w:pPr>
    </w:p>
    <w:p w:rsidR="000B22D3" w:rsidRPr="00B83CAC" w:rsidRDefault="000B22D3" w:rsidP="000B22D3">
      <w:pPr>
        <w:tabs>
          <w:tab w:val="left" w:pos="720"/>
        </w:tabs>
        <w:rPr>
          <w:rFonts w:ascii="Univers Com 55" w:hAnsi="Univers Com 55"/>
        </w:rPr>
      </w:pPr>
    </w:p>
    <w:sectPr w:rsidR="000B22D3" w:rsidRPr="00B83CAC" w:rsidSect="002A3BC6">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08" w:rsidRDefault="00EB4E08">
      <w:r>
        <w:separator/>
      </w:r>
    </w:p>
  </w:endnote>
  <w:endnote w:type="continuationSeparator" w:id="0">
    <w:p w:rsidR="00EB4E08" w:rsidRDefault="00EB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Com 55">
    <w:altName w:val="Trebuchet MS"/>
    <w:charset w:val="00"/>
    <w:family w:val="swiss"/>
    <w:pitch w:val="variable"/>
    <w:sig w:usb0="00000001"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D3" w:rsidRPr="00EC0084" w:rsidRDefault="000B22D3" w:rsidP="000B22D3">
    <w:pPr>
      <w:jc w:val="center"/>
      <w:rPr>
        <w:rFonts w:ascii="Calibri" w:hAnsi="Calibri" w:cs="Arial"/>
        <w:sz w:val="16"/>
        <w:szCs w:val="15"/>
      </w:rPr>
    </w:pPr>
    <w:r w:rsidRPr="00EC0084">
      <w:rPr>
        <w:rFonts w:ascii="Calibri" w:hAnsi="Calibri" w:cs="Arial"/>
        <w:sz w:val="16"/>
        <w:szCs w:val="15"/>
      </w:rPr>
      <w:t xml:space="preserve">The Public Utilities Commission of </w:t>
    </w:r>
    <w:smartTag w:uri="urn:schemas-microsoft-com:office:smarttags" w:element="place">
      <w:smartTag w:uri="urn:schemas-microsoft-com:office:smarttags" w:element="State">
        <w:r w:rsidRPr="00EC0084">
          <w:rPr>
            <w:rFonts w:ascii="Calibri" w:hAnsi="Calibri" w:cs="Arial"/>
            <w:sz w:val="16"/>
            <w:szCs w:val="15"/>
          </w:rPr>
          <w:t>Ohio</w:t>
        </w:r>
      </w:smartTag>
    </w:smartTag>
  </w:p>
  <w:p w:rsidR="000B22D3" w:rsidRPr="00EC0084" w:rsidRDefault="009B4128" w:rsidP="000B22D3">
    <w:pPr>
      <w:jc w:val="center"/>
      <w:rPr>
        <w:rFonts w:ascii="Calibri" w:hAnsi="Calibri" w:cs="Arial"/>
        <w:sz w:val="16"/>
        <w:szCs w:val="15"/>
      </w:rPr>
    </w:pPr>
    <w:r>
      <w:rPr>
        <w:rFonts w:ascii="Calibri" w:hAnsi="Calibri" w:cs="Arial"/>
        <w:sz w:val="16"/>
        <w:szCs w:val="15"/>
      </w:rPr>
      <w:t xml:space="preserve">John </w:t>
    </w:r>
    <w:r w:rsidR="00A72A7E">
      <w:rPr>
        <w:rFonts w:ascii="Calibri" w:hAnsi="Calibri" w:cs="Arial"/>
        <w:sz w:val="16"/>
        <w:szCs w:val="15"/>
      </w:rPr>
      <w:t xml:space="preserve">R. </w:t>
    </w:r>
    <w:r>
      <w:rPr>
        <w:rFonts w:ascii="Calibri" w:hAnsi="Calibri" w:cs="Arial"/>
        <w:sz w:val="16"/>
        <w:szCs w:val="15"/>
      </w:rPr>
      <w:t>Kasich</w:t>
    </w:r>
    <w:r w:rsidR="000B22D3" w:rsidRPr="00EC0084">
      <w:rPr>
        <w:rFonts w:ascii="Calibri" w:hAnsi="Calibri" w:cs="Arial"/>
        <w:sz w:val="16"/>
        <w:szCs w:val="15"/>
      </w:rPr>
      <w:t xml:space="preserve">, Governor </w:t>
    </w:r>
    <w:r w:rsidR="00EC0084" w:rsidRPr="00EC0084">
      <w:rPr>
        <w:rFonts w:ascii="Calibri" w:hAnsi="Calibri" w:cs="Arial"/>
        <w:sz w:val="16"/>
        <w:szCs w:val="15"/>
      </w:rPr>
      <w:br/>
    </w:r>
    <w:r w:rsidR="0012507E">
      <w:rPr>
        <w:rFonts w:ascii="Calibri" w:hAnsi="Calibri" w:cs="Arial"/>
        <w:sz w:val="16"/>
        <w:szCs w:val="15"/>
      </w:rPr>
      <w:t>Todd A. Snitchler,</w:t>
    </w:r>
    <w:r w:rsidR="000B22D3" w:rsidRPr="00EC0084">
      <w:rPr>
        <w:rFonts w:ascii="Calibri" w:hAnsi="Calibri" w:cs="Arial"/>
        <w:sz w:val="16"/>
        <w:szCs w:val="15"/>
      </w:rPr>
      <w:t xml:space="preserve"> Chairman </w:t>
    </w:r>
  </w:p>
  <w:p w:rsidR="00EC0084" w:rsidRPr="00EC0084" w:rsidRDefault="00EC0084" w:rsidP="000B22D3">
    <w:pPr>
      <w:jc w:val="center"/>
      <w:rPr>
        <w:rFonts w:ascii="Calibri" w:hAnsi="Calibri" w:cs="Arial"/>
        <w:sz w:val="16"/>
        <w:szCs w:val="15"/>
      </w:rPr>
    </w:pPr>
  </w:p>
  <w:p w:rsidR="00EC0084" w:rsidRPr="00EC0084" w:rsidRDefault="000B22D3" w:rsidP="000B22D3">
    <w:pPr>
      <w:jc w:val="center"/>
      <w:rPr>
        <w:rFonts w:ascii="Calibri" w:hAnsi="Calibri" w:cs="Arial"/>
        <w:sz w:val="16"/>
        <w:szCs w:val="15"/>
      </w:rPr>
    </w:pPr>
    <w:r w:rsidRPr="00EC0084">
      <w:rPr>
        <w:rFonts w:ascii="Calibri" w:hAnsi="Calibri" w:cs="Arial"/>
        <w:sz w:val="16"/>
        <w:szCs w:val="15"/>
      </w:rPr>
      <w:t xml:space="preserve">180 E. Broad Street, Columbus, Ohio 43215-3793 </w:t>
    </w:r>
    <w:r w:rsidR="00EC0084" w:rsidRPr="00EC0084">
      <w:rPr>
        <w:rFonts w:ascii="Calibri" w:hAnsi="Calibri" w:cs="Arial"/>
        <w:sz w:val="16"/>
        <w:szCs w:val="15"/>
      </w:rPr>
      <w:br/>
      <w:t xml:space="preserve"> 800 | 686-PUCO (7826)</w:t>
    </w:r>
    <w:r w:rsidRPr="00EC0084">
      <w:rPr>
        <w:rFonts w:ascii="Calibri" w:hAnsi="Calibri" w:cs="Arial"/>
        <w:sz w:val="16"/>
        <w:szCs w:val="15"/>
      </w:rPr>
      <w:t xml:space="preserve"> </w:t>
    </w:r>
  </w:p>
  <w:p w:rsidR="000B22D3" w:rsidRPr="00EC0084" w:rsidRDefault="00EC0084" w:rsidP="000B22D3">
    <w:pPr>
      <w:jc w:val="center"/>
      <w:rPr>
        <w:rFonts w:ascii="Calibri" w:hAnsi="Calibri" w:cs="Arial"/>
        <w:sz w:val="16"/>
        <w:szCs w:val="15"/>
      </w:rPr>
    </w:pPr>
    <w:r w:rsidRPr="00EC0084">
      <w:rPr>
        <w:rFonts w:ascii="Calibri" w:hAnsi="Calibri" w:cs="Arial"/>
        <w:sz w:val="16"/>
        <w:szCs w:val="15"/>
      </w:rPr>
      <w:br/>
    </w:r>
    <w:r w:rsidR="000B22D3" w:rsidRPr="00EC0084">
      <w:rPr>
        <w:rFonts w:ascii="Calibri" w:hAnsi="Calibri" w:cs="Arial"/>
        <w:i/>
        <w:sz w:val="16"/>
        <w:szCs w:val="15"/>
      </w:rPr>
      <w:t>An Equal Opportunity Employer and Service Provider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3D" w:rsidRDefault="0038524B">
    <w:pPr>
      <w:pStyle w:val="Footer"/>
    </w:pPr>
    <w:r>
      <w:rPr>
        <w:noProof/>
      </w:rPr>
      <w:drawing>
        <wp:anchor distT="0" distB="0" distL="114300" distR="114300" simplePos="0" relativeHeight="251658240" behindDoc="0" locked="1" layoutInCell="1" allowOverlap="1" wp14:anchorId="2A2C2861" wp14:editId="7B15E0A9">
          <wp:simplePos x="0" y="0"/>
          <wp:positionH relativeFrom="column">
            <wp:posOffset>1704975</wp:posOffset>
          </wp:positionH>
          <wp:positionV relativeFrom="paragraph">
            <wp:posOffset>-272415</wp:posOffset>
          </wp:positionV>
          <wp:extent cx="2705100" cy="511175"/>
          <wp:effectExtent l="19050" t="0" r="0" b="0"/>
          <wp:wrapNone/>
          <wp:docPr id="1" name="Picture 1"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UCO logo"/>
                  <pic:cNvPicPr>
                    <a:picLocks noChangeAspect="1" noChangeArrowheads="1"/>
                  </pic:cNvPicPr>
                </pic:nvPicPr>
                <pic:blipFill>
                  <a:blip r:embed="rId1"/>
                  <a:srcRect/>
                  <a:stretch>
                    <a:fillRect/>
                  </a:stretch>
                </pic:blipFill>
                <pic:spPr bwMode="auto">
                  <a:xfrm>
                    <a:off x="0" y="0"/>
                    <a:ext cx="2705100" cy="51117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35293"/>
      <w:docPartObj>
        <w:docPartGallery w:val="Page Numbers (Bottom of Page)"/>
        <w:docPartUnique/>
      </w:docPartObj>
    </w:sdtPr>
    <w:sdtEndPr>
      <w:rPr>
        <w:color w:val="808080" w:themeColor="background1" w:themeShade="80"/>
        <w:spacing w:val="60"/>
      </w:rPr>
    </w:sdtEndPr>
    <w:sdtContent>
      <w:p w:rsidR="002A3BC6" w:rsidRDefault="002A3B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7DA6">
          <w:rPr>
            <w:noProof/>
          </w:rPr>
          <w:t>5</w:t>
        </w:r>
        <w:r>
          <w:rPr>
            <w:noProof/>
          </w:rPr>
          <w:fldChar w:fldCharType="end"/>
        </w:r>
        <w:r>
          <w:t xml:space="preserve"> | </w:t>
        </w:r>
        <w:r>
          <w:rPr>
            <w:color w:val="808080" w:themeColor="background1" w:themeShade="80"/>
            <w:spacing w:val="60"/>
          </w:rPr>
          <w:t>Page</w:t>
        </w:r>
      </w:p>
    </w:sdtContent>
  </w:sdt>
  <w:p w:rsidR="002A3BC6" w:rsidRPr="002A3BC6" w:rsidRDefault="002A3BC6" w:rsidP="002A3B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D8" w:rsidRPr="009969D8" w:rsidRDefault="009969D8" w:rsidP="0099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08" w:rsidRDefault="00EB4E08">
      <w:r>
        <w:separator/>
      </w:r>
    </w:p>
  </w:footnote>
  <w:footnote w:type="continuationSeparator" w:id="0">
    <w:p w:rsidR="00EB4E08" w:rsidRDefault="00EB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D8" w:rsidRDefault="0099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6C2"/>
    <w:multiLevelType w:val="hybridMultilevel"/>
    <w:tmpl w:val="FE2C8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770F85"/>
    <w:multiLevelType w:val="hybridMultilevel"/>
    <w:tmpl w:val="4BB6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672AE"/>
    <w:multiLevelType w:val="hybridMultilevel"/>
    <w:tmpl w:val="B4F260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E06EDB"/>
    <w:multiLevelType w:val="hybridMultilevel"/>
    <w:tmpl w:val="91D2B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81BC2"/>
    <w:multiLevelType w:val="hybridMultilevel"/>
    <w:tmpl w:val="80F23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86"/>
    <w:rsid w:val="0000739D"/>
    <w:rsid w:val="00015810"/>
    <w:rsid w:val="0003179A"/>
    <w:rsid w:val="00040227"/>
    <w:rsid w:val="0007578C"/>
    <w:rsid w:val="000921EF"/>
    <w:rsid w:val="000935D0"/>
    <w:rsid w:val="000A4379"/>
    <w:rsid w:val="000B22D3"/>
    <w:rsid w:val="001042BD"/>
    <w:rsid w:val="00117F82"/>
    <w:rsid w:val="00121047"/>
    <w:rsid w:val="00123FDF"/>
    <w:rsid w:val="0012507E"/>
    <w:rsid w:val="001767C4"/>
    <w:rsid w:val="001811B9"/>
    <w:rsid w:val="00190EAC"/>
    <w:rsid w:val="001A21E9"/>
    <w:rsid w:val="001A549E"/>
    <w:rsid w:val="001C0862"/>
    <w:rsid w:val="001D16D1"/>
    <w:rsid w:val="001D3F36"/>
    <w:rsid w:val="0020594F"/>
    <w:rsid w:val="0023223D"/>
    <w:rsid w:val="00254E2F"/>
    <w:rsid w:val="002602E4"/>
    <w:rsid w:val="002A2845"/>
    <w:rsid w:val="002A3866"/>
    <w:rsid w:val="002A3BC6"/>
    <w:rsid w:val="002A7A99"/>
    <w:rsid w:val="002D4EA7"/>
    <w:rsid w:val="002E0FB3"/>
    <w:rsid w:val="002F1E14"/>
    <w:rsid w:val="00303DD8"/>
    <w:rsid w:val="00320072"/>
    <w:rsid w:val="00324111"/>
    <w:rsid w:val="00354AF4"/>
    <w:rsid w:val="00383044"/>
    <w:rsid w:val="0038524B"/>
    <w:rsid w:val="00396435"/>
    <w:rsid w:val="003A1A75"/>
    <w:rsid w:val="003A6424"/>
    <w:rsid w:val="003C3112"/>
    <w:rsid w:val="003C6F7F"/>
    <w:rsid w:val="003D63D7"/>
    <w:rsid w:val="003E0A62"/>
    <w:rsid w:val="0041222D"/>
    <w:rsid w:val="0042786E"/>
    <w:rsid w:val="00463798"/>
    <w:rsid w:val="004747D1"/>
    <w:rsid w:val="00490566"/>
    <w:rsid w:val="004D57A4"/>
    <w:rsid w:val="005433CC"/>
    <w:rsid w:val="00585C37"/>
    <w:rsid w:val="005B29D3"/>
    <w:rsid w:val="005E3FAC"/>
    <w:rsid w:val="005E5A38"/>
    <w:rsid w:val="00607E15"/>
    <w:rsid w:val="006328C0"/>
    <w:rsid w:val="00644461"/>
    <w:rsid w:val="006506B6"/>
    <w:rsid w:val="00653087"/>
    <w:rsid w:val="0069615F"/>
    <w:rsid w:val="006B48C1"/>
    <w:rsid w:val="006B6108"/>
    <w:rsid w:val="006B679C"/>
    <w:rsid w:val="006D4261"/>
    <w:rsid w:val="006D59C6"/>
    <w:rsid w:val="006F2EC1"/>
    <w:rsid w:val="00715CC1"/>
    <w:rsid w:val="00734304"/>
    <w:rsid w:val="0074481A"/>
    <w:rsid w:val="0074540E"/>
    <w:rsid w:val="007533DC"/>
    <w:rsid w:val="00761180"/>
    <w:rsid w:val="00781E95"/>
    <w:rsid w:val="007B54B5"/>
    <w:rsid w:val="007D712D"/>
    <w:rsid w:val="00804D25"/>
    <w:rsid w:val="0081242B"/>
    <w:rsid w:val="00851569"/>
    <w:rsid w:val="0085159F"/>
    <w:rsid w:val="00863310"/>
    <w:rsid w:val="00870DB5"/>
    <w:rsid w:val="00876A5B"/>
    <w:rsid w:val="008C039D"/>
    <w:rsid w:val="008F0D10"/>
    <w:rsid w:val="00924231"/>
    <w:rsid w:val="009457F7"/>
    <w:rsid w:val="009476FE"/>
    <w:rsid w:val="00963D5A"/>
    <w:rsid w:val="009969D8"/>
    <w:rsid w:val="009A3A1D"/>
    <w:rsid w:val="009A61DE"/>
    <w:rsid w:val="009B4128"/>
    <w:rsid w:val="009C7DA6"/>
    <w:rsid w:val="009E7121"/>
    <w:rsid w:val="00A16AD9"/>
    <w:rsid w:val="00A2382C"/>
    <w:rsid w:val="00A408C2"/>
    <w:rsid w:val="00A63719"/>
    <w:rsid w:val="00A70337"/>
    <w:rsid w:val="00A705DF"/>
    <w:rsid w:val="00A72A7E"/>
    <w:rsid w:val="00A74556"/>
    <w:rsid w:val="00AA0DFC"/>
    <w:rsid w:val="00AB64AF"/>
    <w:rsid w:val="00AC14E2"/>
    <w:rsid w:val="00AC6C0C"/>
    <w:rsid w:val="00AE075F"/>
    <w:rsid w:val="00B0515D"/>
    <w:rsid w:val="00B106FA"/>
    <w:rsid w:val="00B24419"/>
    <w:rsid w:val="00B24C1F"/>
    <w:rsid w:val="00B554B7"/>
    <w:rsid w:val="00B60066"/>
    <w:rsid w:val="00B83CAC"/>
    <w:rsid w:val="00B95DE1"/>
    <w:rsid w:val="00B96227"/>
    <w:rsid w:val="00BB2CF2"/>
    <w:rsid w:val="00BC5492"/>
    <w:rsid w:val="00BC77A4"/>
    <w:rsid w:val="00C377A0"/>
    <w:rsid w:val="00CB76C2"/>
    <w:rsid w:val="00CC4C2E"/>
    <w:rsid w:val="00CC79E2"/>
    <w:rsid w:val="00CD136D"/>
    <w:rsid w:val="00D142F2"/>
    <w:rsid w:val="00D612EE"/>
    <w:rsid w:val="00D644EE"/>
    <w:rsid w:val="00DA394B"/>
    <w:rsid w:val="00DB7AC4"/>
    <w:rsid w:val="00DC28AD"/>
    <w:rsid w:val="00DD1508"/>
    <w:rsid w:val="00DD1583"/>
    <w:rsid w:val="00DE2EF2"/>
    <w:rsid w:val="00E03E86"/>
    <w:rsid w:val="00E25B17"/>
    <w:rsid w:val="00E27377"/>
    <w:rsid w:val="00E63084"/>
    <w:rsid w:val="00EA1413"/>
    <w:rsid w:val="00EA7F93"/>
    <w:rsid w:val="00EB0372"/>
    <w:rsid w:val="00EB4E08"/>
    <w:rsid w:val="00EC0084"/>
    <w:rsid w:val="00ED785B"/>
    <w:rsid w:val="00EF69A8"/>
    <w:rsid w:val="00F31078"/>
    <w:rsid w:val="00F620B2"/>
    <w:rsid w:val="00F648E2"/>
    <w:rsid w:val="00F67A21"/>
    <w:rsid w:val="00F967C5"/>
    <w:rsid w:val="00FC4CD2"/>
    <w:rsid w:val="00FD2133"/>
    <w:rsid w:val="00FD6932"/>
    <w:rsid w:val="00FD6B53"/>
    <w:rsid w:val="00FE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2D3"/>
    <w:pPr>
      <w:tabs>
        <w:tab w:val="center" w:pos="4320"/>
        <w:tab w:val="right" w:pos="8640"/>
      </w:tabs>
    </w:pPr>
  </w:style>
  <w:style w:type="paragraph" w:styleId="Footer">
    <w:name w:val="footer"/>
    <w:basedOn w:val="Normal"/>
    <w:link w:val="FooterChar"/>
    <w:uiPriority w:val="99"/>
    <w:rsid w:val="000B22D3"/>
    <w:pPr>
      <w:tabs>
        <w:tab w:val="center" w:pos="4320"/>
        <w:tab w:val="right" w:pos="8640"/>
      </w:tabs>
    </w:pPr>
  </w:style>
  <w:style w:type="character" w:customStyle="1" w:styleId="FooterChar">
    <w:name w:val="Footer Char"/>
    <w:basedOn w:val="DefaultParagraphFont"/>
    <w:link w:val="Footer"/>
    <w:uiPriority w:val="99"/>
    <w:rsid w:val="00EC0084"/>
    <w:rPr>
      <w:sz w:val="24"/>
      <w:szCs w:val="24"/>
    </w:rPr>
  </w:style>
  <w:style w:type="paragraph" w:styleId="BalloonText">
    <w:name w:val="Balloon Text"/>
    <w:basedOn w:val="Normal"/>
    <w:link w:val="BalloonTextChar"/>
    <w:rsid w:val="00EC0084"/>
    <w:rPr>
      <w:rFonts w:ascii="Tahoma" w:hAnsi="Tahoma" w:cs="Tahoma"/>
      <w:sz w:val="16"/>
      <w:szCs w:val="16"/>
    </w:rPr>
  </w:style>
  <w:style w:type="character" w:customStyle="1" w:styleId="BalloonTextChar">
    <w:name w:val="Balloon Text Char"/>
    <w:basedOn w:val="DefaultParagraphFont"/>
    <w:link w:val="BalloonText"/>
    <w:rsid w:val="00EC0084"/>
    <w:rPr>
      <w:rFonts w:ascii="Tahoma" w:hAnsi="Tahoma" w:cs="Tahoma"/>
      <w:sz w:val="16"/>
      <w:szCs w:val="16"/>
    </w:rPr>
  </w:style>
  <w:style w:type="paragraph" w:styleId="FootnoteText">
    <w:name w:val="footnote text"/>
    <w:basedOn w:val="Normal"/>
    <w:link w:val="FootnoteTextChar"/>
    <w:rsid w:val="0038524B"/>
    <w:rPr>
      <w:sz w:val="20"/>
      <w:szCs w:val="20"/>
    </w:rPr>
  </w:style>
  <w:style w:type="character" w:customStyle="1" w:styleId="FootnoteTextChar">
    <w:name w:val="Footnote Text Char"/>
    <w:basedOn w:val="DefaultParagraphFont"/>
    <w:link w:val="FootnoteText"/>
    <w:rsid w:val="0038524B"/>
  </w:style>
  <w:style w:type="character" w:styleId="FootnoteReference">
    <w:name w:val="footnote reference"/>
    <w:basedOn w:val="DefaultParagraphFont"/>
    <w:rsid w:val="0038524B"/>
    <w:rPr>
      <w:vertAlign w:val="superscript"/>
    </w:rPr>
  </w:style>
  <w:style w:type="paragraph" w:styleId="ListParagraph">
    <w:name w:val="List Paragraph"/>
    <w:basedOn w:val="Normal"/>
    <w:uiPriority w:val="34"/>
    <w:qFormat/>
    <w:rsid w:val="00996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2D3"/>
    <w:pPr>
      <w:tabs>
        <w:tab w:val="center" w:pos="4320"/>
        <w:tab w:val="right" w:pos="8640"/>
      </w:tabs>
    </w:pPr>
  </w:style>
  <w:style w:type="paragraph" w:styleId="Footer">
    <w:name w:val="footer"/>
    <w:basedOn w:val="Normal"/>
    <w:link w:val="FooterChar"/>
    <w:uiPriority w:val="99"/>
    <w:rsid w:val="000B22D3"/>
    <w:pPr>
      <w:tabs>
        <w:tab w:val="center" w:pos="4320"/>
        <w:tab w:val="right" w:pos="8640"/>
      </w:tabs>
    </w:pPr>
  </w:style>
  <w:style w:type="character" w:customStyle="1" w:styleId="FooterChar">
    <w:name w:val="Footer Char"/>
    <w:basedOn w:val="DefaultParagraphFont"/>
    <w:link w:val="Footer"/>
    <w:uiPriority w:val="99"/>
    <w:rsid w:val="00EC0084"/>
    <w:rPr>
      <w:sz w:val="24"/>
      <w:szCs w:val="24"/>
    </w:rPr>
  </w:style>
  <w:style w:type="paragraph" w:styleId="BalloonText">
    <w:name w:val="Balloon Text"/>
    <w:basedOn w:val="Normal"/>
    <w:link w:val="BalloonTextChar"/>
    <w:rsid w:val="00EC0084"/>
    <w:rPr>
      <w:rFonts w:ascii="Tahoma" w:hAnsi="Tahoma" w:cs="Tahoma"/>
      <w:sz w:val="16"/>
      <w:szCs w:val="16"/>
    </w:rPr>
  </w:style>
  <w:style w:type="character" w:customStyle="1" w:styleId="BalloonTextChar">
    <w:name w:val="Balloon Text Char"/>
    <w:basedOn w:val="DefaultParagraphFont"/>
    <w:link w:val="BalloonText"/>
    <w:rsid w:val="00EC0084"/>
    <w:rPr>
      <w:rFonts w:ascii="Tahoma" w:hAnsi="Tahoma" w:cs="Tahoma"/>
      <w:sz w:val="16"/>
      <w:szCs w:val="16"/>
    </w:rPr>
  </w:style>
  <w:style w:type="paragraph" w:styleId="FootnoteText">
    <w:name w:val="footnote text"/>
    <w:basedOn w:val="Normal"/>
    <w:link w:val="FootnoteTextChar"/>
    <w:rsid w:val="0038524B"/>
    <w:rPr>
      <w:sz w:val="20"/>
      <w:szCs w:val="20"/>
    </w:rPr>
  </w:style>
  <w:style w:type="character" w:customStyle="1" w:styleId="FootnoteTextChar">
    <w:name w:val="Footnote Text Char"/>
    <w:basedOn w:val="DefaultParagraphFont"/>
    <w:link w:val="FootnoteText"/>
    <w:rsid w:val="0038524B"/>
  </w:style>
  <w:style w:type="character" w:styleId="FootnoteReference">
    <w:name w:val="footnote reference"/>
    <w:basedOn w:val="DefaultParagraphFont"/>
    <w:rsid w:val="0038524B"/>
    <w:rPr>
      <w:vertAlign w:val="superscript"/>
    </w:rPr>
  </w:style>
  <w:style w:type="paragraph" w:styleId="ListParagraph">
    <w:name w:val="List Paragraph"/>
    <w:basedOn w:val="Normal"/>
    <w:uiPriority w:val="34"/>
    <w:qFormat/>
    <w:rsid w:val="0099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uc\shares\Departments\Templates\Staff_Report_Covers\PUCO%20Staff%20Report%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A485-C35E-4ED1-A245-E2F41476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Staff Report Cover</Template>
  <TotalTime>6</TotalTime>
  <Pages>6</Pages>
  <Words>1951</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Public Utilities Commission of Ohio</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Keeton, Kim</dc:creator>
  <cp:lastModifiedBy>Keeton, Kim</cp:lastModifiedBy>
  <cp:revision>4</cp:revision>
  <cp:lastPrinted>2013-02-07T19:25:00Z</cp:lastPrinted>
  <dcterms:created xsi:type="dcterms:W3CDTF">2013-02-08T17:32:00Z</dcterms:created>
  <dcterms:modified xsi:type="dcterms:W3CDTF">2013-02-08T17:35:00Z</dcterms:modified>
</cp:coreProperties>
</file>