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DA" w:rsidRDefault="007D5942">
      <w:pPr>
        <w:spacing w:line="240" w:lineRule="auto"/>
        <w:jc w:val="center"/>
        <w:rPr>
          <w:rFonts w:eastAsiaTheme="minorHAnsi" w:cs="Arial"/>
          <w:b/>
          <w:smallCaps/>
          <w:sz w:val="32"/>
          <w:szCs w:val="32"/>
        </w:rPr>
      </w:pPr>
      <w:r>
        <w:rPr>
          <w:rFonts w:eastAsiaTheme="minorHAnsi" w:cs="Arial"/>
          <w:b/>
          <w:smallCaps/>
          <w:sz w:val="32"/>
          <w:szCs w:val="32"/>
        </w:rPr>
        <w:t>Before</w:t>
      </w:r>
    </w:p>
    <w:p w:rsidR="00010ADA" w:rsidRDefault="007D5942">
      <w:pPr>
        <w:spacing w:line="240" w:lineRule="auto"/>
        <w:jc w:val="center"/>
        <w:rPr>
          <w:rFonts w:eastAsiaTheme="minorHAnsi" w:cs="Arial"/>
          <w:b/>
          <w:smallCaps/>
          <w:sz w:val="32"/>
          <w:szCs w:val="32"/>
        </w:rPr>
      </w:pPr>
      <w:r>
        <w:rPr>
          <w:rFonts w:eastAsiaTheme="minorHAnsi" w:cs="Arial"/>
          <w:b/>
          <w:smallCaps/>
          <w:sz w:val="32"/>
          <w:szCs w:val="32"/>
        </w:rPr>
        <w:t>The Public Utilities Commission of Ohio</w:t>
      </w:r>
    </w:p>
    <w:p w:rsidR="00010ADA" w:rsidRDefault="00010ADA">
      <w:pPr>
        <w:autoSpaceDE w:val="0"/>
        <w:autoSpaceDN w:val="0"/>
        <w:adjustRightInd w:val="0"/>
        <w:spacing w:line="240" w:lineRule="auto"/>
        <w:jc w:val="left"/>
        <w:rPr>
          <w:rFonts w:eastAsiaTheme="minorHAnsi" w:cs="Arial"/>
          <w:sz w:val="20"/>
          <w:szCs w:val="20"/>
        </w:rPr>
      </w:pPr>
    </w:p>
    <w:p w:rsidR="00010ADA" w:rsidRDefault="00010ADA">
      <w:pPr>
        <w:autoSpaceDE w:val="0"/>
        <w:autoSpaceDN w:val="0"/>
        <w:adjustRightInd w:val="0"/>
        <w:spacing w:line="240" w:lineRule="auto"/>
        <w:jc w:val="left"/>
        <w:rPr>
          <w:rFonts w:eastAsiaTheme="minorHAnsi" w:cs="Arial"/>
          <w:sz w:val="20"/>
          <w:szCs w:val="20"/>
        </w:rPr>
      </w:pPr>
    </w:p>
    <w:p w:rsidR="00010ADA" w:rsidRDefault="007D5942">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010ADA" w:rsidRDefault="007D5942">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The Dayton Power and Light Company</w:t>
      </w:r>
      <w:r>
        <w:rPr>
          <w:rFonts w:eastAsiaTheme="minorHAnsi" w:cs="Arial"/>
        </w:rPr>
        <w:tab/>
        <w:t>)</w:t>
      </w:r>
      <w:r>
        <w:rPr>
          <w:rFonts w:eastAsiaTheme="minorHAnsi" w:cs="Arial"/>
        </w:rPr>
        <w:tab/>
        <w:t>Case No. 13-2420-EL-UNC</w:t>
      </w:r>
    </w:p>
    <w:p w:rsidR="00010ADA" w:rsidRDefault="007D5942">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roofErr w:type="gramStart"/>
      <w:r>
        <w:rPr>
          <w:rFonts w:eastAsiaTheme="minorHAnsi" w:cs="Arial"/>
        </w:rPr>
        <w:t>for</w:t>
      </w:r>
      <w:proofErr w:type="gramEnd"/>
      <w:r>
        <w:rPr>
          <w:rFonts w:eastAsiaTheme="minorHAnsi" w:cs="Arial"/>
        </w:rPr>
        <w:t xml:space="preserve"> Authority to Transfer or Sell Its</w:t>
      </w:r>
      <w:r>
        <w:rPr>
          <w:rFonts w:eastAsiaTheme="minorHAnsi" w:cs="Arial"/>
        </w:rPr>
        <w:tab/>
        <w:t>)</w:t>
      </w:r>
    </w:p>
    <w:p w:rsidR="00010ADA" w:rsidRDefault="007D5942">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roofErr w:type="gramStart"/>
      <w:r>
        <w:rPr>
          <w:rFonts w:eastAsiaTheme="minorHAnsi" w:cs="Arial"/>
        </w:rPr>
        <w:t>Generation Assets.</w:t>
      </w:r>
      <w:proofErr w:type="gramEnd"/>
      <w:r>
        <w:rPr>
          <w:rFonts w:eastAsiaTheme="minorHAnsi" w:cs="Arial"/>
        </w:rPr>
        <w:tab/>
        <w:t>)</w:t>
      </w:r>
    </w:p>
    <w:p w:rsidR="00010ADA" w:rsidRDefault="00010ADA">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010ADA" w:rsidRDefault="00010ADA">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010ADA" w:rsidRDefault="00010ADA">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010ADA" w:rsidRDefault="00010ADA">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010ADA" w:rsidRDefault="00010ADA">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b/>
          <w:smallCaps/>
          <w:sz w:val="28"/>
          <w:szCs w:val="28"/>
        </w:rPr>
      </w:pPr>
    </w:p>
    <w:p w:rsidR="00010ADA" w:rsidRDefault="007D5942">
      <w:pPr>
        <w:spacing w:line="240" w:lineRule="auto"/>
        <w:jc w:val="center"/>
        <w:rPr>
          <w:rFonts w:eastAsiaTheme="minorHAnsi" w:cs="Arial"/>
          <w:b/>
          <w:smallCaps/>
          <w:sz w:val="28"/>
          <w:szCs w:val="28"/>
        </w:rPr>
      </w:pPr>
      <w:r>
        <w:rPr>
          <w:rFonts w:eastAsiaTheme="minorHAnsi" w:cs="Arial"/>
          <w:b/>
          <w:smallCaps/>
          <w:sz w:val="28"/>
          <w:szCs w:val="28"/>
        </w:rPr>
        <w:t>Industrial Energy Users-Ohio’s</w:t>
      </w:r>
    </w:p>
    <w:p w:rsidR="00010ADA" w:rsidRDefault="007D5942">
      <w:pPr>
        <w:spacing w:line="240" w:lineRule="auto"/>
        <w:jc w:val="center"/>
        <w:rPr>
          <w:rFonts w:eastAsiaTheme="minorHAnsi" w:cs="Arial"/>
          <w:b/>
          <w:smallCaps/>
          <w:sz w:val="28"/>
          <w:szCs w:val="28"/>
        </w:rPr>
      </w:pPr>
      <w:r>
        <w:rPr>
          <w:rFonts w:eastAsiaTheme="minorHAnsi" w:cs="Arial"/>
          <w:b/>
          <w:smallCaps/>
          <w:sz w:val="28"/>
          <w:szCs w:val="28"/>
        </w:rPr>
        <w:t>Comments on The Dayton Power and Light Company’s</w:t>
      </w:r>
    </w:p>
    <w:p w:rsidR="00010ADA" w:rsidRDefault="007D5942">
      <w:pPr>
        <w:spacing w:line="240" w:lineRule="auto"/>
        <w:jc w:val="center"/>
        <w:rPr>
          <w:rFonts w:eastAsiaTheme="minorHAnsi" w:cs="Arial"/>
          <w:b/>
          <w:smallCaps/>
          <w:sz w:val="32"/>
          <w:szCs w:val="32"/>
        </w:rPr>
      </w:pPr>
      <w:r>
        <w:rPr>
          <w:rFonts w:eastAsiaTheme="minorHAnsi" w:cs="Arial"/>
          <w:b/>
          <w:smallCaps/>
          <w:sz w:val="28"/>
          <w:szCs w:val="28"/>
        </w:rPr>
        <w:t>Amended Supplemental Application</w:t>
      </w:r>
    </w:p>
    <w:p w:rsidR="00010ADA" w:rsidRDefault="00010ADA">
      <w:pPr>
        <w:pBdr>
          <w:bottom w:val="single" w:sz="12" w:space="1" w:color="auto"/>
        </w:pBdr>
        <w:spacing w:line="240" w:lineRule="auto"/>
        <w:rPr>
          <w:rFonts w:eastAsiaTheme="minorHAnsi" w:cs="Arial"/>
          <w:sz w:val="32"/>
          <w:szCs w:val="32"/>
        </w:rPr>
      </w:pPr>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bookmarkStart w:id="0" w:name="_GoBack"/>
      <w:bookmarkEnd w:id="0"/>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7D5942">
      <w:pPr>
        <w:spacing w:line="240" w:lineRule="auto"/>
        <w:ind w:left="4320"/>
        <w:jc w:val="left"/>
        <w:rPr>
          <w:rFonts w:eastAsiaTheme="minorHAnsi" w:cs="Arial"/>
        </w:rPr>
      </w:pPr>
      <w:r>
        <w:rPr>
          <w:rFonts w:eastAsiaTheme="minorHAnsi" w:cs="Arial"/>
        </w:rPr>
        <w:t xml:space="preserve">Samuel C. Randazzo </w:t>
      </w:r>
    </w:p>
    <w:p w:rsidR="00010ADA" w:rsidRDefault="007D5942">
      <w:pPr>
        <w:spacing w:line="240" w:lineRule="auto"/>
        <w:ind w:left="4320"/>
        <w:jc w:val="left"/>
        <w:rPr>
          <w:rFonts w:eastAsiaTheme="minorHAnsi" w:cs="Arial"/>
        </w:rPr>
      </w:pPr>
      <w:r>
        <w:rPr>
          <w:rFonts w:eastAsiaTheme="minorHAnsi" w:cs="Arial"/>
        </w:rPr>
        <w:t xml:space="preserve">  (Counsel of Record) </w:t>
      </w:r>
    </w:p>
    <w:p w:rsidR="00010ADA" w:rsidRDefault="007D5942">
      <w:pPr>
        <w:tabs>
          <w:tab w:val="right" w:pos="8640"/>
        </w:tabs>
        <w:spacing w:line="240" w:lineRule="auto"/>
        <w:ind w:left="4320"/>
        <w:rPr>
          <w:rFonts w:eastAsiaTheme="minorHAnsi" w:cs="Arial"/>
        </w:rPr>
      </w:pPr>
      <w:r>
        <w:rPr>
          <w:rFonts w:eastAsiaTheme="minorHAnsi" w:cs="Arial"/>
        </w:rPr>
        <w:t xml:space="preserve">  (Reg. No. 0016386)</w:t>
      </w:r>
    </w:p>
    <w:p w:rsidR="00010ADA" w:rsidRDefault="007D5942">
      <w:pPr>
        <w:widowControl w:val="0"/>
        <w:spacing w:line="240" w:lineRule="auto"/>
        <w:ind w:left="4320"/>
        <w:rPr>
          <w:rFonts w:eastAsiaTheme="minorHAnsi" w:cs="Arial"/>
          <w:bCs/>
        </w:rPr>
      </w:pPr>
      <w:r>
        <w:rPr>
          <w:rFonts w:eastAsiaTheme="minorHAnsi" w:cs="Arial"/>
          <w:bCs/>
        </w:rPr>
        <w:t>Frank P. Darr (Reg. No. 0025469)</w:t>
      </w:r>
    </w:p>
    <w:p w:rsidR="00010ADA" w:rsidRDefault="007D5942">
      <w:pPr>
        <w:widowControl w:val="0"/>
        <w:spacing w:line="240" w:lineRule="auto"/>
        <w:ind w:left="4320"/>
        <w:rPr>
          <w:rFonts w:eastAsiaTheme="minorHAnsi" w:cs="Arial"/>
          <w:bCs/>
        </w:rPr>
      </w:pPr>
      <w:r>
        <w:rPr>
          <w:rFonts w:eastAsiaTheme="minorHAnsi" w:cs="Arial"/>
          <w:bCs/>
        </w:rPr>
        <w:t xml:space="preserve">Matthew R. Pritchard </w:t>
      </w:r>
    </w:p>
    <w:p w:rsidR="00010ADA" w:rsidRDefault="007D5942">
      <w:pPr>
        <w:widowControl w:val="0"/>
        <w:spacing w:line="240" w:lineRule="auto"/>
        <w:ind w:left="4320"/>
        <w:rPr>
          <w:rFonts w:eastAsiaTheme="minorHAnsi" w:cs="Arial"/>
          <w:b/>
          <w:bCs/>
        </w:rPr>
      </w:pPr>
      <w:r>
        <w:rPr>
          <w:rFonts w:eastAsiaTheme="minorHAnsi" w:cs="Arial"/>
          <w:bCs/>
        </w:rPr>
        <w:t xml:space="preserve">  (Reg. No. 0088070)</w:t>
      </w:r>
    </w:p>
    <w:p w:rsidR="00010ADA" w:rsidRDefault="007D5942">
      <w:pPr>
        <w:widowControl w:val="0"/>
        <w:spacing w:line="240" w:lineRule="auto"/>
        <w:ind w:left="4320"/>
        <w:rPr>
          <w:rFonts w:eastAsiaTheme="minorHAnsi" w:cs="Arial"/>
          <w:b/>
          <w:bCs/>
          <w:smallCaps/>
        </w:rPr>
      </w:pPr>
      <w:r>
        <w:rPr>
          <w:rFonts w:eastAsiaTheme="minorHAnsi" w:cs="Arial"/>
          <w:bCs/>
          <w:smallCaps/>
        </w:rPr>
        <w:t>McNees Wallace &amp; Nurick LLC</w:t>
      </w:r>
    </w:p>
    <w:p w:rsidR="00010ADA" w:rsidRDefault="007D5942">
      <w:pPr>
        <w:widowControl w:val="0"/>
        <w:spacing w:line="240" w:lineRule="auto"/>
        <w:ind w:left="4320"/>
        <w:rPr>
          <w:rFonts w:eastAsiaTheme="minorHAnsi" w:cs="Arial"/>
          <w:b/>
          <w:bCs/>
        </w:rPr>
      </w:pPr>
      <w:r>
        <w:rPr>
          <w:rFonts w:eastAsiaTheme="minorHAnsi" w:cs="Arial"/>
          <w:bCs/>
        </w:rPr>
        <w:t>21 East State Street, 17</w:t>
      </w:r>
      <w:r>
        <w:rPr>
          <w:rFonts w:eastAsiaTheme="minorHAnsi" w:cs="Arial"/>
          <w:bCs/>
          <w:vertAlign w:val="superscript"/>
        </w:rPr>
        <w:t>TH</w:t>
      </w:r>
      <w:r>
        <w:rPr>
          <w:rFonts w:eastAsiaTheme="minorHAnsi" w:cs="Arial"/>
          <w:bCs/>
        </w:rPr>
        <w:t xml:space="preserve"> Floor</w:t>
      </w:r>
    </w:p>
    <w:p w:rsidR="00010ADA" w:rsidRPr="00F20C51"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sidRPr="00F20C51">
        <w:rPr>
          <w:rFonts w:eastAsiaTheme="minorHAnsi" w:cs="Arial"/>
        </w:rPr>
        <w:t>Columbus, OH  43215</w:t>
      </w:r>
    </w:p>
    <w:p w:rsidR="00010ADA" w:rsidRPr="00F20C51"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rPr>
      </w:pPr>
      <w:r w:rsidRPr="00F20C51">
        <w:rPr>
          <w:rFonts w:eastAsiaTheme="minorHAnsi" w:cs="Arial"/>
        </w:rPr>
        <w:t>Telephone:  (614) 469-8000</w:t>
      </w:r>
    </w:p>
    <w:p w:rsidR="00010ADA" w:rsidRPr="00F20C51"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F20C51">
        <w:rPr>
          <w:rFonts w:eastAsiaTheme="minorHAnsi" w:cs="Arial"/>
          <w:color w:val="000000" w:themeColor="text1"/>
        </w:rPr>
        <w:t>Telecopier:  (614) 469-4653</w:t>
      </w:r>
    </w:p>
    <w:p w:rsidR="00010ADA" w:rsidRPr="00F20C51"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AA47C0">
        <w:rPr>
          <w:rFonts w:eastAsiaTheme="minorHAnsi" w:cs="Arial"/>
        </w:rPr>
        <w:t>sam@mwncmh.com</w:t>
      </w:r>
    </w:p>
    <w:p w:rsidR="00010ADA" w:rsidRPr="00F20C51"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F20C51">
        <w:rPr>
          <w:rFonts w:eastAsiaTheme="minorHAnsi" w:cs="Arial"/>
          <w:color w:val="000000" w:themeColor="text1"/>
        </w:rPr>
        <w:t>(</w:t>
      </w:r>
      <w:proofErr w:type="gramStart"/>
      <w:r w:rsidRPr="00F20C51">
        <w:rPr>
          <w:rFonts w:eastAsiaTheme="minorHAnsi" w:cs="Arial"/>
          <w:color w:val="000000" w:themeColor="text1"/>
        </w:rPr>
        <w:t>willing</w:t>
      </w:r>
      <w:proofErr w:type="gramEnd"/>
      <w:r w:rsidRPr="00F20C51">
        <w:rPr>
          <w:rFonts w:eastAsiaTheme="minorHAnsi" w:cs="Arial"/>
          <w:color w:val="000000" w:themeColor="text1"/>
        </w:rPr>
        <w:t xml:space="preserve"> to accept service by e-mail)</w:t>
      </w:r>
    </w:p>
    <w:p w:rsidR="00010ADA" w:rsidRPr="00F20C51"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AA47C0">
        <w:rPr>
          <w:rFonts w:eastAsiaTheme="minorHAnsi" w:cs="Arial"/>
        </w:rPr>
        <w:t>fdarr@mwncmh.com</w:t>
      </w:r>
    </w:p>
    <w:p w:rsidR="00010ADA" w:rsidRPr="00F20C51"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F20C51">
        <w:rPr>
          <w:rFonts w:eastAsiaTheme="minorHAnsi" w:cs="Arial"/>
          <w:color w:val="000000" w:themeColor="text1"/>
        </w:rPr>
        <w:t>(</w:t>
      </w:r>
      <w:proofErr w:type="gramStart"/>
      <w:r w:rsidRPr="00F20C51">
        <w:rPr>
          <w:rFonts w:eastAsiaTheme="minorHAnsi" w:cs="Arial"/>
          <w:color w:val="000000" w:themeColor="text1"/>
        </w:rPr>
        <w:t>willing</w:t>
      </w:r>
      <w:proofErr w:type="gramEnd"/>
      <w:r w:rsidRPr="00F20C51">
        <w:rPr>
          <w:rFonts w:eastAsiaTheme="minorHAnsi" w:cs="Arial"/>
          <w:color w:val="000000" w:themeColor="text1"/>
        </w:rPr>
        <w:t xml:space="preserve"> to accept service by e-mail)</w:t>
      </w:r>
    </w:p>
    <w:p w:rsidR="00010ADA" w:rsidRPr="00F20C51"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sidRPr="00F20C51">
        <w:rPr>
          <w:rFonts w:eastAsiaTheme="minorHAnsi" w:cs="Arial"/>
          <w:color w:val="000000" w:themeColor="text1"/>
        </w:rPr>
        <w:t>mpritchard@mwncmh.com</w:t>
      </w:r>
    </w:p>
    <w:p w:rsidR="00010ADA" w:rsidRPr="00F20C51"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F20C51">
        <w:rPr>
          <w:rFonts w:eastAsiaTheme="minorHAnsi" w:cs="Arial"/>
          <w:color w:val="000000" w:themeColor="text1"/>
        </w:rPr>
        <w:t>(</w:t>
      </w:r>
      <w:proofErr w:type="gramStart"/>
      <w:r w:rsidRPr="00F20C51">
        <w:rPr>
          <w:rFonts w:eastAsiaTheme="minorHAnsi" w:cs="Arial"/>
          <w:color w:val="000000" w:themeColor="text1"/>
        </w:rPr>
        <w:t>willing</w:t>
      </w:r>
      <w:proofErr w:type="gramEnd"/>
      <w:r w:rsidRPr="00F20C51">
        <w:rPr>
          <w:rFonts w:eastAsiaTheme="minorHAnsi" w:cs="Arial"/>
          <w:color w:val="000000" w:themeColor="text1"/>
        </w:rPr>
        <w:t xml:space="preserve"> to accept service by e-mail)</w:t>
      </w:r>
    </w:p>
    <w:p w:rsidR="00010ADA" w:rsidRPr="00F20C51" w:rsidRDefault="00010ADA">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010ADA" w:rsidRDefault="007D5942">
      <w:pPr>
        <w:spacing w:line="240" w:lineRule="auto"/>
        <w:ind w:left="4320" w:hanging="4320"/>
        <w:jc w:val="left"/>
        <w:rPr>
          <w:rFonts w:eastAsiaTheme="minorHAnsi" w:cs="Arial"/>
          <w:b/>
        </w:rPr>
      </w:pPr>
      <w:r>
        <w:rPr>
          <w:rFonts w:eastAsiaTheme="minorHAnsi" w:cs="Arial"/>
          <w:b/>
        </w:rPr>
        <w:t>June 30, 2014</w:t>
      </w:r>
      <w:r>
        <w:rPr>
          <w:rFonts w:eastAsiaTheme="minorHAnsi" w:cs="Arial"/>
          <w:b/>
        </w:rPr>
        <w:tab/>
        <w:t>Attorneys for Industrial Energy Users-Ohio</w:t>
      </w:r>
    </w:p>
    <w:p w:rsidR="00010ADA" w:rsidRDefault="00010ADA">
      <w:pPr>
        <w:spacing w:line="240" w:lineRule="auto"/>
        <w:jc w:val="left"/>
        <w:rPr>
          <w:rFonts w:eastAsiaTheme="minorHAnsi" w:cs="Arial"/>
          <w:b/>
        </w:rPr>
        <w:sectPr w:rsidR="00010AD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720" w:footer="720" w:gutter="0"/>
          <w:cols w:space="720"/>
          <w:titlePg/>
          <w:docGrid w:linePitch="360"/>
        </w:sectPr>
      </w:pPr>
    </w:p>
    <w:sdt>
      <w:sdtPr>
        <w:rPr>
          <w:rFonts w:ascii="Arial" w:eastAsia="Times New Roman" w:hAnsi="Arial" w:cs="Times New Roman"/>
          <w:bCs w:val="0"/>
          <w:caps w:val="0"/>
          <w:color w:val="auto"/>
          <w:sz w:val="24"/>
          <w:szCs w:val="24"/>
          <w:u w:val="none"/>
        </w:rPr>
        <w:id w:val="302208877"/>
        <w:docPartObj>
          <w:docPartGallery w:val="Table of Contents"/>
          <w:docPartUnique/>
        </w:docPartObj>
      </w:sdtPr>
      <w:sdtEndPr>
        <w:rPr>
          <w:b/>
          <w:noProof/>
        </w:rPr>
      </w:sdtEndPr>
      <w:sdtContent>
        <w:p w:rsidR="00010ADA" w:rsidRDefault="007D5942">
          <w:pPr>
            <w:pStyle w:val="TOCHeading"/>
            <w:jc w:val="center"/>
          </w:pPr>
          <w:r>
            <w:rPr>
              <w:rFonts w:ascii="Arial" w:hAnsi="Arial"/>
              <w:b/>
              <w:caps w:val="0"/>
              <w:smallCaps/>
              <w:color w:val="000000" w:themeColor="text1"/>
            </w:rPr>
            <w:t>Table of Contents</w:t>
          </w:r>
        </w:p>
        <w:p w:rsidR="00010ADA" w:rsidRDefault="007D5942">
          <w:pPr>
            <w:pStyle w:val="TOC1"/>
            <w:rPr>
              <w:caps/>
              <w:noProof/>
            </w:rPr>
          </w:pPr>
          <w:r>
            <w:fldChar w:fldCharType="begin"/>
          </w:r>
          <w:r>
            <w:instrText xml:space="preserve"> TOC \o "1-3" \h \z \u </w:instrText>
          </w:r>
          <w:r>
            <w:fldChar w:fldCharType="separate"/>
          </w:r>
          <w:hyperlink w:anchor="_Toc391887912" w:history="1">
            <w:r>
              <w:rPr>
                <w:rStyle w:val="Hyperlink"/>
                <w:caps/>
                <w:noProof/>
              </w:rPr>
              <w:t>I.</w:t>
            </w:r>
            <w:r>
              <w:rPr>
                <w:caps/>
                <w:noProof/>
              </w:rPr>
              <w:tab/>
            </w:r>
            <w:r>
              <w:rPr>
                <w:rStyle w:val="Hyperlink"/>
                <w:caps/>
                <w:noProof/>
              </w:rPr>
              <w:t>Applicable standard</w:t>
            </w:r>
            <w:r>
              <w:rPr>
                <w:caps/>
                <w:noProof/>
                <w:webHidden/>
              </w:rPr>
              <w:tab/>
            </w:r>
            <w:r>
              <w:rPr>
                <w:caps/>
                <w:noProof/>
                <w:webHidden/>
              </w:rPr>
              <w:fldChar w:fldCharType="begin"/>
            </w:r>
            <w:r>
              <w:rPr>
                <w:caps/>
                <w:noProof/>
                <w:webHidden/>
              </w:rPr>
              <w:instrText xml:space="preserve"> PAGEREF _Toc391887912 \h </w:instrText>
            </w:r>
            <w:r>
              <w:rPr>
                <w:caps/>
                <w:noProof/>
                <w:webHidden/>
              </w:rPr>
            </w:r>
            <w:r>
              <w:rPr>
                <w:caps/>
                <w:noProof/>
                <w:webHidden/>
              </w:rPr>
              <w:fldChar w:fldCharType="separate"/>
            </w:r>
            <w:r w:rsidR="00CE4BE0">
              <w:rPr>
                <w:caps/>
                <w:noProof/>
                <w:webHidden/>
              </w:rPr>
              <w:t>1</w:t>
            </w:r>
            <w:r>
              <w:rPr>
                <w:caps/>
                <w:noProof/>
                <w:webHidden/>
              </w:rPr>
              <w:fldChar w:fldCharType="end"/>
            </w:r>
          </w:hyperlink>
        </w:p>
        <w:p w:rsidR="00010ADA" w:rsidRDefault="00CE4BE0">
          <w:pPr>
            <w:pStyle w:val="TOC1"/>
            <w:rPr>
              <w:caps/>
              <w:noProof/>
            </w:rPr>
          </w:pPr>
          <w:hyperlink w:anchor="_Toc391887913" w:history="1">
            <w:r w:rsidR="007D5942">
              <w:rPr>
                <w:rStyle w:val="Hyperlink"/>
                <w:caps/>
                <w:noProof/>
              </w:rPr>
              <w:t>II.</w:t>
            </w:r>
            <w:r w:rsidR="007D5942">
              <w:rPr>
                <w:caps/>
                <w:noProof/>
              </w:rPr>
              <w:tab/>
            </w:r>
            <w:r w:rsidR="007D5942">
              <w:rPr>
                <w:rStyle w:val="Hyperlink"/>
                <w:caps/>
                <w:noProof/>
              </w:rPr>
              <w:t>introduction</w:t>
            </w:r>
            <w:r w:rsidR="007D5942">
              <w:rPr>
                <w:caps/>
                <w:noProof/>
                <w:webHidden/>
              </w:rPr>
              <w:tab/>
            </w:r>
            <w:r w:rsidR="007D5942">
              <w:rPr>
                <w:caps/>
                <w:noProof/>
                <w:webHidden/>
              </w:rPr>
              <w:fldChar w:fldCharType="begin"/>
            </w:r>
            <w:r w:rsidR="007D5942">
              <w:rPr>
                <w:caps/>
                <w:noProof/>
                <w:webHidden/>
              </w:rPr>
              <w:instrText xml:space="preserve"> PAGEREF _Toc391887913 \h </w:instrText>
            </w:r>
            <w:r w:rsidR="007D5942">
              <w:rPr>
                <w:caps/>
                <w:noProof/>
                <w:webHidden/>
              </w:rPr>
            </w:r>
            <w:r w:rsidR="007D5942">
              <w:rPr>
                <w:caps/>
                <w:noProof/>
                <w:webHidden/>
              </w:rPr>
              <w:fldChar w:fldCharType="separate"/>
            </w:r>
            <w:r>
              <w:rPr>
                <w:caps/>
                <w:noProof/>
                <w:webHidden/>
              </w:rPr>
              <w:t>2</w:t>
            </w:r>
            <w:r w:rsidR="007D5942">
              <w:rPr>
                <w:caps/>
                <w:noProof/>
                <w:webHidden/>
              </w:rPr>
              <w:fldChar w:fldCharType="end"/>
            </w:r>
          </w:hyperlink>
        </w:p>
        <w:p w:rsidR="00010ADA" w:rsidRDefault="00CE4BE0">
          <w:pPr>
            <w:pStyle w:val="TOC1"/>
            <w:rPr>
              <w:noProof/>
            </w:rPr>
          </w:pPr>
          <w:hyperlink w:anchor="_Toc391887914" w:history="1">
            <w:r w:rsidR="007D5942">
              <w:rPr>
                <w:rStyle w:val="Hyperlink"/>
                <w:caps/>
                <w:noProof/>
              </w:rPr>
              <w:t>III.</w:t>
            </w:r>
            <w:r w:rsidR="007D5942">
              <w:rPr>
                <w:caps/>
                <w:noProof/>
              </w:rPr>
              <w:tab/>
            </w:r>
            <w:r w:rsidR="007D5942">
              <w:rPr>
                <w:rStyle w:val="Hyperlink"/>
                <w:caps/>
                <w:noProof/>
              </w:rPr>
              <w:t>ARGUMENT</w:t>
            </w:r>
            <w:r w:rsidR="007D5942">
              <w:rPr>
                <w:caps/>
                <w:noProof/>
                <w:webHidden/>
              </w:rPr>
              <w:tab/>
            </w:r>
            <w:r w:rsidR="007D5942">
              <w:rPr>
                <w:caps/>
                <w:noProof/>
                <w:webHidden/>
              </w:rPr>
              <w:fldChar w:fldCharType="begin"/>
            </w:r>
            <w:r w:rsidR="007D5942">
              <w:rPr>
                <w:caps/>
                <w:noProof/>
                <w:webHidden/>
              </w:rPr>
              <w:instrText xml:space="preserve"> PAGEREF _Toc391887914 \h </w:instrText>
            </w:r>
            <w:r w:rsidR="007D5942">
              <w:rPr>
                <w:caps/>
                <w:noProof/>
                <w:webHidden/>
              </w:rPr>
            </w:r>
            <w:r w:rsidR="007D5942">
              <w:rPr>
                <w:caps/>
                <w:noProof/>
                <w:webHidden/>
              </w:rPr>
              <w:fldChar w:fldCharType="separate"/>
            </w:r>
            <w:r>
              <w:rPr>
                <w:caps/>
                <w:noProof/>
                <w:webHidden/>
              </w:rPr>
              <w:t>5</w:t>
            </w:r>
            <w:r w:rsidR="007D5942">
              <w:rPr>
                <w:caps/>
                <w:noProof/>
                <w:webHidden/>
              </w:rPr>
              <w:fldChar w:fldCharType="end"/>
            </w:r>
          </w:hyperlink>
        </w:p>
        <w:p w:rsidR="00010ADA" w:rsidRDefault="00CE4BE0">
          <w:pPr>
            <w:pStyle w:val="TOC2"/>
            <w:rPr>
              <w:noProof/>
            </w:rPr>
          </w:pPr>
          <w:hyperlink w:anchor="_Toc391887915" w:history="1">
            <w:r w:rsidR="007D5942">
              <w:rPr>
                <w:rStyle w:val="Hyperlink"/>
                <w:noProof/>
              </w:rPr>
              <w:t>A.</w:t>
            </w:r>
            <w:r w:rsidR="007D5942">
              <w:rPr>
                <w:noProof/>
              </w:rPr>
              <w:tab/>
            </w:r>
            <w:r w:rsidR="007D5942">
              <w:rPr>
                <w:rStyle w:val="Hyperlink"/>
                <w:noProof/>
              </w:rPr>
              <w:t>DP&amp;L’s Amended Supplemental Application fails to clearly set forth the terms and conditions of its proposed asset divestiture</w:t>
            </w:r>
            <w:r w:rsidR="007D5942">
              <w:rPr>
                <w:noProof/>
                <w:webHidden/>
              </w:rPr>
              <w:tab/>
            </w:r>
            <w:r w:rsidR="007D5942">
              <w:rPr>
                <w:noProof/>
                <w:webHidden/>
              </w:rPr>
              <w:fldChar w:fldCharType="begin"/>
            </w:r>
            <w:r w:rsidR="007D5942">
              <w:rPr>
                <w:noProof/>
                <w:webHidden/>
              </w:rPr>
              <w:instrText xml:space="preserve"> PAGEREF _Toc391887915 \h </w:instrText>
            </w:r>
            <w:r w:rsidR="007D5942">
              <w:rPr>
                <w:noProof/>
                <w:webHidden/>
              </w:rPr>
            </w:r>
            <w:r w:rsidR="007D5942">
              <w:rPr>
                <w:noProof/>
                <w:webHidden/>
              </w:rPr>
              <w:fldChar w:fldCharType="separate"/>
            </w:r>
            <w:r>
              <w:rPr>
                <w:noProof/>
                <w:webHidden/>
              </w:rPr>
              <w:t>5</w:t>
            </w:r>
            <w:r w:rsidR="007D5942">
              <w:rPr>
                <w:noProof/>
                <w:webHidden/>
              </w:rPr>
              <w:fldChar w:fldCharType="end"/>
            </w:r>
          </w:hyperlink>
        </w:p>
        <w:p w:rsidR="00010ADA" w:rsidRDefault="00CE4BE0">
          <w:pPr>
            <w:pStyle w:val="TOC2"/>
            <w:rPr>
              <w:noProof/>
            </w:rPr>
          </w:pPr>
          <w:hyperlink w:anchor="_Toc391887916" w:history="1">
            <w:r w:rsidR="007D5942">
              <w:rPr>
                <w:rStyle w:val="Hyperlink"/>
                <w:noProof/>
              </w:rPr>
              <w:t>B.</w:t>
            </w:r>
            <w:r w:rsidR="007D5942">
              <w:rPr>
                <w:noProof/>
              </w:rPr>
              <w:tab/>
            </w:r>
            <w:r w:rsidR="007D5942">
              <w:rPr>
                <w:rStyle w:val="Hyperlink"/>
                <w:noProof/>
              </w:rPr>
              <w:t>DP&amp;L has not demonstrated how the transfer will impact the SSO and ignores significant adverse consequences of the Amended Supplemental Application</w:t>
            </w:r>
            <w:r w:rsidR="007D5942">
              <w:rPr>
                <w:noProof/>
                <w:webHidden/>
              </w:rPr>
              <w:tab/>
            </w:r>
            <w:r w:rsidR="007D5942">
              <w:rPr>
                <w:noProof/>
                <w:webHidden/>
              </w:rPr>
              <w:fldChar w:fldCharType="begin"/>
            </w:r>
            <w:r w:rsidR="007D5942">
              <w:rPr>
                <w:noProof/>
                <w:webHidden/>
              </w:rPr>
              <w:instrText xml:space="preserve"> PAGEREF _Toc391887916 \h </w:instrText>
            </w:r>
            <w:r w:rsidR="007D5942">
              <w:rPr>
                <w:noProof/>
                <w:webHidden/>
              </w:rPr>
            </w:r>
            <w:r w:rsidR="007D5942">
              <w:rPr>
                <w:noProof/>
                <w:webHidden/>
              </w:rPr>
              <w:fldChar w:fldCharType="separate"/>
            </w:r>
            <w:r>
              <w:rPr>
                <w:noProof/>
                <w:webHidden/>
              </w:rPr>
              <w:t>8</w:t>
            </w:r>
            <w:r w:rsidR="007D5942">
              <w:rPr>
                <w:noProof/>
                <w:webHidden/>
              </w:rPr>
              <w:fldChar w:fldCharType="end"/>
            </w:r>
          </w:hyperlink>
        </w:p>
        <w:p w:rsidR="00010ADA" w:rsidRDefault="00CE4BE0">
          <w:pPr>
            <w:pStyle w:val="TOC2"/>
            <w:rPr>
              <w:noProof/>
            </w:rPr>
          </w:pPr>
          <w:hyperlink w:anchor="_Toc391887917" w:history="1">
            <w:r w:rsidR="007D5942">
              <w:rPr>
                <w:rStyle w:val="Hyperlink"/>
                <w:noProof/>
              </w:rPr>
              <w:t>C.</w:t>
            </w:r>
            <w:r w:rsidR="007D5942">
              <w:rPr>
                <w:noProof/>
              </w:rPr>
              <w:tab/>
            </w:r>
            <w:r w:rsidR="007D5942">
              <w:rPr>
                <w:rStyle w:val="Hyperlink"/>
                <w:noProof/>
              </w:rPr>
              <w:t>DP&amp;L’s Amended Supplemental Application proposes terms and conditions that are unlawful, unreasonable, and not in the public interest</w:t>
            </w:r>
            <w:r w:rsidR="007D5942">
              <w:rPr>
                <w:noProof/>
                <w:webHidden/>
              </w:rPr>
              <w:tab/>
            </w:r>
            <w:r w:rsidR="007D5942">
              <w:rPr>
                <w:noProof/>
                <w:webHidden/>
              </w:rPr>
              <w:fldChar w:fldCharType="begin"/>
            </w:r>
            <w:r w:rsidR="007D5942">
              <w:rPr>
                <w:noProof/>
                <w:webHidden/>
              </w:rPr>
              <w:instrText xml:space="preserve"> PAGEREF _Toc391887917 \h </w:instrText>
            </w:r>
            <w:r w:rsidR="007D5942">
              <w:rPr>
                <w:noProof/>
                <w:webHidden/>
              </w:rPr>
            </w:r>
            <w:r w:rsidR="007D5942">
              <w:rPr>
                <w:noProof/>
                <w:webHidden/>
              </w:rPr>
              <w:fldChar w:fldCharType="separate"/>
            </w:r>
            <w:r>
              <w:rPr>
                <w:noProof/>
                <w:webHidden/>
              </w:rPr>
              <w:t>9</w:t>
            </w:r>
            <w:r w:rsidR="007D5942">
              <w:rPr>
                <w:noProof/>
                <w:webHidden/>
              </w:rPr>
              <w:fldChar w:fldCharType="end"/>
            </w:r>
          </w:hyperlink>
        </w:p>
        <w:p w:rsidR="00010ADA" w:rsidRDefault="00CE4BE0">
          <w:pPr>
            <w:pStyle w:val="TOC3"/>
            <w:rPr>
              <w:noProof/>
            </w:rPr>
          </w:pPr>
          <w:hyperlink w:anchor="_Toc391887918" w:history="1">
            <w:r w:rsidR="007D5942">
              <w:rPr>
                <w:rStyle w:val="Hyperlink"/>
                <w:noProof/>
              </w:rPr>
              <w:t>1.</w:t>
            </w:r>
            <w:r w:rsidR="007D5942">
              <w:rPr>
                <w:noProof/>
              </w:rPr>
              <w:tab/>
            </w:r>
            <w:r w:rsidR="007D5942">
              <w:rPr>
                <w:rStyle w:val="Hyperlink"/>
                <w:noProof/>
              </w:rPr>
              <w:t>If permitted to continue, the Service Stability Rider (“SSR”) should terminate after the generation assets are divested</w:t>
            </w:r>
            <w:r w:rsidR="007D5942">
              <w:rPr>
                <w:noProof/>
                <w:webHidden/>
              </w:rPr>
              <w:tab/>
            </w:r>
            <w:r w:rsidR="007D5942">
              <w:rPr>
                <w:noProof/>
                <w:webHidden/>
              </w:rPr>
              <w:fldChar w:fldCharType="begin"/>
            </w:r>
            <w:r w:rsidR="007D5942">
              <w:rPr>
                <w:noProof/>
                <w:webHidden/>
              </w:rPr>
              <w:instrText xml:space="preserve"> PAGEREF _Toc391887918 \h </w:instrText>
            </w:r>
            <w:r w:rsidR="007D5942">
              <w:rPr>
                <w:noProof/>
                <w:webHidden/>
              </w:rPr>
            </w:r>
            <w:r w:rsidR="007D5942">
              <w:rPr>
                <w:noProof/>
                <w:webHidden/>
              </w:rPr>
              <w:fldChar w:fldCharType="separate"/>
            </w:r>
            <w:r>
              <w:rPr>
                <w:noProof/>
                <w:webHidden/>
              </w:rPr>
              <w:t>9</w:t>
            </w:r>
            <w:r w:rsidR="007D5942">
              <w:rPr>
                <w:noProof/>
                <w:webHidden/>
              </w:rPr>
              <w:fldChar w:fldCharType="end"/>
            </w:r>
          </w:hyperlink>
        </w:p>
        <w:p w:rsidR="00010ADA" w:rsidRDefault="00CE4BE0">
          <w:pPr>
            <w:pStyle w:val="TOC3"/>
            <w:rPr>
              <w:noProof/>
            </w:rPr>
          </w:pPr>
          <w:hyperlink w:anchor="_Toc391887919" w:history="1">
            <w:r w:rsidR="007D5942">
              <w:rPr>
                <w:rStyle w:val="Hyperlink"/>
                <w:noProof/>
              </w:rPr>
              <w:t>2.</w:t>
            </w:r>
            <w:r w:rsidR="007D5942">
              <w:rPr>
                <w:noProof/>
              </w:rPr>
              <w:tab/>
            </w:r>
            <w:r w:rsidR="007D5942">
              <w:rPr>
                <w:rStyle w:val="Hyperlink"/>
                <w:noProof/>
              </w:rPr>
              <w:t>DP&amp;L’s requests to retain environmental liabilities and for accounting modifications to defer related clean-up costs are unlawful and unreasonable</w:t>
            </w:r>
            <w:r w:rsidR="007D5942">
              <w:rPr>
                <w:noProof/>
                <w:webHidden/>
              </w:rPr>
              <w:tab/>
            </w:r>
            <w:r w:rsidR="007D5942">
              <w:rPr>
                <w:noProof/>
                <w:webHidden/>
              </w:rPr>
              <w:fldChar w:fldCharType="begin"/>
            </w:r>
            <w:r w:rsidR="007D5942">
              <w:rPr>
                <w:noProof/>
                <w:webHidden/>
              </w:rPr>
              <w:instrText xml:space="preserve"> PAGEREF _Toc391887919 \h </w:instrText>
            </w:r>
            <w:r w:rsidR="007D5942">
              <w:rPr>
                <w:noProof/>
                <w:webHidden/>
              </w:rPr>
            </w:r>
            <w:r w:rsidR="007D5942">
              <w:rPr>
                <w:noProof/>
                <w:webHidden/>
              </w:rPr>
              <w:fldChar w:fldCharType="separate"/>
            </w:r>
            <w:r>
              <w:rPr>
                <w:noProof/>
                <w:webHidden/>
              </w:rPr>
              <w:t>11</w:t>
            </w:r>
            <w:r w:rsidR="007D5942">
              <w:rPr>
                <w:noProof/>
                <w:webHidden/>
              </w:rPr>
              <w:fldChar w:fldCharType="end"/>
            </w:r>
          </w:hyperlink>
        </w:p>
        <w:p w:rsidR="00010ADA" w:rsidRDefault="00CE4BE0">
          <w:pPr>
            <w:pStyle w:val="TOC3"/>
            <w:rPr>
              <w:noProof/>
            </w:rPr>
          </w:pPr>
          <w:hyperlink w:anchor="_Toc391887920" w:history="1">
            <w:r w:rsidR="007D5942">
              <w:rPr>
                <w:rStyle w:val="Hyperlink"/>
                <w:noProof/>
              </w:rPr>
              <w:t>3.</w:t>
            </w:r>
            <w:r w:rsidR="007D5942">
              <w:rPr>
                <w:noProof/>
              </w:rPr>
              <w:tab/>
            </w:r>
            <w:r w:rsidR="007D5942">
              <w:rPr>
                <w:rStyle w:val="Hyperlink"/>
                <w:noProof/>
              </w:rPr>
              <w:t>DP&amp;L’s request to defer OVEC costs is unlawful and unreasonable</w:t>
            </w:r>
            <w:r w:rsidR="007D5942">
              <w:rPr>
                <w:noProof/>
                <w:webHidden/>
              </w:rPr>
              <w:tab/>
            </w:r>
            <w:r w:rsidR="007D5942">
              <w:rPr>
                <w:noProof/>
                <w:webHidden/>
              </w:rPr>
              <w:fldChar w:fldCharType="begin"/>
            </w:r>
            <w:r w:rsidR="007D5942">
              <w:rPr>
                <w:noProof/>
                <w:webHidden/>
              </w:rPr>
              <w:instrText xml:space="preserve"> PAGEREF _Toc391887920 \h </w:instrText>
            </w:r>
            <w:r w:rsidR="007D5942">
              <w:rPr>
                <w:noProof/>
                <w:webHidden/>
              </w:rPr>
            </w:r>
            <w:r w:rsidR="007D5942">
              <w:rPr>
                <w:noProof/>
                <w:webHidden/>
              </w:rPr>
              <w:fldChar w:fldCharType="separate"/>
            </w:r>
            <w:r>
              <w:rPr>
                <w:noProof/>
                <w:webHidden/>
              </w:rPr>
              <w:t>12</w:t>
            </w:r>
            <w:r w:rsidR="007D5942">
              <w:rPr>
                <w:noProof/>
                <w:webHidden/>
              </w:rPr>
              <w:fldChar w:fldCharType="end"/>
            </w:r>
          </w:hyperlink>
        </w:p>
        <w:p w:rsidR="00010ADA" w:rsidRDefault="00CE4BE0">
          <w:pPr>
            <w:pStyle w:val="TOC3"/>
            <w:rPr>
              <w:noProof/>
            </w:rPr>
          </w:pPr>
          <w:hyperlink w:anchor="_Toc391887921" w:history="1">
            <w:r w:rsidR="007D5942">
              <w:rPr>
                <w:rStyle w:val="Hyperlink"/>
                <w:noProof/>
              </w:rPr>
              <w:t>4.</w:t>
            </w:r>
            <w:r w:rsidR="007D5942">
              <w:rPr>
                <w:noProof/>
              </w:rPr>
              <w:tab/>
            </w:r>
            <w:r w:rsidR="007D5942">
              <w:rPr>
                <w:rStyle w:val="Hyperlink"/>
                <w:noProof/>
              </w:rPr>
              <w:t>DP&amp;L is seeking to retain debt that may expose customers to unreasonable leverage</w:t>
            </w:r>
            <w:r w:rsidR="007D5942">
              <w:rPr>
                <w:noProof/>
                <w:webHidden/>
              </w:rPr>
              <w:tab/>
            </w:r>
            <w:r w:rsidR="007D5942">
              <w:rPr>
                <w:noProof/>
                <w:webHidden/>
              </w:rPr>
              <w:fldChar w:fldCharType="begin"/>
            </w:r>
            <w:r w:rsidR="007D5942">
              <w:rPr>
                <w:noProof/>
                <w:webHidden/>
              </w:rPr>
              <w:instrText xml:space="preserve"> PAGEREF _Toc391887921 \h </w:instrText>
            </w:r>
            <w:r w:rsidR="007D5942">
              <w:rPr>
                <w:noProof/>
                <w:webHidden/>
              </w:rPr>
            </w:r>
            <w:r w:rsidR="007D5942">
              <w:rPr>
                <w:noProof/>
                <w:webHidden/>
              </w:rPr>
              <w:fldChar w:fldCharType="separate"/>
            </w:r>
            <w:r>
              <w:rPr>
                <w:noProof/>
                <w:webHidden/>
              </w:rPr>
              <w:t>13</w:t>
            </w:r>
            <w:r w:rsidR="007D5942">
              <w:rPr>
                <w:noProof/>
                <w:webHidden/>
              </w:rPr>
              <w:fldChar w:fldCharType="end"/>
            </w:r>
          </w:hyperlink>
        </w:p>
        <w:p w:rsidR="00010ADA" w:rsidRDefault="00CE4BE0">
          <w:pPr>
            <w:pStyle w:val="TOC3"/>
            <w:rPr>
              <w:noProof/>
            </w:rPr>
          </w:pPr>
          <w:hyperlink w:anchor="_Toc391887922" w:history="1">
            <w:r w:rsidR="007D5942">
              <w:rPr>
                <w:rStyle w:val="Hyperlink"/>
                <w:noProof/>
              </w:rPr>
              <w:t>5.</w:t>
            </w:r>
            <w:r w:rsidR="007D5942">
              <w:rPr>
                <w:noProof/>
              </w:rPr>
              <w:tab/>
            </w:r>
            <w:r w:rsidR="007D5942">
              <w:rPr>
                <w:rStyle w:val="Hyperlink"/>
                <w:noProof/>
              </w:rPr>
              <w:t>DP&amp;L is seeking authority to unreasonably saddle its customers with the costs of its generation divestiture</w:t>
            </w:r>
            <w:r w:rsidR="007D5942">
              <w:rPr>
                <w:noProof/>
                <w:webHidden/>
              </w:rPr>
              <w:tab/>
            </w:r>
            <w:r w:rsidR="007D5942">
              <w:rPr>
                <w:noProof/>
                <w:webHidden/>
              </w:rPr>
              <w:fldChar w:fldCharType="begin"/>
            </w:r>
            <w:r w:rsidR="007D5942">
              <w:rPr>
                <w:noProof/>
                <w:webHidden/>
              </w:rPr>
              <w:instrText xml:space="preserve"> PAGEREF _Toc391887922 \h </w:instrText>
            </w:r>
            <w:r w:rsidR="007D5942">
              <w:rPr>
                <w:noProof/>
                <w:webHidden/>
              </w:rPr>
            </w:r>
            <w:r w:rsidR="007D5942">
              <w:rPr>
                <w:noProof/>
                <w:webHidden/>
              </w:rPr>
              <w:fldChar w:fldCharType="separate"/>
            </w:r>
            <w:r>
              <w:rPr>
                <w:noProof/>
                <w:webHidden/>
              </w:rPr>
              <w:t>14</w:t>
            </w:r>
            <w:r w:rsidR="007D5942">
              <w:rPr>
                <w:noProof/>
                <w:webHidden/>
              </w:rPr>
              <w:fldChar w:fldCharType="end"/>
            </w:r>
          </w:hyperlink>
        </w:p>
        <w:p w:rsidR="00010ADA" w:rsidRDefault="00CE4BE0">
          <w:pPr>
            <w:pStyle w:val="TOC3"/>
            <w:rPr>
              <w:noProof/>
            </w:rPr>
          </w:pPr>
          <w:hyperlink w:anchor="_Toc391887923" w:history="1">
            <w:r w:rsidR="007D5942">
              <w:rPr>
                <w:rStyle w:val="Hyperlink"/>
                <w:noProof/>
              </w:rPr>
              <w:t>6.</w:t>
            </w:r>
            <w:r w:rsidR="007D5942">
              <w:rPr>
                <w:noProof/>
              </w:rPr>
              <w:tab/>
            </w:r>
            <w:r w:rsidR="007D5942">
              <w:rPr>
                <w:rStyle w:val="Hyperlink"/>
                <w:noProof/>
              </w:rPr>
              <w:t>The Commission should deny DP&amp;L’s request to waive a hearing</w:t>
            </w:r>
            <w:r w:rsidR="007D5942">
              <w:rPr>
                <w:noProof/>
                <w:webHidden/>
              </w:rPr>
              <w:tab/>
            </w:r>
            <w:r w:rsidR="007D5942">
              <w:rPr>
                <w:noProof/>
                <w:webHidden/>
              </w:rPr>
              <w:fldChar w:fldCharType="begin"/>
            </w:r>
            <w:r w:rsidR="007D5942">
              <w:rPr>
                <w:noProof/>
                <w:webHidden/>
              </w:rPr>
              <w:instrText xml:space="preserve"> PAGEREF _Toc391887923 \h </w:instrText>
            </w:r>
            <w:r w:rsidR="007D5942">
              <w:rPr>
                <w:noProof/>
                <w:webHidden/>
              </w:rPr>
            </w:r>
            <w:r w:rsidR="007D5942">
              <w:rPr>
                <w:noProof/>
                <w:webHidden/>
              </w:rPr>
              <w:fldChar w:fldCharType="separate"/>
            </w:r>
            <w:r>
              <w:rPr>
                <w:noProof/>
                <w:webHidden/>
              </w:rPr>
              <w:t>15</w:t>
            </w:r>
            <w:r w:rsidR="007D5942">
              <w:rPr>
                <w:noProof/>
                <w:webHidden/>
              </w:rPr>
              <w:fldChar w:fldCharType="end"/>
            </w:r>
          </w:hyperlink>
        </w:p>
        <w:p w:rsidR="00010ADA" w:rsidRDefault="00CE4BE0">
          <w:pPr>
            <w:pStyle w:val="TOC1"/>
            <w:rPr>
              <w:noProof/>
            </w:rPr>
          </w:pPr>
          <w:hyperlink w:anchor="_Toc391887924" w:history="1">
            <w:r w:rsidR="007D5942">
              <w:rPr>
                <w:rStyle w:val="Hyperlink"/>
                <w:noProof/>
              </w:rPr>
              <w:t>IV.</w:t>
            </w:r>
            <w:r w:rsidR="007D5942">
              <w:rPr>
                <w:noProof/>
              </w:rPr>
              <w:tab/>
            </w:r>
            <w:r w:rsidR="007D5942">
              <w:rPr>
                <w:rStyle w:val="Hyperlink"/>
                <w:caps/>
                <w:noProof/>
              </w:rPr>
              <w:t>conclusion</w:t>
            </w:r>
            <w:r w:rsidR="007D5942">
              <w:rPr>
                <w:noProof/>
                <w:webHidden/>
              </w:rPr>
              <w:tab/>
            </w:r>
            <w:r w:rsidR="007D5942">
              <w:rPr>
                <w:noProof/>
                <w:webHidden/>
              </w:rPr>
              <w:fldChar w:fldCharType="begin"/>
            </w:r>
            <w:r w:rsidR="007D5942">
              <w:rPr>
                <w:noProof/>
                <w:webHidden/>
              </w:rPr>
              <w:instrText xml:space="preserve"> PAGEREF _Toc391887924 \h </w:instrText>
            </w:r>
            <w:r w:rsidR="007D5942">
              <w:rPr>
                <w:noProof/>
                <w:webHidden/>
              </w:rPr>
            </w:r>
            <w:r w:rsidR="007D5942">
              <w:rPr>
                <w:noProof/>
                <w:webHidden/>
              </w:rPr>
              <w:fldChar w:fldCharType="separate"/>
            </w:r>
            <w:r>
              <w:rPr>
                <w:noProof/>
                <w:webHidden/>
              </w:rPr>
              <w:t>16</w:t>
            </w:r>
            <w:r w:rsidR="007D5942">
              <w:rPr>
                <w:noProof/>
                <w:webHidden/>
              </w:rPr>
              <w:fldChar w:fldCharType="end"/>
            </w:r>
          </w:hyperlink>
        </w:p>
        <w:p w:rsidR="00010ADA" w:rsidRDefault="007D5942">
          <w:r>
            <w:rPr>
              <w:b/>
              <w:bCs/>
              <w:noProof/>
            </w:rPr>
            <w:fldChar w:fldCharType="end"/>
          </w:r>
        </w:p>
      </w:sdtContent>
    </w:sdt>
    <w:p w:rsidR="00010ADA" w:rsidRDefault="00010ADA">
      <w:pPr>
        <w:spacing w:line="240" w:lineRule="auto"/>
        <w:jc w:val="left"/>
        <w:rPr>
          <w:rFonts w:eastAsiaTheme="minorHAnsi" w:cs="Arial"/>
          <w:b/>
        </w:rPr>
      </w:pPr>
    </w:p>
    <w:p w:rsidR="00010ADA" w:rsidRDefault="00010ADA">
      <w:pPr>
        <w:jc w:val="center"/>
        <w:rPr>
          <w:b/>
        </w:rPr>
        <w:sectPr w:rsidR="00010ADA">
          <w:pgSz w:w="12240" w:h="15840" w:code="1"/>
          <w:pgMar w:top="1440" w:right="1440" w:bottom="720" w:left="1440" w:header="720" w:footer="720" w:gutter="0"/>
          <w:cols w:space="720"/>
          <w:titlePg/>
          <w:docGrid w:linePitch="360"/>
        </w:sectPr>
      </w:pPr>
    </w:p>
    <w:p w:rsidR="00010ADA" w:rsidRDefault="007D5942">
      <w:pPr>
        <w:spacing w:line="240" w:lineRule="auto"/>
        <w:jc w:val="center"/>
        <w:rPr>
          <w:rFonts w:eastAsiaTheme="minorHAnsi" w:cs="Arial"/>
          <w:b/>
          <w:smallCaps/>
          <w:sz w:val="28"/>
          <w:szCs w:val="20"/>
        </w:rPr>
      </w:pPr>
      <w:r>
        <w:rPr>
          <w:rFonts w:eastAsiaTheme="minorHAnsi" w:cs="Arial"/>
          <w:b/>
          <w:smallCaps/>
          <w:sz w:val="28"/>
          <w:szCs w:val="20"/>
        </w:rPr>
        <w:lastRenderedPageBreak/>
        <w:t>Before</w:t>
      </w:r>
    </w:p>
    <w:p w:rsidR="00010ADA" w:rsidRDefault="007D5942">
      <w:pPr>
        <w:spacing w:line="240" w:lineRule="auto"/>
        <w:jc w:val="center"/>
        <w:rPr>
          <w:rFonts w:eastAsiaTheme="minorHAnsi" w:cs="Arial"/>
          <w:b/>
          <w:smallCaps/>
          <w:sz w:val="28"/>
          <w:szCs w:val="20"/>
        </w:rPr>
      </w:pPr>
      <w:r>
        <w:rPr>
          <w:rFonts w:eastAsiaTheme="minorHAnsi" w:cs="Arial"/>
          <w:b/>
          <w:smallCaps/>
          <w:sz w:val="28"/>
          <w:szCs w:val="20"/>
        </w:rPr>
        <w:t>The Public Utilities Commission of Ohio</w:t>
      </w:r>
    </w:p>
    <w:p w:rsidR="00010ADA" w:rsidRDefault="00010ADA">
      <w:pPr>
        <w:autoSpaceDE w:val="0"/>
        <w:autoSpaceDN w:val="0"/>
        <w:adjustRightInd w:val="0"/>
        <w:spacing w:line="240" w:lineRule="auto"/>
        <w:jc w:val="left"/>
        <w:rPr>
          <w:rFonts w:eastAsiaTheme="minorHAnsi" w:cs="Arial"/>
          <w:sz w:val="20"/>
          <w:szCs w:val="20"/>
        </w:rPr>
      </w:pPr>
    </w:p>
    <w:p w:rsidR="00010ADA" w:rsidRDefault="007D5942">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In the Matter of the Application of</w:t>
      </w:r>
      <w:r>
        <w:rPr>
          <w:rFonts w:eastAsiaTheme="minorHAnsi" w:cs="Arial"/>
        </w:rPr>
        <w:tab/>
        <w:t>)</w:t>
      </w:r>
    </w:p>
    <w:p w:rsidR="00010ADA" w:rsidRDefault="007D5942">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r>
        <w:rPr>
          <w:rFonts w:eastAsiaTheme="minorHAnsi" w:cs="Arial"/>
        </w:rPr>
        <w:t>The Dayton Power and Light Company</w:t>
      </w:r>
      <w:r>
        <w:rPr>
          <w:rFonts w:eastAsiaTheme="minorHAnsi" w:cs="Arial"/>
        </w:rPr>
        <w:tab/>
        <w:t>)</w:t>
      </w:r>
      <w:r>
        <w:rPr>
          <w:rFonts w:eastAsiaTheme="minorHAnsi" w:cs="Arial"/>
        </w:rPr>
        <w:tab/>
        <w:t>Case No. 13-2420-EL-UNC</w:t>
      </w:r>
    </w:p>
    <w:p w:rsidR="00010ADA" w:rsidRDefault="007D5942">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roofErr w:type="gramStart"/>
      <w:r>
        <w:rPr>
          <w:rFonts w:eastAsiaTheme="minorHAnsi" w:cs="Arial"/>
        </w:rPr>
        <w:t>for</w:t>
      </w:r>
      <w:proofErr w:type="gramEnd"/>
      <w:r>
        <w:rPr>
          <w:rFonts w:eastAsiaTheme="minorHAnsi" w:cs="Arial"/>
        </w:rPr>
        <w:t xml:space="preserve"> Authority to Transfer or Sell Its</w:t>
      </w:r>
      <w:r>
        <w:rPr>
          <w:rFonts w:eastAsiaTheme="minorHAnsi" w:cs="Arial"/>
        </w:rPr>
        <w:tab/>
        <w:t>)</w:t>
      </w:r>
    </w:p>
    <w:p w:rsidR="00010ADA" w:rsidRDefault="007D5942">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roofErr w:type="gramStart"/>
      <w:r>
        <w:rPr>
          <w:rFonts w:eastAsiaTheme="minorHAnsi" w:cs="Arial"/>
        </w:rPr>
        <w:t>Generation Assets.</w:t>
      </w:r>
      <w:proofErr w:type="gramEnd"/>
      <w:r>
        <w:rPr>
          <w:rFonts w:eastAsiaTheme="minorHAnsi" w:cs="Arial"/>
        </w:rPr>
        <w:tab/>
        <w:t>)</w:t>
      </w:r>
    </w:p>
    <w:p w:rsidR="00010ADA" w:rsidRDefault="00010ADA">
      <w:pPr>
        <w:tabs>
          <w:tab w:val="left" w:pos="-1440"/>
          <w:tab w:val="left" w:pos="-720"/>
          <w:tab w:val="left" w:pos="4680"/>
          <w:tab w:val="left" w:pos="5760"/>
          <w:tab w:val="center" w:pos="7200"/>
        </w:tabs>
        <w:overflowPunct w:val="0"/>
        <w:autoSpaceDE w:val="0"/>
        <w:autoSpaceDN w:val="0"/>
        <w:adjustRightInd w:val="0"/>
        <w:spacing w:line="240" w:lineRule="auto"/>
        <w:rPr>
          <w:rFonts w:eastAsiaTheme="minorHAnsi" w:cs="Arial"/>
        </w:rPr>
      </w:pPr>
    </w:p>
    <w:p w:rsidR="00010ADA" w:rsidRDefault="00010ADA">
      <w:pP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010ADA" w:rsidRDefault="00010ADA">
      <w:pPr>
        <w:pBdr>
          <w:top w:val="single" w:sz="12" w:space="1" w:color="auto"/>
        </w:pBdr>
        <w:tabs>
          <w:tab w:val="left" w:pos="-1440"/>
          <w:tab w:val="left" w:pos="-720"/>
          <w:tab w:val="left" w:pos="5040"/>
          <w:tab w:val="center" w:pos="7200"/>
        </w:tabs>
        <w:overflowPunct w:val="0"/>
        <w:autoSpaceDE w:val="0"/>
        <w:autoSpaceDN w:val="0"/>
        <w:adjustRightInd w:val="0"/>
        <w:spacing w:line="240" w:lineRule="auto"/>
        <w:rPr>
          <w:rFonts w:eastAsiaTheme="minorHAnsi" w:cs="Arial"/>
          <w:smallCaps/>
          <w:sz w:val="20"/>
          <w:szCs w:val="20"/>
        </w:rPr>
      </w:pPr>
    </w:p>
    <w:p w:rsidR="00010ADA" w:rsidRDefault="007D5942">
      <w:pPr>
        <w:spacing w:line="240" w:lineRule="auto"/>
        <w:jc w:val="center"/>
        <w:rPr>
          <w:rFonts w:eastAsiaTheme="minorHAnsi" w:cs="Arial"/>
          <w:b/>
          <w:smallCaps/>
          <w:sz w:val="28"/>
          <w:szCs w:val="28"/>
        </w:rPr>
      </w:pPr>
      <w:r>
        <w:rPr>
          <w:rFonts w:eastAsiaTheme="minorHAnsi" w:cs="Arial"/>
          <w:b/>
          <w:smallCaps/>
          <w:sz w:val="28"/>
          <w:szCs w:val="28"/>
        </w:rPr>
        <w:t>Industrial Energy Users-Ohio’s</w:t>
      </w:r>
    </w:p>
    <w:p w:rsidR="00010ADA" w:rsidRDefault="007D5942">
      <w:pPr>
        <w:spacing w:line="240" w:lineRule="auto"/>
        <w:jc w:val="center"/>
        <w:rPr>
          <w:rFonts w:eastAsiaTheme="minorHAnsi" w:cs="Arial"/>
          <w:b/>
          <w:smallCaps/>
          <w:sz w:val="28"/>
          <w:szCs w:val="28"/>
        </w:rPr>
      </w:pPr>
      <w:r>
        <w:rPr>
          <w:rFonts w:eastAsiaTheme="minorHAnsi" w:cs="Arial"/>
          <w:b/>
          <w:smallCaps/>
          <w:sz w:val="28"/>
          <w:szCs w:val="28"/>
        </w:rPr>
        <w:t>Comments on The Dayton Power and Light Company’s</w:t>
      </w:r>
    </w:p>
    <w:p w:rsidR="00010ADA" w:rsidRDefault="007D5942">
      <w:pPr>
        <w:spacing w:line="240" w:lineRule="auto"/>
        <w:jc w:val="center"/>
        <w:rPr>
          <w:rFonts w:eastAsiaTheme="minorHAnsi" w:cs="Arial"/>
          <w:b/>
          <w:smallCaps/>
          <w:sz w:val="32"/>
          <w:szCs w:val="32"/>
        </w:rPr>
      </w:pPr>
      <w:r>
        <w:rPr>
          <w:rFonts w:eastAsiaTheme="minorHAnsi" w:cs="Arial"/>
          <w:b/>
          <w:smallCaps/>
          <w:sz w:val="28"/>
          <w:szCs w:val="28"/>
        </w:rPr>
        <w:t>Amended Supplemental Application</w:t>
      </w:r>
    </w:p>
    <w:p w:rsidR="00010ADA" w:rsidRDefault="00010ADA">
      <w:pPr>
        <w:pBdr>
          <w:bottom w:val="single" w:sz="12" w:space="1" w:color="auto"/>
        </w:pBd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010ADA">
      <w:pPr>
        <w:spacing w:line="240" w:lineRule="auto"/>
        <w:rPr>
          <w:rFonts w:eastAsiaTheme="minorHAnsi" w:cs="Arial"/>
          <w:sz w:val="20"/>
          <w:szCs w:val="20"/>
        </w:rPr>
      </w:pPr>
    </w:p>
    <w:p w:rsidR="00010ADA" w:rsidRDefault="007D5942">
      <w:r>
        <w:tab/>
        <w:t xml:space="preserve">Pursuant to the Attorney Examiner’s May 30, 2014 Entry, Industrial Energy Users-Ohio (“IEU-Ohio”) hereby submits </w:t>
      </w:r>
      <w:r w:rsidR="00F20C51">
        <w:t>C</w:t>
      </w:r>
      <w:r>
        <w:t xml:space="preserve">omments </w:t>
      </w:r>
      <w:r w:rsidR="00F20C51">
        <w:t xml:space="preserve">on </w:t>
      </w:r>
      <w:r>
        <w:t>the Amended Supplemental Application filed by The Dayton Power and Light Company (“DP&amp;L”) on May 23, 2014, in the above-captioned matter.  IEU-Ohio supports a divestiture of DP&amp;L’s generating assets under lawful and reasonable terms and conditions.  DP&amp;L’s Amended Supplemental Application, however, contains terms that are unlawful, unjust, unreasonable, and contrary to the public interest.  Accordingly, the Public Utilities Commission of Ohio (“Commission”) should either reject the unlawful or unreasonable terms and conditions or, consistent with its rules, set the Amended Supplemental Application for a hearing.</w:t>
      </w:r>
    </w:p>
    <w:p w:rsidR="00010ADA" w:rsidRDefault="007D5942">
      <w:pPr>
        <w:pStyle w:val="Heading1"/>
      </w:pPr>
      <w:bookmarkStart w:id="1" w:name="_Toc391887912"/>
      <w:r>
        <w:t>Applicable standard</w:t>
      </w:r>
      <w:bookmarkEnd w:id="1"/>
    </w:p>
    <w:p w:rsidR="00010ADA" w:rsidRDefault="007D5942">
      <w:pPr>
        <w:ind w:firstLine="720"/>
        <w:rPr>
          <w:rFonts w:cs="Arial"/>
        </w:rPr>
      </w:pPr>
      <w:r>
        <w:rPr>
          <w:rFonts w:cs="Arial"/>
        </w:rPr>
        <w:t>Commission Rule 4901:1-37-09(D), Ohio Administrative Code (“O.A.C.”), address</w:t>
      </w:r>
      <w:r w:rsidR="00F20C51">
        <w:rPr>
          <w:rFonts w:cs="Arial"/>
        </w:rPr>
        <w:t>es</w:t>
      </w:r>
      <w:r>
        <w:rPr>
          <w:rFonts w:cs="Arial"/>
        </w:rPr>
        <w:t xml:space="preserve"> an application of an electric distribution utility (“EDU”) to divest its generating assets and provides: </w:t>
      </w:r>
    </w:p>
    <w:p w:rsidR="00010ADA" w:rsidRDefault="007D5942">
      <w:pPr>
        <w:spacing w:line="240" w:lineRule="auto"/>
        <w:ind w:left="720" w:right="720" w:firstLine="720"/>
        <w:rPr>
          <w:rFonts w:cs="Arial"/>
        </w:rPr>
      </w:pPr>
      <w:r>
        <w:rPr>
          <w:rFonts w:cs="Arial"/>
        </w:rPr>
        <w:t xml:space="preserve">[u]pon the filing of such application [to transfer generating assets], the commission may fix a time and place for a hearing if the application </w:t>
      </w:r>
      <w:r>
        <w:rPr>
          <w:rFonts w:cs="Arial"/>
        </w:rPr>
        <w:lastRenderedPageBreak/>
        <w:t>appears to be unjust, unreasonable, or not in the public interest.  The commission shall fix a time and place for a hearing with respect to any application that proposes to alter the jurisdiction of the commission over a generation asset.</w:t>
      </w:r>
    </w:p>
    <w:p w:rsidR="00010ADA" w:rsidRDefault="00010ADA">
      <w:pPr>
        <w:spacing w:line="240" w:lineRule="auto"/>
        <w:ind w:firstLine="720"/>
        <w:rPr>
          <w:rFonts w:cs="Arial"/>
        </w:rPr>
      </w:pPr>
    </w:p>
    <w:p w:rsidR="00010ADA" w:rsidRDefault="007D5942">
      <w:pPr>
        <w:ind w:firstLine="720"/>
        <w:rPr>
          <w:rFonts w:cs="Arial"/>
        </w:rPr>
      </w:pPr>
      <w:r>
        <w:rPr>
          <w:rFonts w:cs="Arial"/>
        </w:rPr>
        <w:t>Furthermore, Rule 4901:1-37-09(C), O.A.C., states that an application to sell or transfer generation assets shall, at a minimum:</w:t>
      </w:r>
    </w:p>
    <w:p w:rsidR="00010ADA" w:rsidRDefault="007D5942">
      <w:pPr>
        <w:spacing w:after="120" w:line="276" w:lineRule="auto"/>
        <w:ind w:left="1440" w:right="720" w:hanging="720"/>
        <w:rPr>
          <w:rFonts w:cs="Arial"/>
        </w:rPr>
      </w:pPr>
      <w:r>
        <w:rPr>
          <w:rFonts w:cs="Arial"/>
        </w:rPr>
        <w:t>(1)</w:t>
      </w:r>
      <w:r>
        <w:rPr>
          <w:rFonts w:cs="Arial"/>
        </w:rPr>
        <w:tab/>
        <w:t>Clearly set forth the object and purpose of the sale or transfer, and the terms and conditions of the same.</w:t>
      </w:r>
    </w:p>
    <w:p w:rsidR="00010ADA" w:rsidRDefault="007D5942">
      <w:pPr>
        <w:spacing w:after="120" w:line="276" w:lineRule="auto"/>
        <w:ind w:left="1440" w:right="720" w:hanging="720"/>
        <w:rPr>
          <w:rFonts w:cs="Arial"/>
        </w:rPr>
      </w:pPr>
      <w:r>
        <w:rPr>
          <w:rFonts w:cs="Arial"/>
        </w:rPr>
        <w:t>(2)</w:t>
      </w:r>
      <w:r>
        <w:rPr>
          <w:rFonts w:cs="Arial"/>
        </w:rPr>
        <w:tab/>
        <w:t>Demonstrate how the sale or transfer will affect the current and future standard service offer established pursuant to section 4928.141 of the Revised Code.</w:t>
      </w:r>
    </w:p>
    <w:p w:rsidR="00010ADA" w:rsidRDefault="007D5942">
      <w:pPr>
        <w:spacing w:after="120" w:line="276" w:lineRule="auto"/>
        <w:ind w:left="1440" w:right="720" w:hanging="720"/>
        <w:rPr>
          <w:rFonts w:cs="Arial"/>
        </w:rPr>
      </w:pPr>
      <w:r>
        <w:rPr>
          <w:rFonts w:cs="Arial"/>
        </w:rPr>
        <w:t>(3)</w:t>
      </w:r>
      <w:r>
        <w:rPr>
          <w:rFonts w:cs="Arial"/>
        </w:rPr>
        <w:tab/>
        <w:t>Demonstrate how the proposed sale or transfer will affect the public interest.</w:t>
      </w:r>
    </w:p>
    <w:p w:rsidR="00010ADA" w:rsidRDefault="007D5942">
      <w:pPr>
        <w:spacing w:after="120" w:line="276" w:lineRule="auto"/>
        <w:ind w:left="1440" w:right="720" w:hanging="720"/>
      </w:pPr>
      <w:r>
        <w:rPr>
          <w:rFonts w:cs="Arial"/>
        </w:rPr>
        <w:t>(4)</w:t>
      </w:r>
      <w:r>
        <w:rPr>
          <w:rFonts w:cs="Arial"/>
        </w:rPr>
        <w:tab/>
        <w:t>State the fair market value and book value of all property to be transferred from the electric utility, and state how the fair market value was determined.</w:t>
      </w:r>
    </w:p>
    <w:p w:rsidR="00010ADA" w:rsidRDefault="007D5942">
      <w:pPr>
        <w:pStyle w:val="Heading1"/>
      </w:pPr>
      <w:bookmarkStart w:id="2" w:name="_Toc391887913"/>
      <w:r>
        <w:t>introduction</w:t>
      </w:r>
      <w:bookmarkEnd w:id="2"/>
    </w:p>
    <w:p w:rsidR="00010ADA" w:rsidRDefault="007D5942">
      <w:pPr>
        <w:ind w:firstLine="720"/>
      </w:pPr>
      <w:r>
        <w:t>DP&amp;L has filed three applications in this proceeding requesting authority to transfer its generating assets.  The first application</w:t>
      </w:r>
      <w:r>
        <w:rPr>
          <w:vertAlign w:val="superscript"/>
        </w:rPr>
        <w:footnoteReference w:id="1"/>
      </w:r>
      <w:r>
        <w:t xml:space="preserve"> was filed on December 30, 2013.  The Commission issued an Entry on January 3, 2014 requesting comments and reply comments on DP&amp;L’s December 30, 2013 Application.  Through comments and reply comments (filed February 4, 2014 and February 19, 2014, respectively), parties demonstrated that DP&amp;L’s December 30, 2013 Application was unjust and unreasonable and was largely devoid of the information necessary to properly analyze DP&amp;L’s proposed asset divestiture.  </w:t>
      </w:r>
    </w:p>
    <w:p w:rsidR="00010ADA" w:rsidRDefault="007D5942">
      <w:r>
        <w:lastRenderedPageBreak/>
        <w:tab/>
        <w:t>On February 25, 2014, DP&amp;L filed a Supplemental Application.</w:t>
      </w:r>
      <w:r>
        <w:rPr>
          <w:vertAlign w:val="superscript"/>
        </w:rPr>
        <w:footnoteReference w:id="2"/>
      </w:r>
      <w:r>
        <w:t xml:space="preserve">  The Supplemental Application still failed to provide the necessary information regarding the terms and conditions of a transfer and information regarding the effect of the transfer on the standard service offer (“SSO”).  Even though DP&amp;L could not describe the terms of the proposed transfer to meet the minimum requirements of the Commission’s rules, DP&amp;L also sought to secure additional authority to shift economic and environmental risks associated with its generation assets to customers.   </w:t>
      </w:r>
    </w:p>
    <w:p w:rsidR="00010ADA" w:rsidRDefault="007D5942">
      <w:pPr>
        <w:ind w:firstLine="720"/>
      </w:pPr>
      <w:r>
        <w:t xml:space="preserve">On March 4, </w:t>
      </w:r>
      <w:r w:rsidR="00F20C51">
        <w:t>2014, the Commission issued an E</w:t>
      </w:r>
      <w:r>
        <w:t>ntry seeking comments and reply comments on DP&amp;L’s Supplemental Application.  Parties filed comments and reply comments on March 25, 2014, and April 7, 2014, respectively.  The March 25, 2014 and April 7, 2014 comments and reply comments identified that DP&amp;L’s Supplemental Application was unjust, unreasonable, and contrary to the public interest because it still lacked sufficient detail regarding its proposed asset transfer.  Additionally, the parties demonstrated that the terms and conditions proposed by DP&amp;L in the Supplemental Application were unlawful and unreasonable.</w:t>
      </w:r>
    </w:p>
    <w:p w:rsidR="00010ADA" w:rsidRDefault="007D5942">
      <w:pPr>
        <w:ind w:firstLine="720"/>
      </w:pPr>
      <w:r>
        <w:t xml:space="preserve">On May 23, 2014, DP&amp;L filed an Amended Supplemental Application in the above-captioned matter regarding its proposal to transfer its generating assets.  While the Amended Supplemental Application contains a few more details than the Supplemental Application, it still falls well short of clearly setting forth the terms and conditions of the proposed asset transfer; still fails to demonstrate how the asset transfer will affect future SSO prices; and retains terms and conditions that the parties demonstrated were unlawful and unreasonable in the March 25, 2014 and April 7, 2014 </w:t>
      </w:r>
      <w:r>
        <w:lastRenderedPageBreak/>
        <w:t>comments and reply comments.  In the Amended Supplemental Application, DP&amp;L again seeks a waiver of the Commission’s rule that requires this matter be set for a hearing.</w:t>
      </w:r>
    </w:p>
    <w:p w:rsidR="00010ADA" w:rsidRDefault="007D5942">
      <w:pPr>
        <w:ind w:firstLine="720"/>
      </w:pPr>
      <w:r>
        <w:t xml:space="preserve">The limited additional details provided in the Amended Supplemental Application generally address DP&amp;L’s long-term debt, including its mortgages and pollution control bonds, and DP&amp;L’s plan to pay down its long-term debt following an asset divestiture (through either proceeds from a sale or through hoped-for additional cash flows between 2016 and 2018).  DP&amp;L has provided a few additional details through responses to discovery requests; however, much of the information sought in discovery remains outstanding.  </w:t>
      </w:r>
    </w:p>
    <w:p w:rsidR="00010ADA" w:rsidRDefault="007D5942">
      <w:pPr>
        <w:ind w:firstLine="720"/>
      </w:pPr>
      <w:r>
        <w:t xml:space="preserve">While it seeks to secure general authority to divest all of its generating assets under certain terms and conditions, on June 13, 2014, DP&amp;L filed an </w:t>
      </w:r>
      <w:r w:rsidR="00CB144C">
        <w:t>a</w:t>
      </w:r>
      <w:r>
        <w:t>pplication in Case No. 14-1084-EL-UNC (“East Bend Application”) to sell its ownership in the East Bend Unit to Duke Energy Kentucky, Inc. (“Duke Kentucky”).  The East Bend Application contains terms and conditions that vary from the Amended Supplemental Application filed in this proceeding.  The Commission has directed interested parties to file comments and reply comments on the East Bend Application by July 18, 2014, and August 1, 2014, respectively.</w:t>
      </w:r>
    </w:p>
    <w:p w:rsidR="00010ADA" w:rsidRDefault="007D5942">
      <w:pPr>
        <w:ind w:firstLine="720"/>
      </w:pPr>
      <w:r>
        <w:t xml:space="preserve">As discussed in more detail below, as well as in IEU-Ohio’s prior comments, reply comments, Joint Motion for Hearing and Joint Reply </w:t>
      </w:r>
      <w:r w:rsidR="00CB144C">
        <w:t xml:space="preserve">to the Motion for Hearing </w:t>
      </w:r>
      <w:r>
        <w:t xml:space="preserve">filed with the Office of the Ohio Consumers’ Counsel (“OCC”), the Commission should not approve the Amended Supplemental Application and should not approve DP&amp;L’s request for a waiver of a hearing in this matter.  Instead, the Commission should find </w:t>
      </w:r>
      <w:r>
        <w:lastRenderedPageBreak/>
        <w:t>that, on its face, the Amended Supplemental Application is unlawful, unjust, unreasonable, and contrary to the public interest.  Accordingly, the Commission should either reject the unlawful and unreasonable terms and conditions or, alternatively, the Commission should set the matter for a hearing in accordance with its rules.</w:t>
      </w:r>
    </w:p>
    <w:p w:rsidR="00010ADA" w:rsidRDefault="007D5942">
      <w:pPr>
        <w:pStyle w:val="Heading1"/>
      </w:pPr>
      <w:bookmarkStart w:id="3" w:name="_Toc391887914"/>
      <w:r>
        <w:t>ARGUMENT</w:t>
      </w:r>
      <w:bookmarkEnd w:id="3"/>
    </w:p>
    <w:p w:rsidR="00010ADA" w:rsidRDefault="007D5942">
      <w:pPr>
        <w:pStyle w:val="Heading2"/>
      </w:pPr>
      <w:bookmarkStart w:id="4" w:name="_Toc391887915"/>
      <w:r>
        <w:t>DP&amp;L’s Amended Supplemental Application fails to clearly set forth the terms and conditions of its proposed asset divestiture</w:t>
      </w:r>
      <w:bookmarkEnd w:id="4"/>
    </w:p>
    <w:p w:rsidR="00010ADA" w:rsidRDefault="007D5942">
      <w:pPr>
        <w:ind w:firstLine="720"/>
        <w:rPr>
          <w:rFonts w:cs="Arial"/>
        </w:rPr>
      </w:pPr>
      <w:r>
        <w:rPr>
          <w:rFonts w:cs="Arial"/>
        </w:rPr>
        <w:t>The application must “[c]learly set forth the object and purpose of the sale or transfer, and the terms and conditions of the same.”</w:t>
      </w:r>
      <w:r>
        <w:rPr>
          <w:rStyle w:val="FootnoteReference"/>
          <w:rFonts w:eastAsiaTheme="majorEastAsia" w:cs="Arial"/>
        </w:rPr>
        <w:footnoteReference w:id="3"/>
      </w:r>
      <w:r>
        <w:rPr>
          <w:rFonts w:cs="Arial"/>
        </w:rPr>
        <w:t xml:space="preserve">  Despite this being DP&amp;L’s third attempt to provide a complete application that clearly sets forth the terms and conditions of its proposed asset divestiture, the Amended Supplemental Application still falls well short.</w:t>
      </w:r>
    </w:p>
    <w:p w:rsidR="00010ADA" w:rsidRDefault="007D5942">
      <w:pPr>
        <w:ind w:firstLine="720"/>
        <w:rPr>
          <w:rFonts w:cs="Arial"/>
        </w:rPr>
      </w:pPr>
      <w:r>
        <w:rPr>
          <w:rFonts w:cs="Arial"/>
        </w:rPr>
        <w:t>As in the prior filings, DP&amp;L does not provide any detail regarding the terms of the transfer.  It does not identify the transferee of the assets, stating it will transfer its generation assets to its unregulated affiliate and that it is alternatively “exploring the possibility of selling some or all of its generation assets to a third party.”</w:t>
      </w:r>
      <w:r>
        <w:rPr>
          <w:rStyle w:val="FootnoteReference"/>
          <w:rFonts w:eastAsiaTheme="majorEastAsia" w:cs="Arial"/>
        </w:rPr>
        <w:footnoteReference w:id="4"/>
      </w:r>
      <w:r>
        <w:rPr>
          <w:rFonts w:cs="Arial"/>
        </w:rPr>
        <w:t xml:space="preserve">  It does not state the date of transfer, only offering that a sale to a third party could occur “as early as 2014/2015.”</w:t>
      </w:r>
      <w:r>
        <w:rPr>
          <w:rStyle w:val="FootnoteReference"/>
          <w:rFonts w:eastAsiaTheme="majorEastAsia" w:cs="Arial"/>
        </w:rPr>
        <w:footnoteReference w:id="5"/>
      </w:r>
      <w:r>
        <w:rPr>
          <w:rFonts w:cs="Arial"/>
        </w:rPr>
        <w:t xml:space="preserve">  It fails to state the amount of the purchase price if the assets are sold, offering only that the price will be at fair market value and that it will state the fair market value “no later than 75 days before the transfer date.”</w:t>
      </w:r>
      <w:r>
        <w:rPr>
          <w:rStyle w:val="FootnoteReference"/>
          <w:rFonts w:eastAsiaTheme="majorEastAsia" w:cs="Arial"/>
        </w:rPr>
        <w:footnoteReference w:id="6"/>
      </w:r>
    </w:p>
    <w:p w:rsidR="00010ADA" w:rsidRDefault="007D5942">
      <w:pPr>
        <w:ind w:firstLine="720"/>
        <w:rPr>
          <w:rFonts w:cs="Arial"/>
        </w:rPr>
      </w:pPr>
      <w:r>
        <w:rPr>
          <w:rFonts w:cs="Arial"/>
        </w:rPr>
        <w:lastRenderedPageBreak/>
        <w:t>DP&amp;L’s Amended Supplemental Application further proposes to retain environmental liabilities associated with the historical operation of its generation assets and to seek to recover clean-up costs related to these liabilities from all customers.</w:t>
      </w:r>
      <w:r>
        <w:rPr>
          <w:rStyle w:val="FootnoteReference"/>
          <w:rFonts w:cs="Arial"/>
        </w:rPr>
        <w:footnoteReference w:id="7"/>
      </w:r>
      <w:r>
        <w:rPr>
          <w:rFonts w:cs="Arial"/>
        </w:rPr>
        <w:t xml:space="preserve">  DP&amp;L fails to identify any legal authority on which the Commission may approve its request or the magnitude of these liabilities or the generation assets to which the liabilities relate.  Moreover, DP&amp;L fails to identify how and when it will seek to recover the cost of these liabilities from customers.</w:t>
      </w:r>
    </w:p>
    <w:p w:rsidR="00010ADA" w:rsidRDefault="007D5942">
      <w:pPr>
        <w:ind w:firstLine="720"/>
        <w:rPr>
          <w:rFonts w:cs="Arial"/>
        </w:rPr>
      </w:pPr>
      <w:r>
        <w:rPr>
          <w:rFonts w:cs="Arial"/>
        </w:rPr>
        <w:t>Moreover, DP&amp;L requests authority “to defer the costs associated with OVEC which are not currently being recovered through DP&amp;L’s fuel rider.”</w:t>
      </w:r>
      <w:r>
        <w:rPr>
          <w:rStyle w:val="FootnoteReference"/>
          <w:rFonts w:eastAsiaTheme="majorEastAsia" w:cs="Arial"/>
        </w:rPr>
        <w:footnoteReference w:id="8"/>
      </w:r>
      <w:r>
        <w:rPr>
          <w:rFonts w:cs="Arial"/>
        </w:rPr>
        <w:t xml:space="preserve">  As with the environmental clean-up costs it seeks to have customers pay,  DP&amp;L does not provide any legal basis that would permit the Commission to order this recovery or details regarding the magnitude of costs that it will not recover through the fuel rider.</w:t>
      </w:r>
      <w:r>
        <w:rPr>
          <w:rStyle w:val="FootnoteReference"/>
          <w:rFonts w:eastAsiaTheme="majorEastAsia" w:cs="Arial"/>
        </w:rPr>
        <w:footnoteReference w:id="9"/>
      </w:r>
      <w:r>
        <w:rPr>
          <w:rFonts w:cs="Arial"/>
        </w:rPr>
        <w:t xml:space="preserve">  DP&amp;L also fails to identify whether it would apply off-system sales margins from Ohio Valley Electric Corporation (“OVEC”) against the costs it is requesting authority to defer for future collection.  DP&amp;L is essentially asking for a blank check.</w:t>
      </w:r>
    </w:p>
    <w:p w:rsidR="00010ADA" w:rsidRDefault="007D5942">
      <w:pPr>
        <w:ind w:firstLine="720"/>
        <w:rPr>
          <w:rFonts w:cs="Arial"/>
        </w:rPr>
      </w:pPr>
      <w:r>
        <w:rPr>
          <w:rFonts w:cs="Arial"/>
        </w:rPr>
        <w:t>Some of the basic and essential detail that is missing from the Amended Supplemental Application, however, has been provided by DP&amp;L in the East Bend Application regarding the East Bend Unit.</w:t>
      </w:r>
      <w:r>
        <w:rPr>
          <w:rFonts w:cs="Arial"/>
          <w:vertAlign w:val="superscript"/>
        </w:rPr>
        <w:footnoteReference w:id="10"/>
      </w:r>
      <w:r>
        <w:rPr>
          <w:rFonts w:cs="Arial"/>
        </w:rPr>
        <w:t xml:space="preserve">  In the East Bend Application, DP&amp;L identifies the agreed-upon sale price, the net book value, the date the sale was </w:t>
      </w:r>
      <w:r>
        <w:rPr>
          <w:rFonts w:cs="Arial"/>
        </w:rPr>
        <w:lastRenderedPageBreak/>
        <w:t>reached, the buyer of the asset, and the specific debt and liabilities that are proposed to be transferred and those liabilities which are proposed to remain with DP&amp;L.  This basic information contained in the East Bend Application is the basic information that is necessary to begin to comply with Rule 4901:1-3</w:t>
      </w:r>
      <w:r w:rsidR="00CB144C">
        <w:rPr>
          <w:rFonts w:cs="Arial"/>
        </w:rPr>
        <w:t>7-0</w:t>
      </w:r>
      <w:r>
        <w:rPr>
          <w:rFonts w:cs="Arial"/>
        </w:rPr>
        <w:t>9(C)(1), O.A.C.  While there may be issues with the East Bend Application (interested parties have not yet filed comments on that application), it is much more thorough than the Amended Supplemental Application which covers all of DP&amp;L’s generating assets instead of the sole unit covered in the East Bend Application.</w:t>
      </w:r>
    </w:p>
    <w:p w:rsidR="00010ADA" w:rsidRDefault="007D5942">
      <w:pPr>
        <w:ind w:firstLine="720"/>
        <w:rPr>
          <w:rFonts w:cs="Arial"/>
        </w:rPr>
      </w:pPr>
      <w:r>
        <w:rPr>
          <w:rFonts w:cs="Arial"/>
        </w:rPr>
        <w:t>Furthermore, the terms and conditions of the proposed sale of the East Bend Unit to Duke Kentucky are not identical to the terms and conditions proposed by DP&amp;L in its applications in this proceeding.</w:t>
      </w:r>
      <w:r>
        <w:rPr>
          <w:rStyle w:val="FootnoteReference"/>
          <w:rFonts w:cs="Arial"/>
        </w:rPr>
        <w:footnoteReference w:id="11"/>
      </w:r>
      <w:r>
        <w:rPr>
          <w:rFonts w:cs="Arial"/>
        </w:rPr>
        <w:t xml:space="preserve">  Accordingly, it is even more unclear as to the terms and conditions DP&amp;L is seeking approval of in this proceeding and the justification for the proposed terms and conditions in the Amended Supplemental Application.</w:t>
      </w:r>
    </w:p>
    <w:p w:rsidR="00010ADA" w:rsidRDefault="007D5942">
      <w:pPr>
        <w:ind w:firstLine="720"/>
        <w:rPr>
          <w:rFonts w:cs="Arial"/>
        </w:rPr>
      </w:pPr>
      <w:r>
        <w:rPr>
          <w:rFonts w:cs="Arial"/>
        </w:rPr>
        <w:t xml:space="preserve">Finally, many of the details that DP&amp;L omitted from all three of its applications in this case have been sought through discovery.  DP&amp;L has responded to approximately 200 discovery requests served by OCC through initial and three sets of supplemental responses.  In response to an overwhelming majority of the discovery requests, DP&amp;L responds that the requested information is not currently known by DP&amp;L.  In responses to numerous other discovery requests, DP&amp;L has indicated that it will supplement its discovery response (without providing any indication of when the supplemental response will be provided) and in other instances has indicated that it will produce </w:t>
      </w:r>
      <w:r>
        <w:rPr>
          <w:rFonts w:cs="Arial"/>
        </w:rPr>
        <w:lastRenderedPageBreak/>
        <w:t>responsive non-privileged documents (without identifying the documents it plans to produce or indicating when it plans to produce the documents).  DP&amp;L’s claimed ignorance in this case is also inconsistent with the additional details DP&amp;L included in the East Bend Application.</w:t>
      </w:r>
    </w:p>
    <w:p w:rsidR="00010ADA" w:rsidRDefault="007D5942">
      <w:pPr>
        <w:ind w:firstLine="720"/>
        <w:rPr>
          <w:rFonts w:cs="Arial"/>
        </w:rPr>
      </w:pPr>
      <w:r>
        <w:rPr>
          <w:rFonts w:cs="Arial"/>
        </w:rPr>
        <w:t>In summary, the Amended Supplemental Application does not clearly set forth the terms and conditions of the transfer as required by the Commission’s rules.</w:t>
      </w:r>
    </w:p>
    <w:p w:rsidR="00010ADA" w:rsidRDefault="007D5942">
      <w:pPr>
        <w:pStyle w:val="Heading2"/>
      </w:pPr>
      <w:bookmarkStart w:id="5" w:name="_Toc383506925"/>
      <w:bookmarkStart w:id="6" w:name="_Toc383517958"/>
      <w:bookmarkStart w:id="7" w:name="_Toc383524579"/>
      <w:bookmarkStart w:id="8" w:name="_Toc391887916"/>
      <w:r>
        <w:t xml:space="preserve">DP&amp;L has not demonstrated how the transfer will impact the </w:t>
      </w:r>
      <w:bookmarkEnd w:id="5"/>
      <w:r>
        <w:t>SSO and ignores significant adverse consequences of the Amended Supplemental Application</w:t>
      </w:r>
      <w:bookmarkEnd w:id="6"/>
      <w:bookmarkEnd w:id="7"/>
      <w:bookmarkEnd w:id="8"/>
    </w:p>
    <w:p w:rsidR="00010ADA" w:rsidRDefault="007D5942">
      <w:pPr>
        <w:ind w:firstLine="720"/>
        <w:rPr>
          <w:rFonts w:cs="Arial"/>
        </w:rPr>
      </w:pPr>
      <w:r>
        <w:rPr>
          <w:rFonts w:cs="Arial"/>
        </w:rPr>
        <w:t>The Amended Supplemental Application must “[d]emonstrate how the sale or transfer will affect the current and future standard service offer established pursuant to section 4928.141 of the Revised Code”</w:t>
      </w:r>
      <w:r>
        <w:rPr>
          <w:rStyle w:val="FootnoteReference"/>
          <w:rFonts w:eastAsiaTheme="majorEastAsia" w:cs="Arial"/>
        </w:rPr>
        <w:footnoteReference w:id="12"/>
      </w:r>
      <w:r>
        <w:rPr>
          <w:rFonts w:cs="Arial"/>
        </w:rPr>
        <w:t xml:space="preserve"> and “how the proposed sale or transfer will affect the public interest.”</w:t>
      </w:r>
      <w:r>
        <w:rPr>
          <w:rStyle w:val="FootnoteReference"/>
          <w:rFonts w:eastAsiaTheme="majorEastAsia" w:cs="Arial"/>
        </w:rPr>
        <w:footnoteReference w:id="13"/>
      </w:r>
      <w:r>
        <w:rPr>
          <w:rFonts w:cs="Arial"/>
        </w:rPr>
        <w:t xml:space="preserve">  Like its first two applications in this proceeding, in the Amended Supplemental Application, DP&amp;L states, in relation to the two requirements stated above, that it will provide an SSO through a 100% competitive bidding process (“CBP”) after it divests the assets.</w:t>
      </w:r>
      <w:r>
        <w:rPr>
          <w:rStyle w:val="FootnoteReference"/>
          <w:rFonts w:eastAsiaTheme="majorEastAsia" w:cs="Arial"/>
        </w:rPr>
        <w:footnoteReference w:id="14"/>
      </w:r>
      <w:r>
        <w:rPr>
          <w:rFonts w:cs="Arial"/>
        </w:rPr>
        <w:t xml:space="preserve">  DP&amp;L also states that “[t]he Commission found in DP&amp;L’s ESP case that DP&amp;L separating its generation assets was a benefit of DP&amp;L’s ESP and was in the public interest” and implies that this statement demonstrates that the Amended Supplemental Application is in the public interest.</w:t>
      </w:r>
      <w:r>
        <w:rPr>
          <w:rStyle w:val="FootnoteReference"/>
          <w:rFonts w:eastAsiaTheme="majorEastAsia" w:cs="Arial"/>
        </w:rPr>
        <w:footnoteReference w:id="15"/>
      </w:r>
      <w:r>
        <w:rPr>
          <w:rFonts w:cs="Arial"/>
        </w:rPr>
        <w:t xml:space="preserve">  Both of DP&amp;L’s claims are incorrect.  </w:t>
      </w:r>
    </w:p>
    <w:p w:rsidR="00010ADA" w:rsidRDefault="007D5942">
      <w:pPr>
        <w:ind w:firstLine="720"/>
        <w:rPr>
          <w:rFonts w:cs="Arial"/>
        </w:rPr>
      </w:pPr>
      <w:r>
        <w:rPr>
          <w:rFonts w:cs="Arial"/>
        </w:rPr>
        <w:t xml:space="preserve">Although DP&amp;L states that its SSO rates beginning June 1, 2017 will be set 100% through a CBP, DP&amp;L fails to include any analysis or even a statement about the </w:t>
      </w:r>
      <w:r>
        <w:rPr>
          <w:rFonts w:cs="Arial"/>
        </w:rPr>
        <w:lastRenderedPageBreak/>
        <w:t xml:space="preserve">effect of its proposed asset transfer on SSO rates.  DP&amp;L’s statement also ignores the fact that it has proposed to continue existing non-bypassable charges and has proposed to lay the accounting foundation for future non-bypassable charges, which will affect SSO customers and shopping customers.  DP&amp;L has failed to provide any analysis as to how its proposed continued and new non-bypassable charges will affect the existing and future SSO.  Moreover, DP&amp;L has not revealed the impact of the proposed modification to its capital ratio, discussed below, and whether that modification may be the impetus for additional future financial support in the form of yet another request for a non-bypassable charge.  Without a quantification of the magnitude of those charges, DP&amp;L cannot demonstrate the impact of its Amended Supplemental Application on the SSO.    </w:t>
      </w:r>
    </w:p>
    <w:p w:rsidR="00010ADA" w:rsidRDefault="007D5942">
      <w:pPr>
        <w:ind w:firstLine="720"/>
        <w:rPr>
          <w:rFonts w:cs="Arial"/>
        </w:rPr>
      </w:pPr>
      <w:r>
        <w:rPr>
          <w:rFonts w:cs="Arial"/>
        </w:rPr>
        <w:t>Additionally, the Commission never determined that the terms and conditions of DP&amp;L’s proposed generation asset divestiture is in the public interest—nor could it have made such a finding without reviewing the specific terms and conditions upon which DP&amp;L proposed to divest its generation assets.  As discussed further below, because the terms and conditions proposed by DP&amp;L are unlawful and unreasonable, DP&amp;L’s Amended Supplemental Application is not just, reasonable, or in the public interest.</w:t>
      </w:r>
    </w:p>
    <w:p w:rsidR="00010ADA" w:rsidRDefault="007D5942">
      <w:pPr>
        <w:pStyle w:val="Heading2"/>
      </w:pPr>
      <w:bookmarkStart w:id="9" w:name="_Toc383506926"/>
      <w:bookmarkStart w:id="10" w:name="_Toc383517959"/>
      <w:bookmarkStart w:id="11" w:name="_Toc383524580"/>
      <w:bookmarkStart w:id="12" w:name="_Toc391887917"/>
      <w:r>
        <w:t>DP&amp;L’s Amended Supplemental Application proposes terms and conditions that are unlawful, unreasonable, and not in the public interest</w:t>
      </w:r>
      <w:bookmarkEnd w:id="9"/>
      <w:bookmarkEnd w:id="10"/>
      <w:bookmarkEnd w:id="11"/>
      <w:bookmarkEnd w:id="12"/>
    </w:p>
    <w:p w:rsidR="00010ADA" w:rsidRDefault="007D5942">
      <w:pPr>
        <w:pStyle w:val="Heading3"/>
      </w:pPr>
      <w:bookmarkStart w:id="13" w:name="_Toc383506927"/>
      <w:bookmarkStart w:id="14" w:name="_Toc383517960"/>
      <w:bookmarkStart w:id="15" w:name="_Toc383524581"/>
      <w:bookmarkStart w:id="16" w:name="_Toc391887918"/>
      <w:r>
        <w:t xml:space="preserve">If permitted to continue, the Service Stability Rider (“SSR”) should terminate after the generation assets are </w:t>
      </w:r>
      <w:bookmarkEnd w:id="13"/>
      <w:bookmarkEnd w:id="14"/>
      <w:bookmarkEnd w:id="15"/>
      <w:r>
        <w:t>divested</w:t>
      </w:r>
      <w:bookmarkEnd w:id="16"/>
    </w:p>
    <w:p w:rsidR="00010ADA" w:rsidRDefault="007D5942">
      <w:pPr>
        <w:ind w:firstLine="720"/>
        <w:rPr>
          <w:rFonts w:cs="Arial"/>
        </w:rPr>
      </w:pPr>
      <w:r>
        <w:rPr>
          <w:rFonts w:cs="Arial"/>
        </w:rPr>
        <w:t>The Amended Supplemental Application states that DP&amp;L will transfer its generation assets to an affiliate at fair market value on or before May 31, 2017.</w:t>
      </w:r>
      <w:r>
        <w:rPr>
          <w:rStyle w:val="FootnoteReference"/>
          <w:rFonts w:cs="Arial"/>
        </w:rPr>
        <w:footnoteReference w:id="16"/>
      </w:r>
      <w:r>
        <w:rPr>
          <w:rFonts w:cs="Arial"/>
        </w:rPr>
        <w:t xml:space="preserve">  The </w:t>
      </w:r>
      <w:r>
        <w:rPr>
          <w:rFonts w:cs="Arial"/>
        </w:rPr>
        <w:lastRenderedPageBreak/>
        <w:t>Amended Supplemental Application also provides that “if an acceptable offer is forthcoming” then DP&amp;L would transfer and sell its generating assets to a third party as soon as 2014/2015.</w:t>
      </w:r>
      <w:r>
        <w:rPr>
          <w:rStyle w:val="FootnoteReference"/>
          <w:rFonts w:cs="Arial"/>
        </w:rPr>
        <w:footnoteReference w:id="17"/>
      </w:r>
      <w:r>
        <w:rPr>
          <w:rFonts w:cs="Arial"/>
        </w:rPr>
        <w:t xml:space="preserve">  The Amended Supplemental Application further states that “[r]egardless of the specific timing or mechanics of divestiture, the underlying legal basis supporting the Commission’s Order in DP&amp;L’s ESP case (Case No. 12-426-EL-SSO) outlining the need for DP&amp;L’s Service Stability Rider during the entire term of the ESP remains unchanged.”</w:t>
      </w:r>
      <w:r>
        <w:rPr>
          <w:rStyle w:val="FootnoteReference"/>
          <w:rFonts w:eastAsiaTheme="majorEastAsia" w:cs="Arial"/>
        </w:rPr>
        <w:footnoteReference w:id="18"/>
      </w:r>
      <w:r>
        <w:rPr>
          <w:rFonts w:cs="Arial"/>
        </w:rPr>
        <w:t xml:space="preserve">  DP&amp;L argues that because it is not a structurally separated utility, the losses of each company (distribution, transmission, or generation) may adversely affect the entire utility.  DP&amp;L further claims that “[g]iven current poor market conditions, DP&amp;L could sustain a serious, continuing financial loss that strongly supports the ongoing need to recover the SSR throughout the term of the ESP.”</w:t>
      </w:r>
      <w:r>
        <w:rPr>
          <w:rStyle w:val="FootnoteReference"/>
          <w:rFonts w:eastAsiaTheme="majorEastAsia" w:cs="Arial"/>
        </w:rPr>
        <w:footnoteReference w:id="19"/>
      </w:r>
      <w:r>
        <w:rPr>
          <w:rFonts w:cs="Arial"/>
        </w:rPr>
        <w:t xml:space="preserve">  </w:t>
      </w:r>
    </w:p>
    <w:p w:rsidR="00010ADA" w:rsidRDefault="007D5942">
      <w:pPr>
        <w:ind w:firstLine="720"/>
        <w:rPr>
          <w:rFonts w:cs="Arial"/>
        </w:rPr>
      </w:pPr>
      <w:r>
        <w:rPr>
          <w:rFonts w:cs="Arial"/>
        </w:rPr>
        <w:t>DP&amp;L’s arguments in the Amended Supplemental Application are the same as the arguments it presented in its Supplemental Application.  IEU-Ohio incorporates by reference its comments on the Supplemental Application,</w:t>
      </w:r>
      <w:r>
        <w:rPr>
          <w:rStyle w:val="FootnoteReference"/>
          <w:rFonts w:cs="Arial"/>
        </w:rPr>
        <w:footnoteReference w:id="20"/>
      </w:r>
      <w:r>
        <w:rPr>
          <w:rFonts w:cs="Arial"/>
        </w:rPr>
        <w:t xml:space="preserve"> which demonstrate that the SSR should terminate when DP&amp;L divests its assets.</w:t>
      </w:r>
    </w:p>
    <w:p w:rsidR="00010ADA" w:rsidRDefault="007D5942">
      <w:pPr>
        <w:ind w:firstLine="720"/>
        <w:rPr>
          <w:rFonts w:cs="Arial"/>
        </w:rPr>
      </w:pPr>
      <w:r>
        <w:rPr>
          <w:rFonts w:cs="Arial"/>
        </w:rPr>
        <w:t xml:space="preserve">Additionally, if DP&amp;L truly needs additional cash flow to pay down its debt, it should have decreased the dividend it paid to its parent company, </w:t>
      </w:r>
      <w:r>
        <w:rPr>
          <w:rFonts w:cs="Arial"/>
          <w:i/>
          <w:u w:val="single"/>
        </w:rPr>
        <w:t>not increased it</w:t>
      </w:r>
      <w:r>
        <w:rPr>
          <w:rFonts w:cs="Arial"/>
        </w:rPr>
        <w:t xml:space="preserve">.  In the midst of its recent </w:t>
      </w:r>
      <w:r w:rsidR="002D42BB">
        <w:rPr>
          <w:rFonts w:cs="Arial"/>
        </w:rPr>
        <w:t>electric security plan (“</w:t>
      </w:r>
      <w:r>
        <w:rPr>
          <w:rFonts w:cs="Arial"/>
        </w:rPr>
        <w:t>ESP</w:t>
      </w:r>
      <w:r w:rsidR="002D42BB">
        <w:rPr>
          <w:rFonts w:cs="Arial"/>
        </w:rPr>
        <w:t>”)</w:t>
      </w:r>
      <w:r>
        <w:rPr>
          <w:rFonts w:cs="Arial"/>
        </w:rPr>
        <w:t xml:space="preserve"> case where DP&amp;L claimed it needed an additional and non-bypassable revenue stream to secure its financial integrity, DP&amp;L paid $145 million in dividends (for calendar year 2012) to its parent company.</w:t>
      </w:r>
      <w:r>
        <w:rPr>
          <w:rStyle w:val="FootnoteReference"/>
          <w:rFonts w:cs="Arial"/>
        </w:rPr>
        <w:footnoteReference w:id="21"/>
      </w:r>
      <w:r>
        <w:rPr>
          <w:rFonts w:cs="Arial"/>
        </w:rPr>
        <w:t xml:space="preserve">  In </w:t>
      </w:r>
      <w:r>
        <w:rPr>
          <w:rFonts w:cs="Arial"/>
        </w:rPr>
        <w:lastRenderedPageBreak/>
        <w:t>2013, DP&amp;L increased that dividend to $190 million.</w:t>
      </w:r>
      <w:r>
        <w:rPr>
          <w:rStyle w:val="FootnoteReference"/>
          <w:rFonts w:cs="Arial"/>
        </w:rPr>
        <w:footnoteReference w:id="22"/>
      </w:r>
      <w:r>
        <w:rPr>
          <w:rFonts w:cs="Arial"/>
        </w:rPr>
        <w:t xml:space="preserve">  Instead of sending all of this cash to its sole investor (while claiming it is in a position of severe financial integrity requiring a $110 million annual bailout from its customers), the prudent thing may be to retain this money and pay down its own debt.</w:t>
      </w:r>
    </w:p>
    <w:p w:rsidR="00010ADA" w:rsidRDefault="007D5942">
      <w:pPr>
        <w:ind w:firstLine="720"/>
        <w:rPr>
          <w:rFonts w:cs="Arial"/>
        </w:rPr>
      </w:pPr>
      <w:r>
        <w:rPr>
          <w:rFonts w:cs="Arial"/>
        </w:rPr>
        <w:t>The SSR is an unlawful rider designed to supplement generation-related revenue.  Notwithstanding the lack of legal basis for the SSR, the economic justification is also faulty.  The inclusion of the SSR continuing after the assets are divested as a term and condition of the Amended Supplemental Application is therefore unjust and unreasonable.</w:t>
      </w:r>
    </w:p>
    <w:p w:rsidR="00010ADA" w:rsidRDefault="007D5942">
      <w:pPr>
        <w:pStyle w:val="Heading3"/>
      </w:pPr>
      <w:bookmarkStart w:id="17" w:name="_Toc383506928"/>
      <w:bookmarkStart w:id="18" w:name="_Toc383517961"/>
      <w:bookmarkStart w:id="19" w:name="_Toc383524582"/>
      <w:bookmarkStart w:id="20" w:name="_Toc391887919"/>
      <w:r>
        <w:t>DP&amp;L’s requests to retain environmental liabilities and for accounting modifications to defer related clean-up costs are unlawful and unreasonable</w:t>
      </w:r>
      <w:bookmarkEnd w:id="17"/>
      <w:bookmarkEnd w:id="18"/>
      <w:bookmarkEnd w:id="19"/>
      <w:bookmarkEnd w:id="20"/>
    </w:p>
    <w:p w:rsidR="00010ADA" w:rsidRDefault="007D5942">
      <w:pPr>
        <w:ind w:firstLine="720"/>
      </w:pPr>
      <w:r>
        <w:t>Just like it did in its prior applications, DP&amp;L also seeks authorization:  (1) to retain responsibility for future environmental clean-up costs associated with its “historic ownership of its generation facilities” and “to allow it to seek recovery for prudently incurred environmental clean-up costs for real property that had been used and useful for the production of electricity for the benefit of the customers of DP&amp;L;” and (2) for accounting modifications to permit it to defer the clean-up costs with interest at its cost of debt.</w:t>
      </w:r>
      <w:r>
        <w:rPr>
          <w:vertAlign w:val="superscript"/>
        </w:rPr>
        <w:footnoteReference w:id="23"/>
      </w:r>
      <w:r>
        <w:t xml:space="preserve">  In its March 25, 2014 Comments, IEU-Ohio demonstrated that DP&amp;L’s request was unlawful and unreasonable, and IEU-Ohio incorporates its prior arguments by reference.  </w:t>
      </w:r>
    </w:p>
    <w:p w:rsidR="00010ADA" w:rsidRDefault="007D5942">
      <w:pPr>
        <w:ind w:firstLine="720"/>
      </w:pPr>
      <w:r>
        <w:t xml:space="preserve">Additionally, as demonstrated in the East Bend Application, buyers are willing to take on the environmental liabilities associated with DP&amp;L’s generating assets as part of </w:t>
      </w:r>
      <w:r>
        <w:lastRenderedPageBreak/>
        <w:t>a sale.  If buyers are willing to assume responsibility for future environmental liabilities, there is no reason to leave those liabilities with DP&amp;L for eventual recovery from DP&amp;L’s customers, even if such a request were lawful.</w:t>
      </w:r>
    </w:p>
    <w:p w:rsidR="00010ADA" w:rsidRDefault="007D5942">
      <w:pPr>
        <w:ind w:firstLine="720"/>
      </w:pPr>
      <w:r>
        <w:t>Accordingly, the Commission should reject DP&amp;L’s unlawful and unreasonable request to retain the environmental liabilities associated with its generating assets.</w:t>
      </w:r>
    </w:p>
    <w:p w:rsidR="00010ADA" w:rsidRDefault="007D5942">
      <w:pPr>
        <w:pStyle w:val="Heading3"/>
      </w:pPr>
      <w:bookmarkStart w:id="21" w:name="_Toc383506931"/>
      <w:bookmarkStart w:id="22" w:name="_Toc383517964"/>
      <w:bookmarkStart w:id="23" w:name="_Toc383524585"/>
      <w:bookmarkStart w:id="24" w:name="_Toc391887920"/>
      <w:r>
        <w:t>DP&amp;L’s request to defer OVEC costs is unlawful and unreasonable</w:t>
      </w:r>
      <w:bookmarkEnd w:id="21"/>
      <w:bookmarkEnd w:id="22"/>
      <w:bookmarkEnd w:id="23"/>
      <w:bookmarkEnd w:id="24"/>
    </w:p>
    <w:p w:rsidR="00010ADA" w:rsidRDefault="007D5942">
      <w:pPr>
        <w:ind w:firstLine="720"/>
        <w:rPr>
          <w:rFonts w:cs="Arial"/>
        </w:rPr>
      </w:pPr>
      <w:r>
        <w:rPr>
          <w:rFonts w:cs="Arial"/>
        </w:rPr>
        <w:t>Just as it did in its prior applications, in the Amended Supplemental Application DP&amp;L requests authority to retain its contractual rights and obligations under the Inter-Company Power Agreement (“ICPA”), which covers the OVEC generating units.  DP&amp;L further requests “accounting authority pursuant to Ohio Rev. Code § 4905.13, to permit DP&amp;L to defer the costs associated with OVEC which are not currently being recovered through DP&amp;L’s fuel rider.”</w:t>
      </w:r>
      <w:r>
        <w:rPr>
          <w:rFonts w:cs="Arial"/>
          <w:vertAlign w:val="superscript"/>
        </w:rPr>
        <w:footnoteReference w:id="24"/>
      </w:r>
      <w:r>
        <w:rPr>
          <w:rFonts w:cs="Arial"/>
        </w:rPr>
        <w:t xml:space="preserve">  DP&amp;L proposes to accrue carrying costs on these expenses and to collect them from all customers at a date to be determined in another Commission proceeding.</w:t>
      </w:r>
      <w:r>
        <w:rPr>
          <w:rFonts w:cs="Arial"/>
          <w:vertAlign w:val="superscript"/>
        </w:rPr>
        <w:footnoteReference w:id="25"/>
      </w:r>
      <w:r>
        <w:rPr>
          <w:rFonts w:cs="Arial"/>
        </w:rPr>
        <w:t xml:space="preserve">  </w:t>
      </w:r>
    </w:p>
    <w:p w:rsidR="00010ADA" w:rsidRDefault="007D5942">
      <w:pPr>
        <w:ind w:firstLine="720"/>
        <w:rPr>
          <w:rFonts w:cs="Arial"/>
        </w:rPr>
      </w:pPr>
      <w:r>
        <w:rPr>
          <w:rFonts w:cs="Arial"/>
        </w:rPr>
        <w:t>As previously explained in IEU-Ohio’s March 25, 2014 Comments, DP&amp;L’s proposal to retain its rights and obligations related to the OVEC generating units are unlawful and unreasonable.</w:t>
      </w:r>
      <w:r>
        <w:rPr>
          <w:rStyle w:val="FootnoteReference"/>
          <w:rFonts w:cs="Arial"/>
        </w:rPr>
        <w:footnoteReference w:id="26"/>
      </w:r>
      <w:r>
        <w:rPr>
          <w:rFonts w:cs="Arial"/>
        </w:rPr>
        <w:t xml:space="preserve">  Further, in discovery responses provided by DP&amp;L since March 25, 2014, DP&amp;L has confirmed that it has made no attempts to actually transfer its rights and obligations related to the OVEC generating units.</w:t>
      </w:r>
      <w:r>
        <w:rPr>
          <w:rFonts w:cs="Arial"/>
          <w:vertAlign w:val="superscript"/>
        </w:rPr>
        <w:footnoteReference w:id="27"/>
      </w:r>
      <w:r>
        <w:rPr>
          <w:rFonts w:cs="Arial"/>
        </w:rPr>
        <w:t xml:space="preserve">   Finally, although DP&amp;L claims that it does not expect to receive consent to transfer the generating units, </w:t>
      </w:r>
      <w:r>
        <w:rPr>
          <w:rFonts w:cs="Arial"/>
        </w:rPr>
        <w:lastRenderedPageBreak/>
        <w:t>DP&amp;L has admitted in discovery that over the last 20 years there have been three transfers of interest in the OVEC generating units that occurred under Section 9.183 of the ICPA.</w:t>
      </w:r>
      <w:r>
        <w:rPr>
          <w:rFonts w:cs="Arial"/>
          <w:vertAlign w:val="superscript"/>
        </w:rPr>
        <w:footnoteReference w:id="28"/>
      </w:r>
      <w:r>
        <w:rPr>
          <w:rFonts w:cs="Arial"/>
        </w:rPr>
        <w:t xml:space="preserve">  Again, Section 9.181 of the ICPA allows a transfer of a sponsoring company’s rights and obligations related to the OVEC units with the unanimous consent of the other sponsoring companies.</w:t>
      </w:r>
      <w:r>
        <w:rPr>
          <w:rStyle w:val="FootnoteReference"/>
          <w:rFonts w:cs="Arial"/>
        </w:rPr>
        <w:footnoteReference w:id="29"/>
      </w:r>
      <w:r>
        <w:rPr>
          <w:rFonts w:cs="Arial"/>
        </w:rPr>
        <w:t xml:space="preserve">  Section 9.183 provides a right of first refusal to the other sponsoring companies of OVEC, but does not require the consent of the other parties before the rights and obligations of a sponsoring party may be transferred to a third party.</w:t>
      </w:r>
    </w:p>
    <w:p w:rsidR="00010ADA" w:rsidRDefault="007D5942">
      <w:pPr>
        <w:ind w:firstLine="720"/>
        <w:rPr>
          <w:rFonts w:eastAsia="Calibri"/>
        </w:rPr>
      </w:pPr>
      <w:r>
        <w:rPr>
          <w:rFonts w:eastAsia="Calibri"/>
        </w:rPr>
        <w:t>Despite the fact that the ICPA provides DP&amp;L with the means to transfer its interest in OVEC, DP&amp;L has made no attempts to transfer its interests in OVEC.  Instead, DP&amp;L has proposed that its customers bear the cost of its refusal to act.  The Commission should not indulge DP&amp;L’s request for customers to bear additional unlawful non-bypassable charges—especially when they are related to costs that could be avoided through prudent action.</w:t>
      </w:r>
    </w:p>
    <w:p w:rsidR="00010ADA" w:rsidRDefault="007D5942">
      <w:pPr>
        <w:pStyle w:val="Heading3"/>
      </w:pPr>
      <w:bookmarkStart w:id="25" w:name="_Toc383506932"/>
      <w:bookmarkStart w:id="26" w:name="_Toc383517965"/>
      <w:bookmarkStart w:id="27" w:name="_Toc383524586"/>
      <w:bookmarkStart w:id="28" w:name="_Toc391887921"/>
      <w:r>
        <w:t>DP&amp;L is seeking to retain debt that may expose customers to unreasonable leverage</w:t>
      </w:r>
      <w:bookmarkEnd w:id="25"/>
      <w:bookmarkEnd w:id="26"/>
      <w:bookmarkEnd w:id="27"/>
      <w:bookmarkEnd w:id="28"/>
      <w:r>
        <w:t xml:space="preserve"> </w:t>
      </w:r>
    </w:p>
    <w:p w:rsidR="00010ADA" w:rsidRDefault="007D5942">
      <w:pPr>
        <w:rPr>
          <w:rFonts w:cs="Arial"/>
        </w:rPr>
      </w:pPr>
      <w:r>
        <w:rPr>
          <w:rFonts w:cs="Arial"/>
        </w:rPr>
        <w:tab/>
        <w:t xml:space="preserve">Like its prior applications, in the Amended Supplemental Application DP&amp;L has sought authority to retain debt that may expose customers to unreasonable leverage.  As explained in IEU-Ohio’s March 25, 2014 Comments, DP&amp;L’s request is unlawful and unreasonable.  </w:t>
      </w:r>
    </w:p>
    <w:p w:rsidR="00010ADA" w:rsidRDefault="007D5942">
      <w:pPr>
        <w:ind w:firstLine="720"/>
        <w:rPr>
          <w:rFonts w:cs="Arial"/>
        </w:rPr>
      </w:pPr>
      <w:r>
        <w:rPr>
          <w:rFonts w:cs="Arial"/>
        </w:rPr>
        <w:t xml:space="preserve">Additionally, since IEU-Ohio filed its March 25, 2014 Comments, DP&amp;L has provided additional clarification through the Amended Supplemental Application and </w:t>
      </w:r>
      <w:r>
        <w:rPr>
          <w:rFonts w:cs="Arial"/>
        </w:rPr>
        <w:lastRenderedPageBreak/>
        <w:t>discovery responses that further highlight why DP&amp;L’s request is unlawful and unreasonable.  In the Amended Supplemental Application and in responses to discovery, DP&amp;L has made it clear that the proceeds of any sale of its generating units will not flow directly to DP&amp;L.</w:t>
      </w:r>
      <w:r>
        <w:rPr>
          <w:rFonts w:cs="Arial"/>
          <w:vertAlign w:val="superscript"/>
        </w:rPr>
        <w:footnoteReference w:id="30"/>
      </w:r>
      <w:r>
        <w:rPr>
          <w:rFonts w:cs="Arial"/>
        </w:rPr>
        <w:t xml:space="preserve">  Instead, DP&amp;L states that the assets would first be transferred to DPL, Inc., who would in turn sell the assets to a third party.  DPL, Inc. would receive the proceeds of the sale, and at that time DP&amp;L states that it would expect DPL, Inc. to make an equity contribution in DP&amp;L of approximately $150-$175 million.  Thus, there is no guarantee that the proceeds of a sale of DP&amp;L’s generating units will actually be available to pay down any amount of debt at DP&amp;L.</w:t>
      </w:r>
    </w:p>
    <w:p w:rsidR="00010ADA" w:rsidRDefault="007D5942">
      <w:pPr>
        <w:ind w:firstLine="720"/>
        <w:rPr>
          <w:rFonts w:cs="Arial"/>
        </w:rPr>
      </w:pPr>
      <w:bookmarkStart w:id="29" w:name="_Toc383506933"/>
      <w:bookmarkStart w:id="30" w:name="_Toc383517966"/>
      <w:bookmarkStart w:id="31" w:name="_Toc383524587"/>
      <w:r>
        <w:rPr>
          <w:rFonts w:cs="Arial"/>
        </w:rPr>
        <w:t>The approval of DP&amp;L’s merger was predicated on certain customer protections regarding the retention of a reasonable equity ratio.  DP&amp;L now seeks to renege on that commitment.  The Commission should not authorize the highly leveraged position that could result from DP&amp;L’s proposal.</w:t>
      </w:r>
    </w:p>
    <w:p w:rsidR="00010ADA" w:rsidRDefault="007D5942">
      <w:pPr>
        <w:pStyle w:val="Heading3"/>
      </w:pPr>
      <w:bookmarkStart w:id="32" w:name="_Toc391887922"/>
      <w:r>
        <w:t>DP&amp;L is seeking authority to unreasonably saddle its customers with the costs of its generation divestiture</w:t>
      </w:r>
      <w:bookmarkEnd w:id="32"/>
    </w:p>
    <w:p w:rsidR="00010ADA" w:rsidRDefault="007D5942">
      <w:pPr>
        <w:ind w:firstLine="720"/>
      </w:pPr>
      <w:r>
        <w:t>DP&amp;L requests authority to recover “all financing costs, redemption costs, amendment fees, investment banking fees, advisor costs, taxes, and related costs that it incurs” in divesting its generating assets.</w:t>
      </w:r>
      <w:r>
        <w:rPr>
          <w:rStyle w:val="FootnoteReference"/>
        </w:rPr>
        <w:footnoteReference w:id="31"/>
      </w:r>
      <w:r>
        <w:t xml:space="preserve">  DP&amp;L estimates that these costs will be up to $10 million in the case of a transfer of the assets to its affiliates, and up to $45 million in the case of a sale to a third party.</w:t>
      </w:r>
      <w:r>
        <w:rPr>
          <w:rStyle w:val="FootnoteReference"/>
        </w:rPr>
        <w:footnoteReference w:id="32"/>
      </w:r>
      <w:r>
        <w:t xml:space="preserve">  DP&amp;L’s request is unlawful and unreasonable.</w:t>
      </w:r>
    </w:p>
    <w:p w:rsidR="00010ADA" w:rsidRDefault="007D5942">
      <w:r>
        <w:lastRenderedPageBreak/>
        <w:tab/>
        <w:t>As discussed in IEU-Ohio’s March 25, 2014 Comments, DP&amp;L’s request to recover generation-related costs from customers is unlawful and unreasonable.</w:t>
      </w:r>
      <w:r>
        <w:rPr>
          <w:rStyle w:val="FootnoteReference"/>
        </w:rPr>
        <w:footnoteReference w:id="33"/>
      </w:r>
      <w:r>
        <w:t xml:space="preserve">  Ohio law provides that DP&amp;L’s generating business is on its own in the competitive market and DP&amp;L’s opportunity to recover any generation-related costs is limited to DP&amp;L’s obligation to provide default SSO service to non-shopping customers.  Ohio law does not provide DP&amp;L with any authority to recover the costs of transferring its generating units from customers.  Accordingly, the Commission should reject this unlawful and unreasonable term and condition of the Amended Supplemental Application.</w:t>
      </w:r>
    </w:p>
    <w:p w:rsidR="00010ADA" w:rsidRDefault="007D5942">
      <w:pPr>
        <w:pStyle w:val="Heading3"/>
      </w:pPr>
      <w:bookmarkStart w:id="33" w:name="_Toc391887923"/>
      <w:r>
        <w:t>The Commission should deny DP&amp;L’s request to waive a hearing</w:t>
      </w:r>
      <w:bookmarkEnd w:id="29"/>
      <w:bookmarkEnd w:id="30"/>
      <w:bookmarkEnd w:id="31"/>
      <w:bookmarkEnd w:id="33"/>
    </w:p>
    <w:p w:rsidR="00010ADA" w:rsidRDefault="007D5942">
      <w:pPr>
        <w:ind w:firstLine="720"/>
      </w:pPr>
      <w:r>
        <w:t>Rule 4901:1-37-09(D), O.A.C., states that when the Commission receives an application seeking approval for the transfer of generation assets, “[</w:t>
      </w:r>
      <w:r>
        <w:rPr>
          <w:rFonts w:cs="Arial"/>
          <w:color w:val="000000"/>
          <w:shd w:val="clear" w:color="auto" w:fill="FFFFFF"/>
        </w:rPr>
        <w:t>t]he commission shall fix a time and place for a hearing with respect to any application that proposes to alter the jurisdiction of the commission over a generation asset”</w:t>
      </w:r>
      <w:r>
        <w:t xml:space="preserve"> and may set a hearing if it determines that the application appears unjust, unreasonable, or not in the public interest.  In the Amended Supplemental Application, DP&amp;L again requests that the Commission waive the hearing requirement.</w:t>
      </w:r>
      <w:r>
        <w:rPr>
          <w:vertAlign w:val="superscript"/>
        </w:rPr>
        <w:footnoteReference w:id="34"/>
      </w:r>
      <w:r>
        <w:t xml:space="preserve">  </w:t>
      </w:r>
    </w:p>
    <w:p w:rsidR="00010ADA" w:rsidRDefault="007D5942">
      <w:pPr>
        <w:ind w:firstLine="720"/>
      </w:pPr>
      <w:r>
        <w:t xml:space="preserve">IEU-Ohio has already thoroughly discussed DP&amp;L’s request for a waiver of the hearing requirement in IEU-Ohio’s March 25, 2014 Comments, the Joint Motion for Hearing, and Joint Reply to the Motion for Hearing, and incorporates its prior arguments by reference.  For the reasons previously stated by IEU-Ohio, the Commission should strike the unlawful and unreasonable provisions from the Amended Supplemental </w:t>
      </w:r>
      <w:r>
        <w:lastRenderedPageBreak/>
        <w:t xml:space="preserve">Application or the Commission should set the Amended Supplemental Application for a hearing because, on its face, it is unlawful, unjust, unreasonable, and contrary to the public interest.  </w:t>
      </w:r>
    </w:p>
    <w:p w:rsidR="00010ADA" w:rsidRDefault="007D5942">
      <w:pPr>
        <w:pStyle w:val="Heading1"/>
      </w:pPr>
      <w:bookmarkStart w:id="34" w:name="_Toc391887924"/>
      <w:r>
        <w:t>conclusion</w:t>
      </w:r>
      <w:bookmarkEnd w:id="34"/>
    </w:p>
    <w:p w:rsidR="00010ADA" w:rsidRDefault="007D5942">
      <w:r>
        <w:tab/>
        <w:t>As discussed herein, and in IEU-Ohio’s other pleadings in this matter, DP&amp;L’s asset divestiture plans, including the Amended Supplemental Application, all suffer from a lack of detail.  Without this detail, it is impossible for the Commission to find that the Amended Supplemental Application is lawful, just, reasonable, and in the public interest.  Furthermore, DP&amp;L’s Amended Supplemental Application contains various terms and conditions that are unlawful and unreasonable.  Because the Amended Supplemental Application is unlawful, unjust, unreasonable, and contrary to the public interest on its face, the Commission should set the matter for a hearing and direct DP&amp;L to file testimony supporting the Amended Supplemental Application.</w:t>
      </w:r>
    </w:p>
    <w:p w:rsidR="00010ADA" w:rsidRDefault="007D5942">
      <w:pPr>
        <w:tabs>
          <w:tab w:val="left" w:pos="720"/>
          <w:tab w:val="left" w:pos="4320"/>
          <w:tab w:val="right" w:pos="8640"/>
        </w:tabs>
        <w:spacing w:after="240" w:line="240" w:lineRule="auto"/>
        <w:rPr>
          <w:rFonts w:eastAsiaTheme="minorHAnsi" w:cs="Arial"/>
        </w:rPr>
      </w:pPr>
      <w:r>
        <w:rPr>
          <w:rFonts w:eastAsiaTheme="minorHAnsi" w:cs="Arial"/>
        </w:rPr>
        <w:tab/>
      </w:r>
      <w:r>
        <w:rPr>
          <w:rFonts w:eastAsiaTheme="minorHAnsi" w:cs="Arial"/>
        </w:rPr>
        <w:tab/>
        <w:t>Respectfully submitted,</w:t>
      </w:r>
    </w:p>
    <w:p w:rsidR="00010ADA" w:rsidRDefault="007D5942">
      <w:pPr>
        <w:tabs>
          <w:tab w:val="left" w:pos="720"/>
          <w:tab w:val="left" w:pos="4320"/>
          <w:tab w:val="right" w:pos="8640"/>
        </w:tabs>
        <w:spacing w:line="240" w:lineRule="auto"/>
        <w:rPr>
          <w:rFonts w:eastAsiaTheme="minorHAnsi" w:cs="Arial"/>
          <w:i/>
        </w:rPr>
      </w:pPr>
      <w:r>
        <w:rPr>
          <w:rFonts w:eastAsiaTheme="minorHAnsi" w:cs="Arial"/>
          <w:i/>
        </w:rPr>
        <w:tab/>
      </w:r>
      <w:r>
        <w:rPr>
          <w:rFonts w:eastAsiaTheme="minorHAnsi" w:cs="Arial"/>
          <w:i/>
        </w:rPr>
        <w:tab/>
      </w:r>
      <w:r>
        <w:rPr>
          <w:rFonts w:eastAsiaTheme="minorHAnsi" w:cs="Arial"/>
          <w:i/>
          <w:u w:val="single"/>
        </w:rPr>
        <w:t>/s/ Matthew R. Pritchard</w:t>
      </w:r>
      <w:r>
        <w:rPr>
          <w:rFonts w:eastAsiaTheme="minorHAnsi" w:cs="Arial"/>
          <w:i/>
          <w:u w:val="single"/>
        </w:rPr>
        <w:tab/>
      </w:r>
      <w:r>
        <w:rPr>
          <w:rFonts w:eastAsiaTheme="minorHAnsi" w:cs="Arial"/>
          <w:i/>
          <w:u w:val="single"/>
        </w:rPr>
        <w:tab/>
      </w:r>
    </w:p>
    <w:p w:rsidR="00010ADA" w:rsidRDefault="007D5942">
      <w:pPr>
        <w:tabs>
          <w:tab w:val="left" w:pos="4320"/>
          <w:tab w:val="right" w:pos="8640"/>
        </w:tabs>
        <w:spacing w:line="240" w:lineRule="auto"/>
        <w:ind w:left="4320"/>
        <w:rPr>
          <w:rFonts w:eastAsiaTheme="minorHAnsi" w:cs="Arial"/>
        </w:rPr>
      </w:pPr>
      <w:r>
        <w:rPr>
          <w:rFonts w:eastAsiaTheme="minorHAnsi" w:cs="Arial"/>
        </w:rPr>
        <w:t>Samuel C. Randazzo (Counsel of Record) (Reg. No. 0016386)</w:t>
      </w:r>
    </w:p>
    <w:p w:rsidR="00010ADA" w:rsidRDefault="007D5942">
      <w:pPr>
        <w:widowControl w:val="0"/>
        <w:tabs>
          <w:tab w:val="left" w:pos="4320"/>
        </w:tabs>
        <w:spacing w:line="240" w:lineRule="auto"/>
        <w:ind w:left="4320"/>
        <w:rPr>
          <w:rFonts w:eastAsiaTheme="minorHAnsi" w:cs="Arial"/>
          <w:bCs/>
        </w:rPr>
      </w:pPr>
      <w:r>
        <w:rPr>
          <w:rFonts w:eastAsiaTheme="minorHAnsi" w:cs="Arial"/>
          <w:bCs/>
        </w:rPr>
        <w:t>Frank P. Darr (Reg. No. 0025469)</w:t>
      </w:r>
    </w:p>
    <w:p w:rsidR="00010ADA" w:rsidRDefault="007D5942">
      <w:pPr>
        <w:widowControl w:val="0"/>
        <w:tabs>
          <w:tab w:val="left" w:pos="4320"/>
        </w:tabs>
        <w:spacing w:line="240" w:lineRule="auto"/>
        <w:ind w:left="4320"/>
        <w:rPr>
          <w:rFonts w:eastAsiaTheme="minorHAnsi" w:cs="Arial"/>
          <w:b/>
          <w:bCs/>
        </w:rPr>
      </w:pPr>
      <w:r>
        <w:rPr>
          <w:rFonts w:eastAsiaTheme="minorHAnsi" w:cs="Arial"/>
          <w:bCs/>
        </w:rPr>
        <w:t>Matthew R. Pritchard (Reg. No. 0088070)</w:t>
      </w:r>
    </w:p>
    <w:p w:rsidR="00010ADA" w:rsidRDefault="007D5942">
      <w:pPr>
        <w:widowControl w:val="0"/>
        <w:tabs>
          <w:tab w:val="left" w:pos="4320"/>
        </w:tabs>
        <w:spacing w:line="240" w:lineRule="auto"/>
        <w:ind w:left="4320"/>
        <w:rPr>
          <w:rFonts w:eastAsiaTheme="minorHAnsi" w:cs="Arial"/>
          <w:b/>
          <w:bCs/>
          <w:smallCaps/>
        </w:rPr>
      </w:pPr>
      <w:r>
        <w:rPr>
          <w:rFonts w:eastAsiaTheme="minorHAnsi" w:cs="Arial"/>
          <w:bCs/>
          <w:smallCaps/>
        </w:rPr>
        <w:t>McNees Wallace &amp; Nurick LLC</w:t>
      </w:r>
    </w:p>
    <w:p w:rsidR="00010ADA" w:rsidRPr="005D7B95" w:rsidRDefault="007D5942">
      <w:pPr>
        <w:widowControl w:val="0"/>
        <w:tabs>
          <w:tab w:val="left" w:pos="4320"/>
        </w:tabs>
        <w:spacing w:line="240" w:lineRule="auto"/>
        <w:ind w:left="4320"/>
        <w:rPr>
          <w:rFonts w:eastAsiaTheme="minorHAnsi" w:cs="Arial"/>
          <w:b/>
          <w:bCs/>
        </w:rPr>
      </w:pPr>
      <w:r w:rsidRPr="005D7B95">
        <w:rPr>
          <w:rFonts w:eastAsiaTheme="minorHAnsi" w:cs="Arial"/>
          <w:bCs/>
        </w:rPr>
        <w:t>21 East State Street, 17</w:t>
      </w:r>
      <w:r w:rsidRPr="005D7B95">
        <w:rPr>
          <w:rFonts w:eastAsiaTheme="minorHAnsi" w:cs="Arial"/>
          <w:bCs/>
          <w:vertAlign w:val="superscript"/>
        </w:rPr>
        <w:t>TH</w:t>
      </w:r>
      <w:r w:rsidRPr="005D7B95">
        <w:rPr>
          <w:rFonts w:eastAsiaTheme="minorHAnsi" w:cs="Arial"/>
          <w:bCs/>
        </w:rPr>
        <w:t xml:space="preserve"> Floor</w:t>
      </w:r>
    </w:p>
    <w:p w:rsidR="00010ADA" w:rsidRPr="005D7B95" w:rsidRDefault="007D5942">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sidRPr="005D7B95">
        <w:rPr>
          <w:rFonts w:eastAsiaTheme="minorHAnsi" w:cs="Arial"/>
        </w:rPr>
        <w:t>Columbus, OH  43215</w:t>
      </w:r>
    </w:p>
    <w:p w:rsidR="00010ADA" w:rsidRPr="005D7B95" w:rsidRDefault="007D5942">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sidRPr="005D7B95">
        <w:rPr>
          <w:rFonts w:eastAsiaTheme="minorHAnsi" w:cs="Arial"/>
        </w:rPr>
        <w:t>Telephone:  (614) 469-8000</w:t>
      </w:r>
    </w:p>
    <w:p w:rsidR="00010ADA" w:rsidRPr="005D7B95" w:rsidRDefault="007D5942">
      <w:pPr>
        <w:tabs>
          <w:tab w:val="left" w:pos="-1440"/>
          <w:tab w:val="left" w:pos="-720"/>
          <w:tab w:val="left" w:pos="4320"/>
          <w:tab w:val="left" w:pos="5040"/>
          <w:tab w:val="center" w:pos="7200"/>
        </w:tabs>
        <w:overflowPunct w:val="0"/>
        <w:autoSpaceDE w:val="0"/>
        <w:autoSpaceDN w:val="0"/>
        <w:adjustRightInd w:val="0"/>
        <w:spacing w:line="240" w:lineRule="auto"/>
        <w:ind w:left="4320"/>
        <w:rPr>
          <w:rFonts w:eastAsiaTheme="minorHAnsi" w:cs="Arial"/>
        </w:rPr>
      </w:pPr>
      <w:r w:rsidRPr="005D7B95">
        <w:rPr>
          <w:rFonts w:eastAsiaTheme="minorHAnsi" w:cs="Arial"/>
        </w:rPr>
        <w:t>Telecopier:  (614) 469-4653</w:t>
      </w:r>
    </w:p>
    <w:p w:rsidR="00010ADA" w:rsidRPr="005D7B95"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AA47C0">
        <w:rPr>
          <w:rFonts w:eastAsiaTheme="minorHAnsi" w:cs="Arial"/>
        </w:rPr>
        <w:t>sam@mwncmh.com</w:t>
      </w:r>
    </w:p>
    <w:p w:rsidR="00010ADA" w:rsidRPr="005D7B95"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5D7B95">
        <w:rPr>
          <w:rFonts w:eastAsiaTheme="minorHAnsi" w:cs="Arial"/>
          <w:color w:val="000000" w:themeColor="text1"/>
        </w:rPr>
        <w:t>(</w:t>
      </w:r>
      <w:proofErr w:type="gramStart"/>
      <w:r w:rsidRPr="005D7B95">
        <w:rPr>
          <w:rFonts w:eastAsiaTheme="minorHAnsi" w:cs="Arial"/>
          <w:color w:val="000000" w:themeColor="text1"/>
        </w:rPr>
        <w:t>willing</w:t>
      </w:r>
      <w:proofErr w:type="gramEnd"/>
      <w:r w:rsidRPr="005D7B95">
        <w:rPr>
          <w:rFonts w:eastAsiaTheme="minorHAnsi" w:cs="Arial"/>
          <w:color w:val="000000" w:themeColor="text1"/>
        </w:rPr>
        <w:t xml:space="preserve"> to accept service by e-mail)</w:t>
      </w:r>
    </w:p>
    <w:p w:rsidR="00010ADA" w:rsidRPr="005D7B95"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AA47C0">
        <w:rPr>
          <w:rFonts w:eastAsiaTheme="minorHAnsi" w:cs="Arial"/>
        </w:rPr>
        <w:t>fdarr@mwncmh.com</w:t>
      </w:r>
    </w:p>
    <w:p w:rsidR="00010ADA" w:rsidRPr="005D7B95"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5D7B95">
        <w:rPr>
          <w:rFonts w:eastAsiaTheme="minorHAnsi" w:cs="Arial"/>
          <w:color w:val="000000" w:themeColor="text1"/>
        </w:rPr>
        <w:t>(</w:t>
      </w:r>
      <w:proofErr w:type="gramStart"/>
      <w:r w:rsidRPr="005D7B95">
        <w:rPr>
          <w:rFonts w:eastAsiaTheme="minorHAnsi" w:cs="Arial"/>
          <w:color w:val="000000" w:themeColor="text1"/>
        </w:rPr>
        <w:t>willing</w:t>
      </w:r>
      <w:proofErr w:type="gramEnd"/>
      <w:r w:rsidRPr="005D7B95">
        <w:rPr>
          <w:rFonts w:eastAsiaTheme="minorHAnsi" w:cs="Arial"/>
          <w:color w:val="000000" w:themeColor="text1"/>
        </w:rPr>
        <w:t xml:space="preserve"> to accept service by e-mail)</w:t>
      </w:r>
    </w:p>
    <w:p w:rsidR="00010ADA" w:rsidRPr="005D7B95"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smallCaps/>
          <w:color w:val="000000" w:themeColor="text1"/>
        </w:rPr>
      </w:pPr>
      <w:r w:rsidRPr="005D7B95">
        <w:rPr>
          <w:rFonts w:eastAsiaTheme="minorHAnsi" w:cs="Arial"/>
          <w:color w:val="000000" w:themeColor="text1"/>
        </w:rPr>
        <w:t>mpritchard@mwncmh.com</w:t>
      </w:r>
    </w:p>
    <w:p w:rsidR="00010ADA" w:rsidRPr="005D7B95" w:rsidRDefault="007D5942">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color w:val="000000" w:themeColor="text1"/>
        </w:rPr>
      </w:pPr>
      <w:r w:rsidRPr="005D7B95">
        <w:rPr>
          <w:rFonts w:eastAsiaTheme="minorHAnsi" w:cs="Arial"/>
          <w:color w:val="000000" w:themeColor="text1"/>
        </w:rPr>
        <w:t>(</w:t>
      </w:r>
      <w:proofErr w:type="gramStart"/>
      <w:r w:rsidRPr="005D7B95">
        <w:rPr>
          <w:rFonts w:eastAsiaTheme="minorHAnsi" w:cs="Arial"/>
          <w:color w:val="000000" w:themeColor="text1"/>
        </w:rPr>
        <w:t>willing</w:t>
      </w:r>
      <w:proofErr w:type="gramEnd"/>
      <w:r w:rsidRPr="005D7B95">
        <w:rPr>
          <w:rFonts w:eastAsiaTheme="minorHAnsi" w:cs="Arial"/>
          <w:color w:val="000000" w:themeColor="text1"/>
        </w:rPr>
        <w:t xml:space="preserve"> to accept service by e-mail)</w:t>
      </w:r>
    </w:p>
    <w:p w:rsidR="00010ADA" w:rsidRDefault="00010ADA">
      <w:pPr>
        <w:tabs>
          <w:tab w:val="left" w:pos="-1440"/>
          <w:tab w:val="left" w:pos="-720"/>
          <w:tab w:val="left" w:pos="5040"/>
          <w:tab w:val="center" w:pos="7200"/>
        </w:tabs>
        <w:overflowPunct w:val="0"/>
        <w:autoSpaceDE w:val="0"/>
        <w:autoSpaceDN w:val="0"/>
        <w:adjustRightInd w:val="0"/>
        <w:spacing w:line="240" w:lineRule="auto"/>
        <w:ind w:left="4320"/>
        <w:rPr>
          <w:rFonts w:eastAsiaTheme="minorHAnsi" w:cs="Arial"/>
          <w:b/>
          <w:smallCaps/>
        </w:rPr>
      </w:pPr>
    </w:p>
    <w:p w:rsidR="00010ADA" w:rsidRDefault="007D5942">
      <w:pPr>
        <w:spacing w:line="240" w:lineRule="auto"/>
        <w:ind w:left="4320"/>
        <w:rPr>
          <w:rFonts w:eastAsia="Calibri" w:cs="Arial"/>
          <w:b/>
          <w:bCs/>
          <w:szCs w:val="20"/>
        </w:rPr>
      </w:pPr>
      <w:r>
        <w:rPr>
          <w:rFonts w:eastAsiaTheme="minorHAnsi" w:cs="Arial"/>
          <w:b/>
        </w:rPr>
        <w:t>Attorneys for Industrial Energy Users-Ohio</w:t>
      </w:r>
    </w:p>
    <w:p w:rsidR="00010ADA" w:rsidRDefault="00010ADA">
      <w:pPr>
        <w:spacing w:after="120" w:line="240" w:lineRule="auto"/>
        <w:jc w:val="left"/>
        <w:rPr>
          <w:rFonts w:eastAsiaTheme="minorHAnsi" w:cs="Arial"/>
          <w:b/>
          <w:smallCaps/>
          <w:sz w:val="28"/>
          <w:szCs w:val="20"/>
        </w:rPr>
        <w:sectPr w:rsidR="00010ADA">
          <w:headerReference w:type="default" r:id="rId15"/>
          <w:footerReference w:type="default" r:id="rId16"/>
          <w:headerReference w:type="first" r:id="rId17"/>
          <w:footerReference w:type="first" r:id="rId18"/>
          <w:pgSz w:w="12240" w:h="15840" w:code="1"/>
          <w:pgMar w:top="1440" w:right="1440" w:bottom="1440" w:left="1440" w:header="720" w:footer="720" w:gutter="0"/>
          <w:pgNumType w:start="1"/>
          <w:cols w:space="720"/>
          <w:titlePg/>
          <w:docGrid w:linePitch="360"/>
        </w:sectPr>
      </w:pPr>
    </w:p>
    <w:p w:rsidR="00010ADA" w:rsidRDefault="007D5942">
      <w:pPr>
        <w:jc w:val="center"/>
        <w:rPr>
          <w:rFonts w:cs="Arial"/>
          <w:b/>
          <w:u w:val="single"/>
        </w:rPr>
      </w:pPr>
      <w:bookmarkStart w:id="35" w:name="_Toc385406742"/>
      <w:bookmarkStart w:id="36" w:name="_Toc381606702"/>
      <w:r>
        <w:rPr>
          <w:rFonts w:cs="Arial"/>
          <w:b/>
          <w:u w:val="single"/>
        </w:rPr>
        <w:lastRenderedPageBreak/>
        <w:t>CERTIFICATE OF SERVICE</w:t>
      </w:r>
    </w:p>
    <w:bookmarkEnd w:id="35"/>
    <w:bookmarkEnd w:id="36"/>
    <w:p w:rsidR="00010ADA" w:rsidRDefault="007D5942">
      <w:pPr>
        <w:pStyle w:val="BodyText"/>
        <w:spacing w:line="480" w:lineRule="auto"/>
        <w:ind w:firstLine="720"/>
        <w:rPr>
          <w:b w:val="0"/>
          <w:smallCaps w:val="0"/>
          <w:sz w:val="24"/>
          <w:szCs w:val="24"/>
        </w:rPr>
      </w:pPr>
      <w:r>
        <w:rPr>
          <w:b w:val="0"/>
          <w:smallCaps w:val="0"/>
          <w:sz w:val="24"/>
          <w:szCs w:val="24"/>
        </w:rPr>
        <w:t xml:space="preserve">In Accordance with Rule 4901-1-05, Ohio Administrative Code, "The PUCO's e-filing system will electronically serve notice of the filing of this document upon the following parties."  In addition, I hereby certify that a service copy of the foregoing </w:t>
      </w:r>
      <w:r>
        <w:rPr>
          <w:b w:val="0"/>
          <w:i/>
          <w:smallCaps w:val="0"/>
          <w:sz w:val="24"/>
          <w:szCs w:val="24"/>
        </w:rPr>
        <w:t xml:space="preserve">Industrial Energy Users-Ohio’s Comments on The Dayton Power and Light Company’s Amended Supplemental Application </w:t>
      </w:r>
      <w:r>
        <w:rPr>
          <w:b w:val="0"/>
          <w:smallCaps w:val="0"/>
          <w:sz w:val="24"/>
          <w:szCs w:val="24"/>
        </w:rPr>
        <w:t>was sent by, or on behalf of, the undersigned counsel for IEU-Ohio to the following parties of record this 30</w:t>
      </w:r>
      <w:r>
        <w:rPr>
          <w:b w:val="0"/>
          <w:smallCaps w:val="0"/>
          <w:sz w:val="24"/>
          <w:szCs w:val="24"/>
          <w:vertAlign w:val="superscript"/>
        </w:rPr>
        <w:t>th</w:t>
      </w:r>
      <w:r>
        <w:rPr>
          <w:b w:val="0"/>
          <w:smallCaps w:val="0"/>
          <w:sz w:val="24"/>
          <w:szCs w:val="24"/>
        </w:rPr>
        <w:t xml:space="preserve"> day of June 2014, </w:t>
      </w:r>
      <w:r>
        <w:rPr>
          <w:b w:val="0"/>
          <w:i/>
          <w:smallCaps w:val="0"/>
          <w:sz w:val="24"/>
          <w:szCs w:val="24"/>
        </w:rPr>
        <w:t>via</w:t>
      </w:r>
      <w:r>
        <w:rPr>
          <w:b w:val="0"/>
          <w:smallCaps w:val="0"/>
          <w:sz w:val="24"/>
          <w:szCs w:val="24"/>
        </w:rPr>
        <w:t xml:space="preserve"> electronic transmission.</w:t>
      </w:r>
      <w:r>
        <w:rPr>
          <w:b w:val="0"/>
          <w:smallCaps w:val="0"/>
        </w:rPr>
        <w:t xml:space="preserve"> </w:t>
      </w:r>
    </w:p>
    <w:p w:rsidR="00010ADA" w:rsidRDefault="007D5942">
      <w:pPr>
        <w:tabs>
          <w:tab w:val="left" w:pos="-1440"/>
          <w:tab w:val="left" w:pos="-720"/>
          <w:tab w:val="left" w:pos="5040"/>
          <w:tab w:val="center" w:pos="7200"/>
          <w:tab w:val="right" w:pos="9360"/>
        </w:tabs>
        <w:spacing w:line="240" w:lineRule="auto"/>
        <w:ind w:firstLine="5040"/>
        <w:rPr>
          <w:rFonts w:cs="Arial"/>
        </w:rPr>
      </w:pPr>
      <w:r>
        <w:rPr>
          <w:rFonts w:cs="Arial"/>
          <w:u w:val="single"/>
        </w:rPr>
        <w:t>/s/ Matthew R. Pritchard</w:t>
      </w:r>
      <w:r>
        <w:rPr>
          <w:rFonts w:cs="Arial"/>
          <w:u w:val="single"/>
        </w:rPr>
        <w:tab/>
      </w:r>
    </w:p>
    <w:p w:rsidR="00010ADA" w:rsidRDefault="007D5942">
      <w:pPr>
        <w:tabs>
          <w:tab w:val="left" w:pos="4320"/>
          <w:tab w:val="center" w:pos="6840"/>
        </w:tabs>
        <w:spacing w:line="240" w:lineRule="auto"/>
        <w:rPr>
          <w:rFonts w:cs="Arial"/>
        </w:rPr>
      </w:pPr>
      <w:r>
        <w:rPr>
          <w:rFonts w:cs="Arial"/>
        </w:rPr>
        <w:tab/>
      </w:r>
      <w:r>
        <w:rPr>
          <w:rFonts w:cs="Arial"/>
        </w:rPr>
        <w:tab/>
        <w:t>Matthew R. Pritchard</w:t>
      </w:r>
    </w:p>
    <w:p w:rsidR="00010ADA" w:rsidRDefault="00010ADA">
      <w:pPr>
        <w:tabs>
          <w:tab w:val="left" w:pos="2160"/>
          <w:tab w:val="left" w:pos="2280"/>
        </w:tabs>
        <w:spacing w:line="240" w:lineRule="auto"/>
        <w:rPr>
          <w:rFonts w:cs="Arial"/>
          <w:sz w:val="22"/>
          <w:szCs w:val="22"/>
        </w:rPr>
      </w:pPr>
    </w:p>
    <w:p w:rsidR="00010ADA" w:rsidRDefault="00010ADA">
      <w:pPr>
        <w:tabs>
          <w:tab w:val="left" w:pos="2160"/>
          <w:tab w:val="left" w:pos="2280"/>
        </w:tabs>
        <w:spacing w:line="240" w:lineRule="auto"/>
        <w:rPr>
          <w:rFonts w:cs="Arial"/>
          <w:sz w:val="22"/>
          <w:szCs w:val="22"/>
        </w:rPr>
        <w:sectPr w:rsidR="00010ADA">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cols w:space="720"/>
          <w:titlePg/>
          <w:docGrid w:linePitch="360"/>
        </w:sectPr>
      </w:pPr>
    </w:p>
    <w:p w:rsidR="00010ADA" w:rsidRDefault="007D5942">
      <w:pPr>
        <w:tabs>
          <w:tab w:val="left" w:pos="2160"/>
          <w:tab w:val="left" w:pos="2280"/>
        </w:tabs>
        <w:spacing w:line="240" w:lineRule="auto"/>
        <w:rPr>
          <w:rFonts w:cs="Arial"/>
          <w:sz w:val="22"/>
          <w:szCs w:val="22"/>
        </w:rPr>
      </w:pPr>
      <w:r>
        <w:rPr>
          <w:rFonts w:cs="Arial"/>
          <w:sz w:val="22"/>
          <w:szCs w:val="22"/>
        </w:rPr>
        <w:lastRenderedPageBreak/>
        <w:t>Judi L. Sobecki</w:t>
      </w:r>
    </w:p>
    <w:p w:rsidR="00010ADA" w:rsidRDefault="007D5942">
      <w:pPr>
        <w:kinsoku w:val="0"/>
        <w:overflowPunct w:val="0"/>
        <w:spacing w:line="240" w:lineRule="auto"/>
        <w:textAlignment w:val="baseline"/>
        <w:rPr>
          <w:rFonts w:cs="Arial"/>
          <w:sz w:val="22"/>
          <w:szCs w:val="22"/>
        </w:rPr>
      </w:pPr>
      <w:r>
        <w:rPr>
          <w:rFonts w:cs="Arial"/>
          <w:sz w:val="22"/>
          <w:szCs w:val="22"/>
        </w:rPr>
        <w:t>The Dayton Power &amp; Light Company</w:t>
      </w:r>
    </w:p>
    <w:p w:rsidR="00010ADA" w:rsidRDefault="007D5942">
      <w:pPr>
        <w:kinsoku w:val="0"/>
        <w:overflowPunct w:val="0"/>
        <w:spacing w:line="240" w:lineRule="auto"/>
        <w:ind w:right="1584"/>
        <w:textAlignment w:val="baseline"/>
        <w:rPr>
          <w:rFonts w:cs="Arial"/>
          <w:sz w:val="22"/>
          <w:szCs w:val="22"/>
        </w:rPr>
      </w:pPr>
      <w:r>
        <w:rPr>
          <w:rFonts w:cs="Arial"/>
          <w:sz w:val="22"/>
          <w:szCs w:val="22"/>
        </w:rPr>
        <w:t xml:space="preserve">1065 Woodman Drive </w:t>
      </w:r>
    </w:p>
    <w:p w:rsidR="00010ADA" w:rsidRDefault="007D5942">
      <w:pPr>
        <w:kinsoku w:val="0"/>
        <w:overflowPunct w:val="0"/>
        <w:spacing w:line="240" w:lineRule="auto"/>
        <w:ind w:right="1584"/>
        <w:textAlignment w:val="baseline"/>
        <w:rPr>
          <w:rFonts w:cs="Arial"/>
          <w:sz w:val="22"/>
          <w:szCs w:val="22"/>
        </w:rPr>
      </w:pPr>
      <w:r>
        <w:rPr>
          <w:rFonts w:cs="Arial"/>
          <w:sz w:val="22"/>
          <w:szCs w:val="22"/>
        </w:rPr>
        <w:t>Dayton, Ohio 45432</w:t>
      </w:r>
    </w:p>
    <w:p w:rsidR="00010ADA" w:rsidRDefault="007D5942">
      <w:pPr>
        <w:kinsoku w:val="0"/>
        <w:overflowPunct w:val="0"/>
        <w:spacing w:line="240" w:lineRule="auto"/>
        <w:ind w:right="1584"/>
        <w:textAlignment w:val="baseline"/>
        <w:rPr>
          <w:rFonts w:cs="Arial"/>
          <w:sz w:val="22"/>
          <w:szCs w:val="22"/>
        </w:rPr>
      </w:pPr>
      <w:r>
        <w:rPr>
          <w:rFonts w:cs="Arial"/>
          <w:sz w:val="22"/>
          <w:szCs w:val="22"/>
        </w:rPr>
        <w:t>judi.sobecki@dplinc.com</w:t>
      </w:r>
    </w:p>
    <w:p w:rsidR="00010ADA" w:rsidRDefault="00010ADA">
      <w:pPr>
        <w:kinsoku w:val="0"/>
        <w:overflowPunct w:val="0"/>
        <w:spacing w:line="240" w:lineRule="auto"/>
        <w:ind w:right="1584"/>
        <w:textAlignment w:val="baseline"/>
        <w:rPr>
          <w:rFonts w:cs="Arial"/>
          <w:sz w:val="22"/>
          <w:szCs w:val="22"/>
        </w:rPr>
      </w:pPr>
    </w:p>
    <w:p w:rsidR="00010ADA" w:rsidRDefault="007D5942">
      <w:pPr>
        <w:kinsoku w:val="0"/>
        <w:overflowPunct w:val="0"/>
        <w:spacing w:line="240" w:lineRule="auto"/>
        <w:textAlignment w:val="baseline"/>
        <w:rPr>
          <w:rFonts w:cs="Arial"/>
          <w:sz w:val="22"/>
          <w:szCs w:val="22"/>
        </w:rPr>
      </w:pPr>
      <w:r>
        <w:rPr>
          <w:rFonts w:cs="Arial"/>
          <w:sz w:val="22"/>
          <w:szCs w:val="22"/>
        </w:rPr>
        <w:t>Charles J. Faruki</w:t>
      </w:r>
    </w:p>
    <w:p w:rsidR="00010ADA" w:rsidRDefault="007D5942">
      <w:pPr>
        <w:kinsoku w:val="0"/>
        <w:overflowPunct w:val="0"/>
        <w:spacing w:line="240" w:lineRule="auto"/>
        <w:textAlignment w:val="baseline"/>
        <w:rPr>
          <w:rFonts w:cs="Arial"/>
          <w:sz w:val="22"/>
          <w:szCs w:val="22"/>
        </w:rPr>
      </w:pPr>
      <w:r>
        <w:rPr>
          <w:rFonts w:cs="Arial"/>
          <w:sz w:val="22"/>
          <w:szCs w:val="22"/>
        </w:rPr>
        <w:t>Jeffrey S. Sharkey</w:t>
      </w:r>
    </w:p>
    <w:p w:rsidR="00010ADA" w:rsidRDefault="007D5942">
      <w:pPr>
        <w:kinsoku w:val="0"/>
        <w:overflowPunct w:val="0"/>
        <w:spacing w:line="240" w:lineRule="auto"/>
        <w:textAlignment w:val="baseline"/>
        <w:rPr>
          <w:rFonts w:cs="Arial"/>
          <w:sz w:val="22"/>
          <w:szCs w:val="22"/>
        </w:rPr>
      </w:pPr>
      <w:proofErr w:type="gramStart"/>
      <w:r>
        <w:rPr>
          <w:rFonts w:cs="Arial"/>
          <w:sz w:val="22"/>
          <w:szCs w:val="22"/>
        </w:rPr>
        <w:t>Faruki Ireland &amp; Cox P.L.L.</w:t>
      </w:r>
      <w:proofErr w:type="gramEnd"/>
      <w:r>
        <w:rPr>
          <w:rFonts w:cs="Arial"/>
          <w:sz w:val="22"/>
          <w:szCs w:val="22"/>
        </w:rPr>
        <w:t xml:space="preserve"> </w:t>
      </w:r>
    </w:p>
    <w:p w:rsidR="00010ADA" w:rsidRDefault="007D5942">
      <w:pPr>
        <w:kinsoku w:val="0"/>
        <w:overflowPunct w:val="0"/>
        <w:spacing w:line="240" w:lineRule="auto"/>
        <w:textAlignment w:val="baseline"/>
        <w:rPr>
          <w:rFonts w:cs="Arial"/>
          <w:sz w:val="22"/>
          <w:szCs w:val="22"/>
        </w:rPr>
      </w:pPr>
      <w:r>
        <w:rPr>
          <w:rFonts w:cs="Arial"/>
          <w:sz w:val="22"/>
          <w:szCs w:val="22"/>
        </w:rPr>
        <w:t xml:space="preserve">500 Courthouse </w:t>
      </w:r>
      <w:proofErr w:type="gramStart"/>
      <w:r>
        <w:rPr>
          <w:rFonts w:cs="Arial"/>
          <w:sz w:val="22"/>
          <w:szCs w:val="22"/>
        </w:rPr>
        <w:t>Plaza</w:t>
      </w:r>
      <w:proofErr w:type="gramEnd"/>
      <w:r>
        <w:rPr>
          <w:rFonts w:cs="Arial"/>
          <w:sz w:val="22"/>
          <w:szCs w:val="22"/>
        </w:rPr>
        <w:t>, S.W.</w:t>
      </w:r>
    </w:p>
    <w:p w:rsidR="00010ADA" w:rsidRDefault="007D5942">
      <w:pPr>
        <w:kinsoku w:val="0"/>
        <w:overflowPunct w:val="0"/>
        <w:spacing w:line="240" w:lineRule="auto"/>
        <w:textAlignment w:val="baseline"/>
        <w:rPr>
          <w:rFonts w:cs="Arial"/>
          <w:sz w:val="22"/>
          <w:szCs w:val="22"/>
        </w:rPr>
      </w:pPr>
      <w:r>
        <w:rPr>
          <w:rFonts w:cs="Arial"/>
          <w:sz w:val="22"/>
          <w:szCs w:val="22"/>
        </w:rPr>
        <w:t>10 North Ludlow Street</w:t>
      </w:r>
    </w:p>
    <w:p w:rsidR="00010ADA" w:rsidRDefault="007D5942">
      <w:pPr>
        <w:kinsoku w:val="0"/>
        <w:overflowPunct w:val="0"/>
        <w:spacing w:line="240" w:lineRule="auto"/>
        <w:textAlignment w:val="baseline"/>
        <w:rPr>
          <w:rFonts w:cs="Arial"/>
          <w:sz w:val="22"/>
          <w:szCs w:val="22"/>
        </w:rPr>
      </w:pPr>
      <w:r>
        <w:rPr>
          <w:rFonts w:cs="Arial"/>
          <w:sz w:val="22"/>
          <w:szCs w:val="22"/>
        </w:rPr>
        <w:t>Dayton, Ohio 45402</w:t>
      </w:r>
    </w:p>
    <w:p w:rsidR="00010ADA" w:rsidRDefault="007D5942">
      <w:pPr>
        <w:kinsoku w:val="0"/>
        <w:overflowPunct w:val="0"/>
        <w:spacing w:line="240" w:lineRule="auto"/>
        <w:textAlignment w:val="baseline"/>
        <w:rPr>
          <w:rFonts w:cs="Arial"/>
          <w:sz w:val="22"/>
          <w:szCs w:val="22"/>
        </w:rPr>
      </w:pPr>
      <w:r>
        <w:rPr>
          <w:rFonts w:cs="Arial"/>
          <w:sz w:val="22"/>
          <w:szCs w:val="22"/>
        </w:rPr>
        <w:t>cfaruki@ficlaw.com</w:t>
      </w:r>
    </w:p>
    <w:p w:rsidR="00010ADA" w:rsidRDefault="007D5942">
      <w:pPr>
        <w:kinsoku w:val="0"/>
        <w:overflowPunct w:val="0"/>
        <w:spacing w:line="240" w:lineRule="auto"/>
        <w:ind w:right="1584"/>
        <w:textAlignment w:val="baseline"/>
        <w:rPr>
          <w:rFonts w:cs="Arial"/>
          <w:sz w:val="22"/>
          <w:szCs w:val="22"/>
        </w:rPr>
      </w:pPr>
      <w:r>
        <w:rPr>
          <w:rFonts w:cs="Arial"/>
          <w:sz w:val="22"/>
          <w:szCs w:val="22"/>
        </w:rPr>
        <w:t>jsharkey@ficlaw.com</w:t>
      </w:r>
    </w:p>
    <w:p w:rsidR="00010ADA" w:rsidRDefault="00010ADA">
      <w:pPr>
        <w:kinsoku w:val="0"/>
        <w:overflowPunct w:val="0"/>
        <w:spacing w:line="240" w:lineRule="auto"/>
        <w:textAlignment w:val="baseline"/>
        <w:rPr>
          <w:rFonts w:cs="Arial"/>
          <w:b/>
          <w:smallCaps/>
          <w:sz w:val="22"/>
          <w:szCs w:val="22"/>
        </w:rPr>
      </w:pPr>
    </w:p>
    <w:p w:rsidR="00010ADA" w:rsidRDefault="007D5942">
      <w:pPr>
        <w:kinsoku w:val="0"/>
        <w:overflowPunct w:val="0"/>
        <w:spacing w:line="240" w:lineRule="auto"/>
        <w:textAlignment w:val="baseline"/>
        <w:rPr>
          <w:rFonts w:cs="Arial"/>
          <w:b/>
          <w:smallCaps/>
          <w:sz w:val="22"/>
          <w:szCs w:val="22"/>
        </w:rPr>
      </w:pPr>
      <w:r>
        <w:rPr>
          <w:rFonts w:cs="Arial"/>
          <w:b/>
          <w:smallCaps/>
          <w:sz w:val="22"/>
          <w:szCs w:val="22"/>
        </w:rPr>
        <w:t>On Behalf of The Dayton Power and Light Company</w:t>
      </w:r>
    </w:p>
    <w:p w:rsidR="00010ADA" w:rsidRDefault="00010ADA">
      <w:pPr>
        <w:tabs>
          <w:tab w:val="left" w:pos="2160"/>
          <w:tab w:val="left" w:pos="2280"/>
        </w:tabs>
        <w:spacing w:line="240" w:lineRule="auto"/>
        <w:rPr>
          <w:rFonts w:cs="Arial"/>
          <w:b/>
          <w:sz w:val="22"/>
          <w:szCs w:val="22"/>
        </w:rPr>
      </w:pPr>
    </w:p>
    <w:p w:rsidR="00010ADA" w:rsidRDefault="007D5942">
      <w:pPr>
        <w:tabs>
          <w:tab w:val="left" w:pos="2160"/>
          <w:tab w:val="left" w:pos="2280"/>
        </w:tabs>
        <w:spacing w:line="240" w:lineRule="auto"/>
        <w:rPr>
          <w:rFonts w:cs="Arial"/>
          <w:sz w:val="22"/>
          <w:szCs w:val="22"/>
        </w:rPr>
      </w:pPr>
      <w:r>
        <w:rPr>
          <w:rFonts w:cs="Arial"/>
          <w:sz w:val="22"/>
          <w:szCs w:val="22"/>
        </w:rPr>
        <w:t>Bruce J. Weston</w:t>
      </w:r>
    </w:p>
    <w:p w:rsidR="00010ADA" w:rsidRDefault="007D5942">
      <w:pPr>
        <w:tabs>
          <w:tab w:val="left" w:pos="2160"/>
          <w:tab w:val="left" w:pos="2280"/>
        </w:tabs>
        <w:spacing w:line="240" w:lineRule="auto"/>
        <w:rPr>
          <w:rFonts w:cs="Arial"/>
          <w:sz w:val="22"/>
          <w:szCs w:val="22"/>
        </w:rPr>
      </w:pPr>
      <w:r>
        <w:rPr>
          <w:rFonts w:cs="Arial"/>
          <w:sz w:val="22"/>
          <w:szCs w:val="22"/>
        </w:rPr>
        <w:t>Edmund Berger</w:t>
      </w:r>
    </w:p>
    <w:p w:rsidR="00010ADA" w:rsidRDefault="007D5942">
      <w:pPr>
        <w:tabs>
          <w:tab w:val="left" w:pos="2160"/>
          <w:tab w:val="left" w:pos="2280"/>
        </w:tabs>
        <w:spacing w:line="240" w:lineRule="auto"/>
        <w:rPr>
          <w:rFonts w:cs="Arial"/>
          <w:sz w:val="22"/>
          <w:szCs w:val="22"/>
        </w:rPr>
      </w:pPr>
      <w:r>
        <w:rPr>
          <w:rFonts w:cs="Arial"/>
          <w:sz w:val="22"/>
          <w:szCs w:val="22"/>
        </w:rPr>
        <w:t>Maureen R. Grady</w:t>
      </w:r>
    </w:p>
    <w:p w:rsidR="00010ADA" w:rsidRDefault="007D5942">
      <w:pPr>
        <w:tabs>
          <w:tab w:val="left" w:pos="2160"/>
          <w:tab w:val="left" w:pos="2280"/>
        </w:tabs>
        <w:spacing w:line="240" w:lineRule="auto"/>
        <w:rPr>
          <w:rFonts w:cs="Arial"/>
          <w:sz w:val="22"/>
          <w:szCs w:val="22"/>
        </w:rPr>
      </w:pPr>
      <w:r>
        <w:rPr>
          <w:rFonts w:cs="Arial"/>
          <w:sz w:val="22"/>
          <w:szCs w:val="22"/>
        </w:rPr>
        <w:t>Assistant Consumers’ Counsel</w:t>
      </w:r>
    </w:p>
    <w:p w:rsidR="00010ADA" w:rsidRDefault="007D5942">
      <w:pPr>
        <w:spacing w:line="240" w:lineRule="auto"/>
        <w:rPr>
          <w:rFonts w:cs="Arial"/>
          <w:sz w:val="22"/>
          <w:szCs w:val="22"/>
        </w:rPr>
      </w:pPr>
      <w:r>
        <w:rPr>
          <w:rFonts w:cs="Arial"/>
          <w:sz w:val="22"/>
          <w:szCs w:val="22"/>
        </w:rPr>
        <w:t>Office of the Ohio Consumers’ Counsel</w:t>
      </w:r>
    </w:p>
    <w:p w:rsidR="00010ADA" w:rsidRDefault="007D5942">
      <w:pPr>
        <w:tabs>
          <w:tab w:val="left" w:pos="2160"/>
          <w:tab w:val="left" w:pos="2280"/>
        </w:tabs>
        <w:spacing w:line="240" w:lineRule="auto"/>
        <w:rPr>
          <w:rFonts w:cs="Arial"/>
          <w:sz w:val="22"/>
          <w:szCs w:val="22"/>
        </w:rPr>
      </w:pPr>
      <w:r>
        <w:rPr>
          <w:rFonts w:cs="Arial"/>
          <w:sz w:val="22"/>
          <w:szCs w:val="22"/>
        </w:rPr>
        <w:t>10 West Broad Street, Suite 1800</w:t>
      </w:r>
    </w:p>
    <w:p w:rsidR="00010ADA" w:rsidRDefault="007D5942">
      <w:pPr>
        <w:tabs>
          <w:tab w:val="left" w:pos="2160"/>
          <w:tab w:val="left" w:pos="2280"/>
        </w:tabs>
        <w:spacing w:line="240" w:lineRule="auto"/>
        <w:rPr>
          <w:rFonts w:cs="Arial"/>
          <w:sz w:val="22"/>
          <w:szCs w:val="22"/>
        </w:rPr>
      </w:pPr>
      <w:r>
        <w:rPr>
          <w:rFonts w:cs="Arial"/>
          <w:sz w:val="22"/>
          <w:szCs w:val="22"/>
        </w:rPr>
        <w:t>Columbus, Ohio  43215-3485</w:t>
      </w:r>
    </w:p>
    <w:p w:rsidR="00010ADA" w:rsidRDefault="007D5942">
      <w:pPr>
        <w:tabs>
          <w:tab w:val="left" w:pos="2160"/>
          <w:tab w:val="left" w:pos="2280"/>
        </w:tabs>
        <w:spacing w:line="240" w:lineRule="auto"/>
        <w:rPr>
          <w:rFonts w:cs="Arial"/>
          <w:sz w:val="22"/>
          <w:szCs w:val="22"/>
        </w:rPr>
      </w:pPr>
      <w:r>
        <w:rPr>
          <w:rFonts w:cs="Arial"/>
          <w:sz w:val="22"/>
          <w:szCs w:val="22"/>
        </w:rPr>
        <w:t>edmund.berger@occ.ohio.gov</w:t>
      </w:r>
    </w:p>
    <w:p w:rsidR="00010ADA" w:rsidRDefault="007D5942">
      <w:pPr>
        <w:tabs>
          <w:tab w:val="left" w:pos="2160"/>
          <w:tab w:val="left" w:pos="2280"/>
        </w:tabs>
        <w:spacing w:line="240" w:lineRule="auto"/>
        <w:rPr>
          <w:rFonts w:cs="Arial"/>
          <w:sz w:val="22"/>
          <w:szCs w:val="22"/>
        </w:rPr>
      </w:pPr>
      <w:r>
        <w:rPr>
          <w:rFonts w:cs="Arial"/>
          <w:sz w:val="22"/>
          <w:szCs w:val="22"/>
        </w:rPr>
        <w:t>maureen.grady@occ.ohio.gov</w:t>
      </w:r>
    </w:p>
    <w:p w:rsidR="00010ADA" w:rsidRDefault="00010ADA">
      <w:pPr>
        <w:tabs>
          <w:tab w:val="left" w:pos="2160"/>
          <w:tab w:val="left" w:pos="2280"/>
        </w:tabs>
        <w:spacing w:line="240" w:lineRule="auto"/>
        <w:rPr>
          <w:rFonts w:cs="Arial"/>
          <w:sz w:val="22"/>
          <w:szCs w:val="22"/>
        </w:rPr>
      </w:pPr>
    </w:p>
    <w:p w:rsidR="00010ADA" w:rsidRDefault="007D5942">
      <w:pPr>
        <w:tabs>
          <w:tab w:val="left" w:pos="2160"/>
          <w:tab w:val="left" w:pos="2280"/>
        </w:tabs>
        <w:spacing w:line="240" w:lineRule="auto"/>
        <w:rPr>
          <w:rFonts w:cs="Arial"/>
          <w:b/>
          <w:smallCaps/>
          <w:sz w:val="22"/>
          <w:szCs w:val="22"/>
        </w:rPr>
      </w:pPr>
      <w:r>
        <w:rPr>
          <w:rFonts w:cs="Arial"/>
          <w:b/>
          <w:smallCaps/>
          <w:sz w:val="22"/>
          <w:szCs w:val="22"/>
        </w:rPr>
        <w:t>On Behalf of the Office of the Ohio Consumers’ Counsel</w:t>
      </w:r>
    </w:p>
    <w:p w:rsidR="00010ADA" w:rsidRDefault="007D5942">
      <w:pPr>
        <w:tabs>
          <w:tab w:val="left" w:pos="2160"/>
          <w:tab w:val="left" w:pos="2280"/>
        </w:tabs>
        <w:spacing w:line="240" w:lineRule="auto"/>
        <w:rPr>
          <w:rFonts w:cs="Arial"/>
          <w:sz w:val="22"/>
          <w:szCs w:val="22"/>
        </w:rPr>
      </w:pPr>
      <w:r>
        <w:rPr>
          <w:rFonts w:cs="Arial"/>
          <w:sz w:val="22"/>
          <w:szCs w:val="22"/>
        </w:rPr>
        <w:br w:type="column"/>
      </w:r>
      <w:r>
        <w:rPr>
          <w:rFonts w:cs="Arial"/>
          <w:sz w:val="22"/>
          <w:szCs w:val="22"/>
        </w:rPr>
        <w:lastRenderedPageBreak/>
        <w:t>Kimberly W. Bojko</w:t>
      </w:r>
    </w:p>
    <w:p w:rsidR="00010ADA" w:rsidRDefault="007D5942">
      <w:pPr>
        <w:tabs>
          <w:tab w:val="left" w:pos="2160"/>
          <w:tab w:val="left" w:pos="2280"/>
        </w:tabs>
        <w:spacing w:line="240" w:lineRule="auto"/>
        <w:rPr>
          <w:rFonts w:cs="Arial"/>
          <w:sz w:val="22"/>
          <w:szCs w:val="22"/>
        </w:rPr>
      </w:pPr>
      <w:r>
        <w:rPr>
          <w:rFonts w:cs="Arial"/>
          <w:sz w:val="22"/>
          <w:szCs w:val="22"/>
        </w:rPr>
        <w:t>Mallory M. Mohler</w:t>
      </w:r>
    </w:p>
    <w:p w:rsidR="00010ADA" w:rsidRDefault="007D5942">
      <w:pPr>
        <w:tabs>
          <w:tab w:val="left" w:pos="2160"/>
          <w:tab w:val="left" w:pos="2280"/>
        </w:tabs>
        <w:spacing w:line="240" w:lineRule="auto"/>
        <w:rPr>
          <w:rFonts w:cs="Arial"/>
          <w:sz w:val="22"/>
          <w:szCs w:val="22"/>
        </w:rPr>
      </w:pPr>
      <w:r>
        <w:rPr>
          <w:rFonts w:cs="Arial"/>
          <w:sz w:val="22"/>
          <w:szCs w:val="22"/>
        </w:rPr>
        <w:t>Carpenter Lipps &amp; Leland LLP</w:t>
      </w:r>
    </w:p>
    <w:p w:rsidR="00010ADA" w:rsidRDefault="007D5942">
      <w:pPr>
        <w:tabs>
          <w:tab w:val="left" w:pos="2160"/>
          <w:tab w:val="left" w:pos="2280"/>
        </w:tabs>
        <w:spacing w:line="240" w:lineRule="auto"/>
        <w:rPr>
          <w:rFonts w:cs="Arial"/>
          <w:sz w:val="22"/>
          <w:szCs w:val="22"/>
        </w:rPr>
      </w:pPr>
      <w:r>
        <w:rPr>
          <w:rFonts w:cs="Arial"/>
          <w:sz w:val="22"/>
          <w:szCs w:val="22"/>
        </w:rPr>
        <w:t xml:space="preserve">280 </w:t>
      </w:r>
      <w:proofErr w:type="gramStart"/>
      <w:r>
        <w:rPr>
          <w:rFonts w:cs="Arial"/>
          <w:sz w:val="22"/>
          <w:szCs w:val="22"/>
        </w:rPr>
        <w:t>Plaza</w:t>
      </w:r>
      <w:proofErr w:type="gramEnd"/>
      <w:r>
        <w:rPr>
          <w:rFonts w:cs="Arial"/>
          <w:sz w:val="22"/>
          <w:szCs w:val="22"/>
        </w:rPr>
        <w:t>, Suite 1300</w:t>
      </w:r>
    </w:p>
    <w:p w:rsidR="00010ADA" w:rsidRDefault="007D5942">
      <w:pPr>
        <w:tabs>
          <w:tab w:val="left" w:pos="2160"/>
          <w:tab w:val="left" w:pos="2280"/>
        </w:tabs>
        <w:spacing w:line="240" w:lineRule="auto"/>
        <w:rPr>
          <w:rFonts w:cs="Arial"/>
          <w:sz w:val="22"/>
          <w:szCs w:val="22"/>
        </w:rPr>
      </w:pPr>
      <w:r>
        <w:rPr>
          <w:rFonts w:cs="Arial"/>
          <w:sz w:val="22"/>
          <w:szCs w:val="22"/>
        </w:rPr>
        <w:t>280 North High Street</w:t>
      </w:r>
    </w:p>
    <w:p w:rsidR="00010ADA" w:rsidRDefault="007D5942">
      <w:pPr>
        <w:tabs>
          <w:tab w:val="left" w:pos="2160"/>
          <w:tab w:val="left" w:pos="2280"/>
        </w:tabs>
        <w:spacing w:line="240" w:lineRule="auto"/>
        <w:rPr>
          <w:rFonts w:cs="Arial"/>
          <w:sz w:val="22"/>
          <w:szCs w:val="22"/>
        </w:rPr>
      </w:pPr>
      <w:r>
        <w:rPr>
          <w:rFonts w:cs="Arial"/>
          <w:sz w:val="22"/>
          <w:szCs w:val="22"/>
        </w:rPr>
        <w:t>Columbus, Ohio  43215</w:t>
      </w:r>
    </w:p>
    <w:p w:rsidR="00010ADA" w:rsidRDefault="007D5942">
      <w:pPr>
        <w:tabs>
          <w:tab w:val="left" w:pos="2160"/>
          <w:tab w:val="left" w:pos="2280"/>
        </w:tabs>
        <w:spacing w:line="240" w:lineRule="auto"/>
        <w:rPr>
          <w:rFonts w:cs="Arial"/>
          <w:sz w:val="22"/>
          <w:szCs w:val="22"/>
        </w:rPr>
      </w:pPr>
      <w:r>
        <w:rPr>
          <w:rFonts w:cs="Arial"/>
          <w:sz w:val="22"/>
          <w:szCs w:val="22"/>
        </w:rPr>
        <w:t>Bojko@carpenterlipps.com</w:t>
      </w:r>
    </w:p>
    <w:p w:rsidR="00010ADA" w:rsidRDefault="007D5942">
      <w:pPr>
        <w:tabs>
          <w:tab w:val="left" w:pos="2160"/>
          <w:tab w:val="left" w:pos="2280"/>
        </w:tabs>
        <w:spacing w:line="240" w:lineRule="auto"/>
        <w:rPr>
          <w:rFonts w:cs="Arial"/>
          <w:sz w:val="22"/>
          <w:szCs w:val="22"/>
        </w:rPr>
      </w:pPr>
      <w:r>
        <w:rPr>
          <w:rFonts w:cs="Arial"/>
          <w:sz w:val="22"/>
          <w:szCs w:val="22"/>
        </w:rPr>
        <w:t>Mohler@carpenterlipps.com</w:t>
      </w:r>
    </w:p>
    <w:p w:rsidR="00010ADA" w:rsidRDefault="00010ADA">
      <w:pPr>
        <w:tabs>
          <w:tab w:val="left" w:pos="2160"/>
          <w:tab w:val="left" w:pos="2280"/>
        </w:tabs>
        <w:spacing w:line="240" w:lineRule="auto"/>
        <w:rPr>
          <w:rFonts w:cs="Arial"/>
          <w:sz w:val="22"/>
          <w:szCs w:val="22"/>
        </w:rPr>
      </w:pPr>
    </w:p>
    <w:p w:rsidR="00010ADA" w:rsidRDefault="007D5942">
      <w:pPr>
        <w:tabs>
          <w:tab w:val="left" w:pos="2160"/>
          <w:tab w:val="left" w:pos="2280"/>
        </w:tabs>
        <w:spacing w:line="240" w:lineRule="auto"/>
        <w:rPr>
          <w:rFonts w:cs="Arial"/>
          <w:b/>
          <w:smallCaps/>
          <w:sz w:val="22"/>
          <w:szCs w:val="22"/>
        </w:rPr>
      </w:pPr>
      <w:r>
        <w:rPr>
          <w:rFonts w:cs="Arial"/>
          <w:b/>
          <w:smallCaps/>
          <w:sz w:val="22"/>
          <w:szCs w:val="22"/>
        </w:rPr>
        <w:t>Oh Behalf of Ohio Manufacturers’ Association Energy Group</w:t>
      </w:r>
    </w:p>
    <w:p w:rsidR="00010ADA" w:rsidRDefault="00010ADA">
      <w:pPr>
        <w:tabs>
          <w:tab w:val="left" w:pos="2160"/>
          <w:tab w:val="left" w:pos="2280"/>
        </w:tabs>
        <w:spacing w:line="240" w:lineRule="auto"/>
        <w:rPr>
          <w:rFonts w:cs="Arial"/>
          <w:sz w:val="22"/>
          <w:szCs w:val="22"/>
        </w:rPr>
      </w:pPr>
    </w:p>
    <w:p w:rsidR="00010ADA" w:rsidRDefault="007D5942">
      <w:pPr>
        <w:tabs>
          <w:tab w:val="left" w:pos="2160"/>
          <w:tab w:val="left" w:pos="2280"/>
        </w:tabs>
        <w:spacing w:line="240" w:lineRule="auto"/>
        <w:rPr>
          <w:rFonts w:cs="Arial"/>
          <w:sz w:val="22"/>
          <w:szCs w:val="22"/>
        </w:rPr>
      </w:pPr>
      <w:r>
        <w:rPr>
          <w:rFonts w:cs="Arial"/>
          <w:sz w:val="22"/>
          <w:szCs w:val="22"/>
        </w:rPr>
        <w:t xml:space="preserve">Rocco D'Ascenzo </w:t>
      </w:r>
    </w:p>
    <w:p w:rsidR="00010ADA" w:rsidRDefault="007D5942">
      <w:pPr>
        <w:tabs>
          <w:tab w:val="left" w:pos="2160"/>
          <w:tab w:val="left" w:pos="2280"/>
        </w:tabs>
        <w:spacing w:line="240" w:lineRule="auto"/>
        <w:rPr>
          <w:rFonts w:cs="Arial"/>
          <w:sz w:val="22"/>
          <w:szCs w:val="22"/>
        </w:rPr>
      </w:pPr>
      <w:r>
        <w:rPr>
          <w:rFonts w:cs="Arial"/>
          <w:sz w:val="22"/>
          <w:szCs w:val="22"/>
        </w:rPr>
        <w:t>Duke Energy Ohio, Inc.</w:t>
      </w:r>
    </w:p>
    <w:p w:rsidR="00010ADA" w:rsidRDefault="007D5942">
      <w:pPr>
        <w:tabs>
          <w:tab w:val="left" w:pos="2160"/>
          <w:tab w:val="left" w:pos="2280"/>
        </w:tabs>
        <w:spacing w:line="240" w:lineRule="auto"/>
        <w:rPr>
          <w:rFonts w:cs="Arial"/>
          <w:sz w:val="22"/>
          <w:szCs w:val="22"/>
        </w:rPr>
      </w:pPr>
      <w:r>
        <w:rPr>
          <w:rFonts w:cs="Arial"/>
          <w:sz w:val="22"/>
          <w:szCs w:val="22"/>
        </w:rPr>
        <w:t>139 East Fourth Street – 1303 Main</w:t>
      </w:r>
    </w:p>
    <w:p w:rsidR="00010ADA" w:rsidRDefault="007D5942">
      <w:pPr>
        <w:tabs>
          <w:tab w:val="left" w:pos="2160"/>
          <w:tab w:val="left" w:pos="2280"/>
        </w:tabs>
        <w:spacing w:line="240" w:lineRule="auto"/>
        <w:rPr>
          <w:rFonts w:cs="Arial"/>
          <w:sz w:val="22"/>
          <w:szCs w:val="22"/>
        </w:rPr>
      </w:pPr>
      <w:r>
        <w:rPr>
          <w:rFonts w:cs="Arial"/>
          <w:sz w:val="22"/>
          <w:szCs w:val="22"/>
        </w:rPr>
        <w:t>Cincinnati, Ohio  45202</w:t>
      </w:r>
    </w:p>
    <w:p w:rsidR="00010ADA" w:rsidRDefault="007D5942">
      <w:pPr>
        <w:tabs>
          <w:tab w:val="left" w:pos="2160"/>
          <w:tab w:val="left" w:pos="2280"/>
        </w:tabs>
        <w:spacing w:line="240" w:lineRule="auto"/>
        <w:rPr>
          <w:rFonts w:cs="Arial"/>
          <w:sz w:val="22"/>
          <w:szCs w:val="22"/>
        </w:rPr>
      </w:pPr>
      <w:r>
        <w:rPr>
          <w:rFonts w:cs="Arial"/>
          <w:sz w:val="22"/>
          <w:szCs w:val="22"/>
        </w:rPr>
        <w:t>Rocco.d'ascenzo@duke-energy.com</w:t>
      </w:r>
    </w:p>
    <w:p w:rsidR="00010ADA" w:rsidRDefault="00010ADA">
      <w:pPr>
        <w:tabs>
          <w:tab w:val="left" w:pos="2160"/>
          <w:tab w:val="left" w:pos="2280"/>
        </w:tabs>
        <w:spacing w:line="240" w:lineRule="auto"/>
        <w:rPr>
          <w:rFonts w:cs="Arial"/>
          <w:sz w:val="22"/>
          <w:szCs w:val="22"/>
        </w:rPr>
      </w:pPr>
    </w:p>
    <w:p w:rsidR="00010ADA" w:rsidRDefault="007D5942">
      <w:pPr>
        <w:tabs>
          <w:tab w:val="left" w:pos="2160"/>
          <w:tab w:val="left" w:pos="2280"/>
        </w:tabs>
        <w:spacing w:line="240" w:lineRule="auto"/>
        <w:rPr>
          <w:rFonts w:cs="Arial"/>
          <w:sz w:val="22"/>
          <w:szCs w:val="22"/>
        </w:rPr>
      </w:pPr>
      <w:proofErr w:type="gramStart"/>
      <w:r>
        <w:rPr>
          <w:rFonts w:cs="Arial"/>
          <w:b/>
          <w:smallCaps/>
          <w:sz w:val="22"/>
          <w:szCs w:val="22"/>
        </w:rPr>
        <w:t>On Behalf of Duke Energy Ohio, Inc.</w:t>
      </w:r>
      <w:proofErr w:type="gramEnd"/>
    </w:p>
    <w:p w:rsidR="00010ADA" w:rsidRDefault="00010ADA">
      <w:pPr>
        <w:autoSpaceDE w:val="0"/>
        <w:autoSpaceDN w:val="0"/>
        <w:adjustRightInd w:val="0"/>
        <w:snapToGrid w:val="0"/>
        <w:spacing w:line="240" w:lineRule="auto"/>
        <w:rPr>
          <w:rFonts w:cs="Arial"/>
          <w:sz w:val="22"/>
          <w:szCs w:val="22"/>
        </w:rPr>
      </w:pP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Anne M. Vogel</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American Electric Power Service Corporation</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155 W. Nationwide Blvd., Suite 500</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Columbus, Ohio 43215</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amvogel@aep.com</w:t>
      </w:r>
    </w:p>
    <w:p w:rsidR="00010ADA" w:rsidRDefault="00010ADA">
      <w:pPr>
        <w:autoSpaceDE w:val="0"/>
        <w:autoSpaceDN w:val="0"/>
        <w:adjustRightInd w:val="0"/>
        <w:snapToGrid w:val="0"/>
        <w:spacing w:line="240" w:lineRule="auto"/>
        <w:rPr>
          <w:rFonts w:cs="Arial"/>
          <w:color w:val="000000"/>
          <w:sz w:val="22"/>
          <w:szCs w:val="22"/>
        </w:rPr>
      </w:pPr>
    </w:p>
    <w:p w:rsidR="00010ADA" w:rsidRDefault="007D5942">
      <w:pPr>
        <w:autoSpaceDE w:val="0"/>
        <w:autoSpaceDN w:val="0"/>
        <w:adjustRightInd w:val="0"/>
        <w:snapToGrid w:val="0"/>
        <w:spacing w:line="240" w:lineRule="auto"/>
        <w:rPr>
          <w:rFonts w:cs="Arial"/>
          <w:b/>
          <w:smallCaps/>
          <w:color w:val="000000"/>
          <w:sz w:val="22"/>
          <w:szCs w:val="22"/>
        </w:rPr>
      </w:pPr>
      <w:proofErr w:type="gramStart"/>
      <w:r>
        <w:rPr>
          <w:rFonts w:cs="Arial"/>
          <w:b/>
          <w:smallCaps/>
          <w:color w:val="000000"/>
          <w:sz w:val="22"/>
          <w:szCs w:val="22"/>
        </w:rPr>
        <w:t>On Behalf of AEP Generation Resources, Inc.</w:t>
      </w:r>
      <w:proofErr w:type="gramEnd"/>
    </w:p>
    <w:p w:rsidR="00010ADA" w:rsidRDefault="00010ADA">
      <w:pPr>
        <w:spacing w:line="240" w:lineRule="auto"/>
        <w:rPr>
          <w:rFonts w:cs="Arial"/>
          <w:b/>
          <w:smallCaps/>
          <w:sz w:val="22"/>
          <w:szCs w:val="22"/>
        </w:rPr>
        <w:sectPr w:rsidR="00010ADA">
          <w:headerReference w:type="default" r:id="rId25"/>
          <w:footerReference w:type="default" r:id="rId26"/>
          <w:headerReference w:type="first" r:id="rId27"/>
          <w:footerReference w:type="first" r:id="rId28"/>
          <w:type w:val="continuous"/>
          <w:pgSz w:w="12240" w:h="15840" w:code="1"/>
          <w:pgMar w:top="1440" w:right="1440" w:bottom="1440" w:left="1440" w:header="720" w:footer="720" w:gutter="0"/>
          <w:cols w:num="2" w:space="720"/>
          <w:titlePg/>
          <w:docGrid w:linePitch="360"/>
        </w:sectPr>
      </w:pPr>
    </w:p>
    <w:p w:rsidR="00010ADA" w:rsidRDefault="00010ADA">
      <w:pPr>
        <w:spacing w:line="240" w:lineRule="auto"/>
        <w:rPr>
          <w:rFonts w:cs="Arial"/>
          <w:b/>
          <w:smallCaps/>
          <w:sz w:val="22"/>
          <w:szCs w:val="22"/>
        </w:rPr>
      </w:pPr>
    </w:p>
    <w:p w:rsidR="00010ADA" w:rsidRDefault="007D5942">
      <w:pPr>
        <w:autoSpaceDE w:val="0"/>
        <w:autoSpaceDN w:val="0"/>
        <w:adjustRightInd w:val="0"/>
        <w:snapToGrid w:val="0"/>
        <w:spacing w:line="240" w:lineRule="auto"/>
        <w:rPr>
          <w:rFonts w:cs="Arial"/>
          <w:sz w:val="22"/>
          <w:szCs w:val="22"/>
        </w:rPr>
      </w:pPr>
      <w:r>
        <w:rPr>
          <w:rFonts w:cs="Arial"/>
          <w:sz w:val="22"/>
          <w:szCs w:val="22"/>
        </w:rPr>
        <w:t>David F. Boehm</w:t>
      </w:r>
    </w:p>
    <w:p w:rsidR="00010ADA" w:rsidRDefault="007D5942">
      <w:pPr>
        <w:autoSpaceDE w:val="0"/>
        <w:autoSpaceDN w:val="0"/>
        <w:adjustRightInd w:val="0"/>
        <w:snapToGrid w:val="0"/>
        <w:spacing w:line="240" w:lineRule="auto"/>
        <w:rPr>
          <w:rFonts w:cs="Arial"/>
          <w:sz w:val="22"/>
          <w:szCs w:val="22"/>
        </w:rPr>
      </w:pPr>
      <w:r>
        <w:rPr>
          <w:rFonts w:cs="Arial"/>
          <w:sz w:val="22"/>
          <w:szCs w:val="22"/>
        </w:rPr>
        <w:t>Michael L. Kurtz</w:t>
      </w:r>
    </w:p>
    <w:p w:rsidR="00010ADA" w:rsidRDefault="007D5942">
      <w:pPr>
        <w:autoSpaceDE w:val="0"/>
        <w:autoSpaceDN w:val="0"/>
        <w:adjustRightInd w:val="0"/>
        <w:snapToGrid w:val="0"/>
        <w:spacing w:line="240" w:lineRule="auto"/>
        <w:rPr>
          <w:rFonts w:cs="Arial"/>
          <w:sz w:val="22"/>
          <w:szCs w:val="22"/>
        </w:rPr>
      </w:pPr>
      <w:r>
        <w:rPr>
          <w:rFonts w:cs="Arial"/>
          <w:sz w:val="22"/>
          <w:szCs w:val="22"/>
        </w:rPr>
        <w:t>Jody Kyler Cohn</w:t>
      </w:r>
    </w:p>
    <w:p w:rsidR="00010ADA" w:rsidRDefault="007D5942">
      <w:pPr>
        <w:autoSpaceDE w:val="0"/>
        <w:autoSpaceDN w:val="0"/>
        <w:adjustRightInd w:val="0"/>
        <w:snapToGrid w:val="0"/>
        <w:spacing w:line="240" w:lineRule="auto"/>
        <w:rPr>
          <w:rFonts w:cs="Arial"/>
          <w:sz w:val="22"/>
          <w:szCs w:val="22"/>
        </w:rPr>
      </w:pPr>
      <w:r>
        <w:rPr>
          <w:rFonts w:cs="Arial"/>
          <w:sz w:val="22"/>
          <w:szCs w:val="22"/>
        </w:rPr>
        <w:t>Boehm, Kurtz &amp; Lowry</w:t>
      </w:r>
    </w:p>
    <w:p w:rsidR="00010ADA" w:rsidRDefault="007D5942">
      <w:pPr>
        <w:autoSpaceDE w:val="0"/>
        <w:autoSpaceDN w:val="0"/>
        <w:adjustRightInd w:val="0"/>
        <w:snapToGrid w:val="0"/>
        <w:spacing w:line="240" w:lineRule="auto"/>
        <w:rPr>
          <w:rFonts w:cs="Arial"/>
          <w:sz w:val="22"/>
          <w:szCs w:val="22"/>
        </w:rPr>
      </w:pPr>
      <w:r>
        <w:rPr>
          <w:rFonts w:cs="Arial"/>
          <w:sz w:val="22"/>
          <w:szCs w:val="22"/>
        </w:rPr>
        <w:t>36 East Seventh Street, Suite 1510</w:t>
      </w:r>
    </w:p>
    <w:p w:rsidR="00010ADA" w:rsidRDefault="007D5942">
      <w:pPr>
        <w:autoSpaceDE w:val="0"/>
        <w:autoSpaceDN w:val="0"/>
        <w:adjustRightInd w:val="0"/>
        <w:snapToGrid w:val="0"/>
        <w:spacing w:line="240" w:lineRule="auto"/>
        <w:rPr>
          <w:rFonts w:cs="Arial"/>
          <w:sz w:val="22"/>
          <w:szCs w:val="22"/>
        </w:rPr>
      </w:pPr>
      <w:r>
        <w:rPr>
          <w:rFonts w:cs="Arial"/>
          <w:sz w:val="22"/>
          <w:szCs w:val="22"/>
        </w:rPr>
        <w:t>Cincinnati, Ohio  45202</w:t>
      </w:r>
    </w:p>
    <w:p w:rsidR="00010ADA" w:rsidRDefault="007D5942">
      <w:pPr>
        <w:autoSpaceDE w:val="0"/>
        <w:autoSpaceDN w:val="0"/>
        <w:adjustRightInd w:val="0"/>
        <w:snapToGrid w:val="0"/>
        <w:spacing w:line="240" w:lineRule="auto"/>
        <w:rPr>
          <w:rFonts w:cs="Arial"/>
          <w:sz w:val="22"/>
          <w:szCs w:val="22"/>
        </w:rPr>
      </w:pPr>
      <w:r>
        <w:rPr>
          <w:rFonts w:cs="Arial"/>
          <w:sz w:val="22"/>
          <w:szCs w:val="22"/>
        </w:rPr>
        <w:t>dboehm@bkllawfirm.com</w:t>
      </w:r>
    </w:p>
    <w:p w:rsidR="00010ADA" w:rsidRDefault="007D5942">
      <w:pPr>
        <w:autoSpaceDE w:val="0"/>
        <w:autoSpaceDN w:val="0"/>
        <w:adjustRightInd w:val="0"/>
        <w:snapToGrid w:val="0"/>
        <w:spacing w:line="240" w:lineRule="auto"/>
        <w:rPr>
          <w:rFonts w:cs="Arial"/>
          <w:sz w:val="22"/>
          <w:szCs w:val="22"/>
        </w:rPr>
      </w:pPr>
      <w:r>
        <w:rPr>
          <w:rFonts w:cs="Arial"/>
          <w:sz w:val="22"/>
          <w:szCs w:val="22"/>
        </w:rPr>
        <w:t>mkurtz@bkllawfirm.com</w:t>
      </w:r>
    </w:p>
    <w:p w:rsidR="00010ADA" w:rsidRDefault="007D5942">
      <w:pPr>
        <w:autoSpaceDE w:val="0"/>
        <w:autoSpaceDN w:val="0"/>
        <w:adjustRightInd w:val="0"/>
        <w:snapToGrid w:val="0"/>
        <w:spacing w:line="240" w:lineRule="auto"/>
        <w:rPr>
          <w:rFonts w:cs="Arial"/>
          <w:sz w:val="22"/>
          <w:szCs w:val="22"/>
        </w:rPr>
      </w:pPr>
      <w:r>
        <w:rPr>
          <w:rFonts w:cs="Arial"/>
          <w:sz w:val="22"/>
          <w:szCs w:val="22"/>
        </w:rPr>
        <w:t>jkylercohn@bkllawfirm.com</w:t>
      </w:r>
    </w:p>
    <w:p w:rsidR="00010ADA" w:rsidRDefault="00010ADA">
      <w:pPr>
        <w:autoSpaceDE w:val="0"/>
        <w:autoSpaceDN w:val="0"/>
        <w:adjustRightInd w:val="0"/>
        <w:snapToGrid w:val="0"/>
        <w:spacing w:line="240" w:lineRule="auto"/>
        <w:rPr>
          <w:rFonts w:cs="Arial"/>
          <w:sz w:val="22"/>
          <w:szCs w:val="22"/>
        </w:rPr>
      </w:pPr>
    </w:p>
    <w:p w:rsidR="00010ADA" w:rsidRDefault="007D5942">
      <w:pPr>
        <w:autoSpaceDE w:val="0"/>
        <w:autoSpaceDN w:val="0"/>
        <w:adjustRightInd w:val="0"/>
        <w:snapToGrid w:val="0"/>
        <w:spacing w:line="240" w:lineRule="auto"/>
        <w:rPr>
          <w:rFonts w:cs="Arial"/>
          <w:sz w:val="22"/>
          <w:szCs w:val="22"/>
        </w:rPr>
      </w:pPr>
      <w:r>
        <w:rPr>
          <w:rFonts w:cs="Arial"/>
          <w:b/>
          <w:smallCaps/>
          <w:sz w:val="22"/>
          <w:szCs w:val="22"/>
        </w:rPr>
        <w:t>On Behalf of Ohio Energy Group</w:t>
      </w:r>
    </w:p>
    <w:p w:rsidR="00010ADA" w:rsidRDefault="00010ADA">
      <w:pPr>
        <w:tabs>
          <w:tab w:val="left" w:pos="2160"/>
          <w:tab w:val="left" w:pos="2280"/>
        </w:tabs>
        <w:spacing w:line="240" w:lineRule="auto"/>
        <w:rPr>
          <w:rFonts w:cs="Arial"/>
          <w:sz w:val="22"/>
          <w:szCs w:val="22"/>
        </w:rPr>
      </w:pPr>
    </w:p>
    <w:p w:rsidR="00010ADA" w:rsidRDefault="007D5942">
      <w:pPr>
        <w:tabs>
          <w:tab w:val="left" w:pos="2160"/>
          <w:tab w:val="left" w:pos="2280"/>
        </w:tabs>
        <w:spacing w:line="240" w:lineRule="auto"/>
        <w:rPr>
          <w:rFonts w:cs="Arial"/>
          <w:sz w:val="22"/>
          <w:szCs w:val="22"/>
        </w:rPr>
      </w:pPr>
      <w:r>
        <w:rPr>
          <w:rFonts w:cs="Arial"/>
          <w:sz w:val="22"/>
          <w:szCs w:val="22"/>
        </w:rPr>
        <w:t>Mark A. Whitt</w:t>
      </w:r>
    </w:p>
    <w:p w:rsidR="00010ADA" w:rsidRDefault="007D5942">
      <w:pPr>
        <w:tabs>
          <w:tab w:val="left" w:pos="2160"/>
          <w:tab w:val="left" w:pos="2280"/>
        </w:tabs>
        <w:spacing w:line="240" w:lineRule="auto"/>
        <w:rPr>
          <w:rFonts w:cs="Arial"/>
          <w:sz w:val="22"/>
          <w:szCs w:val="22"/>
        </w:rPr>
      </w:pPr>
      <w:r>
        <w:rPr>
          <w:rFonts w:cs="Arial"/>
          <w:sz w:val="22"/>
          <w:szCs w:val="22"/>
        </w:rPr>
        <w:t>Andrew J. Campbell</w:t>
      </w:r>
    </w:p>
    <w:p w:rsidR="00010ADA" w:rsidRDefault="007D5942">
      <w:pPr>
        <w:tabs>
          <w:tab w:val="left" w:pos="2160"/>
          <w:tab w:val="left" w:pos="2280"/>
        </w:tabs>
        <w:spacing w:line="240" w:lineRule="auto"/>
        <w:rPr>
          <w:rFonts w:cs="Arial"/>
          <w:sz w:val="22"/>
          <w:szCs w:val="22"/>
        </w:rPr>
      </w:pPr>
      <w:r>
        <w:rPr>
          <w:rFonts w:cs="Arial"/>
          <w:sz w:val="22"/>
          <w:szCs w:val="22"/>
        </w:rPr>
        <w:t>Gregory L. Williams</w:t>
      </w:r>
    </w:p>
    <w:p w:rsidR="00010ADA" w:rsidRDefault="007D5942">
      <w:pPr>
        <w:tabs>
          <w:tab w:val="left" w:pos="2160"/>
          <w:tab w:val="left" w:pos="2280"/>
        </w:tabs>
        <w:spacing w:line="240" w:lineRule="auto"/>
        <w:rPr>
          <w:rFonts w:cs="Arial"/>
          <w:sz w:val="22"/>
          <w:szCs w:val="22"/>
        </w:rPr>
      </w:pPr>
      <w:r>
        <w:rPr>
          <w:rFonts w:cs="Arial"/>
          <w:sz w:val="22"/>
          <w:szCs w:val="22"/>
        </w:rPr>
        <w:t>Whitt Sturtevant LLP</w:t>
      </w:r>
    </w:p>
    <w:p w:rsidR="00010ADA" w:rsidRDefault="007D5942">
      <w:pPr>
        <w:tabs>
          <w:tab w:val="left" w:pos="2160"/>
          <w:tab w:val="left" w:pos="2280"/>
        </w:tabs>
        <w:spacing w:line="240" w:lineRule="auto"/>
        <w:rPr>
          <w:rFonts w:cs="Arial"/>
          <w:sz w:val="22"/>
          <w:szCs w:val="22"/>
        </w:rPr>
      </w:pPr>
      <w:r>
        <w:rPr>
          <w:rFonts w:cs="Arial"/>
          <w:sz w:val="22"/>
          <w:szCs w:val="22"/>
        </w:rPr>
        <w:t>88 East Broad Street</w:t>
      </w:r>
    </w:p>
    <w:p w:rsidR="00010ADA" w:rsidRDefault="007D5942">
      <w:pPr>
        <w:tabs>
          <w:tab w:val="left" w:pos="2160"/>
          <w:tab w:val="left" w:pos="2280"/>
        </w:tabs>
        <w:spacing w:line="240" w:lineRule="auto"/>
        <w:rPr>
          <w:rFonts w:cs="Arial"/>
          <w:sz w:val="22"/>
          <w:szCs w:val="22"/>
        </w:rPr>
      </w:pPr>
      <w:r>
        <w:rPr>
          <w:rFonts w:cs="Arial"/>
          <w:sz w:val="22"/>
          <w:szCs w:val="22"/>
        </w:rPr>
        <w:t>Columbus, Ohio  43215</w:t>
      </w:r>
    </w:p>
    <w:p w:rsidR="00010ADA" w:rsidRDefault="007D5942">
      <w:pPr>
        <w:tabs>
          <w:tab w:val="left" w:pos="2160"/>
          <w:tab w:val="left" w:pos="2280"/>
        </w:tabs>
        <w:spacing w:line="240" w:lineRule="auto"/>
        <w:rPr>
          <w:rFonts w:cs="Arial"/>
          <w:sz w:val="22"/>
          <w:szCs w:val="22"/>
        </w:rPr>
      </w:pPr>
      <w:r>
        <w:rPr>
          <w:rFonts w:cs="Arial"/>
          <w:sz w:val="22"/>
          <w:szCs w:val="22"/>
        </w:rPr>
        <w:t>whit@whitt-sturtevant.com</w:t>
      </w:r>
    </w:p>
    <w:p w:rsidR="00010ADA" w:rsidRDefault="007D5942">
      <w:pPr>
        <w:tabs>
          <w:tab w:val="left" w:pos="2160"/>
          <w:tab w:val="left" w:pos="2280"/>
        </w:tabs>
        <w:spacing w:line="240" w:lineRule="auto"/>
        <w:rPr>
          <w:rFonts w:cs="Arial"/>
          <w:sz w:val="22"/>
          <w:szCs w:val="22"/>
        </w:rPr>
      </w:pPr>
      <w:r>
        <w:rPr>
          <w:rFonts w:cs="Arial"/>
          <w:sz w:val="22"/>
          <w:szCs w:val="22"/>
        </w:rPr>
        <w:t>Campbell@whitt-sturtevant.com</w:t>
      </w:r>
    </w:p>
    <w:p w:rsidR="00010ADA" w:rsidRDefault="007D5942">
      <w:pPr>
        <w:tabs>
          <w:tab w:val="left" w:pos="2160"/>
          <w:tab w:val="left" w:pos="2280"/>
        </w:tabs>
        <w:spacing w:line="240" w:lineRule="auto"/>
        <w:rPr>
          <w:rFonts w:cs="Arial"/>
          <w:sz w:val="22"/>
          <w:szCs w:val="22"/>
        </w:rPr>
      </w:pPr>
      <w:r>
        <w:rPr>
          <w:rFonts w:cs="Arial"/>
          <w:sz w:val="22"/>
          <w:szCs w:val="22"/>
        </w:rPr>
        <w:t>Williams@whitt-sturtevant.com</w:t>
      </w:r>
    </w:p>
    <w:p w:rsidR="00010ADA" w:rsidRDefault="00010ADA">
      <w:pPr>
        <w:tabs>
          <w:tab w:val="left" w:pos="2160"/>
          <w:tab w:val="left" w:pos="2280"/>
        </w:tabs>
        <w:spacing w:line="240" w:lineRule="auto"/>
        <w:rPr>
          <w:rFonts w:cs="Arial"/>
          <w:sz w:val="22"/>
          <w:szCs w:val="22"/>
        </w:rPr>
      </w:pPr>
    </w:p>
    <w:p w:rsidR="00010ADA" w:rsidRDefault="007D5942">
      <w:pPr>
        <w:tabs>
          <w:tab w:val="left" w:pos="2160"/>
          <w:tab w:val="left" w:pos="2280"/>
        </w:tabs>
        <w:spacing w:line="240" w:lineRule="auto"/>
        <w:rPr>
          <w:rFonts w:cs="Arial"/>
          <w:sz w:val="22"/>
          <w:szCs w:val="22"/>
        </w:rPr>
      </w:pPr>
      <w:r>
        <w:rPr>
          <w:rFonts w:cs="Arial"/>
          <w:sz w:val="22"/>
          <w:szCs w:val="22"/>
        </w:rPr>
        <w:t>Vincent Parisi</w:t>
      </w:r>
    </w:p>
    <w:p w:rsidR="00010ADA" w:rsidRDefault="007D5942">
      <w:pPr>
        <w:tabs>
          <w:tab w:val="left" w:pos="2160"/>
          <w:tab w:val="left" w:pos="2280"/>
        </w:tabs>
        <w:spacing w:line="240" w:lineRule="auto"/>
        <w:rPr>
          <w:rFonts w:cs="Arial"/>
          <w:sz w:val="22"/>
          <w:szCs w:val="22"/>
        </w:rPr>
      </w:pPr>
      <w:r>
        <w:rPr>
          <w:rFonts w:cs="Arial"/>
          <w:sz w:val="22"/>
          <w:szCs w:val="22"/>
        </w:rPr>
        <w:t>Lawrence Friedeman</w:t>
      </w:r>
    </w:p>
    <w:p w:rsidR="00010ADA" w:rsidRDefault="007D5942">
      <w:pPr>
        <w:tabs>
          <w:tab w:val="left" w:pos="2160"/>
          <w:tab w:val="left" w:pos="2280"/>
        </w:tabs>
        <w:spacing w:line="240" w:lineRule="auto"/>
        <w:rPr>
          <w:rFonts w:cs="Arial"/>
          <w:sz w:val="22"/>
          <w:szCs w:val="22"/>
        </w:rPr>
      </w:pPr>
      <w:r>
        <w:rPr>
          <w:rFonts w:cs="Arial"/>
          <w:sz w:val="22"/>
          <w:szCs w:val="22"/>
        </w:rPr>
        <w:t>Matthew White</w:t>
      </w:r>
    </w:p>
    <w:p w:rsidR="00010ADA" w:rsidRDefault="007D5942">
      <w:pPr>
        <w:tabs>
          <w:tab w:val="left" w:pos="2160"/>
          <w:tab w:val="left" w:pos="2280"/>
        </w:tabs>
        <w:spacing w:line="240" w:lineRule="auto"/>
        <w:rPr>
          <w:rFonts w:cs="Arial"/>
          <w:sz w:val="22"/>
          <w:szCs w:val="22"/>
        </w:rPr>
      </w:pPr>
      <w:r>
        <w:rPr>
          <w:rFonts w:cs="Arial"/>
          <w:sz w:val="22"/>
          <w:szCs w:val="22"/>
        </w:rPr>
        <w:t>Interstate Gas Supply, Inc.</w:t>
      </w:r>
    </w:p>
    <w:p w:rsidR="00010ADA" w:rsidRDefault="007D5942">
      <w:pPr>
        <w:tabs>
          <w:tab w:val="left" w:pos="2160"/>
          <w:tab w:val="left" w:pos="2280"/>
        </w:tabs>
        <w:spacing w:line="240" w:lineRule="auto"/>
        <w:rPr>
          <w:rFonts w:cs="Arial"/>
          <w:sz w:val="22"/>
          <w:szCs w:val="22"/>
        </w:rPr>
      </w:pPr>
      <w:r>
        <w:rPr>
          <w:rFonts w:cs="Arial"/>
          <w:sz w:val="22"/>
          <w:szCs w:val="22"/>
        </w:rPr>
        <w:t>6100 Emerald Parkway</w:t>
      </w:r>
    </w:p>
    <w:p w:rsidR="00010ADA" w:rsidRDefault="007D5942">
      <w:pPr>
        <w:tabs>
          <w:tab w:val="left" w:pos="2160"/>
          <w:tab w:val="left" w:pos="2280"/>
        </w:tabs>
        <w:spacing w:line="240" w:lineRule="auto"/>
        <w:rPr>
          <w:rFonts w:cs="Arial"/>
          <w:sz w:val="22"/>
          <w:szCs w:val="22"/>
        </w:rPr>
      </w:pPr>
      <w:r>
        <w:rPr>
          <w:rFonts w:cs="Arial"/>
          <w:sz w:val="22"/>
          <w:szCs w:val="22"/>
        </w:rPr>
        <w:t>Dublin, Ohio  43016</w:t>
      </w:r>
    </w:p>
    <w:p w:rsidR="00010ADA" w:rsidRDefault="007D5942">
      <w:pPr>
        <w:tabs>
          <w:tab w:val="left" w:pos="2160"/>
          <w:tab w:val="left" w:pos="2280"/>
        </w:tabs>
        <w:spacing w:line="240" w:lineRule="auto"/>
        <w:rPr>
          <w:rFonts w:cs="Arial"/>
          <w:sz w:val="22"/>
          <w:szCs w:val="22"/>
        </w:rPr>
      </w:pPr>
      <w:r>
        <w:rPr>
          <w:rFonts w:cs="Arial"/>
          <w:sz w:val="22"/>
          <w:szCs w:val="22"/>
        </w:rPr>
        <w:t>vparisi@igsenergy.com</w:t>
      </w:r>
    </w:p>
    <w:p w:rsidR="00010ADA" w:rsidRDefault="007D5942">
      <w:pPr>
        <w:tabs>
          <w:tab w:val="left" w:pos="2160"/>
          <w:tab w:val="left" w:pos="2280"/>
        </w:tabs>
        <w:spacing w:line="240" w:lineRule="auto"/>
        <w:rPr>
          <w:rFonts w:cs="Arial"/>
          <w:sz w:val="22"/>
          <w:szCs w:val="22"/>
        </w:rPr>
      </w:pPr>
      <w:r>
        <w:rPr>
          <w:rFonts w:cs="Arial"/>
          <w:sz w:val="22"/>
          <w:szCs w:val="22"/>
        </w:rPr>
        <w:t>lfriedeman@igsenergy.com</w:t>
      </w:r>
    </w:p>
    <w:p w:rsidR="00010ADA" w:rsidRDefault="007D5942">
      <w:pPr>
        <w:tabs>
          <w:tab w:val="left" w:pos="2160"/>
          <w:tab w:val="left" w:pos="2280"/>
        </w:tabs>
        <w:spacing w:line="240" w:lineRule="auto"/>
        <w:rPr>
          <w:rFonts w:cs="Arial"/>
          <w:sz w:val="22"/>
          <w:szCs w:val="22"/>
        </w:rPr>
      </w:pPr>
      <w:r>
        <w:rPr>
          <w:rFonts w:cs="Arial"/>
          <w:sz w:val="22"/>
          <w:szCs w:val="22"/>
        </w:rPr>
        <w:t>mswhite@igsenergy.com</w:t>
      </w:r>
    </w:p>
    <w:p w:rsidR="00010ADA" w:rsidRDefault="00010ADA">
      <w:pPr>
        <w:tabs>
          <w:tab w:val="left" w:pos="2160"/>
          <w:tab w:val="left" w:pos="2280"/>
        </w:tabs>
        <w:spacing w:line="240" w:lineRule="auto"/>
        <w:rPr>
          <w:rFonts w:cs="Arial"/>
          <w:sz w:val="22"/>
          <w:szCs w:val="22"/>
        </w:rPr>
      </w:pPr>
    </w:p>
    <w:p w:rsidR="00010ADA" w:rsidRDefault="007D5942">
      <w:pPr>
        <w:tabs>
          <w:tab w:val="left" w:pos="2160"/>
          <w:tab w:val="left" w:pos="2280"/>
        </w:tabs>
        <w:spacing w:line="240" w:lineRule="auto"/>
        <w:rPr>
          <w:rFonts w:cs="Arial"/>
          <w:b/>
          <w:smallCaps/>
          <w:sz w:val="22"/>
          <w:szCs w:val="22"/>
        </w:rPr>
      </w:pPr>
      <w:proofErr w:type="gramStart"/>
      <w:r>
        <w:rPr>
          <w:rFonts w:cs="Arial"/>
          <w:b/>
          <w:smallCaps/>
          <w:sz w:val="22"/>
          <w:szCs w:val="22"/>
        </w:rPr>
        <w:t>On Behalf of Interstate Gas Supply, Inc.</w:t>
      </w:r>
      <w:proofErr w:type="gramEnd"/>
    </w:p>
    <w:p w:rsidR="00010ADA" w:rsidRDefault="00010ADA">
      <w:pPr>
        <w:tabs>
          <w:tab w:val="left" w:pos="2160"/>
          <w:tab w:val="left" w:pos="2280"/>
        </w:tabs>
        <w:spacing w:line="240" w:lineRule="auto"/>
        <w:rPr>
          <w:rFonts w:cs="Arial"/>
          <w:b/>
          <w:smallCaps/>
          <w:sz w:val="22"/>
          <w:szCs w:val="22"/>
        </w:rPr>
      </w:pP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Colleen L. Mooney</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Ohio Partners for Affordable Energy</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231 West Lima Street</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P.O. Box 1793</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Findlay, OH 45840</w:t>
      </w:r>
    </w:p>
    <w:p w:rsidR="00010ADA" w:rsidRDefault="007D5942">
      <w:pPr>
        <w:autoSpaceDE w:val="0"/>
        <w:autoSpaceDN w:val="0"/>
        <w:adjustRightInd w:val="0"/>
        <w:snapToGrid w:val="0"/>
        <w:spacing w:line="240" w:lineRule="auto"/>
        <w:rPr>
          <w:rFonts w:cs="Arial"/>
          <w:sz w:val="22"/>
          <w:szCs w:val="22"/>
        </w:rPr>
      </w:pPr>
      <w:r>
        <w:rPr>
          <w:rFonts w:cs="Arial"/>
          <w:sz w:val="22"/>
          <w:szCs w:val="22"/>
        </w:rPr>
        <w:t>cmooney@ohiopartners.org</w:t>
      </w:r>
    </w:p>
    <w:p w:rsidR="00010ADA" w:rsidRDefault="00010ADA">
      <w:pPr>
        <w:spacing w:line="240" w:lineRule="auto"/>
        <w:rPr>
          <w:rFonts w:cs="Arial"/>
          <w:sz w:val="22"/>
          <w:szCs w:val="22"/>
        </w:rPr>
      </w:pPr>
    </w:p>
    <w:p w:rsidR="00010ADA" w:rsidRDefault="007D5942">
      <w:pPr>
        <w:spacing w:line="240" w:lineRule="auto"/>
        <w:rPr>
          <w:rFonts w:cs="Arial"/>
          <w:sz w:val="22"/>
          <w:szCs w:val="22"/>
        </w:rPr>
      </w:pPr>
      <w:r>
        <w:rPr>
          <w:rFonts w:cs="Arial"/>
          <w:b/>
          <w:smallCaps/>
          <w:sz w:val="22"/>
          <w:szCs w:val="22"/>
        </w:rPr>
        <w:t>On Behalf of Ohio Partners for Affordable Energy</w:t>
      </w:r>
    </w:p>
    <w:p w:rsidR="00010ADA" w:rsidRDefault="00010ADA">
      <w:pPr>
        <w:spacing w:line="240" w:lineRule="auto"/>
        <w:rPr>
          <w:rFonts w:cs="Arial"/>
          <w:sz w:val="22"/>
          <w:szCs w:val="22"/>
        </w:rPr>
      </w:pPr>
    </w:p>
    <w:p w:rsidR="00010ADA" w:rsidRDefault="007D5942">
      <w:pPr>
        <w:spacing w:line="240" w:lineRule="auto"/>
        <w:rPr>
          <w:rFonts w:cs="Arial"/>
          <w:sz w:val="22"/>
          <w:szCs w:val="22"/>
        </w:rPr>
      </w:pPr>
      <w:r>
        <w:rPr>
          <w:rFonts w:cs="Arial"/>
          <w:sz w:val="22"/>
          <w:szCs w:val="22"/>
        </w:rPr>
        <w:br w:type="column"/>
      </w:r>
      <w:r>
        <w:rPr>
          <w:rFonts w:cs="Arial"/>
          <w:sz w:val="22"/>
          <w:szCs w:val="22"/>
        </w:rPr>
        <w:lastRenderedPageBreak/>
        <w:t>Mark A. Hayden</w:t>
      </w:r>
    </w:p>
    <w:p w:rsidR="00010ADA" w:rsidRDefault="007D5942">
      <w:pPr>
        <w:spacing w:line="240" w:lineRule="auto"/>
        <w:rPr>
          <w:rFonts w:cs="Arial"/>
          <w:sz w:val="22"/>
          <w:szCs w:val="22"/>
        </w:rPr>
      </w:pPr>
      <w:r>
        <w:rPr>
          <w:rFonts w:cs="Arial"/>
          <w:sz w:val="22"/>
          <w:szCs w:val="22"/>
        </w:rPr>
        <w:t>FirstEnergy Service Company</w:t>
      </w:r>
    </w:p>
    <w:p w:rsidR="00010ADA" w:rsidRDefault="007D5942">
      <w:pPr>
        <w:spacing w:line="240" w:lineRule="auto"/>
        <w:rPr>
          <w:rFonts w:cs="Arial"/>
          <w:sz w:val="22"/>
          <w:szCs w:val="22"/>
        </w:rPr>
      </w:pPr>
      <w:r>
        <w:rPr>
          <w:rFonts w:cs="Arial"/>
          <w:sz w:val="22"/>
          <w:szCs w:val="22"/>
        </w:rPr>
        <w:t>76 South Main Street</w:t>
      </w:r>
    </w:p>
    <w:p w:rsidR="00010ADA" w:rsidRDefault="007D5942">
      <w:pPr>
        <w:spacing w:line="240" w:lineRule="auto"/>
        <w:rPr>
          <w:rFonts w:cs="Arial"/>
          <w:sz w:val="22"/>
          <w:szCs w:val="22"/>
        </w:rPr>
      </w:pPr>
      <w:r>
        <w:rPr>
          <w:rFonts w:cs="Arial"/>
          <w:sz w:val="22"/>
          <w:szCs w:val="22"/>
        </w:rPr>
        <w:t>Akron, OH  44308</w:t>
      </w:r>
    </w:p>
    <w:p w:rsidR="00010ADA" w:rsidRDefault="007D5942">
      <w:pPr>
        <w:spacing w:line="240" w:lineRule="auto"/>
        <w:rPr>
          <w:rFonts w:cs="Arial"/>
          <w:sz w:val="22"/>
          <w:szCs w:val="22"/>
        </w:rPr>
      </w:pPr>
      <w:r>
        <w:rPr>
          <w:rFonts w:cs="Arial"/>
          <w:sz w:val="22"/>
          <w:szCs w:val="22"/>
        </w:rPr>
        <w:t>haydenm@firstenergycorp.com</w:t>
      </w:r>
    </w:p>
    <w:p w:rsidR="00010ADA" w:rsidRDefault="00010ADA">
      <w:pPr>
        <w:spacing w:line="240" w:lineRule="auto"/>
        <w:rPr>
          <w:rFonts w:cs="Arial"/>
          <w:sz w:val="22"/>
          <w:szCs w:val="22"/>
        </w:rPr>
      </w:pPr>
    </w:p>
    <w:p w:rsidR="00010ADA" w:rsidRDefault="007D5942">
      <w:pPr>
        <w:spacing w:line="240" w:lineRule="auto"/>
        <w:rPr>
          <w:rFonts w:cs="Arial"/>
          <w:sz w:val="22"/>
          <w:szCs w:val="22"/>
        </w:rPr>
      </w:pPr>
      <w:r>
        <w:rPr>
          <w:rFonts w:cs="Arial"/>
          <w:sz w:val="22"/>
          <w:szCs w:val="22"/>
        </w:rPr>
        <w:t>James F. Lang</w:t>
      </w:r>
    </w:p>
    <w:p w:rsidR="00010ADA" w:rsidRDefault="007D5942">
      <w:pPr>
        <w:spacing w:line="240" w:lineRule="auto"/>
        <w:rPr>
          <w:rFonts w:cs="Arial"/>
          <w:sz w:val="22"/>
          <w:szCs w:val="22"/>
        </w:rPr>
      </w:pPr>
      <w:r>
        <w:rPr>
          <w:rFonts w:cs="Arial"/>
          <w:sz w:val="22"/>
          <w:szCs w:val="22"/>
        </w:rPr>
        <w:t>N. Trevor Alexander</w:t>
      </w:r>
    </w:p>
    <w:p w:rsidR="00010ADA" w:rsidRDefault="007D5942">
      <w:pPr>
        <w:spacing w:line="240" w:lineRule="auto"/>
        <w:rPr>
          <w:rFonts w:cs="Arial"/>
          <w:sz w:val="22"/>
          <w:szCs w:val="22"/>
        </w:rPr>
      </w:pPr>
      <w:r>
        <w:rPr>
          <w:rFonts w:cs="Arial"/>
          <w:sz w:val="22"/>
          <w:szCs w:val="22"/>
        </w:rPr>
        <w:t>Calfee, Halter &amp; Griswold LLP</w:t>
      </w:r>
    </w:p>
    <w:p w:rsidR="00010ADA" w:rsidRDefault="007D5942">
      <w:pPr>
        <w:spacing w:line="240" w:lineRule="auto"/>
        <w:rPr>
          <w:rFonts w:cs="Arial"/>
          <w:sz w:val="22"/>
          <w:szCs w:val="22"/>
        </w:rPr>
      </w:pPr>
      <w:r>
        <w:rPr>
          <w:rFonts w:cs="Arial"/>
          <w:sz w:val="22"/>
          <w:szCs w:val="22"/>
        </w:rPr>
        <w:t>The Calfee Building</w:t>
      </w:r>
    </w:p>
    <w:p w:rsidR="00010ADA" w:rsidRDefault="007D5942">
      <w:pPr>
        <w:spacing w:line="240" w:lineRule="auto"/>
        <w:rPr>
          <w:rFonts w:cs="Arial"/>
          <w:sz w:val="22"/>
          <w:szCs w:val="22"/>
        </w:rPr>
      </w:pPr>
      <w:r>
        <w:rPr>
          <w:rFonts w:cs="Arial"/>
          <w:sz w:val="22"/>
          <w:szCs w:val="22"/>
        </w:rPr>
        <w:t>1405 East Sixth Street</w:t>
      </w:r>
    </w:p>
    <w:p w:rsidR="00010ADA" w:rsidRDefault="007D5942">
      <w:pPr>
        <w:spacing w:line="240" w:lineRule="auto"/>
        <w:rPr>
          <w:rFonts w:cs="Arial"/>
          <w:sz w:val="22"/>
          <w:szCs w:val="22"/>
        </w:rPr>
      </w:pPr>
      <w:r>
        <w:rPr>
          <w:rFonts w:cs="Arial"/>
          <w:sz w:val="22"/>
          <w:szCs w:val="22"/>
        </w:rPr>
        <w:t>Cleveland, OH  44114</w:t>
      </w:r>
    </w:p>
    <w:p w:rsidR="00010ADA" w:rsidRDefault="007D5942">
      <w:pPr>
        <w:spacing w:line="240" w:lineRule="auto"/>
        <w:rPr>
          <w:rFonts w:cs="Arial"/>
          <w:sz w:val="22"/>
          <w:szCs w:val="22"/>
        </w:rPr>
      </w:pPr>
      <w:r>
        <w:rPr>
          <w:rFonts w:cs="Arial"/>
          <w:sz w:val="22"/>
          <w:szCs w:val="22"/>
        </w:rPr>
        <w:t>jlang@calfee.com</w:t>
      </w:r>
    </w:p>
    <w:p w:rsidR="00010ADA" w:rsidRDefault="007D5942">
      <w:pPr>
        <w:spacing w:line="240" w:lineRule="auto"/>
        <w:rPr>
          <w:rFonts w:cs="Arial"/>
          <w:sz w:val="22"/>
          <w:szCs w:val="22"/>
        </w:rPr>
      </w:pPr>
      <w:r>
        <w:rPr>
          <w:rFonts w:cs="Arial"/>
          <w:sz w:val="22"/>
          <w:szCs w:val="22"/>
        </w:rPr>
        <w:t>talexander@calfee.com</w:t>
      </w:r>
    </w:p>
    <w:p w:rsidR="00010ADA" w:rsidRDefault="00010ADA">
      <w:pPr>
        <w:spacing w:line="240" w:lineRule="auto"/>
        <w:rPr>
          <w:rFonts w:cs="Arial"/>
          <w:sz w:val="22"/>
          <w:szCs w:val="22"/>
        </w:rPr>
      </w:pPr>
    </w:p>
    <w:p w:rsidR="00010ADA" w:rsidRDefault="007D5942">
      <w:pPr>
        <w:spacing w:line="240" w:lineRule="auto"/>
        <w:rPr>
          <w:rFonts w:cs="Arial"/>
          <w:sz w:val="22"/>
          <w:szCs w:val="22"/>
        </w:rPr>
      </w:pPr>
      <w:proofErr w:type="gramStart"/>
      <w:r>
        <w:rPr>
          <w:rFonts w:cs="Arial"/>
          <w:b/>
          <w:smallCaps/>
          <w:sz w:val="22"/>
          <w:szCs w:val="22"/>
        </w:rPr>
        <w:t>On Behalf of FirstEnergy Solutions Corp.</w:t>
      </w:r>
      <w:proofErr w:type="gramEnd"/>
    </w:p>
    <w:p w:rsidR="00010ADA" w:rsidRDefault="00010ADA">
      <w:pPr>
        <w:spacing w:line="240" w:lineRule="auto"/>
        <w:rPr>
          <w:rFonts w:cs="Arial"/>
          <w:sz w:val="22"/>
          <w:szCs w:val="22"/>
        </w:rPr>
      </w:pP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 xml:space="preserve">M. Howard Petricoff </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Gretchen L. Petrucci</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Vorys, Sater, Seymour and Pease LLP</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52 E. Gay Street</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Columbus, OH 43216-1008</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mhpetricoff@vorys.com</w:t>
      </w:r>
    </w:p>
    <w:p w:rsidR="00010ADA" w:rsidRDefault="007D5942">
      <w:pPr>
        <w:autoSpaceDE w:val="0"/>
        <w:autoSpaceDN w:val="0"/>
        <w:adjustRightInd w:val="0"/>
        <w:snapToGrid w:val="0"/>
        <w:spacing w:line="240" w:lineRule="auto"/>
        <w:rPr>
          <w:rFonts w:cs="Arial"/>
          <w:color w:val="000000"/>
          <w:sz w:val="22"/>
          <w:szCs w:val="22"/>
        </w:rPr>
      </w:pPr>
      <w:r>
        <w:rPr>
          <w:rFonts w:cs="Arial"/>
          <w:color w:val="000000"/>
          <w:sz w:val="22"/>
          <w:szCs w:val="22"/>
        </w:rPr>
        <w:t>glpetrucci@vorys.com</w:t>
      </w:r>
    </w:p>
    <w:p w:rsidR="00010ADA" w:rsidRDefault="00010ADA">
      <w:pPr>
        <w:autoSpaceDE w:val="0"/>
        <w:autoSpaceDN w:val="0"/>
        <w:adjustRightInd w:val="0"/>
        <w:snapToGrid w:val="0"/>
        <w:spacing w:line="240" w:lineRule="auto"/>
        <w:rPr>
          <w:rFonts w:cs="Arial"/>
          <w:color w:val="000000"/>
          <w:sz w:val="22"/>
          <w:szCs w:val="22"/>
        </w:rPr>
      </w:pPr>
    </w:p>
    <w:p w:rsidR="00010ADA" w:rsidRDefault="007D5942">
      <w:pPr>
        <w:autoSpaceDE w:val="0"/>
        <w:autoSpaceDN w:val="0"/>
        <w:adjustRightInd w:val="0"/>
        <w:snapToGrid w:val="0"/>
        <w:spacing w:line="240" w:lineRule="auto"/>
        <w:rPr>
          <w:rFonts w:cs="Arial"/>
          <w:b/>
          <w:smallCaps/>
          <w:color w:val="000000"/>
          <w:sz w:val="22"/>
          <w:szCs w:val="22"/>
        </w:rPr>
      </w:pPr>
      <w:r>
        <w:rPr>
          <w:rFonts w:cs="Arial"/>
          <w:b/>
          <w:smallCaps/>
          <w:sz w:val="22"/>
          <w:szCs w:val="22"/>
        </w:rPr>
        <w:t xml:space="preserve">On Behalf of the </w:t>
      </w:r>
      <w:r>
        <w:rPr>
          <w:rFonts w:cs="Arial"/>
          <w:b/>
          <w:smallCaps/>
          <w:color w:val="000000"/>
          <w:sz w:val="22"/>
          <w:szCs w:val="22"/>
        </w:rPr>
        <w:t>Retail Energy Supply Association</w:t>
      </w:r>
    </w:p>
    <w:p w:rsidR="00010ADA" w:rsidRDefault="00010ADA">
      <w:pPr>
        <w:autoSpaceDE w:val="0"/>
        <w:autoSpaceDN w:val="0"/>
        <w:adjustRightInd w:val="0"/>
        <w:spacing w:line="240" w:lineRule="auto"/>
        <w:rPr>
          <w:rFonts w:cs="Arial"/>
          <w:sz w:val="22"/>
          <w:szCs w:val="22"/>
        </w:rPr>
      </w:pPr>
    </w:p>
    <w:p w:rsidR="00010ADA" w:rsidRDefault="007D5942">
      <w:pPr>
        <w:autoSpaceDE w:val="0"/>
        <w:autoSpaceDN w:val="0"/>
        <w:adjustRightInd w:val="0"/>
        <w:spacing w:line="240" w:lineRule="auto"/>
        <w:rPr>
          <w:rFonts w:cs="Arial"/>
          <w:sz w:val="22"/>
          <w:szCs w:val="22"/>
        </w:rPr>
      </w:pPr>
      <w:r>
        <w:rPr>
          <w:rFonts w:cs="Arial"/>
          <w:sz w:val="22"/>
          <w:szCs w:val="22"/>
        </w:rPr>
        <w:t>Christopher A. Walker (Reg. No. 0040696)</w:t>
      </w:r>
    </w:p>
    <w:p w:rsidR="00010ADA" w:rsidRDefault="007D5942">
      <w:pPr>
        <w:autoSpaceDE w:val="0"/>
        <w:autoSpaceDN w:val="0"/>
        <w:adjustRightInd w:val="0"/>
        <w:spacing w:line="240" w:lineRule="auto"/>
        <w:rPr>
          <w:rFonts w:cs="Arial"/>
          <w:sz w:val="22"/>
          <w:szCs w:val="22"/>
        </w:rPr>
      </w:pPr>
      <w:r>
        <w:rPr>
          <w:rFonts w:cs="Arial"/>
          <w:sz w:val="22"/>
          <w:szCs w:val="22"/>
        </w:rPr>
        <w:t>Van Kley &amp; Walker, LLC</w:t>
      </w:r>
    </w:p>
    <w:p w:rsidR="00010ADA" w:rsidRDefault="007D5942">
      <w:pPr>
        <w:autoSpaceDE w:val="0"/>
        <w:autoSpaceDN w:val="0"/>
        <w:adjustRightInd w:val="0"/>
        <w:spacing w:line="240" w:lineRule="auto"/>
        <w:rPr>
          <w:rFonts w:cs="Arial"/>
          <w:sz w:val="22"/>
          <w:szCs w:val="22"/>
        </w:rPr>
      </w:pPr>
      <w:r>
        <w:rPr>
          <w:rFonts w:cs="Arial"/>
          <w:sz w:val="22"/>
          <w:szCs w:val="22"/>
        </w:rPr>
        <w:t>137 N. Main St., Suite 316</w:t>
      </w:r>
    </w:p>
    <w:p w:rsidR="00010ADA" w:rsidRDefault="007D5942">
      <w:pPr>
        <w:autoSpaceDE w:val="0"/>
        <w:autoSpaceDN w:val="0"/>
        <w:adjustRightInd w:val="0"/>
        <w:spacing w:line="240" w:lineRule="auto"/>
        <w:rPr>
          <w:rFonts w:cs="Arial"/>
          <w:sz w:val="22"/>
          <w:szCs w:val="22"/>
        </w:rPr>
      </w:pPr>
      <w:r>
        <w:rPr>
          <w:rFonts w:cs="Arial"/>
          <w:sz w:val="22"/>
          <w:szCs w:val="22"/>
        </w:rPr>
        <w:t>Dayton, Ohio 45402</w:t>
      </w:r>
    </w:p>
    <w:p w:rsidR="00010ADA" w:rsidRDefault="007D5942">
      <w:pPr>
        <w:autoSpaceDE w:val="0"/>
        <w:autoSpaceDN w:val="0"/>
        <w:adjustRightInd w:val="0"/>
        <w:spacing w:line="240" w:lineRule="auto"/>
        <w:rPr>
          <w:rFonts w:cs="Arial"/>
          <w:sz w:val="22"/>
          <w:szCs w:val="22"/>
        </w:rPr>
      </w:pPr>
      <w:r>
        <w:rPr>
          <w:rFonts w:cs="Arial"/>
          <w:sz w:val="22"/>
          <w:szCs w:val="22"/>
        </w:rPr>
        <w:t>cwalker@vankleywalker.com</w:t>
      </w:r>
    </w:p>
    <w:p w:rsidR="00010ADA" w:rsidRDefault="00010ADA">
      <w:pPr>
        <w:spacing w:line="240" w:lineRule="auto"/>
        <w:rPr>
          <w:rFonts w:cs="Arial"/>
          <w:sz w:val="22"/>
          <w:szCs w:val="22"/>
        </w:rPr>
      </w:pPr>
    </w:p>
    <w:p w:rsidR="00010ADA" w:rsidRDefault="007D5942">
      <w:pPr>
        <w:spacing w:line="240" w:lineRule="auto"/>
        <w:rPr>
          <w:rFonts w:cs="Arial"/>
          <w:b/>
          <w:smallCaps/>
          <w:sz w:val="22"/>
          <w:szCs w:val="22"/>
        </w:rPr>
      </w:pPr>
      <w:r>
        <w:rPr>
          <w:rFonts w:cs="Arial"/>
          <w:b/>
          <w:smallCaps/>
          <w:sz w:val="22"/>
          <w:szCs w:val="22"/>
        </w:rPr>
        <w:t>On Behalf of the City of Miamisburg</w:t>
      </w:r>
    </w:p>
    <w:p w:rsidR="00010ADA" w:rsidRDefault="00010ADA">
      <w:pPr>
        <w:spacing w:line="240" w:lineRule="auto"/>
        <w:rPr>
          <w:rFonts w:cs="Arial"/>
          <w:sz w:val="22"/>
          <w:szCs w:val="22"/>
        </w:rPr>
      </w:pPr>
    </w:p>
    <w:p w:rsidR="00010ADA" w:rsidRDefault="007D5942">
      <w:pPr>
        <w:autoSpaceDE w:val="0"/>
        <w:autoSpaceDN w:val="0"/>
        <w:adjustRightInd w:val="0"/>
        <w:spacing w:line="240" w:lineRule="auto"/>
        <w:rPr>
          <w:rFonts w:cs="Arial"/>
          <w:sz w:val="22"/>
          <w:szCs w:val="22"/>
        </w:rPr>
      </w:pPr>
      <w:r>
        <w:rPr>
          <w:rFonts w:cs="Arial"/>
          <w:sz w:val="22"/>
          <w:szCs w:val="22"/>
        </w:rPr>
        <w:t>Joseph M. Clark (Counsel of Record)</w:t>
      </w:r>
    </w:p>
    <w:p w:rsidR="00010ADA" w:rsidRDefault="007D5942">
      <w:pPr>
        <w:autoSpaceDE w:val="0"/>
        <w:autoSpaceDN w:val="0"/>
        <w:adjustRightInd w:val="0"/>
        <w:spacing w:line="240" w:lineRule="auto"/>
        <w:rPr>
          <w:rFonts w:cs="Arial"/>
          <w:sz w:val="22"/>
          <w:szCs w:val="22"/>
        </w:rPr>
      </w:pPr>
      <w:r>
        <w:rPr>
          <w:rFonts w:cs="Arial"/>
          <w:sz w:val="22"/>
          <w:szCs w:val="22"/>
        </w:rPr>
        <w:t>Direct Energy</w:t>
      </w:r>
    </w:p>
    <w:p w:rsidR="00010ADA" w:rsidRDefault="007D5942">
      <w:pPr>
        <w:autoSpaceDE w:val="0"/>
        <w:autoSpaceDN w:val="0"/>
        <w:adjustRightInd w:val="0"/>
        <w:spacing w:line="240" w:lineRule="auto"/>
        <w:rPr>
          <w:rFonts w:cs="Arial"/>
          <w:sz w:val="22"/>
          <w:szCs w:val="22"/>
        </w:rPr>
      </w:pPr>
      <w:r>
        <w:rPr>
          <w:rFonts w:cs="Arial"/>
          <w:sz w:val="22"/>
          <w:szCs w:val="22"/>
        </w:rPr>
        <w:t>21 East State Street, 19th Floor</w:t>
      </w:r>
    </w:p>
    <w:p w:rsidR="00010ADA" w:rsidRDefault="007D5942">
      <w:pPr>
        <w:autoSpaceDE w:val="0"/>
        <w:autoSpaceDN w:val="0"/>
        <w:adjustRightInd w:val="0"/>
        <w:spacing w:line="240" w:lineRule="auto"/>
        <w:rPr>
          <w:rFonts w:cs="Arial"/>
          <w:sz w:val="22"/>
          <w:szCs w:val="22"/>
        </w:rPr>
      </w:pPr>
      <w:r>
        <w:rPr>
          <w:rFonts w:cs="Arial"/>
          <w:sz w:val="22"/>
          <w:szCs w:val="22"/>
        </w:rPr>
        <w:t>Columbus, Ohio 43215</w:t>
      </w:r>
    </w:p>
    <w:p w:rsidR="00010ADA" w:rsidRDefault="007D5942">
      <w:pPr>
        <w:autoSpaceDE w:val="0"/>
        <w:autoSpaceDN w:val="0"/>
        <w:adjustRightInd w:val="0"/>
        <w:spacing w:line="240" w:lineRule="auto"/>
        <w:rPr>
          <w:rFonts w:cs="Arial"/>
          <w:sz w:val="22"/>
          <w:szCs w:val="22"/>
        </w:rPr>
      </w:pPr>
      <w:r>
        <w:rPr>
          <w:rFonts w:cs="Arial"/>
          <w:sz w:val="22"/>
          <w:szCs w:val="22"/>
        </w:rPr>
        <w:t>joseph.clark@directenergy.com</w:t>
      </w:r>
    </w:p>
    <w:p w:rsidR="00010ADA" w:rsidRDefault="00010ADA">
      <w:pPr>
        <w:autoSpaceDE w:val="0"/>
        <w:autoSpaceDN w:val="0"/>
        <w:adjustRightInd w:val="0"/>
        <w:spacing w:line="240" w:lineRule="auto"/>
        <w:rPr>
          <w:rFonts w:cs="Arial"/>
          <w:sz w:val="22"/>
          <w:szCs w:val="22"/>
        </w:rPr>
      </w:pPr>
    </w:p>
    <w:p w:rsidR="00010ADA" w:rsidRDefault="007D5942">
      <w:pPr>
        <w:autoSpaceDE w:val="0"/>
        <w:autoSpaceDN w:val="0"/>
        <w:adjustRightInd w:val="0"/>
        <w:spacing w:line="240" w:lineRule="auto"/>
        <w:rPr>
          <w:rFonts w:cs="Arial"/>
          <w:b/>
          <w:smallCaps/>
          <w:sz w:val="22"/>
          <w:szCs w:val="22"/>
        </w:rPr>
      </w:pPr>
      <w:r>
        <w:rPr>
          <w:rFonts w:cs="Arial"/>
          <w:b/>
          <w:smallCaps/>
          <w:sz w:val="22"/>
          <w:szCs w:val="22"/>
        </w:rPr>
        <w:t>On Behalf of Direct Energy Services, LLC and Direct Energy Business, LLC</w:t>
      </w:r>
    </w:p>
    <w:p w:rsidR="00010ADA" w:rsidRDefault="00010ADA">
      <w:pPr>
        <w:spacing w:line="240" w:lineRule="auto"/>
        <w:rPr>
          <w:rFonts w:cs="Arial"/>
          <w:sz w:val="22"/>
          <w:szCs w:val="22"/>
        </w:rPr>
      </w:pPr>
    </w:p>
    <w:p w:rsidR="00010ADA" w:rsidRDefault="00010ADA">
      <w:pPr>
        <w:tabs>
          <w:tab w:val="left" w:pos="2160"/>
          <w:tab w:val="left" w:pos="2280"/>
        </w:tabs>
        <w:spacing w:line="240" w:lineRule="auto"/>
        <w:rPr>
          <w:rFonts w:cs="Arial"/>
          <w:sz w:val="22"/>
          <w:szCs w:val="22"/>
        </w:rPr>
        <w:sectPr w:rsidR="00010ADA">
          <w:headerReference w:type="default" r:id="rId29"/>
          <w:footerReference w:type="default" r:id="rId30"/>
          <w:headerReference w:type="first" r:id="rId31"/>
          <w:footerReference w:type="first" r:id="rId32"/>
          <w:pgSz w:w="12240" w:h="15840" w:code="1"/>
          <w:pgMar w:top="1440" w:right="1440" w:bottom="1440" w:left="1440" w:header="720" w:footer="720" w:gutter="0"/>
          <w:cols w:num="2" w:space="720"/>
          <w:titlePg/>
          <w:docGrid w:linePitch="360"/>
        </w:sectPr>
      </w:pPr>
    </w:p>
    <w:p w:rsidR="00010ADA" w:rsidRDefault="007D5942">
      <w:pPr>
        <w:tabs>
          <w:tab w:val="left" w:pos="2160"/>
          <w:tab w:val="left" w:pos="2280"/>
        </w:tabs>
        <w:spacing w:line="240" w:lineRule="auto"/>
        <w:rPr>
          <w:rFonts w:cs="Arial"/>
          <w:sz w:val="22"/>
          <w:szCs w:val="22"/>
        </w:rPr>
      </w:pPr>
      <w:r>
        <w:rPr>
          <w:rFonts w:cs="Arial"/>
          <w:sz w:val="22"/>
          <w:szCs w:val="22"/>
        </w:rPr>
        <w:lastRenderedPageBreak/>
        <w:t xml:space="preserve">Amy B. Spiller </w:t>
      </w:r>
    </w:p>
    <w:p w:rsidR="00010ADA" w:rsidRDefault="007D5942">
      <w:pPr>
        <w:tabs>
          <w:tab w:val="left" w:pos="2160"/>
          <w:tab w:val="left" w:pos="2280"/>
        </w:tabs>
        <w:spacing w:line="240" w:lineRule="auto"/>
        <w:rPr>
          <w:rFonts w:cs="Arial"/>
          <w:sz w:val="22"/>
          <w:szCs w:val="22"/>
        </w:rPr>
      </w:pPr>
      <w:r>
        <w:rPr>
          <w:rFonts w:cs="Arial"/>
          <w:sz w:val="22"/>
          <w:szCs w:val="22"/>
        </w:rPr>
        <w:t>Deputy General Counsel</w:t>
      </w:r>
    </w:p>
    <w:p w:rsidR="00010ADA" w:rsidRDefault="007D5942">
      <w:pPr>
        <w:tabs>
          <w:tab w:val="left" w:pos="2160"/>
          <w:tab w:val="left" w:pos="2280"/>
        </w:tabs>
        <w:spacing w:line="240" w:lineRule="auto"/>
        <w:rPr>
          <w:rFonts w:cs="Arial"/>
          <w:sz w:val="22"/>
          <w:szCs w:val="22"/>
        </w:rPr>
      </w:pPr>
      <w:r>
        <w:rPr>
          <w:rFonts w:cs="Arial"/>
          <w:sz w:val="22"/>
          <w:szCs w:val="22"/>
        </w:rPr>
        <w:t>Jeanne Kingery (Counsel of Record)</w:t>
      </w:r>
    </w:p>
    <w:p w:rsidR="00010ADA" w:rsidRDefault="007D5942">
      <w:pPr>
        <w:tabs>
          <w:tab w:val="left" w:pos="2160"/>
          <w:tab w:val="left" w:pos="2280"/>
        </w:tabs>
        <w:spacing w:line="240" w:lineRule="auto"/>
        <w:rPr>
          <w:rFonts w:cs="Arial"/>
          <w:sz w:val="22"/>
          <w:szCs w:val="22"/>
        </w:rPr>
      </w:pPr>
      <w:r>
        <w:rPr>
          <w:rFonts w:cs="Arial"/>
          <w:sz w:val="22"/>
          <w:szCs w:val="22"/>
        </w:rPr>
        <w:t>Associate General Counsel</w:t>
      </w:r>
    </w:p>
    <w:p w:rsidR="00010ADA" w:rsidRDefault="007D5942">
      <w:pPr>
        <w:tabs>
          <w:tab w:val="left" w:pos="2160"/>
          <w:tab w:val="left" w:pos="2280"/>
        </w:tabs>
        <w:spacing w:line="240" w:lineRule="auto"/>
        <w:rPr>
          <w:rFonts w:cs="Arial"/>
          <w:sz w:val="22"/>
          <w:szCs w:val="22"/>
        </w:rPr>
      </w:pPr>
      <w:r>
        <w:rPr>
          <w:rFonts w:cs="Arial"/>
          <w:sz w:val="22"/>
          <w:szCs w:val="22"/>
        </w:rPr>
        <w:t>Duke Energy Commercial Asset</w:t>
      </w:r>
    </w:p>
    <w:p w:rsidR="00010ADA" w:rsidRDefault="007D5942">
      <w:pPr>
        <w:tabs>
          <w:tab w:val="left" w:pos="2160"/>
          <w:tab w:val="left" w:pos="2280"/>
        </w:tabs>
        <w:spacing w:line="240" w:lineRule="auto"/>
        <w:rPr>
          <w:rFonts w:cs="Arial"/>
          <w:sz w:val="22"/>
          <w:szCs w:val="22"/>
        </w:rPr>
      </w:pPr>
      <w:r>
        <w:rPr>
          <w:rFonts w:cs="Arial"/>
          <w:sz w:val="22"/>
          <w:szCs w:val="22"/>
        </w:rPr>
        <w:t xml:space="preserve"> Management, Inc.</w:t>
      </w:r>
    </w:p>
    <w:p w:rsidR="00010ADA" w:rsidRDefault="007D5942">
      <w:pPr>
        <w:tabs>
          <w:tab w:val="left" w:pos="2160"/>
          <w:tab w:val="left" w:pos="2280"/>
        </w:tabs>
        <w:spacing w:line="240" w:lineRule="auto"/>
        <w:rPr>
          <w:rFonts w:cs="Arial"/>
          <w:sz w:val="22"/>
          <w:szCs w:val="22"/>
        </w:rPr>
      </w:pPr>
      <w:r>
        <w:rPr>
          <w:rFonts w:cs="Arial"/>
          <w:sz w:val="22"/>
          <w:szCs w:val="22"/>
        </w:rPr>
        <w:t>139 East Fourth Street</w:t>
      </w:r>
    </w:p>
    <w:p w:rsidR="00010ADA" w:rsidRDefault="007D5942">
      <w:pPr>
        <w:tabs>
          <w:tab w:val="left" w:pos="2160"/>
          <w:tab w:val="left" w:pos="2280"/>
        </w:tabs>
        <w:spacing w:line="240" w:lineRule="auto"/>
        <w:rPr>
          <w:rFonts w:cs="Arial"/>
          <w:sz w:val="22"/>
          <w:szCs w:val="22"/>
        </w:rPr>
      </w:pPr>
      <w:r>
        <w:rPr>
          <w:rFonts w:cs="Arial"/>
          <w:sz w:val="22"/>
          <w:szCs w:val="22"/>
        </w:rPr>
        <w:t>1303-Main</w:t>
      </w:r>
    </w:p>
    <w:p w:rsidR="00010ADA" w:rsidRDefault="007D5942">
      <w:pPr>
        <w:tabs>
          <w:tab w:val="left" w:pos="2160"/>
          <w:tab w:val="left" w:pos="2280"/>
        </w:tabs>
        <w:spacing w:line="240" w:lineRule="auto"/>
        <w:rPr>
          <w:rFonts w:cs="Arial"/>
          <w:sz w:val="22"/>
          <w:szCs w:val="22"/>
        </w:rPr>
      </w:pPr>
      <w:r>
        <w:rPr>
          <w:rFonts w:cs="Arial"/>
          <w:sz w:val="22"/>
          <w:szCs w:val="22"/>
        </w:rPr>
        <w:t>Cincinnati, Ohio  45202</w:t>
      </w:r>
    </w:p>
    <w:p w:rsidR="00010ADA" w:rsidRDefault="007D5942">
      <w:pPr>
        <w:tabs>
          <w:tab w:val="left" w:pos="2160"/>
          <w:tab w:val="left" w:pos="2280"/>
        </w:tabs>
        <w:spacing w:line="240" w:lineRule="auto"/>
        <w:rPr>
          <w:rFonts w:cs="Arial"/>
          <w:sz w:val="22"/>
          <w:szCs w:val="22"/>
        </w:rPr>
      </w:pPr>
      <w:r>
        <w:rPr>
          <w:rFonts w:cs="Arial"/>
          <w:sz w:val="22"/>
          <w:szCs w:val="22"/>
        </w:rPr>
        <w:t>amy.spiller@duke-energy.com</w:t>
      </w:r>
    </w:p>
    <w:p w:rsidR="00010ADA" w:rsidRDefault="007D5942">
      <w:pPr>
        <w:tabs>
          <w:tab w:val="left" w:pos="2160"/>
          <w:tab w:val="left" w:pos="2280"/>
        </w:tabs>
        <w:spacing w:line="240" w:lineRule="auto"/>
        <w:rPr>
          <w:rFonts w:cs="Arial"/>
          <w:sz w:val="22"/>
          <w:szCs w:val="22"/>
        </w:rPr>
      </w:pPr>
      <w:r>
        <w:rPr>
          <w:rFonts w:cs="Arial"/>
          <w:sz w:val="22"/>
          <w:szCs w:val="22"/>
        </w:rPr>
        <w:t>jeanne.kingery@duke-energy.com</w:t>
      </w:r>
    </w:p>
    <w:p w:rsidR="00010ADA" w:rsidRDefault="00010ADA">
      <w:pPr>
        <w:tabs>
          <w:tab w:val="left" w:pos="2160"/>
          <w:tab w:val="left" w:pos="2280"/>
        </w:tabs>
        <w:spacing w:line="240" w:lineRule="auto"/>
        <w:rPr>
          <w:rFonts w:cs="Arial"/>
          <w:sz w:val="22"/>
          <w:szCs w:val="22"/>
        </w:rPr>
      </w:pPr>
    </w:p>
    <w:p w:rsidR="00010ADA" w:rsidRDefault="007D5942">
      <w:pPr>
        <w:tabs>
          <w:tab w:val="left" w:pos="2160"/>
          <w:tab w:val="left" w:pos="2280"/>
        </w:tabs>
        <w:spacing w:line="240" w:lineRule="auto"/>
        <w:rPr>
          <w:rFonts w:cs="Arial"/>
          <w:b/>
          <w:smallCaps/>
          <w:sz w:val="22"/>
          <w:szCs w:val="22"/>
        </w:rPr>
      </w:pPr>
      <w:r>
        <w:rPr>
          <w:rFonts w:cs="Arial"/>
          <w:b/>
          <w:smallCaps/>
          <w:sz w:val="22"/>
          <w:szCs w:val="22"/>
        </w:rPr>
        <w:t>On Behalf of Duke Energy Commercial Asset Management, Inc.</w:t>
      </w:r>
    </w:p>
    <w:p w:rsidR="00010ADA" w:rsidRDefault="00010ADA">
      <w:pPr>
        <w:spacing w:line="240" w:lineRule="auto"/>
        <w:rPr>
          <w:rFonts w:cs="Arial"/>
          <w:sz w:val="22"/>
          <w:szCs w:val="22"/>
        </w:rPr>
      </w:pPr>
    </w:p>
    <w:p w:rsidR="00010ADA" w:rsidRDefault="007D5942">
      <w:pPr>
        <w:autoSpaceDE w:val="0"/>
        <w:autoSpaceDN w:val="0"/>
        <w:adjustRightInd w:val="0"/>
        <w:snapToGrid w:val="0"/>
        <w:spacing w:line="240" w:lineRule="auto"/>
        <w:rPr>
          <w:rFonts w:cs="Arial"/>
          <w:sz w:val="22"/>
          <w:szCs w:val="22"/>
        </w:rPr>
      </w:pPr>
      <w:r>
        <w:rPr>
          <w:rFonts w:cs="Arial"/>
          <w:sz w:val="22"/>
          <w:szCs w:val="22"/>
        </w:rPr>
        <w:t>Thomas W. McNamee</w:t>
      </w:r>
    </w:p>
    <w:p w:rsidR="00010ADA" w:rsidRDefault="007D5942">
      <w:pPr>
        <w:autoSpaceDE w:val="0"/>
        <w:autoSpaceDN w:val="0"/>
        <w:adjustRightInd w:val="0"/>
        <w:snapToGrid w:val="0"/>
        <w:spacing w:line="240" w:lineRule="auto"/>
        <w:rPr>
          <w:rFonts w:cs="Arial"/>
          <w:sz w:val="22"/>
          <w:szCs w:val="22"/>
        </w:rPr>
      </w:pPr>
      <w:r>
        <w:rPr>
          <w:rFonts w:cs="Arial"/>
          <w:sz w:val="22"/>
          <w:szCs w:val="22"/>
        </w:rPr>
        <w:t>Assistant Attorney General</w:t>
      </w:r>
    </w:p>
    <w:p w:rsidR="00010ADA" w:rsidRDefault="007D5942">
      <w:pPr>
        <w:autoSpaceDE w:val="0"/>
        <w:autoSpaceDN w:val="0"/>
        <w:adjustRightInd w:val="0"/>
        <w:snapToGrid w:val="0"/>
        <w:spacing w:line="240" w:lineRule="auto"/>
        <w:rPr>
          <w:rFonts w:cs="Arial"/>
          <w:sz w:val="22"/>
          <w:szCs w:val="22"/>
        </w:rPr>
      </w:pPr>
      <w:r>
        <w:rPr>
          <w:rFonts w:cs="Arial"/>
          <w:sz w:val="22"/>
          <w:szCs w:val="22"/>
        </w:rPr>
        <w:t>Public Utilities Section</w:t>
      </w:r>
    </w:p>
    <w:p w:rsidR="00010ADA" w:rsidRDefault="007D5942">
      <w:pPr>
        <w:autoSpaceDE w:val="0"/>
        <w:autoSpaceDN w:val="0"/>
        <w:adjustRightInd w:val="0"/>
        <w:snapToGrid w:val="0"/>
        <w:spacing w:line="240" w:lineRule="auto"/>
        <w:rPr>
          <w:rFonts w:cs="Arial"/>
          <w:sz w:val="22"/>
          <w:szCs w:val="22"/>
        </w:rPr>
      </w:pPr>
      <w:r>
        <w:rPr>
          <w:rFonts w:cs="Arial"/>
          <w:sz w:val="22"/>
          <w:szCs w:val="22"/>
        </w:rPr>
        <w:t>180 East Broad Street, 6th Floor</w:t>
      </w:r>
    </w:p>
    <w:p w:rsidR="00010ADA" w:rsidRDefault="007D5942">
      <w:pPr>
        <w:autoSpaceDE w:val="0"/>
        <w:autoSpaceDN w:val="0"/>
        <w:adjustRightInd w:val="0"/>
        <w:snapToGrid w:val="0"/>
        <w:spacing w:line="240" w:lineRule="auto"/>
        <w:rPr>
          <w:rFonts w:cs="Arial"/>
          <w:sz w:val="22"/>
          <w:szCs w:val="22"/>
        </w:rPr>
      </w:pPr>
      <w:r>
        <w:rPr>
          <w:rFonts w:cs="Arial"/>
          <w:sz w:val="22"/>
          <w:szCs w:val="22"/>
        </w:rPr>
        <w:t>Columbus, OH 43215-3793</w:t>
      </w:r>
    </w:p>
    <w:p w:rsidR="00010ADA" w:rsidRDefault="007D5942">
      <w:pPr>
        <w:autoSpaceDE w:val="0"/>
        <w:autoSpaceDN w:val="0"/>
        <w:adjustRightInd w:val="0"/>
        <w:snapToGrid w:val="0"/>
        <w:spacing w:line="240" w:lineRule="auto"/>
        <w:rPr>
          <w:rFonts w:cs="Arial"/>
          <w:sz w:val="22"/>
          <w:szCs w:val="22"/>
        </w:rPr>
      </w:pPr>
      <w:r>
        <w:rPr>
          <w:rFonts w:cs="Arial"/>
          <w:sz w:val="22"/>
          <w:szCs w:val="22"/>
        </w:rPr>
        <w:t>thomas.mcnamee@puc.state.oh.us</w:t>
      </w:r>
    </w:p>
    <w:p w:rsidR="00010ADA" w:rsidRDefault="00010ADA">
      <w:pPr>
        <w:spacing w:line="240" w:lineRule="auto"/>
        <w:rPr>
          <w:rFonts w:cs="Arial"/>
          <w:sz w:val="22"/>
          <w:szCs w:val="22"/>
        </w:rPr>
      </w:pPr>
    </w:p>
    <w:p w:rsidR="00010ADA" w:rsidRDefault="007D5942">
      <w:pPr>
        <w:spacing w:line="240" w:lineRule="auto"/>
        <w:rPr>
          <w:rFonts w:cs="Arial"/>
          <w:sz w:val="22"/>
          <w:szCs w:val="22"/>
        </w:rPr>
      </w:pPr>
      <w:r>
        <w:rPr>
          <w:rFonts w:cs="Arial"/>
          <w:b/>
          <w:smallCaps/>
          <w:sz w:val="22"/>
          <w:szCs w:val="22"/>
        </w:rPr>
        <w:t>On Behalf of the Staff of the Public Utilities Commission of Ohio</w:t>
      </w:r>
    </w:p>
    <w:p w:rsidR="00010ADA" w:rsidRDefault="00010ADA">
      <w:pPr>
        <w:spacing w:line="240" w:lineRule="auto"/>
        <w:rPr>
          <w:rFonts w:cs="Arial"/>
          <w:sz w:val="22"/>
          <w:szCs w:val="22"/>
        </w:rPr>
      </w:pPr>
    </w:p>
    <w:p w:rsidR="00010ADA" w:rsidRDefault="007D5942">
      <w:pPr>
        <w:spacing w:line="240" w:lineRule="auto"/>
        <w:rPr>
          <w:rFonts w:cs="Arial"/>
          <w:sz w:val="22"/>
          <w:szCs w:val="22"/>
        </w:rPr>
      </w:pPr>
      <w:r>
        <w:rPr>
          <w:rFonts w:cs="Arial"/>
          <w:sz w:val="22"/>
          <w:szCs w:val="22"/>
        </w:rPr>
        <w:t>Bryce A. McKenney</w:t>
      </w:r>
    </w:p>
    <w:p w:rsidR="00010ADA" w:rsidRDefault="007D5942">
      <w:pPr>
        <w:spacing w:line="240" w:lineRule="auto"/>
        <w:rPr>
          <w:rFonts w:cs="Arial"/>
          <w:sz w:val="22"/>
          <w:szCs w:val="22"/>
        </w:rPr>
      </w:pPr>
      <w:r>
        <w:rPr>
          <w:rFonts w:cs="Arial"/>
          <w:sz w:val="22"/>
          <w:szCs w:val="22"/>
        </w:rPr>
        <w:t>Gregory Price</w:t>
      </w:r>
    </w:p>
    <w:p w:rsidR="00010ADA" w:rsidRDefault="007D5942">
      <w:pPr>
        <w:spacing w:line="240" w:lineRule="auto"/>
        <w:rPr>
          <w:rFonts w:cs="Arial"/>
          <w:sz w:val="22"/>
          <w:szCs w:val="22"/>
        </w:rPr>
      </w:pPr>
      <w:r>
        <w:rPr>
          <w:rFonts w:cs="Arial"/>
          <w:sz w:val="22"/>
          <w:szCs w:val="22"/>
        </w:rPr>
        <w:t>Attorney Examiners</w:t>
      </w:r>
    </w:p>
    <w:p w:rsidR="00010ADA" w:rsidRDefault="007D5942">
      <w:pPr>
        <w:spacing w:line="240" w:lineRule="auto"/>
        <w:rPr>
          <w:rFonts w:cs="Arial"/>
          <w:sz w:val="22"/>
          <w:szCs w:val="22"/>
        </w:rPr>
      </w:pPr>
      <w:r>
        <w:rPr>
          <w:rFonts w:cs="Arial"/>
          <w:sz w:val="22"/>
          <w:szCs w:val="22"/>
        </w:rPr>
        <w:t>Public Utilities Commission of Ohio</w:t>
      </w:r>
    </w:p>
    <w:p w:rsidR="00010ADA" w:rsidRDefault="007D5942">
      <w:pPr>
        <w:spacing w:line="240" w:lineRule="auto"/>
        <w:rPr>
          <w:rFonts w:cs="Arial"/>
          <w:sz w:val="22"/>
          <w:szCs w:val="22"/>
        </w:rPr>
      </w:pPr>
      <w:r>
        <w:rPr>
          <w:rFonts w:cs="Arial"/>
          <w:sz w:val="22"/>
          <w:szCs w:val="22"/>
        </w:rPr>
        <w:t>180 East Broad Street</w:t>
      </w:r>
    </w:p>
    <w:p w:rsidR="00010ADA" w:rsidRDefault="007D5942">
      <w:pPr>
        <w:spacing w:line="240" w:lineRule="auto"/>
        <w:rPr>
          <w:rFonts w:cs="Arial"/>
          <w:sz w:val="22"/>
          <w:szCs w:val="22"/>
        </w:rPr>
      </w:pPr>
      <w:r>
        <w:rPr>
          <w:rFonts w:cs="Arial"/>
          <w:sz w:val="22"/>
          <w:szCs w:val="22"/>
        </w:rPr>
        <w:t>Columbus, OH  43215</w:t>
      </w:r>
    </w:p>
    <w:p w:rsidR="00010ADA" w:rsidRDefault="007D5942">
      <w:pPr>
        <w:tabs>
          <w:tab w:val="left" w:pos="2160"/>
          <w:tab w:val="left" w:pos="2280"/>
        </w:tabs>
        <w:spacing w:line="240" w:lineRule="auto"/>
        <w:rPr>
          <w:rFonts w:cs="Arial"/>
          <w:sz w:val="22"/>
          <w:szCs w:val="22"/>
        </w:rPr>
      </w:pPr>
      <w:r>
        <w:rPr>
          <w:rFonts w:cs="Arial"/>
          <w:sz w:val="22"/>
          <w:szCs w:val="22"/>
        </w:rPr>
        <w:t>bryce.mckenney@puc.state.oh.us</w:t>
      </w:r>
    </w:p>
    <w:p w:rsidR="00010ADA" w:rsidRDefault="007D5942">
      <w:pPr>
        <w:tabs>
          <w:tab w:val="left" w:pos="2160"/>
          <w:tab w:val="left" w:pos="2280"/>
        </w:tabs>
        <w:spacing w:line="240" w:lineRule="auto"/>
        <w:rPr>
          <w:rFonts w:cs="Arial"/>
          <w:sz w:val="22"/>
          <w:szCs w:val="22"/>
        </w:rPr>
      </w:pPr>
      <w:r>
        <w:rPr>
          <w:rFonts w:cs="Arial"/>
          <w:sz w:val="22"/>
          <w:szCs w:val="22"/>
        </w:rPr>
        <w:t>greg.price@puc.state.oh.us</w:t>
      </w:r>
    </w:p>
    <w:p w:rsidR="00010ADA" w:rsidRDefault="00010ADA">
      <w:pPr>
        <w:tabs>
          <w:tab w:val="left" w:pos="2160"/>
          <w:tab w:val="left" w:pos="2280"/>
        </w:tabs>
        <w:spacing w:line="240" w:lineRule="auto"/>
        <w:rPr>
          <w:rFonts w:cs="Arial"/>
          <w:sz w:val="22"/>
          <w:szCs w:val="22"/>
        </w:rPr>
      </w:pPr>
    </w:p>
    <w:p w:rsidR="00010ADA" w:rsidRDefault="007D5942">
      <w:pPr>
        <w:spacing w:line="240" w:lineRule="auto"/>
        <w:rPr>
          <w:rFonts w:cs="Arial"/>
          <w:b/>
          <w:smallCaps/>
          <w:sz w:val="22"/>
          <w:szCs w:val="22"/>
        </w:rPr>
      </w:pPr>
      <w:r>
        <w:rPr>
          <w:rFonts w:cs="Arial"/>
          <w:b/>
          <w:smallCaps/>
          <w:sz w:val="22"/>
          <w:szCs w:val="22"/>
        </w:rPr>
        <w:t>Attorney Examiners</w:t>
      </w:r>
    </w:p>
    <w:p w:rsidR="00010ADA" w:rsidRDefault="00010ADA">
      <w:pPr>
        <w:spacing w:after="120" w:line="240" w:lineRule="auto"/>
        <w:jc w:val="left"/>
        <w:rPr>
          <w:rFonts w:eastAsiaTheme="minorHAnsi" w:cs="Arial"/>
          <w:b/>
          <w:smallCaps/>
          <w:sz w:val="28"/>
          <w:szCs w:val="20"/>
        </w:rPr>
      </w:pPr>
    </w:p>
    <w:p w:rsidR="00010ADA" w:rsidRDefault="00010ADA"/>
    <w:sectPr w:rsidR="00010ADA">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DA" w:rsidRDefault="007D5942">
      <w:pPr>
        <w:spacing w:line="240" w:lineRule="auto"/>
      </w:pPr>
      <w:r>
        <w:separator/>
      </w:r>
    </w:p>
  </w:endnote>
  <w:endnote w:type="continuationSeparator" w:id="0">
    <w:p w:rsidR="00010ADA" w:rsidRDefault="007D5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EB" w:rsidRDefault="00EA5CE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pPr>
    <w:r w:rsidRPr="00EA5CEB">
      <w:rPr>
        <w:noProof/>
        <w:sz w:val="16"/>
      </w:rPr>
      <w:t>{C44049:3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pPr>
    <w:r w:rsidRPr="00EA5CEB">
      <w:rPr>
        <w:noProof/>
        <w:sz w:val="16"/>
      </w:rPr>
      <w:t>{C44049:3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pPr>
    <w:r w:rsidRPr="00EA5CEB">
      <w:rPr>
        <w:noProof/>
        <w:sz w:val="16"/>
      </w:rPr>
      <w:t>{C44049:3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Footer"/>
    </w:pPr>
  </w:p>
  <w:p w:rsidR="00010ADA" w:rsidRDefault="00010AD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pPr>
    <w:r w:rsidRPr="00EA5CEB">
      <w:rPr>
        <w:noProof/>
        <w:sz w:val="16"/>
      </w:rPr>
      <w:t>{C44049:3 }</w:t>
    </w:r>
    <w:r w:rsidR="007D5942">
      <w:rPr>
        <w:noProof/>
        <w:sz w:val="16"/>
      </w:rPr>
      <w:tab/>
    </w:r>
    <w:r w:rsidR="007D5942">
      <w:rPr>
        <w:noProof/>
        <w:sz w:val="22"/>
        <w:szCs w:val="22"/>
      </w:rPr>
      <w:fldChar w:fldCharType="begin"/>
    </w:r>
    <w:r w:rsidR="007D5942">
      <w:rPr>
        <w:noProof/>
        <w:sz w:val="22"/>
        <w:szCs w:val="22"/>
      </w:rPr>
      <w:instrText xml:space="preserve"> PAGE   \* MERGEFORMAT </w:instrText>
    </w:r>
    <w:r w:rsidR="007D5942">
      <w:rPr>
        <w:noProof/>
        <w:sz w:val="22"/>
        <w:szCs w:val="22"/>
      </w:rPr>
      <w:fldChar w:fldCharType="separate"/>
    </w:r>
    <w:r w:rsidR="00AA47C0">
      <w:rPr>
        <w:noProof/>
        <w:sz w:val="22"/>
        <w:szCs w:val="22"/>
      </w:rPr>
      <w:t>1</w:t>
    </w:r>
    <w:r w:rsidR="007D5942">
      <w:rPr>
        <w:noProof/>
        <w:sz w:val="22"/>
        <w:szCs w:val="22"/>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pPr>
    <w:r w:rsidRPr="00EA5CEB">
      <w:rPr>
        <w:noProof/>
        <w:sz w:val="16"/>
      </w:rPr>
      <w:t>{C44049:3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pPr>
    <w:r w:rsidRPr="00EA5CEB">
      <w:rPr>
        <w:noProof/>
        <w:sz w:val="16"/>
      </w:rPr>
      <w:t>{C44049:3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jc w:val="left"/>
    </w:pPr>
    <w:r w:rsidRPr="00EA5CEB">
      <w:rPr>
        <w:noProof/>
        <w:sz w:val="16"/>
      </w:rPr>
      <w:t>{C44049:3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tabs>
        <w:tab w:val="clear" w:pos="9360"/>
      </w:tabs>
      <w:jc w:val="left"/>
    </w:pPr>
    <w:r w:rsidRPr="00EA5CEB">
      <w:rPr>
        <w:noProof/>
        <w:sz w:val="16"/>
      </w:rPr>
      <w:t>{C44049:3 }</w:t>
    </w:r>
    <w:sdt>
      <w:sdtPr>
        <w:id w:val="-78916474"/>
        <w:docPartObj>
          <w:docPartGallery w:val="Page Numbers (Bottom of Page)"/>
          <w:docPartUnique/>
        </w:docPartObj>
      </w:sdtPr>
      <w:sdtEndPr>
        <w:rPr>
          <w:noProof/>
        </w:rPr>
      </w:sdtEndPr>
      <w:sdtContent>
        <w:r w:rsidR="007D5942">
          <w:tab/>
        </w:r>
        <w:r w:rsidR="007D5942">
          <w:rPr>
            <w:sz w:val="22"/>
            <w:szCs w:val="22"/>
          </w:rPr>
          <w:fldChar w:fldCharType="begin"/>
        </w:r>
        <w:r w:rsidR="007D5942">
          <w:rPr>
            <w:sz w:val="22"/>
            <w:szCs w:val="22"/>
          </w:rPr>
          <w:instrText xml:space="preserve"> PAGE   \* MERGEFORMAT </w:instrText>
        </w:r>
        <w:r w:rsidR="007D5942">
          <w:rPr>
            <w:sz w:val="22"/>
            <w:szCs w:val="22"/>
          </w:rPr>
          <w:fldChar w:fldCharType="separate"/>
        </w:r>
        <w:r w:rsidR="00CE4BE0">
          <w:rPr>
            <w:noProof/>
            <w:sz w:val="22"/>
            <w:szCs w:val="22"/>
          </w:rPr>
          <w:t>16</w:t>
        </w:r>
        <w:r w:rsidR="007D5942">
          <w:rPr>
            <w:noProof/>
            <w:sz w:val="22"/>
            <w:szCs w:val="22"/>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jc w:val="left"/>
    </w:pPr>
    <w:r w:rsidRPr="00EA5CEB">
      <w:rPr>
        <w:noProof/>
        <w:sz w:val="16"/>
      </w:rPr>
      <w:t>{C44049:3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pPr>
    <w:r w:rsidRPr="00EA5CEB">
      <w:rPr>
        <w:noProof/>
        <w:sz w:val="16"/>
      </w:rPr>
      <w:t>{C44049:3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pPr>
    <w:r w:rsidRPr="00EA5CEB">
      <w:rPr>
        <w:noProof/>
        <w:sz w:val="16"/>
      </w:rPr>
      <w:t>{C44049:3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EA5CEB">
    <w:pPr>
      <w:pStyle w:val="Footer"/>
    </w:pPr>
    <w:r w:rsidRPr="00EA5CEB">
      <w:rPr>
        <w:noProof/>
        <w:sz w:val="16"/>
      </w:rPr>
      <w:t>{C44049:3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DA" w:rsidRDefault="007D5942">
      <w:pPr>
        <w:spacing w:line="240" w:lineRule="auto"/>
        <w:rPr>
          <w:noProof/>
        </w:rPr>
      </w:pPr>
      <w:r>
        <w:rPr>
          <w:noProof/>
        </w:rPr>
        <w:separator/>
      </w:r>
    </w:p>
  </w:footnote>
  <w:footnote w:type="continuationSeparator" w:id="0">
    <w:p w:rsidR="00010ADA" w:rsidRDefault="007D5942">
      <w:pPr>
        <w:spacing w:line="240" w:lineRule="auto"/>
      </w:pPr>
      <w:r>
        <w:continuationSeparator/>
      </w:r>
    </w:p>
  </w:footnote>
  <w:footnote w:id="1">
    <w:p w:rsidR="00010ADA" w:rsidRDefault="007D5942">
      <w:pPr>
        <w:pStyle w:val="FootnoteText"/>
        <w:rPr>
          <w:rFonts w:cs="Arial"/>
        </w:rPr>
      </w:pPr>
      <w:r>
        <w:rPr>
          <w:rStyle w:val="FootnoteReference"/>
          <w:rFonts w:cs="Arial"/>
        </w:rPr>
        <w:footnoteRef/>
      </w:r>
      <w:r>
        <w:rPr>
          <w:rStyle w:val="FootnoteReference"/>
          <w:rFonts w:cs="Arial"/>
        </w:rPr>
        <w:footnoteRef/>
      </w:r>
      <w:r>
        <w:rPr>
          <w:rFonts w:cs="Arial"/>
        </w:rPr>
        <w:t xml:space="preserve"> </w:t>
      </w:r>
      <w:proofErr w:type="gramStart"/>
      <w:r>
        <w:rPr>
          <w:rFonts w:cs="Arial"/>
        </w:rPr>
        <w:t>Application of The Dayton Power and Light Company to Transfer or Sell Its Generation Assets (</w:t>
      </w:r>
      <w:r w:rsidR="00F20C51">
        <w:rPr>
          <w:rFonts w:cs="Arial"/>
        </w:rPr>
        <w:t>Dec. </w:t>
      </w:r>
      <w:r>
        <w:rPr>
          <w:rFonts w:cs="Arial"/>
        </w:rPr>
        <w:t>30, 2013) (hereinafter “Application”).</w:t>
      </w:r>
      <w:proofErr w:type="gramEnd"/>
    </w:p>
  </w:footnote>
  <w:footnote w:id="2">
    <w:p w:rsidR="00010ADA" w:rsidRDefault="007D5942">
      <w:pPr>
        <w:pStyle w:val="FootnoteText"/>
        <w:rPr>
          <w:rFonts w:cs="Arial"/>
        </w:rPr>
      </w:pPr>
      <w:r>
        <w:rPr>
          <w:rStyle w:val="FootnoteReference"/>
          <w:rFonts w:cs="Arial"/>
        </w:rPr>
        <w:footnoteRef/>
      </w:r>
      <w:r>
        <w:rPr>
          <w:rFonts w:cs="Arial"/>
        </w:rPr>
        <w:t xml:space="preserve"> </w:t>
      </w:r>
      <w:proofErr w:type="gramStart"/>
      <w:r>
        <w:rPr>
          <w:rFonts w:cs="Arial"/>
        </w:rPr>
        <w:t>Supplemental Application of The Dayton Power and Light Company to Transfer or Sell Its Generation Assets (</w:t>
      </w:r>
      <w:r w:rsidR="00F20C51">
        <w:rPr>
          <w:rFonts w:cs="Arial"/>
        </w:rPr>
        <w:t>Feb.</w:t>
      </w:r>
      <w:r>
        <w:rPr>
          <w:rFonts w:cs="Arial"/>
        </w:rPr>
        <w:t> 25, 2014) (hereinafter “Supplemental Application”).</w:t>
      </w:r>
      <w:proofErr w:type="gramEnd"/>
    </w:p>
  </w:footnote>
  <w:footnote w:id="3">
    <w:p w:rsidR="00010ADA" w:rsidRDefault="007D5942">
      <w:pPr>
        <w:pStyle w:val="FootnoteText"/>
        <w:rPr>
          <w:rFonts w:cs="Arial"/>
        </w:rPr>
      </w:pPr>
      <w:r>
        <w:rPr>
          <w:rStyle w:val="FootnoteReference"/>
          <w:rFonts w:cs="Arial"/>
        </w:rPr>
        <w:footnoteRef/>
      </w:r>
      <w:r>
        <w:rPr>
          <w:rFonts w:cs="Arial"/>
        </w:rPr>
        <w:t xml:space="preserve"> Rule 4901:1-37-09(C</w:t>
      </w:r>
      <w:proofErr w:type="gramStart"/>
      <w:r>
        <w:rPr>
          <w:rFonts w:cs="Arial"/>
        </w:rPr>
        <w:t>)(</w:t>
      </w:r>
      <w:proofErr w:type="gramEnd"/>
      <w:r>
        <w:rPr>
          <w:rFonts w:cs="Arial"/>
        </w:rPr>
        <w:t>1), O.A.C.</w:t>
      </w:r>
    </w:p>
  </w:footnote>
  <w:footnote w:id="4">
    <w:p w:rsidR="00010ADA" w:rsidRDefault="007D5942">
      <w:pPr>
        <w:pStyle w:val="FootnoteText"/>
        <w:rPr>
          <w:rFonts w:cs="Arial"/>
        </w:rPr>
      </w:pPr>
      <w:r>
        <w:rPr>
          <w:rStyle w:val="FootnoteReference"/>
          <w:rFonts w:cs="Arial"/>
        </w:rPr>
        <w:footnoteRef/>
      </w:r>
      <w:r>
        <w:rPr>
          <w:rFonts w:cs="Arial"/>
        </w:rPr>
        <w:t xml:space="preserve"> </w:t>
      </w:r>
      <w:proofErr w:type="gramStart"/>
      <w:r>
        <w:rPr>
          <w:rFonts w:cs="Arial"/>
        </w:rPr>
        <w:t>Amended Supplemental Application at 2, 6.</w:t>
      </w:r>
      <w:proofErr w:type="gramEnd"/>
    </w:p>
  </w:footnote>
  <w:footnote w:id="5">
    <w:p w:rsidR="00010ADA" w:rsidRDefault="007D5942">
      <w:pPr>
        <w:pStyle w:val="FootnoteText"/>
        <w:rPr>
          <w:rFonts w:cs="Arial"/>
        </w:rPr>
      </w:pPr>
      <w:r>
        <w:rPr>
          <w:rStyle w:val="FootnoteReference"/>
          <w:rFonts w:cs="Arial"/>
        </w:rPr>
        <w:footnoteRef/>
      </w:r>
      <w:r>
        <w:rPr>
          <w:rFonts w:cs="Arial"/>
        </w:rPr>
        <w:t xml:space="preserve"> </w:t>
      </w:r>
      <w:proofErr w:type="gramStart"/>
      <w:r>
        <w:rPr>
          <w:rFonts w:cs="Arial"/>
          <w:i/>
        </w:rPr>
        <w:t>Id</w:t>
      </w:r>
      <w:r>
        <w:rPr>
          <w:rFonts w:cs="Arial"/>
        </w:rPr>
        <w:t>. at 7.</w:t>
      </w:r>
      <w:proofErr w:type="gramEnd"/>
    </w:p>
  </w:footnote>
  <w:footnote w:id="6">
    <w:p w:rsidR="00010ADA" w:rsidRDefault="007D5942">
      <w:pPr>
        <w:pStyle w:val="FootnoteText"/>
        <w:rPr>
          <w:rFonts w:cs="Arial"/>
        </w:rPr>
      </w:pPr>
      <w:r>
        <w:rPr>
          <w:rStyle w:val="FootnoteReference"/>
          <w:rFonts w:cs="Arial"/>
        </w:rPr>
        <w:footnoteRef/>
      </w:r>
      <w:r>
        <w:rPr>
          <w:rFonts w:cs="Arial"/>
        </w:rPr>
        <w:t xml:space="preserve"> </w:t>
      </w:r>
      <w:proofErr w:type="gramStart"/>
      <w:r>
        <w:rPr>
          <w:rFonts w:cs="Arial"/>
          <w:i/>
        </w:rPr>
        <w:t>Id</w:t>
      </w:r>
      <w:r>
        <w:rPr>
          <w:rFonts w:cs="Arial"/>
        </w:rPr>
        <w:t>. at 6.</w:t>
      </w:r>
      <w:proofErr w:type="gramEnd"/>
    </w:p>
  </w:footnote>
  <w:footnote w:id="7">
    <w:p w:rsidR="00010ADA" w:rsidRDefault="007D5942">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11-12.</w:t>
      </w:r>
    </w:p>
  </w:footnote>
  <w:footnote w:id="8">
    <w:p w:rsidR="00010ADA" w:rsidRDefault="007D5942">
      <w:pPr>
        <w:pStyle w:val="FootnoteText"/>
        <w:rPr>
          <w:rFonts w:cs="Arial"/>
        </w:rPr>
      </w:pPr>
      <w:r>
        <w:rPr>
          <w:rStyle w:val="FootnoteReference"/>
          <w:rFonts w:cs="Arial"/>
        </w:rPr>
        <w:footnoteRef/>
      </w:r>
      <w:r>
        <w:rPr>
          <w:rFonts w:cs="Arial"/>
        </w:rPr>
        <w:t xml:space="preserve"> </w:t>
      </w:r>
      <w:r>
        <w:rPr>
          <w:rFonts w:cs="Arial"/>
          <w:i/>
        </w:rPr>
        <w:t>Id</w:t>
      </w:r>
      <w:r>
        <w:rPr>
          <w:rFonts w:cs="Arial"/>
        </w:rPr>
        <w:t>. at 13-14.</w:t>
      </w:r>
    </w:p>
  </w:footnote>
  <w:footnote w:id="9">
    <w:p w:rsidR="00010ADA" w:rsidRDefault="007D5942">
      <w:pPr>
        <w:pStyle w:val="FootnoteText"/>
        <w:rPr>
          <w:rFonts w:cs="Arial"/>
        </w:rPr>
      </w:pPr>
      <w:r>
        <w:rPr>
          <w:rStyle w:val="FootnoteReference"/>
          <w:rFonts w:cs="Arial"/>
        </w:rPr>
        <w:footnoteRef/>
      </w:r>
      <w:r>
        <w:rPr>
          <w:rFonts w:cs="Arial"/>
        </w:rPr>
        <w:t xml:space="preserve"> </w:t>
      </w:r>
      <w:r>
        <w:rPr>
          <w:rFonts w:cs="Arial"/>
          <w:i/>
        </w:rPr>
        <w:t>Id.</w:t>
      </w:r>
    </w:p>
  </w:footnote>
  <w:footnote w:id="10">
    <w:p w:rsidR="00010ADA" w:rsidRDefault="007D5942">
      <w:pPr>
        <w:pStyle w:val="FootnoteText"/>
        <w:rPr>
          <w:rFonts w:cs="Arial"/>
        </w:rPr>
      </w:pPr>
      <w:r>
        <w:rPr>
          <w:rStyle w:val="FootnoteReference"/>
          <w:rFonts w:cs="Arial"/>
        </w:rPr>
        <w:footnoteRef/>
      </w:r>
      <w:r>
        <w:rPr>
          <w:rFonts w:cs="Arial"/>
        </w:rPr>
        <w:t xml:space="preserve"> In the East Bend Application, DP&amp;L included the proposed transferee, the sale price, the debt that DP&amp;L proposes to retain, and the debt that DP&amp;L proposes to transfer.  In total, the East Bend Application, which addresses only one of DP&amp;L’s generating units, totals 114 pages; DP&amp;L’s Amended Supplemental Application addressing the proposed divestiture of all of DP&amp;L’s generating units totals 12 pages.</w:t>
      </w:r>
    </w:p>
  </w:footnote>
  <w:footnote w:id="11">
    <w:p w:rsidR="00010ADA" w:rsidRDefault="007D5942">
      <w:pPr>
        <w:pStyle w:val="FootnoteText"/>
        <w:rPr>
          <w:rFonts w:cs="Arial"/>
        </w:rPr>
      </w:pPr>
      <w:r>
        <w:rPr>
          <w:rStyle w:val="FootnoteReference"/>
          <w:rFonts w:cs="Arial"/>
        </w:rPr>
        <w:footnoteRef/>
      </w:r>
      <w:r>
        <w:rPr>
          <w:rFonts w:cs="Arial"/>
        </w:rPr>
        <w:t xml:space="preserve"> For instance, in this proceeding, DP&amp;L requested authority to retain all of the environmental liabilities associated with its generating units.  In the East Bend Application, DP&amp;L has proposed, and Duke Kentucky has agreed to assume, all of the environmental liabilities associated with the East Bend Unit.  </w:t>
      </w:r>
    </w:p>
  </w:footnote>
  <w:footnote w:id="12">
    <w:p w:rsidR="00010ADA" w:rsidRDefault="007D5942">
      <w:pPr>
        <w:pStyle w:val="FootnoteText"/>
        <w:rPr>
          <w:rFonts w:cs="Arial"/>
        </w:rPr>
      </w:pPr>
      <w:r>
        <w:rPr>
          <w:rStyle w:val="FootnoteReference"/>
          <w:rFonts w:cs="Arial"/>
        </w:rPr>
        <w:footnoteRef/>
      </w:r>
      <w:r>
        <w:rPr>
          <w:rFonts w:cs="Arial"/>
        </w:rPr>
        <w:t xml:space="preserve"> Rule 4901:1-37-09(C</w:t>
      </w:r>
      <w:proofErr w:type="gramStart"/>
      <w:r>
        <w:rPr>
          <w:rFonts w:cs="Arial"/>
        </w:rPr>
        <w:t>)(</w:t>
      </w:r>
      <w:proofErr w:type="gramEnd"/>
      <w:r>
        <w:rPr>
          <w:rFonts w:cs="Arial"/>
        </w:rPr>
        <w:t>2), O.A.C.</w:t>
      </w:r>
    </w:p>
  </w:footnote>
  <w:footnote w:id="13">
    <w:p w:rsidR="00010ADA" w:rsidRDefault="007D5942">
      <w:pPr>
        <w:pStyle w:val="FootnoteText"/>
        <w:rPr>
          <w:rFonts w:cs="Arial"/>
        </w:rPr>
      </w:pPr>
      <w:r>
        <w:rPr>
          <w:rStyle w:val="FootnoteReference"/>
          <w:rFonts w:cs="Arial"/>
        </w:rPr>
        <w:footnoteRef/>
      </w:r>
      <w:r>
        <w:rPr>
          <w:rFonts w:cs="Arial"/>
        </w:rPr>
        <w:t xml:space="preserve"> Rule 4901:1-37-09(C</w:t>
      </w:r>
      <w:proofErr w:type="gramStart"/>
      <w:r>
        <w:rPr>
          <w:rFonts w:cs="Arial"/>
        </w:rPr>
        <w:t>)(</w:t>
      </w:r>
      <w:proofErr w:type="gramEnd"/>
      <w:r>
        <w:rPr>
          <w:rFonts w:cs="Arial"/>
        </w:rPr>
        <w:t>3), O.A.C.</w:t>
      </w:r>
    </w:p>
  </w:footnote>
  <w:footnote w:id="14">
    <w:p w:rsidR="00010ADA" w:rsidRDefault="007D5942">
      <w:pPr>
        <w:pStyle w:val="FootnoteText"/>
        <w:rPr>
          <w:rFonts w:cs="Arial"/>
        </w:rPr>
      </w:pPr>
      <w:r>
        <w:rPr>
          <w:rStyle w:val="FootnoteReference"/>
          <w:rFonts w:cs="Arial"/>
        </w:rPr>
        <w:footnoteRef/>
      </w:r>
      <w:r>
        <w:rPr>
          <w:rFonts w:cs="Arial"/>
        </w:rPr>
        <w:t xml:space="preserve"> </w:t>
      </w:r>
      <w:proofErr w:type="gramStart"/>
      <w:r>
        <w:rPr>
          <w:rFonts w:cs="Arial"/>
        </w:rPr>
        <w:t>Amended Supplemental Application at 17.</w:t>
      </w:r>
      <w:proofErr w:type="gramEnd"/>
      <w:r>
        <w:rPr>
          <w:rFonts w:cs="Arial"/>
        </w:rPr>
        <w:t xml:space="preserve">  </w:t>
      </w:r>
    </w:p>
  </w:footnote>
  <w:footnote w:id="15">
    <w:p w:rsidR="00010ADA" w:rsidRDefault="007D5942">
      <w:pPr>
        <w:pStyle w:val="FootnoteText"/>
        <w:rPr>
          <w:rFonts w:cs="Arial"/>
        </w:rPr>
      </w:pPr>
      <w:r>
        <w:rPr>
          <w:rStyle w:val="FootnoteReference"/>
          <w:rFonts w:cs="Arial"/>
        </w:rPr>
        <w:footnoteRef/>
      </w:r>
      <w:r>
        <w:rPr>
          <w:rFonts w:cs="Arial"/>
        </w:rPr>
        <w:t xml:space="preserve"> </w:t>
      </w:r>
      <w:r>
        <w:rPr>
          <w:rFonts w:cs="Arial"/>
          <w:i/>
        </w:rPr>
        <w:t>Id</w:t>
      </w:r>
      <w:r>
        <w:rPr>
          <w:rFonts w:cs="Arial"/>
        </w:rPr>
        <w:t>.</w:t>
      </w:r>
    </w:p>
  </w:footnote>
  <w:footnote w:id="16">
    <w:p w:rsidR="00010ADA" w:rsidRDefault="007D5942">
      <w:pPr>
        <w:pStyle w:val="FootnoteText"/>
        <w:rPr>
          <w:rFonts w:cs="Arial"/>
        </w:rPr>
      </w:pPr>
      <w:r>
        <w:rPr>
          <w:rStyle w:val="FootnoteReference"/>
          <w:rFonts w:cs="Arial"/>
        </w:rPr>
        <w:footnoteRef/>
      </w:r>
      <w:r>
        <w:rPr>
          <w:rFonts w:cs="Arial"/>
        </w:rPr>
        <w:t xml:space="preserve"> </w:t>
      </w:r>
      <w:r>
        <w:rPr>
          <w:rFonts w:cs="Arial"/>
          <w:i/>
        </w:rPr>
        <w:t>Id</w:t>
      </w:r>
      <w:r>
        <w:rPr>
          <w:rFonts w:cs="Arial"/>
        </w:rPr>
        <w:t>. at 1-2.</w:t>
      </w:r>
    </w:p>
  </w:footnote>
  <w:footnote w:id="17">
    <w:p w:rsidR="00010ADA" w:rsidRDefault="007D5942">
      <w:pPr>
        <w:pStyle w:val="FootnoteText"/>
        <w:rPr>
          <w:rFonts w:cs="Arial"/>
        </w:rPr>
      </w:pPr>
      <w:r>
        <w:rPr>
          <w:rStyle w:val="FootnoteReference"/>
          <w:rFonts w:cs="Arial"/>
        </w:rPr>
        <w:footnoteRef/>
      </w:r>
      <w:r>
        <w:rPr>
          <w:rFonts w:cs="Arial"/>
        </w:rPr>
        <w:t xml:space="preserve"> </w:t>
      </w:r>
      <w:proofErr w:type="gramStart"/>
      <w:r>
        <w:rPr>
          <w:rFonts w:cs="Arial"/>
          <w:i/>
        </w:rPr>
        <w:t>Id.</w:t>
      </w:r>
      <w:r>
        <w:rPr>
          <w:rFonts w:cs="Arial"/>
        </w:rPr>
        <w:t xml:space="preserve"> at 2, 7.</w:t>
      </w:r>
      <w:proofErr w:type="gramEnd"/>
    </w:p>
  </w:footnote>
  <w:footnote w:id="18">
    <w:p w:rsidR="00010ADA" w:rsidRDefault="007D5942">
      <w:pPr>
        <w:pStyle w:val="FootnoteText"/>
        <w:rPr>
          <w:rFonts w:cs="Arial"/>
        </w:rPr>
      </w:pPr>
      <w:r>
        <w:rPr>
          <w:rStyle w:val="FootnoteReference"/>
          <w:rFonts w:cs="Arial"/>
        </w:rPr>
        <w:footnoteRef/>
      </w:r>
      <w:r>
        <w:rPr>
          <w:rFonts w:cs="Arial"/>
        </w:rPr>
        <w:t xml:space="preserve"> </w:t>
      </w:r>
      <w:proofErr w:type="gramStart"/>
      <w:r>
        <w:rPr>
          <w:rFonts w:cs="Arial"/>
          <w:i/>
        </w:rPr>
        <w:t>Id</w:t>
      </w:r>
      <w:r>
        <w:rPr>
          <w:rFonts w:cs="Arial"/>
        </w:rPr>
        <w:t>. at 10.</w:t>
      </w:r>
      <w:proofErr w:type="gramEnd"/>
    </w:p>
  </w:footnote>
  <w:footnote w:id="19">
    <w:p w:rsidR="00010ADA" w:rsidRDefault="007D5942">
      <w:pPr>
        <w:pStyle w:val="FootnoteText"/>
        <w:rPr>
          <w:rFonts w:cs="Arial"/>
        </w:rPr>
      </w:pPr>
      <w:r>
        <w:rPr>
          <w:rStyle w:val="FootnoteReference"/>
          <w:rFonts w:cs="Arial"/>
        </w:rPr>
        <w:footnoteRef/>
      </w:r>
      <w:r>
        <w:rPr>
          <w:rFonts w:cs="Arial"/>
        </w:rPr>
        <w:t xml:space="preserve"> </w:t>
      </w:r>
      <w:r>
        <w:rPr>
          <w:rFonts w:cs="Arial"/>
          <w:i/>
        </w:rPr>
        <w:t xml:space="preserve">Id. </w:t>
      </w:r>
    </w:p>
  </w:footnote>
  <w:footnote w:id="20">
    <w:p w:rsidR="00010ADA" w:rsidRDefault="007D5942">
      <w:pPr>
        <w:pStyle w:val="FootnoteText"/>
      </w:pPr>
      <w:r>
        <w:rPr>
          <w:rStyle w:val="FootnoteReference"/>
        </w:rPr>
        <w:footnoteRef/>
      </w:r>
      <w:r>
        <w:t xml:space="preserve"> Comments of Industrial Energy Users-Ohio at 7-8 (Mar. 25, 2014).</w:t>
      </w:r>
    </w:p>
  </w:footnote>
  <w:footnote w:id="21">
    <w:p w:rsidR="00010ADA" w:rsidRDefault="007D5942">
      <w:pPr>
        <w:pStyle w:val="FootnoteText"/>
      </w:pPr>
      <w:r>
        <w:rPr>
          <w:rStyle w:val="FootnoteReference"/>
        </w:rPr>
        <w:footnoteRef/>
      </w:r>
      <w:r>
        <w:t xml:space="preserve"> DP&amp;L’s Fourth Supplemental Responses to OCC </w:t>
      </w:r>
      <w:r w:rsidR="002D42BB">
        <w:t>1</w:t>
      </w:r>
      <w:r>
        <w:t>-79 (see Attachment A).</w:t>
      </w:r>
    </w:p>
  </w:footnote>
  <w:footnote w:id="22">
    <w:p w:rsidR="00010ADA" w:rsidRDefault="007D5942">
      <w:pPr>
        <w:pStyle w:val="FootnoteText"/>
        <w:rPr>
          <w:i/>
        </w:rPr>
      </w:pPr>
      <w:r>
        <w:rPr>
          <w:rStyle w:val="FootnoteReference"/>
        </w:rPr>
        <w:footnoteRef/>
      </w:r>
      <w:r>
        <w:t xml:space="preserve"> </w:t>
      </w:r>
      <w:r>
        <w:rPr>
          <w:i/>
        </w:rPr>
        <w:t>Id.</w:t>
      </w:r>
    </w:p>
  </w:footnote>
  <w:footnote w:id="23">
    <w:p w:rsidR="00010ADA" w:rsidRDefault="007D5942">
      <w:pPr>
        <w:pStyle w:val="FootnoteText"/>
        <w:rPr>
          <w:rFonts w:cs="Arial"/>
        </w:rPr>
      </w:pPr>
      <w:r>
        <w:rPr>
          <w:rStyle w:val="FootnoteReference"/>
          <w:rFonts w:cs="Arial"/>
        </w:rPr>
        <w:footnoteRef/>
      </w:r>
      <w:r>
        <w:rPr>
          <w:rFonts w:cs="Arial"/>
        </w:rPr>
        <w:t xml:space="preserve"> Amended Supplemental Application at 11-12.</w:t>
      </w:r>
    </w:p>
  </w:footnote>
  <w:footnote w:id="24">
    <w:p w:rsidR="00010ADA" w:rsidRDefault="007D5942">
      <w:pPr>
        <w:pStyle w:val="FootnoteText"/>
        <w:rPr>
          <w:rFonts w:cs="Arial"/>
        </w:rPr>
      </w:pPr>
      <w:r>
        <w:rPr>
          <w:rStyle w:val="FootnoteReference"/>
          <w:rFonts w:cs="Arial"/>
        </w:rPr>
        <w:footnoteRef/>
      </w:r>
      <w:r>
        <w:rPr>
          <w:rFonts w:cs="Arial"/>
        </w:rPr>
        <w:t xml:space="preserve"> </w:t>
      </w:r>
      <w:proofErr w:type="gramStart"/>
      <w:r>
        <w:rPr>
          <w:rFonts w:cs="Arial"/>
          <w:i/>
        </w:rPr>
        <w:t xml:space="preserve">Id. </w:t>
      </w:r>
      <w:r>
        <w:rPr>
          <w:rFonts w:cs="Arial"/>
        </w:rPr>
        <w:t>at 14.</w:t>
      </w:r>
      <w:proofErr w:type="gramEnd"/>
      <w:r>
        <w:rPr>
          <w:rFonts w:cs="Arial"/>
        </w:rPr>
        <w:t xml:space="preserve">  In discovery, DP&amp;L indicated it was recovering approximately $2 million per month related to OVEC through its fuel rider.  DP&amp;L’s Fourth Supplemental Response to OCC 1-30</w:t>
      </w:r>
      <w:r>
        <w:t xml:space="preserve"> (see Attachment A)</w:t>
      </w:r>
      <w:r>
        <w:rPr>
          <w:rFonts w:cs="Arial"/>
        </w:rPr>
        <w:t>.</w:t>
      </w:r>
    </w:p>
  </w:footnote>
  <w:footnote w:id="25">
    <w:p w:rsidR="00010ADA" w:rsidRDefault="007D5942">
      <w:pPr>
        <w:pStyle w:val="FootnoteText"/>
        <w:rPr>
          <w:rFonts w:cs="Arial"/>
          <w:i/>
        </w:rPr>
      </w:pPr>
      <w:r>
        <w:rPr>
          <w:rStyle w:val="FootnoteReference"/>
          <w:rFonts w:cs="Arial"/>
        </w:rPr>
        <w:footnoteRef/>
      </w:r>
      <w:r>
        <w:rPr>
          <w:rFonts w:cs="Arial"/>
        </w:rPr>
        <w:t xml:space="preserve"> Amended Supplemental Application at 13-14.</w:t>
      </w:r>
    </w:p>
  </w:footnote>
  <w:footnote w:id="26">
    <w:p w:rsidR="00010ADA" w:rsidRDefault="007D5942">
      <w:pPr>
        <w:pStyle w:val="FootnoteText"/>
      </w:pPr>
      <w:r>
        <w:rPr>
          <w:rStyle w:val="FootnoteReference"/>
        </w:rPr>
        <w:footnoteRef/>
      </w:r>
      <w:r>
        <w:t xml:space="preserve"> Comments of Industrial Energy Users-Ohio at 14-18 (Mar. 25, 2014).</w:t>
      </w:r>
    </w:p>
  </w:footnote>
  <w:footnote w:id="27">
    <w:p w:rsidR="00010ADA" w:rsidRDefault="007D5942">
      <w:pPr>
        <w:pStyle w:val="FootnoteText"/>
      </w:pPr>
      <w:r>
        <w:rPr>
          <w:rStyle w:val="FootnoteReference"/>
        </w:rPr>
        <w:footnoteRef/>
      </w:r>
      <w:r>
        <w:t xml:space="preserve"> DP&amp;L’s Fourth Supplemental Response to OCC 1-24 (see Attachment A).</w:t>
      </w:r>
    </w:p>
  </w:footnote>
  <w:footnote w:id="28">
    <w:p w:rsidR="00010ADA" w:rsidRDefault="007D5942">
      <w:pPr>
        <w:pStyle w:val="FootnoteText"/>
      </w:pPr>
      <w:r>
        <w:rPr>
          <w:rStyle w:val="FootnoteReference"/>
        </w:rPr>
        <w:footnoteRef/>
      </w:r>
      <w:r>
        <w:t xml:space="preserve"> DP&amp;L’s Fourth Supplemental Response to OCC 1-33 (see Attachment A).</w:t>
      </w:r>
    </w:p>
  </w:footnote>
  <w:footnote w:id="29">
    <w:p w:rsidR="00010ADA" w:rsidRDefault="007D5942">
      <w:pPr>
        <w:pStyle w:val="FootnoteText"/>
      </w:pPr>
      <w:r>
        <w:rPr>
          <w:rStyle w:val="FootnoteReference"/>
        </w:rPr>
        <w:footnoteRef/>
      </w:r>
      <w:r>
        <w:t xml:space="preserve"> A copy of the ICPA was attached to IEU-Ohio’s March 25, 2014 Comments.</w:t>
      </w:r>
    </w:p>
  </w:footnote>
  <w:footnote w:id="30">
    <w:p w:rsidR="00010ADA" w:rsidRDefault="007D5942">
      <w:pPr>
        <w:pStyle w:val="FootnoteText"/>
      </w:pPr>
      <w:r>
        <w:rPr>
          <w:rStyle w:val="FootnoteReference"/>
        </w:rPr>
        <w:footnoteRef/>
      </w:r>
      <w:r>
        <w:t xml:space="preserve"> DP&amp;L’s Supplemental Response to OCC 1-74 (see Attachment A).</w:t>
      </w:r>
    </w:p>
  </w:footnote>
  <w:footnote w:id="31">
    <w:p w:rsidR="00010ADA" w:rsidRDefault="007D5942">
      <w:pPr>
        <w:pStyle w:val="FootnoteText"/>
      </w:pPr>
      <w:r>
        <w:rPr>
          <w:rStyle w:val="FootnoteReference"/>
        </w:rPr>
        <w:footnoteRef/>
      </w:r>
      <w:r>
        <w:t xml:space="preserve"> </w:t>
      </w:r>
      <w:proofErr w:type="gramStart"/>
      <w:r>
        <w:t>Amended Supplemental Application at 12.</w:t>
      </w:r>
      <w:proofErr w:type="gramEnd"/>
    </w:p>
  </w:footnote>
  <w:footnote w:id="32">
    <w:p w:rsidR="00010ADA" w:rsidRDefault="007D5942">
      <w:pPr>
        <w:pStyle w:val="FootnoteText"/>
      </w:pPr>
      <w:r>
        <w:rPr>
          <w:rStyle w:val="FootnoteReference"/>
        </w:rPr>
        <w:footnoteRef/>
      </w:r>
      <w:r>
        <w:t xml:space="preserve"> </w:t>
      </w:r>
      <w:proofErr w:type="gramStart"/>
      <w:r>
        <w:rPr>
          <w:i/>
        </w:rPr>
        <w:t>Id.</w:t>
      </w:r>
      <w:r>
        <w:t xml:space="preserve"> at 13.</w:t>
      </w:r>
      <w:proofErr w:type="gramEnd"/>
    </w:p>
  </w:footnote>
  <w:footnote w:id="33">
    <w:p w:rsidR="00010ADA" w:rsidRDefault="007D5942">
      <w:pPr>
        <w:pStyle w:val="FootnoteText"/>
      </w:pPr>
      <w:r>
        <w:rPr>
          <w:rStyle w:val="FootnoteReference"/>
        </w:rPr>
        <w:footnoteRef/>
      </w:r>
      <w:r>
        <w:t xml:space="preserve"> </w:t>
      </w:r>
      <w:r>
        <w:rPr>
          <w:i/>
        </w:rPr>
        <w:t xml:space="preserve">See </w:t>
      </w:r>
      <w:r>
        <w:t>Comments of Industrial Energy Users-Ohio at 9-12 (Mar. 25, 2014) (there is no lawful basis to establish such a charge under Ohio law).</w:t>
      </w:r>
    </w:p>
  </w:footnote>
  <w:footnote w:id="34">
    <w:p w:rsidR="00010ADA" w:rsidRDefault="007D5942">
      <w:pPr>
        <w:pStyle w:val="FootnoteText"/>
        <w:rPr>
          <w:rFonts w:cs="Arial"/>
        </w:rPr>
      </w:pPr>
      <w:r>
        <w:rPr>
          <w:rStyle w:val="FootnoteReference"/>
          <w:rFonts w:cs="Arial"/>
        </w:rPr>
        <w:footnoteRef/>
      </w:r>
      <w:r>
        <w:rPr>
          <w:rFonts w:cs="Arial"/>
        </w:rPr>
        <w:t xml:space="preserve"> </w:t>
      </w:r>
      <w:proofErr w:type="gramStart"/>
      <w:r>
        <w:rPr>
          <w:rFonts w:cs="Arial"/>
        </w:rPr>
        <w:t>Amended Supplemental Application at 18.</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EB" w:rsidRDefault="00EA5C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p w:rsidR="00010ADA" w:rsidRDefault="00010AD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p w:rsidR="00010ADA" w:rsidRDefault="00010AD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EB" w:rsidRDefault="00EA5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EB" w:rsidRDefault="00EA5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DA" w:rsidRDefault="00010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02A63BFD"/>
    <w:multiLevelType w:val="multilevel"/>
    <w:tmpl w:val="193EA500"/>
    <w:lvl w:ilvl="0">
      <w:start w:val="1"/>
      <w:numFmt w:val="upperRoman"/>
      <w:pStyle w:val="S2Heading1"/>
      <w:lvlText w:val="%1."/>
      <w:lvlJc w:val="left"/>
      <w:pPr>
        <w:tabs>
          <w:tab w:val="num" w:pos="720"/>
        </w:tabs>
        <w:ind w:left="720" w:hanging="720"/>
      </w:pPr>
      <w:rPr>
        <w:b/>
        <w:caps w:val="0"/>
        <w:vanish w:val="0"/>
        <w:color w:val="010000"/>
        <w:u w:val="none"/>
      </w:rPr>
    </w:lvl>
    <w:lvl w:ilvl="1">
      <w:start w:val="1"/>
      <w:numFmt w:val="upperLetter"/>
      <w:pStyle w:val="S2Heading2"/>
      <w:lvlText w:val="%2."/>
      <w:lvlJc w:val="left"/>
      <w:pPr>
        <w:tabs>
          <w:tab w:val="num" w:pos="1440"/>
        </w:tabs>
        <w:ind w:left="1440" w:hanging="720"/>
      </w:pPr>
      <w:rPr>
        <w:b/>
        <w:caps w:val="0"/>
        <w:vanish w:val="0"/>
        <w:color w:val="010000"/>
        <w:u w:val="none"/>
      </w:rPr>
    </w:lvl>
    <w:lvl w:ilvl="2">
      <w:start w:val="1"/>
      <w:numFmt w:val="decimal"/>
      <w:pStyle w:val="S2Heading3"/>
      <w:lvlText w:val="%3."/>
      <w:lvlJc w:val="left"/>
      <w:pPr>
        <w:tabs>
          <w:tab w:val="num" w:pos="2160"/>
        </w:tabs>
        <w:ind w:left="2160" w:hanging="720"/>
      </w:pPr>
      <w:rPr>
        <w:b/>
        <w:i w:val="0"/>
        <w:caps w:val="0"/>
        <w:vanish w:val="0"/>
        <w:color w:val="010000"/>
        <w:u w:val="none"/>
      </w:rPr>
    </w:lvl>
    <w:lvl w:ilvl="3">
      <w:start w:val="1"/>
      <w:numFmt w:val="lowerLetter"/>
      <w:pStyle w:val="S2Heading4"/>
      <w:lvlText w:val="%4."/>
      <w:lvlJc w:val="left"/>
      <w:pPr>
        <w:tabs>
          <w:tab w:val="num" w:pos="2880"/>
        </w:tabs>
        <w:ind w:left="2880" w:hanging="720"/>
      </w:pPr>
      <w:rPr>
        <w:b/>
        <w:i/>
        <w:caps w:val="0"/>
        <w:vanish w:val="0"/>
        <w:color w:val="010000"/>
        <w:u w:val="none"/>
      </w:rPr>
    </w:lvl>
    <w:lvl w:ilvl="4">
      <w:start w:val="1"/>
      <w:numFmt w:val="lowerRoman"/>
      <w:pStyle w:val="S2Heading5"/>
      <w:lvlText w:val="%5."/>
      <w:lvlJc w:val="left"/>
      <w:pPr>
        <w:tabs>
          <w:tab w:val="num" w:pos="3600"/>
        </w:tabs>
        <w:ind w:left="3600" w:hanging="720"/>
      </w:pPr>
      <w:rPr>
        <w:caps w:val="0"/>
        <w:vanish w:val="0"/>
        <w:color w:val="010000"/>
        <w:u w:val="none"/>
      </w:rPr>
    </w:lvl>
    <w:lvl w:ilvl="5">
      <w:start w:val="1"/>
      <w:numFmt w:val="lowerLetter"/>
      <w:pStyle w:val="S2Heading6"/>
      <w:lvlText w:val="(%6)"/>
      <w:lvlJc w:val="left"/>
      <w:pPr>
        <w:tabs>
          <w:tab w:val="num" w:pos="4320"/>
        </w:tabs>
        <w:ind w:left="4320" w:hanging="720"/>
      </w:pPr>
      <w:rPr>
        <w:caps w:val="0"/>
        <w:vanish w:val="0"/>
        <w:color w:val="010000"/>
        <w:u w:val="none"/>
      </w:rPr>
    </w:lvl>
    <w:lvl w:ilvl="6">
      <w:start w:val="1"/>
      <w:numFmt w:val="decimal"/>
      <w:pStyle w:val="S2Heading7"/>
      <w:lvlText w:val="(%7)"/>
      <w:lvlJc w:val="left"/>
      <w:pPr>
        <w:tabs>
          <w:tab w:val="num" w:pos="5040"/>
        </w:tabs>
        <w:ind w:left="5040" w:hanging="720"/>
      </w:pPr>
      <w:rPr>
        <w:caps w:val="0"/>
        <w:vanish w:val="0"/>
        <w:color w:val="010000"/>
        <w:u w:val="none"/>
      </w:rPr>
    </w:lvl>
    <w:lvl w:ilvl="7">
      <w:start w:val="1"/>
      <w:numFmt w:val="lowerRoman"/>
      <w:pStyle w:val="S2Heading8"/>
      <w:lvlText w:val="%8)"/>
      <w:lvlJc w:val="left"/>
      <w:pPr>
        <w:tabs>
          <w:tab w:val="num" w:pos="5760"/>
        </w:tabs>
        <w:ind w:left="5760" w:hanging="720"/>
      </w:pPr>
      <w:rPr>
        <w:caps w:val="0"/>
        <w:vanish w:val="0"/>
        <w:color w:val="010000"/>
        <w:u w:val="none"/>
      </w:rPr>
    </w:lvl>
    <w:lvl w:ilvl="8">
      <w:start w:val="1"/>
      <w:numFmt w:val="lowerLetter"/>
      <w:pStyle w:val="S2Heading9"/>
      <w:lvlText w:val="%9)"/>
      <w:lvlJc w:val="left"/>
      <w:pPr>
        <w:tabs>
          <w:tab w:val="num" w:pos="6480"/>
        </w:tabs>
        <w:ind w:left="6480" w:hanging="720"/>
      </w:pPr>
      <w:rPr>
        <w:caps w:val="0"/>
        <w:vanish w:val="0"/>
        <w:color w:val="010000"/>
        <w:u w:val="none"/>
      </w:rPr>
    </w:lvl>
  </w:abstractNum>
  <w:abstractNum w:abstractNumId="3">
    <w:nsid w:val="2AD01627"/>
    <w:multiLevelType w:val="hybridMultilevel"/>
    <w:tmpl w:val="EC2AB538"/>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35E55CB6"/>
    <w:multiLevelType w:val="hybridMultilevel"/>
    <w:tmpl w:val="C1C079DE"/>
    <w:lvl w:ilvl="0" w:tplc="D06C49C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71568"/>
    <w:multiLevelType w:val="multilevel"/>
    <w:tmpl w:val="CF32540C"/>
    <w:name w:val="IEU Basic--PUC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6"/>
  </w:num>
  <w:num w:numId="2">
    <w:abstractNumId w:val="6"/>
  </w:num>
  <w:num w:numId="3">
    <w:abstractNumId w:val="6"/>
  </w:num>
  <w:num w:numId="4">
    <w:abstractNumId w:val="6"/>
  </w:num>
  <w:num w:numId="5">
    <w:abstractNumId w:val="1"/>
  </w:num>
  <w:num w:numId="6">
    <w:abstractNumId w:val="5"/>
  </w:num>
  <w:num w:numId="7">
    <w:abstractNumId w:val="0"/>
  </w:num>
  <w:num w:numId="8">
    <w:abstractNumId w:val="0"/>
  </w:num>
  <w:num w:numId="9">
    <w:abstractNumId w:val="6"/>
  </w:num>
  <w:num w:numId="10">
    <w:abstractNumId w:val="3"/>
  </w:num>
  <w:num w:numId="11">
    <w:abstractNumId w:val="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6"/>
  </w:num>
  <w:num w:numId="16">
    <w:abstractNumId w:val="6"/>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DA"/>
    <w:rsid w:val="00010ADA"/>
    <w:rsid w:val="002D42BB"/>
    <w:rsid w:val="005374DC"/>
    <w:rsid w:val="005D7B95"/>
    <w:rsid w:val="00770AFB"/>
    <w:rsid w:val="007D5942"/>
    <w:rsid w:val="00806B51"/>
    <w:rsid w:val="00A35703"/>
    <w:rsid w:val="00AA47C0"/>
    <w:rsid w:val="00CB144C"/>
    <w:rsid w:val="00CE4BE0"/>
    <w:rsid w:val="00EA5CEB"/>
    <w:rsid w:val="00F20C51"/>
    <w:rsid w:val="00F4746A"/>
    <w:rsid w:val="00F6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D4671E"/>
    <w:pPr>
      <w:numPr>
        <w:numId w:val="9"/>
      </w:numPr>
      <w:tabs>
        <w:tab w:val="clear" w:pos="720"/>
      </w:tabs>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D4671E"/>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D4671E"/>
    <w:pPr>
      <w:numPr>
        <w:ilvl w:val="2"/>
        <w:numId w:val="9"/>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D4671E"/>
    <w:pPr>
      <w:numPr>
        <w:ilvl w:val="3"/>
        <w:numId w:val="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D4671E"/>
    <w:pPr>
      <w:numPr>
        <w:ilvl w:val="4"/>
        <w:numId w:val="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D4671E"/>
    <w:pPr>
      <w:numPr>
        <w:ilvl w:val="5"/>
        <w:numId w:val="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D4671E"/>
    <w:pPr>
      <w:numPr>
        <w:ilvl w:val="6"/>
        <w:numId w:val="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D4671E"/>
    <w:pPr>
      <w:numPr>
        <w:ilvl w:val="7"/>
        <w:numId w:val="9"/>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D4671E"/>
    <w:pPr>
      <w:numPr>
        <w:ilvl w:val="8"/>
        <w:numId w:val="9"/>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71E"/>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D4671E"/>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D4671E"/>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D4671E"/>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2Heading1">
    <w:name w:val="S2.Heading 1"/>
    <w:basedOn w:val="Normal"/>
    <w:next w:val="Normal"/>
    <w:pPr>
      <w:numPr>
        <w:numId w:val="12"/>
      </w:numPr>
      <w:tabs>
        <w:tab w:val="clear" w:pos="720"/>
        <w:tab w:val="num" w:pos="360"/>
      </w:tabs>
      <w:spacing w:after="240" w:line="240" w:lineRule="auto"/>
      <w:ind w:left="0" w:firstLine="0"/>
      <w:outlineLvl w:val="0"/>
    </w:pPr>
    <w:rPr>
      <w:rFonts w:eastAsiaTheme="minorHAnsi" w:cs="Arial"/>
      <w:b/>
      <w:caps/>
      <w:sz w:val="20"/>
      <w:szCs w:val="20"/>
      <w:u w:val="single"/>
    </w:rPr>
  </w:style>
  <w:style w:type="paragraph" w:customStyle="1" w:styleId="S2Heading2">
    <w:name w:val="S2.Heading 2"/>
    <w:basedOn w:val="Normal"/>
    <w:next w:val="Normal"/>
    <w:link w:val="S2Heading2Char"/>
    <w:pPr>
      <w:numPr>
        <w:ilvl w:val="1"/>
        <w:numId w:val="12"/>
      </w:numPr>
      <w:spacing w:after="240" w:line="240" w:lineRule="auto"/>
      <w:outlineLvl w:val="1"/>
    </w:pPr>
    <w:rPr>
      <w:rFonts w:eastAsiaTheme="minorHAnsi" w:cs="Arial"/>
      <w:b/>
      <w:sz w:val="20"/>
      <w:szCs w:val="20"/>
    </w:rPr>
  </w:style>
  <w:style w:type="character" w:customStyle="1" w:styleId="S2Heading2Char">
    <w:name w:val="S2.Heading 2 Char"/>
    <w:basedOn w:val="DefaultParagraphFont"/>
    <w:link w:val="S2Heading2"/>
    <w:rPr>
      <w:rFonts w:ascii="Arial" w:eastAsiaTheme="minorHAnsi" w:hAnsi="Arial" w:cs="Arial"/>
      <w:b/>
    </w:rPr>
  </w:style>
  <w:style w:type="paragraph" w:customStyle="1" w:styleId="S2Heading3">
    <w:name w:val="S2.Heading 3"/>
    <w:basedOn w:val="Normal"/>
    <w:next w:val="Normal"/>
    <w:link w:val="S2Heading3Char"/>
    <w:pPr>
      <w:numPr>
        <w:ilvl w:val="2"/>
        <w:numId w:val="12"/>
      </w:numPr>
      <w:spacing w:after="240" w:line="240" w:lineRule="auto"/>
      <w:outlineLvl w:val="2"/>
    </w:pPr>
    <w:rPr>
      <w:rFonts w:eastAsiaTheme="minorHAnsi" w:cs="Arial"/>
      <w:b/>
      <w:sz w:val="20"/>
      <w:szCs w:val="20"/>
    </w:rPr>
  </w:style>
  <w:style w:type="paragraph" w:customStyle="1" w:styleId="S2Heading4">
    <w:name w:val="S2.Heading 4"/>
    <w:basedOn w:val="Normal"/>
    <w:next w:val="Normal"/>
    <w:link w:val="S2Heading4Char"/>
    <w:pPr>
      <w:numPr>
        <w:ilvl w:val="3"/>
        <w:numId w:val="12"/>
      </w:numPr>
      <w:spacing w:after="240" w:line="240" w:lineRule="auto"/>
      <w:outlineLvl w:val="3"/>
    </w:pPr>
    <w:rPr>
      <w:rFonts w:eastAsiaTheme="minorHAnsi" w:cs="Arial"/>
      <w:b/>
      <w:i/>
      <w:sz w:val="20"/>
      <w:szCs w:val="20"/>
    </w:rPr>
  </w:style>
  <w:style w:type="paragraph" w:customStyle="1" w:styleId="S2Heading5">
    <w:name w:val="S2.Heading 5"/>
    <w:basedOn w:val="Normal"/>
    <w:next w:val="Normal"/>
    <w:pPr>
      <w:numPr>
        <w:ilvl w:val="4"/>
        <w:numId w:val="12"/>
      </w:numPr>
      <w:spacing w:after="240" w:line="240" w:lineRule="auto"/>
      <w:outlineLvl w:val="4"/>
    </w:pPr>
    <w:rPr>
      <w:rFonts w:asciiTheme="majorHAnsi" w:eastAsiaTheme="minorHAnsi" w:hAnsiTheme="majorHAnsi" w:cs="Arial"/>
      <w:color w:val="243F60" w:themeColor="accent1" w:themeShade="7F"/>
      <w:sz w:val="20"/>
      <w:szCs w:val="20"/>
    </w:rPr>
  </w:style>
  <w:style w:type="paragraph" w:customStyle="1" w:styleId="S2Heading6">
    <w:name w:val="S2.Heading 6"/>
    <w:basedOn w:val="Normal"/>
    <w:next w:val="Normal"/>
    <w:pPr>
      <w:numPr>
        <w:ilvl w:val="5"/>
        <w:numId w:val="12"/>
      </w:numPr>
      <w:spacing w:after="240" w:line="240" w:lineRule="auto"/>
      <w:outlineLvl w:val="5"/>
    </w:pPr>
    <w:rPr>
      <w:rFonts w:asciiTheme="majorHAnsi" w:eastAsiaTheme="minorHAnsi" w:hAnsiTheme="majorHAnsi" w:cs="Arial"/>
      <w:color w:val="243F60" w:themeColor="accent1" w:themeShade="7F"/>
      <w:sz w:val="20"/>
      <w:szCs w:val="20"/>
    </w:rPr>
  </w:style>
  <w:style w:type="paragraph" w:customStyle="1" w:styleId="S2Heading7">
    <w:name w:val="S2.Heading 7"/>
    <w:basedOn w:val="Normal"/>
    <w:next w:val="Normal"/>
    <w:pPr>
      <w:numPr>
        <w:ilvl w:val="6"/>
        <w:numId w:val="12"/>
      </w:numPr>
      <w:spacing w:after="240" w:line="240" w:lineRule="auto"/>
      <w:outlineLvl w:val="6"/>
    </w:pPr>
    <w:rPr>
      <w:rFonts w:asciiTheme="majorHAnsi" w:eastAsiaTheme="minorHAnsi" w:hAnsiTheme="majorHAnsi" w:cs="Arial"/>
      <w:color w:val="404040" w:themeColor="text1" w:themeTint="BF"/>
      <w:sz w:val="20"/>
      <w:szCs w:val="20"/>
    </w:rPr>
  </w:style>
  <w:style w:type="paragraph" w:customStyle="1" w:styleId="S2Heading8">
    <w:name w:val="S2.Heading 8"/>
    <w:basedOn w:val="Normal"/>
    <w:next w:val="Normal"/>
    <w:pPr>
      <w:numPr>
        <w:ilvl w:val="7"/>
        <w:numId w:val="12"/>
      </w:numPr>
      <w:spacing w:after="240" w:line="240" w:lineRule="auto"/>
      <w:outlineLvl w:val="7"/>
    </w:pPr>
    <w:rPr>
      <w:rFonts w:asciiTheme="majorHAnsi" w:eastAsiaTheme="minorHAnsi" w:hAnsiTheme="majorHAnsi" w:cs="Arial"/>
      <w:color w:val="404040" w:themeColor="text1" w:themeTint="BF"/>
      <w:sz w:val="20"/>
      <w:szCs w:val="20"/>
    </w:rPr>
  </w:style>
  <w:style w:type="paragraph" w:customStyle="1" w:styleId="S2Heading9">
    <w:name w:val="S2.Heading 9"/>
    <w:basedOn w:val="Normal"/>
    <w:next w:val="Normal"/>
    <w:pPr>
      <w:numPr>
        <w:ilvl w:val="8"/>
        <w:numId w:val="12"/>
      </w:numPr>
      <w:spacing w:after="240" w:line="240" w:lineRule="auto"/>
      <w:outlineLvl w:val="8"/>
    </w:pPr>
    <w:rPr>
      <w:rFonts w:asciiTheme="majorHAnsi" w:eastAsiaTheme="minorHAnsi" w:hAnsiTheme="majorHAnsi" w:cs="Arial"/>
      <w:color w:val="404040" w:themeColor="text1" w:themeTint="BF"/>
      <w:sz w:val="20"/>
      <w:szCs w:val="20"/>
    </w:rPr>
  </w:style>
  <w:style w:type="character" w:customStyle="1" w:styleId="S2Heading3Char">
    <w:name w:val="S2.Heading 3 Char"/>
    <w:basedOn w:val="DefaultParagraphFont"/>
    <w:link w:val="S2Heading3"/>
    <w:rPr>
      <w:rFonts w:ascii="Arial" w:eastAsiaTheme="minorHAnsi" w:hAnsi="Arial" w:cs="Arial"/>
      <w:b/>
    </w:rPr>
  </w:style>
  <w:style w:type="character" w:customStyle="1" w:styleId="S2Heading4Char">
    <w:name w:val="S2.Heading 4 Char"/>
    <w:basedOn w:val="DefaultParagraphFont"/>
    <w:link w:val="S2Heading4"/>
    <w:rPr>
      <w:rFonts w:ascii="Arial" w:eastAsiaTheme="minorHAnsi" w:hAnsi="Arial" w:cs="Arial"/>
      <w:b/>
      <w:i/>
    </w:rPr>
  </w:style>
  <w:style w:type="character" w:styleId="Hyperlink">
    <w:name w:val="Hyperlink"/>
    <w:basedOn w:val="DefaultParagraphFont"/>
    <w:uiPriority w:val="99"/>
    <w:unhideWhenUsed/>
    <w:rsid w:val="00D72503"/>
    <w:rPr>
      <w:color w:val="0000FF" w:themeColor="hyperlink"/>
      <w:u w:val="single"/>
    </w:rPr>
  </w:style>
  <w:style w:type="paragraph" w:styleId="BodyText">
    <w:name w:val="Body Text"/>
    <w:basedOn w:val="Normal"/>
    <w:link w:val="BodyTextChar"/>
    <w:unhideWhenUsed/>
    <w:rsid w:val="00D72503"/>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D72503"/>
    <w:rPr>
      <w:rFonts w:ascii="Arial" w:eastAsiaTheme="minorHAnsi" w:hAnsi="Arial" w:cstheme="minorBidi"/>
      <w:b/>
      <w:smallCaps/>
    </w:rPr>
  </w:style>
  <w:style w:type="character" w:customStyle="1" w:styleId="Heading5Char">
    <w:name w:val="Heading 5 Char"/>
    <w:basedOn w:val="DefaultParagraphFont"/>
    <w:link w:val="Heading5"/>
    <w:uiPriority w:val="9"/>
    <w:semiHidden/>
    <w:rsid w:val="00D4671E"/>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D4671E"/>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D4671E"/>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D4671E"/>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D4671E"/>
    <w:rPr>
      <w:rFonts w:asciiTheme="majorHAnsi" w:eastAsiaTheme="majorEastAsia" w:hAnsiTheme="majorHAnsi" w:cs="Arial"/>
      <w:iCs/>
      <w:color w:val="404040" w:themeColor="text1" w:themeTint="BF"/>
      <w:sz w:val="24"/>
    </w:rPr>
  </w:style>
  <w:style w:type="paragraph" w:styleId="Revision">
    <w:name w:val="Revision"/>
    <w:hidden/>
    <w:uiPriority w:val="99"/>
    <w:semiHidden/>
    <w:rsid w:val="00D4671E"/>
    <w:pPr>
      <w:spacing w:after="0"/>
    </w:pPr>
    <w:rPr>
      <w:rFonts w:ascii="Arial" w:hAnsi="Arial"/>
      <w:sz w:val="24"/>
      <w:szCs w:val="24"/>
    </w:rPr>
  </w:style>
  <w:style w:type="paragraph" w:styleId="TOC1">
    <w:name w:val="toc 1"/>
    <w:basedOn w:val="Normal"/>
    <w:next w:val="Normal"/>
    <w:autoRedefine/>
    <w:uiPriority w:val="39"/>
    <w:unhideWhenUsed/>
    <w:rsid w:val="006A4AEB"/>
    <w:pPr>
      <w:tabs>
        <w:tab w:val="right" w:leader="dot" w:pos="9350"/>
      </w:tabs>
      <w:spacing w:after="100"/>
      <w:ind w:left="720" w:hanging="720"/>
    </w:pPr>
  </w:style>
  <w:style w:type="paragraph" w:styleId="TOC2">
    <w:name w:val="toc 2"/>
    <w:basedOn w:val="Normal"/>
    <w:next w:val="Normal"/>
    <w:autoRedefine/>
    <w:uiPriority w:val="39"/>
    <w:unhideWhenUsed/>
    <w:rsid w:val="006A4AEB"/>
    <w:pPr>
      <w:tabs>
        <w:tab w:val="right" w:leader="dot" w:pos="9360"/>
      </w:tabs>
      <w:spacing w:after="180" w:line="240" w:lineRule="auto"/>
      <w:ind w:left="1440" w:right="720" w:hanging="720"/>
    </w:pPr>
  </w:style>
  <w:style w:type="paragraph" w:styleId="TOC3">
    <w:name w:val="toc 3"/>
    <w:basedOn w:val="Normal"/>
    <w:next w:val="Normal"/>
    <w:autoRedefine/>
    <w:uiPriority w:val="39"/>
    <w:unhideWhenUsed/>
    <w:rsid w:val="006A4AEB"/>
    <w:pPr>
      <w:tabs>
        <w:tab w:val="right" w:leader="dot" w:pos="9360"/>
      </w:tabs>
      <w:spacing w:after="180" w:line="240" w:lineRule="auto"/>
      <w:ind w:left="2160" w:righ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3" w:unhideWhenUsed="0" w:qFormat="1"/>
    <w:lsdException w:name="Signature" w:uiPriority="3"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szCs w:val="24"/>
    </w:rPr>
  </w:style>
  <w:style w:type="paragraph" w:styleId="Heading1">
    <w:name w:val="heading 1"/>
    <w:basedOn w:val="Normal"/>
    <w:next w:val="Normal"/>
    <w:link w:val="Heading1Char"/>
    <w:uiPriority w:val="9"/>
    <w:qFormat/>
    <w:rsid w:val="00D4671E"/>
    <w:pPr>
      <w:numPr>
        <w:numId w:val="9"/>
      </w:numPr>
      <w:tabs>
        <w:tab w:val="clear" w:pos="720"/>
      </w:tabs>
      <w:spacing w:before="240" w:after="24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rsid w:val="00D4671E"/>
    <w:pPr>
      <w:numPr>
        <w:ilvl w:val="1"/>
        <w:numId w:val="9"/>
      </w:numPr>
      <w:spacing w:after="240" w:line="240" w:lineRule="auto"/>
      <w:outlineLvl w:val="1"/>
    </w:pPr>
    <w:rPr>
      <w:rFonts w:eastAsiaTheme="majorEastAsia" w:cs="Arial"/>
      <w:b/>
      <w:bCs/>
      <w:szCs w:val="26"/>
    </w:rPr>
  </w:style>
  <w:style w:type="paragraph" w:styleId="Heading3">
    <w:name w:val="heading 3"/>
    <w:basedOn w:val="Normal"/>
    <w:next w:val="Normal"/>
    <w:link w:val="Heading3Char"/>
    <w:uiPriority w:val="9"/>
    <w:qFormat/>
    <w:rsid w:val="00D4671E"/>
    <w:pPr>
      <w:numPr>
        <w:ilvl w:val="2"/>
        <w:numId w:val="9"/>
      </w:numPr>
      <w:spacing w:after="240" w:line="240" w:lineRule="auto"/>
      <w:outlineLvl w:val="2"/>
    </w:pPr>
    <w:rPr>
      <w:rFonts w:eastAsiaTheme="majorEastAsia" w:cs="Arial"/>
      <w:b/>
      <w:bCs/>
    </w:rPr>
  </w:style>
  <w:style w:type="paragraph" w:styleId="Heading4">
    <w:name w:val="heading 4"/>
    <w:basedOn w:val="Normal"/>
    <w:next w:val="Normal"/>
    <w:link w:val="Heading4Char"/>
    <w:uiPriority w:val="9"/>
    <w:unhideWhenUsed/>
    <w:qFormat/>
    <w:rsid w:val="00D4671E"/>
    <w:pPr>
      <w:numPr>
        <w:ilvl w:val="3"/>
        <w:numId w:val="9"/>
      </w:numPr>
      <w:spacing w:after="240" w:line="240" w:lineRule="auto"/>
      <w:outlineLvl w:val="3"/>
    </w:pPr>
    <w:rPr>
      <w:rFonts w:eastAsiaTheme="majorEastAsia" w:cs="Arial"/>
      <w:b/>
      <w:bCs/>
      <w:i/>
      <w:iCs/>
    </w:rPr>
  </w:style>
  <w:style w:type="paragraph" w:styleId="Heading5">
    <w:name w:val="heading 5"/>
    <w:basedOn w:val="Normal"/>
    <w:next w:val="Normal"/>
    <w:link w:val="Heading5Char"/>
    <w:uiPriority w:val="9"/>
    <w:semiHidden/>
    <w:unhideWhenUsed/>
    <w:rsid w:val="00D4671E"/>
    <w:pPr>
      <w:numPr>
        <w:ilvl w:val="4"/>
        <w:numId w:val="9"/>
      </w:numPr>
      <w:spacing w:after="240" w:line="240" w:lineRule="auto"/>
      <w:outlineLvl w:val="4"/>
    </w:pPr>
    <w:rPr>
      <w:rFonts w:asciiTheme="majorHAnsi" w:eastAsiaTheme="majorEastAsia" w:hAnsiTheme="majorHAnsi" w:cs="Arial"/>
      <w:color w:val="243F60" w:themeColor="accent1" w:themeShade="7F"/>
    </w:rPr>
  </w:style>
  <w:style w:type="paragraph" w:styleId="Heading6">
    <w:name w:val="heading 6"/>
    <w:basedOn w:val="Normal"/>
    <w:next w:val="Normal"/>
    <w:link w:val="Heading6Char"/>
    <w:uiPriority w:val="9"/>
    <w:semiHidden/>
    <w:unhideWhenUsed/>
    <w:rsid w:val="00D4671E"/>
    <w:pPr>
      <w:numPr>
        <w:ilvl w:val="5"/>
        <w:numId w:val="9"/>
      </w:numPr>
      <w:spacing w:after="240" w:line="240" w:lineRule="auto"/>
      <w:outlineLvl w:val="5"/>
    </w:pPr>
    <w:rPr>
      <w:rFonts w:asciiTheme="majorHAnsi" w:eastAsiaTheme="majorEastAsia" w:hAnsiTheme="majorHAnsi" w:cs="Arial"/>
      <w:iCs/>
      <w:color w:val="243F60" w:themeColor="accent1" w:themeShade="7F"/>
    </w:rPr>
  </w:style>
  <w:style w:type="paragraph" w:styleId="Heading7">
    <w:name w:val="heading 7"/>
    <w:basedOn w:val="Normal"/>
    <w:next w:val="Normal"/>
    <w:link w:val="Heading7Char"/>
    <w:uiPriority w:val="9"/>
    <w:semiHidden/>
    <w:unhideWhenUsed/>
    <w:rsid w:val="00D4671E"/>
    <w:pPr>
      <w:numPr>
        <w:ilvl w:val="6"/>
        <w:numId w:val="9"/>
      </w:numPr>
      <w:spacing w:after="240" w:line="240" w:lineRule="auto"/>
      <w:outlineLvl w:val="6"/>
    </w:pPr>
    <w:rPr>
      <w:rFonts w:asciiTheme="majorHAnsi" w:eastAsiaTheme="majorEastAsia" w:hAnsiTheme="majorHAnsi" w:cs="Arial"/>
      <w:iCs/>
      <w:color w:val="404040" w:themeColor="text1" w:themeTint="BF"/>
    </w:rPr>
  </w:style>
  <w:style w:type="paragraph" w:styleId="Heading8">
    <w:name w:val="heading 8"/>
    <w:basedOn w:val="Normal"/>
    <w:next w:val="Normal"/>
    <w:link w:val="Heading8Char"/>
    <w:uiPriority w:val="9"/>
    <w:semiHidden/>
    <w:unhideWhenUsed/>
    <w:rsid w:val="00D4671E"/>
    <w:pPr>
      <w:numPr>
        <w:ilvl w:val="7"/>
        <w:numId w:val="9"/>
      </w:numPr>
      <w:spacing w:after="240" w:line="240" w:lineRule="auto"/>
      <w:outlineLvl w:val="7"/>
    </w:pPr>
    <w:rPr>
      <w:rFonts w:asciiTheme="majorHAnsi" w:eastAsiaTheme="majorEastAsia" w:hAnsiTheme="majorHAnsi" w:cs="Arial"/>
      <w:color w:val="404040" w:themeColor="text1" w:themeTint="BF"/>
      <w:szCs w:val="20"/>
    </w:rPr>
  </w:style>
  <w:style w:type="paragraph" w:styleId="Heading9">
    <w:name w:val="heading 9"/>
    <w:basedOn w:val="Normal"/>
    <w:next w:val="Normal"/>
    <w:link w:val="Heading9Char"/>
    <w:uiPriority w:val="9"/>
    <w:semiHidden/>
    <w:unhideWhenUsed/>
    <w:rsid w:val="00D4671E"/>
    <w:pPr>
      <w:numPr>
        <w:ilvl w:val="8"/>
        <w:numId w:val="9"/>
      </w:numPr>
      <w:spacing w:after="240" w:line="240" w:lineRule="auto"/>
      <w:outlineLvl w:val="8"/>
    </w:pPr>
    <w:rPr>
      <w:rFonts w:asciiTheme="majorHAnsi" w:eastAsiaTheme="majorEastAsia" w:hAnsiTheme="majorHAnsi" w:cs="Arial"/>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71E"/>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sid w:val="00D4671E"/>
    <w:rPr>
      <w:rFonts w:ascii="Arial" w:eastAsiaTheme="majorEastAsia" w:hAnsi="Arial" w:cs="Arial"/>
      <w:b/>
      <w:bCs/>
      <w:sz w:val="24"/>
      <w:szCs w:val="26"/>
    </w:rPr>
  </w:style>
  <w:style w:type="character" w:customStyle="1" w:styleId="Heading3Char">
    <w:name w:val="Heading 3 Char"/>
    <w:basedOn w:val="DefaultParagraphFont"/>
    <w:link w:val="Heading3"/>
    <w:uiPriority w:val="9"/>
    <w:rsid w:val="00D4671E"/>
    <w:rPr>
      <w:rFonts w:ascii="Arial" w:eastAsiaTheme="majorEastAsia" w:hAnsi="Arial" w:cs="Arial"/>
      <w:b/>
      <w:bCs/>
      <w:sz w:val="24"/>
      <w:szCs w:val="24"/>
    </w:rPr>
  </w:style>
  <w:style w:type="character" w:customStyle="1" w:styleId="Heading4Char">
    <w:name w:val="Heading 4 Char"/>
    <w:basedOn w:val="DefaultParagraphFont"/>
    <w:link w:val="Heading4"/>
    <w:uiPriority w:val="9"/>
    <w:rsid w:val="00D4671E"/>
    <w:rPr>
      <w:rFonts w:ascii="Arial" w:eastAsiaTheme="majorEastAsia" w:hAnsi="Arial" w:cs="Arial"/>
      <w:b/>
      <w:bCs/>
      <w:i/>
      <w:iCs/>
      <w:sz w:val="24"/>
      <w:szCs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ascii="Arial" w:eastAsia="Calibri" w:hAnsi="Arial"/>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6"/>
      </w:numPr>
      <w:spacing w:after="240"/>
      <w:contextualSpacing/>
    </w:pPr>
  </w:style>
  <w:style w:type="paragraph" w:styleId="ListNumber">
    <w:name w:val="List Number"/>
    <w:basedOn w:val="Normal"/>
    <w:uiPriority w:val="99"/>
    <w:qFormat/>
    <w:pPr>
      <w:numPr>
        <w:numId w:val="8"/>
      </w:numPr>
      <w:spacing w:after="240"/>
      <w:contextualSpacing/>
    </w:pPr>
  </w:style>
  <w:style w:type="paragraph" w:styleId="Title">
    <w:name w:val="Title"/>
    <w:basedOn w:val="Normal"/>
    <w:link w:val="TitleChar"/>
    <w:uiPriority w:val="3"/>
    <w:qFormat/>
    <w:pPr>
      <w:spacing w:after="240"/>
      <w:jc w:val="center"/>
    </w:pPr>
    <w:rPr>
      <w:rFonts w:eastAsiaTheme="majorEastAsia" w:cstheme="majorBidi"/>
      <w:sz w:val="23"/>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hAnsi="Arial"/>
      <w:sz w:val="24"/>
      <w:szCs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2Heading1">
    <w:name w:val="S2.Heading 1"/>
    <w:basedOn w:val="Normal"/>
    <w:next w:val="Normal"/>
    <w:pPr>
      <w:numPr>
        <w:numId w:val="12"/>
      </w:numPr>
      <w:tabs>
        <w:tab w:val="clear" w:pos="720"/>
        <w:tab w:val="num" w:pos="360"/>
      </w:tabs>
      <w:spacing w:after="240" w:line="240" w:lineRule="auto"/>
      <w:ind w:left="0" w:firstLine="0"/>
      <w:outlineLvl w:val="0"/>
    </w:pPr>
    <w:rPr>
      <w:rFonts w:eastAsiaTheme="minorHAnsi" w:cs="Arial"/>
      <w:b/>
      <w:caps/>
      <w:sz w:val="20"/>
      <w:szCs w:val="20"/>
      <w:u w:val="single"/>
    </w:rPr>
  </w:style>
  <w:style w:type="paragraph" w:customStyle="1" w:styleId="S2Heading2">
    <w:name w:val="S2.Heading 2"/>
    <w:basedOn w:val="Normal"/>
    <w:next w:val="Normal"/>
    <w:link w:val="S2Heading2Char"/>
    <w:pPr>
      <w:numPr>
        <w:ilvl w:val="1"/>
        <w:numId w:val="12"/>
      </w:numPr>
      <w:spacing w:after="240" w:line="240" w:lineRule="auto"/>
      <w:outlineLvl w:val="1"/>
    </w:pPr>
    <w:rPr>
      <w:rFonts w:eastAsiaTheme="minorHAnsi" w:cs="Arial"/>
      <w:b/>
      <w:sz w:val="20"/>
      <w:szCs w:val="20"/>
    </w:rPr>
  </w:style>
  <w:style w:type="character" w:customStyle="1" w:styleId="S2Heading2Char">
    <w:name w:val="S2.Heading 2 Char"/>
    <w:basedOn w:val="DefaultParagraphFont"/>
    <w:link w:val="S2Heading2"/>
    <w:rPr>
      <w:rFonts w:ascii="Arial" w:eastAsiaTheme="minorHAnsi" w:hAnsi="Arial" w:cs="Arial"/>
      <w:b/>
    </w:rPr>
  </w:style>
  <w:style w:type="paragraph" w:customStyle="1" w:styleId="S2Heading3">
    <w:name w:val="S2.Heading 3"/>
    <w:basedOn w:val="Normal"/>
    <w:next w:val="Normal"/>
    <w:link w:val="S2Heading3Char"/>
    <w:pPr>
      <w:numPr>
        <w:ilvl w:val="2"/>
        <w:numId w:val="12"/>
      </w:numPr>
      <w:spacing w:after="240" w:line="240" w:lineRule="auto"/>
      <w:outlineLvl w:val="2"/>
    </w:pPr>
    <w:rPr>
      <w:rFonts w:eastAsiaTheme="minorHAnsi" w:cs="Arial"/>
      <w:b/>
      <w:sz w:val="20"/>
      <w:szCs w:val="20"/>
    </w:rPr>
  </w:style>
  <w:style w:type="paragraph" w:customStyle="1" w:styleId="S2Heading4">
    <w:name w:val="S2.Heading 4"/>
    <w:basedOn w:val="Normal"/>
    <w:next w:val="Normal"/>
    <w:link w:val="S2Heading4Char"/>
    <w:pPr>
      <w:numPr>
        <w:ilvl w:val="3"/>
        <w:numId w:val="12"/>
      </w:numPr>
      <w:spacing w:after="240" w:line="240" w:lineRule="auto"/>
      <w:outlineLvl w:val="3"/>
    </w:pPr>
    <w:rPr>
      <w:rFonts w:eastAsiaTheme="minorHAnsi" w:cs="Arial"/>
      <w:b/>
      <w:i/>
      <w:sz w:val="20"/>
      <w:szCs w:val="20"/>
    </w:rPr>
  </w:style>
  <w:style w:type="paragraph" w:customStyle="1" w:styleId="S2Heading5">
    <w:name w:val="S2.Heading 5"/>
    <w:basedOn w:val="Normal"/>
    <w:next w:val="Normal"/>
    <w:pPr>
      <w:numPr>
        <w:ilvl w:val="4"/>
        <w:numId w:val="12"/>
      </w:numPr>
      <w:spacing w:after="240" w:line="240" w:lineRule="auto"/>
      <w:outlineLvl w:val="4"/>
    </w:pPr>
    <w:rPr>
      <w:rFonts w:asciiTheme="majorHAnsi" w:eastAsiaTheme="minorHAnsi" w:hAnsiTheme="majorHAnsi" w:cs="Arial"/>
      <w:color w:val="243F60" w:themeColor="accent1" w:themeShade="7F"/>
      <w:sz w:val="20"/>
      <w:szCs w:val="20"/>
    </w:rPr>
  </w:style>
  <w:style w:type="paragraph" w:customStyle="1" w:styleId="S2Heading6">
    <w:name w:val="S2.Heading 6"/>
    <w:basedOn w:val="Normal"/>
    <w:next w:val="Normal"/>
    <w:pPr>
      <w:numPr>
        <w:ilvl w:val="5"/>
        <w:numId w:val="12"/>
      </w:numPr>
      <w:spacing w:after="240" w:line="240" w:lineRule="auto"/>
      <w:outlineLvl w:val="5"/>
    </w:pPr>
    <w:rPr>
      <w:rFonts w:asciiTheme="majorHAnsi" w:eastAsiaTheme="minorHAnsi" w:hAnsiTheme="majorHAnsi" w:cs="Arial"/>
      <w:color w:val="243F60" w:themeColor="accent1" w:themeShade="7F"/>
      <w:sz w:val="20"/>
      <w:szCs w:val="20"/>
    </w:rPr>
  </w:style>
  <w:style w:type="paragraph" w:customStyle="1" w:styleId="S2Heading7">
    <w:name w:val="S2.Heading 7"/>
    <w:basedOn w:val="Normal"/>
    <w:next w:val="Normal"/>
    <w:pPr>
      <w:numPr>
        <w:ilvl w:val="6"/>
        <w:numId w:val="12"/>
      </w:numPr>
      <w:spacing w:after="240" w:line="240" w:lineRule="auto"/>
      <w:outlineLvl w:val="6"/>
    </w:pPr>
    <w:rPr>
      <w:rFonts w:asciiTheme="majorHAnsi" w:eastAsiaTheme="minorHAnsi" w:hAnsiTheme="majorHAnsi" w:cs="Arial"/>
      <w:color w:val="404040" w:themeColor="text1" w:themeTint="BF"/>
      <w:sz w:val="20"/>
      <w:szCs w:val="20"/>
    </w:rPr>
  </w:style>
  <w:style w:type="paragraph" w:customStyle="1" w:styleId="S2Heading8">
    <w:name w:val="S2.Heading 8"/>
    <w:basedOn w:val="Normal"/>
    <w:next w:val="Normal"/>
    <w:pPr>
      <w:numPr>
        <w:ilvl w:val="7"/>
        <w:numId w:val="12"/>
      </w:numPr>
      <w:spacing w:after="240" w:line="240" w:lineRule="auto"/>
      <w:outlineLvl w:val="7"/>
    </w:pPr>
    <w:rPr>
      <w:rFonts w:asciiTheme="majorHAnsi" w:eastAsiaTheme="minorHAnsi" w:hAnsiTheme="majorHAnsi" w:cs="Arial"/>
      <w:color w:val="404040" w:themeColor="text1" w:themeTint="BF"/>
      <w:sz w:val="20"/>
      <w:szCs w:val="20"/>
    </w:rPr>
  </w:style>
  <w:style w:type="paragraph" w:customStyle="1" w:styleId="S2Heading9">
    <w:name w:val="S2.Heading 9"/>
    <w:basedOn w:val="Normal"/>
    <w:next w:val="Normal"/>
    <w:pPr>
      <w:numPr>
        <w:ilvl w:val="8"/>
        <w:numId w:val="12"/>
      </w:numPr>
      <w:spacing w:after="240" w:line="240" w:lineRule="auto"/>
      <w:outlineLvl w:val="8"/>
    </w:pPr>
    <w:rPr>
      <w:rFonts w:asciiTheme="majorHAnsi" w:eastAsiaTheme="minorHAnsi" w:hAnsiTheme="majorHAnsi" w:cs="Arial"/>
      <w:color w:val="404040" w:themeColor="text1" w:themeTint="BF"/>
      <w:sz w:val="20"/>
      <w:szCs w:val="20"/>
    </w:rPr>
  </w:style>
  <w:style w:type="character" w:customStyle="1" w:styleId="S2Heading3Char">
    <w:name w:val="S2.Heading 3 Char"/>
    <w:basedOn w:val="DefaultParagraphFont"/>
    <w:link w:val="S2Heading3"/>
    <w:rPr>
      <w:rFonts w:ascii="Arial" w:eastAsiaTheme="minorHAnsi" w:hAnsi="Arial" w:cs="Arial"/>
      <w:b/>
    </w:rPr>
  </w:style>
  <w:style w:type="character" w:customStyle="1" w:styleId="S2Heading4Char">
    <w:name w:val="S2.Heading 4 Char"/>
    <w:basedOn w:val="DefaultParagraphFont"/>
    <w:link w:val="S2Heading4"/>
    <w:rPr>
      <w:rFonts w:ascii="Arial" w:eastAsiaTheme="minorHAnsi" w:hAnsi="Arial" w:cs="Arial"/>
      <w:b/>
      <w:i/>
    </w:rPr>
  </w:style>
  <w:style w:type="character" w:styleId="Hyperlink">
    <w:name w:val="Hyperlink"/>
    <w:basedOn w:val="DefaultParagraphFont"/>
    <w:uiPriority w:val="99"/>
    <w:unhideWhenUsed/>
    <w:rsid w:val="00D72503"/>
    <w:rPr>
      <w:color w:val="0000FF" w:themeColor="hyperlink"/>
      <w:u w:val="single"/>
    </w:rPr>
  </w:style>
  <w:style w:type="paragraph" w:styleId="BodyText">
    <w:name w:val="Body Text"/>
    <w:basedOn w:val="Normal"/>
    <w:link w:val="BodyTextChar"/>
    <w:unhideWhenUsed/>
    <w:rsid w:val="00D72503"/>
    <w:pPr>
      <w:tabs>
        <w:tab w:val="left" w:pos="-1440"/>
        <w:tab w:val="left" w:pos="-720"/>
        <w:tab w:val="left" w:pos="5040"/>
        <w:tab w:val="center" w:pos="7200"/>
      </w:tabs>
      <w:overflowPunct w:val="0"/>
      <w:autoSpaceDE w:val="0"/>
      <w:autoSpaceDN w:val="0"/>
      <w:adjustRightInd w:val="0"/>
      <w:spacing w:line="240" w:lineRule="auto"/>
    </w:pPr>
    <w:rPr>
      <w:rFonts w:eastAsiaTheme="minorHAnsi" w:cstheme="minorBidi"/>
      <w:b/>
      <w:smallCaps/>
      <w:sz w:val="20"/>
      <w:szCs w:val="20"/>
    </w:rPr>
  </w:style>
  <w:style w:type="character" w:customStyle="1" w:styleId="BodyTextChar">
    <w:name w:val="Body Text Char"/>
    <w:basedOn w:val="DefaultParagraphFont"/>
    <w:link w:val="BodyText"/>
    <w:rsid w:val="00D72503"/>
    <w:rPr>
      <w:rFonts w:ascii="Arial" w:eastAsiaTheme="minorHAnsi" w:hAnsi="Arial" w:cstheme="minorBidi"/>
      <w:b/>
      <w:smallCaps/>
    </w:rPr>
  </w:style>
  <w:style w:type="character" w:customStyle="1" w:styleId="Heading5Char">
    <w:name w:val="Heading 5 Char"/>
    <w:basedOn w:val="DefaultParagraphFont"/>
    <w:link w:val="Heading5"/>
    <w:uiPriority w:val="9"/>
    <w:semiHidden/>
    <w:rsid w:val="00D4671E"/>
    <w:rPr>
      <w:rFonts w:asciiTheme="majorHAnsi" w:eastAsiaTheme="majorEastAsia" w:hAnsiTheme="majorHAnsi" w:cs="Arial"/>
      <w:color w:val="243F60" w:themeColor="accent1" w:themeShade="7F"/>
      <w:sz w:val="24"/>
      <w:szCs w:val="24"/>
    </w:rPr>
  </w:style>
  <w:style w:type="character" w:customStyle="1" w:styleId="Heading6Char">
    <w:name w:val="Heading 6 Char"/>
    <w:basedOn w:val="DefaultParagraphFont"/>
    <w:link w:val="Heading6"/>
    <w:uiPriority w:val="9"/>
    <w:semiHidden/>
    <w:rsid w:val="00D4671E"/>
    <w:rPr>
      <w:rFonts w:asciiTheme="majorHAnsi" w:eastAsiaTheme="majorEastAsia" w:hAnsiTheme="majorHAnsi" w:cs="Arial"/>
      <w:iCs/>
      <w:color w:val="243F60" w:themeColor="accent1" w:themeShade="7F"/>
      <w:sz w:val="24"/>
      <w:szCs w:val="24"/>
    </w:rPr>
  </w:style>
  <w:style w:type="character" w:customStyle="1" w:styleId="Heading7Char">
    <w:name w:val="Heading 7 Char"/>
    <w:basedOn w:val="DefaultParagraphFont"/>
    <w:link w:val="Heading7"/>
    <w:uiPriority w:val="9"/>
    <w:semiHidden/>
    <w:rsid w:val="00D4671E"/>
    <w:rPr>
      <w:rFonts w:asciiTheme="majorHAnsi" w:eastAsiaTheme="majorEastAsia" w:hAnsiTheme="majorHAnsi" w:cs="Arial"/>
      <w:iCs/>
      <w:color w:val="404040" w:themeColor="text1" w:themeTint="BF"/>
      <w:sz w:val="24"/>
      <w:szCs w:val="24"/>
    </w:rPr>
  </w:style>
  <w:style w:type="character" w:customStyle="1" w:styleId="Heading8Char">
    <w:name w:val="Heading 8 Char"/>
    <w:basedOn w:val="DefaultParagraphFont"/>
    <w:link w:val="Heading8"/>
    <w:uiPriority w:val="9"/>
    <w:semiHidden/>
    <w:rsid w:val="00D4671E"/>
    <w:rPr>
      <w:rFonts w:asciiTheme="majorHAnsi" w:eastAsiaTheme="majorEastAsia" w:hAnsiTheme="majorHAnsi" w:cs="Arial"/>
      <w:color w:val="404040" w:themeColor="text1" w:themeTint="BF"/>
      <w:sz w:val="24"/>
    </w:rPr>
  </w:style>
  <w:style w:type="character" w:customStyle="1" w:styleId="Heading9Char">
    <w:name w:val="Heading 9 Char"/>
    <w:basedOn w:val="DefaultParagraphFont"/>
    <w:link w:val="Heading9"/>
    <w:uiPriority w:val="9"/>
    <w:semiHidden/>
    <w:rsid w:val="00D4671E"/>
    <w:rPr>
      <w:rFonts w:asciiTheme="majorHAnsi" w:eastAsiaTheme="majorEastAsia" w:hAnsiTheme="majorHAnsi" w:cs="Arial"/>
      <w:iCs/>
      <w:color w:val="404040" w:themeColor="text1" w:themeTint="BF"/>
      <w:sz w:val="24"/>
    </w:rPr>
  </w:style>
  <w:style w:type="paragraph" w:styleId="Revision">
    <w:name w:val="Revision"/>
    <w:hidden/>
    <w:uiPriority w:val="99"/>
    <w:semiHidden/>
    <w:rsid w:val="00D4671E"/>
    <w:pPr>
      <w:spacing w:after="0"/>
    </w:pPr>
    <w:rPr>
      <w:rFonts w:ascii="Arial" w:hAnsi="Arial"/>
      <w:sz w:val="24"/>
      <w:szCs w:val="24"/>
    </w:rPr>
  </w:style>
  <w:style w:type="paragraph" w:styleId="TOC1">
    <w:name w:val="toc 1"/>
    <w:basedOn w:val="Normal"/>
    <w:next w:val="Normal"/>
    <w:autoRedefine/>
    <w:uiPriority w:val="39"/>
    <w:unhideWhenUsed/>
    <w:rsid w:val="006A4AEB"/>
    <w:pPr>
      <w:tabs>
        <w:tab w:val="right" w:leader="dot" w:pos="9350"/>
      </w:tabs>
      <w:spacing w:after="100"/>
      <w:ind w:left="720" w:hanging="720"/>
    </w:pPr>
  </w:style>
  <w:style w:type="paragraph" w:styleId="TOC2">
    <w:name w:val="toc 2"/>
    <w:basedOn w:val="Normal"/>
    <w:next w:val="Normal"/>
    <w:autoRedefine/>
    <w:uiPriority w:val="39"/>
    <w:unhideWhenUsed/>
    <w:rsid w:val="006A4AEB"/>
    <w:pPr>
      <w:tabs>
        <w:tab w:val="right" w:leader="dot" w:pos="9360"/>
      </w:tabs>
      <w:spacing w:after="180" w:line="240" w:lineRule="auto"/>
      <w:ind w:left="1440" w:right="720" w:hanging="720"/>
    </w:pPr>
  </w:style>
  <w:style w:type="paragraph" w:styleId="TOC3">
    <w:name w:val="toc 3"/>
    <w:basedOn w:val="Normal"/>
    <w:next w:val="Normal"/>
    <w:autoRedefine/>
    <w:uiPriority w:val="39"/>
    <w:unhideWhenUsed/>
    <w:rsid w:val="006A4AEB"/>
    <w:pPr>
      <w:tabs>
        <w:tab w:val="right" w:leader="dot" w:pos="9360"/>
      </w:tabs>
      <w:spacing w:after="180" w:line="240" w:lineRule="auto"/>
      <w:ind w:left="2160" w:righ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9971D-3B5C-4893-8C81-FC69F0CD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4811</Words>
  <Characters>27025</Characters>
  <Application>Microsoft Office Word</Application>
  <DocSecurity>0</DocSecurity>
  <PresentationFormat/>
  <Lines>652</Lines>
  <Paragraphs>271</Paragraphs>
  <ScaleCrop>false</ScaleCrop>
  <HeadingPairs>
    <vt:vector size="2" baseType="variant">
      <vt:variant>
        <vt:lpstr>Title</vt:lpstr>
      </vt:variant>
      <vt:variant>
        <vt:i4>1</vt:i4>
      </vt:variant>
    </vt:vector>
  </HeadingPairs>
  <TitlesOfParts>
    <vt:vector size="1" baseType="lpstr">
      <vt:lpstr>Comments re: Amended Supp. App. (13-2420) (C44049-3).DOCX</vt:lpstr>
    </vt:vector>
  </TitlesOfParts>
  <LinksUpToDate>false</LinksUpToDate>
  <CharactersWithSpaces>31716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re: Amended Supp. App. (13-2420) (C44049-3).DOCX</dc:title>
  <dc:subject>C44049:3 /font=8</dc:subject>
  <dc:creator/>
  <cp:lastModifiedBy/>
  <cp:revision>1</cp:revision>
  <cp:lastPrinted>2014-06-30T15:04:00Z</cp:lastPrinted>
  <dcterms:created xsi:type="dcterms:W3CDTF">2014-06-30T16:13:00Z</dcterms:created>
  <dcterms:modified xsi:type="dcterms:W3CDTF">2014-06-30T16:13:00Z</dcterms:modified>
</cp:coreProperties>
</file>