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119" w:rsidRPr="00631E34" w:rsidRDefault="00537D74">
      <w:pPr>
        <w:pStyle w:val="Title"/>
        <w:rPr>
          <w:szCs w:val="32"/>
        </w:rPr>
      </w:pPr>
      <w:bookmarkStart w:id="0" w:name="OLE_LINK1"/>
      <w:bookmarkStart w:id="1" w:name="OLE_LINK2"/>
      <w:r w:rsidRPr="00631E34">
        <w:rPr>
          <w:szCs w:val="32"/>
        </w:rPr>
        <w:t>Before</w:t>
      </w:r>
    </w:p>
    <w:p w:rsidR="00762119" w:rsidRPr="00631E34" w:rsidRDefault="00537D74">
      <w:pPr>
        <w:jc w:val="center"/>
        <w:rPr>
          <w:b/>
          <w:smallCaps/>
          <w:sz w:val="32"/>
          <w:szCs w:val="32"/>
        </w:rPr>
      </w:pPr>
      <w:r w:rsidRPr="00631E34">
        <w:rPr>
          <w:b/>
          <w:smallCaps/>
          <w:sz w:val="32"/>
          <w:szCs w:val="32"/>
        </w:rPr>
        <w:t>The Public Utilities Commission of Ohio</w:t>
      </w:r>
    </w:p>
    <w:p w:rsidR="00762119" w:rsidRDefault="00762119">
      <w:pPr>
        <w:autoSpaceDE w:val="0"/>
        <w:autoSpaceDN w:val="0"/>
        <w:adjustRightInd w:val="0"/>
      </w:pPr>
    </w:p>
    <w:p w:rsidR="00762119" w:rsidRDefault="00537D74">
      <w:pPr>
        <w:tabs>
          <w:tab w:val="left" w:pos="4860"/>
          <w:tab w:val="left" w:pos="5400"/>
        </w:tabs>
        <w:autoSpaceDE w:val="0"/>
        <w:autoSpaceDN w:val="0"/>
        <w:adjustRightInd w:val="0"/>
        <w:jc w:val="both"/>
      </w:pPr>
      <w:r>
        <w:t xml:space="preserve">In the Matter of the Application of the </w:t>
      </w:r>
      <w:r>
        <w:tab/>
        <w:t>)</w:t>
      </w:r>
    </w:p>
    <w:p w:rsidR="00762119" w:rsidRDefault="00537D74">
      <w:pPr>
        <w:tabs>
          <w:tab w:val="left" w:pos="4860"/>
          <w:tab w:val="left" w:pos="5400"/>
        </w:tabs>
        <w:autoSpaceDE w:val="0"/>
        <w:autoSpaceDN w:val="0"/>
        <w:adjustRightInd w:val="0"/>
        <w:jc w:val="both"/>
      </w:pPr>
      <w:r>
        <w:t>Ohio Development Services Agency</w:t>
      </w:r>
      <w:r>
        <w:tab/>
        <w:t>)</w:t>
      </w:r>
    </w:p>
    <w:p w:rsidR="00762119" w:rsidRDefault="00537D74">
      <w:pPr>
        <w:tabs>
          <w:tab w:val="left" w:pos="4860"/>
          <w:tab w:val="left" w:pos="5400"/>
        </w:tabs>
        <w:autoSpaceDE w:val="0"/>
        <w:autoSpaceDN w:val="0"/>
        <w:adjustRightInd w:val="0"/>
        <w:jc w:val="both"/>
      </w:pPr>
      <w:r>
        <w:t>for an Order Approving Adjustments</w:t>
      </w:r>
      <w:r>
        <w:tab/>
        <w:t>)</w:t>
      </w:r>
      <w:r>
        <w:tab/>
        <w:t xml:space="preserve">Case No. </w:t>
      </w:r>
      <w:r w:rsidR="00631E34">
        <w:t>17-13</w:t>
      </w:r>
      <w:r w:rsidR="000A4F16">
        <w:t>7</w:t>
      </w:r>
      <w:r w:rsidR="00631E34">
        <w:t>7</w:t>
      </w:r>
      <w:r>
        <w:t>-EL-USF</w:t>
      </w:r>
    </w:p>
    <w:p w:rsidR="00762119" w:rsidRDefault="00537D74">
      <w:pPr>
        <w:tabs>
          <w:tab w:val="left" w:pos="4860"/>
          <w:tab w:val="left" w:pos="5400"/>
        </w:tabs>
        <w:autoSpaceDE w:val="0"/>
        <w:autoSpaceDN w:val="0"/>
        <w:adjustRightInd w:val="0"/>
        <w:jc w:val="both"/>
      </w:pPr>
      <w:r>
        <w:t xml:space="preserve">to the Universal Service Fund Riders of </w:t>
      </w:r>
      <w:r>
        <w:tab/>
        <w:t>)</w:t>
      </w:r>
    </w:p>
    <w:p w:rsidR="00762119" w:rsidRDefault="00537D74">
      <w:pPr>
        <w:tabs>
          <w:tab w:val="left" w:pos="4860"/>
          <w:tab w:val="left" w:pos="5400"/>
        </w:tabs>
        <w:autoSpaceDE w:val="0"/>
        <w:autoSpaceDN w:val="0"/>
        <w:adjustRightInd w:val="0"/>
        <w:jc w:val="both"/>
      </w:pPr>
      <w:r>
        <w:t xml:space="preserve">Jurisdictional Ohio Electric Distribution </w:t>
      </w:r>
      <w:r>
        <w:tab/>
        <w:t>)</w:t>
      </w:r>
    </w:p>
    <w:p w:rsidR="00762119" w:rsidRDefault="00537D74">
      <w:pPr>
        <w:tabs>
          <w:tab w:val="left" w:pos="4860"/>
          <w:tab w:val="left" w:pos="5400"/>
        </w:tabs>
        <w:autoSpaceDE w:val="0"/>
        <w:autoSpaceDN w:val="0"/>
        <w:adjustRightInd w:val="0"/>
        <w:jc w:val="both"/>
      </w:pPr>
      <w:r>
        <w:t>Utilities.</w:t>
      </w:r>
      <w:r>
        <w:tab/>
        <w:t>)</w:t>
      </w:r>
    </w:p>
    <w:p w:rsidR="00762119" w:rsidRDefault="00762119">
      <w:pPr>
        <w:pStyle w:val="BodyText"/>
        <w:tabs>
          <w:tab w:val="left" w:pos="5040"/>
        </w:tabs>
      </w:pPr>
    </w:p>
    <w:p w:rsidR="00762119" w:rsidRPr="00BB5F71" w:rsidRDefault="00762119">
      <w:pPr>
        <w:pStyle w:val="BodyText"/>
        <w:tabs>
          <w:tab w:val="left" w:pos="5040"/>
        </w:tabs>
      </w:pPr>
    </w:p>
    <w:p w:rsidR="00762119" w:rsidRPr="00CD0BDC" w:rsidRDefault="00762119" w:rsidP="00CD0BDC">
      <w:pPr>
        <w:pStyle w:val="Heading1"/>
        <w:numPr>
          <w:ilvl w:val="0"/>
          <w:numId w:val="0"/>
        </w:numPr>
        <w:pBdr>
          <w:top w:val="single" w:sz="12" w:space="1" w:color="auto"/>
        </w:pBdr>
        <w:tabs>
          <w:tab w:val="left" w:pos="7320"/>
        </w:tabs>
        <w:spacing w:before="0" w:after="0"/>
        <w:jc w:val="center"/>
        <w:rPr>
          <w:rFonts w:ascii="Arial Bold" w:hAnsi="Arial Bold"/>
          <w:caps w:val="0"/>
          <w:smallCaps/>
          <w:sz w:val="28"/>
          <w:szCs w:val="28"/>
          <w:u w:val="none"/>
        </w:rPr>
      </w:pPr>
    </w:p>
    <w:p w:rsidR="00F7606E" w:rsidRPr="00CD0BDC" w:rsidRDefault="00F7606E" w:rsidP="00CD0BDC">
      <w:pPr>
        <w:jc w:val="center"/>
        <w:rPr>
          <w:rFonts w:ascii="Arial Bold" w:hAnsi="Arial Bold"/>
          <w:b/>
          <w:smallCaps/>
          <w:sz w:val="32"/>
          <w:szCs w:val="32"/>
        </w:rPr>
      </w:pPr>
      <w:r w:rsidRPr="00CD0BDC">
        <w:rPr>
          <w:rFonts w:ascii="Arial Bold" w:hAnsi="Arial Bold"/>
          <w:b/>
          <w:smallCaps/>
          <w:sz w:val="32"/>
          <w:szCs w:val="32"/>
        </w:rPr>
        <w:t>Initial Brief of</w:t>
      </w:r>
    </w:p>
    <w:p w:rsidR="00762119" w:rsidRPr="00CD0BDC" w:rsidRDefault="00F7606E" w:rsidP="00CD0BDC">
      <w:pPr>
        <w:jc w:val="center"/>
        <w:rPr>
          <w:rFonts w:ascii="Arial Bold" w:hAnsi="Arial Bold"/>
          <w:b/>
          <w:smallCaps/>
          <w:sz w:val="32"/>
          <w:szCs w:val="32"/>
        </w:rPr>
      </w:pPr>
      <w:r w:rsidRPr="00CD0BDC">
        <w:rPr>
          <w:rFonts w:ascii="Arial Bold" w:hAnsi="Arial Bold"/>
          <w:b/>
          <w:smallCaps/>
          <w:sz w:val="32"/>
          <w:szCs w:val="32"/>
        </w:rPr>
        <w:t>Industrial Energy Users</w:t>
      </w:r>
      <w:r w:rsidR="00CD0BDC" w:rsidRPr="00CD0BDC">
        <w:rPr>
          <w:rFonts w:ascii="Arial Bold" w:hAnsi="Arial Bold"/>
          <w:b/>
          <w:smallCaps/>
          <w:sz w:val="32"/>
          <w:szCs w:val="32"/>
        </w:rPr>
        <w:t>-</w:t>
      </w:r>
      <w:r w:rsidRPr="00CD0BDC">
        <w:rPr>
          <w:rFonts w:ascii="Arial Bold" w:hAnsi="Arial Bold"/>
          <w:b/>
          <w:smallCaps/>
          <w:sz w:val="32"/>
          <w:szCs w:val="32"/>
        </w:rPr>
        <w:t>Ohio</w:t>
      </w:r>
    </w:p>
    <w:bookmarkEnd w:id="0"/>
    <w:bookmarkEnd w:id="1"/>
    <w:p w:rsidR="00762119" w:rsidRPr="00CD0BDC" w:rsidRDefault="00762119" w:rsidP="00CD0BDC">
      <w:pPr>
        <w:pStyle w:val="Title"/>
        <w:pBdr>
          <w:bottom w:val="single" w:sz="12" w:space="1" w:color="auto"/>
        </w:pBdr>
        <w:rPr>
          <w:sz w:val="28"/>
          <w:szCs w:val="28"/>
          <w:u w:val="single"/>
        </w:rPr>
      </w:pPr>
    </w:p>
    <w:p w:rsidR="00762119" w:rsidRPr="00BB5F71" w:rsidRDefault="00762119">
      <w:pPr>
        <w:pStyle w:val="Title"/>
        <w:rPr>
          <w:sz w:val="24"/>
          <w:u w:val="single"/>
        </w:rPr>
      </w:pPr>
    </w:p>
    <w:p w:rsidR="00762119" w:rsidRPr="00BB5F71" w:rsidRDefault="00762119">
      <w:pPr>
        <w:pStyle w:val="Title"/>
        <w:rPr>
          <w:sz w:val="24"/>
          <w:u w:val="single"/>
        </w:rPr>
      </w:pPr>
    </w:p>
    <w:p w:rsidR="00762119" w:rsidRDefault="00762119" w:rsidP="00631E34">
      <w:pPr>
        <w:pStyle w:val="Title"/>
        <w:rPr>
          <w:sz w:val="28"/>
          <w:u w:val="single"/>
        </w:rPr>
      </w:pPr>
    </w:p>
    <w:p w:rsidR="003055FC" w:rsidRDefault="003055FC">
      <w:pPr>
        <w:pStyle w:val="Title"/>
        <w:rPr>
          <w:sz w:val="28"/>
          <w:u w:val="single"/>
        </w:rPr>
      </w:pPr>
    </w:p>
    <w:p w:rsidR="003055FC" w:rsidRDefault="003055FC">
      <w:pPr>
        <w:pStyle w:val="Title"/>
        <w:rPr>
          <w:sz w:val="28"/>
          <w:u w:val="single"/>
        </w:rPr>
      </w:pPr>
    </w:p>
    <w:p w:rsidR="00762119" w:rsidRDefault="00762119">
      <w:pPr>
        <w:pStyle w:val="Title"/>
        <w:rPr>
          <w:sz w:val="28"/>
          <w:u w:val="single"/>
        </w:rPr>
      </w:pPr>
    </w:p>
    <w:p w:rsidR="00451593" w:rsidRDefault="00451593">
      <w:pPr>
        <w:pStyle w:val="Title"/>
        <w:rPr>
          <w:sz w:val="28"/>
          <w:u w:val="single"/>
        </w:rPr>
      </w:pPr>
    </w:p>
    <w:p w:rsidR="00CD0BDC" w:rsidRDefault="00CD0BDC">
      <w:pPr>
        <w:pStyle w:val="Title"/>
        <w:rPr>
          <w:sz w:val="28"/>
          <w:u w:val="single"/>
        </w:rPr>
      </w:pPr>
    </w:p>
    <w:p w:rsidR="00CD0BDC" w:rsidRDefault="00CD0BDC">
      <w:pPr>
        <w:pStyle w:val="Title"/>
        <w:rPr>
          <w:sz w:val="28"/>
          <w:u w:val="single"/>
        </w:rPr>
      </w:pPr>
    </w:p>
    <w:p w:rsidR="006100CC" w:rsidRDefault="006100CC">
      <w:pPr>
        <w:pStyle w:val="Title"/>
        <w:rPr>
          <w:sz w:val="28"/>
          <w:u w:val="single"/>
        </w:rPr>
      </w:pPr>
    </w:p>
    <w:p w:rsidR="006100CC" w:rsidRDefault="006100CC">
      <w:pPr>
        <w:pStyle w:val="Title"/>
        <w:rPr>
          <w:sz w:val="28"/>
          <w:u w:val="single"/>
        </w:rPr>
      </w:pPr>
    </w:p>
    <w:p w:rsidR="00762119" w:rsidRDefault="00762119">
      <w:pPr>
        <w:pStyle w:val="Title"/>
        <w:rPr>
          <w:sz w:val="28"/>
          <w:u w:val="single"/>
        </w:rPr>
      </w:pPr>
    </w:p>
    <w:p w:rsidR="00320E03" w:rsidRDefault="00320E03">
      <w:pPr>
        <w:pStyle w:val="Title"/>
        <w:rPr>
          <w:sz w:val="28"/>
          <w:u w:val="single"/>
        </w:rPr>
      </w:pPr>
    </w:p>
    <w:p w:rsidR="00537D74" w:rsidRPr="00631E34" w:rsidRDefault="00537D74" w:rsidP="00CD0BDC">
      <w:pPr>
        <w:pStyle w:val="BodyText3"/>
        <w:widowControl w:val="0"/>
        <w:ind w:left="4140"/>
        <w:jc w:val="both"/>
        <w:rPr>
          <w:b w:val="0"/>
          <w:bCs/>
          <w:color w:val="000000" w:themeColor="text1"/>
        </w:rPr>
      </w:pPr>
      <w:r w:rsidRPr="00631E34">
        <w:rPr>
          <w:b w:val="0"/>
          <w:bCs/>
          <w:color w:val="000000" w:themeColor="text1"/>
        </w:rPr>
        <w:t>Frank P. Darr (Reg. No. 0025469)</w:t>
      </w:r>
    </w:p>
    <w:p w:rsidR="00350B8F" w:rsidRPr="00631E34" w:rsidRDefault="00350B8F" w:rsidP="00CD0BDC">
      <w:pPr>
        <w:tabs>
          <w:tab w:val="right" w:pos="8640"/>
        </w:tabs>
        <w:ind w:left="4140"/>
        <w:jc w:val="both"/>
        <w:rPr>
          <w:color w:val="000000" w:themeColor="text1"/>
        </w:rPr>
      </w:pPr>
      <w:r w:rsidRPr="00631E34">
        <w:rPr>
          <w:color w:val="000000" w:themeColor="text1"/>
        </w:rPr>
        <w:t>(Counsel of Record)</w:t>
      </w:r>
    </w:p>
    <w:p w:rsidR="00537D74" w:rsidRPr="00631E34" w:rsidRDefault="00537D74" w:rsidP="00CD0BDC">
      <w:pPr>
        <w:pStyle w:val="BodyText3"/>
        <w:widowControl w:val="0"/>
        <w:ind w:left="4140"/>
        <w:jc w:val="both"/>
        <w:rPr>
          <w:b w:val="0"/>
          <w:bCs/>
          <w:color w:val="000000" w:themeColor="text1"/>
        </w:rPr>
      </w:pPr>
      <w:r w:rsidRPr="00631E34">
        <w:rPr>
          <w:b w:val="0"/>
          <w:bCs/>
          <w:color w:val="000000" w:themeColor="text1"/>
        </w:rPr>
        <w:t>Matthew R. Pritchard (Reg. No. 0088070)</w:t>
      </w:r>
    </w:p>
    <w:p w:rsidR="00537D74" w:rsidRPr="00631E34" w:rsidRDefault="00537D74" w:rsidP="00CD0BDC">
      <w:pPr>
        <w:pStyle w:val="BodyText3"/>
        <w:widowControl w:val="0"/>
        <w:ind w:left="4140"/>
        <w:jc w:val="both"/>
        <w:rPr>
          <w:b w:val="0"/>
          <w:bCs/>
          <w:smallCaps/>
          <w:color w:val="000000" w:themeColor="text1"/>
          <w:szCs w:val="24"/>
        </w:rPr>
      </w:pPr>
      <w:r w:rsidRPr="00631E34">
        <w:rPr>
          <w:b w:val="0"/>
          <w:bCs/>
          <w:smallCaps/>
          <w:color w:val="000000" w:themeColor="text1"/>
          <w:szCs w:val="24"/>
        </w:rPr>
        <w:t>McNees Wallace &amp; Nurick LLC</w:t>
      </w:r>
    </w:p>
    <w:p w:rsidR="00537D74" w:rsidRPr="00631E34" w:rsidRDefault="00537D74" w:rsidP="00CD0BDC">
      <w:pPr>
        <w:pStyle w:val="BodyText3"/>
        <w:widowControl w:val="0"/>
        <w:ind w:left="4140"/>
        <w:jc w:val="both"/>
        <w:rPr>
          <w:b w:val="0"/>
          <w:bCs/>
          <w:color w:val="000000" w:themeColor="text1"/>
        </w:rPr>
      </w:pPr>
      <w:r w:rsidRPr="00631E34">
        <w:rPr>
          <w:b w:val="0"/>
          <w:bCs/>
          <w:color w:val="000000" w:themeColor="text1"/>
        </w:rPr>
        <w:t>21 East State Street, 17</w:t>
      </w:r>
      <w:r w:rsidRPr="00631E34">
        <w:rPr>
          <w:b w:val="0"/>
          <w:bCs/>
          <w:color w:val="000000" w:themeColor="text1"/>
          <w:vertAlign w:val="superscript"/>
        </w:rPr>
        <w:t>TH</w:t>
      </w:r>
      <w:r w:rsidRPr="00631E34">
        <w:rPr>
          <w:b w:val="0"/>
          <w:bCs/>
          <w:color w:val="000000" w:themeColor="text1"/>
        </w:rPr>
        <w:t xml:space="preserve"> Floor</w:t>
      </w:r>
    </w:p>
    <w:p w:rsidR="00537D74" w:rsidRPr="00631E34" w:rsidRDefault="00537D74" w:rsidP="00CD0BDC">
      <w:pPr>
        <w:pStyle w:val="BodyText"/>
        <w:ind w:left="4140"/>
        <w:rPr>
          <w:color w:val="000000" w:themeColor="text1"/>
        </w:rPr>
      </w:pPr>
      <w:r w:rsidRPr="00631E34">
        <w:rPr>
          <w:color w:val="000000" w:themeColor="text1"/>
        </w:rPr>
        <w:t>Columbus, OH  43215</w:t>
      </w:r>
    </w:p>
    <w:p w:rsidR="00537D74" w:rsidRPr="00631E34" w:rsidRDefault="00537D74" w:rsidP="00CD0BDC">
      <w:pPr>
        <w:pStyle w:val="BodyText"/>
        <w:ind w:left="4140"/>
        <w:rPr>
          <w:color w:val="000000" w:themeColor="text1"/>
        </w:rPr>
      </w:pPr>
      <w:r w:rsidRPr="00631E34">
        <w:rPr>
          <w:color w:val="000000" w:themeColor="text1"/>
        </w:rPr>
        <w:t>Telephone:  (614) 469-8000</w:t>
      </w:r>
    </w:p>
    <w:p w:rsidR="00537D74" w:rsidRPr="00631E34" w:rsidRDefault="00537D74" w:rsidP="00CD0BDC">
      <w:pPr>
        <w:pStyle w:val="BodyText"/>
        <w:ind w:left="4140"/>
        <w:rPr>
          <w:color w:val="000000" w:themeColor="text1"/>
        </w:rPr>
      </w:pPr>
      <w:r w:rsidRPr="00631E34">
        <w:rPr>
          <w:color w:val="000000" w:themeColor="text1"/>
        </w:rPr>
        <w:t>Telecopier:  (614) 469-4653</w:t>
      </w:r>
    </w:p>
    <w:p w:rsidR="00537D74" w:rsidRPr="00631E34" w:rsidRDefault="00631E34" w:rsidP="00CD0BDC">
      <w:pPr>
        <w:pStyle w:val="BodyText"/>
        <w:ind w:left="4140"/>
        <w:rPr>
          <w:color w:val="000000" w:themeColor="text1"/>
        </w:rPr>
      </w:pPr>
      <w:r w:rsidRPr="00624340">
        <w:t>fdarr@mwncmh.com</w:t>
      </w:r>
    </w:p>
    <w:p w:rsidR="00631E34" w:rsidRPr="00631E34" w:rsidRDefault="00631E34" w:rsidP="00CD0BDC">
      <w:pPr>
        <w:pStyle w:val="BodyText"/>
        <w:ind w:left="4140"/>
        <w:rPr>
          <w:color w:val="000000" w:themeColor="text1"/>
        </w:rPr>
      </w:pPr>
      <w:r w:rsidRPr="00631E34">
        <w:rPr>
          <w:color w:val="000000" w:themeColor="text1"/>
        </w:rPr>
        <w:t>(willing to accept service via e-mail)</w:t>
      </w:r>
    </w:p>
    <w:p w:rsidR="00537D74" w:rsidRPr="00631E34" w:rsidRDefault="00631E34" w:rsidP="00CD0BDC">
      <w:pPr>
        <w:pStyle w:val="BodyText"/>
        <w:ind w:left="4140"/>
        <w:rPr>
          <w:color w:val="000000" w:themeColor="text1"/>
        </w:rPr>
      </w:pPr>
      <w:r w:rsidRPr="00624340">
        <w:t>mpritchard@mwncmh.com</w:t>
      </w:r>
    </w:p>
    <w:p w:rsidR="00631E34" w:rsidRPr="00631E34" w:rsidRDefault="00631E34" w:rsidP="00CD0BDC">
      <w:pPr>
        <w:pStyle w:val="BodyText"/>
        <w:ind w:left="4140"/>
        <w:rPr>
          <w:color w:val="000000" w:themeColor="text1"/>
        </w:rPr>
      </w:pPr>
      <w:r w:rsidRPr="00631E34">
        <w:rPr>
          <w:color w:val="000000" w:themeColor="text1"/>
        </w:rPr>
        <w:t>(willing to accept service via e-mail)</w:t>
      </w:r>
    </w:p>
    <w:p w:rsidR="00631E34" w:rsidRDefault="00631E34" w:rsidP="00CD0BDC">
      <w:pPr>
        <w:pStyle w:val="BodyText"/>
        <w:ind w:left="4140"/>
      </w:pPr>
    </w:p>
    <w:p w:rsidR="00350B8F" w:rsidRPr="00CD0BDC" w:rsidRDefault="00F7606E" w:rsidP="00CD0BDC">
      <w:pPr>
        <w:pStyle w:val="Title"/>
        <w:tabs>
          <w:tab w:val="left" w:pos="4140"/>
        </w:tabs>
        <w:ind w:left="4140" w:hanging="4140"/>
        <w:jc w:val="left"/>
        <w:rPr>
          <w:rFonts w:ascii="Arial Bold" w:hAnsi="Arial Bold"/>
          <w:sz w:val="24"/>
        </w:rPr>
        <w:sectPr w:rsidR="00350B8F" w:rsidRPr="00CD0BDC" w:rsidSect="0045159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1"/>
          <w:cols w:space="720"/>
          <w:titlePg/>
          <w:docGrid w:linePitch="326"/>
        </w:sectPr>
      </w:pPr>
      <w:r w:rsidRPr="00CD0BDC">
        <w:rPr>
          <w:rFonts w:ascii="Arial Bold" w:hAnsi="Arial Bold"/>
          <w:sz w:val="24"/>
        </w:rPr>
        <w:t>August 28</w:t>
      </w:r>
      <w:r w:rsidR="00451593" w:rsidRPr="00CD0BDC">
        <w:rPr>
          <w:rFonts w:ascii="Arial Bold" w:hAnsi="Arial Bold"/>
          <w:sz w:val="24"/>
        </w:rPr>
        <w:t>,</w:t>
      </w:r>
      <w:r w:rsidR="00631E34" w:rsidRPr="00CD0BDC">
        <w:rPr>
          <w:rFonts w:ascii="Arial Bold" w:hAnsi="Arial Bold"/>
          <w:sz w:val="24"/>
        </w:rPr>
        <w:t xml:space="preserve"> 2017</w:t>
      </w:r>
      <w:r w:rsidR="00537D74" w:rsidRPr="00CD0BDC">
        <w:rPr>
          <w:rFonts w:ascii="Arial Bold" w:hAnsi="Arial Bold"/>
          <w:sz w:val="24"/>
        </w:rPr>
        <w:tab/>
        <w:t>Attorneys for Industrial Energy Users-Ohio</w:t>
      </w:r>
    </w:p>
    <w:p w:rsidR="00762119" w:rsidRDefault="00537D74" w:rsidP="00350B8F">
      <w:pPr>
        <w:pStyle w:val="Title"/>
        <w:tabs>
          <w:tab w:val="left" w:pos="4320"/>
        </w:tabs>
        <w:rPr>
          <w:sz w:val="28"/>
        </w:rPr>
      </w:pPr>
      <w:r>
        <w:rPr>
          <w:sz w:val="28"/>
        </w:rPr>
        <w:lastRenderedPageBreak/>
        <w:t>Before</w:t>
      </w:r>
    </w:p>
    <w:p w:rsidR="00762119" w:rsidRDefault="00537D74">
      <w:pPr>
        <w:jc w:val="center"/>
        <w:rPr>
          <w:b/>
          <w:smallCaps/>
          <w:sz w:val="28"/>
        </w:rPr>
      </w:pPr>
      <w:r>
        <w:rPr>
          <w:b/>
          <w:smallCaps/>
          <w:sz w:val="28"/>
        </w:rPr>
        <w:t xml:space="preserve">The Public Utilities Commission of </w:t>
      </w:r>
      <w:smartTag w:uri="urn:schemas-microsoft-com:office:smarttags" w:element="State">
        <w:smartTag w:uri="urn:schemas-microsoft-com:office:smarttags" w:element="place">
          <w:r>
            <w:rPr>
              <w:b/>
              <w:smallCaps/>
              <w:sz w:val="28"/>
            </w:rPr>
            <w:t>Ohio</w:t>
          </w:r>
        </w:smartTag>
      </w:smartTag>
    </w:p>
    <w:p w:rsidR="00762119" w:rsidRDefault="00762119">
      <w:pPr>
        <w:autoSpaceDE w:val="0"/>
        <w:autoSpaceDN w:val="0"/>
        <w:adjustRightInd w:val="0"/>
      </w:pPr>
    </w:p>
    <w:p w:rsidR="00631E34" w:rsidRDefault="00631E34" w:rsidP="00631E34">
      <w:pPr>
        <w:tabs>
          <w:tab w:val="left" w:pos="4860"/>
          <w:tab w:val="left" w:pos="5400"/>
        </w:tabs>
        <w:autoSpaceDE w:val="0"/>
        <w:autoSpaceDN w:val="0"/>
        <w:adjustRightInd w:val="0"/>
        <w:jc w:val="both"/>
      </w:pPr>
      <w:r>
        <w:t xml:space="preserve">In the Matter of the Application of the </w:t>
      </w:r>
      <w:r>
        <w:tab/>
        <w:t>)</w:t>
      </w:r>
    </w:p>
    <w:p w:rsidR="00631E34" w:rsidRDefault="00631E34" w:rsidP="00631E34">
      <w:pPr>
        <w:tabs>
          <w:tab w:val="left" w:pos="4860"/>
          <w:tab w:val="left" w:pos="5400"/>
        </w:tabs>
        <w:autoSpaceDE w:val="0"/>
        <w:autoSpaceDN w:val="0"/>
        <w:adjustRightInd w:val="0"/>
        <w:jc w:val="both"/>
      </w:pPr>
      <w:r>
        <w:t>Ohio Development Services Agency</w:t>
      </w:r>
      <w:r>
        <w:tab/>
        <w:t>)</w:t>
      </w:r>
    </w:p>
    <w:p w:rsidR="00631E34" w:rsidRDefault="00631E34" w:rsidP="00631E34">
      <w:pPr>
        <w:tabs>
          <w:tab w:val="left" w:pos="4860"/>
          <w:tab w:val="left" w:pos="5400"/>
        </w:tabs>
        <w:autoSpaceDE w:val="0"/>
        <w:autoSpaceDN w:val="0"/>
        <w:adjustRightInd w:val="0"/>
        <w:jc w:val="both"/>
      </w:pPr>
      <w:r>
        <w:t>for an Order Approving Adjustments</w:t>
      </w:r>
      <w:r>
        <w:tab/>
        <w:t>)</w:t>
      </w:r>
      <w:r>
        <w:tab/>
        <w:t>Case No. 17-13</w:t>
      </w:r>
      <w:r w:rsidR="000A4F16">
        <w:t>7</w:t>
      </w:r>
      <w:r>
        <w:t>7-EL-USF</w:t>
      </w:r>
    </w:p>
    <w:p w:rsidR="00631E34" w:rsidRDefault="00631E34" w:rsidP="00631E34">
      <w:pPr>
        <w:tabs>
          <w:tab w:val="left" w:pos="4860"/>
          <w:tab w:val="left" w:pos="5400"/>
        </w:tabs>
        <w:autoSpaceDE w:val="0"/>
        <w:autoSpaceDN w:val="0"/>
        <w:adjustRightInd w:val="0"/>
        <w:jc w:val="both"/>
      </w:pPr>
      <w:r>
        <w:t xml:space="preserve">to the Universal Service Fund Riders of </w:t>
      </w:r>
      <w:r>
        <w:tab/>
        <w:t>)</w:t>
      </w:r>
    </w:p>
    <w:p w:rsidR="00631E34" w:rsidRDefault="00631E34" w:rsidP="00631E34">
      <w:pPr>
        <w:tabs>
          <w:tab w:val="left" w:pos="4860"/>
          <w:tab w:val="left" w:pos="5400"/>
        </w:tabs>
        <w:autoSpaceDE w:val="0"/>
        <w:autoSpaceDN w:val="0"/>
        <w:adjustRightInd w:val="0"/>
        <w:jc w:val="both"/>
      </w:pPr>
      <w:r>
        <w:t xml:space="preserve">Jurisdictional Ohio Electric Distribution </w:t>
      </w:r>
      <w:r>
        <w:tab/>
        <w:t>)</w:t>
      </w:r>
    </w:p>
    <w:p w:rsidR="00631E34" w:rsidRDefault="00631E34" w:rsidP="00631E34">
      <w:pPr>
        <w:tabs>
          <w:tab w:val="left" w:pos="4860"/>
          <w:tab w:val="left" w:pos="5400"/>
        </w:tabs>
        <w:autoSpaceDE w:val="0"/>
        <w:autoSpaceDN w:val="0"/>
        <w:adjustRightInd w:val="0"/>
        <w:jc w:val="both"/>
      </w:pPr>
      <w:r>
        <w:t>Utilities.</w:t>
      </w:r>
      <w:r>
        <w:tab/>
        <w:t>)</w:t>
      </w:r>
    </w:p>
    <w:p w:rsidR="00762119" w:rsidRPr="00CD0BDC" w:rsidRDefault="00762119" w:rsidP="00CD0BDC">
      <w:pPr>
        <w:pStyle w:val="BodyText"/>
        <w:tabs>
          <w:tab w:val="left" w:pos="5040"/>
        </w:tabs>
        <w:jc w:val="left"/>
        <w:rPr>
          <w:szCs w:val="24"/>
        </w:rPr>
      </w:pPr>
    </w:p>
    <w:p w:rsidR="00762119" w:rsidRPr="00AE4837" w:rsidRDefault="00762119" w:rsidP="00CD0BDC">
      <w:pPr>
        <w:pStyle w:val="Heading1"/>
        <w:numPr>
          <w:ilvl w:val="0"/>
          <w:numId w:val="0"/>
        </w:numPr>
        <w:pBdr>
          <w:top w:val="single" w:sz="12" w:space="1" w:color="auto"/>
        </w:pBdr>
        <w:tabs>
          <w:tab w:val="left" w:pos="7320"/>
        </w:tabs>
        <w:spacing w:before="0" w:after="0"/>
        <w:jc w:val="center"/>
        <w:rPr>
          <w:rFonts w:ascii="Arial Bold" w:hAnsi="Arial Bold"/>
          <w:smallCaps/>
          <w:sz w:val="20"/>
          <w:szCs w:val="20"/>
        </w:rPr>
      </w:pPr>
    </w:p>
    <w:p w:rsidR="00CD0BDC" w:rsidRPr="00CD0BDC" w:rsidRDefault="00CD0BDC" w:rsidP="00CD0BDC">
      <w:pPr>
        <w:jc w:val="center"/>
        <w:rPr>
          <w:rFonts w:ascii="Arial Bold" w:hAnsi="Arial Bold"/>
          <w:b/>
          <w:smallCaps/>
          <w:sz w:val="28"/>
          <w:szCs w:val="28"/>
        </w:rPr>
      </w:pPr>
      <w:r w:rsidRPr="00CD0BDC">
        <w:rPr>
          <w:rFonts w:ascii="Arial Bold" w:hAnsi="Arial Bold"/>
          <w:b/>
          <w:smallCaps/>
          <w:sz w:val="28"/>
          <w:szCs w:val="28"/>
        </w:rPr>
        <w:t>Initial Brief of</w:t>
      </w:r>
    </w:p>
    <w:p w:rsidR="00CD0BDC" w:rsidRPr="00CD0BDC" w:rsidRDefault="00CD0BDC" w:rsidP="00CD0BDC">
      <w:pPr>
        <w:jc w:val="center"/>
        <w:rPr>
          <w:rFonts w:ascii="Arial Bold" w:hAnsi="Arial Bold"/>
          <w:b/>
          <w:smallCaps/>
          <w:sz w:val="28"/>
          <w:szCs w:val="28"/>
        </w:rPr>
      </w:pPr>
      <w:r w:rsidRPr="00CD0BDC">
        <w:rPr>
          <w:rFonts w:ascii="Arial Bold" w:hAnsi="Arial Bold"/>
          <w:b/>
          <w:smallCaps/>
          <w:sz w:val="28"/>
          <w:szCs w:val="28"/>
        </w:rPr>
        <w:t>Industrial Energy Users-Ohio</w:t>
      </w:r>
    </w:p>
    <w:p w:rsidR="00762119" w:rsidRPr="00AE4837" w:rsidRDefault="00762119" w:rsidP="00CD0BDC">
      <w:pPr>
        <w:pStyle w:val="Title"/>
        <w:pBdr>
          <w:bottom w:val="single" w:sz="12" w:space="1" w:color="auto"/>
        </w:pBdr>
        <w:rPr>
          <w:sz w:val="20"/>
          <w:szCs w:val="20"/>
          <w:u w:val="single"/>
        </w:rPr>
      </w:pPr>
    </w:p>
    <w:p w:rsidR="00762119" w:rsidRDefault="00762119" w:rsidP="00CD0BDC">
      <w:pPr>
        <w:pStyle w:val="Title"/>
        <w:rPr>
          <w:sz w:val="28"/>
          <w:u w:val="single"/>
        </w:rPr>
      </w:pPr>
    </w:p>
    <w:p w:rsidR="00444350" w:rsidRDefault="00F7606E" w:rsidP="00FE6A6B">
      <w:pPr>
        <w:spacing w:line="480" w:lineRule="auto"/>
        <w:jc w:val="both"/>
      </w:pPr>
      <w:r>
        <w:tab/>
      </w:r>
      <w:r w:rsidR="00666C48">
        <w:t>On June 1, 2017, the Ohio Development Services Agency (“ODSA”) filed its Notice of Intent (“NO</w:t>
      </w:r>
      <w:r w:rsidR="00FE70D9">
        <w:t>I”) to establish the methodologies</w:t>
      </w:r>
      <w:r w:rsidR="00666C48">
        <w:t xml:space="preserve"> for calculating the 2018 Universal Service Fund (“USF”) revenue requirement and </w:t>
      </w:r>
      <w:r w:rsidR="00FE70D9">
        <w:t xml:space="preserve">for establishing </w:t>
      </w:r>
      <w:r w:rsidR="00666C48">
        <w:t xml:space="preserve">the rate design for the 2018 USF riders.  </w:t>
      </w:r>
      <w:r w:rsidR="00047D0C">
        <w:t xml:space="preserve">In the NOI, ODSA proposes to extend the existing revenue methodologies for calculating the USF rider revenue requirements and </w:t>
      </w:r>
      <w:r w:rsidR="00222BD9">
        <w:t xml:space="preserve">to extend the two-step declining block rate design that has been in place for the USF riders since 2001.  </w:t>
      </w:r>
      <w:r w:rsidR="00E63058">
        <w:t>No party objected to the continuation of the revenue requirement methodology.  No objection to the continued use of the two-</w:t>
      </w:r>
      <w:r w:rsidR="006100CC">
        <w:t xml:space="preserve">step </w:t>
      </w:r>
      <w:r w:rsidR="00E63058">
        <w:t>declining block rate design</w:t>
      </w:r>
      <w:r w:rsidR="00444350">
        <w:t xml:space="preserve"> was presented during the evidentiary hearing.</w:t>
      </w:r>
      <w:r w:rsidR="00444350">
        <w:rPr>
          <w:rStyle w:val="FootnoteReference"/>
        </w:rPr>
        <w:footnoteReference w:id="1"/>
      </w:r>
      <w:r w:rsidR="00444350">
        <w:t xml:space="preserve">  </w:t>
      </w:r>
    </w:p>
    <w:p w:rsidR="00E63058" w:rsidRDefault="00444350" w:rsidP="00FE6A6B">
      <w:pPr>
        <w:spacing w:line="480" w:lineRule="auto"/>
        <w:jc w:val="both"/>
      </w:pPr>
      <w:r>
        <w:lastRenderedPageBreak/>
        <w:tab/>
        <w:t xml:space="preserve">Accordingly, because the revenue requirement and rate design methodologies contained in the NOI are unopposed and are lawful and reasonable, the </w:t>
      </w:r>
      <w:r w:rsidR="00CD0BDC">
        <w:t>Public Utilities Commission of Ohio (“</w:t>
      </w:r>
      <w:r>
        <w:t>Commission</w:t>
      </w:r>
      <w:r w:rsidR="00CD0BDC">
        <w:t>”)</w:t>
      </w:r>
      <w:r>
        <w:t xml:space="preserve"> should authorize those methodologies for the 2018 USF riders.</w:t>
      </w:r>
    </w:p>
    <w:p w:rsidR="00667101" w:rsidRPr="00236CDB" w:rsidRDefault="00667101" w:rsidP="00667101">
      <w:pPr>
        <w:pStyle w:val="Heading1"/>
        <w:rPr>
          <w:szCs w:val="24"/>
        </w:rPr>
      </w:pPr>
      <w:r w:rsidRPr="00236CDB">
        <w:rPr>
          <w:szCs w:val="24"/>
        </w:rPr>
        <w:t>argument</w:t>
      </w:r>
    </w:p>
    <w:p w:rsidR="00BB5F71" w:rsidRPr="00236CDB" w:rsidRDefault="00190439" w:rsidP="006C43E8">
      <w:pPr>
        <w:pStyle w:val="Heading2"/>
      </w:pPr>
      <w:r>
        <w:t xml:space="preserve">Adjustments to the </w:t>
      </w:r>
      <w:r w:rsidR="00D311AC" w:rsidRPr="00236CDB">
        <w:t xml:space="preserve">USF </w:t>
      </w:r>
      <w:r w:rsidR="00CD0BDC">
        <w:t>r</w:t>
      </w:r>
      <w:r w:rsidR="00D311AC" w:rsidRPr="00236CDB">
        <w:t xml:space="preserve">ider </w:t>
      </w:r>
      <w:r>
        <w:t>must comply with several s</w:t>
      </w:r>
      <w:r w:rsidR="00D311AC" w:rsidRPr="00236CDB">
        <w:t>tatutory requirements</w:t>
      </w:r>
      <w:r w:rsidR="008D2A3F">
        <w:t xml:space="preserve"> contained in R.C. 4928.52</w:t>
      </w:r>
    </w:p>
    <w:p w:rsidR="00BB5F71" w:rsidRPr="00236CDB" w:rsidRDefault="00BB5F71" w:rsidP="00733112">
      <w:pPr>
        <w:spacing w:line="480" w:lineRule="auto"/>
        <w:jc w:val="both"/>
        <w:rPr>
          <w:szCs w:val="24"/>
        </w:rPr>
      </w:pPr>
      <w:r w:rsidRPr="00236CDB">
        <w:rPr>
          <w:szCs w:val="24"/>
        </w:rPr>
        <w:tab/>
        <w:t xml:space="preserve">R.C. 4928.52 </w:t>
      </w:r>
      <w:r w:rsidR="00754941" w:rsidRPr="00236CDB">
        <w:rPr>
          <w:szCs w:val="24"/>
        </w:rPr>
        <w:t xml:space="preserve">governs the process to adjust </w:t>
      </w:r>
      <w:r w:rsidR="00733112">
        <w:rPr>
          <w:szCs w:val="24"/>
        </w:rPr>
        <w:t>the revenue collected through the USF riders</w:t>
      </w:r>
      <w:r w:rsidR="00754941" w:rsidRPr="00236CDB">
        <w:rPr>
          <w:szCs w:val="24"/>
        </w:rPr>
        <w:t>.  If ODSA determines that the revenues from the USF riders are insufficient to cover the costs of the USF programs (namely the Percentage of Income Payment Plan or “PIPP”)</w:t>
      </w:r>
      <w:r w:rsidR="00733112">
        <w:rPr>
          <w:szCs w:val="24"/>
        </w:rPr>
        <w:t>, the statute requires</w:t>
      </w:r>
      <w:r w:rsidR="00754941" w:rsidRPr="00236CDB">
        <w:rPr>
          <w:szCs w:val="24"/>
        </w:rPr>
        <w:t xml:space="preserve"> ODSA</w:t>
      </w:r>
      <w:r w:rsidR="00733112">
        <w:rPr>
          <w:szCs w:val="24"/>
        </w:rPr>
        <w:t xml:space="preserve"> to</w:t>
      </w:r>
      <w:r w:rsidR="00754941" w:rsidRPr="00236CDB">
        <w:rPr>
          <w:szCs w:val="24"/>
        </w:rPr>
        <w:t xml:space="preserve"> undertake two steps.  ODSA must first consult with the </w:t>
      </w:r>
      <w:r w:rsidR="00CD0BDC">
        <w:rPr>
          <w:szCs w:val="24"/>
        </w:rPr>
        <w:t>P</w:t>
      </w:r>
      <w:r w:rsidR="00754941" w:rsidRPr="00236CDB">
        <w:rPr>
          <w:szCs w:val="24"/>
        </w:rPr>
        <w:t xml:space="preserve">ublic </w:t>
      </w:r>
      <w:r w:rsidR="00CD0BDC">
        <w:rPr>
          <w:szCs w:val="24"/>
        </w:rPr>
        <w:t>B</w:t>
      </w:r>
      <w:r w:rsidR="00754941" w:rsidRPr="00236CDB">
        <w:rPr>
          <w:szCs w:val="24"/>
        </w:rPr>
        <w:t xml:space="preserve">enefits </w:t>
      </w:r>
      <w:r w:rsidR="00CD0BDC">
        <w:rPr>
          <w:szCs w:val="24"/>
        </w:rPr>
        <w:t>A</w:t>
      </w:r>
      <w:r w:rsidR="00754941" w:rsidRPr="00236CDB">
        <w:rPr>
          <w:szCs w:val="24"/>
        </w:rPr>
        <w:t xml:space="preserve">dvisory </w:t>
      </w:r>
      <w:r w:rsidR="00CD0BDC">
        <w:rPr>
          <w:szCs w:val="24"/>
        </w:rPr>
        <w:t>B</w:t>
      </w:r>
      <w:r w:rsidR="00754941" w:rsidRPr="00236CDB">
        <w:rPr>
          <w:szCs w:val="24"/>
        </w:rPr>
        <w:t>oard (“PBAB”).</w:t>
      </w:r>
      <w:r w:rsidR="00D311AC" w:rsidRPr="00236CDB">
        <w:rPr>
          <w:rStyle w:val="FootnoteReference"/>
          <w:szCs w:val="24"/>
        </w:rPr>
        <w:footnoteReference w:id="2"/>
      </w:r>
      <w:r w:rsidR="00754941" w:rsidRPr="00236CDB">
        <w:rPr>
          <w:szCs w:val="24"/>
        </w:rPr>
        <w:t xml:space="preserve">  After </w:t>
      </w:r>
      <w:r w:rsidR="00D311AC" w:rsidRPr="00236CDB">
        <w:rPr>
          <w:szCs w:val="24"/>
        </w:rPr>
        <w:t>consulting PBAB</w:t>
      </w:r>
      <w:r w:rsidR="00754941" w:rsidRPr="00236CDB">
        <w:rPr>
          <w:szCs w:val="24"/>
        </w:rPr>
        <w:t>, ODSA must file an application with the Commission to increase USF rates.</w:t>
      </w:r>
      <w:r w:rsidR="00D311AC" w:rsidRPr="00236CDB">
        <w:rPr>
          <w:rStyle w:val="FootnoteReference"/>
          <w:szCs w:val="24"/>
        </w:rPr>
        <w:footnoteReference w:id="3"/>
      </w:r>
      <w:r w:rsidR="00D311AC" w:rsidRPr="00236CDB">
        <w:rPr>
          <w:szCs w:val="24"/>
        </w:rPr>
        <w:t xml:space="preserve">  </w:t>
      </w:r>
      <w:r w:rsidR="00733112">
        <w:rPr>
          <w:szCs w:val="24"/>
        </w:rPr>
        <w:t>The statute further requires that the e</w:t>
      </w:r>
      <w:r w:rsidR="00D311AC" w:rsidRPr="00236CDB">
        <w:rPr>
          <w:szCs w:val="24"/>
        </w:rPr>
        <w:t>stablishment of the USF riders be done “in such a manner so as not to shift among the customer classes of electric distribution utilities the costs of funding low-income customer assistance programs.”</w:t>
      </w:r>
      <w:r w:rsidR="00D311AC" w:rsidRPr="00236CDB">
        <w:rPr>
          <w:rStyle w:val="FootnoteReference"/>
          <w:szCs w:val="24"/>
        </w:rPr>
        <w:footnoteReference w:id="4"/>
      </w:r>
    </w:p>
    <w:p w:rsidR="00D311AC" w:rsidRPr="00236CDB" w:rsidRDefault="00D311AC" w:rsidP="006C43E8">
      <w:pPr>
        <w:pStyle w:val="Heading2"/>
      </w:pPr>
      <w:r w:rsidRPr="00236CDB">
        <w:t xml:space="preserve">The existing </w:t>
      </w:r>
      <w:r w:rsidR="00667101" w:rsidRPr="00236CDB">
        <w:t xml:space="preserve">USF </w:t>
      </w:r>
      <w:r w:rsidRPr="00236CDB">
        <w:t xml:space="preserve">rider </w:t>
      </w:r>
      <w:r w:rsidR="00190439">
        <w:t>rate</w:t>
      </w:r>
      <w:r w:rsidR="00CD0BDC">
        <w:t xml:space="preserve"> </w:t>
      </w:r>
      <w:r w:rsidR="00190439">
        <w:t xml:space="preserve">design and ODSA’s proposal to extend the long-standing rate design </w:t>
      </w:r>
      <w:r w:rsidRPr="00236CDB">
        <w:t>complies with the</w:t>
      </w:r>
      <w:r w:rsidR="00236CDB" w:rsidRPr="00236CDB">
        <w:t xml:space="preserve"> s</w:t>
      </w:r>
      <w:r w:rsidRPr="00236CDB">
        <w:t>tatutory requirements</w:t>
      </w:r>
      <w:r w:rsidR="008D2A3F">
        <w:t xml:space="preserve"> of R.C. 4928.52</w:t>
      </w:r>
    </w:p>
    <w:p w:rsidR="0054343B" w:rsidRDefault="00667101" w:rsidP="002E5AC8">
      <w:pPr>
        <w:spacing w:line="480" w:lineRule="auto"/>
        <w:jc w:val="both"/>
      </w:pPr>
      <w:r w:rsidRPr="00236CDB">
        <w:rPr>
          <w:szCs w:val="24"/>
        </w:rPr>
        <w:tab/>
      </w:r>
      <w:r w:rsidR="00D976B0">
        <w:t>In preparation of submitting its NOI to the Commission</w:t>
      </w:r>
      <w:r w:rsidR="00A36DD1">
        <w:t xml:space="preserve"> in this proceeding</w:t>
      </w:r>
      <w:r w:rsidR="00D976B0">
        <w:t xml:space="preserve">, </w:t>
      </w:r>
      <w:r w:rsidR="00A36DD1">
        <w:t xml:space="preserve">ODSA consulted with PBAB </w:t>
      </w:r>
      <w:r w:rsidR="00733112">
        <w:t xml:space="preserve">at its May 17, 2017 meeting </w:t>
      </w:r>
      <w:r w:rsidR="00A36DD1">
        <w:t xml:space="preserve">regarding its proposed methodologies </w:t>
      </w:r>
      <w:r w:rsidR="00A36DD1">
        <w:lastRenderedPageBreak/>
        <w:t>to establish the revenue requirement and rate design for the 2018 USF riders.</w:t>
      </w:r>
      <w:r w:rsidR="00A36DD1">
        <w:rPr>
          <w:rStyle w:val="FootnoteReference"/>
        </w:rPr>
        <w:footnoteReference w:id="5"/>
      </w:r>
      <w:r w:rsidR="00A36DD1">
        <w:t xml:space="preserve">  </w:t>
      </w:r>
      <w:r w:rsidR="0054343B">
        <w:t>At this meeting</w:t>
      </w:r>
      <w:r w:rsidR="00CD0BDC">
        <w:t>,</w:t>
      </w:r>
      <w:r w:rsidR="0054343B">
        <w:t xml:space="preserve"> t</w:t>
      </w:r>
      <w:r w:rsidR="00A36DD1">
        <w:t xml:space="preserve">he board recommended that ODSA adopt the methodologies </w:t>
      </w:r>
      <w:r w:rsidR="0054343B">
        <w:t>contained in the NOI</w:t>
      </w:r>
      <w:r w:rsidR="00D976B0">
        <w:t>.</w:t>
      </w:r>
      <w:r w:rsidR="00D976B0">
        <w:rPr>
          <w:rStyle w:val="FootnoteReference"/>
        </w:rPr>
        <w:footnoteReference w:id="6"/>
      </w:r>
      <w:r w:rsidR="001D5449">
        <w:t xml:space="preserve">  </w:t>
      </w:r>
    </w:p>
    <w:p w:rsidR="009A1146" w:rsidRDefault="0054343B" w:rsidP="002E5AC8">
      <w:pPr>
        <w:spacing w:line="480" w:lineRule="auto"/>
        <w:jc w:val="both"/>
      </w:pPr>
      <w:r>
        <w:tab/>
        <w:t xml:space="preserve">On June 1, 2017, ODSA filed the NOI with the Commission setting forth </w:t>
      </w:r>
      <w:r w:rsidR="00B65B49">
        <w:t>the specifics regarding the two-step declining block rate design methodology</w:t>
      </w:r>
      <w:r w:rsidR="00387E2B">
        <w:t xml:space="preserve"> that ODSA proposes to utilize for the 2018 USF riders</w:t>
      </w:r>
      <w:r w:rsidR="00B65B49">
        <w:t>.</w:t>
      </w:r>
      <w:r w:rsidR="00B65B49">
        <w:rPr>
          <w:rStyle w:val="FootnoteReference"/>
        </w:rPr>
        <w:footnoteReference w:id="7"/>
      </w:r>
      <w:r w:rsidR="00B65B49">
        <w:t xml:space="preserve">  </w:t>
      </w:r>
      <w:r w:rsidR="00387E2B">
        <w:t>The NOI was admitted into the record as ODSA Exhibit 1, and was further supported by the testimony of ODSA witness Meadows.</w:t>
      </w:r>
      <w:r w:rsidR="009A1146">
        <w:rPr>
          <w:rStyle w:val="FootnoteReference"/>
        </w:rPr>
        <w:footnoteReference w:id="8"/>
      </w:r>
      <w:r w:rsidR="00387E2B">
        <w:t xml:space="preserve">  </w:t>
      </w:r>
      <w:r w:rsidR="00642B89">
        <w:t>No party presented evidence opposing the continuation of the two-step declining block rate design (the evidence presented by Kroger focuses solely on whether a mercantile customer can aggregate its usage across multiple accounts and subject the aggregated usage to the two-step declining block rate design</w:t>
      </w:r>
      <w:r w:rsidR="00336D46">
        <w:t>)</w:t>
      </w:r>
      <w:r w:rsidR="00642B89">
        <w:t>.</w:t>
      </w:r>
      <w:r w:rsidR="00642B89">
        <w:rPr>
          <w:rStyle w:val="FootnoteReference"/>
        </w:rPr>
        <w:footnoteReference w:id="9"/>
      </w:r>
      <w:r w:rsidR="00642B89">
        <w:t xml:space="preserve">  Thus, the record adequately supports the adoption of ODSA’s recommended rate design for the 2018 USF riders.</w:t>
      </w:r>
    </w:p>
    <w:p w:rsidR="0054343B" w:rsidRDefault="009A1146" w:rsidP="002E5AC8">
      <w:pPr>
        <w:spacing w:line="480" w:lineRule="auto"/>
        <w:jc w:val="both"/>
      </w:pPr>
      <w:r>
        <w:tab/>
      </w:r>
      <w:r w:rsidR="00642B89">
        <w:t xml:space="preserve">The Commission has also repeatedly found that this rate design is lawful and reasonable.  </w:t>
      </w:r>
      <w:r w:rsidR="0054343B" w:rsidRPr="00236CDB">
        <w:rPr>
          <w:szCs w:val="24"/>
        </w:rPr>
        <w:t xml:space="preserve">The </w:t>
      </w:r>
      <w:r w:rsidR="00387E2B">
        <w:rPr>
          <w:szCs w:val="24"/>
        </w:rPr>
        <w:t>two-step declining block rate design methodology</w:t>
      </w:r>
      <w:r w:rsidR="0054343B" w:rsidRPr="00236CDB">
        <w:rPr>
          <w:szCs w:val="24"/>
        </w:rPr>
        <w:t xml:space="preserve"> </w:t>
      </w:r>
      <w:r w:rsidR="0054343B">
        <w:t>was first adopted in 2001, and has been approved as part of a jointly-sponsored stipulation in each annual USF proceeding since then.</w:t>
      </w:r>
      <w:r w:rsidR="0054343B">
        <w:rPr>
          <w:rStyle w:val="FootnoteReference"/>
        </w:rPr>
        <w:footnoteReference w:id="10"/>
      </w:r>
      <w:r w:rsidR="0054343B">
        <w:t xml:space="preserve">  In approving the jointly-sponsored stipulations in the prior USF proceedings, the Commission has found that the use of the recommended two-step declining block rate design does not violate R.C. 4928.52(C).</w:t>
      </w:r>
      <w:r w:rsidR="0054343B">
        <w:rPr>
          <w:rStyle w:val="FootnoteReference"/>
        </w:rPr>
        <w:footnoteReference w:id="11"/>
      </w:r>
    </w:p>
    <w:p w:rsidR="003C2A2B" w:rsidRDefault="003C2A2B" w:rsidP="00387E2B">
      <w:pPr>
        <w:spacing w:line="480" w:lineRule="auto"/>
      </w:pPr>
      <w:r>
        <w:lastRenderedPageBreak/>
        <w:tab/>
        <w:t>Accordingly, the NOI is reasonable and lawful and should be adopted.</w:t>
      </w:r>
    </w:p>
    <w:p w:rsidR="003C2A2B" w:rsidRDefault="003C2A2B" w:rsidP="003C2A2B">
      <w:pPr>
        <w:pStyle w:val="Heading1"/>
      </w:pPr>
      <w:r>
        <w:t>conclusion</w:t>
      </w:r>
    </w:p>
    <w:p w:rsidR="00F7606E" w:rsidRDefault="009A1146" w:rsidP="003C2A2B">
      <w:pPr>
        <w:spacing w:line="480" w:lineRule="auto"/>
        <w:jc w:val="both"/>
      </w:pPr>
      <w:r>
        <w:tab/>
      </w:r>
      <w:r w:rsidR="003C2A2B">
        <w:t>T</w:t>
      </w:r>
      <w:r w:rsidR="00A36DD1">
        <w:t xml:space="preserve">he </w:t>
      </w:r>
      <w:r w:rsidR="003C2A2B">
        <w:t xml:space="preserve">continuation of the existing </w:t>
      </w:r>
      <w:r w:rsidR="00774CA4">
        <w:t xml:space="preserve">two-step declining block </w:t>
      </w:r>
      <w:r w:rsidR="00A36DD1">
        <w:t xml:space="preserve">rate design methodology proposed by ODSA </w:t>
      </w:r>
      <w:r w:rsidR="00774CA4">
        <w:t xml:space="preserve">for the 2018 USF riders </w:t>
      </w:r>
      <w:r w:rsidR="00A36DD1">
        <w:t>complies with the requirements of R.C. 4928.52(B) (consultation with PBAB) and R.C. 4928</w:t>
      </w:r>
      <w:r w:rsidR="00774CA4">
        <w:t>.52(C) (not shifting co</w:t>
      </w:r>
      <w:r w:rsidR="00B65B49">
        <w:t>sts among the customer classes) and is properly set forth in t</w:t>
      </w:r>
      <w:r w:rsidR="003C2A2B">
        <w:t>he record before the Commission.  Therefore,</w:t>
      </w:r>
      <w:r w:rsidR="00B65B49">
        <w:t xml:space="preserve"> the Commission should find that this rate design methodology is lawful and reasonable and should be adopted for </w:t>
      </w:r>
      <w:r w:rsidR="00B65B49" w:rsidRPr="008D2A3F">
        <w:rPr>
          <w:szCs w:val="24"/>
        </w:rPr>
        <w:t>the 2018 USF riders.</w:t>
      </w:r>
      <w:r w:rsidR="00774CA4" w:rsidRPr="008D2A3F">
        <w:rPr>
          <w:szCs w:val="24"/>
        </w:rPr>
        <w:t xml:space="preserve">  </w:t>
      </w:r>
    </w:p>
    <w:p w:rsidR="00762119" w:rsidRDefault="00537D74">
      <w:pPr>
        <w:tabs>
          <w:tab w:val="left" w:pos="4320"/>
          <w:tab w:val="right" w:pos="8640"/>
        </w:tabs>
        <w:jc w:val="both"/>
      </w:pPr>
      <w:r>
        <w:tab/>
        <w:t>Respectfully submitted,</w:t>
      </w:r>
    </w:p>
    <w:p w:rsidR="00762119" w:rsidRDefault="00762119">
      <w:pPr>
        <w:tabs>
          <w:tab w:val="left" w:pos="4320"/>
          <w:tab w:val="right" w:pos="8640"/>
        </w:tabs>
        <w:jc w:val="both"/>
      </w:pPr>
    </w:p>
    <w:p w:rsidR="00537D74" w:rsidRPr="00320E03" w:rsidRDefault="00294B9F" w:rsidP="003055FC">
      <w:pPr>
        <w:tabs>
          <w:tab w:val="left" w:pos="4320"/>
          <w:tab w:val="right" w:pos="8640"/>
        </w:tabs>
        <w:ind w:left="4320"/>
        <w:jc w:val="both"/>
        <w:rPr>
          <w:i/>
        </w:rPr>
      </w:pPr>
      <w:r w:rsidRPr="00320E03">
        <w:rPr>
          <w:i/>
          <w:u w:val="single"/>
        </w:rPr>
        <w:t>/s/ Matthew R. Pritchard</w:t>
      </w:r>
      <w:r w:rsidRPr="00320E03">
        <w:rPr>
          <w:i/>
          <w:u w:val="single"/>
        </w:rPr>
        <w:tab/>
      </w:r>
    </w:p>
    <w:p w:rsidR="00537D74" w:rsidRDefault="00537D74" w:rsidP="00537D74">
      <w:pPr>
        <w:pStyle w:val="BodyText3"/>
        <w:widowControl w:val="0"/>
        <w:tabs>
          <w:tab w:val="left" w:pos="4320"/>
        </w:tabs>
        <w:ind w:left="4320"/>
        <w:jc w:val="both"/>
        <w:rPr>
          <w:b w:val="0"/>
          <w:bCs/>
        </w:rPr>
      </w:pPr>
      <w:r>
        <w:rPr>
          <w:b w:val="0"/>
          <w:bCs/>
        </w:rPr>
        <w:t>Frank P. Darr (Reg. No. 0025469)</w:t>
      </w:r>
    </w:p>
    <w:p w:rsidR="00350B8F" w:rsidRDefault="00350B8F" w:rsidP="00537D74">
      <w:pPr>
        <w:pStyle w:val="BodyText3"/>
        <w:widowControl w:val="0"/>
        <w:tabs>
          <w:tab w:val="left" w:pos="4320"/>
        </w:tabs>
        <w:ind w:left="4320"/>
        <w:jc w:val="both"/>
        <w:rPr>
          <w:b w:val="0"/>
          <w:bCs/>
        </w:rPr>
      </w:pPr>
      <w:r>
        <w:rPr>
          <w:b w:val="0"/>
          <w:bCs/>
        </w:rPr>
        <w:t>(Counsel of Record)</w:t>
      </w:r>
    </w:p>
    <w:p w:rsidR="00537D74" w:rsidRDefault="00537D74" w:rsidP="00537D74">
      <w:pPr>
        <w:pStyle w:val="BodyText3"/>
        <w:widowControl w:val="0"/>
        <w:tabs>
          <w:tab w:val="left" w:pos="4320"/>
        </w:tabs>
        <w:ind w:left="4320"/>
        <w:jc w:val="both"/>
        <w:rPr>
          <w:b w:val="0"/>
          <w:bCs/>
        </w:rPr>
      </w:pPr>
      <w:r>
        <w:rPr>
          <w:b w:val="0"/>
          <w:bCs/>
        </w:rPr>
        <w:t>Matthew R. Pritchard (Reg. No. 0088070)</w:t>
      </w:r>
    </w:p>
    <w:p w:rsidR="00537D74" w:rsidRDefault="00537D74" w:rsidP="00537D74">
      <w:pPr>
        <w:pStyle w:val="BodyText3"/>
        <w:widowControl w:val="0"/>
        <w:tabs>
          <w:tab w:val="left" w:pos="4320"/>
        </w:tabs>
        <w:ind w:left="4320"/>
        <w:jc w:val="both"/>
        <w:rPr>
          <w:b w:val="0"/>
          <w:bCs/>
          <w:smallCaps/>
          <w:szCs w:val="24"/>
        </w:rPr>
      </w:pPr>
      <w:r>
        <w:rPr>
          <w:b w:val="0"/>
          <w:bCs/>
          <w:smallCaps/>
          <w:szCs w:val="24"/>
        </w:rPr>
        <w:t>McNees Wallace &amp; Nurick LLC</w:t>
      </w:r>
    </w:p>
    <w:p w:rsidR="00537D74" w:rsidRDefault="00537D74" w:rsidP="00537D74">
      <w:pPr>
        <w:pStyle w:val="BodyText3"/>
        <w:widowControl w:val="0"/>
        <w:tabs>
          <w:tab w:val="left" w:pos="4320"/>
        </w:tabs>
        <w:ind w:left="4320"/>
        <w:jc w:val="both"/>
        <w:rPr>
          <w:b w:val="0"/>
          <w:bCs/>
        </w:rPr>
      </w:pPr>
      <w:r>
        <w:rPr>
          <w:b w:val="0"/>
          <w:bCs/>
        </w:rPr>
        <w:t>21 East State Street, 17</w:t>
      </w:r>
      <w:r>
        <w:rPr>
          <w:b w:val="0"/>
          <w:bCs/>
          <w:vertAlign w:val="superscript"/>
        </w:rPr>
        <w:t>TH</w:t>
      </w:r>
      <w:r>
        <w:rPr>
          <w:b w:val="0"/>
          <w:bCs/>
        </w:rPr>
        <w:t xml:space="preserve"> Floor</w:t>
      </w:r>
    </w:p>
    <w:p w:rsidR="00537D74" w:rsidRDefault="00537D74" w:rsidP="00537D74">
      <w:pPr>
        <w:pStyle w:val="BodyText"/>
        <w:tabs>
          <w:tab w:val="left" w:pos="4320"/>
        </w:tabs>
        <w:ind w:left="4320"/>
      </w:pPr>
      <w:r>
        <w:t>Columbus, OH  43215</w:t>
      </w:r>
    </w:p>
    <w:p w:rsidR="00537D74" w:rsidRDefault="00537D74" w:rsidP="00537D74">
      <w:pPr>
        <w:pStyle w:val="BodyText"/>
        <w:tabs>
          <w:tab w:val="left" w:pos="4320"/>
        </w:tabs>
        <w:ind w:left="4320"/>
      </w:pPr>
      <w:r>
        <w:t>Telephone:  (614) 469-8000</w:t>
      </w:r>
    </w:p>
    <w:p w:rsidR="00537D74" w:rsidRDefault="00537D74" w:rsidP="00537D74">
      <w:pPr>
        <w:pStyle w:val="BodyText"/>
        <w:tabs>
          <w:tab w:val="left" w:pos="4320"/>
        </w:tabs>
        <w:ind w:left="4320"/>
      </w:pPr>
      <w:r>
        <w:t>Telecopier:  (614) 469-4653</w:t>
      </w:r>
    </w:p>
    <w:p w:rsidR="00537D74" w:rsidRDefault="00537D74" w:rsidP="00537D74">
      <w:pPr>
        <w:pStyle w:val="BodyText"/>
        <w:tabs>
          <w:tab w:val="left" w:pos="4320"/>
        </w:tabs>
        <w:ind w:left="4320"/>
      </w:pPr>
      <w:r>
        <w:t>fdarr@mwncmh.com</w:t>
      </w:r>
    </w:p>
    <w:p w:rsidR="00537D74" w:rsidRDefault="00537D74" w:rsidP="00537D74">
      <w:pPr>
        <w:pStyle w:val="BodyText"/>
        <w:tabs>
          <w:tab w:val="left" w:pos="4320"/>
        </w:tabs>
        <w:ind w:left="4320"/>
      </w:pPr>
      <w:r>
        <w:t>mpritchard@mwncmh.com</w:t>
      </w:r>
    </w:p>
    <w:p w:rsidR="00762119" w:rsidRDefault="00762119" w:rsidP="00537D74">
      <w:pPr>
        <w:tabs>
          <w:tab w:val="left" w:pos="4320"/>
          <w:tab w:val="right" w:pos="8640"/>
        </w:tabs>
        <w:jc w:val="both"/>
      </w:pPr>
    </w:p>
    <w:p w:rsidR="00762119" w:rsidRDefault="00537D74">
      <w:pPr>
        <w:pStyle w:val="Title"/>
        <w:tabs>
          <w:tab w:val="left" w:pos="4320"/>
        </w:tabs>
        <w:jc w:val="left"/>
        <w:rPr>
          <w:smallCaps w:val="0"/>
          <w:sz w:val="24"/>
        </w:rPr>
      </w:pPr>
      <w:r>
        <w:rPr>
          <w:smallCaps w:val="0"/>
          <w:sz w:val="24"/>
        </w:rPr>
        <w:tab/>
        <w:t>Attorneys for Industrial Energy Users-Ohio</w:t>
      </w:r>
    </w:p>
    <w:p w:rsidR="00762119" w:rsidRDefault="00762119">
      <w:pPr>
        <w:pStyle w:val="Title"/>
        <w:rPr>
          <w:b w:val="0"/>
        </w:rPr>
      </w:pPr>
    </w:p>
    <w:p w:rsidR="00762119" w:rsidRDefault="00762119">
      <w:pPr>
        <w:pStyle w:val="Title"/>
        <w:tabs>
          <w:tab w:val="left" w:pos="4320"/>
        </w:tabs>
        <w:jc w:val="left"/>
        <w:rPr>
          <w:smallCaps w:val="0"/>
          <w:sz w:val="24"/>
        </w:rPr>
      </w:pPr>
    </w:p>
    <w:p w:rsidR="00762119" w:rsidRDefault="00762119">
      <w:pPr>
        <w:tabs>
          <w:tab w:val="left" w:pos="2160"/>
          <w:tab w:val="left" w:pos="2280"/>
        </w:tabs>
        <w:jc w:val="center"/>
        <w:rPr>
          <w:b/>
        </w:rPr>
        <w:sectPr w:rsidR="00762119" w:rsidSect="00AE4837">
          <w:headerReference w:type="default" r:id="rId14"/>
          <w:footerReference w:type="default" r:id="rId15"/>
          <w:headerReference w:type="first" r:id="rId16"/>
          <w:footerReference w:type="first" r:id="rId17"/>
          <w:pgSz w:w="12240" w:h="15840" w:code="1"/>
          <w:pgMar w:top="1296" w:right="1440" w:bottom="1296" w:left="1440" w:header="720" w:footer="720" w:gutter="0"/>
          <w:pgNumType w:start="1"/>
          <w:cols w:space="720"/>
          <w:titlePg/>
          <w:docGrid w:linePitch="326"/>
        </w:sectPr>
      </w:pPr>
    </w:p>
    <w:p w:rsidR="00762119" w:rsidRDefault="00537D74">
      <w:pPr>
        <w:tabs>
          <w:tab w:val="left" w:pos="2160"/>
          <w:tab w:val="left" w:pos="2280"/>
        </w:tabs>
        <w:jc w:val="center"/>
        <w:rPr>
          <w:rFonts w:ascii="Arial Bold" w:hAnsi="Arial Bold"/>
          <w:b/>
          <w:smallCaps/>
          <w:sz w:val="28"/>
          <w:u w:val="single"/>
        </w:rPr>
      </w:pPr>
      <w:r>
        <w:rPr>
          <w:rFonts w:ascii="Arial Bold" w:hAnsi="Arial Bold"/>
          <w:b/>
          <w:smallCaps/>
          <w:sz w:val="28"/>
          <w:u w:val="single"/>
        </w:rPr>
        <w:lastRenderedPageBreak/>
        <w:t>Certificate of Service</w:t>
      </w:r>
    </w:p>
    <w:p w:rsidR="00762119" w:rsidRDefault="00762119"/>
    <w:p w:rsidR="00E66B49" w:rsidRPr="00E66B49" w:rsidRDefault="00E66B49" w:rsidP="00E66B49">
      <w:pPr>
        <w:pStyle w:val="BodyText"/>
        <w:spacing w:line="480" w:lineRule="auto"/>
        <w:ind w:firstLine="720"/>
      </w:pPr>
      <w:r w:rsidRPr="00E66B49">
        <w:t>In accordance with Rule 4901-1-05, Ohio Ad</w:t>
      </w:r>
      <w:r w:rsidR="008A2580">
        <w:t>ministrative Code, the PUCO's e</w:t>
      </w:r>
      <w:r w:rsidR="008A2580">
        <w:noBreakHyphen/>
      </w:r>
      <w:r w:rsidRPr="00E66B49">
        <w:t xml:space="preserve">filing system will electronically serve notice of the filing of this document upon the following parties.  In addition, I hereby certify that a service copy of the foregoing </w:t>
      </w:r>
      <w:r w:rsidR="00F7606E">
        <w:rPr>
          <w:i/>
        </w:rPr>
        <w:t xml:space="preserve">Initial Brief of Industrial Energy Users-Ohio </w:t>
      </w:r>
      <w:r w:rsidRPr="00E66B49">
        <w:t xml:space="preserve">was sent by, or on behalf of, the undersigned counsel for IEU-Ohio to the following parties of record this </w:t>
      </w:r>
      <w:r w:rsidR="00F7606E">
        <w:t>28</w:t>
      </w:r>
      <w:r w:rsidR="00F7606E" w:rsidRPr="00F7606E">
        <w:rPr>
          <w:vertAlign w:val="superscript"/>
        </w:rPr>
        <w:t>th</w:t>
      </w:r>
      <w:r w:rsidR="00F7606E">
        <w:t xml:space="preserve"> </w:t>
      </w:r>
      <w:r w:rsidRPr="00E66B49">
        <w:t xml:space="preserve">day of </w:t>
      </w:r>
      <w:r w:rsidR="00F7606E">
        <w:t xml:space="preserve">August </w:t>
      </w:r>
      <w:r>
        <w:t>201</w:t>
      </w:r>
      <w:r w:rsidR="00631E34">
        <w:t>7</w:t>
      </w:r>
      <w:r>
        <w:t xml:space="preserve">, </w:t>
      </w:r>
      <w:r w:rsidRPr="00E66B49">
        <w:rPr>
          <w:i/>
        </w:rPr>
        <w:t>via</w:t>
      </w:r>
      <w:r w:rsidRPr="00E66B49">
        <w:t xml:space="preserve"> electronic transmission. </w:t>
      </w:r>
    </w:p>
    <w:p w:rsidR="00451593" w:rsidRPr="00320E03" w:rsidRDefault="00537D74" w:rsidP="003055FC">
      <w:pPr>
        <w:tabs>
          <w:tab w:val="center" w:pos="7200"/>
          <w:tab w:val="right" w:pos="9360"/>
        </w:tabs>
        <w:ind w:left="5040"/>
        <w:rPr>
          <w:i/>
          <w:u w:val="single"/>
        </w:rPr>
      </w:pPr>
      <w:r w:rsidRPr="00320E03">
        <w:rPr>
          <w:i/>
          <w:u w:val="single"/>
        </w:rPr>
        <w:t>/s/ Matthew R. Pritchard</w:t>
      </w:r>
      <w:r w:rsidRPr="00320E03">
        <w:rPr>
          <w:i/>
          <w:u w:val="single"/>
        </w:rPr>
        <w:tab/>
      </w:r>
    </w:p>
    <w:p w:rsidR="00762119" w:rsidRPr="00294B9F" w:rsidRDefault="00537D74" w:rsidP="003055FC">
      <w:pPr>
        <w:tabs>
          <w:tab w:val="center" w:pos="7200"/>
          <w:tab w:val="right" w:pos="9360"/>
        </w:tabs>
        <w:ind w:left="5760"/>
        <w:rPr>
          <w:u w:val="single"/>
        </w:rPr>
      </w:pPr>
      <w:r>
        <w:t>Matthew R. Pritchard</w:t>
      </w:r>
    </w:p>
    <w:p w:rsidR="00240E0A" w:rsidRDefault="00240E0A" w:rsidP="00451593">
      <w:pPr>
        <w:autoSpaceDE w:val="0"/>
        <w:autoSpaceDN w:val="0"/>
        <w:adjustRightInd w:val="0"/>
        <w:rPr>
          <w:b/>
          <w:sz w:val="20"/>
          <w:szCs w:val="20"/>
        </w:rPr>
      </w:pPr>
    </w:p>
    <w:p w:rsidR="00240E0A" w:rsidRDefault="00240E0A" w:rsidP="00451593">
      <w:pPr>
        <w:autoSpaceDE w:val="0"/>
        <w:autoSpaceDN w:val="0"/>
        <w:adjustRightInd w:val="0"/>
        <w:rPr>
          <w:b/>
          <w:sz w:val="20"/>
          <w:szCs w:val="20"/>
        </w:rPr>
        <w:sectPr w:rsidR="00240E0A" w:rsidSect="00240E0A">
          <w:headerReference w:type="default" r:id="rId18"/>
          <w:footerReference w:type="default" r:id="rId19"/>
          <w:headerReference w:type="first" r:id="rId20"/>
          <w:footerReference w:type="first" r:id="rId21"/>
          <w:pgSz w:w="12240" w:h="15840" w:code="1"/>
          <w:pgMar w:top="1440" w:right="1440" w:bottom="1141" w:left="1440" w:header="720" w:footer="720" w:gutter="0"/>
          <w:pgNumType w:start="1"/>
          <w:cols w:space="720"/>
          <w:titlePg/>
          <w:docGrid w:linePitch="326"/>
        </w:sectPr>
      </w:pPr>
    </w:p>
    <w:p w:rsidR="008B3F62" w:rsidRPr="008B3F62" w:rsidRDefault="008B3F62" w:rsidP="008B3F62">
      <w:pPr>
        <w:autoSpaceDE w:val="0"/>
        <w:autoSpaceDN w:val="0"/>
        <w:adjustRightInd w:val="0"/>
        <w:rPr>
          <w:b/>
          <w:sz w:val="20"/>
          <w:szCs w:val="20"/>
        </w:rPr>
      </w:pPr>
      <w:r w:rsidRPr="008B3F62">
        <w:rPr>
          <w:b/>
          <w:sz w:val="20"/>
          <w:szCs w:val="20"/>
        </w:rPr>
        <w:t>Dane Stinson</w:t>
      </w:r>
    </w:p>
    <w:p w:rsidR="008B3F62" w:rsidRPr="008B3F62" w:rsidRDefault="008B3F62" w:rsidP="008B3F62">
      <w:pPr>
        <w:autoSpaceDE w:val="0"/>
        <w:autoSpaceDN w:val="0"/>
        <w:adjustRightInd w:val="0"/>
        <w:rPr>
          <w:sz w:val="20"/>
          <w:szCs w:val="20"/>
        </w:rPr>
      </w:pPr>
      <w:r w:rsidRPr="008B3F62">
        <w:rPr>
          <w:sz w:val="20"/>
          <w:szCs w:val="20"/>
        </w:rPr>
        <w:t>BRICKER &amp; ECKLER LLP</w:t>
      </w:r>
    </w:p>
    <w:p w:rsidR="008B3F62" w:rsidRPr="008B3F62" w:rsidRDefault="008B3F62" w:rsidP="008B3F62">
      <w:pPr>
        <w:autoSpaceDE w:val="0"/>
        <w:autoSpaceDN w:val="0"/>
        <w:adjustRightInd w:val="0"/>
        <w:rPr>
          <w:sz w:val="20"/>
          <w:szCs w:val="20"/>
        </w:rPr>
      </w:pPr>
      <w:r w:rsidRPr="008B3F62">
        <w:rPr>
          <w:sz w:val="20"/>
          <w:szCs w:val="20"/>
        </w:rPr>
        <w:t>100 South Third Street</w:t>
      </w:r>
    </w:p>
    <w:p w:rsidR="008B3F62" w:rsidRPr="008B3F62" w:rsidRDefault="008B3F62" w:rsidP="008B3F62">
      <w:pPr>
        <w:autoSpaceDE w:val="0"/>
        <w:autoSpaceDN w:val="0"/>
        <w:adjustRightInd w:val="0"/>
        <w:rPr>
          <w:sz w:val="20"/>
          <w:szCs w:val="20"/>
        </w:rPr>
      </w:pPr>
      <w:r w:rsidRPr="008B3F62">
        <w:rPr>
          <w:sz w:val="20"/>
          <w:szCs w:val="20"/>
        </w:rPr>
        <w:t>Columbus, OH 43215-4291</w:t>
      </w:r>
    </w:p>
    <w:p w:rsidR="008B3F62" w:rsidRPr="008B3F62" w:rsidRDefault="008B3F62" w:rsidP="008B3F62">
      <w:pPr>
        <w:autoSpaceDE w:val="0"/>
        <w:autoSpaceDN w:val="0"/>
        <w:adjustRightInd w:val="0"/>
        <w:rPr>
          <w:sz w:val="20"/>
          <w:szCs w:val="20"/>
        </w:rPr>
      </w:pPr>
      <w:r w:rsidRPr="008B3F62">
        <w:rPr>
          <w:sz w:val="20"/>
          <w:szCs w:val="20"/>
        </w:rPr>
        <w:t>dstinson@bricker.com</w:t>
      </w:r>
    </w:p>
    <w:p w:rsidR="008B3F62" w:rsidRPr="008B3F62" w:rsidRDefault="008B3F62" w:rsidP="008B3F62">
      <w:pPr>
        <w:tabs>
          <w:tab w:val="left" w:pos="2160"/>
          <w:tab w:val="left" w:pos="2280"/>
        </w:tabs>
        <w:rPr>
          <w:sz w:val="20"/>
          <w:szCs w:val="20"/>
        </w:rPr>
      </w:pPr>
    </w:p>
    <w:p w:rsidR="008B3F62" w:rsidRPr="008B3F62" w:rsidRDefault="008B3F62" w:rsidP="008B3F62">
      <w:pPr>
        <w:tabs>
          <w:tab w:val="left" w:pos="2160"/>
          <w:tab w:val="left" w:pos="2280"/>
        </w:tabs>
        <w:rPr>
          <w:rFonts w:ascii="Arial Bold" w:eastAsia="Times New Roman" w:hAnsi="Arial Bold"/>
          <w:b/>
          <w:smallCaps/>
          <w:sz w:val="20"/>
          <w:szCs w:val="20"/>
        </w:rPr>
      </w:pPr>
      <w:r w:rsidRPr="008B3F62">
        <w:rPr>
          <w:rFonts w:ascii="Arial Bold" w:hAnsi="Arial Bold"/>
          <w:b/>
          <w:smallCaps/>
          <w:sz w:val="20"/>
          <w:szCs w:val="20"/>
        </w:rPr>
        <w:t>Counsel for the Ohio Development Services Agency (ODSA)</w:t>
      </w:r>
    </w:p>
    <w:p w:rsidR="008B3F62" w:rsidRPr="008B3F62" w:rsidRDefault="008B3F62" w:rsidP="008B3F62">
      <w:pPr>
        <w:autoSpaceDE w:val="0"/>
        <w:autoSpaceDN w:val="0"/>
        <w:adjustRightInd w:val="0"/>
        <w:rPr>
          <w:rFonts w:eastAsia="Times New Roman"/>
          <w:sz w:val="20"/>
          <w:szCs w:val="20"/>
        </w:rPr>
      </w:pPr>
    </w:p>
    <w:p w:rsidR="008B3F62" w:rsidRPr="008B3F62" w:rsidRDefault="008B3F62" w:rsidP="008B3F62">
      <w:pPr>
        <w:autoSpaceDE w:val="0"/>
        <w:autoSpaceDN w:val="0"/>
        <w:adjustRightInd w:val="0"/>
        <w:rPr>
          <w:sz w:val="20"/>
          <w:szCs w:val="20"/>
        </w:rPr>
      </w:pPr>
      <w:r w:rsidRPr="008B3F62">
        <w:rPr>
          <w:b/>
          <w:sz w:val="20"/>
          <w:szCs w:val="20"/>
        </w:rPr>
        <w:t xml:space="preserve">Amy B. Spiller </w:t>
      </w:r>
      <w:r w:rsidRPr="008B3F62">
        <w:rPr>
          <w:sz w:val="20"/>
          <w:szCs w:val="20"/>
        </w:rPr>
        <w:t>(Reg. No. 0047277)</w:t>
      </w:r>
    </w:p>
    <w:p w:rsidR="008B3F62" w:rsidRPr="008B3F62" w:rsidRDefault="008B3F62" w:rsidP="008B3F62">
      <w:pPr>
        <w:autoSpaceDE w:val="0"/>
        <w:autoSpaceDN w:val="0"/>
        <w:adjustRightInd w:val="0"/>
        <w:rPr>
          <w:sz w:val="20"/>
          <w:szCs w:val="20"/>
        </w:rPr>
      </w:pPr>
      <w:r w:rsidRPr="008B3F62">
        <w:rPr>
          <w:sz w:val="20"/>
          <w:szCs w:val="20"/>
        </w:rPr>
        <w:t>Deputy General Counsel</w:t>
      </w:r>
    </w:p>
    <w:p w:rsidR="008B3F62" w:rsidRPr="008B3F62" w:rsidRDefault="008B3F62" w:rsidP="008B3F62">
      <w:pPr>
        <w:autoSpaceDE w:val="0"/>
        <w:autoSpaceDN w:val="0"/>
        <w:adjustRightInd w:val="0"/>
        <w:rPr>
          <w:sz w:val="20"/>
          <w:szCs w:val="20"/>
        </w:rPr>
      </w:pPr>
      <w:r w:rsidRPr="008B3F62">
        <w:rPr>
          <w:b/>
          <w:sz w:val="20"/>
          <w:szCs w:val="20"/>
        </w:rPr>
        <w:t xml:space="preserve">Elizabeth H. Watts </w:t>
      </w:r>
      <w:r w:rsidRPr="008B3F62">
        <w:rPr>
          <w:sz w:val="20"/>
          <w:szCs w:val="20"/>
        </w:rPr>
        <w:t>(Reg. No. 0031092)</w:t>
      </w:r>
    </w:p>
    <w:p w:rsidR="008B3F62" w:rsidRPr="008B3F62" w:rsidRDefault="008B3F62" w:rsidP="008B3F62">
      <w:pPr>
        <w:autoSpaceDE w:val="0"/>
        <w:autoSpaceDN w:val="0"/>
        <w:adjustRightInd w:val="0"/>
        <w:rPr>
          <w:sz w:val="20"/>
          <w:szCs w:val="20"/>
        </w:rPr>
      </w:pPr>
      <w:r w:rsidRPr="008B3F62">
        <w:rPr>
          <w:sz w:val="20"/>
          <w:szCs w:val="20"/>
        </w:rPr>
        <w:t>Associate General Counsel</w:t>
      </w:r>
    </w:p>
    <w:p w:rsidR="008B3F62" w:rsidRPr="008B3F62" w:rsidRDefault="008B3F62" w:rsidP="008B3F62">
      <w:pPr>
        <w:autoSpaceDE w:val="0"/>
        <w:autoSpaceDN w:val="0"/>
        <w:adjustRightInd w:val="0"/>
        <w:rPr>
          <w:sz w:val="20"/>
          <w:szCs w:val="20"/>
        </w:rPr>
      </w:pPr>
      <w:r w:rsidRPr="008B3F62">
        <w:rPr>
          <w:sz w:val="20"/>
          <w:szCs w:val="20"/>
        </w:rPr>
        <w:t>139 E. Fourth Street, 1303-Main</w:t>
      </w:r>
    </w:p>
    <w:p w:rsidR="008B3F62" w:rsidRPr="008B3F62" w:rsidRDefault="008B3F62" w:rsidP="008B3F62">
      <w:pPr>
        <w:autoSpaceDE w:val="0"/>
        <w:autoSpaceDN w:val="0"/>
        <w:adjustRightInd w:val="0"/>
        <w:rPr>
          <w:sz w:val="20"/>
          <w:szCs w:val="20"/>
        </w:rPr>
      </w:pPr>
      <w:r w:rsidRPr="008B3F62">
        <w:rPr>
          <w:sz w:val="20"/>
          <w:szCs w:val="20"/>
        </w:rPr>
        <w:t>PO Box 960</w:t>
      </w:r>
    </w:p>
    <w:p w:rsidR="008B3F62" w:rsidRPr="008B3F62" w:rsidRDefault="008B3F62" w:rsidP="008B3F62">
      <w:pPr>
        <w:autoSpaceDE w:val="0"/>
        <w:autoSpaceDN w:val="0"/>
        <w:adjustRightInd w:val="0"/>
        <w:rPr>
          <w:sz w:val="20"/>
          <w:szCs w:val="20"/>
        </w:rPr>
      </w:pPr>
      <w:r w:rsidRPr="008B3F62">
        <w:rPr>
          <w:sz w:val="20"/>
          <w:szCs w:val="20"/>
        </w:rPr>
        <w:t>Cincinnati, OH  45201-0960</w:t>
      </w:r>
    </w:p>
    <w:p w:rsidR="008B3F62" w:rsidRPr="00AE4837" w:rsidRDefault="008B3F62" w:rsidP="008B3F62">
      <w:pPr>
        <w:autoSpaceDE w:val="0"/>
        <w:autoSpaceDN w:val="0"/>
        <w:adjustRightInd w:val="0"/>
        <w:rPr>
          <w:color w:val="000000" w:themeColor="text1"/>
          <w:sz w:val="20"/>
          <w:szCs w:val="20"/>
        </w:rPr>
      </w:pPr>
      <w:r w:rsidRPr="00AE4837">
        <w:rPr>
          <w:color w:val="000000" w:themeColor="text1"/>
          <w:sz w:val="20"/>
          <w:szCs w:val="20"/>
        </w:rPr>
        <w:t>Amy.Spiller@duke-energy.com</w:t>
      </w:r>
    </w:p>
    <w:p w:rsidR="008B3F62" w:rsidRPr="008B3F62" w:rsidRDefault="008B3F62" w:rsidP="008B3F62">
      <w:pPr>
        <w:autoSpaceDE w:val="0"/>
        <w:autoSpaceDN w:val="0"/>
        <w:adjustRightInd w:val="0"/>
        <w:rPr>
          <w:color w:val="000000" w:themeColor="text1"/>
          <w:sz w:val="20"/>
          <w:szCs w:val="20"/>
        </w:rPr>
      </w:pPr>
      <w:r w:rsidRPr="00AE4837">
        <w:rPr>
          <w:color w:val="000000" w:themeColor="text1"/>
          <w:sz w:val="20"/>
          <w:szCs w:val="20"/>
        </w:rPr>
        <w:t>Elizabeth.Watts@duke-energy.com</w:t>
      </w:r>
    </w:p>
    <w:p w:rsidR="008B3F62" w:rsidRPr="008B3F62" w:rsidRDefault="008B3F62" w:rsidP="008B3F62">
      <w:pPr>
        <w:autoSpaceDE w:val="0"/>
        <w:autoSpaceDN w:val="0"/>
        <w:adjustRightInd w:val="0"/>
        <w:rPr>
          <w:color w:val="000000" w:themeColor="text1"/>
          <w:sz w:val="20"/>
          <w:szCs w:val="20"/>
        </w:rPr>
      </w:pPr>
    </w:p>
    <w:p w:rsidR="008B3F62" w:rsidRPr="008B3F62" w:rsidRDefault="008B3F62" w:rsidP="008B3F62">
      <w:pPr>
        <w:tabs>
          <w:tab w:val="left" w:pos="2160"/>
          <w:tab w:val="left" w:pos="2280"/>
        </w:tabs>
        <w:rPr>
          <w:b/>
          <w:iCs/>
          <w:smallCaps/>
          <w:sz w:val="20"/>
          <w:szCs w:val="20"/>
        </w:rPr>
      </w:pPr>
      <w:r w:rsidRPr="008B3F62">
        <w:rPr>
          <w:b/>
          <w:iCs/>
          <w:smallCaps/>
          <w:sz w:val="20"/>
          <w:szCs w:val="20"/>
        </w:rPr>
        <w:t>Counsel for Duke Energy Ohio, Inc. (Duke)</w:t>
      </w:r>
    </w:p>
    <w:p w:rsidR="008B3F62" w:rsidRPr="008B3F62" w:rsidRDefault="008B3F62" w:rsidP="008B3F62">
      <w:pPr>
        <w:autoSpaceDE w:val="0"/>
        <w:autoSpaceDN w:val="0"/>
        <w:adjustRightInd w:val="0"/>
        <w:rPr>
          <w:color w:val="000000" w:themeColor="text1"/>
          <w:sz w:val="20"/>
          <w:szCs w:val="20"/>
        </w:rPr>
      </w:pPr>
    </w:p>
    <w:p w:rsidR="008B3F62" w:rsidRPr="008B3F62" w:rsidRDefault="008B3F62" w:rsidP="008B3F62">
      <w:pPr>
        <w:rPr>
          <w:rFonts w:eastAsia="Times New Roman"/>
          <w:color w:val="000000" w:themeColor="text1"/>
          <w:sz w:val="20"/>
          <w:szCs w:val="20"/>
        </w:rPr>
      </w:pPr>
      <w:r w:rsidRPr="008B3F62">
        <w:rPr>
          <w:rFonts w:eastAsia="Times New Roman"/>
          <w:color w:val="000000" w:themeColor="text1"/>
          <w:sz w:val="20"/>
          <w:szCs w:val="20"/>
        </w:rPr>
        <w:t>BRUCE WESTON (Reg. No. 0016973)</w:t>
      </w:r>
    </w:p>
    <w:p w:rsidR="008B3F62" w:rsidRPr="008B3F62" w:rsidRDefault="008B3F62" w:rsidP="008B3F62">
      <w:pPr>
        <w:rPr>
          <w:rFonts w:eastAsia="Times New Roman"/>
          <w:color w:val="000000" w:themeColor="text1"/>
          <w:sz w:val="20"/>
          <w:szCs w:val="20"/>
        </w:rPr>
      </w:pPr>
      <w:r w:rsidRPr="008B3F62">
        <w:rPr>
          <w:rFonts w:eastAsia="Times New Roman"/>
          <w:color w:val="000000" w:themeColor="text1"/>
          <w:sz w:val="20"/>
          <w:szCs w:val="20"/>
        </w:rPr>
        <w:t>OHIO CONSUMERS’ COUNSEL</w:t>
      </w:r>
    </w:p>
    <w:p w:rsidR="008B3F62" w:rsidRPr="008B3F62" w:rsidRDefault="008B3F62" w:rsidP="008B3F62">
      <w:pPr>
        <w:rPr>
          <w:rFonts w:eastAsia="Times New Roman"/>
          <w:color w:val="000000" w:themeColor="text1"/>
          <w:sz w:val="20"/>
          <w:szCs w:val="20"/>
        </w:rPr>
      </w:pPr>
    </w:p>
    <w:p w:rsidR="008B3F62" w:rsidRPr="008B3F62" w:rsidRDefault="008B3F62" w:rsidP="008B3F62">
      <w:pPr>
        <w:rPr>
          <w:rFonts w:eastAsia="Times New Roman"/>
          <w:color w:val="000000" w:themeColor="text1"/>
          <w:sz w:val="20"/>
          <w:szCs w:val="20"/>
        </w:rPr>
      </w:pPr>
      <w:r w:rsidRPr="008B3F62">
        <w:rPr>
          <w:rFonts w:eastAsia="Times New Roman"/>
          <w:b/>
          <w:color w:val="000000" w:themeColor="text1"/>
          <w:sz w:val="20"/>
          <w:szCs w:val="20"/>
        </w:rPr>
        <w:t>Christopher Healey</w:t>
      </w:r>
      <w:r w:rsidRPr="008B3F62">
        <w:rPr>
          <w:rFonts w:eastAsia="Times New Roman"/>
          <w:color w:val="000000" w:themeColor="text1"/>
          <w:sz w:val="20"/>
          <w:szCs w:val="20"/>
        </w:rPr>
        <w:t xml:space="preserve"> (Reg. No. 0086027)</w:t>
      </w:r>
    </w:p>
    <w:p w:rsidR="008B3F62" w:rsidRPr="008B3F62" w:rsidRDefault="008B3F62" w:rsidP="008B3F62">
      <w:pPr>
        <w:rPr>
          <w:rFonts w:eastAsia="Times New Roman"/>
          <w:color w:val="000000" w:themeColor="text1"/>
          <w:sz w:val="20"/>
          <w:szCs w:val="20"/>
        </w:rPr>
      </w:pPr>
      <w:r w:rsidRPr="008B3F62">
        <w:rPr>
          <w:rFonts w:eastAsia="Times New Roman"/>
          <w:color w:val="000000" w:themeColor="text1"/>
          <w:sz w:val="20"/>
          <w:szCs w:val="20"/>
        </w:rPr>
        <w:t>(Counsel of Record)</w:t>
      </w:r>
    </w:p>
    <w:p w:rsidR="008B3F62" w:rsidRPr="008B3F62" w:rsidRDefault="008B3F62" w:rsidP="008B3F62">
      <w:pPr>
        <w:rPr>
          <w:rFonts w:eastAsia="Times New Roman"/>
          <w:color w:val="000000" w:themeColor="text1"/>
          <w:sz w:val="20"/>
          <w:szCs w:val="20"/>
        </w:rPr>
      </w:pPr>
      <w:r w:rsidRPr="008B3F62">
        <w:rPr>
          <w:rFonts w:eastAsia="Times New Roman"/>
          <w:color w:val="000000" w:themeColor="text1"/>
          <w:sz w:val="20"/>
          <w:szCs w:val="20"/>
        </w:rPr>
        <w:t>Assistant Consumers’ Counsel</w:t>
      </w:r>
    </w:p>
    <w:p w:rsidR="008B3F62" w:rsidRPr="008B3F62" w:rsidRDefault="008B3F62" w:rsidP="008B3F62">
      <w:pPr>
        <w:rPr>
          <w:rFonts w:eastAsia="Times New Roman"/>
          <w:color w:val="000000" w:themeColor="text1"/>
          <w:sz w:val="20"/>
          <w:szCs w:val="20"/>
        </w:rPr>
      </w:pPr>
      <w:r w:rsidRPr="008B3F62">
        <w:rPr>
          <w:rFonts w:eastAsia="Times New Roman"/>
          <w:color w:val="000000" w:themeColor="text1"/>
          <w:sz w:val="20"/>
          <w:szCs w:val="20"/>
        </w:rPr>
        <w:t>Office of the Ohio Consumers’ Counsel</w:t>
      </w:r>
    </w:p>
    <w:p w:rsidR="008B3F62" w:rsidRPr="008B3F62" w:rsidRDefault="008B3F62" w:rsidP="008B3F62">
      <w:pPr>
        <w:rPr>
          <w:rFonts w:eastAsia="Times New Roman"/>
          <w:color w:val="000000" w:themeColor="text1"/>
          <w:sz w:val="20"/>
          <w:szCs w:val="20"/>
        </w:rPr>
      </w:pPr>
      <w:r w:rsidRPr="008B3F62">
        <w:rPr>
          <w:rFonts w:eastAsia="Times New Roman"/>
          <w:color w:val="000000" w:themeColor="text1"/>
          <w:sz w:val="20"/>
          <w:szCs w:val="20"/>
        </w:rPr>
        <w:t>10 West Broad Street, Suite 1800</w:t>
      </w:r>
    </w:p>
    <w:p w:rsidR="008B3F62" w:rsidRPr="008B3F62" w:rsidRDefault="008B3F62" w:rsidP="008B3F62">
      <w:pPr>
        <w:rPr>
          <w:rFonts w:eastAsia="Times New Roman"/>
          <w:color w:val="000000" w:themeColor="text1"/>
          <w:sz w:val="20"/>
          <w:szCs w:val="20"/>
        </w:rPr>
      </w:pPr>
      <w:r w:rsidRPr="008B3F62">
        <w:rPr>
          <w:rFonts w:eastAsia="Times New Roman"/>
          <w:color w:val="000000" w:themeColor="text1"/>
          <w:sz w:val="20"/>
          <w:szCs w:val="20"/>
        </w:rPr>
        <w:t>Columbus, OH  43215-3485</w:t>
      </w:r>
    </w:p>
    <w:p w:rsidR="008B3F62" w:rsidRPr="008B3F62" w:rsidRDefault="008B3F62" w:rsidP="008B3F62">
      <w:pPr>
        <w:rPr>
          <w:rFonts w:eastAsia="Times New Roman"/>
          <w:color w:val="000000" w:themeColor="text1"/>
          <w:sz w:val="20"/>
          <w:szCs w:val="20"/>
        </w:rPr>
      </w:pPr>
      <w:r w:rsidRPr="008B3F62">
        <w:rPr>
          <w:rFonts w:eastAsia="Times New Roman"/>
          <w:color w:val="000000" w:themeColor="text1"/>
          <w:sz w:val="20"/>
          <w:szCs w:val="20"/>
        </w:rPr>
        <w:t>Christopher.healey@occ.ohio.gov</w:t>
      </w:r>
    </w:p>
    <w:p w:rsidR="008B3F62" w:rsidRPr="008B3F62" w:rsidRDefault="008B3F62" w:rsidP="008B3F62">
      <w:pPr>
        <w:rPr>
          <w:rFonts w:eastAsia="Times New Roman"/>
          <w:color w:val="000000" w:themeColor="text1"/>
          <w:sz w:val="20"/>
          <w:szCs w:val="20"/>
        </w:rPr>
      </w:pPr>
    </w:p>
    <w:p w:rsidR="008B3F62" w:rsidRPr="008B3F62" w:rsidRDefault="008B3F62" w:rsidP="008B3F62">
      <w:pPr>
        <w:rPr>
          <w:rFonts w:eastAsia="Times New Roman"/>
          <w:b/>
          <w:smallCaps/>
          <w:color w:val="000000" w:themeColor="text1"/>
          <w:sz w:val="20"/>
          <w:szCs w:val="20"/>
        </w:rPr>
      </w:pPr>
      <w:r w:rsidRPr="008B3F62">
        <w:rPr>
          <w:rFonts w:eastAsia="Times New Roman"/>
          <w:b/>
          <w:smallCaps/>
          <w:color w:val="000000" w:themeColor="text1"/>
          <w:sz w:val="20"/>
          <w:szCs w:val="20"/>
        </w:rPr>
        <w:t>Counsel for the Office of the Ohio Consumers’ Counsel</w:t>
      </w:r>
    </w:p>
    <w:p w:rsidR="008B3F62" w:rsidRPr="008B3F62" w:rsidRDefault="008B3F62" w:rsidP="008B3F62">
      <w:pPr>
        <w:autoSpaceDE w:val="0"/>
        <w:autoSpaceDN w:val="0"/>
        <w:adjustRightInd w:val="0"/>
        <w:rPr>
          <w:sz w:val="20"/>
          <w:szCs w:val="20"/>
        </w:rPr>
      </w:pPr>
      <w:r w:rsidRPr="008B3F62">
        <w:rPr>
          <w:b/>
          <w:sz w:val="20"/>
          <w:szCs w:val="20"/>
        </w:rPr>
        <w:br w:type="column"/>
      </w:r>
      <w:r w:rsidRPr="008B3F62">
        <w:rPr>
          <w:b/>
          <w:sz w:val="20"/>
          <w:szCs w:val="20"/>
        </w:rPr>
        <w:t>Carrie M. Dunn</w:t>
      </w:r>
      <w:r w:rsidRPr="008B3F62">
        <w:rPr>
          <w:sz w:val="20"/>
          <w:szCs w:val="20"/>
        </w:rPr>
        <w:t xml:space="preserve"> (Reg. No. 0076952)</w:t>
      </w:r>
    </w:p>
    <w:p w:rsidR="008B3F62" w:rsidRPr="008B3F62" w:rsidRDefault="008B3F62" w:rsidP="008B3F62">
      <w:pPr>
        <w:autoSpaceDE w:val="0"/>
        <w:autoSpaceDN w:val="0"/>
        <w:adjustRightInd w:val="0"/>
        <w:rPr>
          <w:sz w:val="20"/>
          <w:szCs w:val="20"/>
        </w:rPr>
      </w:pPr>
      <w:r w:rsidRPr="008B3F62">
        <w:rPr>
          <w:sz w:val="20"/>
          <w:szCs w:val="20"/>
        </w:rPr>
        <w:t>FirstEnergy Service Company</w:t>
      </w:r>
    </w:p>
    <w:p w:rsidR="008B3F62" w:rsidRPr="008B3F62" w:rsidRDefault="008B3F62" w:rsidP="008B3F62">
      <w:pPr>
        <w:autoSpaceDE w:val="0"/>
        <w:autoSpaceDN w:val="0"/>
        <w:adjustRightInd w:val="0"/>
        <w:rPr>
          <w:sz w:val="20"/>
          <w:szCs w:val="20"/>
        </w:rPr>
      </w:pPr>
      <w:r w:rsidRPr="008B3F62">
        <w:rPr>
          <w:sz w:val="20"/>
          <w:szCs w:val="20"/>
        </w:rPr>
        <w:t>76 South Main Street</w:t>
      </w:r>
    </w:p>
    <w:p w:rsidR="008B3F62" w:rsidRPr="008B3F62" w:rsidRDefault="008B3F62" w:rsidP="008B3F62">
      <w:pPr>
        <w:autoSpaceDE w:val="0"/>
        <w:autoSpaceDN w:val="0"/>
        <w:adjustRightInd w:val="0"/>
        <w:rPr>
          <w:sz w:val="20"/>
          <w:szCs w:val="20"/>
        </w:rPr>
      </w:pPr>
      <w:r w:rsidRPr="008B3F62">
        <w:rPr>
          <w:sz w:val="20"/>
          <w:szCs w:val="20"/>
        </w:rPr>
        <w:t>Akron, OH  44308</w:t>
      </w:r>
    </w:p>
    <w:p w:rsidR="008B3F62" w:rsidRPr="008B3F62" w:rsidRDefault="008B3F62" w:rsidP="008B3F62">
      <w:pPr>
        <w:autoSpaceDE w:val="0"/>
        <w:autoSpaceDN w:val="0"/>
        <w:adjustRightInd w:val="0"/>
        <w:rPr>
          <w:sz w:val="20"/>
          <w:szCs w:val="20"/>
        </w:rPr>
      </w:pPr>
      <w:r w:rsidRPr="008B3F62">
        <w:rPr>
          <w:sz w:val="20"/>
          <w:szCs w:val="20"/>
        </w:rPr>
        <w:t>cdunn@firstenergycorp.com</w:t>
      </w:r>
    </w:p>
    <w:p w:rsidR="008B3F62" w:rsidRPr="008B3F62" w:rsidRDefault="008B3F62" w:rsidP="008B3F62">
      <w:pPr>
        <w:autoSpaceDE w:val="0"/>
        <w:autoSpaceDN w:val="0"/>
        <w:adjustRightInd w:val="0"/>
        <w:rPr>
          <w:sz w:val="20"/>
          <w:szCs w:val="20"/>
        </w:rPr>
      </w:pPr>
    </w:p>
    <w:p w:rsidR="008B3F62" w:rsidRPr="008B3F62" w:rsidRDefault="008B3F62" w:rsidP="008B3F62">
      <w:pPr>
        <w:tabs>
          <w:tab w:val="left" w:pos="2160"/>
          <w:tab w:val="left" w:pos="2280"/>
        </w:tabs>
        <w:rPr>
          <w:rFonts w:ascii="Arial Bold" w:hAnsi="Arial Bold"/>
          <w:b/>
          <w:iCs/>
          <w:smallCaps/>
          <w:sz w:val="20"/>
          <w:szCs w:val="20"/>
        </w:rPr>
      </w:pPr>
      <w:r w:rsidRPr="008B3F62">
        <w:rPr>
          <w:rFonts w:ascii="Arial Bold" w:hAnsi="Arial Bold"/>
          <w:b/>
          <w:iCs/>
          <w:smallCaps/>
          <w:sz w:val="20"/>
          <w:szCs w:val="20"/>
        </w:rPr>
        <w:t>Counsel for The Cleveland Electric Illuminating Company, Ohio Edison Company and The Toledo Edison Company (FirstEnergy)</w:t>
      </w:r>
    </w:p>
    <w:p w:rsidR="008B3F62" w:rsidRPr="008B3F62" w:rsidRDefault="008B3F62" w:rsidP="008B3F62">
      <w:pPr>
        <w:autoSpaceDE w:val="0"/>
        <w:autoSpaceDN w:val="0"/>
        <w:adjustRightInd w:val="0"/>
        <w:rPr>
          <w:sz w:val="20"/>
          <w:szCs w:val="20"/>
        </w:rPr>
      </w:pPr>
    </w:p>
    <w:p w:rsidR="008B3F62" w:rsidRPr="008B3F62" w:rsidRDefault="008B3F62" w:rsidP="008B3F62">
      <w:pPr>
        <w:tabs>
          <w:tab w:val="left" w:pos="2160"/>
          <w:tab w:val="left" w:pos="2280"/>
        </w:tabs>
        <w:rPr>
          <w:iCs/>
          <w:sz w:val="20"/>
          <w:szCs w:val="20"/>
        </w:rPr>
      </w:pPr>
      <w:r w:rsidRPr="008B3F62">
        <w:rPr>
          <w:b/>
          <w:iCs/>
          <w:sz w:val="20"/>
          <w:szCs w:val="20"/>
        </w:rPr>
        <w:t xml:space="preserve">Steven T. Nourse </w:t>
      </w:r>
      <w:r w:rsidRPr="008B3F62">
        <w:rPr>
          <w:iCs/>
          <w:sz w:val="20"/>
          <w:szCs w:val="20"/>
        </w:rPr>
        <w:t>(Reg. No. 0046705)</w:t>
      </w:r>
    </w:p>
    <w:p w:rsidR="008B3F62" w:rsidRPr="008B3F62" w:rsidRDefault="008B3F62" w:rsidP="008B3F62">
      <w:pPr>
        <w:tabs>
          <w:tab w:val="left" w:pos="2160"/>
          <w:tab w:val="left" w:pos="2280"/>
        </w:tabs>
        <w:rPr>
          <w:iCs/>
          <w:sz w:val="20"/>
          <w:szCs w:val="20"/>
        </w:rPr>
      </w:pPr>
      <w:r w:rsidRPr="008B3F62">
        <w:rPr>
          <w:iCs/>
          <w:sz w:val="20"/>
          <w:szCs w:val="20"/>
        </w:rPr>
        <w:t>Senior Counsel</w:t>
      </w:r>
    </w:p>
    <w:p w:rsidR="008B3F62" w:rsidRPr="008B3F62" w:rsidRDefault="008B3F62" w:rsidP="008B3F62">
      <w:pPr>
        <w:tabs>
          <w:tab w:val="left" w:pos="2160"/>
          <w:tab w:val="left" w:pos="2280"/>
        </w:tabs>
        <w:rPr>
          <w:b/>
          <w:iCs/>
          <w:sz w:val="20"/>
          <w:szCs w:val="20"/>
        </w:rPr>
      </w:pPr>
      <w:r w:rsidRPr="008B3F62">
        <w:rPr>
          <w:b/>
          <w:iCs/>
          <w:sz w:val="20"/>
          <w:szCs w:val="20"/>
        </w:rPr>
        <w:t xml:space="preserve">Christen M. Blend </w:t>
      </w:r>
      <w:r w:rsidRPr="008B3F62">
        <w:rPr>
          <w:iCs/>
          <w:sz w:val="20"/>
          <w:szCs w:val="20"/>
        </w:rPr>
        <w:t>(Reg. No. 0086881)</w:t>
      </w:r>
    </w:p>
    <w:p w:rsidR="008B3F62" w:rsidRPr="008B3F62" w:rsidRDefault="008B3F62" w:rsidP="008B3F62">
      <w:pPr>
        <w:tabs>
          <w:tab w:val="left" w:pos="2160"/>
          <w:tab w:val="left" w:pos="2280"/>
        </w:tabs>
        <w:rPr>
          <w:iCs/>
          <w:sz w:val="20"/>
          <w:szCs w:val="20"/>
        </w:rPr>
      </w:pPr>
      <w:r w:rsidRPr="008B3F62">
        <w:rPr>
          <w:iCs/>
          <w:sz w:val="20"/>
          <w:szCs w:val="20"/>
        </w:rPr>
        <w:t>American Electric Power Service Corporation</w:t>
      </w:r>
    </w:p>
    <w:p w:rsidR="008B3F62" w:rsidRPr="008B3F62" w:rsidRDefault="008B3F62" w:rsidP="008B3F62">
      <w:pPr>
        <w:tabs>
          <w:tab w:val="left" w:pos="2160"/>
          <w:tab w:val="left" w:pos="2280"/>
        </w:tabs>
        <w:rPr>
          <w:iCs/>
          <w:sz w:val="20"/>
          <w:szCs w:val="20"/>
        </w:rPr>
      </w:pPr>
      <w:r w:rsidRPr="008B3F62">
        <w:rPr>
          <w:iCs/>
          <w:sz w:val="20"/>
          <w:szCs w:val="20"/>
        </w:rPr>
        <w:t>1 Riverside Plaza, 29</w:t>
      </w:r>
      <w:r w:rsidRPr="008B3F62">
        <w:rPr>
          <w:iCs/>
          <w:sz w:val="20"/>
          <w:szCs w:val="20"/>
          <w:vertAlign w:val="superscript"/>
        </w:rPr>
        <w:t>th</w:t>
      </w:r>
      <w:r w:rsidRPr="008B3F62">
        <w:rPr>
          <w:iCs/>
          <w:sz w:val="20"/>
          <w:szCs w:val="20"/>
        </w:rPr>
        <w:t xml:space="preserve"> Floor</w:t>
      </w:r>
    </w:p>
    <w:p w:rsidR="008B3F62" w:rsidRPr="008B3F62" w:rsidRDefault="008B3F62" w:rsidP="008B3F62">
      <w:pPr>
        <w:tabs>
          <w:tab w:val="left" w:pos="2160"/>
          <w:tab w:val="left" w:pos="2280"/>
        </w:tabs>
        <w:rPr>
          <w:iCs/>
          <w:sz w:val="20"/>
          <w:szCs w:val="20"/>
        </w:rPr>
      </w:pPr>
      <w:r w:rsidRPr="008B3F62">
        <w:rPr>
          <w:iCs/>
          <w:sz w:val="20"/>
          <w:szCs w:val="20"/>
        </w:rPr>
        <w:t>Columbus, OH  43215-2373</w:t>
      </w:r>
    </w:p>
    <w:p w:rsidR="008B3F62" w:rsidRPr="008B3F62" w:rsidRDefault="008B3F62" w:rsidP="008B3F62">
      <w:pPr>
        <w:tabs>
          <w:tab w:val="left" w:pos="2160"/>
          <w:tab w:val="left" w:pos="2280"/>
        </w:tabs>
        <w:rPr>
          <w:iCs/>
          <w:sz w:val="20"/>
          <w:szCs w:val="20"/>
        </w:rPr>
      </w:pPr>
      <w:r w:rsidRPr="008B3F62">
        <w:rPr>
          <w:iCs/>
          <w:sz w:val="20"/>
          <w:szCs w:val="20"/>
        </w:rPr>
        <w:t>Snourse@aep.com</w:t>
      </w:r>
    </w:p>
    <w:p w:rsidR="008B3F62" w:rsidRPr="008B3F62" w:rsidRDefault="008B3F62" w:rsidP="008B3F62">
      <w:pPr>
        <w:tabs>
          <w:tab w:val="left" w:pos="2160"/>
          <w:tab w:val="left" w:pos="2280"/>
        </w:tabs>
        <w:rPr>
          <w:iCs/>
          <w:sz w:val="20"/>
          <w:szCs w:val="20"/>
        </w:rPr>
      </w:pPr>
      <w:r w:rsidRPr="008B3F62">
        <w:rPr>
          <w:iCs/>
          <w:sz w:val="20"/>
          <w:szCs w:val="20"/>
        </w:rPr>
        <w:t>cmblend@aep.com</w:t>
      </w:r>
    </w:p>
    <w:p w:rsidR="008B3F62" w:rsidRPr="008B3F62" w:rsidRDefault="008B3F62" w:rsidP="008B3F62">
      <w:pPr>
        <w:tabs>
          <w:tab w:val="left" w:pos="2160"/>
          <w:tab w:val="left" w:pos="2280"/>
        </w:tabs>
        <w:rPr>
          <w:iCs/>
          <w:sz w:val="20"/>
          <w:szCs w:val="20"/>
        </w:rPr>
      </w:pPr>
    </w:p>
    <w:p w:rsidR="008B3F62" w:rsidRPr="008B3F62" w:rsidRDefault="008B3F62" w:rsidP="008B3F62">
      <w:pPr>
        <w:tabs>
          <w:tab w:val="left" w:pos="2160"/>
          <w:tab w:val="left" w:pos="2280"/>
        </w:tabs>
        <w:rPr>
          <w:iCs/>
          <w:sz w:val="20"/>
          <w:szCs w:val="20"/>
        </w:rPr>
      </w:pPr>
      <w:r w:rsidRPr="008B3F62">
        <w:rPr>
          <w:b/>
          <w:iCs/>
          <w:sz w:val="20"/>
          <w:szCs w:val="20"/>
        </w:rPr>
        <w:t>L. Bradfield Hughes</w:t>
      </w:r>
      <w:r w:rsidRPr="008B3F62">
        <w:rPr>
          <w:iCs/>
          <w:sz w:val="20"/>
          <w:szCs w:val="20"/>
        </w:rPr>
        <w:t xml:space="preserve"> (Reg. No. 0070997)</w:t>
      </w:r>
    </w:p>
    <w:p w:rsidR="008B3F62" w:rsidRPr="008B3F62" w:rsidRDefault="008B3F62" w:rsidP="008B3F62">
      <w:pPr>
        <w:tabs>
          <w:tab w:val="left" w:pos="2160"/>
          <w:tab w:val="left" w:pos="2280"/>
        </w:tabs>
        <w:rPr>
          <w:iCs/>
          <w:sz w:val="20"/>
          <w:szCs w:val="20"/>
        </w:rPr>
      </w:pPr>
      <w:r w:rsidRPr="008B3F62">
        <w:rPr>
          <w:iCs/>
          <w:sz w:val="20"/>
          <w:szCs w:val="20"/>
        </w:rPr>
        <w:t>Porter Wright Morris &amp; Arthur, LLP</w:t>
      </w:r>
    </w:p>
    <w:p w:rsidR="008B3F62" w:rsidRPr="008B3F62" w:rsidRDefault="008B3F62" w:rsidP="008B3F62">
      <w:pPr>
        <w:tabs>
          <w:tab w:val="left" w:pos="2160"/>
          <w:tab w:val="left" w:pos="2280"/>
        </w:tabs>
        <w:rPr>
          <w:iCs/>
          <w:sz w:val="20"/>
          <w:szCs w:val="20"/>
        </w:rPr>
      </w:pPr>
      <w:r w:rsidRPr="008B3F62">
        <w:rPr>
          <w:iCs/>
          <w:sz w:val="20"/>
          <w:szCs w:val="20"/>
        </w:rPr>
        <w:t>Huntington Center</w:t>
      </w:r>
    </w:p>
    <w:p w:rsidR="008B3F62" w:rsidRPr="008B3F62" w:rsidRDefault="008B3F62" w:rsidP="008B3F62">
      <w:pPr>
        <w:tabs>
          <w:tab w:val="left" w:pos="2160"/>
          <w:tab w:val="left" w:pos="2280"/>
        </w:tabs>
        <w:rPr>
          <w:iCs/>
          <w:sz w:val="20"/>
          <w:szCs w:val="20"/>
        </w:rPr>
      </w:pPr>
      <w:r w:rsidRPr="008B3F62">
        <w:rPr>
          <w:iCs/>
          <w:sz w:val="20"/>
          <w:szCs w:val="20"/>
        </w:rPr>
        <w:t>41 South High Street, Suite 2900</w:t>
      </w:r>
    </w:p>
    <w:p w:rsidR="008B3F62" w:rsidRPr="008B3F62" w:rsidRDefault="008B3F62" w:rsidP="008B3F62">
      <w:pPr>
        <w:tabs>
          <w:tab w:val="left" w:pos="2160"/>
          <w:tab w:val="left" w:pos="2280"/>
        </w:tabs>
        <w:rPr>
          <w:iCs/>
          <w:sz w:val="20"/>
          <w:szCs w:val="20"/>
        </w:rPr>
      </w:pPr>
      <w:r w:rsidRPr="008B3F62">
        <w:rPr>
          <w:iCs/>
          <w:sz w:val="20"/>
          <w:szCs w:val="20"/>
        </w:rPr>
        <w:t>Columbus, OH  43215</w:t>
      </w:r>
    </w:p>
    <w:p w:rsidR="008B3F62" w:rsidRPr="008B3F62" w:rsidRDefault="008B3F62" w:rsidP="008B3F62">
      <w:pPr>
        <w:tabs>
          <w:tab w:val="left" w:pos="2160"/>
          <w:tab w:val="left" w:pos="2280"/>
        </w:tabs>
        <w:rPr>
          <w:iCs/>
          <w:sz w:val="20"/>
          <w:szCs w:val="20"/>
        </w:rPr>
      </w:pPr>
      <w:r w:rsidRPr="008B3F62">
        <w:rPr>
          <w:iCs/>
          <w:sz w:val="20"/>
          <w:szCs w:val="20"/>
        </w:rPr>
        <w:t>bhughes@porterwright.com</w:t>
      </w:r>
    </w:p>
    <w:p w:rsidR="008B3F62" w:rsidRPr="008B3F62" w:rsidRDefault="008B3F62" w:rsidP="008B3F62">
      <w:pPr>
        <w:tabs>
          <w:tab w:val="left" w:pos="2160"/>
          <w:tab w:val="left" w:pos="2280"/>
        </w:tabs>
        <w:rPr>
          <w:iCs/>
          <w:sz w:val="20"/>
          <w:szCs w:val="20"/>
        </w:rPr>
      </w:pPr>
    </w:p>
    <w:p w:rsidR="008B3F62" w:rsidRPr="008B3F62" w:rsidRDefault="008B3F62" w:rsidP="008B3F62">
      <w:pPr>
        <w:tabs>
          <w:tab w:val="left" w:pos="2160"/>
          <w:tab w:val="left" w:pos="2280"/>
        </w:tabs>
        <w:rPr>
          <w:rFonts w:ascii="Arial Bold" w:hAnsi="Arial Bold"/>
          <w:b/>
          <w:iCs/>
          <w:smallCaps/>
          <w:sz w:val="20"/>
          <w:szCs w:val="20"/>
        </w:rPr>
      </w:pPr>
      <w:r w:rsidRPr="008B3F62">
        <w:rPr>
          <w:rFonts w:ascii="Arial Bold" w:hAnsi="Arial Bold"/>
          <w:b/>
          <w:iCs/>
          <w:smallCaps/>
          <w:sz w:val="20"/>
          <w:szCs w:val="20"/>
        </w:rPr>
        <w:t>Counsel for Ohio Power Company (AEP Ohio)</w:t>
      </w:r>
    </w:p>
    <w:p w:rsidR="008B3F62" w:rsidRPr="008B3F62" w:rsidRDefault="008B3F62" w:rsidP="008B3F62">
      <w:pPr>
        <w:tabs>
          <w:tab w:val="left" w:pos="2160"/>
          <w:tab w:val="left" w:pos="2280"/>
        </w:tabs>
        <w:rPr>
          <w:iCs/>
          <w:sz w:val="20"/>
          <w:szCs w:val="20"/>
        </w:rPr>
      </w:pPr>
    </w:p>
    <w:p w:rsidR="008B3F62" w:rsidRPr="008B3F62" w:rsidRDefault="008B3F62" w:rsidP="008B3F62">
      <w:pPr>
        <w:tabs>
          <w:tab w:val="left" w:pos="2160"/>
          <w:tab w:val="left" w:pos="2280"/>
        </w:tabs>
        <w:rPr>
          <w:b/>
          <w:iCs/>
          <w:sz w:val="20"/>
          <w:szCs w:val="20"/>
        </w:rPr>
      </w:pPr>
      <w:r w:rsidRPr="008B3F62">
        <w:rPr>
          <w:b/>
          <w:iCs/>
          <w:sz w:val="20"/>
          <w:szCs w:val="20"/>
        </w:rPr>
        <w:br w:type="page"/>
      </w:r>
    </w:p>
    <w:p w:rsidR="008B3F62" w:rsidRPr="008B3F62" w:rsidRDefault="008B3F62" w:rsidP="008B3F62">
      <w:pPr>
        <w:tabs>
          <w:tab w:val="left" w:pos="2160"/>
          <w:tab w:val="left" w:pos="2280"/>
        </w:tabs>
        <w:rPr>
          <w:iCs/>
          <w:sz w:val="20"/>
          <w:szCs w:val="20"/>
        </w:rPr>
      </w:pPr>
      <w:r w:rsidRPr="008B3F62">
        <w:rPr>
          <w:b/>
          <w:iCs/>
          <w:sz w:val="20"/>
          <w:szCs w:val="20"/>
        </w:rPr>
        <w:lastRenderedPageBreak/>
        <w:t>Michael J. Schuler</w:t>
      </w:r>
      <w:r w:rsidRPr="008B3F62">
        <w:rPr>
          <w:iCs/>
          <w:sz w:val="20"/>
          <w:szCs w:val="20"/>
        </w:rPr>
        <w:t xml:space="preserve"> (Reg. No. 0082390)</w:t>
      </w:r>
    </w:p>
    <w:p w:rsidR="008B3F62" w:rsidRPr="008B3F62" w:rsidRDefault="008B3F62" w:rsidP="008B3F62">
      <w:pPr>
        <w:tabs>
          <w:tab w:val="left" w:pos="2160"/>
          <w:tab w:val="left" w:pos="2280"/>
        </w:tabs>
        <w:rPr>
          <w:b/>
          <w:iCs/>
          <w:sz w:val="20"/>
          <w:szCs w:val="20"/>
        </w:rPr>
      </w:pPr>
      <w:r w:rsidRPr="008B3F62">
        <w:rPr>
          <w:b/>
          <w:iCs/>
          <w:sz w:val="20"/>
          <w:szCs w:val="20"/>
        </w:rPr>
        <w:t>Randall V. Griffin</w:t>
      </w:r>
    </w:p>
    <w:p w:rsidR="008B3F62" w:rsidRPr="008B3F62" w:rsidRDefault="008B3F62" w:rsidP="008B3F62">
      <w:pPr>
        <w:tabs>
          <w:tab w:val="left" w:pos="2160"/>
          <w:tab w:val="left" w:pos="2280"/>
        </w:tabs>
        <w:rPr>
          <w:b/>
          <w:iCs/>
          <w:sz w:val="20"/>
          <w:szCs w:val="20"/>
        </w:rPr>
      </w:pPr>
      <w:r w:rsidRPr="008B3F62">
        <w:rPr>
          <w:b/>
          <w:iCs/>
          <w:sz w:val="20"/>
          <w:szCs w:val="20"/>
        </w:rPr>
        <w:t>Judi L. Sobecki</w:t>
      </w:r>
    </w:p>
    <w:p w:rsidR="008B3F62" w:rsidRPr="008B3F62" w:rsidRDefault="008B3F62" w:rsidP="008B3F62">
      <w:pPr>
        <w:tabs>
          <w:tab w:val="left" w:pos="2160"/>
          <w:tab w:val="left" w:pos="2280"/>
        </w:tabs>
        <w:rPr>
          <w:iCs/>
          <w:sz w:val="20"/>
          <w:szCs w:val="20"/>
        </w:rPr>
      </w:pPr>
      <w:r w:rsidRPr="008B3F62">
        <w:rPr>
          <w:iCs/>
          <w:sz w:val="20"/>
          <w:szCs w:val="20"/>
        </w:rPr>
        <w:t>The Dayton Power and Light Company</w:t>
      </w:r>
    </w:p>
    <w:p w:rsidR="008B3F62" w:rsidRPr="008B3F62" w:rsidRDefault="008B3F62" w:rsidP="008B3F62">
      <w:pPr>
        <w:tabs>
          <w:tab w:val="left" w:pos="2160"/>
          <w:tab w:val="left" w:pos="2280"/>
        </w:tabs>
        <w:rPr>
          <w:iCs/>
          <w:sz w:val="20"/>
          <w:szCs w:val="20"/>
        </w:rPr>
      </w:pPr>
      <w:r w:rsidRPr="008B3F62">
        <w:rPr>
          <w:iCs/>
          <w:sz w:val="20"/>
          <w:szCs w:val="20"/>
        </w:rPr>
        <w:t>1065 Woodman Drive</w:t>
      </w:r>
    </w:p>
    <w:p w:rsidR="008B3F62" w:rsidRPr="008B3F62" w:rsidRDefault="008B3F62" w:rsidP="008B3F62">
      <w:pPr>
        <w:tabs>
          <w:tab w:val="left" w:pos="2160"/>
          <w:tab w:val="left" w:pos="2280"/>
        </w:tabs>
        <w:rPr>
          <w:iCs/>
          <w:sz w:val="20"/>
          <w:szCs w:val="20"/>
        </w:rPr>
      </w:pPr>
      <w:r w:rsidRPr="008B3F62">
        <w:rPr>
          <w:iCs/>
          <w:sz w:val="20"/>
          <w:szCs w:val="20"/>
        </w:rPr>
        <w:t>Dayton, OH  45432</w:t>
      </w:r>
    </w:p>
    <w:p w:rsidR="008B3F62" w:rsidRPr="008B3F62" w:rsidRDefault="008B3F62" w:rsidP="008B3F62">
      <w:pPr>
        <w:tabs>
          <w:tab w:val="left" w:pos="2160"/>
          <w:tab w:val="left" w:pos="2280"/>
        </w:tabs>
        <w:rPr>
          <w:iCs/>
          <w:sz w:val="20"/>
          <w:szCs w:val="20"/>
        </w:rPr>
      </w:pPr>
      <w:r w:rsidRPr="008B3F62">
        <w:rPr>
          <w:iCs/>
          <w:sz w:val="20"/>
          <w:szCs w:val="20"/>
        </w:rPr>
        <w:t>Telephone:  (937) 259-7358</w:t>
      </w:r>
    </w:p>
    <w:p w:rsidR="008B3F62" w:rsidRPr="008B3F62" w:rsidRDefault="008B3F62" w:rsidP="008B3F62">
      <w:pPr>
        <w:tabs>
          <w:tab w:val="left" w:pos="2160"/>
          <w:tab w:val="left" w:pos="2280"/>
        </w:tabs>
        <w:rPr>
          <w:iCs/>
          <w:sz w:val="20"/>
          <w:szCs w:val="20"/>
        </w:rPr>
      </w:pPr>
      <w:r w:rsidRPr="008B3F62">
        <w:rPr>
          <w:iCs/>
          <w:sz w:val="20"/>
          <w:szCs w:val="20"/>
        </w:rPr>
        <w:t>Michael.schuler@aes.com</w:t>
      </w:r>
    </w:p>
    <w:p w:rsidR="008B3F62" w:rsidRPr="008B3F62" w:rsidRDefault="008B3F62" w:rsidP="008B3F62">
      <w:pPr>
        <w:tabs>
          <w:tab w:val="left" w:pos="2160"/>
          <w:tab w:val="left" w:pos="2280"/>
        </w:tabs>
        <w:rPr>
          <w:iCs/>
          <w:sz w:val="20"/>
          <w:szCs w:val="20"/>
        </w:rPr>
      </w:pPr>
      <w:r w:rsidRPr="008B3F62">
        <w:rPr>
          <w:iCs/>
          <w:sz w:val="20"/>
          <w:szCs w:val="20"/>
        </w:rPr>
        <w:t>Randall.griffin@dplinc.com</w:t>
      </w:r>
    </w:p>
    <w:p w:rsidR="008B3F62" w:rsidRPr="008B3F62" w:rsidRDefault="008B3F62" w:rsidP="008B3F62">
      <w:pPr>
        <w:tabs>
          <w:tab w:val="left" w:pos="2160"/>
          <w:tab w:val="left" w:pos="2280"/>
        </w:tabs>
        <w:rPr>
          <w:iCs/>
          <w:sz w:val="20"/>
          <w:szCs w:val="20"/>
        </w:rPr>
      </w:pPr>
      <w:r w:rsidRPr="008B3F62">
        <w:rPr>
          <w:iCs/>
          <w:sz w:val="20"/>
          <w:szCs w:val="20"/>
        </w:rPr>
        <w:t>Judi.sobecki@dplinc.com</w:t>
      </w:r>
    </w:p>
    <w:p w:rsidR="008B3F62" w:rsidRPr="008B3F62" w:rsidRDefault="008B3F62" w:rsidP="008B3F62">
      <w:pPr>
        <w:tabs>
          <w:tab w:val="left" w:pos="2160"/>
          <w:tab w:val="left" w:pos="2280"/>
        </w:tabs>
        <w:rPr>
          <w:iCs/>
          <w:sz w:val="20"/>
          <w:szCs w:val="20"/>
        </w:rPr>
      </w:pPr>
    </w:p>
    <w:p w:rsidR="008B3F62" w:rsidRPr="008B3F62" w:rsidRDefault="008B3F62" w:rsidP="008B3F62">
      <w:pPr>
        <w:tabs>
          <w:tab w:val="left" w:pos="2160"/>
          <w:tab w:val="left" w:pos="2280"/>
        </w:tabs>
        <w:rPr>
          <w:rFonts w:ascii="Arial Bold" w:hAnsi="Arial Bold"/>
          <w:b/>
          <w:iCs/>
          <w:smallCaps/>
          <w:sz w:val="20"/>
          <w:szCs w:val="20"/>
        </w:rPr>
      </w:pPr>
      <w:r w:rsidRPr="008B3F62">
        <w:rPr>
          <w:rFonts w:ascii="Arial Bold" w:hAnsi="Arial Bold"/>
          <w:b/>
          <w:iCs/>
          <w:smallCaps/>
          <w:sz w:val="20"/>
          <w:szCs w:val="20"/>
        </w:rPr>
        <w:t>Counsel for The Dayton Power &amp; Light Company (DP&amp;L)</w:t>
      </w:r>
    </w:p>
    <w:p w:rsidR="008B3F62" w:rsidRPr="008B3F62" w:rsidRDefault="008B3F62" w:rsidP="008B3F62">
      <w:pPr>
        <w:tabs>
          <w:tab w:val="left" w:pos="2160"/>
          <w:tab w:val="left" w:pos="2280"/>
        </w:tabs>
        <w:rPr>
          <w:rFonts w:ascii="Arial Bold" w:hAnsi="Arial Bold"/>
          <w:iCs/>
          <w:smallCaps/>
          <w:sz w:val="20"/>
          <w:szCs w:val="20"/>
        </w:rPr>
      </w:pPr>
    </w:p>
    <w:p w:rsidR="008B3F62" w:rsidRPr="008B3F62" w:rsidRDefault="008B3F62" w:rsidP="008B3F62">
      <w:pPr>
        <w:tabs>
          <w:tab w:val="left" w:pos="2160"/>
          <w:tab w:val="left" w:pos="2280"/>
        </w:tabs>
        <w:rPr>
          <w:rFonts w:eastAsia="Times New Roman"/>
          <w:sz w:val="20"/>
          <w:szCs w:val="20"/>
        </w:rPr>
      </w:pPr>
      <w:r w:rsidRPr="008B3F62">
        <w:rPr>
          <w:rFonts w:eastAsia="Times New Roman"/>
          <w:b/>
          <w:sz w:val="20"/>
          <w:szCs w:val="20"/>
        </w:rPr>
        <w:t xml:space="preserve">Angela Paul Whitfield </w:t>
      </w:r>
      <w:r w:rsidRPr="008B3F62">
        <w:rPr>
          <w:rFonts w:eastAsia="Times New Roman"/>
          <w:sz w:val="20"/>
          <w:szCs w:val="20"/>
        </w:rPr>
        <w:t>(Reg. No. 0068774)</w:t>
      </w:r>
    </w:p>
    <w:p w:rsidR="008B3F62" w:rsidRPr="008B3F62" w:rsidRDefault="008B3F62" w:rsidP="008B3F62">
      <w:pPr>
        <w:tabs>
          <w:tab w:val="left" w:pos="2160"/>
          <w:tab w:val="left" w:pos="2280"/>
        </w:tabs>
        <w:rPr>
          <w:rFonts w:eastAsia="Times New Roman"/>
          <w:sz w:val="20"/>
          <w:szCs w:val="20"/>
        </w:rPr>
      </w:pPr>
      <w:r w:rsidRPr="008B3F62">
        <w:rPr>
          <w:rFonts w:eastAsia="Times New Roman"/>
          <w:b/>
          <w:sz w:val="20"/>
          <w:szCs w:val="20"/>
        </w:rPr>
        <w:t>Kimberly J. Bojko</w:t>
      </w:r>
      <w:r w:rsidRPr="008B3F62">
        <w:rPr>
          <w:rFonts w:eastAsia="Times New Roman"/>
          <w:sz w:val="20"/>
          <w:szCs w:val="20"/>
        </w:rPr>
        <w:t xml:space="preserve"> (Reg. No. 0069402)</w:t>
      </w:r>
    </w:p>
    <w:p w:rsidR="008B3F62" w:rsidRPr="008B3F62" w:rsidRDefault="008B3F62" w:rsidP="008B3F62">
      <w:pPr>
        <w:tabs>
          <w:tab w:val="left" w:pos="2160"/>
          <w:tab w:val="left" w:pos="2280"/>
        </w:tabs>
        <w:rPr>
          <w:rFonts w:eastAsia="Times New Roman"/>
          <w:sz w:val="20"/>
          <w:szCs w:val="20"/>
        </w:rPr>
      </w:pPr>
      <w:r w:rsidRPr="008B3F62">
        <w:rPr>
          <w:rFonts w:eastAsia="Times New Roman"/>
          <w:sz w:val="20"/>
          <w:szCs w:val="20"/>
        </w:rPr>
        <w:t>Carpenter Lipps &amp; Leland LLP</w:t>
      </w:r>
    </w:p>
    <w:p w:rsidR="008B3F62" w:rsidRPr="008B3F62" w:rsidRDefault="008B3F62" w:rsidP="008B3F62">
      <w:pPr>
        <w:tabs>
          <w:tab w:val="left" w:pos="2160"/>
          <w:tab w:val="left" w:pos="2280"/>
        </w:tabs>
        <w:rPr>
          <w:rFonts w:eastAsia="Times New Roman"/>
          <w:sz w:val="20"/>
          <w:szCs w:val="20"/>
        </w:rPr>
      </w:pPr>
      <w:r w:rsidRPr="008B3F62">
        <w:rPr>
          <w:rFonts w:eastAsia="Times New Roman"/>
          <w:sz w:val="20"/>
          <w:szCs w:val="20"/>
        </w:rPr>
        <w:t>280 North High Street, Suite 1300</w:t>
      </w:r>
    </w:p>
    <w:p w:rsidR="008B3F62" w:rsidRPr="008B3F62" w:rsidRDefault="008B3F62" w:rsidP="008B3F62">
      <w:pPr>
        <w:tabs>
          <w:tab w:val="left" w:pos="2160"/>
          <w:tab w:val="left" w:pos="2280"/>
        </w:tabs>
        <w:rPr>
          <w:rFonts w:eastAsia="Times New Roman"/>
          <w:sz w:val="20"/>
          <w:szCs w:val="20"/>
        </w:rPr>
      </w:pPr>
      <w:r w:rsidRPr="008B3F62">
        <w:rPr>
          <w:rFonts w:eastAsia="Times New Roman"/>
          <w:sz w:val="20"/>
          <w:szCs w:val="20"/>
        </w:rPr>
        <w:t>Columbus, OH  43215</w:t>
      </w:r>
    </w:p>
    <w:p w:rsidR="008B3F62" w:rsidRPr="008B3F62" w:rsidRDefault="008B3F62" w:rsidP="008B3F62">
      <w:pPr>
        <w:autoSpaceDE w:val="0"/>
        <w:autoSpaceDN w:val="0"/>
        <w:adjustRightInd w:val="0"/>
        <w:rPr>
          <w:rFonts w:ascii="Arial Bold" w:eastAsia="Times New Roman" w:hAnsi="Arial Bold"/>
          <w:sz w:val="20"/>
          <w:szCs w:val="20"/>
        </w:rPr>
      </w:pPr>
      <w:r w:rsidRPr="008B3F62">
        <w:rPr>
          <w:rFonts w:eastAsia="Times New Roman"/>
          <w:sz w:val="20"/>
          <w:szCs w:val="20"/>
        </w:rPr>
        <w:t>paul@carpenterlipps.com</w:t>
      </w:r>
    </w:p>
    <w:p w:rsidR="008B3F62" w:rsidRPr="008B3F62" w:rsidRDefault="008B3F62" w:rsidP="008B3F62">
      <w:pPr>
        <w:autoSpaceDE w:val="0"/>
        <w:autoSpaceDN w:val="0"/>
        <w:adjustRightInd w:val="0"/>
        <w:rPr>
          <w:rFonts w:eastAsia="Times New Roman"/>
          <w:sz w:val="20"/>
          <w:szCs w:val="20"/>
        </w:rPr>
      </w:pPr>
      <w:r w:rsidRPr="008B3F62">
        <w:rPr>
          <w:rFonts w:eastAsia="Times New Roman"/>
          <w:sz w:val="20"/>
          <w:szCs w:val="20"/>
        </w:rPr>
        <w:t>Bojko@carpenterlipps.com</w:t>
      </w:r>
    </w:p>
    <w:p w:rsidR="008B3F62" w:rsidRPr="008B3F62" w:rsidRDefault="008B3F62" w:rsidP="008B3F62">
      <w:pPr>
        <w:autoSpaceDE w:val="0"/>
        <w:autoSpaceDN w:val="0"/>
        <w:adjustRightInd w:val="0"/>
        <w:rPr>
          <w:rFonts w:ascii="Arial Bold" w:eastAsia="Times New Roman" w:hAnsi="Arial Bold"/>
          <w:b/>
          <w:smallCaps/>
          <w:sz w:val="20"/>
          <w:szCs w:val="20"/>
        </w:rPr>
      </w:pPr>
    </w:p>
    <w:p w:rsidR="008B3F62" w:rsidRPr="008B3F62" w:rsidRDefault="008B3F62" w:rsidP="008B3F62">
      <w:pPr>
        <w:autoSpaceDE w:val="0"/>
        <w:autoSpaceDN w:val="0"/>
        <w:adjustRightInd w:val="0"/>
        <w:rPr>
          <w:rFonts w:ascii="Arial Bold" w:eastAsia="Times New Roman" w:hAnsi="Arial Bold"/>
          <w:b/>
          <w:smallCaps/>
          <w:sz w:val="20"/>
          <w:szCs w:val="20"/>
        </w:rPr>
      </w:pPr>
      <w:r w:rsidRPr="008B3F62">
        <w:rPr>
          <w:rFonts w:ascii="Arial Bold" w:eastAsia="Times New Roman" w:hAnsi="Arial Bold"/>
          <w:b/>
          <w:smallCaps/>
          <w:sz w:val="20"/>
          <w:szCs w:val="20"/>
        </w:rPr>
        <w:t>Counsel for The Kroger Co.</w:t>
      </w:r>
    </w:p>
    <w:p w:rsidR="008B3F62" w:rsidRPr="008B3F62" w:rsidRDefault="008B3F62" w:rsidP="008B3F62">
      <w:pPr>
        <w:autoSpaceDE w:val="0"/>
        <w:autoSpaceDN w:val="0"/>
        <w:adjustRightInd w:val="0"/>
        <w:rPr>
          <w:rFonts w:ascii="Arial Bold" w:eastAsia="Times New Roman" w:hAnsi="Arial Bold"/>
          <w:b/>
          <w:smallCaps/>
          <w:sz w:val="20"/>
          <w:szCs w:val="20"/>
        </w:rPr>
      </w:pPr>
    </w:p>
    <w:p w:rsidR="008B3F62" w:rsidRPr="008B3F62" w:rsidRDefault="008B3F62" w:rsidP="008B3F62">
      <w:pPr>
        <w:tabs>
          <w:tab w:val="left" w:pos="2160"/>
          <w:tab w:val="left" w:pos="2280"/>
        </w:tabs>
        <w:rPr>
          <w:rFonts w:eastAsia="Times New Roman"/>
          <w:sz w:val="20"/>
          <w:szCs w:val="20"/>
        </w:rPr>
      </w:pPr>
      <w:r w:rsidRPr="008B3F62">
        <w:rPr>
          <w:rFonts w:eastAsia="Times New Roman"/>
          <w:b/>
          <w:sz w:val="20"/>
          <w:szCs w:val="20"/>
        </w:rPr>
        <w:t>Colleen L. Mooney</w:t>
      </w:r>
      <w:bookmarkStart w:id="2" w:name="_GoBack"/>
      <w:bookmarkEnd w:id="2"/>
    </w:p>
    <w:p w:rsidR="008B3F62" w:rsidRPr="008B3F62" w:rsidRDefault="008B3F62" w:rsidP="008B3F62">
      <w:pPr>
        <w:tabs>
          <w:tab w:val="left" w:pos="2160"/>
          <w:tab w:val="left" w:pos="2280"/>
        </w:tabs>
        <w:rPr>
          <w:rFonts w:eastAsia="Times New Roman"/>
          <w:sz w:val="20"/>
          <w:szCs w:val="20"/>
        </w:rPr>
      </w:pPr>
      <w:r w:rsidRPr="008B3F62">
        <w:rPr>
          <w:rFonts w:eastAsia="Times New Roman"/>
          <w:sz w:val="20"/>
          <w:szCs w:val="20"/>
        </w:rPr>
        <w:t>Ohio Partners for Affordable Energy</w:t>
      </w:r>
    </w:p>
    <w:p w:rsidR="008B3F62" w:rsidRPr="008B3F62" w:rsidRDefault="008B3F62" w:rsidP="008B3F62">
      <w:pPr>
        <w:tabs>
          <w:tab w:val="left" w:pos="2160"/>
          <w:tab w:val="left" w:pos="2280"/>
        </w:tabs>
        <w:rPr>
          <w:rFonts w:eastAsia="Times New Roman"/>
          <w:sz w:val="20"/>
          <w:szCs w:val="20"/>
        </w:rPr>
      </w:pPr>
      <w:r w:rsidRPr="008B3F62">
        <w:rPr>
          <w:rFonts w:eastAsia="Times New Roman"/>
          <w:sz w:val="20"/>
          <w:szCs w:val="20"/>
        </w:rPr>
        <w:t>P.O. Box 12451</w:t>
      </w:r>
    </w:p>
    <w:p w:rsidR="008B3F62" w:rsidRPr="008B3F62" w:rsidRDefault="008B3F62" w:rsidP="008B3F62">
      <w:pPr>
        <w:tabs>
          <w:tab w:val="left" w:pos="2160"/>
          <w:tab w:val="left" w:pos="2280"/>
        </w:tabs>
        <w:rPr>
          <w:rFonts w:eastAsia="Times New Roman"/>
          <w:sz w:val="20"/>
          <w:szCs w:val="20"/>
        </w:rPr>
      </w:pPr>
      <w:r w:rsidRPr="008B3F62">
        <w:rPr>
          <w:rFonts w:eastAsia="Times New Roman"/>
          <w:sz w:val="20"/>
          <w:szCs w:val="20"/>
        </w:rPr>
        <w:t>Columbus, OH  43212-5739</w:t>
      </w:r>
    </w:p>
    <w:p w:rsidR="008B3F62" w:rsidRPr="008B3F62" w:rsidRDefault="008B3F62" w:rsidP="008B3F62">
      <w:pPr>
        <w:autoSpaceDE w:val="0"/>
        <w:autoSpaceDN w:val="0"/>
        <w:adjustRightInd w:val="0"/>
        <w:rPr>
          <w:rFonts w:ascii="Arial Bold" w:eastAsia="Times New Roman" w:hAnsi="Arial Bold"/>
          <w:sz w:val="20"/>
          <w:szCs w:val="20"/>
        </w:rPr>
      </w:pPr>
      <w:r w:rsidRPr="008B3F62">
        <w:rPr>
          <w:rFonts w:eastAsia="Times New Roman"/>
          <w:sz w:val="20"/>
          <w:szCs w:val="20"/>
        </w:rPr>
        <w:t>Cmooney@ohiopartners.org</w:t>
      </w:r>
    </w:p>
    <w:p w:rsidR="008B3F62" w:rsidRPr="008B3F62" w:rsidRDefault="008B3F62" w:rsidP="008B3F62">
      <w:pPr>
        <w:autoSpaceDE w:val="0"/>
        <w:autoSpaceDN w:val="0"/>
        <w:adjustRightInd w:val="0"/>
        <w:rPr>
          <w:rFonts w:ascii="Arial Bold" w:eastAsia="Times New Roman" w:hAnsi="Arial Bold"/>
          <w:b/>
          <w:smallCaps/>
          <w:sz w:val="20"/>
          <w:szCs w:val="20"/>
        </w:rPr>
      </w:pPr>
    </w:p>
    <w:p w:rsidR="008B3F62" w:rsidRPr="008B3F62" w:rsidRDefault="008B3F62" w:rsidP="008B3F62">
      <w:pPr>
        <w:autoSpaceDE w:val="0"/>
        <w:autoSpaceDN w:val="0"/>
        <w:adjustRightInd w:val="0"/>
        <w:rPr>
          <w:rFonts w:ascii="Arial Bold" w:eastAsia="Times New Roman" w:hAnsi="Arial Bold"/>
          <w:b/>
          <w:smallCaps/>
          <w:sz w:val="20"/>
          <w:szCs w:val="20"/>
        </w:rPr>
      </w:pPr>
      <w:r w:rsidRPr="008B3F62">
        <w:rPr>
          <w:rFonts w:ascii="Arial Bold" w:eastAsia="Times New Roman" w:hAnsi="Arial Bold"/>
          <w:b/>
          <w:smallCaps/>
          <w:sz w:val="20"/>
          <w:szCs w:val="20"/>
        </w:rPr>
        <w:t>Counsel for Ohio Partners for Affordable Energy</w:t>
      </w:r>
    </w:p>
    <w:p w:rsidR="008B3F62" w:rsidRPr="008B3F62" w:rsidRDefault="008B3F62" w:rsidP="008B3F62">
      <w:pPr>
        <w:tabs>
          <w:tab w:val="left" w:pos="2160"/>
          <w:tab w:val="left" w:pos="2280"/>
        </w:tabs>
        <w:rPr>
          <w:rFonts w:eastAsia="Times New Roman"/>
          <w:b/>
          <w:sz w:val="20"/>
          <w:szCs w:val="20"/>
        </w:rPr>
      </w:pPr>
    </w:p>
    <w:p w:rsidR="008B3F62" w:rsidRPr="008B3F62" w:rsidRDefault="008B3F62" w:rsidP="008B3F62">
      <w:pPr>
        <w:tabs>
          <w:tab w:val="left" w:pos="2160"/>
          <w:tab w:val="left" w:pos="2280"/>
        </w:tabs>
        <w:rPr>
          <w:rFonts w:eastAsia="Times New Roman"/>
          <w:b/>
          <w:sz w:val="20"/>
          <w:szCs w:val="20"/>
        </w:rPr>
      </w:pPr>
      <w:r w:rsidRPr="008B3F62">
        <w:rPr>
          <w:rFonts w:eastAsia="Times New Roman"/>
          <w:b/>
          <w:sz w:val="20"/>
          <w:szCs w:val="20"/>
        </w:rPr>
        <w:t>William L. Wright</w:t>
      </w:r>
    </w:p>
    <w:p w:rsidR="008B3F62" w:rsidRPr="008B3F62" w:rsidRDefault="008B3F62" w:rsidP="008B3F62">
      <w:pPr>
        <w:tabs>
          <w:tab w:val="left" w:pos="2160"/>
          <w:tab w:val="left" w:pos="2280"/>
        </w:tabs>
        <w:rPr>
          <w:rFonts w:eastAsia="Times New Roman"/>
          <w:sz w:val="20"/>
          <w:szCs w:val="20"/>
        </w:rPr>
      </w:pPr>
      <w:r w:rsidRPr="008B3F62">
        <w:rPr>
          <w:rFonts w:eastAsia="Times New Roman"/>
          <w:sz w:val="20"/>
          <w:szCs w:val="20"/>
        </w:rPr>
        <w:t>Chief, Public Utilities Section</w:t>
      </w:r>
    </w:p>
    <w:p w:rsidR="008B3F62" w:rsidRPr="008B3F62" w:rsidRDefault="008B3F62" w:rsidP="008B3F62">
      <w:pPr>
        <w:tabs>
          <w:tab w:val="left" w:pos="2160"/>
          <w:tab w:val="left" w:pos="2280"/>
        </w:tabs>
        <w:rPr>
          <w:rFonts w:eastAsia="Times New Roman"/>
          <w:sz w:val="20"/>
          <w:szCs w:val="20"/>
        </w:rPr>
      </w:pPr>
      <w:r w:rsidRPr="008B3F62">
        <w:rPr>
          <w:rFonts w:eastAsia="Times New Roman"/>
          <w:sz w:val="20"/>
          <w:szCs w:val="20"/>
        </w:rPr>
        <w:t xml:space="preserve">Office of the Ohio Attorney General </w:t>
      </w:r>
    </w:p>
    <w:p w:rsidR="008B3F62" w:rsidRPr="008B3F62" w:rsidRDefault="008B3F62" w:rsidP="008B3F62">
      <w:pPr>
        <w:tabs>
          <w:tab w:val="left" w:pos="2160"/>
          <w:tab w:val="left" w:pos="2280"/>
        </w:tabs>
        <w:rPr>
          <w:rFonts w:eastAsia="Times New Roman"/>
          <w:sz w:val="20"/>
          <w:szCs w:val="20"/>
        </w:rPr>
      </w:pPr>
      <w:r w:rsidRPr="008B3F62">
        <w:rPr>
          <w:rFonts w:eastAsia="Times New Roman"/>
          <w:sz w:val="20"/>
          <w:szCs w:val="20"/>
        </w:rPr>
        <w:t>30 East Broad Street, 16th Floor</w:t>
      </w:r>
    </w:p>
    <w:p w:rsidR="008B3F62" w:rsidRPr="008B3F62" w:rsidRDefault="008B3F62" w:rsidP="008B3F62">
      <w:pPr>
        <w:tabs>
          <w:tab w:val="left" w:pos="2160"/>
          <w:tab w:val="left" w:pos="2280"/>
        </w:tabs>
        <w:rPr>
          <w:rFonts w:eastAsia="Times New Roman"/>
          <w:sz w:val="20"/>
          <w:szCs w:val="20"/>
        </w:rPr>
      </w:pPr>
      <w:r w:rsidRPr="008B3F62">
        <w:rPr>
          <w:rFonts w:eastAsia="Times New Roman"/>
          <w:sz w:val="20"/>
          <w:szCs w:val="20"/>
        </w:rPr>
        <w:t>Columbus, OH 43215-3793</w:t>
      </w:r>
    </w:p>
    <w:p w:rsidR="008B3F62" w:rsidRPr="008B3F62" w:rsidRDefault="008B3F62" w:rsidP="008B3F62">
      <w:pPr>
        <w:autoSpaceDE w:val="0"/>
        <w:autoSpaceDN w:val="0"/>
        <w:adjustRightInd w:val="0"/>
        <w:rPr>
          <w:rFonts w:ascii="Arial Bold" w:eastAsia="Times New Roman" w:hAnsi="Arial Bold"/>
          <w:sz w:val="20"/>
          <w:szCs w:val="20"/>
        </w:rPr>
      </w:pPr>
      <w:r w:rsidRPr="008B3F62">
        <w:rPr>
          <w:rFonts w:eastAsia="Times New Roman"/>
          <w:sz w:val="20"/>
          <w:szCs w:val="20"/>
        </w:rPr>
        <w:t>william.wright@ohioattorneygeneral.gov</w:t>
      </w:r>
    </w:p>
    <w:p w:rsidR="008B3F62" w:rsidRPr="008B3F62" w:rsidRDefault="008B3F62" w:rsidP="008B3F62">
      <w:pPr>
        <w:autoSpaceDE w:val="0"/>
        <w:autoSpaceDN w:val="0"/>
        <w:adjustRightInd w:val="0"/>
        <w:rPr>
          <w:rFonts w:ascii="Arial Bold" w:eastAsia="Times New Roman" w:hAnsi="Arial Bold"/>
          <w:b/>
          <w:smallCaps/>
          <w:sz w:val="20"/>
          <w:szCs w:val="20"/>
        </w:rPr>
      </w:pPr>
    </w:p>
    <w:p w:rsidR="008B3F62" w:rsidRPr="008B3F62" w:rsidRDefault="008B3F62" w:rsidP="008B3F62">
      <w:pPr>
        <w:autoSpaceDE w:val="0"/>
        <w:autoSpaceDN w:val="0"/>
        <w:adjustRightInd w:val="0"/>
        <w:rPr>
          <w:rFonts w:ascii="Arial Bold" w:eastAsia="Times New Roman" w:hAnsi="Arial Bold"/>
          <w:b/>
          <w:smallCaps/>
          <w:sz w:val="20"/>
          <w:szCs w:val="20"/>
        </w:rPr>
      </w:pPr>
      <w:r w:rsidRPr="008B3F62">
        <w:rPr>
          <w:rFonts w:ascii="Arial Bold" w:eastAsia="Times New Roman" w:hAnsi="Arial Bold"/>
          <w:b/>
          <w:smallCaps/>
          <w:sz w:val="20"/>
          <w:szCs w:val="20"/>
        </w:rPr>
        <w:t>Counsel for the Staff of the Public Utilities Commission of Ohio</w:t>
      </w:r>
    </w:p>
    <w:p w:rsidR="008B3F62" w:rsidRPr="008B3F62" w:rsidRDefault="008B3F62" w:rsidP="008B3F62">
      <w:pPr>
        <w:autoSpaceDE w:val="0"/>
        <w:autoSpaceDN w:val="0"/>
        <w:adjustRightInd w:val="0"/>
        <w:rPr>
          <w:rFonts w:ascii="Arial Bold" w:eastAsia="Times New Roman" w:hAnsi="Arial Bold"/>
          <w:b/>
          <w:smallCaps/>
          <w:sz w:val="20"/>
          <w:szCs w:val="20"/>
        </w:rPr>
      </w:pPr>
    </w:p>
    <w:p w:rsidR="008B3F62" w:rsidRPr="008B3F62" w:rsidRDefault="008B3F62" w:rsidP="008B3F62">
      <w:pPr>
        <w:autoSpaceDE w:val="0"/>
        <w:autoSpaceDN w:val="0"/>
        <w:adjustRightInd w:val="0"/>
        <w:rPr>
          <w:rFonts w:eastAsia="Times New Roman"/>
          <w:b/>
          <w:sz w:val="20"/>
          <w:szCs w:val="20"/>
        </w:rPr>
      </w:pPr>
      <w:r w:rsidRPr="008B3F62">
        <w:rPr>
          <w:rFonts w:eastAsia="Times New Roman"/>
          <w:b/>
          <w:sz w:val="20"/>
          <w:szCs w:val="20"/>
        </w:rPr>
        <w:t>Greta See</w:t>
      </w:r>
    </w:p>
    <w:p w:rsidR="008B3F62" w:rsidRPr="008B3F62" w:rsidRDefault="008B3F62" w:rsidP="008B3F62">
      <w:pPr>
        <w:autoSpaceDE w:val="0"/>
        <w:autoSpaceDN w:val="0"/>
        <w:adjustRightInd w:val="0"/>
        <w:rPr>
          <w:rFonts w:eastAsia="Times New Roman"/>
          <w:sz w:val="20"/>
          <w:szCs w:val="20"/>
        </w:rPr>
      </w:pPr>
      <w:r w:rsidRPr="008B3F62">
        <w:rPr>
          <w:rFonts w:eastAsia="Times New Roman"/>
          <w:sz w:val="20"/>
          <w:szCs w:val="20"/>
        </w:rPr>
        <w:t>Attorney Examiner</w:t>
      </w:r>
    </w:p>
    <w:p w:rsidR="008B3F62" w:rsidRPr="008B3F62" w:rsidRDefault="008B3F62" w:rsidP="008B3F62">
      <w:pPr>
        <w:autoSpaceDE w:val="0"/>
        <w:autoSpaceDN w:val="0"/>
        <w:adjustRightInd w:val="0"/>
        <w:rPr>
          <w:rFonts w:eastAsia="Times New Roman"/>
          <w:sz w:val="20"/>
          <w:szCs w:val="20"/>
        </w:rPr>
      </w:pPr>
      <w:r w:rsidRPr="008B3F62">
        <w:rPr>
          <w:rFonts w:eastAsia="Times New Roman"/>
          <w:sz w:val="20"/>
          <w:szCs w:val="20"/>
        </w:rPr>
        <w:t>Public Utilities Commission of Ohio</w:t>
      </w:r>
    </w:p>
    <w:p w:rsidR="008B3F62" w:rsidRPr="008B3F62" w:rsidRDefault="008B3F62" w:rsidP="008B3F62">
      <w:pPr>
        <w:autoSpaceDE w:val="0"/>
        <w:autoSpaceDN w:val="0"/>
        <w:adjustRightInd w:val="0"/>
        <w:rPr>
          <w:rFonts w:eastAsia="Times New Roman"/>
          <w:sz w:val="20"/>
          <w:szCs w:val="20"/>
        </w:rPr>
      </w:pPr>
      <w:r w:rsidRPr="008B3F62">
        <w:rPr>
          <w:rFonts w:eastAsia="Times New Roman"/>
          <w:sz w:val="20"/>
          <w:szCs w:val="20"/>
        </w:rPr>
        <w:t>Legal Department</w:t>
      </w:r>
    </w:p>
    <w:p w:rsidR="008B3F62" w:rsidRPr="008B3F62" w:rsidRDefault="008B3F62" w:rsidP="008B3F62">
      <w:pPr>
        <w:autoSpaceDE w:val="0"/>
        <w:autoSpaceDN w:val="0"/>
        <w:adjustRightInd w:val="0"/>
        <w:rPr>
          <w:rFonts w:eastAsia="Times New Roman"/>
          <w:sz w:val="20"/>
          <w:szCs w:val="20"/>
        </w:rPr>
      </w:pPr>
      <w:r w:rsidRPr="008B3F62">
        <w:rPr>
          <w:rFonts w:eastAsia="Times New Roman"/>
          <w:sz w:val="20"/>
          <w:szCs w:val="20"/>
        </w:rPr>
        <w:t>180 East Broad Street,12</w:t>
      </w:r>
      <w:r w:rsidRPr="008B3F62">
        <w:rPr>
          <w:rFonts w:eastAsia="Times New Roman"/>
          <w:sz w:val="20"/>
          <w:szCs w:val="20"/>
          <w:vertAlign w:val="superscript"/>
        </w:rPr>
        <w:t>th</w:t>
      </w:r>
      <w:r w:rsidRPr="008B3F62">
        <w:rPr>
          <w:rFonts w:eastAsia="Times New Roman"/>
          <w:sz w:val="20"/>
          <w:szCs w:val="20"/>
        </w:rPr>
        <w:t xml:space="preserve"> Floor</w:t>
      </w:r>
    </w:p>
    <w:p w:rsidR="008B3F62" w:rsidRPr="008B3F62" w:rsidRDefault="008B3F62" w:rsidP="008B3F62">
      <w:pPr>
        <w:autoSpaceDE w:val="0"/>
        <w:autoSpaceDN w:val="0"/>
        <w:adjustRightInd w:val="0"/>
        <w:rPr>
          <w:rFonts w:eastAsia="Times New Roman"/>
          <w:sz w:val="20"/>
          <w:szCs w:val="20"/>
        </w:rPr>
      </w:pPr>
      <w:r w:rsidRPr="008B3F62">
        <w:rPr>
          <w:rFonts w:eastAsia="Times New Roman"/>
          <w:sz w:val="20"/>
          <w:szCs w:val="20"/>
        </w:rPr>
        <w:t>Columbus, OH  43215</w:t>
      </w:r>
    </w:p>
    <w:p w:rsidR="008B3F62" w:rsidRPr="008B3F62" w:rsidRDefault="008B3F62" w:rsidP="008B3F62">
      <w:pPr>
        <w:autoSpaceDE w:val="0"/>
        <w:autoSpaceDN w:val="0"/>
        <w:adjustRightInd w:val="0"/>
        <w:rPr>
          <w:rFonts w:eastAsia="Times New Roman"/>
          <w:sz w:val="20"/>
          <w:szCs w:val="20"/>
        </w:rPr>
      </w:pPr>
      <w:r w:rsidRPr="008B3F62">
        <w:rPr>
          <w:rFonts w:eastAsia="Times New Roman"/>
          <w:sz w:val="20"/>
          <w:szCs w:val="20"/>
        </w:rPr>
        <w:t>Greta.See@puc.state.oh.us</w:t>
      </w:r>
    </w:p>
    <w:p w:rsidR="008B3F62" w:rsidRPr="008B3F62" w:rsidRDefault="008B3F62" w:rsidP="008B3F62">
      <w:pPr>
        <w:autoSpaceDE w:val="0"/>
        <w:autoSpaceDN w:val="0"/>
        <w:adjustRightInd w:val="0"/>
        <w:rPr>
          <w:rFonts w:eastAsia="Times New Roman"/>
          <w:sz w:val="20"/>
          <w:szCs w:val="20"/>
        </w:rPr>
      </w:pPr>
    </w:p>
    <w:p w:rsidR="008B3F62" w:rsidRPr="008B3F62" w:rsidRDefault="008B3F62" w:rsidP="008B3F62">
      <w:pPr>
        <w:autoSpaceDE w:val="0"/>
        <w:autoSpaceDN w:val="0"/>
        <w:adjustRightInd w:val="0"/>
        <w:rPr>
          <w:rFonts w:ascii="Arial Bold" w:eastAsia="Times New Roman" w:hAnsi="Arial Bold"/>
          <w:b/>
          <w:smallCaps/>
          <w:sz w:val="20"/>
          <w:szCs w:val="20"/>
        </w:rPr>
      </w:pPr>
      <w:r w:rsidRPr="008B3F62">
        <w:rPr>
          <w:rFonts w:ascii="Arial Bold" w:eastAsia="Times New Roman" w:hAnsi="Arial Bold"/>
          <w:b/>
          <w:smallCaps/>
          <w:sz w:val="20"/>
          <w:szCs w:val="20"/>
        </w:rPr>
        <w:t>Attorney Examiner</w:t>
      </w:r>
    </w:p>
    <w:p w:rsidR="00320E03" w:rsidRPr="00906F1F" w:rsidRDefault="00320E03" w:rsidP="008B3F62">
      <w:pPr>
        <w:autoSpaceDE w:val="0"/>
        <w:autoSpaceDN w:val="0"/>
        <w:adjustRightInd w:val="0"/>
        <w:rPr>
          <w:rFonts w:ascii="Arial Bold" w:hAnsi="Arial Bold"/>
          <w:b/>
          <w:smallCaps/>
          <w:sz w:val="20"/>
          <w:szCs w:val="20"/>
        </w:rPr>
      </w:pPr>
    </w:p>
    <w:sectPr w:rsidR="00320E03" w:rsidRPr="00906F1F" w:rsidSect="00240E0A">
      <w:headerReference w:type="default" r:id="rId22"/>
      <w:footerReference w:type="default" r:id="rId23"/>
      <w:headerReference w:type="first" r:id="rId24"/>
      <w:footerReference w:type="first" r:id="rId25"/>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119" w:rsidRDefault="00537D74">
      <w:r>
        <w:separator/>
      </w:r>
    </w:p>
  </w:endnote>
  <w:endnote w:type="continuationSeparator" w:id="0">
    <w:p w:rsidR="00762119" w:rsidRDefault="0053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119" w:rsidRDefault="00537D74">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sidR="00624340">
      <w:rPr>
        <w:rStyle w:val="PageNumber"/>
        <w:noProof/>
      </w:rPr>
      <w:t>2</w:t>
    </w:r>
    <w:r>
      <w:rPr>
        <w:rStyle w:val="PageNumber"/>
      </w:rPr>
      <w:fldChar w:fldCharType="end"/>
    </w:r>
  </w:p>
  <w:p w:rsidR="00762119" w:rsidRDefault="00762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119" w:rsidRDefault="00537D74">
    <w:pPr>
      <w:pStyle w:val="Footer"/>
      <w:framePr w:wrap="around" w:vAnchor="text" w:hAnchor="margin" w:xAlign="center" w:y="1"/>
      <w:rPr>
        <w:rStyle w:val="PageNumber"/>
        <w:noProof/>
      </w:rPr>
    </w:pPr>
    <w:r>
      <w:rPr>
        <w:rStyle w:val="PageNumber"/>
        <w:noProof/>
      </w:rPr>
      <w:fldChar w:fldCharType="begin"/>
    </w:r>
    <w:r>
      <w:rPr>
        <w:rStyle w:val="PageNumber"/>
        <w:noProof/>
      </w:rPr>
      <w:instrText xml:space="preserve">PAGE  </w:instrText>
    </w:r>
    <w:r>
      <w:rPr>
        <w:rStyle w:val="PageNumber"/>
        <w:noProof/>
      </w:rPr>
      <w:fldChar w:fldCharType="separate"/>
    </w:r>
    <w:r w:rsidR="00624340">
      <w:rPr>
        <w:rStyle w:val="PageNumber"/>
        <w:noProof/>
      </w:rPr>
      <w:t>1</w:t>
    </w:r>
    <w:r>
      <w:rPr>
        <w:rStyle w:val="PageNumber"/>
        <w:noProof/>
      </w:rPr>
      <w:fldChar w:fldCharType="end"/>
    </w:r>
  </w:p>
  <w:p w:rsidR="00762119" w:rsidRDefault="008175BF">
    <w:pPr>
      <w:pStyle w:val="Footer"/>
    </w:pPr>
    <w:r w:rsidRPr="008175BF">
      <w:rPr>
        <w:vanish/>
        <w:sz w:val="16"/>
      </w:rPr>
      <w:t>{</w:t>
    </w:r>
    <w:r w:rsidRPr="008175BF">
      <w:rPr>
        <w:sz w:val="16"/>
      </w:rPr>
      <w:t>C0103931:2</w:t>
    </w:r>
    <w:r w:rsidRPr="008175BF">
      <w:rPr>
        <w:vanish/>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119" w:rsidRDefault="008175BF">
    <w:pPr>
      <w:pStyle w:val="Footer"/>
    </w:pPr>
    <w:r w:rsidRPr="008175BF">
      <w:rPr>
        <w:noProof/>
        <w:vanish/>
        <w:sz w:val="16"/>
      </w:rPr>
      <w:t>{</w:t>
    </w:r>
    <w:r w:rsidRPr="008175BF">
      <w:rPr>
        <w:noProof/>
        <w:sz w:val="16"/>
      </w:rPr>
      <w:t>C0103931:2</w:t>
    </w:r>
    <w:r w:rsidRPr="008175BF">
      <w:rPr>
        <w:noProof/>
        <w:vanish/>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92" w:rsidRDefault="00C36892">
    <w:pPr>
      <w:pStyle w:val="Footer"/>
      <w:framePr w:wrap="around" w:vAnchor="text" w:hAnchor="margin" w:xAlign="center" w:y="1"/>
      <w:rPr>
        <w:rStyle w:val="PageNumber"/>
        <w:noProof/>
      </w:rPr>
    </w:pPr>
    <w:r>
      <w:rPr>
        <w:rStyle w:val="PageNumber"/>
        <w:noProof/>
      </w:rPr>
      <w:fldChar w:fldCharType="begin"/>
    </w:r>
    <w:r>
      <w:rPr>
        <w:rStyle w:val="PageNumber"/>
        <w:noProof/>
      </w:rPr>
      <w:instrText xml:space="preserve">PAGE  </w:instrText>
    </w:r>
    <w:r>
      <w:rPr>
        <w:rStyle w:val="PageNumber"/>
        <w:noProof/>
      </w:rPr>
      <w:fldChar w:fldCharType="separate"/>
    </w:r>
    <w:r w:rsidR="00B31B87">
      <w:rPr>
        <w:rStyle w:val="PageNumber"/>
        <w:noProof/>
      </w:rPr>
      <w:t>4</w:t>
    </w:r>
    <w:r>
      <w:rPr>
        <w:rStyle w:val="PageNumber"/>
        <w:noProof/>
      </w:rPr>
      <w:fldChar w:fldCharType="end"/>
    </w:r>
  </w:p>
  <w:p w:rsidR="00C36892" w:rsidRDefault="008175BF">
    <w:pPr>
      <w:pStyle w:val="Footer"/>
    </w:pPr>
    <w:r w:rsidRPr="008175BF">
      <w:rPr>
        <w:noProof/>
        <w:vanish/>
        <w:sz w:val="16"/>
      </w:rPr>
      <w:t>{</w:t>
    </w:r>
    <w:r w:rsidRPr="008175BF">
      <w:rPr>
        <w:noProof/>
        <w:sz w:val="16"/>
      </w:rPr>
      <w:t>C0103931:2</w:t>
    </w:r>
    <w:r w:rsidRPr="008175BF">
      <w:rPr>
        <w:noProof/>
        <w:vanish/>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92" w:rsidRDefault="008175BF">
    <w:pPr>
      <w:pStyle w:val="Footer"/>
    </w:pPr>
    <w:r w:rsidRPr="008175BF">
      <w:rPr>
        <w:noProof/>
        <w:vanish/>
        <w:sz w:val="16"/>
      </w:rPr>
      <w:t>{</w:t>
    </w:r>
    <w:r w:rsidRPr="008175BF">
      <w:rPr>
        <w:noProof/>
        <w:sz w:val="16"/>
      </w:rPr>
      <w:t>C0103931:2</w:t>
    </w:r>
    <w:r w:rsidRPr="008175BF">
      <w:rPr>
        <w:noProof/>
        <w:vanish/>
        <w:sz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92" w:rsidRDefault="00C36892">
    <w:pPr>
      <w:pStyle w:val="Footer"/>
      <w:framePr w:wrap="around" w:vAnchor="text" w:hAnchor="margin" w:xAlign="center" w:y="1"/>
      <w:rPr>
        <w:rStyle w:val="PageNumber"/>
        <w:noProof/>
      </w:rPr>
    </w:pPr>
    <w:r>
      <w:rPr>
        <w:rStyle w:val="PageNumber"/>
        <w:noProof/>
      </w:rPr>
      <w:fldChar w:fldCharType="begin"/>
    </w:r>
    <w:r>
      <w:rPr>
        <w:rStyle w:val="PageNumber"/>
        <w:noProof/>
      </w:rPr>
      <w:instrText xml:space="preserve">PAGE  </w:instrText>
    </w:r>
    <w:r>
      <w:rPr>
        <w:rStyle w:val="PageNumber"/>
        <w:noProof/>
      </w:rPr>
      <w:fldChar w:fldCharType="separate"/>
    </w:r>
    <w:r w:rsidR="00624340">
      <w:rPr>
        <w:rStyle w:val="PageNumber"/>
        <w:noProof/>
      </w:rPr>
      <w:t>1</w:t>
    </w:r>
    <w:r>
      <w:rPr>
        <w:rStyle w:val="PageNumber"/>
        <w:noProof/>
      </w:rPr>
      <w:fldChar w:fldCharType="end"/>
    </w:r>
  </w:p>
  <w:p w:rsidR="00C36892" w:rsidRDefault="008175BF">
    <w:pPr>
      <w:pStyle w:val="Footer"/>
    </w:pPr>
    <w:r w:rsidRPr="008175BF">
      <w:rPr>
        <w:vanish/>
        <w:sz w:val="16"/>
      </w:rPr>
      <w:t>{</w:t>
    </w:r>
    <w:r w:rsidRPr="008175BF">
      <w:rPr>
        <w:sz w:val="16"/>
      </w:rPr>
      <w:t>C0103931:2</w:t>
    </w:r>
    <w:r w:rsidRPr="008175BF">
      <w:rPr>
        <w:vanish/>
        <w:sz w:val="16"/>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92" w:rsidRDefault="008175BF">
    <w:pPr>
      <w:pStyle w:val="Footer"/>
    </w:pPr>
    <w:r w:rsidRPr="008175BF">
      <w:rPr>
        <w:noProof/>
        <w:vanish/>
        <w:sz w:val="16"/>
      </w:rPr>
      <w:t>{</w:t>
    </w:r>
    <w:r w:rsidRPr="008175BF">
      <w:rPr>
        <w:noProof/>
        <w:sz w:val="16"/>
      </w:rPr>
      <w:t>C0103931:2</w:t>
    </w:r>
    <w:r w:rsidRPr="008175BF">
      <w:rPr>
        <w:noProof/>
        <w:vanish/>
        <w:sz w:val="16"/>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92" w:rsidRDefault="008175BF">
    <w:pPr>
      <w:pStyle w:val="Footer"/>
    </w:pPr>
    <w:r w:rsidRPr="008175BF">
      <w:rPr>
        <w:vanish/>
        <w:sz w:val="16"/>
      </w:rPr>
      <w:t>{</w:t>
    </w:r>
    <w:r w:rsidRPr="008175BF">
      <w:rPr>
        <w:sz w:val="16"/>
      </w:rPr>
      <w:t>C0103931:2</w:t>
    </w:r>
    <w:r w:rsidRPr="008175BF">
      <w:rPr>
        <w:vanish/>
        <w:sz w:val="16"/>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92" w:rsidRDefault="008175BF">
    <w:pPr>
      <w:pStyle w:val="Footer"/>
    </w:pPr>
    <w:r w:rsidRPr="008175BF">
      <w:rPr>
        <w:noProof/>
        <w:vanish/>
        <w:sz w:val="16"/>
      </w:rPr>
      <w:t>{</w:t>
    </w:r>
    <w:r w:rsidRPr="008175BF">
      <w:rPr>
        <w:noProof/>
        <w:sz w:val="16"/>
      </w:rPr>
      <w:t>C0103931:2</w:t>
    </w:r>
    <w:r w:rsidRPr="008175BF">
      <w:rPr>
        <w:noProof/>
        <w:vanish/>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119" w:rsidRDefault="00537D74">
      <w:pPr>
        <w:rPr>
          <w:noProof/>
        </w:rPr>
      </w:pPr>
      <w:r>
        <w:rPr>
          <w:noProof/>
        </w:rPr>
        <w:separator/>
      </w:r>
    </w:p>
  </w:footnote>
  <w:footnote w:type="continuationSeparator" w:id="0">
    <w:p w:rsidR="00762119" w:rsidRDefault="00537D74">
      <w:r>
        <w:continuationSeparator/>
      </w:r>
    </w:p>
  </w:footnote>
  <w:footnote w:id="1">
    <w:p w:rsidR="00444350" w:rsidRPr="002C5BE6" w:rsidRDefault="00733112" w:rsidP="002C5BE6">
      <w:pPr>
        <w:pStyle w:val="FootnoteText"/>
        <w:spacing w:after="120"/>
        <w:jc w:val="both"/>
      </w:pPr>
      <w:r w:rsidRPr="002C5BE6">
        <w:rPr>
          <w:rStyle w:val="FootnoteReference"/>
        </w:rPr>
        <w:footnoteRef/>
      </w:r>
      <w:r w:rsidR="00444350" w:rsidRPr="002C5BE6">
        <w:rPr>
          <w:rStyle w:val="FootnoteReference"/>
        </w:rPr>
        <w:footnoteRef/>
      </w:r>
      <w:r w:rsidR="00444350" w:rsidRPr="002C5BE6">
        <w:t xml:space="preserve"> Although Ohio Partners for Affordable Energy (“OPAE”) filed an objection to the continuation of the existing rate design, OPAE elected to not suppor</w:t>
      </w:r>
      <w:r w:rsidR="00336D46" w:rsidRPr="002C5BE6">
        <w:t>t its objection with testimony</w:t>
      </w:r>
      <w:r w:rsidR="00444350" w:rsidRPr="002C5BE6">
        <w:t xml:space="preserve"> at the evidentiary hearing.</w:t>
      </w:r>
      <w:r w:rsidRPr="002C5BE6">
        <w:rPr>
          <w:i/>
        </w:rPr>
        <w:t xml:space="preserve">  See</w:t>
      </w:r>
      <w:r w:rsidRPr="002C5BE6">
        <w:t xml:space="preserve"> ODSA Ex. 2 at 5.</w:t>
      </w:r>
      <w:r w:rsidR="00444350" w:rsidRPr="002C5BE6">
        <w:t xml:space="preserve">  Accordingly, the objection is not before the Commission.  The Kroger Company (“Kroger”) does not object to the continuation of the existing rate design, but instead is seeking to permit mercantile customers to aggregate their usage and have that aggregated usage applied to the rates produced by the</w:t>
      </w:r>
      <w:r w:rsidR="00336D46" w:rsidRPr="002C5BE6">
        <w:t xml:space="preserve"> two-step declining block</w:t>
      </w:r>
      <w:r w:rsidR="00444350" w:rsidRPr="002C5BE6">
        <w:t xml:space="preserve"> design.</w:t>
      </w:r>
      <w:r w:rsidR="00336D46" w:rsidRPr="002C5BE6">
        <w:t xml:space="preserve">  </w:t>
      </w:r>
      <w:r w:rsidR="00336D46" w:rsidRPr="002C5BE6">
        <w:rPr>
          <w:i/>
        </w:rPr>
        <w:t>See</w:t>
      </w:r>
      <w:r w:rsidR="00336D46" w:rsidRPr="002C5BE6">
        <w:t xml:space="preserve"> Kroger Ex. 2 at 3.</w:t>
      </w:r>
    </w:p>
  </w:footnote>
  <w:footnote w:id="2">
    <w:p w:rsidR="00D311AC" w:rsidRPr="002C5BE6" w:rsidRDefault="00D311AC" w:rsidP="002C5BE6">
      <w:pPr>
        <w:pStyle w:val="FootnoteText"/>
        <w:spacing w:after="120"/>
      </w:pPr>
      <w:r w:rsidRPr="002C5BE6">
        <w:rPr>
          <w:rStyle w:val="FootnoteReference"/>
        </w:rPr>
        <w:footnoteRef/>
      </w:r>
      <w:r w:rsidRPr="002C5BE6">
        <w:t xml:space="preserve"> R.C. 4928.52(B).</w:t>
      </w:r>
    </w:p>
  </w:footnote>
  <w:footnote w:id="3">
    <w:p w:rsidR="00D311AC" w:rsidRPr="002C5BE6" w:rsidRDefault="00D311AC" w:rsidP="002C5BE6">
      <w:pPr>
        <w:pStyle w:val="FootnoteText"/>
        <w:spacing w:after="120"/>
        <w:rPr>
          <w:i/>
        </w:rPr>
      </w:pPr>
      <w:r w:rsidRPr="002C5BE6">
        <w:rPr>
          <w:rStyle w:val="FootnoteReference"/>
        </w:rPr>
        <w:footnoteRef/>
      </w:r>
      <w:r w:rsidRPr="002C5BE6">
        <w:t xml:space="preserve"> </w:t>
      </w:r>
      <w:r w:rsidRPr="002C5BE6">
        <w:rPr>
          <w:i/>
        </w:rPr>
        <w:t>Id.</w:t>
      </w:r>
    </w:p>
  </w:footnote>
  <w:footnote w:id="4">
    <w:p w:rsidR="00D311AC" w:rsidRPr="002C5BE6" w:rsidRDefault="00D311AC" w:rsidP="002C5BE6">
      <w:pPr>
        <w:pStyle w:val="FootnoteText"/>
        <w:spacing w:after="120"/>
      </w:pPr>
      <w:r w:rsidRPr="002C5BE6">
        <w:rPr>
          <w:rStyle w:val="FootnoteReference"/>
        </w:rPr>
        <w:footnoteRef/>
      </w:r>
      <w:r w:rsidRPr="002C5BE6">
        <w:t xml:space="preserve"> R.C. 4928.52(C).</w:t>
      </w:r>
    </w:p>
  </w:footnote>
  <w:footnote w:id="5">
    <w:p w:rsidR="00A36DD1" w:rsidRPr="002C5BE6" w:rsidRDefault="00A36DD1" w:rsidP="002C5BE6">
      <w:pPr>
        <w:pStyle w:val="FootnoteText"/>
        <w:spacing w:after="120"/>
      </w:pPr>
      <w:r w:rsidRPr="002C5BE6">
        <w:rPr>
          <w:rStyle w:val="FootnoteReference"/>
        </w:rPr>
        <w:footnoteRef/>
      </w:r>
      <w:r w:rsidRPr="002C5BE6">
        <w:t xml:space="preserve"> </w:t>
      </w:r>
      <w:r w:rsidRPr="002C5BE6">
        <w:rPr>
          <w:i/>
        </w:rPr>
        <w:t xml:space="preserve">See </w:t>
      </w:r>
      <w:r w:rsidRPr="002C5BE6">
        <w:t>OCC Ex. 1 at 6-7.</w:t>
      </w:r>
    </w:p>
  </w:footnote>
  <w:footnote w:id="6">
    <w:p w:rsidR="00D976B0" w:rsidRPr="002C5BE6" w:rsidRDefault="00D976B0" w:rsidP="002C5BE6">
      <w:pPr>
        <w:pStyle w:val="FootnoteText"/>
        <w:spacing w:after="120"/>
        <w:rPr>
          <w:i/>
        </w:rPr>
      </w:pPr>
      <w:r w:rsidRPr="002C5BE6">
        <w:rPr>
          <w:rStyle w:val="FootnoteReference"/>
        </w:rPr>
        <w:footnoteRef/>
      </w:r>
      <w:r w:rsidRPr="002C5BE6">
        <w:t xml:space="preserve"> </w:t>
      </w:r>
      <w:r w:rsidR="00A36DD1" w:rsidRPr="002C5BE6">
        <w:rPr>
          <w:i/>
        </w:rPr>
        <w:t>Id.</w:t>
      </w:r>
    </w:p>
  </w:footnote>
  <w:footnote w:id="7">
    <w:p w:rsidR="00B65B49" w:rsidRPr="002C5BE6" w:rsidRDefault="00B65B49" w:rsidP="002C5BE6">
      <w:pPr>
        <w:pStyle w:val="FootnoteText"/>
        <w:spacing w:after="120"/>
      </w:pPr>
      <w:r w:rsidRPr="002C5BE6">
        <w:rPr>
          <w:rStyle w:val="FootnoteReference"/>
        </w:rPr>
        <w:footnoteRef/>
      </w:r>
      <w:r w:rsidR="00387E2B" w:rsidRPr="002C5BE6">
        <w:t xml:space="preserve"> ODSA Ex. 1</w:t>
      </w:r>
      <w:r w:rsidR="00B578B2" w:rsidRPr="002C5BE6">
        <w:t xml:space="preserve"> at 11; </w:t>
      </w:r>
      <w:r w:rsidR="00B578B2" w:rsidRPr="002C5BE6">
        <w:rPr>
          <w:i/>
        </w:rPr>
        <w:t xml:space="preserve">see also </w:t>
      </w:r>
      <w:r w:rsidR="00B578B2" w:rsidRPr="002C5BE6">
        <w:t>Kroger Ex. 1 at 4-5; ODSA Ex. 2 at 4; ODSA Ex. 3 at 2; OCC Ex. 1 at 4.</w:t>
      </w:r>
    </w:p>
  </w:footnote>
  <w:footnote w:id="8">
    <w:p w:rsidR="009A1146" w:rsidRPr="002C5BE6" w:rsidRDefault="009A1146" w:rsidP="002C5BE6">
      <w:pPr>
        <w:pStyle w:val="FootnoteText"/>
        <w:spacing w:after="120"/>
      </w:pPr>
      <w:r w:rsidRPr="002C5BE6">
        <w:rPr>
          <w:rStyle w:val="FootnoteReference"/>
        </w:rPr>
        <w:footnoteRef/>
      </w:r>
      <w:r w:rsidRPr="002C5BE6">
        <w:t xml:space="preserve"> ODSA Ex. 1-3; Tr. at </w:t>
      </w:r>
      <w:r w:rsidR="00442930" w:rsidRPr="002C5BE6">
        <w:t>29</w:t>
      </w:r>
      <w:r w:rsidR="00336D46" w:rsidRPr="002C5BE6">
        <w:t xml:space="preserve"> (admitting ODSA Exhibits 1-3)</w:t>
      </w:r>
      <w:r w:rsidRPr="002C5BE6">
        <w:t>.</w:t>
      </w:r>
    </w:p>
  </w:footnote>
  <w:footnote w:id="9">
    <w:p w:rsidR="00642B89" w:rsidRPr="002C5BE6" w:rsidRDefault="00642B89" w:rsidP="002C5BE6">
      <w:pPr>
        <w:pStyle w:val="FootnoteText"/>
        <w:spacing w:after="120"/>
      </w:pPr>
      <w:r w:rsidRPr="002C5BE6">
        <w:rPr>
          <w:rStyle w:val="FootnoteReference"/>
        </w:rPr>
        <w:footnoteRef/>
      </w:r>
      <w:r w:rsidRPr="002C5BE6">
        <w:t xml:space="preserve"> </w:t>
      </w:r>
      <w:r w:rsidRPr="002C5BE6">
        <w:rPr>
          <w:i/>
        </w:rPr>
        <w:t xml:space="preserve">See </w:t>
      </w:r>
      <w:r w:rsidR="00AF2965" w:rsidRPr="002C5BE6">
        <w:t>Kroger Ex. 2 at 3.</w:t>
      </w:r>
    </w:p>
  </w:footnote>
  <w:footnote w:id="10">
    <w:p w:rsidR="0054343B" w:rsidRPr="002C5BE6" w:rsidRDefault="0054343B" w:rsidP="002C5BE6">
      <w:pPr>
        <w:pStyle w:val="FootnoteText"/>
        <w:spacing w:after="120"/>
      </w:pPr>
      <w:r w:rsidRPr="002C5BE6">
        <w:rPr>
          <w:rStyle w:val="FootnoteReference"/>
        </w:rPr>
        <w:footnoteRef/>
      </w:r>
      <w:r w:rsidRPr="002C5BE6">
        <w:t xml:space="preserve"> ODSA Ex. 2 at 3-5.</w:t>
      </w:r>
    </w:p>
  </w:footnote>
  <w:footnote w:id="11">
    <w:p w:rsidR="0054343B" w:rsidRPr="002C5BE6" w:rsidRDefault="0054343B" w:rsidP="002C5BE6">
      <w:pPr>
        <w:autoSpaceDE w:val="0"/>
        <w:autoSpaceDN w:val="0"/>
        <w:adjustRightInd w:val="0"/>
        <w:snapToGrid w:val="0"/>
        <w:spacing w:after="120"/>
        <w:jc w:val="both"/>
        <w:rPr>
          <w:color w:val="000000"/>
          <w:sz w:val="20"/>
          <w:szCs w:val="20"/>
          <w:lang w:val="x-none"/>
        </w:rPr>
      </w:pPr>
      <w:r w:rsidRPr="002C5BE6">
        <w:rPr>
          <w:rStyle w:val="FootnoteReference"/>
          <w:sz w:val="20"/>
          <w:szCs w:val="20"/>
        </w:rPr>
        <w:footnoteRef/>
      </w:r>
      <w:r w:rsidRPr="002C5BE6">
        <w:rPr>
          <w:sz w:val="20"/>
          <w:szCs w:val="20"/>
        </w:rPr>
        <w:t xml:space="preserve"> </w:t>
      </w:r>
      <w:r w:rsidRPr="002C5BE6">
        <w:rPr>
          <w:i/>
          <w:sz w:val="20"/>
          <w:szCs w:val="20"/>
        </w:rPr>
        <w:t>I</w:t>
      </w:r>
      <w:r w:rsidRPr="002C5BE6">
        <w:rPr>
          <w:i/>
          <w:color w:val="000000"/>
          <w:sz w:val="20"/>
          <w:szCs w:val="20"/>
          <w:lang w:val="x-none"/>
        </w:rPr>
        <w:t>n the Matter of the Application of the Ohio Development Services</w:t>
      </w:r>
      <w:r w:rsidRPr="002C5BE6">
        <w:rPr>
          <w:i/>
          <w:color w:val="000000"/>
          <w:sz w:val="20"/>
          <w:szCs w:val="20"/>
        </w:rPr>
        <w:t xml:space="preserve"> </w:t>
      </w:r>
      <w:r w:rsidRPr="002C5BE6">
        <w:rPr>
          <w:i/>
          <w:color w:val="000000"/>
          <w:sz w:val="20"/>
          <w:szCs w:val="20"/>
          <w:lang w:val="x-none"/>
        </w:rPr>
        <w:t>Agency for an Order Approving Adjustments to the Universal Service Fund Riders of Jurisdictional Ohio</w:t>
      </w:r>
      <w:r w:rsidRPr="002C5BE6">
        <w:rPr>
          <w:i/>
          <w:color w:val="000000"/>
          <w:sz w:val="20"/>
          <w:szCs w:val="20"/>
        </w:rPr>
        <w:t xml:space="preserve"> </w:t>
      </w:r>
      <w:r w:rsidRPr="002C5BE6">
        <w:rPr>
          <w:i/>
          <w:color w:val="000000"/>
          <w:sz w:val="20"/>
          <w:szCs w:val="20"/>
          <w:lang w:val="x-none"/>
        </w:rPr>
        <w:t>Electric Distribution Utilities</w:t>
      </w:r>
      <w:r w:rsidRPr="002C5BE6">
        <w:rPr>
          <w:color w:val="000000"/>
          <w:sz w:val="20"/>
          <w:szCs w:val="20"/>
          <w:lang w:val="x-none"/>
        </w:rPr>
        <w:t xml:space="preserve">, Case No. 14-1002-EL-USF, Finding and Order at 7 (Sep. 25, 2014); </w:t>
      </w:r>
      <w:r w:rsidRPr="002C5BE6">
        <w:rPr>
          <w:i/>
          <w:color w:val="000000"/>
          <w:sz w:val="20"/>
          <w:szCs w:val="20"/>
          <w:lang w:val="x-none"/>
        </w:rPr>
        <w:t>In the Matter of the Application of the Ohio Development Services Agency for an Order Approving</w:t>
      </w:r>
      <w:r w:rsidRPr="002C5BE6">
        <w:rPr>
          <w:i/>
          <w:color w:val="000000"/>
          <w:sz w:val="20"/>
          <w:szCs w:val="20"/>
        </w:rPr>
        <w:t xml:space="preserve"> </w:t>
      </w:r>
      <w:r w:rsidRPr="002C5BE6">
        <w:rPr>
          <w:i/>
          <w:color w:val="000000"/>
          <w:sz w:val="20"/>
          <w:szCs w:val="20"/>
          <w:lang w:val="x-none"/>
        </w:rPr>
        <w:t>Adjustments to the Universal Service Fund Riders of Jurisdictional Ohio Electric Distribution Utilities</w:t>
      </w:r>
      <w:r w:rsidRPr="002C5BE6">
        <w:rPr>
          <w:color w:val="000000"/>
          <w:sz w:val="20"/>
          <w:szCs w:val="20"/>
          <w:lang w:val="x-none"/>
        </w:rPr>
        <w:t>,</w:t>
      </w:r>
      <w:r w:rsidRPr="002C5BE6">
        <w:rPr>
          <w:color w:val="000000"/>
          <w:sz w:val="20"/>
          <w:szCs w:val="20"/>
        </w:rPr>
        <w:t xml:space="preserve"> </w:t>
      </w:r>
      <w:r w:rsidRPr="002C5BE6">
        <w:rPr>
          <w:color w:val="000000"/>
          <w:sz w:val="20"/>
          <w:szCs w:val="20"/>
          <w:lang w:val="x-none"/>
        </w:rPr>
        <w:t>Case No. 13-1296-EL-USF, Finding and Order at 8</w:t>
      </w:r>
      <w:r w:rsidRPr="002C5BE6">
        <w:rPr>
          <w:color w:val="000000"/>
          <w:sz w:val="20"/>
          <w:szCs w:val="20"/>
        </w:rPr>
        <w:t xml:space="preserve"> </w:t>
      </w:r>
      <w:r w:rsidR="00AE4837">
        <w:rPr>
          <w:color w:val="000000"/>
          <w:sz w:val="20"/>
          <w:szCs w:val="20"/>
          <w:lang w:val="x-none"/>
        </w:rPr>
        <w:t>(Oct. </w:t>
      </w:r>
      <w:r w:rsidRPr="002C5BE6">
        <w:rPr>
          <w:color w:val="000000"/>
          <w:sz w:val="20"/>
          <w:szCs w:val="20"/>
          <w:lang w:val="x-none"/>
        </w:rPr>
        <w:t xml:space="preserve">2, 2013); </w:t>
      </w:r>
      <w:r w:rsidRPr="002C5BE6">
        <w:rPr>
          <w:i/>
          <w:sz w:val="20"/>
          <w:szCs w:val="20"/>
        </w:rPr>
        <w:t>In the Matter of the Application of the Ohio Department of Development for an Order Approving Adjustments to the Universal Service Fund Riders of Jurisdictional Ohio Electric Distribution Utilities</w:t>
      </w:r>
      <w:r w:rsidRPr="002C5BE6">
        <w:rPr>
          <w:sz w:val="20"/>
          <w:szCs w:val="20"/>
        </w:rPr>
        <w:t>, Case No. 12-1719-EL-USF</w:t>
      </w:r>
      <w:r w:rsidRPr="002C5BE6">
        <w:rPr>
          <w:color w:val="000000"/>
          <w:sz w:val="20"/>
          <w:szCs w:val="20"/>
          <w:lang w:val="x-none"/>
        </w:rPr>
        <w:t xml:space="preserve">, Finding and Order at 9-10 (Sep. 19, 2012); </w:t>
      </w:r>
      <w:r w:rsidR="004E27FF" w:rsidRPr="002C5BE6">
        <w:rPr>
          <w:i/>
          <w:color w:val="000000"/>
          <w:sz w:val="20"/>
          <w:szCs w:val="20"/>
        </w:rPr>
        <w:t>In the Matter of the Application of the Ohio Department of Development for an Order Approving Adjustments to the Universal Service Fund Riders of Jurisdictional Ohio Electric Distribution Utilities</w:t>
      </w:r>
      <w:r w:rsidR="004E27FF" w:rsidRPr="002C5BE6">
        <w:rPr>
          <w:color w:val="000000"/>
          <w:sz w:val="20"/>
          <w:szCs w:val="20"/>
        </w:rPr>
        <w:t>, Case No. 11-3223-EL-USF</w:t>
      </w:r>
      <w:r w:rsidRPr="002C5BE6">
        <w:rPr>
          <w:color w:val="000000"/>
          <w:sz w:val="20"/>
          <w:szCs w:val="20"/>
          <w:lang w:val="x-none"/>
        </w:rPr>
        <w:t>, Finding and</w:t>
      </w:r>
      <w:r w:rsidRPr="002C5BE6">
        <w:rPr>
          <w:color w:val="000000"/>
          <w:sz w:val="20"/>
          <w:szCs w:val="20"/>
        </w:rPr>
        <w:t xml:space="preserve"> </w:t>
      </w:r>
      <w:r w:rsidRPr="002C5BE6">
        <w:rPr>
          <w:color w:val="000000"/>
          <w:sz w:val="20"/>
          <w:szCs w:val="20"/>
          <w:lang w:val="x-none"/>
        </w:rPr>
        <w:t xml:space="preserve">Order at 9 (Oct. 3, 2011). </w:t>
      </w:r>
      <w:r w:rsidR="004E27FF" w:rsidRPr="002C5BE6">
        <w:rPr>
          <w:color w:val="000000"/>
          <w:sz w:val="20"/>
          <w:szCs w:val="20"/>
        </w:rPr>
        <w:t xml:space="preserve"> </w:t>
      </w:r>
      <w:r w:rsidRPr="002C5BE6">
        <w:rPr>
          <w:color w:val="000000"/>
          <w:sz w:val="20"/>
          <w:szCs w:val="20"/>
          <w:lang w:val="x-none"/>
        </w:rPr>
        <w:t xml:space="preserve">In its </w:t>
      </w:r>
      <w:r w:rsidRPr="002C5BE6">
        <w:rPr>
          <w:color w:val="000000"/>
          <w:sz w:val="20"/>
          <w:szCs w:val="20"/>
        </w:rPr>
        <w:t xml:space="preserve">order in the 2016 USF case and in its </w:t>
      </w:r>
      <w:r w:rsidRPr="002C5BE6">
        <w:rPr>
          <w:color w:val="000000"/>
          <w:sz w:val="20"/>
          <w:szCs w:val="20"/>
          <w:lang w:val="x-none"/>
        </w:rPr>
        <w:t>orders prior to 2011, the Commission approved stipulations that</w:t>
      </w:r>
      <w:r w:rsidRPr="002C5BE6">
        <w:rPr>
          <w:color w:val="000000"/>
          <w:sz w:val="20"/>
          <w:szCs w:val="20"/>
        </w:rPr>
        <w:t xml:space="preserve"> </w:t>
      </w:r>
      <w:r w:rsidRPr="002C5BE6">
        <w:rPr>
          <w:color w:val="000000"/>
          <w:sz w:val="20"/>
          <w:szCs w:val="20"/>
          <w:lang w:val="x-none"/>
        </w:rPr>
        <w:t>recommended the Commission find that the continued use of the declining block rate design did not</w:t>
      </w:r>
      <w:r w:rsidRPr="002C5BE6">
        <w:rPr>
          <w:color w:val="000000"/>
          <w:sz w:val="20"/>
          <w:szCs w:val="20"/>
        </w:rPr>
        <w:t xml:space="preserve"> </w:t>
      </w:r>
      <w:r w:rsidRPr="002C5BE6">
        <w:rPr>
          <w:color w:val="000000"/>
          <w:sz w:val="20"/>
          <w:szCs w:val="20"/>
          <w:lang w:val="x-none"/>
        </w:rPr>
        <w:t>violate R.C. 4928.52(C) and the Commission approved each of these stipulations without modification.</w:t>
      </w:r>
      <w:r w:rsidRPr="002C5BE6">
        <w:rPr>
          <w:color w:val="000000"/>
          <w:sz w:val="20"/>
          <w:szCs w:val="20"/>
        </w:rPr>
        <w:t xml:space="preserve"> </w:t>
      </w:r>
      <w:r w:rsidRPr="002C5BE6">
        <w:rPr>
          <w:i/>
          <w:color w:val="000000"/>
          <w:sz w:val="20"/>
          <w:szCs w:val="20"/>
          <w:lang w:val="x-none"/>
        </w:rPr>
        <w:t>See, e.g.</w:t>
      </w:r>
      <w:r w:rsidRPr="002C5BE6">
        <w:rPr>
          <w:color w:val="000000"/>
          <w:sz w:val="20"/>
          <w:szCs w:val="20"/>
          <w:lang w:val="x-none"/>
        </w:rPr>
        <w:t xml:space="preserve">, </w:t>
      </w:r>
      <w:r w:rsidRPr="002C5BE6">
        <w:rPr>
          <w:i/>
          <w:color w:val="000000"/>
          <w:sz w:val="20"/>
          <w:szCs w:val="20"/>
        </w:rPr>
        <w:t xml:space="preserve">In the Matter of the Application of the Ohio Development Services Agency for an Order Approving Adjustments to the Universal Service Fund Rider of Jurisdictional Ohio </w:t>
      </w:r>
      <w:r w:rsidR="004E27FF" w:rsidRPr="002C5BE6">
        <w:rPr>
          <w:i/>
          <w:color w:val="000000"/>
          <w:sz w:val="20"/>
          <w:szCs w:val="20"/>
        </w:rPr>
        <w:t>E</w:t>
      </w:r>
      <w:r w:rsidRPr="002C5BE6">
        <w:rPr>
          <w:i/>
          <w:color w:val="000000"/>
          <w:sz w:val="20"/>
          <w:szCs w:val="20"/>
        </w:rPr>
        <w:t xml:space="preserve">lectric Distribution Utilities, </w:t>
      </w:r>
      <w:r w:rsidRPr="002C5BE6">
        <w:rPr>
          <w:color w:val="000000"/>
          <w:sz w:val="20"/>
          <w:szCs w:val="20"/>
        </w:rPr>
        <w:t>Case No. 16-1223-EL-USF, Opinion and Order at 9 (Sep.</w:t>
      </w:r>
      <w:r w:rsidR="004E27FF" w:rsidRPr="002C5BE6">
        <w:rPr>
          <w:color w:val="000000"/>
          <w:sz w:val="20"/>
          <w:szCs w:val="20"/>
        </w:rPr>
        <w:t> </w:t>
      </w:r>
      <w:r w:rsidRPr="002C5BE6">
        <w:rPr>
          <w:color w:val="000000"/>
          <w:sz w:val="20"/>
          <w:szCs w:val="20"/>
        </w:rPr>
        <w:t>7, 2016);</w:t>
      </w:r>
      <w:r w:rsidRPr="002C5BE6">
        <w:rPr>
          <w:i/>
          <w:color w:val="000000"/>
          <w:sz w:val="20"/>
          <w:szCs w:val="20"/>
        </w:rPr>
        <w:t xml:space="preserve"> </w:t>
      </w:r>
      <w:r w:rsidRPr="002C5BE6">
        <w:rPr>
          <w:i/>
          <w:sz w:val="20"/>
          <w:szCs w:val="20"/>
        </w:rPr>
        <w:t>In the Matter of the Application of the Ohio Department of Development for an Order Approving Adjustments to the Universal Service Fund Riders of Jurisdictional Ohio Electric Distribution Utilities</w:t>
      </w:r>
      <w:r w:rsidRPr="002C5BE6">
        <w:rPr>
          <w:color w:val="000000"/>
          <w:sz w:val="20"/>
          <w:szCs w:val="20"/>
          <w:lang w:val="x-none"/>
        </w:rPr>
        <w:t xml:space="preserve">, </w:t>
      </w:r>
      <w:r w:rsidR="00AE4837">
        <w:rPr>
          <w:color w:val="000000"/>
          <w:sz w:val="20"/>
          <w:szCs w:val="20"/>
        </w:rPr>
        <w:t>Case No. 10</w:t>
      </w:r>
      <w:r w:rsidR="00AE4837">
        <w:rPr>
          <w:color w:val="000000"/>
          <w:sz w:val="20"/>
          <w:szCs w:val="20"/>
        </w:rPr>
        <w:noBreakHyphen/>
      </w:r>
      <w:r w:rsidR="004E27FF" w:rsidRPr="002C5BE6">
        <w:rPr>
          <w:color w:val="000000"/>
          <w:sz w:val="20"/>
          <w:szCs w:val="20"/>
        </w:rPr>
        <w:t>725</w:t>
      </w:r>
      <w:r w:rsidR="00AE4837">
        <w:rPr>
          <w:color w:val="000000"/>
          <w:sz w:val="20"/>
          <w:szCs w:val="20"/>
        </w:rPr>
        <w:noBreakHyphen/>
      </w:r>
      <w:r w:rsidR="004E27FF" w:rsidRPr="002C5BE6">
        <w:rPr>
          <w:color w:val="000000"/>
          <w:sz w:val="20"/>
          <w:szCs w:val="20"/>
        </w:rPr>
        <w:t>EL</w:t>
      </w:r>
      <w:r w:rsidR="00AE4837">
        <w:rPr>
          <w:color w:val="000000"/>
          <w:sz w:val="20"/>
          <w:szCs w:val="20"/>
        </w:rPr>
        <w:noBreakHyphen/>
      </w:r>
      <w:r w:rsidR="004E27FF" w:rsidRPr="002C5BE6">
        <w:rPr>
          <w:color w:val="000000"/>
          <w:sz w:val="20"/>
          <w:szCs w:val="20"/>
        </w:rPr>
        <w:t xml:space="preserve">USF, </w:t>
      </w:r>
      <w:r w:rsidRPr="002C5BE6">
        <w:rPr>
          <w:color w:val="000000"/>
          <w:sz w:val="20"/>
          <w:szCs w:val="20"/>
          <w:lang w:val="x-none"/>
        </w:rPr>
        <w:t>Finding and Order at 10-11 (Oct. 27,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340" w:rsidRDefault="00624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340" w:rsidRDefault="00624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340" w:rsidRDefault="006243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92" w:rsidRDefault="00C368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92" w:rsidRDefault="00C368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92" w:rsidRDefault="00C3689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92" w:rsidRDefault="00C3689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92" w:rsidRDefault="00C3689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92" w:rsidRDefault="00C3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C7FEB"/>
    <w:multiLevelType w:val="multilevel"/>
    <w:tmpl w:val="ECE0D054"/>
    <w:name w:val="IEU-Ohio PUCO Basic-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19"/>
    <w:rsid w:val="000137AF"/>
    <w:rsid w:val="00047D0C"/>
    <w:rsid w:val="00055B23"/>
    <w:rsid w:val="00070957"/>
    <w:rsid w:val="00080CD5"/>
    <w:rsid w:val="000A30AA"/>
    <w:rsid w:val="000A4F16"/>
    <w:rsid w:val="000B7E87"/>
    <w:rsid w:val="00125398"/>
    <w:rsid w:val="00190439"/>
    <w:rsid w:val="001A6ABB"/>
    <w:rsid w:val="001D5449"/>
    <w:rsid w:val="00211C61"/>
    <w:rsid w:val="00212105"/>
    <w:rsid w:val="00213B5D"/>
    <w:rsid w:val="00222BD9"/>
    <w:rsid w:val="00236CDB"/>
    <w:rsid w:val="00240E0A"/>
    <w:rsid w:val="002460C0"/>
    <w:rsid w:val="002714F2"/>
    <w:rsid w:val="00294B9F"/>
    <w:rsid w:val="00295C0B"/>
    <w:rsid w:val="002C4EE5"/>
    <w:rsid w:val="002C5BE6"/>
    <w:rsid w:val="002E5AC8"/>
    <w:rsid w:val="003055FC"/>
    <w:rsid w:val="00320E03"/>
    <w:rsid w:val="00336D46"/>
    <w:rsid w:val="00350B8F"/>
    <w:rsid w:val="00380F13"/>
    <w:rsid w:val="00387E2B"/>
    <w:rsid w:val="003B53C8"/>
    <w:rsid w:val="003C285C"/>
    <w:rsid w:val="003C2A2B"/>
    <w:rsid w:val="003D5FA0"/>
    <w:rsid w:val="00401C88"/>
    <w:rsid w:val="00423D66"/>
    <w:rsid w:val="00423F21"/>
    <w:rsid w:val="0042465F"/>
    <w:rsid w:val="00442930"/>
    <w:rsid w:val="00444350"/>
    <w:rsid w:val="00451593"/>
    <w:rsid w:val="0049526D"/>
    <w:rsid w:val="004A622E"/>
    <w:rsid w:val="004B6A19"/>
    <w:rsid w:val="004C13F3"/>
    <w:rsid w:val="004C2113"/>
    <w:rsid w:val="004E27FF"/>
    <w:rsid w:val="00532554"/>
    <w:rsid w:val="00537D74"/>
    <w:rsid w:val="0054343B"/>
    <w:rsid w:val="00585A4A"/>
    <w:rsid w:val="0059556C"/>
    <w:rsid w:val="005D5205"/>
    <w:rsid w:val="005F1314"/>
    <w:rsid w:val="005F7910"/>
    <w:rsid w:val="006100CC"/>
    <w:rsid w:val="00624340"/>
    <w:rsid w:val="00631E34"/>
    <w:rsid w:val="00642B89"/>
    <w:rsid w:val="0064550C"/>
    <w:rsid w:val="00653D85"/>
    <w:rsid w:val="00666144"/>
    <w:rsid w:val="00666C48"/>
    <w:rsid w:val="00667101"/>
    <w:rsid w:val="00667469"/>
    <w:rsid w:val="006843DD"/>
    <w:rsid w:val="006B66FE"/>
    <w:rsid w:val="006C43E8"/>
    <w:rsid w:val="00705F1C"/>
    <w:rsid w:val="00733112"/>
    <w:rsid w:val="00754941"/>
    <w:rsid w:val="00762119"/>
    <w:rsid w:val="00770B1E"/>
    <w:rsid w:val="00774CA4"/>
    <w:rsid w:val="007E1EB5"/>
    <w:rsid w:val="007F32CF"/>
    <w:rsid w:val="00813CCD"/>
    <w:rsid w:val="008175BF"/>
    <w:rsid w:val="008A2580"/>
    <w:rsid w:val="008B3F62"/>
    <w:rsid w:val="008D2A3F"/>
    <w:rsid w:val="008E1A5F"/>
    <w:rsid w:val="009016C6"/>
    <w:rsid w:val="00906F1F"/>
    <w:rsid w:val="009449D0"/>
    <w:rsid w:val="009522C6"/>
    <w:rsid w:val="00954FA5"/>
    <w:rsid w:val="00981548"/>
    <w:rsid w:val="009A1146"/>
    <w:rsid w:val="009C7828"/>
    <w:rsid w:val="00A00837"/>
    <w:rsid w:val="00A24FE3"/>
    <w:rsid w:val="00A36DD1"/>
    <w:rsid w:val="00A66155"/>
    <w:rsid w:val="00A66DE4"/>
    <w:rsid w:val="00AE43E4"/>
    <w:rsid w:val="00AE4837"/>
    <w:rsid w:val="00AF2965"/>
    <w:rsid w:val="00B31B87"/>
    <w:rsid w:val="00B578B2"/>
    <w:rsid w:val="00B65B49"/>
    <w:rsid w:val="00B952E2"/>
    <w:rsid w:val="00BB1C97"/>
    <w:rsid w:val="00BB5F71"/>
    <w:rsid w:val="00BD4FC9"/>
    <w:rsid w:val="00BE79BA"/>
    <w:rsid w:val="00C36892"/>
    <w:rsid w:val="00C36DD9"/>
    <w:rsid w:val="00C4403A"/>
    <w:rsid w:val="00C6301C"/>
    <w:rsid w:val="00C80197"/>
    <w:rsid w:val="00CB079F"/>
    <w:rsid w:val="00CD0BDC"/>
    <w:rsid w:val="00CD13F6"/>
    <w:rsid w:val="00CD4556"/>
    <w:rsid w:val="00CE357D"/>
    <w:rsid w:val="00D311AC"/>
    <w:rsid w:val="00D368DC"/>
    <w:rsid w:val="00D479F3"/>
    <w:rsid w:val="00D544B5"/>
    <w:rsid w:val="00D976B0"/>
    <w:rsid w:val="00DB571D"/>
    <w:rsid w:val="00DC016E"/>
    <w:rsid w:val="00DE0788"/>
    <w:rsid w:val="00E12F06"/>
    <w:rsid w:val="00E36745"/>
    <w:rsid w:val="00E63058"/>
    <w:rsid w:val="00E663EA"/>
    <w:rsid w:val="00E66B49"/>
    <w:rsid w:val="00E72D9C"/>
    <w:rsid w:val="00E7589A"/>
    <w:rsid w:val="00E858CD"/>
    <w:rsid w:val="00EC268C"/>
    <w:rsid w:val="00ED04B4"/>
    <w:rsid w:val="00F21B02"/>
    <w:rsid w:val="00F43C62"/>
    <w:rsid w:val="00F7606E"/>
    <w:rsid w:val="00F92A3E"/>
    <w:rsid w:val="00FC4E4D"/>
    <w:rsid w:val="00FE647F"/>
    <w:rsid w:val="00FE6A6B"/>
    <w:rsid w:val="00FE6B26"/>
    <w:rsid w:val="00FE70D9"/>
    <w:rsid w:val="00FE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3489"/>
    <o:shapelayout v:ext="edit">
      <o:idmap v:ext="edit" data="1"/>
    </o:shapelayout>
  </w:shapeDefaults>
  <w:decimalSymbol w:val="."/>
  <w:listSeparator w:val=","/>
  <w14:docId w14:val="66CC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F71"/>
    <w:pPr>
      <w:spacing w:after="0" w:line="240" w:lineRule="auto"/>
    </w:pPr>
  </w:style>
  <w:style w:type="paragraph" w:styleId="Heading1">
    <w:name w:val="heading 1"/>
    <w:basedOn w:val="Normal"/>
    <w:next w:val="Normal"/>
    <w:link w:val="Heading1Char"/>
    <w:qFormat/>
    <w:rsid w:val="006C43E8"/>
    <w:pPr>
      <w:numPr>
        <w:numId w:val="1"/>
      </w:numPr>
      <w:spacing w:before="180" w:after="240"/>
      <w:jc w:val="both"/>
      <w:outlineLvl w:val="0"/>
    </w:pPr>
    <w:rPr>
      <w:b/>
      <w:caps/>
      <w:u w:val="single"/>
    </w:rPr>
  </w:style>
  <w:style w:type="paragraph" w:styleId="Heading2">
    <w:name w:val="heading 2"/>
    <w:basedOn w:val="Normal"/>
    <w:next w:val="Normal"/>
    <w:link w:val="Heading2Char"/>
    <w:uiPriority w:val="9"/>
    <w:unhideWhenUsed/>
    <w:qFormat/>
    <w:rsid w:val="006C43E8"/>
    <w:pPr>
      <w:numPr>
        <w:ilvl w:val="1"/>
        <w:numId w:val="1"/>
      </w:numPr>
      <w:tabs>
        <w:tab w:val="left" w:pos="1440"/>
      </w:tabs>
      <w:spacing w:after="240"/>
      <w:jc w:val="both"/>
      <w:outlineLvl w:val="1"/>
    </w:pPr>
    <w:rPr>
      <w:rFonts w:eastAsiaTheme="majorEastAsia"/>
      <w:b/>
      <w:szCs w:val="24"/>
    </w:rPr>
  </w:style>
  <w:style w:type="paragraph" w:styleId="Heading3">
    <w:name w:val="heading 3"/>
    <w:basedOn w:val="Normal"/>
    <w:next w:val="Normal"/>
    <w:link w:val="Heading3Char"/>
    <w:uiPriority w:val="9"/>
    <w:semiHidden/>
    <w:unhideWhenUsed/>
    <w:qFormat/>
    <w:rsid w:val="00BB5F71"/>
    <w:pPr>
      <w:numPr>
        <w:ilvl w:val="2"/>
        <w:numId w:val="1"/>
      </w:numPr>
      <w:tabs>
        <w:tab w:val="left" w:pos="2160"/>
      </w:tabs>
      <w:spacing w:after="240"/>
      <w:jc w:val="both"/>
      <w:outlineLvl w:val="2"/>
    </w:pPr>
    <w:rPr>
      <w:rFonts w:asciiTheme="majorHAnsi" w:eastAsiaTheme="majorEastAsia" w:hAnsiTheme="majorHAnsi" w:cstheme="majorBidi"/>
      <w:b/>
      <w:sz w:val="22"/>
    </w:rPr>
  </w:style>
  <w:style w:type="paragraph" w:styleId="Heading4">
    <w:name w:val="heading 4"/>
    <w:basedOn w:val="Normal"/>
    <w:next w:val="Normal"/>
    <w:link w:val="Heading4Char"/>
    <w:qFormat/>
    <w:rsid w:val="00BB5F71"/>
    <w:pPr>
      <w:numPr>
        <w:ilvl w:val="3"/>
        <w:numId w:val="1"/>
      </w:numPr>
      <w:tabs>
        <w:tab w:val="left" w:pos="2880"/>
      </w:tabs>
      <w:spacing w:after="240"/>
      <w:jc w:val="both"/>
      <w:outlineLvl w:val="3"/>
    </w:pPr>
    <w:rPr>
      <w:b/>
      <w:i/>
      <w:sz w:val="22"/>
    </w:rPr>
  </w:style>
  <w:style w:type="paragraph" w:styleId="Heading5">
    <w:name w:val="heading 5"/>
    <w:basedOn w:val="Normal"/>
    <w:next w:val="Normal"/>
    <w:link w:val="Heading5Char"/>
    <w:uiPriority w:val="9"/>
    <w:semiHidden/>
    <w:unhideWhenUsed/>
    <w:qFormat/>
    <w:rsid w:val="00BB5F71"/>
    <w:pPr>
      <w:numPr>
        <w:ilvl w:val="4"/>
        <w:numId w:val="1"/>
      </w:numPr>
      <w:tabs>
        <w:tab w:val="left" w:pos="3600"/>
      </w:tabs>
      <w:spacing w:after="240"/>
      <w:jc w:val="both"/>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BB5F71"/>
    <w:pPr>
      <w:numPr>
        <w:ilvl w:val="5"/>
        <w:numId w:val="1"/>
      </w:numPr>
      <w:tabs>
        <w:tab w:val="left" w:pos="4320"/>
      </w:tabs>
      <w:spacing w:after="240"/>
      <w:jc w:val="both"/>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
    <w:semiHidden/>
    <w:unhideWhenUsed/>
    <w:qFormat/>
    <w:rsid w:val="00BB5F71"/>
    <w:pPr>
      <w:numPr>
        <w:ilvl w:val="6"/>
        <w:numId w:val="1"/>
      </w:numPr>
      <w:tabs>
        <w:tab w:val="left" w:pos="5040"/>
      </w:tabs>
      <w:spacing w:after="240"/>
      <w:jc w:val="both"/>
      <w:outlineLvl w:val="6"/>
    </w:pPr>
    <w:rPr>
      <w:rFonts w:asciiTheme="majorHAnsi" w:eastAsiaTheme="majorEastAsia" w:hAnsiTheme="majorHAnsi" w:cstheme="majorBidi"/>
      <w:iCs/>
      <w:color w:val="404040" w:themeColor="text1" w:themeTint="BF"/>
      <w:sz w:val="22"/>
    </w:rPr>
  </w:style>
  <w:style w:type="paragraph" w:styleId="Heading8">
    <w:name w:val="heading 8"/>
    <w:basedOn w:val="Normal"/>
    <w:next w:val="Normal"/>
    <w:link w:val="Heading8Char"/>
    <w:uiPriority w:val="9"/>
    <w:semiHidden/>
    <w:unhideWhenUsed/>
    <w:qFormat/>
    <w:rsid w:val="00BB5F71"/>
    <w:pPr>
      <w:numPr>
        <w:ilvl w:val="7"/>
        <w:numId w:val="1"/>
      </w:numPr>
      <w:tabs>
        <w:tab w:val="left" w:pos="5760"/>
      </w:tabs>
      <w:spacing w:after="240"/>
      <w:jc w:val="both"/>
      <w:outlineLvl w:val="7"/>
    </w:pPr>
    <w:rPr>
      <w:rFonts w:asciiTheme="majorHAnsi" w:eastAsiaTheme="majorEastAsia" w:hAnsiTheme="majorHAnsi" w:cstheme="majorBidi"/>
      <w:color w:val="404040" w:themeColor="text1" w:themeTint="BF"/>
      <w:sz w:val="22"/>
      <w:szCs w:val="21"/>
    </w:rPr>
  </w:style>
  <w:style w:type="paragraph" w:styleId="Heading9">
    <w:name w:val="heading 9"/>
    <w:basedOn w:val="Normal"/>
    <w:next w:val="Normal"/>
    <w:link w:val="Heading9Char"/>
    <w:uiPriority w:val="9"/>
    <w:semiHidden/>
    <w:unhideWhenUsed/>
    <w:qFormat/>
    <w:rsid w:val="00BB5F71"/>
    <w:pPr>
      <w:numPr>
        <w:ilvl w:val="8"/>
        <w:numId w:val="1"/>
      </w:numPr>
      <w:tabs>
        <w:tab w:val="left" w:pos="6480"/>
      </w:tabs>
      <w:spacing w:after="240"/>
      <w:jc w:val="both"/>
      <w:outlineLvl w:val="8"/>
    </w:pPr>
    <w:rPr>
      <w:rFonts w:asciiTheme="majorHAnsi" w:eastAsiaTheme="majorEastAsia" w:hAnsiTheme="majorHAnsi" w:cstheme="majorBidi"/>
      <w:iCs/>
      <w:color w:val="404040" w:themeColor="text1" w:themeTint="BF"/>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43E8"/>
    <w:rPr>
      <w:rFonts w:ascii="Arial" w:hAnsi="Arial" w:cs="Arial"/>
      <w:b/>
      <w:caps/>
      <w:sz w:val="24"/>
      <w:u w:val="single"/>
    </w:rPr>
  </w:style>
  <w:style w:type="character" w:customStyle="1" w:styleId="Heading4Char">
    <w:name w:val="Heading 4 Char"/>
    <w:basedOn w:val="DefaultParagraphFont"/>
    <w:link w:val="Heading4"/>
    <w:rPr>
      <w:rFonts w:ascii="Arial" w:eastAsia="Times New Roman" w:hAnsi="Arial" w:cs="Arial"/>
      <w:b/>
      <w:i/>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 w:type="paragraph" w:styleId="FootnoteText">
    <w:name w:val="footnote text"/>
    <w:basedOn w:val="Normal"/>
    <w:link w:val="FootnoteTextChar"/>
    <w:uiPriority w:val="99"/>
    <w:semiHidden/>
    <w:unhideWhenUsed/>
    <w:rsid w:val="005F1314"/>
    <w:rPr>
      <w:sz w:val="20"/>
      <w:szCs w:val="20"/>
    </w:rPr>
  </w:style>
  <w:style w:type="character" w:customStyle="1" w:styleId="FootnoteTextChar">
    <w:name w:val="Footnote Text Char"/>
    <w:basedOn w:val="DefaultParagraphFont"/>
    <w:link w:val="FootnoteText"/>
    <w:uiPriority w:val="99"/>
    <w:semiHidden/>
    <w:rsid w:val="005F131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F1314"/>
    <w:rPr>
      <w:vertAlign w:val="superscript"/>
    </w:rPr>
  </w:style>
  <w:style w:type="character" w:customStyle="1" w:styleId="Heading2Char">
    <w:name w:val="Heading 2 Char"/>
    <w:basedOn w:val="DefaultParagraphFont"/>
    <w:link w:val="Heading2"/>
    <w:uiPriority w:val="9"/>
    <w:rsid w:val="006C43E8"/>
    <w:rPr>
      <w:rFonts w:ascii="Arial" w:eastAsiaTheme="majorEastAsia" w:hAnsi="Arial" w:cs="Arial"/>
      <w:b/>
      <w:sz w:val="24"/>
      <w:szCs w:val="24"/>
    </w:rPr>
  </w:style>
  <w:style w:type="character" w:customStyle="1" w:styleId="Heading3Char">
    <w:name w:val="Heading 3 Char"/>
    <w:basedOn w:val="DefaultParagraphFont"/>
    <w:link w:val="Heading3"/>
    <w:uiPriority w:val="9"/>
    <w:semiHidden/>
    <w:rsid w:val="00BB5F71"/>
    <w:rPr>
      <w:rFonts w:asciiTheme="majorHAnsi" w:eastAsiaTheme="majorEastAsia" w:hAnsiTheme="majorHAnsi" w:cstheme="majorBidi"/>
      <w:b/>
      <w:szCs w:val="24"/>
    </w:rPr>
  </w:style>
  <w:style w:type="character" w:customStyle="1" w:styleId="Heading5Char">
    <w:name w:val="Heading 5 Char"/>
    <w:basedOn w:val="DefaultParagraphFont"/>
    <w:link w:val="Heading5"/>
    <w:uiPriority w:val="9"/>
    <w:semiHidden/>
    <w:rsid w:val="00BB5F71"/>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semiHidden/>
    <w:rsid w:val="00BB5F71"/>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BB5F71"/>
    <w:rPr>
      <w:rFonts w:asciiTheme="majorHAnsi" w:eastAsiaTheme="majorEastAsia" w:hAnsiTheme="majorHAnsi" w:cstheme="majorBidi"/>
      <w:iCs/>
      <w:color w:val="404040" w:themeColor="text1" w:themeTint="BF"/>
      <w:szCs w:val="24"/>
    </w:rPr>
  </w:style>
  <w:style w:type="character" w:customStyle="1" w:styleId="Heading8Char">
    <w:name w:val="Heading 8 Char"/>
    <w:basedOn w:val="DefaultParagraphFont"/>
    <w:link w:val="Heading8"/>
    <w:uiPriority w:val="9"/>
    <w:semiHidden/>
    <w:rsid w:val="00BB5F71"/>
    <w:rPr>
      <w:rFonts w:asciiTheme="majorHAnsi" w:eastAsiaTheme="majorEastAsia" w:hAnsiTheme="majorHAnsi" w:cstheme="majorBidi"/>
      <w:color w:val="404040" w:themeColor="text1" w:themeTint="BF"/>
      <w:szCs w:val="21"/>
    </w:rPr>
  </w:style>
  <w:style w:type="character" w:customStyle="1" w:styleId="Heading9Char">
    <w:name w:val="Heading 9 Char"/>
    <w:basedOn w:val="DefaultParagraphFont"/>
    <w:link w:val="Heading9"/>
    <w:uiPriority w:val="9"/>
    <w:semiHidden/>
    <w:rsid w:val="00BB5F71"/>
    <w:rPr>
      <w:rFonts w:asciiTheme="majorHAnsi" w:eastAsiaTheme="majorEastAsia" w:hAnsiTheme="majorHAnsi" w:cstheme="majorBidi"/>
      <w:iCs/>
      <w:color w:val="404040" w:themeColor="text1" w:themeTint="B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717785">
      <w:bodyDiv w:val="1"/>
      <w:marLeft w:val="0"/>
      <w:marRight w:val="0"/>
      <w:marTop w:val="0"/>
      <w:marBottom w:val="0"/>
      <w:divBdr>
        <w:top w:val="none" w:sz="0" w:space="0" w:color="auto"/>
        <w:left w:val="none" w:sz="0" w:space="0" w:color="auto"/>
        <w:bottom w:val="none" w:sz="0" w:space="0" w:color="auto"/>
        <w:right w:val="none" w:sz="0" w:space="0" w:color="auto"/>
      </w:divBdr>
    </w:div>
    <w:div w:id="1220946430">
      <w:bodyDiv w:val="1"/>
      <w:marLeft w:val="0"/>
      <w:marRight w:val="0"/>
      <w:marTop w:val="0"/>
      <w:marBottom w:val="0"/>
      <w:divBdr>
        <w:top w:val="none" w:sz="0" w:space="0" w:color="auto"/>
        <w:left w:val="none" w:sz="0" w:space="0" w:color="auto"/>
        <w:bottom w:val="none" w:sz="0" w:space="0" w:color="auto"/>
        <w:right w:val="none" w:sz="0" w:space="0" w:color="auto"/>
      </w:divBdr>
    </w:div>
    <w:div w:id="1346244096">
      <w:bodyDiv w:val="1"/>
      <w:marLeft w:val="0"/>
      <w:marRight w:val="0"/>
      <w:marTop w:val="0"/>
      <w:marBottom w:val="0"/>
      <w:divBdr>
        <w:top w:val="none" w:sz="0" w:space="0" w:color="auto"/>
        <w:left w:val="none" w:sz="0" w:space="0" w:color="auto"/>
        <w:bottom w:val="none" w:sz="0" w:space="0" w:color="auto"/>
        <w:right w:val="none" w:sz="0" w:space="0" w:color="auto"/>
      </w:divBdr>
    </w:div>
    <w:div w:id="1779447415">
      <w:bodyDiv w:val="1"/>
      <w:marLeft w:val="0"/>
      <w:marRight w:val="0"/>
      <w:marTop w:val="0"/>
      <w:marBottom w:val="0"/>
      <w:divBdr>
        <w:top w:val="none" w:sz="0" w:space="0" w:color="auto"/>
        <w:left w:val="none" w:sz="0" w:space="0" w:color="auto"/>
        <w:bottom w:val="none" w:sz="0" w:space="0" w:color="auto"/>
        <w:right w:val="none" w:sz="0" w:space="0" w:color="auto"/>
      </w:divBdr>
    </w:div>
    <w:div w:id="20553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13FED-8916-49A8-BD78-98F14622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1267</Words>
  <Characters>7329</Characters>
  <Application>Microsoft Office Word</Application>
  <DocSecurity>0</DocSecurity>
  <PresentationFormat>15|.DOCX</PresentationFormat>
  <Lines>262</Lines>
  <Paragraphs>149</Paragraphs>
  <ScaleCrop>false</ScaleCrop>
  <HeadingPairs>
    <vt:vector size="2" baseType="variant">
      <vt:variant>
        <vt:lpstr>Title</vt:lpstr>
      </vt:variant>
      <vt:variant>
        <vt:i4>1</vt:i4>
      </vt:variant>
    </vt:vector>
  </HeadingPairs>
  <TitlesOfParts>
    <vt:vector size="1" baseType="lpstr">
      <vt:lpstr>17-1377-EL-USF Initial Brief (C0103931-2).DOCX</vt:lpstr>
    </vt:vector>
  </TitlesOfParts>
  <Manager/>
  <Company/>
  <LinksUpToDate>false</LinksUpToDate>
  <CharactersWithSpaces>8501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17-1377-EL-USF Initial Brief (C0103931-2).DOCX</dc:title>
  <dc:subject>C0103931:2</dc:subject>
  <dc:creator/>
  <cp:keywords> </cp:keywords>
  <dc:description> </dc:description>
  <cp:lastModifiedBy/>
  <cp:revision>1</cp:revision>
  <cp:lastPrinted>2012-08-24T18:07:00Z</cp:lastPrinted>
  <dcterms:created xsi:type="dcterms:W3CDTF">2017-08-28T18:57:00Z</dcterms:created>
  <dcterms:modified xsi:type="dcterms:W3CDTF">2017-08-28T18:57:00Z</dcterms:modified>
  <cp:category> </cp:category>
  <cp:contentStatus> </cp:contentStatus>
</cp:coreProperties>
</file>