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AD3B9" w14:textId="77777777" w:rsidR="00DE3DE4" w:rsidRDefault="00DE3DE4">
      <w:bookmarkStart w:id="0" w:name="_GoBack"/>
      <w:bookmarkEnd w:id="0"/>
    </w:p>
    <w:p w14:paraId="77E11920" w14:textId="77777777" w:rsidR="00CE6831" w:rsidRDefault="00CE6831"/>
    <w:p w14:paraId="4FA9284A" w14:textId="77777777" w:rsidR="00DE3DE4" w:rsidRDefault="00DE3DE4">
      <w:pPr>
        <w:pStyle w:val="Heading2"/>
        <w:rPr>
          <w:u w:val="single"/>
        </w:rPr>
      </w:pPr>
      <w:r>
        <w:rPr>
          <w:u w:val="single"/>
        </w:rPr>
        <w:t>SECTION II – METERING &amp; BILLING</w:t>
      </w:r>
    </w:p>
    <w:p w14:paraId="277B6EAF" w14:textId="77777777" w:rsidR="00DE3DE4" w:rsidRDefault="00DE3DE4"/>
    <w:p w14:paraId="4551F435" w14:textId="77777777" w:rsidR="00DE3DE4" w:rsidRDefault="00DE3DE4">
      <w:pPr>
        <w:ind w:left="432" w:hanging="432"/>
      </w:pPr>
      <w:r>
        <w:rPr>
          <w:b/>
          <w:bCs/>
        </w:rPr>
        <w:t>10.</w:t>
      </w:r>
      <w:r>
        <w:rPr>
          <w:b/>
          <w:bCs/>
        </w:rPr>
        <w:tab/>
      </w:r>
      <w:r>
        <w:rPr>
          <w:b/>
          <w:bCs/>
          <w:u w:val="single"/>
        </w:rPr>
        <w:t>Pressure Regulators, Gas Meters and Tampering</w:t>
      </w:r>
      <w:r>
        <w:rPr>
          <w:b/>
          <w:bCs/>
        </w:rPr>
        <w:t>.</w:t>
      </w:r>
      <w:r>
        <w:t xml:space="preserve">  The gas meter and any pressure regulator to be installed on a service line and connected with East Ohio's distribution system will be furnished by East Ohio and will remain its property, and the Company shall have the right to replace them as the Company may deem necessary.  When a customer is served from the Company's field or gathering lines, the customer shall install and maintain, at his expense, a suitable regulator or regulators for reducing the pressure.  The regulator or regulators shall be installed in the manner required by the Company.  If any meter or regulator, or the pipes, fittings or connections used in supplying gas to such meter or regulator, is tampered with by a customer, his agent or employee, East Ohio may remove such meter or regulator and may discontinue the supply of gas to such customer until payment has been made for all unregistered gas, in an amount estimated by East Ohio, and for all damage to East Ohio's property, or, at East Ohio's option, it may discontinue gas service permanently to such customer.  </w:t>
      </w:r>
    </w:p>
    <w:p w14:paraId="74127DC7" w14:textId="77777777" w:rsidR="00DE3DE4" w:rsidRDefault="00DE3DE4">
      <w:pPr>
        <w:ind w:left="432" w:hanging="432"/>
      </w:pPr>
    </w:p>
    <w:p w14:paraId="0470240C" w14:textId="77777777" w:rsidR="00DE3DE4" w:rsidRDefault="00DE3DE4">
      <w:pPr>
        <w:ind w:left="432" w:hanging="432"/>
      </w:pPr>
      <w:r>
        <w:rPr>
          <w:b/>
        </w:rPr>
        <w:t>11.</w:t>
      </w:r>
      <w:r>
        <w:rPr>
          <w:b/>
        </w:rPr>
        <w:tab/>
      </w:r>
      <w:r>
        <w:rPr>
          <w:b/>
          <w:u w:val="single"/>
        </w:rPr>
        <w:t>Meter Location</w:t>
      </w:r>
      <w:r>
        <w:rPr>
          <w:b/>
          <w:bCs/>
        </w:rPr>
        <w:t>.</w:t>
      </w:r>
      <w:r>
        <w:t xml:space="preserve">  The Company shall determine the location of the meter.  When changes in a building or arrangements therein render the meter inaccessible or exposed to hazards, the Company may require the customer, at the customer's expense, to relocate the meter setting together with any portion of the customer's service line necessary to accomplish such relocation.</w:t>
      </w:r>
    </w:p>
    <w:p w14:paraId="5D239170" w14:textId="77777777" w:rsidR="00DE3DE4" w:rsidRDefault="00DE3DE4">
      <w:pPr>
        <w:ind w:left="432" w:hanging="432"/>
      </w:pPr>
    </w:p>
    <w:p w14:paraId="388F4E8E" w14:textId="77777777" w:rsidR="00DE3DE4" w:rsidRDefault="00DE3DE4">
      <w:pPr>
        <w:ind w:left="432" w:hanging="432"/>
      </w:pPr>
      <w:r>
        <w:rPr>
          <w:b/>
        </w:rPr>
        <w:t>12.</w:t>
      </w:r>
      <w:r>
        <w:rPr>
          <w:b/>
        </w:rPr>
        <w:tab/>
      </w:r>
      <w:r>
        <w:rPr>
          <w:b/>
          <w:u w:val="single"/>
        </w:rPr>
        <w:t>Meter Connections</w:t>
      </w:r>
      <w:r>
        <w:rPr>
          <w:b/>
          <w:bCs/>
        </w:rPr>
        <w:t>.</w:t>
      </w:r>
      <w:r>
        <w:t xml:space="preserve">  The owner or customer shall not permit anyone who is not an authorized agent of the Company to connect or disconnect the Company's meters, regulators or gauges or in any way alter or interfere with the Company's meters, regulators or gauges.</w:t>
      </w:r>
    </w:p>
    <w:p w14:paraId="6CC56165" w14:textId="77777777" w:rsidR="00DE3DE4" w:rsidRDefault="00DE3DE4">
      <w:pPr>
        <w:ind w:left="432" w:hanging="432"/>
      </w:pPr>
    </w:p>
    <w:p w14:paraId="6B36484A" w14:textId="5F724E9D" w:rsidR="00DE3DE4" w:rsidRDefault="00DE3DE4">
      <w:pPr>
        <w:ind w:left="432" w:hanging="432"/>
      </w:pPr>
      <w:proofErr w:type="gramStart"/>
      <w:r>
        <w:rPr>
          <w:b/>
        </w:rPr>
        <w:t>13.</w:t>
      </w:r>
      <w:r>
        <w:rPr>
          <w:b/>
        </w:rPr>
        <w:tab/>
      </w:r>
      <w:r>
        <w:rPr>
          <w:b/>
          <w:u w:val="single"/>
        </w:rPr>
        <w:t>Bill Due Date</w:t>
      </w:r>
      <w:r>
        <w:rPr>
          <w:b/>
          <w:bCs/>
        </w:rPr>
        <w:t>.</w:t>
      </w:r>
      <w:proofErr w:type="gramEnd"/>
      <w:r>
        <w:t xml:space="preserve">  The due date for each bill for gas shall be no earlier than </w:t>
      </w:r>
      <w:r w:rsidR="008650E2">
        <w:t xml:space="preserve">seventeen </w:t>
      </w:r>
      <w:r>
        <w:t>(</w:t>
      </w:r>
      <w:r w:rsidR="008B5AD8">
        <w:t>17</w:t>
      </w:r>
      <w:r>
        <w:t>) days after the date of its mailing or electronic delivery to the customer.</w:t>
      </w:r>
    </w:p>
    <w:p w14:paraId="1C802E9A" w14:textId="77777777" w:rsidR="00DE3DE4" w:rsidRDefault="00DE3DE4">
      <w:pPr>
        <w:ind w:left="432" w:hanging="432"/>
      </w:pPr>
    </w:p>
    <w:p w14:paraId="7C889D30" w14:textId="652E1335" w:rsidR="00DE3DE4" w:rsidRDefault="00DE3DE4">
      <w:pPr>
        <w:ind w:left="432" w:hanging="432"/>
      </w:pPr>
      <w:r>
        <w:rPr>
          <w:b/>
        </w:rPr>
        <w:t>14.</w:t>
      </w:r>
      <w:r>
        <w:rPr>
          <w:b/>
        </w:rPr>
        <w:tab/>
      </w:r>
      <w:r>
        <w:rPr>
          <w:b/>
          <w:u w:val="single"/>
        </w:rPr>
        <w:t>Charge on Delinquent Bills</w:t>
      </w:r>
      <w:r>
        <w:rPr>
          <w:b/>
        </w:rPr>
        <w:t xml:space="preserve">.  </w:t>
      </w:r>
      <w:r>
        <w:t xml:space="preserve">Each monthly bill shall be due and payable within </w:t>
      </w:r>
      <w:r w:rsidR="008650E2">
        <w:t xml:space="preserve">seventeen </w:t>
      </w:r>
      <w:r>
        <w:t>(</w:t>
      </w:r>
      <w:r w:rsidR="008650E2">
        <w:t>17</w:t>
      </w:r>
      <w:r>
        <w:t>) days from the date of its mailing or electronic delivery. If not paid in full</w:t>
      </w:r>
      <w:r w:rsidR="00A33AD8">
        <w:t xml:space="preserve"> by the time the next bill is generated</w:t>
      </w:r>
      <w:r>
        <w:t>, a late payment charge of 1 1/2% may be imposed at the next bill date on all past due balances on the customer’s account.</w:t>
      </w:r>
    </w:p>
    <w:p w14:paraId="20033313" w14:textId="77777777" w:rsidR="00DE3DE4" w:rsidRDefault="00DE3DE4">
      <w:pPr>
        <w:ind w:left="432" w:hanging="432"/>
      </w:pPr>
    </w:p>
    <w:p w14:paraId="35CB2476" w14:textId="77777777" w:rsidR="00DE3DE4" w:rsidRDefault="00DE3DE4">
      <w:pPr>
        <w:pStyle w:val="Indent"/>
        <w:rPr>
          <w:bCs/>
        </w:rPr>
      </w:pPr>
      <w:r>
        <w:rPr>
          <w:bCs/>
        </w:rPr>
        <w:t xml:space="preserve">Late payment charges will not be assessed to customers participating in the </w:t>
      </w:r>
      <w:r w:rsidR="00505D6C">
        <w:rPr>
          <w:bCs/>
        </w:rPr>
        <w:t xml:space="preserve">PIPP Plus program, which replaces the former </w:t>
      </w:r>
      <w:r>
        <w:rPr>
          <w:bCs/>
        </w:rPr>
        <w:t>Percentage Income Payment Plan (“PIPP”)</w:t>
      </w:r>
      <w:r w:rsidR="00B07818">
        <w:rPr>
          <w:bCs/>
        </w:rPr>
        <w:t>,</w:t>
      </w:r>
      <w:r>
        <w:rPr>
          <w:bCs/>
        </w:rPr>
        <w:t xml:space="preserve"> or the </w:t>
      </w:r>
      <w:r w:rsidR="00B07818">
        <w:rPr>
          <w:bCs/>
        </w:rPr>
        <w:t xml:space="preserve">Graduate PIPP Plus program, which replaces the former </w:t>
      </w:r>
      <w:r>
        <w:rPr>
          <w:bCs/>
        </w:rPr>
        <w:t>PIPP arrearage crediting program.  Late payment charges will not be assessed to customers participating in a short-term payment plan or the budget billing plan provided they make the minimum payment required under the plan by the bill due date.  If the required payment under a short-term payment plan or budget billing plan is paid late, the late payment charge will be applied only to amounts due but not paid under the payment plan.</w:t>
      </w:r>
    </w:p>
    <w:p w14:paraId="4D42A46C" w14:textId="77777777" w:rsidR="00EC5AD2" w:rsidRDefault="00EC5AD2">
      <w:pPr>
        <w:pStyle w:val="Indent"/>
        <w:rPr>
          <w:bCs/>
        </w:rPr>
        <w:sectPr w:rsidR="00EC5AD2">
          <w:headerReference w:type="default" r:id="rId8"/>
          <w:footerReference w:type="default" r:id="rId9"/>
          <w:headerReference w:type="first" r:id="rId10"/>
          <w:footerReference w:type="first" r:id="rId11"/>
          <w:pgSz w:w="12240" w:h="15840" w:code="1"/>
          <w:pgMar w:top="1440" w:right="1440" w:bottom="1440" w:left="1440" w:header="720" w:footer="432" w:gutter="0"/>
          <w:cols w:space="720"/>
          <w:titlePg/>
          <w:docGrid w:linePitch="360"/>
        </w:sectPr>
      </w:pPr>
    </w:p>
    <w:p w14:paraId="10AAB01C" w14:textId="77777777" w:rsidR="00EC5AD2" w:rsidRDefault="00EC5AD2">
      <w:pPr>
        <w:pStyle w:val="Indent"/>
        <w:rPr>
          <w:bCs/>
        </w:rPr>
      </w:pPr>
    </w:p>
    <w:p w14:paraId="412F55DF" w14:textId="77777777" w:rsidR="00DE3DE4" w:rsidRDefault="00DE3DE4">
      <w:pPr>
        <w:ind w:left="432"/>
      </w:pPr>
      <w:r>
        <w:t>Nothing contained herein shall be construed to prohibit East Ohio from making longer free extensions than herein prescribed provided like free extensions are made to other applicants under similar conditions.</w:t>
      </w:r>
    </w:p>
    <w:p w14:paraId="4FFE1C8F" w14:textId="77777777" w:rsidR="00DE3DE4" w:rsidRDefault="00DE3DE4">
      <w:pPr>
        <w:ind w:left="432" w:hanging="432"/>
      </w:pPr>
    </w:p>
    <w:p w14:paraId="629A7DE7" w14:textId="77777777" w:rsidR="00DE3DE4" w:rsidRDefault="00DE3DE4">
      <w:pPr>
        <w:ind w:left="432" w:hanging="432"/>
      </w:pPr>
      <w:r>
        <w:rPr>
          <w:b/>
        </w:rPr>
        <w:t>31.</w:t>
      </w:r>
      <w:r>
        <w:rPr>
          <w:b/>
        </w:rPr>
        <w:tab/>
      </w:r>
      <w:r>
        <w:rPr>
          <w:b/>
          <w:u w:val="single"/>
        </w:rPr>
        <w:t>Right of Removal</w:t>
      </w:r>
      <w:r>
        <w:rPr>
          <w:b/>
          <w:bCs/>
        </w:rPr>
        <w:t>.</w:t>
      </w:r>
      <w:r>
        <w:t xml:space="preserve">  No person or entity shall erect any structure within a Company easement or change the existing grade over a Company gas line without the express permission of East Ohio.  East Ohio shall have the right to remove any such structure or grade change at the expense of the customer or responsible party.</w:t>
      </w:r>
    </w:p>
    <w:p w14:paraId="5BDCEC98" w14:textId="77777777" w:rsidR="00DE3DE4" w:rsidRDefault="00DE3DE4">
      <w:pPr>
        <w:ind w:left="432" w:hanging="432"/>
      </w:pPr>
    </w:p>
    <w:p w14:paraId="456D6FB7" w14:textId="77777777" w:rsidR="00DE3DE4" w:rsidRDefault="00DE3DE4">
      <w:pPr>
        <w:ind w:left="432" w:hanging="432"/>
      </w:pPr>
      <w:r>
        <w:rPr>
          <w:b/>
        </w:rPr>
        <w:t>32.</w:t>
      </w:r>
      <w:r>
        <w:rPr>
          <w:b/>
        </w:rPr>
        <w:tab/>
      </w:r>
      <w:r>
        <w:rPr>
          <w:b/>
          <w:u w:val="single"/>
        </w:rPr>
        <w:t>Discontinuance of Supply on Notice of Defect in Customer's Property</w:t>
      </w:r>
      <w:r>
        <w:rPr>
          <w:b/>
          <w:bCs/>
        </w:rPr>
        <w:t>.</w:t>
      </w:r>
      <w:r>
        <w:t xml:space="preserve">  If, at any time, in the opinion of East Ohio the property owner's service line, other gas lines, fittings, connections, gas appliances or equipment on a customer’s premises are defective or in such condition as to constitute a hazard, East Ohio, upon notice to it of such defect or condition, may discontinue the supply of gas to such appliances or equipment or to such service line or such other gas lines until such defect or condition has been rectified by the property owner or customer in a manner satisfactory to East Ohio.</w:t>
      </w:r>
    </w:p>
    <w:p w14:paraId="126399EC" w14:textId="77777777" w:rsidR="009B3E19" w:rsidRDefault="009B3E19">
      <w:pPr>
        <w:ind w:left="432" w:hanging="432"/>
      </w:pPr>
    </w:p>
    <w:p w14:paraId="52DFCBD3" w14:textId="44D3410A" w:rsidR="009B3E19" w:rsidRPr="001B0690" w:rsidRDefault="009B3E19" w:rsidP="00456911">
      <w:pPr>
        <w:ind w:left="432" w:hanging="432"/>
      </w:pPr>
      <w:r>
        <w:rPr>
          <w:b/>
        </w:rPr>
        <w:t>33.</w:t>
      </w:r>
      <w:r>
        <w:rPr>
          <w:b/>
        </w:rPr>
        <w:tab/>
      </w:r>
      <w:r w:rsidRPr="001C74B3">
        <w:rPr>
          <w:b/>
          <w:u w:val="single"/>
        </w:rPr>
        <w:t>Excess Flow Valves</w:t>
      </w:r>
      <w:r>
        <w:rPr>
          <w:b/>
        </w:rPr>
        <w:t xml:space="preserve">. </w:t>
      </w:r>
      <w:r w:rsidR="001C74B3">
        <w:rPr>
          <w:b/>
        </w:rPr>
        <w:t xml:space="preserve"> </w:t>
      </w:r>
      <w:r w:rsidR="00456911" w:rsidRPr="00456911">
        <w:t xml:space="preserve">A customer may request the installation of an excess flow valve </w:t>
      </w:r>
      <w:r w:rsidR="00924F22">
        <w:t xml:space="preserve">(“EFV”) </w:t>
      </w:r>
      <w:r w:rsidR="00456911" w:rsidRPr="00456911">
        <w:t xml:space="preserve">on an existing service line that qualifies for installation under federal pipeline safety regulations. </w:t>
      </w:r>
      <w:r w:rsidR="00924F22">
        <w:t>C</w:t>
      </w:r>
      <w:r w:rsidR="00456911" w:rsidRPr="00456911">
        <w:t>ustomer</w:t>
      </w:r>
      <w:r w:rsidR="00924F22">
        <w:t>s requesting installation of an EFV</w:t>
      </w:r>
      <w:r w:rsidR="00456911" w:rsidRPr="00456911">
        <w:t xml:space="preserve"> shall be responsible for the actual costs associated with installation, which shall be </w:t>
      </w:r>
      <w:r w:rsidR="00456911">
        <w:t>billable</w:t>
      </w:r>
      <w:r w:rsidR="00456911" w:rsidRPr="00456911">
        <w:t xml:space="preserve"> to the customer. East Ohio reserves the right not to install an EFV under conditions specified under federal pipeline safety regulations</w:t>
      </w:r>
      <w:r w:rsidR="0019262F">
        <w:t>.</w:t>
      </w:r>
    </w:p>
    <w:p w14:paraId="6E9B3398" w14:textId="77777777" w:rsidR="00DE3DE4" w:rsidRDefault="00DE3DE4"/>
    <w:p w14:paraId="5317352B" w14:textId="77777777" w:rsidR="00DE3DE4" w:rsidRDefault="00DE3DE4"/>
    <w:p w14:paraId="3C5FA2A4" w14:textId="77777777" w:rsidR="00DE3DE4" w:rsidRDefault="00DE3DE4">
      <w:pPr>
        <w:pStyle w:val="Heading2"/>
        <w:rPr>
          <w:u w:val="single"/>
        </w:rPr>
      </w:pPr>
      <w:r>
        <w:rPr>
          <w:u w:val="single"/>
        </w:rPr>
        <w:t>SECTION IV – MISCELLANEOUS</w:t>
      </w:r>
    </w:p>
    <w:p w14:paraId="3BEF3642" w14:textId="77777777" w:rsidR="00DE3DE4" w:rsidRDefault="00DE3DE4"/>
    <w:p w14:paraId="63016328" w14:textId="2CCB53AC" w:rsidR="00DE3DE4" w:rsidRDefault="00DE3DE4">
      <w:pPr>
        <w:ind w:left="432" w:hanging="432"/>
      </w:pPr>
      <w:r>
        <w:rPr>
          <w:b/>
          <w:bCs/>
        </w:rPr>
        <w:t>3</w:t>
      </w:r>
      <w:r w:rsidR="009B3E19">
        <w:rPr>
          <w:b/>
          <w:bCs/>
        </w:rPr>
        <w:t>4</w:t>
      </w:r>
      <w:r>
        <w:rPr>
          <w:b/>
          <w:bCs/>
        </w:rPr>
        <w:t>.</w:t>
      </w:r>
      <w:r>
        <w:rPr>
          <w:b/>
          <w:bCs/>
        </w:rPr>
        <w:tab/>
      </w:r>
      <w:r>
        <w:rPr>
          <w:b/>
          <w:bCs/>
          <w:u w:val="single"/>
        </w:rPr>
        <w:t>Tariff Disclosure</w:t>
      </w:r>
      <w:r>
        <w:rPr>
          <w:b/>
          <w:bCs/>
        </w:rPr>
        <w:t>.</w:t>
      </w:r>
      <w:r>
        <w:t xml:space="preserve">  A full and complete copy of East Ohio's current tariff covering rates and charges for service and terms and conditions of service will be available on </w:t>
      </w:r>
      <w:hyperlink r:id="rId12" w:history="1">
        <w:r>
          <w:rPr>
            <w:rStyle w:val="Hyperlink"/>
          </w:rPr>
          <w:t>www.dom.com</w:t>
        </w:r>
      </w:hyperlink>
      <w:r>
        <w:t xml:space="preserve"> or will be provided upon request within five business days.  East Ohio shall comply with the tariff disclosure requirements established by The Public Utilities Commission of Ohio and set forth in Section 4901:1-1-03 of the Ohio Administrative Code, as amended from time to time.</w:t>
      </w:r>
    </w:p>
    <w:p w14:paraId="4745E5EC" w14:textId="77777777" w:rsidR="00DE3DE4" w:rsidRDefault="00DE3DE4">
      <w:pPr>
        <w:ind w:left="432" w:hanging="432"/>
      </w:pPr>
    </w:p>
    <w:p w14:paraId="5F927A41" w14:textId="0F55C00F" w:rsidR="00DE3DE4" w:rsidRDefault="00DE3DE4">
      <w:pPr>
        <w:ind w:left="432" w:hanging="432"/>
      </w:pPr>
      <w:r>
        <w:rPr>
          <w:b/>
        </w:rPr>
        <w:t>3</w:t>
      </w:r>
      <w:r w:rsidR="009B3E19">
        <w:rPr>
          <w:b/>
        </w:rPr>
        <w:t>5</w:t>
      </w:r>
      <w:r>
        <w:rPr>
          <w:b/>
        </w:rPr>
        <w:t>.</w:t>
      </w:r>
      <w:r>
        <w:rPr>
          <w:b/>
        </w:rPr>
        <w:tab/>
      </w:r>
      <w:r>
        <w:rPr>
          <w:b/>
          <w:u w:val="single"/>
        </w:rPr>
        <w:t>PUCO Orders</w:t>
      </w:r>
      <w:r>
        <w:rPr>
          <w:b/>
          <w:bCs/>
        </w:rPr>
        <w:t>.</w:t>
      </w:r>
      <w:r>
        <w:t xml:space="preserve">  These Rules and Regulations are subject to and include as part thereof all orders, rules and regulations applicable to East Ohio from time to time issued or established by the Public Utilities Commission of Ohio under its emergency powers.</w:t>
      </w:r>
    </w:p>
    <w:p w14:paraId="1169028E" w14:textId="77777777" w:rsidR="00DE3DE4" w:rsidRDefault="00DE3DE4">
      <w:pPr>
        <w:ind w:left="432" w:hanging="432"/>
      </w:pPr>
    </w:p>
    <w:p w14:paraId="0493CD7E" w14:textId="67B5B95E" w:rsidR="00DE3DE4" w:rsidRDefault="00DE3DE4">
      <w:pPr>
        <w:ind w:left="432" w:hanging="432"/>
      </w:pPr>
      <w:r>
        <w:rPr>
          <w:b/>
        </w:rPr>
        <w:t>3</w:t>
      </w:r>
      <w:r w:rsidR="009B3E19">
        <w:rPr>
          <w:b/>
        </w:rPr>
        <w:t>6</w:t>
      </w:r>
      <w:r>
        <w:rPr>
          <w:b/>
        </w:rPr>
        <w:t>.</w:t>
      </w:r>
      <w:r>
        <w:rPr>
          <w:b/>
        </w:rPr>
        <w:tab/>
      </w:r>
      <w:r>
        <w:rPr>
          <w:b/>
          <w:u w:val="single"/>
        </w:rPr>
        <w:t>Right to Modify</w:t>
      </w:r>
      <w:r>
        <w:rPr>
          <w:b/>
          <w:bCs/>
        </w:rPr>
        <w:t>.</w:t>
      </w:r>
      <w:r>
        <w:t xml:space="preserve">  East Ohio reserves the right to modify, alter or amend the foregoing Rules and Regulations and to make such further and other rules and regulations as experience may suggest and as East Ohio may deem necessary or convenient in the conduct of its business.</w:t>
      </w:r>
    </w:p>
    <w:sectPr w:rsidR="00DE3DE4">
      <w:headerReference w:type="default" r:id="rId13"/>
      <w:footerReference w:type="default" r:id="rId14"/>
      <w:headerReference w:type="first" r:id="rId15"/>
      <w:footerReference w:type="first" r:id="rId16"/>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B8851" w14:textId="77777777" w:rsidR="00B83115" w:rsidRDefault="00B83115">
      <w:r>
        <w:separator/>
      </w:r>
    </w:p>
  </w:endnote>
  <w:endnote w:type="continuationSeparator" w:id="0">
    <w:p w14:paraId="0056A4F4" w14:textId="77777777" w:rsidR="00B83115" w:rsidRDefault="00B8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2808"/>
      <w:gridCol w:w="6768"/>
    </w:tblGrid>
    <w:tr w:rsidR="0019262F" w14:paraId="0CE1A212" w14:textId="77777777">
      <w:tc>
        <w:tcPr>
          <w:tcW w:w="2808" w:type="dxa"/>
        </w:tcPr>
        <w:p w14:paraId="30B139CE" w14:textId="017CD3AC" w:rsidR="0019262F" w:rsidRDefault="0019262F" w:rsidP="00E16AF4">
          <w:pPr>
            <w:pStyle w:val="Footer"/>
          </w:pPr>
          <w:r>
            <w:t xml:space="preserve">Issued:  </w:t>
          </w:r>
          <w:r w:rsidR="00E16AF4">
            <w:t>June 23, 2017</w:t>
          </w:r>
        </w:p>
      </w:tc>
      <w:tc>
        <w:tcPr>
          <w:tcW w:w="6768" w:type="dxa"/>
        </w:tcPr>
        <w:p w14:paraId="1A035507" w14:textId="6C69205E" w:rsidR="0019262F" w:rsidRDefault="0019262F" w:rsidP="00E16AF4">
          <w:pPr>
            <w:pStyle w:val="Footer"/>
            <w:jc w:val="right"/>
          </w:pPr>
          <w:r>
            <w:t xml:space="preserve">Effective: With bills rendered on or after </w:t>
          </w:r>
          <w:r w:rsidR="00E16AF4">
            <w:t xml:space="preserve"> June 23, 2017</w:t>
          </w:r>
        </w:p>
      </w:tc>
    </w:tr>
    <w:tr w:rsidR="0019262F" w14:paraId="7DACAB88" w14:textId="77777777">
      <w:tc>
        <w:tcPr>
          <w:tcW w:w="9576" w:type="dxa"/>
          <w:gridSpan w:val="2"/>
        </w:tcPr>
        <w:p w14:paraId="47134CAD" w14:textId="180BAA2D" w:rsidR="0019262F" w:rsidRDefault="0019262F">
          <w:pPr>
            <w:pStyle w:val="Footer"/>
            <w:jc w:val="center"/>
          </w:pPr>
          <w:r>
            <w:t xml:space="preserve">Filed under authority of The Public Utilities Commission of Ohio in Case No. </w:t>
          </w:r>
          <w:r w:rsidR="00B6623E">
            <w:t>17-1088</w:t>
          </w:r>
          <w:r>
            <w:t>-GA-ATA</w:t>
          </w:r>
        </w:p>
        <w:p w14:paraId="4A717545" w14:textId="2C1F441D" w:rsidR="0019262F" w:rsidRDefault="00B6623E" w:rsidP="00B6623E">
          <w:pPr>
            <w:pStyle w:val="Footer"/>
            <w:jc w:val="center"/>
          </w:pPr>
          <w:r>
            <w:t>Jeffrey A. Murphy</w:t>
          </w:r>
          <w:r w:rsidR="0019262F">
            <w:t>, Vice President</w:t>
          </w:r>
          <w:r>
            <w:t xml:space="preserve"> and General Manager</w:t>
          </w:r>
        </w:p>
      </w:tc>
    </w:tr>
  </w:tbl>
  <w:p w14:paraId="643D8DF2" w14:textId="77777777" w:rsidR="0019262F" w:rsidRDefault="00192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2808"/>
      <w:gridCol w:w="6768"/>
    </w:tblGrid>
    <w:tr w:rsidR="0019262F" w14:paraId="1E412C4A" w14:textId="77777777">
      <w:tc>
        <w:tcPr>
          <w:tcW w:w="2808" w:type="dxa"/>
        </w:tcPr>
        <w:p w14:paraId="05E6F196" w14:textId="20E832F2" w:rsidR="0019262F" w:rsidRDefault="0019262F" w:rsidP="00CE6831">
          <w:pPr>
            <w:pStyle w:val="Footer"/>
          </w:pPr>
          <w:r>
            <w:t xml:space="preserve">Issued:  </w:t>
          </w:r>
          <w:r w:rsidR="00CE6831">
            <w:t>June 23, 2017</w:t>
          </w:r>
        </w:p>
      </w:tc>
      <w:tc>
        <w:tcPr>
          <w:tcW w:w="6768" w:type="dxa"/>
        </w:tcPr>
        <w:p w14:paraId="07CEA94A" w14:textId="53E54112" w:rsidR="0019262F" w:rsidRDefault="0019262F" w:rsidP="00CE6831">
          <w:pPr>
            <w:pStyle w:val="Footer"/>
            <w:jc w:val="right"/>
          </w:pPr>
          <w:r>
            <w:t xml:space="preserve">Effective: With bills rendered on or after  </w:t>
          </w:r>
          <w:r w:rsidR="00CE6831">
            <w:t>June 23, 2017</w:t>
          </w:r>
          <w:r>
            <w:t xml:space="preserve">  </w:t>
          </w:r>
        </w:p>
      </w:tc>
    </w:tr>
    <w:tr w:rsidR="0019262F" w14:paraId="2C0E3016" w14:textId="77777777">
      <w:tc>
        <w:tcPr>
          <w:tcW w:w="9576" w:type="dxa"/>
          <w:gridSpan w:val="2"/>
        </w:tcPr>
        <w:p w14:paraId="454CD365" w14:textId="495A3EB9" w:rsidR="0019262F" w:rsidRDefault="0019262F">
          <w:pPr>
            <w:pStyle w:val="Footer"/>
            <w:jc w:val="center"/>
          </w:pPr>
          <w:r>
            <w:t>Filed under authority of The Public Utilities Commission of Ohio in Case No. 1</w:t>
          </w:r>
          <w:r w:rsidR="00CE6831">
            <w:t>7-1088</w:t>
          </w:r>
          <w:r>
            <w:t xml:space="preserve">-GA-ATA </w:t>
          </w:r>
        </w:p>
        <w:p w14:paraId="2F56B298" w14:textId="77785BF4" w:rsidR="0019262F" w:rsidRDefault="00CE6831">
          <w:pPr>
            <w:pStyle w:val="Footer"/>
            <w:jc w:val="center"/>
          </w:pPr>
          <w:r>
            <w:t>Jeffrey A. Murphy, Vice President and General Manager</w:t>
          </w:r>
        </w:p>
      </w:tc>
    </w:tr>
  </w:tbl>
  <w:p w14:paraId="37577EAE" w14:textId="77777777" w:rsidR="0019262F" w:rsidRDefault="00192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2808"/>
      <w:gridCol w:w="6768"/>
    </w:tblGrid>
    <w:tr w:rsidR="0019262F" w14:paraId="5EEDE267" w14:textId="77777777">
      <w:tc>
        <w:tcPr>
          <w:tcW w:w="2808" w:type="dxa"/>
        </w:tcPr>
        <w:p w14:paraId="584DA591" w14:textId="49D0625F" w:rsidR="0019262F" w:rsidRDefault="0019262F" w:rsidP="00E16AF4">
          <w:pPr>
            <w:pStyle w:val="Footer"/>
          </w:pPr>
          <w:r>
            <w:t xml:space="preserve">Issued: </w:t>
          </w:r>
          <w:r w:rsidR="00E16AF4">
            <w:t>June 23, 2017</w:t>
          </w:r>
        </w:p>
      </w:tc>
      <w:tc>
        <w:tcPr>
          <w:tcW w:w="6768" w:type="dxa"/>
        </w:tcPr>
        <w:p w14:paraId="35D59CD2" w14:textId="62747227" w:rsidR="0019262F" w:rsidRDefault="0019262F" w:rsidP="00E16AF4">
          <w:pPr>
            <w:pStyle w:val="Footer"/>
            <w:jc w:val="right"/>
          </w:pPr>
          <w:r>
            <w:t xml:space="preserve">Effective: With bills rendered on or after </w:t>
          </w:r>
          <w:r w:rsidR="00E16AF4">
            <w:t>June 23, 2017</w:t>
          </w:r>
        </w:p>
      </w:tc>
    </w:tr>
    <w:tr w:rsidR="0019262F" w14:paraId="5C440F38" w14:textId="77777777">
      <w:tc>
        <w:tcPr>
          <w:tcW w:w="9576" w:type="dxa"/>
          <w:gridSpan w:val="2"/>
        </w:tcPr>
        <w:p w14:paraId="67137982" w14:textId="284C2C45" w:rsidR="0019262F" w:rsidRDefault="0019262F">
          <w:pPr>
            <w:pStyle w:val="Footer"/>
            <w:jc w:val="center"/>
          </w:pPr>
          <w:r>
            <w:t xml:space="preserve">Filed under authority of The Public Utilities Commission of Ohio in Case No. </w:t>
          </w:r>
          <w:r w:rsidR="00B6623E">
            <w:t>17-1088-GA-ATA</w:t>
          </w:r>
        </w:p>
        <w:p w14:paraId="7129663C" w14:textId="0D4B0E57" w:rsidR="0019262F" w:rsidRDefault="00B6623E">
          <w:pPr>
            <w:pStyle w:val="Footer"/>
            <w:jc w:val="center"/>
          </w:pPr>
          <w:r>
            <w:t>Jeffrey A. Murphy</w:t>
          </w:r>
          <w:r w:rsidR="0019262F">
            <w:t xml:space="preserve">, </w:t>
          </w:r>
          <w:r>
            <w:t xml:space="preserve">Vice </w:t>
          </w:r>
          <w:r w:rsidR="0019262F">
            <w:t>President</w:t>
          </w:r>
          <w:r>
            <w:t xml:space="preserve"> and General Manager</w:t>
          </w:r>
        </w:p>
      </w:tc>
    </w:tr>
  </w:tbl>
  <w:p w14:paraId="3A08C843" w14:textId="77777777" w:rsidR="0019262F" w:rsidRDefault="001926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2808"/>
      <w:gridCol w:w="6768"/>
    </w:tblGrid>
    <w:tr w:rsidR="0019262F" w14:paraId="167ABEB5" w14:textId="77777777">
      <w:tc>
        <w:tcPr>
          <w:tcW w:w="2808" w:type="dxa"/>
        </w:tcPr>
        <w:p w14:paraId="713D22AA" w14:textId="07E5325A" w:rsidR="0019262F" w:rsidRDefault="00CE6831" w:rsidP="00CE6831">
          <w:pPr>
            <w:pStyle w:val="Footer"/>
          </w:pPr>
          <w:r>
            <w:t>Issued:  June 23</w:t>
          </w:r>
          <w:r w:rsidR="0019262F">
            <w:t>, 201</w:t>
          </w:r>
          <w:r>
            <w:t>7</w:t>
          </w:r>
        </w:p>
      </w:tc>
      <w:tc>
        <w:tcPr>
          <w:tcW w:w="6768" w:type="dxa"/>
        </w:tcPr>
        <w:p w14:paraId="5167CEF0" w14:textId="5DAFEA5A" w:rsidR="0019262F" w:rsidRDefault="0019262F" w:rsidP="00CE6831">
          <w:pPr>
            <w:pStyle w:val="Footer"/>
            <w:jc w:val="right"/>
          </w:pPr>
          <w:r>
            <w:t xml:space="preserve">Effective: With bills rendered on or after  </w:t>
          </w:r>
          <w:r w:rsidR="00CE6831">
            <w:t>June 23, 2017</w:t>
          </w:r>
        </w:p>
      </w:tc>
    </w:tr>
    <w:tr w:rsidR="0019262F" w14:paraId="2A07F6E3" w14:textId="77777777">
      <w:tc>
        <w:tcPr>
          <w:tcW w:w="9576" w:type="dxa"/>
          <w:gridSpan w:val="2"/>
        </w:tcPr>
        <w:p w14:paraId="7DF2E058" w14:textId="02D5CB4E" w:rsidR="0019262F" w:rsidRDefault="0019262F">
          <w:pPr>
            <w:pStyle w:val="Footer"/>
            <w:jc w:val="center"/>
          </w:pPr>
          <w:r>
            <w:t>Filed under authority of The Public Utilities Commission of Ohio in Case No. 1</w:t>
          </w:r>
          <w:r w:rsidR="00CE6831">
            <w:t>7-1088</w:t>
          </w:r>
          <w:r>
            <w:t>-GA-ATA</w:t>
          </w:r>
        </w:p>
        <w:p w14:paraId="699591D1" w14:textId="14B7F6CC" w:rsidR="0019262F" w:rsidRDefault="00CE6831">
          <w:pPr>
            <w:pStyle w:val="Footer"/>
            <w:jc w:val="center"/>
          </w:pPr>
          <w:r>
            <w:t>Jeffrey A. Murphy, Vice President and General Manager</w:t>
          </w:r>
        </w:p>
      </w:tc>
    </w:tr>
  </w:tbl>
  <w:p w14:paraId="0E9734E4" w14:textId="77777777" w:rsidR="0019262F" w:rsidRDefault="00192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F0E53" w14:textId="77777777" w:rsidR="00B83115" w:rsidRDefault="00B83115">
      <w:r>
        <w:separator/>
      </w:r>
    </w:p>
  </w:footnote>
  <w:footnote w:type="continuationSeparator" w:id="0">
    <w:p w14:paraId="01E26705" w14:textId="77777777" w:rsidR="00B83115" w:rsidRDefault="00B8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528"/>
      <w:gridCol w:w="6048"/>
    </w:tblGrid>
    <w:tr w:rsidR="0019262F" w14:paraId="23FA7947" w14:textId="77777777">
      <w:tc>
        <w:tcPr>
          <w:tcW w:w="3528" w:type="dxa"/>
        </w:tcPr>
        <w:p w14:paraId="27C455D2" w14:textId="77777777" w:rsidR="0019262F" w:rsidRDefault="0019262F">
          <w:pPr>
            <w:pStyle w:val="Header"/>
          </w:pPr>
          <w:r>
            <w:t>THE EAST OHIO GAS COMPANY</w:t>
          </w:r>
        </w:p>
      </w:tc>
      <w:tc>
        <w:tcPr>
          <w:tcW w:w="6048" w:type="dxa"/>
        </w:tcPr>
        <w:p w14:paraId="321D2AAA" w14:textId="419534A6" w:rsidR="0019262F" w:rsidRDefault="00B6623E">
          <w:pPr>
            <w:pStyle w:val="Header"/>
            <w:jc w:val="right"/>
          </w:pPr>
          <w:r>
            <w:t xml:space="preserve">Fifth </w:t>
          </w:r>
          <w:r w:rsidR="0019262F">
            <w:t>Revised Sheet No. K</w:t>
          </w:r>
          <w:r w:rsidR="0019262F">
            <w:rPr>
              <w:rStyle w:val="PageNumber"/>
            </w:rPr>
            <w:fldChar w:fldCharType="begin"/>
          </w:r>
          <w:r w:rsidR="0019262F">
            <w:rPr>
              <w:rStyle w:val="PageNumber"/>
            </w:rPr>
            <w:instrText xml:space="preserve"> PAGE </w:instrText>
          </w:r>
          <w:r w:rsidR="0019262F">
            <w:rPr>
              <w:rStyle w:val="PageNumber"/>
            </w:rPr>
            <w:fldChar w:fldCharType="separate"/>
          </w:r>
          <w:r w:rsidR="00CE6831">
            <w:rPr>
              <w:rStyle w:val="PageNumber"/>
              <w:noProof/>
            </w:rPr>
            <w:t>4</w:t>
          </w:r>
          <w:r w:rsidR="0019262F">
            <w:rPr>
              <w:rStyle w:val="PageNumber"/>
            </w:rPr>
            <w:fldChar w:fldCharType="end"/>
          </w:r>
        </w:p>
      </w:tc>
    </w:tr>
    <w:tr w:rsidR="0019262F" w14:paraId="695E42F1" w14:textId="77777777">
      <w:tc>
        <w:tcPr>
          <w:tcW w:w="3528" w:type="dxa"/>
        </w:tcPr>
        <w:p w14:paraId="5B0B5123" w14:textId="77777777" w:rsidR="0019262F" w:rsidRDefault="0019262F">
          <w:pPr>
            <w:pStyle w:val="Header"/>
          </w:pPr>
        </w:p>
      </w:tc>
      <w:tc>
        <w:tcPr>
          <w:tcW w:w="6048" w:type="dxa"/>
        </w:tcPr>
        <w:p w14:paraId="5C349C55" w14:textId="1411948E" w:rsidR="0019262F" w:rsidRDefault="0019262F" w:rsidP="00B6623E">
          <w:pPr>
            <w:pStyle w:val="Header"/>
            <w:jc w:val="right"/>
          </w:pPr>
          <w:r>
            <w:t xml:space="preserve">Superseding </w:t>
          </w:r>
          <w:r w:rsidR="00B6623E">
            <w:t xml:space="preserve">Fourth </w:t>
          </w:r>
          <w:r>
            <w:t>Revised Sheet No. K</w:t>
          </w:r>
          <w:r>
            <w:rPr>
              <w:rStyle w:val="PageNumber"/>
            </w:rPr>
            <w:fldChar w:fldCharType="begin"/>
          </w:r>
          <w:r>
            <w:rPr>
              <w:rStyle w:val="PageNumber"/>
            </w:rPr>
            <w:instrText xml:space="preserve"> PAGE </w:instrText>
          </w:r>
          <w:r>
            <w:rPr>
              <w:rStyle w:val="PageNumber"/>
            </w:rPr>
            <w:fldChar w:fldCharType="separate"/>
          </w:r>
          <w:r w:rsidR="00CE6831">
            <w:rPr>
              <w:rStyle w:val="PageNumber"/>
              <w:noProof/>
            </w:rPr>
            <w:t>4</w:t>
          </w:r>
          <w:r>
            <w:rPr>
              <w:rStyle w:val="PageNumber"/>
            </w:rPr>
            <w:fldChar w:fldCharType="end"/>
          </w:r>
        </w:p>
      </w:tc>
    </w:tr>
  </w:tbl>
  <w:p w14:paraId="603AFE20" w14:textId="77777777" w:rsidR="0019262F" w:rsidRDefault="0019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528"/>
      <w:gridCol w:w="6048"/>
    </w:tblGrid>
    <w:tr w:rsidR="0019262F" w14:paraId="3881F225" w14:textId="77777777">
      <w:tc>
        <w:tcPr>
          <w:tcW w:w="3528" w:type="dxa"/>
        </w:tcPr>
        <w:p w14:paraId="1F6E33C5" w14:textId="77777777" w:rsidR="0019262F" w:rsidRDefault="0019262F">
          <w:pPr>
            <w:pStyle w:val="Header"/>
          </w:pPr>
          <w:r>
            <w:t>THE EAST OHIO GAS COMPANY</w:t>
          </w:r>
        </w:p>
      </w:tc>
      <w:tc>
        <w:tcPr>
          <w:tcW w:w="6048" w:type="dxa"/>
        </w:tcPr>
        <w:p w14:paraId="61C4CCA1" w14:textId="26A0F0C0" w:rsidR="0019262F" w:rsidRDefault="00226958">
          <w:pPr>
            <w:pStyle w:val="Header"/>
            <w:jc w:val="right"/>
          </w:pPr>
          <w:r>
            <w:t>Sixth</w:t>
          </w:r>
          <w:r w:rsidR="0019262F">
            <w:t xml:space="preserve"> Revised Sheet No. K</w:t>
          </w:r>
          <w:r w:rsidR="00CE6831">
            <w:t>4</w:t>
          </w:r>
        </w:p>
        <w:p w14:paraId="55EB21F1" w14:textId="749EFC13" w:rsidR="0019262F" w:rsidRDefault="00226958" w:rsidP="00CE6831">
          <w:pPr>
            <w:pStyle w:val="Header"/>
            <w:jc w:val="right"/>
          </w:pPr>
          <w:r>
            <w:t>Superseding Fifth</w:t>
          </w:r>
          <w:r w:rsidR="0019262F">
            <w:t xml:space="preserve"> Revised Sheet No. K</w:t>
          </w:r>
          <w:r w:rsidR="00CE6831">
            <w:rPr>
              <w:rStyle w:val="PageNumber"/>
            </w:rPr>
            <w:t>4</w:t>
          </w:r>
        </w:p>
      </w:tc>
    </w:tr>
    <w:tr w:rsidR="0019262F" w14:paraId="331FBB8C" w14:textId="77777777">
      <w:tc>
        <w:tcPr>
          <w:tcW w:w="3528" w:type="dxa"/>
        </w:tcPr>
        <w:p w14:paraId="6C3335E1" w14:textId="77777777" w:rsidR="0019262F" w:rsidRDefault="0019262F">
          <w:pPr>
            <w:pStyle w:val="Header"/>
          </w:pPr>
        </w:p>
      </w:tc>
      <w:tc>
        <w:tcPr>
          <w:tcW w:w="6048" w:type="dxa"/>
        </w:tcPr>
        <w:p w14:paraId="03A6DAAC" w14:textId="77777777" w:rsidR="0019262F" w:rsidRDefault="0019262F">
          <w:pPr>
            <w:pStyle w:val="Header"/>
            <w:jc w:val="right"/>
          </w:pPr>
        </w:p>
      </w:tc>
    </w:tr>
  </w:tbl>
  <w:p w14:paraId="636AB323" w14:textId="77777777" w:rsidR="0019262F" w:rsidRDefault="00192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528"/>
      <w:gridCol w:w="6048"/>
    </w:tblGrid>
    <w:tr w:rsidR="0019262F" w14:paraId="53600EB4" w14:textId="77777777">
      <w:tc>
        <w:tcPr>
          <w:tcW w:w="3528" w:type="dxa"/>
        </w:tcPr>
        <w:p w14:paraId="157C19EF" w14:textId="77777777" w:rsidR="0019262F" w:rsidRDefault="0019262F">
          <w:pPr>
            <w:pStyle w:val="Header"/>
          </w:pPr>
          <w:r>
            <w:t>THE EAST OHIO GAS COMPANY</w:t>
          </w:r>
        </w:p>
      </w:tc>
      <w:tc>
        <w:tcPr>
          <w:tcW w:w="6048" w:type="dxa"/>
        </w:tcPr>
        <w:p w14:paraId="54FB9A6C" w14:textId="4684D13F" w:rsidR="0019262F" w:rsidRDefault="00B6623E">
          <w:pPr>
            <w:pStyle w:val="Header"/>
            <w:jc w:val="right"/>
          </w:pPr>
          <w:r>
            <w:t xml:space="preserve">Third </w:t>
          </w:r>
          <w:r w:rsidR="0019262F">
            <w:t>Revised Sheet No. K</w:t>
          </w:r>
          <w:r w:rsidR="0019262F">
            <w:rPr>
              <w:rStyle w:val="PageNumber"/>
            </w:rPr>
            <w:fldChar w:fldCharType="begin"/>
          </w:r>
          <w:r w:rsidR="0019262F">
            <w:rPr>
              <w:rStyle w:val="PageNumber"/>
            </w:rPr>
            <w:instrText xml:space="preserve"> PAGE </w:instrText>
          </w:r>
          <w:r w:rsidR="0019262F">
            <w:rPr>
              <w:rStyle w:val="PageNumber"/>
            </w:rPr>
            <w:fldChar w:fldCharType="separate"/>
          </w:r>
          <w:r w:rsidR="00CE6831">
            <w:rPr>
              <w:rStyle w:val="PageNumber"/>
              <w:noProof/>
            </w:rPr>
            <w:t>6</w:t>
          </w:r>
          <w:r w:rsidR="0019262F">
            <w:rPr>
              <w:rStyle w:val="PageNumber"/>
            </w:rPr>
            <w:fldChar w:fldCharType="end"/>
          </w:r>
        </w:p>
      </w:tc>
    </w:tr>
    <w:tr w:rsidR="0019262F" w14:paraId="27F71019" w14:textId="77777777">
      <w:tc>
        <w:tcPr>
          <w:tcW w:w="3528" w:type="dxa"/>
        </w:tcPr>
        <w:p w14:paraId="2720F7B1" w14:textId="77777777" w:rsidR="0019262F" w:rsidRDefault="0019262F">
          <w:pPr>
            <w:pStyle w:val="Header"/>
          </w:pPr>
        </w:p>
      </w:tc>
      <w:tc>
        <w:tcPr>
          <w:tcW w:w="6048" w:type="dxa"/>
        </w:tcPr>
        <w:p w14:paraId="36CB1525" w14:textId="705C2704" w:rsidR="0019262F" w:rsidRDefault="0019262F" w:rsidP="00B6623E">
          <w:pPr>
            <w:pStyle w:val="Header"/>
            <w:jc w:val="right"/>
          </w:pPr>
          <w:r>
            <w:t xml:space="preserve">Superseding </w:t>
          </w:r>
          <w:r w:rsidR="00B6623E">
            <w:t xml:space="preserve">Second </w:t>
          </w:r>
          <w:r>
            <w:t>Revised Sheet No. K</w:t>
          </w:r>
          <w:r>
            <w:rPr>
              <w:rStyle w:val="PageNumber"/>
            </w:rPr>
            <w:fldChar w:fldCharType="begin"/>
          </w:r>
          <w:r>
            <w:rPr>
              <w:rStyle w:val="PageNumber"/>
            </w:rPr>
            <w:instrText xml:space="preserve"> PAGE </w:instrText>
          </w:r>
          <w:r>
            <w:rPr>
              <w:rStyle w:val="PageNumber"/>
            </w:rPr>
            <w:fldChar w:fldCharType="separate"/>
          </w:r>
          <w:r w:rsidR="00CE6831">
            <w:rPr>
              <w:rStyle w:val="PageNumber"/>
              <w:noProof/>
            </w:rPr>
            <w:t>6</w:t>
          </w:r>
          <w:r>
            <w:rPr>
              <w:rStyle w:val="PageNumber"/>
            </w:rPr>
            <w:fldChar w:fldCharType="end"/>
          </w:r>
        </w:p>
      </w:tc>
    </w:tr>
  </w:tbl>
  <w:p w14:paraId="4C3158E3" w14:textId="77777777" w:rsidR="0019262F" w:rsidRDefault="001926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528"/>
      <w:gridCol w:w="6048"/>
    </w:tblGrid>
    <w:tr w:rsidR="0019262F" w14:paraId="5FC76A97" w14:textId="77777777">
      <w:tc>
        <w:tcPr>
          <w:tcW w:w="3528" w:type="dxa"/>
        </w:tcPr>
        <w:p w14:paraId="1B3FC41A" w14:textId="77777777" w:rsidR="0019262F" w:rsidRDefault="0019262F">
          <w:pPr>
            <w:pStyle w:val="Header"/>
          </w:pPr>
          <w:r>
            <w:t>THE EAST OHIO GAS COMPANY</w:t>
          </w:r>
        </w:p>
      </w:tc>
      <w:tc>
        <w:tcPr>
          <w:tcW w:w="6048" w:type="dxa"/>
        </w:tcPr>
        <w:p w14:paraId="7852E80B" w14:textId="49E7EA3B" w:rsidR="0019262F" w:rsidRDefault="0019262F">
          <w:pPr>
            <w:pStyle w:val="Header"/>
            <w:jc w:val="right"/>
          </w:pPr>
          <w:r>
            <w:t>Third Revised Sheet No. K</w:t>
          </w:r>
          <w:r w:rsidR="00CE6831">
            <w:t>9</w:t>
          </w:r>
        </w:p>
        <w:p w14:paraId="1F9CDC98" w14:textId="01BAD7B7" w:rsidR="0019262F" w:rsidRDefault="0019262F" w:rsidP="00CE6831">
          <w:pPr>
            <w:pStyle w:val="Header"/>
            <w:jc w:val="right"/>
          </w:pPr>
          <w:r>
            <w:t>Superseding Second Revised Sheet No. K</w:t>
          </w:r>
          <w:r w:rsidR="00CE6831">
            <w:rPr>
              <w:rStyle w:val="PageNumber"/>
            </w:rPr>
            <w:t>9</w:t>
          </w:r>
        </w:p>
      </w:tc>
    </w:tr>
    <w:tr w:rsidR="0019262F" w14:paraId="258397A0" w14:textId="77777777">
      <w:tc>
        <w:tcPr>
          <w:tcW w:w="3528" w:type="dxa"/>
        </w:tcPr>
        <w:p w14:paraId="0051059D" w14:textId="77777777" w:rsidR="0019262F" w:rsidRDefault="0019262F">
          <w:pPr>
            <w:pStyle w:val="Header"/>
          </w:pPr>
        </w:p>
      </w:tc>
      <w:tc>
        <w:tcPr>
          <w:tcW w:w="6048" w:type="dxa"/>
        </w:tcPr>
        <w:p w14:paraId="3F511AF2" w14:textId="77777777" w:rsidR="0019262F" w:rsidRDefault="0019262F">
          <w:pPr>
            <w:pStyle w:val="Header"/>
            <w:jc w:val="right"/>
          </w:pPr>
        </w:p>
      </w:tc>
    </w:tr>
  </w:tbl>
  <w:p w14:paraId="445C9198" w14:textId="77777777" w:rsidR="0019262F" w:rsidRDefault="00192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0E9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655128"/>
    <w:multiLevelType w:val="hybridMultilevel"/>
    <w:tmpl w:val="F794A38E"/>
    <w:lvl w:ilvl="0" w:tplc="D1425B72">
      <w:start w:val="1"/>
      <w:numFmt w:val="decimal"/>
      <w:lvlText w:val="%1."/>
      <w:lvlJc w:val="left"/>
      <w:pPr>
        <w:tabs>
          <w:tab w:val="num" w:pos="720"/>
        </w:tabs>
        <w:ind w:left="720" w:hanging="360"/>
      </w:pPr>
      <w:rPr>
        <w:rFonts w:hint="default"/>
      </w:rPr>
    </w:lvl>
    <w:lvl w:ilvl="1" w:tplc="1A686282">
      <w:start w:val="1"/>
      <w:numFmt w:val="lowerLetter"/>
      <w:lvlText w:val="(%2)"/>
      <w:lvlJc w:val="left"/>
      <w:pPr>
        <w:tabs>
          <w:tab w:val="num" w:pos="1080"/>
        </w:tabs>
        <w:ind w:left="1080" w:hanging="360"/>
      </w:pPr>
      <w:rPr>
        <w:rFonts w:hint="default"/>
      </w:rPr>
    </w:lvl>
    <w:lvl w:ilvl="2" w:tplc="034AA0A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A57622"/>
    <w:multiLevelType w:val="hybridMultilevel"/>
    <w:tmpl w:val="A782A834"/>
    <w:lvl w:ilvl="0" w:tplc="4A14643A">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E860C2"/>
    <w:multiLevelType w:val="hybridMultilevel"/>
    <w:tmpl w:val="75F22E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1233E"/>
    <w:multiLevelType w:val="hybridMultilevel"/>
    <w:tmpl w:val="A686059A"/>
    <w:lvl w:ilvl="0" w:tplc="1A686282">
      <w:start w:val="1"/>
      <w:numFmt w:val="lowerLetter"/>
      <w:lvlText w:val="(%1)"/>
      <w:lvlJc w:val="left"/>
      <w:pPr>
        <w:tabs>
          <w:tab w:val="num" w:pos="1080"/>
        </w:tabs>
        <w:ind w:left="1080" w:hanging="360"/>
      </w:pPr>
      <w:rPr>
        <w:rFonts w:hint="default"/>
      </w:rPr>
    </w:lvl>
    <w:lvl w:ilvl="1" w:tplc="1E04CA1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FC45F3D"/>
    <w:multiLevelType w:val="hybridMultilevel"/>
    <w:tmpl w:val="09DE0E5E"/>
    <w:lvl w:ilvl="0" w:tplc="74600FE2">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396F16"/>
    <w:multiLevelType w:val="hybridMultilevel"/>
    <w:tmpl w:val="3FBA0E0C"/>
    <w:lvl w:ilvl="0" w:tplc="71C8825A">
      <w:start w:val="22"/>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43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48"/>
    <w:rsid w:val="000A0066"/>
    <w:rsid w:val="00133EEC"/>
    <w:rsid w:val="00153871"/>
    <w:rsid w:val="00171CF2"/>
    <w:rsid w:val="0019262F"/>
    <w:rsid w:val="00195E5D"/>
    <w:rsid w:val="001A3694"/>
    <w:rsid w:val="001A72EC"/>
    <w:rsid w:val="001B0690"/>
    <w:rsid w:val="001C74B3"/>
    <w:rsid w:val="00226958"/>
    <w:rsid w:val="00241C89"/>
    <w:rsid w:val="002F2D89"/>
    <w:rsid w:val="00314769"/>
    <w:rsid w:val="003339E8"/>
    <w:rsid w:val="00347552"/>
    <w:rsid w:val="00365AFD"/>
    <w:rsid w:val="003A0438"/>
    <w:rsid w:val="00443D4D"/>
    <w:rsid w:val="00456911"/>
    <w:rsid w:val="00461A14"/>
    <w:rsid w:val="00505D6C"/>
    <w:rsid w:val="00571E85"/>
    <w:rsid w:val="00580437"/>
    <w:rsid w:val="0058673E"/>
    <w:rsid w:val="0064668C"/>
    <w:rsid w:val="0067582F"/>
    <w:rsid w:val="006857A8"/>
    <w:rsid w:val="006C3E36"/>
    <w:rsid w:val="00836AD6"/>
    <w:rsid w:val="00862498"/>
    <w:rsid w:val="008650E2"/>
    <w:rsid w:val="008A53C4"/>
    <w:rsid w:val="008B5AD8"/>
    <w:rsid w:val="009236F0"/>
    <w:rsid w:val="00924F22"/>
    <w:rsid w:val="009B3E19"/>
    <w:rsid w:val="009B592A"/>
    <w:rsid w:val="009D159D"/>
    <w:rsid w:val="00A33AD8"/>
    <w:rsid w:val="00A37C90"/>
    <w:rsid w:val="00A40089"/>
    <w:rsid w:val="00A71FAF"/>
    <w:rsid w:val="00AA44AA"/>
    <w:rsid w:val="00B07818"/>
    <w:rsid w:val="00B6623E"/>
    <w:rsid w:val="00B83115"/>
    <w:rsid w:val="00BA690F"/>
    <w:rsid w:val="00BD7CB4"/>
    <w:rsid w:val="00C140AB"/>
    <w:rsid w:val="00C2559B"/>
    <w:rsid w:val="00C3084F"/>
    <w:rsid w:val="00C3441A"/>
    <w:rsid w:val="00C47CFA"/>
    <w:rsid w:val="00C52089"/>
    <w:rsid w:val="00CA4CF4"/>
    <w:rsid w:val="00CE3F08"/>
    <w:rsid w:val="00CE6369"/>
    <w:rsid w:val="00CE6831"/>
    <w:rsid w:val="00CF7948"/>
    <w:rsid w:val="00DE3DE4"/>
    <w:rsid w:val="00E16AF4"/>
    <w:rsid w:val="00EA1F65"/>
    <w:rsid w:val="00EC1FA4"/>
    <w:rsid w:val="00EC5AD2"/>
    <w:rsid w:val="00F2444D"/>
    <w:rsid w:val="00F40D45"/>
    <w:rsid w:val="00F50240"/>
    <w:rsid w:val="00F6524D"/>
    <w:rsid w:val="00F72225"/>
    <w:rsid w:val="00F8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9CA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cs="Arial"/>
      <w:b/>
      <w:bCs/>
      <w:kern w:val="32"/>
      <w:szCs w:val="32"/>
    </w:rPr>
  </w:style>
  <w:style w:type="paragraph" w:styleId="Heading2">
    <w:name w:val="heading 2"/>
    <w:basedOn w:val="Normal"/>
    <w:next w:val="Normal"/>
    <w:qFormat/>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styleId="Footer">
    <w:name w:val="footer"/>
    <w:basedOn w:val="Normal"/>
    <w:semiHidden/>
    <w:rPr>
      <w:sz w:val="20"/>
    </w:rPr>
  </w:style>
  <w:style w:type="paragraph" w:customStyle="1" w:styleId="Indent1">
    <w:name w:val="Indent1"/>
    <w:basedOn w:val="Normal"/>
    <w:pPr>
      <w:ind w:left="864" w:hanging="432"/>
    </w:pPr>
  </w:style>
  <w:style w:type="paragraph" w:customStyle="1" w:styleId="Indent2">
    <w:name w:val="Indent2"/>
    <w:basedOn w:val="Normal"/>
    <w:pPr>
      <w:ind w:left="1296" w:hanging="432"/>
    </w:pPr>
  </w:style>
  <w:style w:type="paragraph" w:customStyle="1" w:styleId="Indent">
    <w:name w:val="Indent"/>
    <w:basedOn w:val="Normal"/>
    <w:pPr>
      <w:ind w:left="432"/>
    </w:pPr>
  </w:style>
  <w:style w:type="character" w:styleId="PageNumber">
    <w:name w:val="page number"/>
    <w:semiHidden/>
    <w:rPr>
      <w:rFonts w:ascii="Times New Roman" w:hAnsi="Times New Roman"/>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Indent3">
    <w:name w:val="Indent3"/>
    <w:basedOn w:val="Normal"/>
    <w:pPr>
      <w:ind w:left="1800" w:hanging="360"/>
    </w:pPr>
  </w:style>
  <w:style w:type="character" w:customStyle="1" w:styleId="HeaderChar">
    <w:name w:val="Header Char"/>
    <w:link w:val="Header"/>
    <w:uiPriority w:val="99"/>
    <w:rsid w:val="00EC1FA4"/>
    <w:rPr>
      <w:szCs w:val="24"/>
    </w:rPr>
  </w:style>
  <w:style w:type="paragraph" w:styleId="BalloonText">
    <w:name w:val="Balloon Text"/>
    <w:basedOn w:val="Normal"/>
    <w:link w:val="BalloonTextChar"/>
    <w:uiPriority w:val="99"/>
    <w:semiHidden/>
    <w:unhideWhenUsed/>
    <w:rsid w:val="00F72225"/>
    <w:rPr>
      <w:rFonts w:ascii="Tahoma" w:hAnsi="Tahoma" w:cs="Tahoma"/>
      <w:sz w:val="16"/>
      <w:szCs w:val="16"/>
    </w:rPr>
  </w:style>
  <w:style w:type="character" w:customStyle="1" w:styleId="BalloonTextChar">
    <w:name w:val="Balloon Text Char"/>
    <w:link w:val="BalloonText"/>
    <w:uiPriority w:val="99"/>
    <w:semiHidden/>
    <w:rsid w:val="00F72225"/>
    <w:rPr>
      <w:rFonts w:ascii="Tahoma" w:hAnsi="Tahoma" w:cs="Tahoma"/>
      <w:sz w:val="16"/>
      <w:szCs w:val="16"/>
    </w:rPr>
  </w:style>
  <w:style w:type="character" w:styleId="CommentReference">
    <w:name w:val="annotation reference"/>
    <w:uiPriority w:val="99"/>
    <w:semiHidden/>
    <w:unhideWhenUsed/>
    <w:rsid w:val="00F40D45"/>
    <w:rPr>
      <w:sz w:val="18"/>
      <w:szCs w:val="18"/>
    </w:rPr>
  </w:style>
  <w:style w:type="paragraph" w:styleId="CommentText">
    <w:name w:val="annotation text"/>
    <w:basedOn w:val="Normal"/>
    <w:link w:val="CommentTextChar"/>
    <w:uiPriority w:val="99"/>
    <w:semiHidden/>
    <w:unhideWhenUsed/>
    <w:rsid w:val="00F40D45"/>
  </w:style>
  <w:style w:type="character" w:customStyle="1" w:styleId="CommentTextChar">
    <w:name w:val="Comment Text Char"/>
    <w:link w:val="CommentText"/>
    <w:uiPriority w:val="99"/>
    <w:semiHidden/>
    <w:rsid w:val="00F40D45"/>
    <w:rPr>
      <w:sz w:val="24"/>
      <w:szCs w:val="24"/>
    </w:rPr>
  </w:style>
  <w:style w:type="paragraph" w:styleId="CommentSubject">
    <w:name w:val="annotation subject"/>
    <w:basedOn w:val="CommentText"/>
    <w:next w:val="CommentText"/>
    <w:link w:val="CommentSubjectChar"/>
    <w:uiPriority w:val="99"/>
    <w:semiHidden/>
    <w:unhideWhenUsed/>
    <w:rsid w:val="00F40D45"/>
    <w:rPr>
      <w:b/>
      <w:bCs/>
      <w:sz w:val="20"/>
      <w:szCs w:val="20"/>
    </w:rPr>
  </w:style>
  <w:style w:type="character" w:customStyle="1" w:styleId="CommentSubjectChar">
    <w:name w:val="Comment Subject Char"/>
    <w:link w:val="CommentSubject"/>
    <w:uiPriority w:val="99"/>
    <w:semiHidden/>
    <w:rsid w:val="00F40D45"/>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cs="Arial"/>
      <w:b/>
      <w:bCs/>
      <w:kern w:val="32"/>
      <w:szCs w:val="32"/>
    </w:rPr>
  </w:style>
  <w:style w:type="paragraph" w:styleId="Heading2">
    <w:name w:val="heading 2"/>
    <w:basedOn w:val="Normal"/>
    <w:next w:val="Normal"/>
    <w:qFormat/>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styleId="Footer">
    <w:name w:val="footer"/>
    <w:basedOn w:val="Normal"/>
    <w:semiHidden/>
    <w:rPr>
      <w:sz w:val="20"/>
    </w:rPr>
  </w:style>
  <w:style w:type="paragraph" w:customStyle="1" w:styleId="Indent1">
    <w:name w:val="Indent1"/>
    <w:basedOn w:val="Normal"/>
    <w:pPr>
      <w:ind w:left="864" w:hanging="432"/>
    </w:pPr>
  </w:style>
  <w:style w:type="paragraph" w:customStyle="1" w:styleId="Indent2">
    <w:name w:val="Indent2"/>
    <w:basedOn w:val="Normal"/>
    <w:pPr>
      <w:ind w:left="1296" w:hanging="432"/>
    </w:pPr>
  </w:style>
  <w:style w:type="paragraph" w:customStyle="1" w:styleId="Indent">
    <w:name w:val="Indent"/>
    <w:basedOn w:val="Normal"/>
    <w:pPr>
      <w:ind w:left="432"/>
    </w:pPr>
  </w:style>
  <w:style w:type="character" w:styleId="PageNumber">
    <w:name w:val="page number"/>
    <w:semiHidden/>
    <w:rPr>
      <w:rFonts w:ascii="Times New Roman" w:hAnsi="Times New Roman"/>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Indent3">
    <w:name w:val="Indent3"/>
    <w:basedOn w:val="Normal"/>
    <w:pPr>
      <w:ind w:left="1800" w:hanging="360"/>
    </w:pPr>
  </w:style>
  <w:style w:type="character" w:customStyle="1" w:styleId="HeaderChar">
    <w:name w:val="Header Char"/>
    <w:link w:val="Header"/>
    <w:uiPriority w:val="99"/>
    <w:rsid w:val="00EC1FA4"/>
    <w:rPr>
      <w:szCs w:val="24"/>
    </w:rPr>
  </w:style>
  <w:style w:type="paragraph" w:styleId="BalloonText">
    <w:name w:val="Balloon Text"/>
    <w:basedOn w:val="Normal"/>
    <w:link w:val="BalloonTextChar"/>
    <w:uiPriority w:val="99"/>
    <w:semiHidden/>
    <w:unhideWhenUsed/>
    <w:rsid w:val="00F72225"/>
    <w:rPr>
      <w:rFonts w:ascii="Tahoma" w:hAnsi="Tahoma" w:cs="Tahoma"/>
      <w:sz w:val="16"/>
      <w:szCs w:val="16"/>
    </w:rPr>
  </w:style>
  <w:style w:type="character" w:customStyle="1" w:styleId="BalloonTextChar">
    <w:name w:val="Balloon Text Char"/>
    <w:link w:val="BalloonText"/>
    <w:uiPriority w:val="99"/>
    <w:semiHidden/>
    <w:rsid w:val="00F72225"/>
    <w:rPr>
      <w:rFonts w:ascii="Tahoma" w:hAnsi="Tahoma" w:cs="Tahoma"/>
      <w:sz w:val="16"/>
      <w:szCs w:val="16"/>
    </w:rPr>
  </w:style>
  <w:style w:type="character" w:styleId="CommentReference">
    <w:name w:val="annotation reference"/>
    <w:uiPriority w:val="99"/>
    <w:semiHidden/>
    <w:unhideWhenUsed/>
    <w:rsid w:val="00F40D45"/>
    <w:rPr>
      <w:sz w:val="18"/>
      <w:szCs w:val="18"/>
    </w:rPr>
  </w:style>
  <w:style w:type="paragraph" w:styleId="CommentText">
    <w:name w:val="annotation text"/>
    <w:basedOn w:val="Normal"/>
    <w:link w:val="CommentTextChar"/>
    <w:uiPriority w:val="99"/>
    <w:semiHidden/>
    <w:unhideWhenUsed/>
    <w:rsid w:val="00F40D45"/>
  </w:style>
  <w:style w:type="character" w:customStyle="1" w:styleId="CommentTextChar">
    <w:name w:val="Comment Text Char"/>
    <w:link w:val="CommentText"/>
    <w:uiPriority w:val="99"/>
    <w:semiHidden/>
    <w:rsid w:val="00F40D45"/>
    <w:rPr>
      <w:sz w:val="24"/>
      <w:szCs w:val="24"/>
    </w:rPr>
  </w:style>
  <w:style w:type="paragraph" w:styleId="CommentSubject">
    <w:name w:val="annotation subject"/>
    <w:basedOn w:val="CommentText"/>
    <w:next w:val="CommentText"/>
    <w:link w:val="CommentSubjectChar"/>
    <w:uiPriority w:val="99"/>
    <w:semiHidden/>
    <w:unhideWhenUsed/>
    <w:rsid w:val="00F40D45"/>
    <w:rPr>
      <w:b/>
      <w:bCs/>
      <w:sz w:val="20"/>
      <w:szCs w:val="20"/>
    </w:rPr>
  </w:style>
  <w:style w:type="character" w:customStyle="1" w:styleId="CommentSubjectChar">
    <w:name w:val="Comment Subject Char"/>
    <w:link w:val="CommentSubject"/>
    <w:uiPriority w:val="99"/>
    <w:semiHidden/>
    <w:rsid w:val="00F40D4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Rules and Regulations</vt:lpstr>
    </vt:vector>
  </TitlesOfParts>
  <LinksUpToDate>false</LinksUpToDate>
  <CharactersWithSpaces>5624</CharactersWithSpaces>
  <SharedDoc>false</SharedDoc>
  <HLinks>
    <vt:vector size="18" baseType="variant">
      <vt:variant>
        <vt:i4>2883665</vt:i4>
      </vt:variant>
      <vt:variant>
        <vt:i4>6</vt:i4>
      </vt:variant>
      <vt:variant>
        <vt:i4>0</vt:i4>
      </vt:variant>
      <vt:variant>
        <vt:i4>5</vt:i4>
      </vt:variant>
      <vt:variant>
        <vt:lpwstr>http://www.dom.com/</vt:lpwstr>
      </vt:variant>
      <vt:variant>
        <vt:lpwstr/>
      </vt:variant>
      <vt:variant>
        <vt:i4>2883665</vt:i4>
      </vt:variant>
      <vt:variant>
        <vt:i4>3</vt:i4>
      </vt:variant>
      <vt:variant>
        <vt:i4>0</vt:i4>
      </vt:variant>
      <vt:variant>
        <vt:i4>5</vt:i4>
      </vt:variant>
      <vt:variant>
        <vt:lpwstr>http://www.dom.com/</vt:lpwstr>
      </vt:variant>
      <vt:variant>
        <vt:lpwstr/>
      </vt:variant>
      <vt:variant>
        <vt:i4>34</vt:i4>
      </vt:variant>
      <vt:variant>
        <vt:i4>0</vt:i4>
      </vt:variant>
      <vt:variant>
        <vt:i4>0</vt:i4>
      </vt:variant>
      <vt:variant>
        <vt:i4>5</vt:i4>
      </vt:variant>
      <vt:variant>
        <vt:lpwstr>http://www.puco.ohio.gov/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dc:title>
  <dc:creator/>
  <cp:lastModifiedBy/>
  <cp:revision>1</cp:revision>
  <cp:lastPrinted>2010-11-01T15:04:00Z</cp:lastPrinted>
  <dcterms:created xsi:type="dcterms:W3CDTF">2017-06-22T18:13:00Z</dcterms:created>
  <dcterms:modified xsi:type="dcterms:W3CDTF">2017-06-23T14:58:00Z</dcterms:modified>
</cp:coreProperties>
</file>