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14CD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14CD5">
      <w:pPr>
        <w:pStyle w:val="HTMLPreformatted"/>
        <w:jc w:val="center"/>
        <w:rPr>
          <w:rFonts w:ascii="Times New Roman" w:hAnsi="Times New Roman"/>
          <w:sz w:val="24"/>
        </w:rPr>
      </w:pPr>
      <w:r>
        <w:rPr>
          <w:rFonts w:ascii="Times New Roman" w:hAnsi="Times New Roman"/>
          <w:b/>
          <w:bCs/>
          <w:sz w:val="24"/>
        </w:rPr>
        <w:t>THE PUBLIC UTILITIES COMMISSION OF OHIO</w:t>
      </w:r>
    </w:p>
    <w:p w:rsidR="00614CD5">
      <w:pPr>
        <w:pStyle w:val="HTMLPreformatted"/>
        <w:rPr>
          <w:rFonts w:ascii="Times New Roman" w:hAnsi="Times New Roman"/>
          <w:sz w:val="24"/>
        </w:rPr>
      </w:pPr>
    </w:p>
    <w:tbl>
      <w:tblPr>
        <w:tblW w:w="9728" w:type="dxa"/>
        <w:tblLook w:val="01E0"/>
      </w:tblPr>
      <w:tblGrid>
        <w:gridCol w:w="4968"/>
        <w:gridCol w:w="360"/>
        <w:gridCol w:w="4400"/>
      </w:tblGrid>
      <w:tr w:rsidTr="00E14EBC">
        <w:tblPrEx>
          <w:tblW w:w="9728" w:type="dxa"/>
          <w:tblLook w:val="01E0"/>
        </w:tblPrEx>
        <w:trPr>
          <w:trHeight w:val="807"/>
        </w:trPr>
        <w:tc>
          <w:tcPr>
            <w:tcW w:w="4968" w:type="dxa"/>
            <w:shd w:val="clear" w:color="auto" w:fill="auto"/>
          </w:tcPr>
          <w:p w:rsidR="00614CD5" w:rsidRPr="00376A99" w:rsidP="00093AC2">
            <w:pPr>
              <w:autoSpaceDE w:val="0"/>
              <w:autoSpaceDN w:val="0"/>
              <w:adjustRightInd w:val="0"/>
              <w:rPr>
                <w:szCs w:val="24"/>
              </w:rPr>
            </w:pPr>
            <w:r>
              <w:rPr>
                <w:szCs w:val="24"/>
              </w:rPr>
              <w:t xml:space="preserve">In The Matter of the </w:t>
            </w:r>
            <w:r w:rsidR="00093AC2">
              <w:rPr>
                <w:szCs w:val="24"/>
              </w:rPr>
              <w:t>Demand Side Management Tariff Filing of the East Ohio Gas Co. d/b/a Dominion East Ohio</w:t>
            </w:r>
            <w:r w:rsidR="00E14EBC">
              <w:rPr>
                <w:szCs w:val="24"/>
              </w:rPr>
              <w:t>.</w:t>
            </w:r>
          </w:p>
        </w:tc>
        <w:tc>
          <w:tcPr>
            <w:tcW w:w="360" w:type="dxa"/>
            <w:shd w:val="clear" w:color="auto" w:fill="auto"/>
          </w:tcPr>
          <w:p w:rsidR="00614CD5" w:rsidRPr="00376A99">
            <w:pPr>
              <w:pStyle w:val="HTMLPreformatted"/>
              <w:rPr>
                <w:rFonts w:ascii="Times New Roman" w:hAnsi="Times New Roman"/>
                <w:sz w:val="24"/>
                <w:szCs w:val="24"/>
              </w:rPr>
            </w:pPr>
            <w:r w:rsidRPr="00376A99">
              <w:rPr>
                <w:rFonts w:ascii="Times New Roman" w:hAnsi="Times New Roman"/>
                <w:sz w:val="24"/>
                <w:szCs w:val="24"/>
              </w:rPr>
              <w:t>)</w:t>
            </w:r>
          </w:p>
          <w:p w:rsidR="00614CD5" w:rsidP="00614CD5">
            <w:pPr>
              <w:pStyle w:val="HTMLPreformatted"/>
              <w:rPr>
                <w:rFonts w:ascii="Times New Roman" w:hAnsi="Times New Roman"/>
                <w:sz w:val="24"/>
                <w:szCs w:val="24"/>
              </w:rPr>
            </w:pPr>
            <w:r w:rsidRPr="00376A99">
              <w:rPr>
                <w:rFonts w:ascii="Times New Roman" w:hAnsi="Times New Roman"/>
                <w:sz w:val="24"/>
                <w:szCs w:val="24"/>
              </w:rPr>
              <w:t>)</w:t>
            </w:r>
          </w:p>
          <w:p w:rsidR="00ED3C4E" w:rsidRPr="00376A99" w:rsidP="00614CD5">
            <w:pPr>
              <w:pStyle w:val="HTMLPreformatted"/>
              <w:rPr>
                <w:rFonts w:ascii="Times New Roman" w:hAnsi="Times New Roman"/>
                <w:sz w:val="24"/>
                <w:szCs w:val="24"/>
              </w:rPr>
            </w:pPr>
            <w:r>
              <w:rPr>
                <w:rFonts w:ascii="Times New Roman" w:hAnsi="Times New Roman"/>
                <w:sz w:val="24"/>
                <w:szCs w:val="24"/>
              </w:rPr>
              <w:t>)</w:t>
            </w:r>
          </w:p>
        </w:tc>
        <w:tc>
          <w:tcPr>
            <w:tcW w:w="4400" w:type="dxa"/>
            <w:shd w:val="clear" w:color="auto" w:fill="auto"/>
          </w:tcPr>
          <w:p w:rsidR="00614CD5" w:rsidRPr="00376A99">
            <w:pPr>
              <w:pStyle w:val="HTMLPreformatted"/>
              <w:rPr>
                <w:rFonts w:ascii="Times New Roman" w:hAnsi="Times New Roman"/>
                <w:sz w:val="24"/>
                <w:szCs w:val="24"/>
              </w:rPr>
            </w:pPr>
          </w:p>
          <w:p w:rsidR="00614CD5" w:rsidRPr="00376A99" w:rsidP="00093AC2">
            <w:pPr>
              <w:pStyle w:val="HTMLPreformatted"/>
              <w:rPr>
                <w:rFonts w:ascii="Times New Roman" w:hAnsi="Times New Roman"/>
                <w:sz w:val="24"/>
                <w:szCs w:val="24"/>
              </w:rPr>
            </w:pPr>
            <w:r w:rsidRPr="00376A99">
              <w:rPr>
                <w:rFonts w:ascii="Times New Roman" w:hAnsi="Times New Roman"/>
                <w:sz w:val="24"/>
                <w:szCs w:val="24"/>
              </w:rPr>
              <w:t>Case No. 1</w:t>
            </w:r>
            <w:r w:rsidR="00093AC2">
              <w:rPr>
                <w:rFonts w:ascii="Times New Roman" w:hAnsi="Times New Roman"/>
                <w:sz w:val="24"/>
                <w:szCs w:val="24"/>
              </w:rPr>
              <w:t>7-1372-GA-RDR</w:t>
            </w:r>
          </w:p>
        </w:tc>
      </w:tr>
    </w:tbl>
    <w:p w:rsidR="00614CD5">
      <w:pPr>
        <w:pStyle w:val="HTMLPreformatted"/>
        <w:rPr>
          <w:rFonts w:ascii="Times New Roman" w:hAnsi="Times New Roman"/>
          <w:sz w:val="24"/>
        </w:rPr>
      </w:pPr>
    </w:p>
    <w:p w:rsidR="00614CD5">
      <w:pPr>
        <w:pStyle w:val="HTMLPreformatted"/>
        <w:pBdr>
          <w:top w:val="single" w:sz="12" w:space="1" w:color="auto"/>
        </w:pBdr>
        <w:rPr>
          <w:rFonts w:ascii="Times New Roman" w:hAnsi="Times New Roman"/>
          <w:sz w:val="24"/>
        </w:rPr>
      </w:pPr>
    </w:p>
    <w:p w:rsidR="00614CD5">
      <w:pPr>
        <w:jc w:val="center"/>
        <w:rPr>
          <w:b/>
          <w:bCs/>
        </w:rPr>
      </w:pPr>
      <w:r>
        <w:rPr>
          <w:b/>
          <w:bCs/>
        </w:rPr>
        <w:t>MOTION TO INTERVENE</w:t>
      </w:r>
    </w:p>
    <w:p w:rsidR="00614CD5">
      <w:pPr>
        <w:jc w:val="center"/>
        <w:rPr>
          <w:b/>
          <w:bCs/>
        </w:rPr>
      </w:pPr>
      <w:r>
        <w:rPr>
          <w:b/>
          <w:bCs/>
        </w:rPr>
        <w:t>BY</w:t>
      </w:r>
    </w:p>
    <w:p w:rsidR="00614CD5">
      <w:pPr>
        <w:jc w:val="center"/>
        <w:rPr>
          <w:b/>
          <w:bCs/>
        </w:rPr>
      </w:pPr>
      <w:r>
        <w:rPr>
          <w:b/>
          <w:bCs/>
        </w:rPr>
        <w:t>THE OFFICE OF THE OHIO CONSUMERS' COUNSEL</w:t>
      </w:r>
    </w:p>
    <w:p w:rsidR="00614CD5">
      <w:pPr>
        <w:pBdr>
          <w:bottom w:val="single" w:sz="12" w:space="1" w:color="auto"/>
        </w:pBdr>
        <w:tabs>
          <w:tab w:val="left" w:pos="4320"/>
        </w:tabs>
      </w:pPr>
    </w:p>
    <w:p w:rsidR="00614CD5">
      <w:pPr>
        <w:tabs>
          <w:tab w:val="left" w:pos="4320"/>
        </w:tabs>
      </w:pPr>
    </w:p>
    <w:p w:rsidR="00093AC2" w:rsidP="00614CD5">
      <w:pPr>
        <w:pStyle w:val="BodyTextIndent3"/>
        <w:widowControl w:val="0"/>
        <w:spacing w:line="480" w:lineRule="auto"/>
        <w:ind w:right="-312"/>
      </w:pPr>
      <w:r>
        <w:t>In this case</w:t>
      </w:r>
      <w:r>
        <w:t xml:space="preserve">, the </w:t>
      </w:r>
      <w:r w:rsidR="00473A11">
        <w:t>Public Utilities Commission of Ohio (</w:t>
      </w:r>
      <w:r w:rsidR="0055748E">
        <w:t>"</w:t>
      </w:r>
      <w:r>
        <w:t>PUCO</w:t>
      </w:r>
      <w:r w:rsidR="0055748E">
        <w:t>"</w:t>
      </w:r>
      <w:r w:rsidR="00473A11">
        <w:t>)</w:t>
      </w:r>
      <w:r>
        <w:t xml:space="preserve"> Staff audited the demand side management ("DSM") programs of the East Ohio Gas Company</w:t>
      </w:r>
      <w:r w:rsidR="00ED3C4E">
        <w:t xml:space="preserve"> (</w:t>
      </w:r>
      <w:r>
        <w:t>"Dominion</w:t>
      </w:r>
      <w:r w:rsidR="00ED3C4E">
        <w:t>" or the "</w:t>
      </w:r>
      <w:r w:rsidR="00B636E0">
        <w:t>Utility</w:t>
      </w:r>
      <w:r w:rsidR="00ED3C4E">
        <w:t xml:space="preserve">") </w:t>
      </w:r>
      <w:r>
        <w:t>for the period October 1, 2015 through September 30, 2016.</w:t>
      </w:r>
      <w:r>
        <w:rPr>
          <w:rStyle w:val="FootnoteReference"/>
        </w:rPr>
        <w:footnoteReference w:id="2"/>
      </w:r>
      <w:r>
        <w:t xml:space="preserve"> </w:t>
      </w:r>
      <w:r w:rsidR="0055748E">
        <w:t xml:space="preserve">According to the PUCO Staff's filing, </w:t>
      </w:r>
      <w:r>
        <w:t>Dominion is authorized to charge its customers up to $4.0 million per year through a DSM rider.</w:t>
      </w:r>
      <w:r>
        <w:rPr>
          <w:rStyle w:val="FootnoteReference"/>
        </w:rPr>
        <w:footnoteReference w:id="3"/>
      </w:r>
    </w:p>
    <w:p w:rsidR="00614CD5" w:rsidP="00614CD5">
      <w:pPr>
        <w:pStyle w:val="BodyTextIndent3"/>
        <w:widowControl w:val="0"/>
        <w:spacing w:line="480" w:lineRule="auto"/>
        <w:ind w:right="-312"/>
      </w:pPr>
      <w:r>
        <w:t xml:space="preserve">The Office of the Ohio Consumers’ Counsel ("OCC") files this motion on behalf of </w:t>
      </w:r>
      <w:r w:rsidR="00093AC2">
        <w:t>Dominion's</w:t>
      </w:r>
      <w:r>
        <w:t xml:space="preserve"> </w:t>
      </w:r>
      <w:r w:rsidR="00093AC2">
        <w:t>1.1</w:t>
      </w:r>
      <w:r>
        <w:t xml:space="preserve"> million residential </w:t>
      </w:r>
      <w:r w:rsidR="00093AC2">
        <w:t>natural gas</w:t>
      </w:r>
      <w:r>
        <w:t xml:space="preserve"> customers. The PUCO should grant OCC's motion to intervene for the reasons set forth in the attached </w:t>
      </w:r>
      <w:r w:rsidR="00DF4BAA">
        <w:t>m</w:t>
      </w:r>
      <w:r>
        <w:t xml:space="preserve">emorandum in </w:t>
      </w:r>
      <w:r w:rsidR="00DF4BAA">
        <w:t>s</w:t>
      </w:r>
      <w:r>
        <w:t>upport.</w:t>
      </w:r>
    </w:p>
    <w:p w:rsidR="00B87B4C">
      <w:pPr>
        <w:rPr>
          <w:szCs w:val="24"/>
        </w:rPr>
      </w:pPr>
      <w:r>
        <w:rPr>
          <w:szCs w:val="24"/>
        </w:rPr>
        <w:br w:type="page"/>
      </w:r>
    </w:p>
    <w:p w:rsidR="00614CD5" w:rsidRPr="00F257DB" w:rsidP="00614CD5">
      <w:pPr>
        <w:pStyle w:val="BodyTextIndent3"/>
        <w:widowControl w:val="0"/>
        <w:spacing w:line="480" w:lineRule="auto"/>
        <w:ind w:left="4320" w:firstLine="0"/>
        <w:rPr>
          <w:szCs w:val="24"/>
        </w:rPr>
      </w:pPr>
      <w:r w:rsidRPr="00F257DB">
        <w:rPr>
          <w:szCs w:val="24"/>
        </w:rPr>
        <w:t>Respectfully submitted,</w:t>
      </w:r>
    </w:p>
    <w:p w:rsidR="00614CD5" w:rsidRPr="00F257DB" w:rsidP="00614CD5">
      <w:pPr>
        <w:ind w:left="4320"/>
        <w:rPr>
          <w:szCs w:val="24"/>
        </w:rPr>
      </w:pPr>
      <w:r w:rsidRPr="00F257DB">
        <w:rPr>
          <w:szCs w:val="24"/>
        </w:rPr>
        <w:t>BRUCE WESTON (0016973)</w:t>
      </w:r>
    </w:p>
    <w:p w:rsidR="00614CD5" w:rsidRPr="00F257DB" w:rsidP="00614CD5">
      <w:pPr>
        <w:tabs>
          <w:tab w:val="left" w:pos="4320"/>
        </w:tabs>
        <w:ind w:left="4320"/>
        <w:rPr>
          <w:szCs w:val="24"/>
        </w:rPr>
      </w:pPr>
      <w:r w:rsidRPr="00F257DB">
        <w:rPr>
          <w:szCs w:val="24"/>
        </w:rPr>
        <w:t>OHIO CONSUMERS</w:t>
      </w:r>
      <w:r>
        <w:rPr>
          <w:szCs w:val="24"/>
        </w:rPr>
        <w:t>'</w:t>
      </w:r>
      <w:r w:rsidRPr="00F257DB">
        <w:rPr>
          <w:szCs w:val="24"/>
        </w:rPr>
        <w:t xml:space="preserve"> COUNSEL</w:t>
      </w:r>
    </w:p>
    <w:p w:rsidR="00614CD5" w:rsidRPr="00F257DB" w:rsidP="00614CD5">
      <w:pPr>
        <w:tabs>
          <w:tab w:val="left" w:pos="4320"/>
        </w:tabs>
        <w:ind w:left="4320"/>
        <w:rPr>
          <w:szCs w:val="24"/>
        </w:rPr>
      </w:pPr>
    </w:p>
    <w:p w:rsidR="00614CD5" w:rsidRPr="00F257DB" w:rsidP="00614CD5">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614CD5" w:rsidP="00614CD5">
      <w:pPr>
        <w:tabs>
          <w:tab w:val="left" w:pos="4320"/>
        </w:tabs>
        <w:ind w:left="4320"/>
        <w:rPr>
          <w:szCs w:val="24"/>
        </w:rPr>
      </w:pPr>
      <w:r>
        <w:rPr>
          <w:szCs w:val="24"/>
        </w:rPr>
        <w:t>Christopher M. Healey (0086027)</w:t>
      </w:r>
    </w:p>
    <w:p w:rsidR="00856E1B" w:rsidP="00614CD5">
      <w:pPr>
        <w:tabs>
          <w:tab w:val="left" w:pos="4320"/>
        </w:tabs>
        <w:ind w:left="4320"/>
        <w:rPr>
          <w:szCs w:val="24"/>
        </w:rPr>
      </w:pPr>
      <w:r>
        <w:rPr>
          <w:szCs w:val="24"/>
        </w:rPr>
        <w:t>Counsel of Record</w:t>
      </w:r>
    </w:p>
    <w:p w:rsidR="00614CD5" w:rsidP="00614CD5">
      <w:pPr>
        <w:tabs>
          <w:tab w:val="left" w:pos="4320"/>
        </w:tabs>
        <w:ind w:left="4320"/>
        <w:rPr>
          <w:szCs w:val="24"/>
        </w:rPr>
      </w:pPr>
    </w:p>
    <w:p w:rsidR="00614CD5" w:rsidRPr="002C2315" w:rsidP="00614CD5">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614CD5" w:rsidP="00614CD5">
      <w:pPr>
        <w:tabs>
          <w:tab w:val="left" w:pos="4320"/>
        </w:tabs>
        <w:ind w:left="4320"/>
        <w:rPr>
          <w:szCs w:val="24"/>
        </w:rPr>
      </w:pPr>
      <w:r w:rsidRPr="00F257DB">
        <w:rPr>
          <w:szCs w:val="24"/>
        </w:rPr>
        <w:t>10 West Broad Street, Suite 1800</w:t>
      </w:r>
    </w:p>
    <w:p w:rsidR="00614CD5" w:rsidP="00614CD5">
      <w:pPr>
        <w:tabs>
          <w:tab w:val="left" w:pos="4320"/>
        </w:tabs>
        <w:ind w:left="4320"/>
        <w:rPr>
          <w:szCs w:val="24"/>
        </w:rPr>
      </w:pPr>
      <w:r w:rsidRPr="00F257DB">
        <w:rPr>
          <w:szCs w:val="24"/>
        </w:rPr>
        <w:t>Columbus, Ohio 43215-3485</w:t>
      </w:r>
    </w:p>
    <w:p w:rsidR="00614CD5" w:rsidP="00614CD5">
      <w:pPr>
        <w:tabs>
          <w:tab w:val="left" w:pos="4320"/>
        </w:tabs>
        <w:ind w:left="4320"/>
        <w:rPr>
          <w:szCs w:val="24"/>
        </w:rPr>
      </w:pPr>
      <w:r>
        <w:rPr>
          <w:szCs w:val="24"/>
        </w:rPr>
        <w:t>Telephone</w:t>
      </w:r>
      <w:r w:rsidR="00B87B4C">
        <w:rPr>
          <w:szCs w:val="24"/>
        </w:rPr>
        <w:t xml:space="preserve">: </w:t>
      </w:r>
      <w:r w:rsidRPr="00F257DB" w:rsidR="00B87B4C">
        <w:rPr>
          <w:szCs w:val="24"/>
        </w:rPr>
        <w:t>614</w:t>
      </w:r>
      <w:r w:rsidR="00B87B4C">
        <w:rPr>
          <w:szCs w:val="24"/>
        </w:rPr>
        <w:t>-466-9571</w:t>
      </w:r>
    </w:p>
    <w:p w:rsidR="00614CD5" w:rsidP="00614CD5">
      <w:pPr>
        <w:ind w:left="4320"/>
        <w:rPr>
          <w:szCs w:val="24"/>
        </w:rPr>
      </w:pPr>
      <w:r w:rsidRPr="000A0618" w:rsidR="00B87B4C">
        <w:rPr>
          <w:rStyle w:val="DefaultParagraphFont"/>
          <w:szCs w:val="24"/>
        </w:rPr>
        <w:t>christopher.healey@occ.ohio.gov</w:t>
      </w:r>
      <w:r w:rsidR="00B87B4C">
        <w:rPr>
          <w:szCs w:val="24"/>
        </w:rPr>
        <w:t xml:space="preserve"> </w:t>
      </w:r>
    </w:p>
    <w:p w:rsidR="00614CD5" w:rsidRPr="00F257DB" w:rsidP="00614CD5">
      <w:pPr>
        <w:ind w:left="4320"/>
        <w:rPr>
          <w:szCs w:val="24"/>
        </w:rPr>
      </w:pPr>
      <w:r w:rsidRPr="00F257DB">
        <w:rPr>
          <w:szCs w:val="24"/>
        </w:rPr>
        <w:t>(</w:t>
      </w:r>
      <w:r>
        <w:rPr>
          <w:szCs w:val="24"/>
        </w:rPr>
        <w:t>will</w:t>
      </w:r>
      <w:r w:rsidRPr="00F257DB">
        <w:rPr>
          <w:szCs w:val="24"/>
        </w:rPr>
        <w:t xml:space="preserve"> accept service via email)</w:t>
      </w:r>
    </w:p>
    <w:p w:rsidR="00614CD5">
      <w:pPr>
        <w:pStyle w:val="HTMLPreformatted"/>
        <w:jc w:val="center"/>
        <w:rPr>
          <w:rFonts w:ascii="Times New Roman" w:hAnsi="Times New Roman"/>
          <w:b/>
          <w:bCs/>
          <w:sz w:val="24"/>
        </w:rPr>
        <w:sectPr>
          <w:headerReference w:type="default" r:id="rId5"/>
          <w:footerReference w:type="even" r:id="rId6"/>
          <w:footerReference w:type="default" r:id="rId7"/>
          <w:pgSz w:w="12240" w:h="15840"/>
          <w:pgMar w:top="1440" w:right="1800" w:bottom="1440" w:left="1800" w:header="720" w:footer="720" w:gutter="0"/>
          <w:cols w:space="720"/>
          <w:titlePg/>
          <w:docGrid w:linePitch="65"/>
        </w:sectPr>
      </w:pPr>
    </w:p>
    <w:p w:rsidR="00093AC2" w:rsidP="00093AC2">
      <w:pPr>
        <w:pStyle w:val="HTMLPreformatted"/>
        <w:jc w:val="center"/>
        <w:rPr>
          <w:rFonts w:ascii="Times New Roman" w:hAnsi="Times New Roman"/>
          <w:b/>
          <w:bCs/>
          <w:sz w:val="24"/>
        </w:rPr>
      </w:pPr>
      <w:r>
        <w:rPr>
          <w:rFonts w:ascii="Times New Roman" w:hAnsi="Times New Roman"/>
          <w:b/>
          <w:bCs/>
          <w:sz w:val="24"/>
        </w:rPr>
        <w:t>BEFORE</w:t>
      </w:r>
    </w:p>
    <w:p w:rsidR="00093AC2" w:rsidP="00093AC2">
      <w:pPr>
        <w:pStyle w:val="HTMLPreformatted"/>
        <w:jc w:val="center"/>
        <w:rPr>
          <w:rFonts w:ascii="Times New Roman" w:hAnsi="Times New Roman"/>
          <w:sz w:val="24"/>
        </w:rPr>
      </w:pPr>
      <w:r>
        <w:rPr>
          <w:rFonts w:ascii="Times New Roman" w:hAnsi="Times New Roman"/>
          <w:b/>
          <w:bCs/>
          <w:sz w:val="24"/>
        </w:rPr>
        <w:t>THE PUBLIC UTILITIES COMMISSION OF OHIO</w:t>
      </w:r>
    </w:p>
    <w:p w:rsidR="00093AC2" w:rsidP="00093AC2">
      <w:pPr>
        <w:pStyle w:val="HTMLPreformatted"/>
        <w:rPr>
          <w:rFonts w:ascii="Times New Roman" w:hAnsi="Times New Roman"/>
          <w:sz w:val="24"/>
        </w:rPr>
      </w:pPr>
    </w:p>
    <w:tbl>
      <w:tblPr>
        <w:tblW w:w="9728" w:type="dxa"/>
        <w:tblLook w:val="01E0"/>
      </w:tblPr>
      <w:tblGrid>
        <w:gridCol w:w="4968"/>
        <w:gridCol w:w="360"/>
        <w:gridCol w:w="4400"/>
      </w:tblGrid>
      <w:tr w:rsidTr="00E14EBC">
        <w:tblPrEx>
          <w:tblW w:w="9728" w:type="dxa"/>
          <w:tblLook w:val="01E0"/>
        </w:tblPrEx>
        <w:trPr>
          <w:trHeight w:val="807"/>
        </w:trPr>
        <w:tc>
          <w:tcPr>
            <w:tcW w:w="4968" w:type="dxa"/>
            <w:shd w:val="clear" w:color="auto" w:fill="auto"/>
          </w:tcPr>
          <w:p w:rsidR="00093AC2" w:rsidRPr="00376A99" w:rsidP="005D3FD9">
            <w:pPr>
              <w:autoSpaceDE w:val="0"/>
              <w:autoSpaceDN w:val="0"/>
              <w:adjustRightInd w:val="0"/>
              <w:rPr>
                <w:szCs w:val="24"/>
              </w:rPr>
            </w:pPr>
            <w:r>
              <w:rPr>
                <w:szCs w:val="24"/>
              </w:rPr>
              <w:t>In The Matter of the Demand Side Management Tariff Filing of the East Ohio Gas Co. d/b/a Dominion East Ohio</w:t>
            </w:r>
            <w:r w:rsidR="00E14EBC">
              <w:rPr>
                <w:szCs w:val="24"/>
              </w:rPr>
              <w:t>.</w:t>
            </w:r>
          </w:p>
        </w:tc>
        <w:tc>
          <w:tcPr>
            <w:tcW w:w="360" w:type="dxa"/>
            <w:shd w:val="clear" w:color="auto" w:fill="auto"/>
          </w:tcPr>
          <w:p w:rsidR="00093AC2" w:rsidRPr="00376A99" w:rsidP="005D3FD9">
            <w:pPr>
              <w:pStyle w:val="HTMLPreformatted"/>
              <w:rPr>
                <w:rFonts w:ascii="Times New Roman" w:hAnsi="Times New Roman"/>
                <w:sz w:val="24"/>
                <w:szCs w:val="24"/>
              </w:rPr>
            </w:pPr>
            <w:r w:rsidRPr="00376A99">
              <w:rPr>
                <w:rFonts w:ascii="Times New Roman" w:hAnsi="Times New Roman"/>
                <w:sz w:val="24"/>
                <w:szCs w:val="24"/>
              </w:rPr>
              <w:t>)</w:t>
            </w:r>
          </w:p>
          <w:p w:rsidR="00093AC2" w:rsidP="005D3FD9">
            <w:pPr>
              <w:pStyle w:val="HTMLPreformatted"/>
              <w:rPr>
                <w:rFonts w:ascii="Times New Roman" w:hAnsi="Times New Roman"/>
                <w:sz w:val="24"/>
                <w:szCs w:val="24"/>
              </w:rPr>
            </w:pPr>
            <w:r w:rsidRPr="00376A99">
              <w:rPr>
                <w:rFonts w:ascii="Times New Roman" w:hAnsi="Times New Roman"/>
                <w:sz w:val="24"/>
                <w:szCs w:val="24"/>
              </w:rPr>
              <w:t>)</w:t>
            </w:r>
          </w:p>
          <w:p w:rsidR="00093AC2" w:rsidRPr="00376A99" w:rsidP="005D3FD9">
            <w:pPr>
              <w:pStyle w:val="HTMLPreformatted"/>
              <w:rPr>
                <w:rFonts w:ascii="Times New Roman" w:hAnsi="Times New Roman"/>
                <w:sz w:val="24"/>
                <w:szCs w:val="24"/>
              </w:rPr>
            </w:pPr>
            <w:r>
              <w:rPr>
                <w:rFonts w:ascii="Times New Roman" w:hAnsi="Times New Roman"/>
                <w:sz w:val="24"/>
                <w:szCs w:val="24"/>
              </w:rPr>
              <w:t>)</w:t>
            </w:r>
          </w:p>
        </w:tc>
        <w:tc>
          <w:tcPr>
            <w:tcW w:w="4400" w:type="dxa"/>
            <w:shd w:val="clear" w:color="auto" w:fill="auto"/>
          </w:tcPr>
          <w:p w:rsidR="00093AC2" w:rsidRPr="00376A99" w:rsidP="005D3FD9">
            <w:pPr>
              <w:pStyle w:val="HTMLPreformatted"/>
              <w:rPr>
                <w:rFonts w:ascii="Times New Roman" w:hAnsi="Times New Roman"/>
                <w:sz w:val="24"/>
                <w:szCs w:val="24"/>
              </w:rPr>
            </w:pPr>
          </w:p>
          <w:p w:rsidR="00093AC2" w:rsidRPr="00376A99" w:rsidP="005D3FD9">
            <w:pPr>
              <w:pStyle w:val="HTMLPreformatted"/>
              <w:rPr>
                <w:rFonts w:ascii="Times New Roman" w:hAnsi="Times New Roman"/>
                <w:sz w:val="24"/>
                <w:szCs w:val="24"/>
              </w:rPr>
            </w:pPr>
            <w:r w:rsidRPr="00376A99">
              <w:rPr>
                <w:rFonts w:ascii="Times New Roman" w:hAnsi="Times New Roman"/>
                <w:sz w:val="24"/>
                <w:szCs w:val="24"/>
              </w:rPr>
              <w:t>Case No. 1</w:t>
            </w:r>
            <w:r>
              <w:rPr>
                <w:rFonts w:ascii="Times New Roman" w:hAnsi="Times New Roman"/>
                <w:sz w:val="24"/>
                <w:szCs w:val="24"/>
              </w:rPr>
              <w:t>7-1372-GA-RDR</w:t>
            </w:r>
          </w:p>
        </w:tc>
      </w:tr>
    </w:tbl>
    <w:p w:rsidR="00093AC2" w:rsidP="00093AC2">
      <w:pPr>
        <w:pStyle w:val="HTMLPreformatted"/>
        <w:rPr>
          <w:rFonts w:ascii="Times New Roman" w:hAnsi="Times New Roman"/>
          <w:sz w:val="24"/>
        </w:rPr>
      </w:pPr>
    </w:p>
    <w:p w:rsidR="00614CD5" w:rsidP="00614CD5">
      <w:pPr>
        <w:pStyle w:val="HTMLPreformatted"/>
        <w:pBdr>
          <w:top w:val="single" w:sz="12" w:space="1" w:color="auto"/>
        </w:pBdr>
        <w:rPr>
          <w:rFonts w:ascii="Times New Roman" w:hAnsi="Times New Roman"/>
          <w:sz w:val="24"/>
        </w:rPr>
      </w:pPr>
    </w:p>
    <w:p w:rsidR="00614CD5" w:rsidP="00614CD5">
      <w:pPr>
        <w:jc w:val="center"/>
        <w:rPr>
          <w:b/>
          <w:bCs/>
        </w:rPr>
      </w:pPr>
      <w:r>
        <w:rPr>
          <w:b/>
          <w:bCs/>
        </w:rPr>
        <w:t>MEMORANDUM IN SUPPORT</w:t>
      </w:r>
    </w:p>
    <w:p w:rsidR="00614CD5" w:rsidP="00614CD5">
      <w:pPr>
        <w:pBdr>
          <w:bottom w:val="single" w:sz="12" w:space="1" w:color="auto"/>
        </w:pBdr>
        <w:tabs>
          <w:tab w:val="left" w:pos="4320"/>
        </w:tabs>
      </w:pPr>
    </w:p>
    <w:p w:rsidR="00614CD5" w:rsidP="00614CD5">
      <w:pPr>
        <w:tabs>
          <w:tab w:val="left" w:pos="4320"/>
        </w:tabs>
      </w:pPr>
    </w:p>
    <w:p w:rsidR="00093AC2" w:rsidP="00614CD5">
      <w:pPr>
        <w:pStyle w:val="BodyTextIndent3"/>
        <w:widowControl w:val="0"/>
        <w:spacing w:line="480" w:lineRule="auto"/>
        <w:ind w:right="-24"/>
      </w:pPr>
      <w:r>
        <w:t xml:space="preserve">The PUCO Staff performed an audit of Dominion's DSM programs from October 1, 2015 through September 30, 2016. </w:t>
      </w:r>
      <w:r w:rsidR="00B87B4C">
        <w:t xml:space="preserve">In this proceeding, </w:t>
      </w:r>
      <w:r>
        <w:t>the PUCO Staff filed a letter providing a brief overview of the audit</w:t>
      </w:r>
      <w:r w:rsidR="00C70864">
        <w:t>.</w:t>
      </w:r>
      <w:r>
        <w:rPr>
          <w:rStyle w:val="FootnoteReference"/>
        </w:rPr>
        <w:footnoteReference w:id="4"/>
      </w:r>
      <w:r w:rsidR="00C70864">
        <w:t xml:space="preserve"> In its letter, the PUCO Staff made two recommendations. First, it recommended that Dominion's DSM rider be approved as Dominion proposed in a different docket.</w:t>
      </w:r>
      <w:r>
        <w:rPr>
          <w:rStyle w:val="FootnoteReference"/>
        </w:rPr>
        <w:footnoteReference w:id="5"/>
      </w:r>
      <w:r w:rsidR="00C70864">
        <w:t xml:space="preserve"> Second, it recommended that Dominion file an annual application for approval to adjust its DSM rider rather than merely filing an updated tariff each year.</w:t>
      </w:r>
      <w:r>
        <w:rPr>
          <w:rStyle w:val="FootnoteReference"/>
        </w:rPr>
        <w:footnoteReference w:id="6"/>
      </w:r>
      <w:r w:rsidR="00C70864">
        <w:t xml:space="preserve"> Dominion's customers pay $0.0332 per Mcf for Dominion's DSM programs and up to $4.0 million per year.</w:t>
      </w:r>
    </w:p>
    <w:p w:rsidR="00614CD5" w:rsidP="00614CD5">
      <w:pPr>
        <w:pStyle w:val="BodyTextIndent3"/>
        <w:widowControl w:val="0"/>
        <w:spacing w:line="480" w:lineRule="auto"/>
        <w:ind w:right="-24"/>
      </w:pPr>
      <w:r>
        <w:t>R.C. 4903.221 provides, in part, that any person "who may be adversely affected" by a PUCO proceeding is entitled to seek intervention in that proceeding. The interests of Ohio's residential customers may be "adversely affected" by this case, especially if the customers were unr</w:t>
      </w:r>
      <w:r w:rsidR="00C70864">
        <w:t>epresented in a proceeding regarding the PUCO Staff's audit of expenses that are charged to customers</w:t>
      </w:r>
      <w:r w:rsidRPr="00FB09E0">
        <w:t>.</w:t>
      </w:r>
      <w:r>
        <w:t xml:space="preserve"> Thus, this element of the intervention standard in R.C. 4903.221 is satisfied.</w:t>
      </w:r>
    </w:p>
    <w:p w:rsidR="00614CD5" w:rsidP="00C70864">
      <w:pPr>
        <w:keepNext/>
        <w:spacing w:line="480" w:lineRule="auto"/>
        <w:ind w:firstLine="720"/>
        <w:rPr>
          <w:szCs w:val="24"/>
        </w:rPr>
      </w:pPr>
      <w:r>
        <w:rPr>
          <w:szCs w:val="24"/>
        </w:rPr>
        <w:t>R.C. 4903.221(B) requires the PUCO to consider the following criteria in ruling on motions to intervene:</w:t>
      </w:r>
    </w:p>
    <w:p w:rsidR="00614CD5" w:rsidP="00614CD5">
      <w:pPr>
        <w:ind w:left="2160" w:right="720" w:hanging="720"/>
        <w:rPr>
          <w:szCs w:val="24"/>
        </w:rPr>
      </w:pPr>
      <w:r>
        <w:rPr>
          <w:szCs w:val="24"/>
        </w:rPr>
        <w:t>(1)</w:t>
      </w:r>
      <w:r>
        <w:rPr>
          <w:szCs w:val="24"/>
        </w:rPr>
        <w:tab/>
        <w:t>The nature and extent of the prospective intervenor's interest;</w:t>
      </w:r>
    </w:p>
    <w:p w:rsidR="00614CD5" w:rsidP="00614CD5">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614CD5" w:rsidP="00614CD5">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614CD5" w:rsidP="00614CD5">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614CD5" w:rsidP="00614CD5">
      <w:pPr>
        <w:pStyle w:val="BodyTextIndent3"/>
        <w:spacing w:line="480" w:lineRule="auto"/>
        <w:rPr>
          <w:szCs w:val="24"/>
        </w:rPr>
      </w:pPr>
      <w:r>
        <w:t>First, the nature and extent of OCC's interest is representing the residential customers o</w:t>
      </w:r>
      <w:r>
        <w:rPr>
          <w:szCs w:val="24"/>
        </w:rPr>
        <w:t xml:space="preserve">f </w:t>
      </w:r>
      <w:r w:rsidR="00C70864">
        <w:rPr>
          <w:szCs w:val="24"/>
        </w:rPr>
        <w:t>Dominion</w:t>
      </w:r>
      <w:r>
        <w:rPr>
          <w:szCs w:val="24"/>
        </w:rPr>
        <w:t xml:space="preserve"> in this case where </w:t>
      </w:r>
      <w:r w:rsidR="00C70864">
        <w:rPr>
          <w:szCs w:val="24"/>
        </w:rPr>
        <w:t xml:space="preserve">the PUCO Staff audited Dominion's charges to customers for </w:t>
      </w:r>
      <w:r w:rsidR="0055748E">
        <w:rPr>
          <w:szCs w:val="24"/>
        </w:rPr>
        <w:t xml:space="preserve">DSM </w:t>
      </w:r>
      <w:r w:rsidR="00C70864">
        <w:rPr>
          <w:szCs w:val="24"/>
        </w:rPr>
        <w:t>programs</w:t>
      </w:r>
      <w:r>
        <w:rPr>
          <w:szCs w:val="24"/>
        </w:rPr>
        <w:t>. OCC's interest is different than that of any other party and especially different than that of the Utility whose advocacy includes the financial interest of stockholders.</w:t>
      </w:r>
    </w:p>
    <w:p w:rsidR="00614CD5" w:rsidRPr="00C41457" w:rsidP="00614CD5">
      <w:pPr>
        <w:pStyle w:val="Footer"/>
        <w:spacing w:line="480" w:lineRule="auto"/>
        <w:ind w:firstLine="720"/>
        <w:rPr>
          <w:sz w:val="24"/>
          <w:szCs w:val="24"/>
        </w:rPr>
      </w:pPr>
      <w:r w:rsidRPr="00C41457">
        <w:rPr>
          <w:sz w:val="24"/>
          <w:szCs w:val="24"/>
        </w:rPr>
        <w:t>Second, OCC</w:t>
      </w:r>
      <w:r>
        <w:rPr>
          <w:sz w:val="24"/>
          <w:szCs w:val="24"/>
        </w:rPr>
        <w:t>'</w:t>
      </w:r>
      <w:r w:rsidRPr="00C41457">
        <w:rPr>
          <w:sz w:val="24"/>
          <w:szCs w:val="24"/>
        </w:rPr>
        <w:t>s advocacy for residential customers will include advancing the position that</w:t>
      </w:r>
      <w:r>
        <w:rPr>
          <w:sz w:val="24"/>
          <w:szCs w:val="24"/>
        </w:rPr>
        <w:t xml:space="preserve"> the </w:t>
      </w:r>
      <w:r w:rsidRPr="00C41457">
        <w:rPr>
          <w:sz w:val="24"/>
          <w:szCs w:val="24"/>
        </w:rPr>
        <w:t>rates</w:t>
      </w:r>
      <w:r>
        <w:rPr>
          <w:sz w:val="24"/>
          <w:szCs w:val="24"/>
        </w:rPr>
        <w:t xml:space="preserve"> consumers pay for </w:t>
      </w:r>
      <w:r w:rsidR="00C70864">
        <w:rPr>
          <w:sz w:val="24"/>
          <w:szCs w:val="24"/>
        </w:rPr>
        <w:t>natural gas</w:t>
      </w:r>
      <w:r>
        <w:rPr>
          <w:sz w:val="24"/>
          <w:szCs w:val="24"/>
        </w:rPr>
        <w:t xml:space="preserve"> service</w:t>
      </w:r>
      <w:r w:rsidRPr="00C41457">
        <w:rPr>
          <w:sz w:val="24"/>
          <w:szCs w:val="24"/>
        </w:rPr>
        <w:t xml:space="preserve"> </w:t>
      </w:r>
      <w:r>
        <w:rPr>
          <w:sz w:val="24"/>
          <w:szCs w:val="24"/>
        </w:rPr>
        <w:t xml:space="preserve">(including charges for </w:t>
      </w:r>
      <w:r w:rsidR="0055748E">
        <w:rPr>
          <w:sz w:val="24"/>
          <w:szCs w:val="24"/>
        </w:rPr>
        <w:t>DSM</w:t>
      </w:r>
      <w:r w:rsidR="00C70864">
        <w:rPr>
          <w:sz w:val="24"/>
          <w:szCs w:val="24"/>
        </w:rPr>
        <w:t xml:space="preserve"> programs</w:t>
      </w:r>
      <w:r>
        <w:rPr>
          <w:sz w:val="24"/>
          <w:szCs w:val="24"/>
        </w:rPr>
        <w:t xml:space="preserve">) </w:t>
      </w:r>
      <w:r w:rsidRPr="00C41457">
        <w:rPr>
          <w:sz w:val="24"/>
          <w:szCs w:val="24"/>
        </w:rPr>
        <w:t>should be no more than what is reasonable and lawful under Ohio law</w:t>
      </w:r>
      <w:r>
        <w:rPr>
          <w:sz w:val="24"/>
          <w:szCs w:val="24"/>
        </w:rPr>
        <w:t xml:space="preserve">. </w:t>
      </w:r>
      <w:r w:rsidRPr="00C41457">
        <w:rPr>
          <w:sz w:val="24"/>
          <w:szCs w:val="24"/>
        </w:rPr>
        <w:t>OCC</w:t>
      </w:r>
      <w:r>
        <w:rPr>
          <w:sz w:val="24"/>
          <w:szCs w:val="24"/>
        </w:rPr>
        <w:t>'</w:t>
      </w:r>
      <w:r w:rsidRPr="00C41457">
        <w:rPr>
          <w:sz w:val="24"/>
          <w:szCs w:val="24"/>
        </w:rPr>
        <w:t>s position is therefore directly related to the merits of this case that is pending before the PUCO, the authority with regulatory control of public utilities</w:t>
      </w:r>
      <w:r>
        <w:rPr>
          <w:sz w:val="24"/>
          <w:szCs w:val="24"/>
        </w:rPr>
        <w:t>'</w:t>
      </w:r>
      <w:r w:rsidRPr="00C41457">
        <w:rPr>
          <w:sz w:val="24"/>
          <w:szCs w:val="24"/>
        </w:rPr>
        <w:t xml:space="preserve"> rates and service quality in Ohio. </w:t>
      </w:r>
    </w:p>
    <w:p w:rsidR="00614CD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614CD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614CD5" w:rsidP="00614CD5">
      <w:pPr>
        <w:pStyle w:val="WW-BodyTextIndent3"/>
        <w:spacing w:line="480" w:lineRule="auto"/>
        <w:ind w:right="-29"/>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real and substantial interest in this case </w:t>
      </w:r>
      <w:r w:rsidRPr="00C41457">
        <w:rPr>
          <w:szCs w:val="24"/>
        </w:rPr>
        <w:t xml:space="preserve">involving the </w:t>
      </w:r>
      <w:r>
        <w:rPr>
          <w:szCs w:val="24"/>
        </w:rPr>
        <w:t>Utility's</w:t>
      </w:r>
      <w:r w:rsidRPr="00C41457">
        <w:rPr>
          <w:szCs w:val="24"/>
        </w:rPr>
        <w:t xml:space="preserve"> </w:t>
      </w:r>
      <w:r w:rsidR="0055748E">
        <w:rPr>
          <w:szCs w:val="24"/>
        </w:rPr>
        <w:t>DSM</w:t>
      </w:r>
      <w:r>
        <w:rPr>
          <w:szCs w:val="24"/>
        </w:rPr>
        <w:t xml:space="preserve"> programs</w:t>
      </w:r>
      <w:r w:rsidRPr="00C41457">
        <w:rPr>
          <w:szCs w:val="24"/>
        </w:rPr>
        <w:t xml:space="preserve">, which </w:t>
      </w:r>
      <w:r>
        <w:rPr>
          <w:szCs w:val="24"/>
        </w:rPr>
        <w:t>a</w:t>
      </w:r>
      <w:r w:rsidRPr="00C41457">
        <w:rPr>
          <w:szCs w:val="24"/>
        </w:rPr>
        <w:t xml:space="preserve">ffect the rates residential customers pay for </w:t>
      </w:r>
      <w:r w:rsidR="009B4DC1">
        <w:rPr>
          <w:szCs w:val="24"/>
        </w:rPr>
        <w:t>natural gas</w:t>
      </w:r>
      <w:r w:rsidRPr="00C41457">
        <w:rPr>
          <w:szCs w:val="24"/>
        </w:rPr>
        <w:t xml:space="preserve"> service.</w:t>
      </w:r>
      <w:r>
        <w:rPr>
          <w:szCs w:val="24"/>
        </w:rPr>
        <w:t xml:space="preserve">  </w:t>
      </w:r>
    </w:p>
    <w:p w:rsidR="00614CD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which OCC already has addressed and which OCC satisfies.</w:t>
      </w:r>
    </w:p>
    <w:p w:rsidR="00614CD5">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614CD5" w:rsidP="00614CD5">
      <w:pPr>
        <w:pStyle w:val="WW-BodyTextIndent3"/>
        <w:spacing w:line="480" w:lineRule="auto"/>
        <w:ind w:right="-29"/>
        <w:rPr>
          <w:szCs w:val="24"/>
        </w:rPr>
      </w:pPr>
      <w:r w:rsidRPr="00710E80">
        <w:rPr>
          <w:szCs w:val="24"/>
        </w:rPr>
        <w:t>Moreover, in deciding two consolidated appeals regarding OCC</w:t>
      </w:r>
      <w:r>
        <w:rPr>
          <w:szCs w:val="24"/>
        </w:rPr>
        <w:t>'</w:t>
      </w:r>
      <w:r w:rsidRPr="00710E80">
        <w:rPr>
          <w:szCs w:val="24"/>
        </w:rPr>
        <w:t xml:space="preserve">s right to intervene, the Supreme Court of Ohio has confirmed that </w:t>
      </w:r>
      <w:r>
        <w:rPr>
          <w:szCs w:val="24"/>
        </w:rPr>
        <w:t>"</w:t>
      </w:r>
      <w:r w:rsidRPr="00710E80">
        <w:rPr>
          <w:szCs w:val="24"/>
        </w:rPr>
        <w:t>intervention ought to be liberally allowed.</w:t>
      </w:r>
      <w:r>
        <w:rPr>
          <w:szCs w:val="24"/>
        </w:rPr>
        <w:t>"</w:t>
      </w:r>
      <w:r>
        <w:rPr>
          <w:rStyle w:val="FootnoteReference"/>
          <w:szCs w:val="24"/>
        </w:rPr>
        <w:footnoteReference w:id="7"/>
      </w:r>
      <w:r>
        <w:t xml:space="preserve"> </w:t>
      </w:r>
      <w:r w:rsidRPr="00710E80">
        <w:t>In those cases, OCC explained in its motion to intervene that the proceeding could negatively impact residential consumers, and OCC established that the interests of consumers would not be represented by existing parties.</w:t>
      </w:r>
      <w:r>
        <w:rPr>
          <w:rStyle w:val="FootnoteReference"/>
        </w:rPr>
        <w:footnoteReference w:id="8"/>
      </w:r>
      <w:r>
        <w:t xml:space="preserve"> </w:t>
      </w:r>
      <w:r w:rsidRPr="00710E80">
        <w:t>Because there was no evidence disputing OCC</w:t>
      </w:r>
      <w:r>
        <w:t>'</w:t>
      </w:r>
      <w:r w:rsidRPr="00710E80">
        <w:t>s position, nor any evidence that OCC</w:t>
      </w:r>
      <w:r>
        <w:t>'</w:t>
      </w:r>
      <w:r w:rsidRPr="00710E80">
        <w:t>s intervention would unduly delay the proceedings, the Supreme Court found that the PUCO could not deny OCC the right to intervene.</w:t>
      </w:r>
      <w:r>
        <w:rPr>
          <w:rStyle w:val="FootnoteReference"/>
        </w:rPr>
        <w:footnoteReference w:id="9"/>
      </w:r>
    </w:p>
    <w:p w:rsidR="00614CD5" w:rsidP="00614CD5">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E14EBC" w:rsidP="00614CD5">
      <w:pPr>
        <w:spacing w:line="480" w:lineRule="auto"/>
        <w:ind w:firstLine="4320"/>
        <w:rPr>
          <w:szCs w:val="24"/>
        </w:rPr>
      </w:pPr>
    </w:p>
    <w:p w:rsidR="00614CD5" w:rsidRPr="00B86AAD" w:rsidP="00614CD5">
      <w:pPr>
        <w:spacing w:line="480" w:lineRule="auto"/>
        <w:ind w:firstLine="4320"/>
        <w:rPr>
          <w:szCs w:val="24"/>
        </w:rPr>
      </w:pPr>
      <w:r w:rsidRPr="00F257DB">
        <w:rPr>
          <w:szCs w:val="24"/>
        </w:rPr>
        <w:t>Respectfully submitted,</w:t>
      </w:r>
    </w:p>
    <w:p w:rsidR="00856E1B" w:rsidRPr="00F257DB" w:rsidP="00856E1B">
      <w:pPr>
        <w:ind w:left="4320"/>
        <w:rPr>
          <w:szCs w:val="24"/>
        </w:rPr>
      </w:pPr>
      <w:r w:rsidRPr="00F257DB">
        <w:rPr>
          <w:szCs w:val="24"/>
        </w:rPr>
        <w:t>BRUCE WESTON (0016973)</w:t>
      </w:r>
    </w:p>
    <w:p w:rsidR="00856E1B" w:rsidRPr="00F257DB" w:rsidP="00856E1B">
      <w:pPr>
        <w:tabs>
          <w:tab w:val="left" w:pos="4320"/>
        </w:tabs>
        <w:ind w:left="4320"/>
        <w:rPr>
          <w:szCs w:val="24"/>
        </w:rPr>
      </w:pPr>
      <w:r w:rsidRPr="00F257DB">
        <w:rPr>
          <w:szCs w:val="24"/>
        </w:rPr>
        <w:t>OHIO CONSUMERS</w:t>
      </w:r>
      <w:r>
        <w:rPr>
          <w:szCs w:val="24"/>
        </w:rPr>
        <w:t>'</w:t>
      </w:r>
      <w:r w:rsidRPr="00F257DB">
        <w:rPr>
          <w:szCs w:val="24"/>
        </w:rPr>
        <w:t xml:space="preserve"> COUNSEL</w:t>
      </w:r>
    </w:p>
    <w:p w:rsidR="00856E1B" w:rsidRPr="00F257DB" w:rsidP="00856E1B">
      <w:pPr>
        <w:tabs>
          <w:tab w:val="left" w:pos="4320"/>
        </w:tabs>
        <w:ind w:left="4320"/>
        <w:rPr>
          <w:szCs w:val="24"/>
        </w:rPr>
      </w:pPr>
    </w:p>
    <w:p w:rsidR="00B636E0" w:rsidRPr="00F257DB" w:rsidP="00B636E0">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B636E0" w:rsidP="00B636E0">
      <w:pPr>
        <w:tabs>
          <w:tab w:val="left" w:pos="4320"/>
        </w:tabs>
        <w:ind w:left="4320"/>
        <w:rPr>
          <w:szCs w:val="24"/>
        </w:rPr>
      </w:pPr>
      <w:r>
        <w:rPr>
          <w:szCs w:val="24"/>
        </w:rPr>
        <w:t>Christopher M. Healey (0086027)</w:t>
      </w:r>
    </w:p>
    <w:p w:rsidR="00B636E0" w:rsidP="00B636E0">
      <w:pPr>
        <w:tabs>
          <w:tab w:val="left" w:pos="4320"/>
        </w:tabs>
        <w:ind w:left="4320"/>
        <w:rPr>
          <w:szCs w:val="24"/>
        </w:rPr>
      </w:pPr>
      <w:r>
        <w:rPr>
          <w:szCs w:val="24"/>
        </w:rPr>
        <w:t>Counsel of Record</w:t>
      </w:r>
    </w:p>
    <w:p w:rsidR="00E14EBC" w:rsidP="00B636E0">
      <w:pPr>
        <w:tabs>
          <w:tab w:val="left" w:pos="4320"/>
        </w:tabs>
        <w:ind w:left="4320"/>
        <w:rPr>
          <w:b/>
          <w:szCs w:val="24"/>
        </w:rPr>
      </w:pPr>
    </w:p>
    <w:p w:rsidR="00B636E0" w:rsidRPr="002C2315" w:rsidP="00B636E0">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B636E0" w:rsidP="00B636E0">
      <w:pPr>
        <w:tabs>
          <w:tab w:val="left" w:pos="4320"/>
        </w:tabs>
        <w:ind w:left="4320"/>
        <w:rPr>
          <w:szCs w:val="24"/>
        </w:rPr>
      </w:pPr>
      <w:r w:rsidRPr="00F257DB">
        <w:rPr>
          <w:szCs w:val="24"/>
        </w:rPr>
        <w:t>10 West Broad Street, Suite 1800</w:t>
      </w:r>
    </w:p>
    <w:p w:rsidR="00B636E0" w:rsidP="00B636E0">
      <w:pPr>
        <w:tabs>
          <w:tab w:val="left" w:pos="4320"/>
        </w:tabs>
        <w:ind w:left="4320"/>
        <w:rPr>
          <w:szCs w:val="24"/>
        </w:rPr>
      </w:pPr>
      <w:r w:rsidRPr="00F257DB">
        <w:rPr>
          <w:szCs w:val="24"/>
        </w:rPr>
        <w:t>Columbus, Ohio 43215-3485</w:t>
      </w:r>
    </w:p>
    <w:p w:rsidR="00B636E0" w:rsidP="00B636E0">
      <w:pPr>
        <w:tabs>
          <w:tab w:val="left" w:pos="4320"/>
        </w:tabs>
        <w:ind w:left="4320"/>
        <w:rPr>
          <w:szCs w:val="24"/>
        </w:rPr>
      </w:pPr>
      <w:r>
        <w:rPr>
          <w:szCs w:val="24"/>
        </w:rPr>
        <w:t>Telephone</w:t>
      </w:r>
      <w:r>
        <w:rPr>
          <w:szCs w:val="24"/>
        </w:rPr>
        <w:t xml:space="preserve">: </w:t>
      </w:r>
      <w:r w:rsidRPr="00F257DB">
        <w:rPr>
          <w:szCs w:val="24"/>
        </w:rPr>
        <w:t>614</w:t>
      </w:r>
      <w:r>
        <w:rPr>
          <w:szCs w:val="24"/>
        </w:rPr>
        <w:t>-466-9571</w:t>
      </w:r>
    </w:p>
    <w:p w:rsidR="00B636E0" w:rsidP="00B636E0">
      <w:pPr>
        <w:ind w:left="4320"/>
        <w:rPr>
          <w:szCs w:val="24"/>
        </w:rPr>
      </w:pPr>
      <w:r w:rsidRPr="000A0618">
        <w:rPr>
          <w:rStyle w:val="DefaultParagraphFont"/>
          <w:szCs w:val="24"/>
        </w:rPr>
        <w:t>christopher.healey@occ.ohio.gov</w:t>
      </w:r>
      <w:r>
        <w:rPr>
          <w:szCs w:val="24"/>
        </w:rPr>
        <w:t xml:space="preserve"> </w:t>
      </w:r>
    </w:p>
    <w:p w:rsidR="00614CD5" w:rsidP="00B636E0">
      <w:pPr>
        <w:ind w:left="4320"/>
        <w:rPr>
          <w:szCs w:val="24"/>
        </w:rPr>
        <w:sectPr>
          <w:headerReference w:type="even" r:id="rId8"/>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65"/>
        </w:sectPr>
      </w:pPr>
      <w:r w:rsidRPr="00F257DB">
        <w:rPr>
          <w:szCs w:val="24"/>
        </w:rPr>
        <w:t>(</w:t>
      </w:r>
      <w:r>
        <w:rPr>
          <w:szCs w:val="24"/>
        </w:rPr>
        <w:t>will</w:t>
      </w:r>
      <w:r w:rsidRPr="00F257DB">
        <w:rPr>
          <w:szCs w:val="24"/>
        </w:rPr>
        <w:t xml:space="preserve"> accept service via email)</w:t>
      </w:r>
    </w:p>
    <w:p w:rsidR="00614CD5" w:rsidP="00614CD5">
      <w:pPr>
        <w:jc w:val="center"/>
        <w:rPr>
          <w:b/>
          <w:bCs/>
          <w:u w:val="single"/>
        </w:rPr>
      </w:pPr>
      <w:r>
        <w:rPr>
          <w:b/>
          <w:bCs/>
          <w:u w:val="single"/>
        </w:rPr>
        <w:t>CERTIFICATE OF SERVICE</w:t>
      </w:r>
    </w:p>
    <w:p w:rsidR="00614CD5" w:rsidRPr="001E4C2F" w:rsidP="00614CD5">
      <w:pPr>
        <w:spacing w:line="480" w:lineRule="atLeast"/>
        <w:ind w:firstLine="720"/>
      </w:pPr>
      <w:r w:rsidRPr="001E4C2F">
        <w:t xml:space="preserve">I hereby certify that a copy of this Motion to Intervene was served on the persons stated below via electronic transmission, this </w:t>
      </w:r>
      <w:r w:rsidR="0055748E">
        <w:t>26th</w:t>
      </w:r>
      <w:r w:rsidR="00B636E0">
        <w:t xml:space="preserve"> </w:t>
      </w:r>
      <w:r w:rsidRPr="001E4C2F">
        <w:t xml:space="preserve">day of </w:t>
      </w:r>
      <w:r>
        <w:t>June</w:t>
      </w:r>
      <w:r w:rsidRPr="001E4C2F">
        <w:t xml:space="preserve"> 2017.</w:t>
      </w:r>
    </w:p>
    <w:p w:rsidR="00614CD5">
      <w:pPr>
        <w:spacing w:line="480" w:lineRule="atLeast"/>
      </w:pPr>
    </w:p>
    <w:p w:rsidR="00614CD5">
      <w:pPr>
        <w:tabs>
          <w:tab w:val="left" w:pos="4320"/>
        </w:tabs>
      </w:pPr>
      <w:r>
        <w:tab/>
      </w:r>
      <w:r>
        <w:rPr>
          <w:i/>
          <w:u w:val="single"/>
        </w:rPr>
        <w:t>/s/ Christopher M. Healey</w:t>
      </w:r>
      <w:r>
        <w:rPr>
          <w:i/>
          <w:u w:val="single"/>
        </w:rPr>
        <w:tab/>
      </w:r>
    </w:p>
    <w:p w:rsidR="00614CD5">
      <w:pPr>
        <w:tabs>
          <w:tab w:val="left" w:pos="4320"/>
        </w:tabs>
      </w:pPr>
      <w:r>
        <w:tab/>
        <w:t>Christopher M. Healey</w:t>
      </w:r>
    </w:p>
    <w:p w:rsidR="00614CD5">
      <w:pPr>
        <w:tabs>
          <w:tab w:val="left" w:pos="4320"/>
        </w:tabs>
      </w:pPr>
      <w:r>
        <w:tab/>
        <w:t>Assistant Consumers' Counsel</w:t>
      </w:r>
    </w:p>
    <w:p w:rsidR="00614CD5">
      <w:pPr>
        <w:pStyle w:val="CommentSubject"/>
      </w:pPr>
    </w:p>
    <w:p w:rsidR="00614CD5" w:rsidP="00614CD5">
      <w:pPr>
        <w:pStyle w:val="CommentText"/>
        <w:jc w:val="center"/>
        <w:rPr>
          <w:b/>
          <w:u w:val="single"/>
        </w:rPr>
      </w:pPr>
    </w:p>
    <w:p w:rsidR="00614CD5" w:rsidP="00614CD5">
      <w:pPr>
        <w:pStyle w:val="CommentText"/>
        <w:jc w:val="center"/>
        <w:rPr>
          <w:b/>
          <w:u w:val="single"/>
        </w:rPr>
      </w:pPr>
      <w:r w:rsidRPr="00FB7D74">
        <w:rPr>
          <w:b/>
          <w:u w:val="single"/>
        </w:rPr>
        <w:t>SERVICE LIST</w:t>
      </w:r>
    </w:p>
    <w:p w:rsidR="00F82766" w:rsidP="00614CD5">
      <w:pPr>
        <w:pStyle w:val="CommentText"/>
        <w:jc w:val="center"/>
        <w:rPr>
          <w:b/>
          <w:u w:val="single"/>
        </w:rPr>
      </w:pPr>
    </w:p>
    <w:p w:rsidR="00614CD5" w:rsidP="00614CD5">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4"/>
        <w:gridCol w:w="4226"/>
      </w:tblGrid>
      <w:tr w:rsidTr="00E14E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E14EBC" w:rsidP="00E14EBC">
            <w:pPr>
              <w:pStyle w:val="CommentText"/>
              <w:rPr>
                <w:b/>
                <w:u w:val="single"/>
              </w:rPr>
            </w:pPr>
            <w:r w:rsidRPr="00803F4F">
              <w:rPr>
                <w:rStyle w:val="DefaultParagraphFont"/>
              </w:rPr>
              <w:t>William.wright@ohioattorneygeneral.gov</w:t>
            </w:r>
            <w:r>
              <w:rPr>
                <w:b/>
                <w:u w:val="single"/>
              </w:rPr>
              <w:t xml:space="preserve"> </w:t>
            </w:r>
          </w:p>
          <w:p w:rsidR="00E14EBC" w:rsidP="00E14EBC">
            <w:pPr>
              <w:pStyle w:val="CommentText"/>
              <w:rPr>
                <w:b/>
                <w:u w:val="single"/>
              </w:rPr>
            </w:pPr>
          </w:p>
          <w:p w:rsidR="00E14EBC" w:rsidRPr="00E14EBC" w:rsidP="00E14EBC">
            <w:pPr>
              <w:pStyle w:val="CommentText"/>
            </w:pPr>
            <w:r w:rsidRPr="00E14EBC">
              <w:t>Attorney Examiner:</w:t>
            </w:r>
          </w:p>
          <w:p w:rsidR="00E14EBC" w:rsidP="00E14EBC">
            <w:pPr>
              <w:pStyle w:val="CommentText"/>
              <w:rPr>
                <w:b/>
                <w:u w:val="single"/>
              </w:rPr>
            </w:pPr>
            <w:r w:rsidRPr="00803F4F">
              <w:rPr>
                <w:rStyle w:val="DefaultParagraphFont"/>
              </w:rPr>
              <w:t>Greta.see@puc.state.oh.us</w:t>
            </w:r>
            <w:r>
              <w:rPr>
                <w:b/>
                <w:u w:val="single"/>
              </w:rPr>
              <w:t xml:space="preserve"> </w:t>
            </w:r>
          </w:p>
        </w:tc>
        <w:tc>
          <w:tcPr>
            <w:tcW w:w="4428" w:type="dxa"/>
          </w:tcPr>
          <w:p w:rsidR="00E14EBC" w:rsidP="00E14EBC">
            <w:pPr>
              <w:pStyle w:val="CommentText"/>
              <w:rPr>
                <w:b/>
                <w:u w:val="single"/>
              </w:rPr>
            </w:pPr>
            <w:r w:rsidRPr="00803F4F">
              <w:rPr>
                <w:rStyle w:val="DefaultParagraphFont"/>
              </w:rPr>
              <w:t>whitt@whitt-sturtevant.com</w:t>
            </w:r>
            <w:r>
              <w:rPr>
                <w:b/>
                <w:u w:val="single"/>
              </w:rPr>
              <w:t xml:space="preserve"> </w:t>
            </w:r>
          </w:p>
          <w:p w:rsidR="00E14EBC" w:rsidP="00E14EBC">
            <w:pPr>
              <w:pStyle w:val="CommentText"/>
              <w:rPr>
                <w:b/>
                <w:u w:val="single"/>
              </w:rPr>
            </w:pPr>
            <w:r w:rsidRPr="00803F4F">
              <w:rPr>
                <w:rStyle w:val="DefaultParagraphFont"/>
              </w:rPr>
              <w:t>campbell@whitt-sturtevant.com</w:t>
            </w:r>
            <w:r>
              <w:rPr>
                <w:b/>
                <w:u w:val="single"/>
              </w:rPr>
              <w:t xml:space="preserve"> </w:t>
            </w:r>
          </w:p>
          <w:p w:rsidR="00E14EBC" w:rsidP="00E14EBC">
            <w:pPr>
              <w:pStyle w:val="CommentText"/>
              <w:rPr>
                <w:b/>
                <w:u w:val="single"/>
              </w:rPr>
            </w:pPr>
            <w:r w:rsidRPr="00803F4F">
              <w:rPr>
                <w:rStyle w:val="DefaultParagraphFont"/>
              </w:rPr>
              <w:t>glover@whitt-sturtevant.com</w:t>
            </w:r>
            <w:r>
              <w:rPr>
                <w:b/>
                <w:u w:val="single"/>
              </w:rPr>
              <w:t xml:space="preserve"> </w:t>
            </w:r>
          </w:p>
        </w:tc>
      </w:tr>
    </w:tbl>
    <w:p w:rsidR="00614CD5" w:rsidP="00614CD5">
      <w:pPr>
        <w:pStyle w:val="CommentText"/>
        <w:jc w:val="center"/>
        <w:rPr>
          <w:b/>
          <w:u w:val="single"/>
        </w:rPr>
      </w:pPr>
    </w:p>
    <w:tbl>
      <w:tblPr>
        <w:tblW w:w="0" w:type="auto"/>
        <w:tblLook w:val="04A0"/>
      </w:tblPr>
      <w:tblGrid>
        <w:gridCol w:w="4320"/>
        <w:gridCol w:w="4320"/>
      </w:tblGrid>
      <w:tr w:rsidTr="00614CD5">
        <w:tblPrEx>
          <w:tblW w:w="0" w:type="auto"/>
          <w:tblLook w:val="04A0"/>
        </w:tblPrEx>
        <w:tc>
          <w:tcPr>
            <w:tcW w:w="4428" w:type="dxa"/>
            <w:shd w:val="clear" w:color="auto" w:fill="auto"/>
          </w:tcPr>
          <w:p w:rsidR="00614CD5" w:rsidRPr="00F7490A" w:rsidP="00614CD5">
            <w:pPr>
              <w:pStyle w:val="CommentText"/>
            </w:pPr>
          </w:p>
        </w:tc>
        <w:tc>
          <w:tcPr>
            <w:tcW w:w="4428" w:type="dxa"/>
            <w:shd w:val="clear" w:color="auto" w:fill="auto"/>
          </w:tcPr>
          <w:p w:rsidR="00614CD5" w:rsidRPr="00F7490A" w:rsidP="00614CD5">
            <w:pPr>
              <w:pStyle w:val="CommentText"/>
            </w:pPr>
          </w:p>
        </w:tc>
      </w:tr>
    </w:tbl>
    <w:p w:rsidR="00614CD5">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55748E">
    <w:pPr>
      <w:pStyle w:val="Footer"/>
      <w:jc w:val="center"/>
      <w:rPr>
        <w:sz w:val="24"/>
        <w:szCs w:val="24"/>
      </w:rPr>
    </w:pPr>
    <w:r w:rsidRPr="0055748E">
      <w:rPr>
        <w:rStyle w:val="PageNumber"/>
        <w:sz w:val="24"/>
        <w:szCs w:val="24"/>
      </w:rPr>
      <w:fldChar w:fldCharType="begin"/>
    </w:r>
    <w:r w:rsidRPr="0055748E">
      <w:rPr>
        <w:rStyle w:val="PageNumber"/>
        <w:sz w:val="24"/>
        <w:szCs w:val="24"/>
      </w:rPr>
      <w:instrText xml:space="preserve"> PAGE </w:instrText>
    </w:r>
    <w:r w:rsidRPr="0055748E">
      <w:rPr>
        <w:rStyle w:val="PageNumber"/>
        <w:sz w:val="24"/>
        <w:szCs w:val="24"/>
      </w:rPr>
      <w:fldChar w:fldCharType="separate"/>
    </w:r>
    <w:r w:rsidRPr="0055748E">
      <w:rPr>
        <w:rStyle w:val="PageNumber"/>
        <w:sz w:val="24"/>
        <w:szCs w:val="24"/>
      </w:rPr>
      <w:t>2</w:t>
    </w:r>
    <w:r w:rsidRPr="0055748E">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55748E">
    <w:pPr>
      <w:pStyle w:val="Footer"/>
      <w:framePr w:wrap="around" w:vAnchor="text" w:hAnchor="margin" w:xAlign="center" w:y="1"/>
      <w:jc w:val="center"/>
      <w:rPr>
        <w:rStyle w:val="PageNumber"/>
        <w:sz w:val="24"/>
        <w:szCs w:val="24"/>
      </w:rPr>
    </w:pPr>
    <w:r w:rsidRPr="0055748E">
      <w:rPr>
        <w:rStyle w:val="PageNumber"/>
        <w:sz w:val="24"/>
        <w:szCs w:val="24"/>
      </w:rPr>
      <w:fldChar w:fldCharType="begin"/>
    </w:r>
    <w:r w:rsidRPr="0055748E">
      <w:rPr>
        <w:rStyle w:val="PageNumber"/>
        <w:sz w:val="24"/>
        <w:szCs w:val="24"/>
      </w:rPr>
      <w:instrText xml:space="preserve">PAGE  </w:instrText>
    </w:r>
    <w:r w:rsidRPr="0055748E">
      <w:rPr>
        <w:rStyle w:val="PageNumber"/>
        <w:sz w:val="24"/>
        <w:szCs w:val="24"/>
      </w:rPr>
      <w:fldChar w:fldCharType="separate"/>
    </w:r>
    <w:r w:rsidRPr="0055748E">
      <w:rPr>
        <w:rStyle w:val="PageNumber"/>
        <w:sz w:val="24"/>
        <w:szCs w:val="24"/>
      </w:rPr>
      <w:t>4</w:t>
    </w:r>
    <w:r w:rsidRPr="0055748E">
      <w:rPr>
        <w:rStyle w:val="PageNumber"/>
        <w:sz w:val="24"/>
        <w:szCs w:val="24"/>
      </w:rPr>
      <w:fldChar w:fldCharType="end"/>
    </w:r>
  </w:p>
  <w:p w:rsidR="00614CD5" w:rsidRPr="0055748E">
    <w:pPr>
      <w:pStyle w:val="Footer"/>
      <w:framePr w:wrap="around" w:vAnchor="text" w:hAnchor="margin" w:xAlign="center" w:y="1"/>
      <w:rPr>
        <w:rStyle w:val="PageNumber"/>
      </w:rPr>
    </w:pPr>
  </w:p>
  <w:p w:rsidR="00614CD5" w:rsidRPr="005574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557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7286">
      <w:r>
        <w:separator/>
      </w:r>
    </w:p>
  </w:footnote>
  <w:footnote w:type="continuationSeparator" w:id="1">
    <w:p w:rsidR="00F17286">
      <w:r>
        <w:continuationSeparator/>
      </w:r>
    </w:p>
  </w:footnote>
  <w:footnote w:id="2">
    <w:p w:rsidR="00093AC2" w:rsidP="00E14EBC">
      <w:pPr>
        <w:pStyle w:val="FootnoteText"/>
        <w:spacing w:after="120"/>
      </w:pPr>
      <w:r>
        <w:rPr>
          <w:rStyle w:val="FootnoteReference"/>
        </w:rPr>
        <w:footnoteRef/>
      </w:r>
      <w:r>
        <w:t xml:space="preserve"> PUCO Staff </w:t>
      </w:r>
      <w:r w:rsidR="00C70864">
        <w:t>Letter</w:t>
      </w:r>
      <w:r>
        <w:t xml:space="preserve"> (June 5, 2017), Case No. 17-1372-GA-RDR.</w:t>
      </w:r>
    </w:p>
  </w:footnote>
  <w:footnote w:id="3">
    <w:p w:rsidR="00093AC2" w:rsidP="00E14EBC">
      <w:pPr>
        <w:pStyle w:val="FootnoteText"/>
        <w:spacing w:after="120"/>
      </w:pPr>
      <w:r>
        <w:rPr>
          <w:rStyle w:val="FootnoteReference"/>
        </w:rPr>
        <w:footnoteRef/>
      </w:r>
      <w:r>
        <w:t xml:space="preserve"> Id.</w:t>
      </w:r>
    </w:p>
  </w:footnote>
  <w:footnote w:id="4">
    <w:p w:rsidR="00C70864" w:rsidP="00E14EBC">
      <w:pPr>
        <w:pStyle w:val="FootnoteText"/>
        <w:spacing w:after="120"/>
      </w:pPr>
      <w:r>
        <w:rPr>
          <w:rStyle w:val="FootnoteReference"/>
        </w:rPr>
        <w:footnoteRef/>
      </w:r>
      <w:r>
        <w:t xml:space="preserve"> See supra note 1.</w:t>
      </w:r>
    </w:p>
  </w:footnote>
  <w:footnote w:id="5">
    <w:p w:rsidR="00C70864" w:rsidP="00E14EBC">
      <w:pPr>
        <w:pStyle w:val="FootnoteText"/>
        <w:spacing w:after="120"/>
      </w:pPr>
      <w:r>
        <w:rPr>
          <w:rStyle w:val="FootnoteReference"/>
        </w:rPr>
        <w:footnoteRef/>
      </w:r>
      <w:r>
        <w:t xml:space="preserve"> Id.</w:t>
      </w:r>
    </w:p>
  </w:footnote>
  <w:footnote w:id="6">
    <w:p w:rsidR="00C70864" w:rsidP="00E14EBC">
      <w:pPr>
        <w:pStyle w:val="FootnoteText"/>
        <w:spacing w:after="120"/>
      </w:pPr>
      <w:r>
        <w:rPr>
          <w:rStyle w:val="FootnoteReference"/>
        </w:rPr>
        <w:footnoteRef/>
      </w:r>
      <w:r>
        <w:t xml:space="preserve"> Id.</w:t>
      </w:r>
    </w:p>
  </w:footnote>
  <w:footnote w:id="7">
    <w:p w:rsidR="00614CD5" w:rsidRPr="00D72DC1" w:rsidP="00E14EBC">
      <w:pPr>
        <w:pStyle w:val="FootnoteText"/>
        <w:spacing w:after="120"/>
      </w:pPr>
      <w:r>
        <w:rPr>
          <w:rStyle w:val="FootnoteReference"/>
        </w:rPr>
        <w:footnoteRef/>
      </w:r>
      <w:r w:rsidRPr="003F5FD3">
        <w:rPr>
          <w:i/>
        </w:rPr>
        <w:t xml:space="preserve"> </w:t>
      </w:r>
      <w:r w:rsidRPr="00D72DC1">
        <w:t>See Ohio Consumers' Counsel v. Pub. Util. Comm., 111 Ohio St. 3d 384, 2006-Ohio-5853, ¶ 20 (2006).</w:t>
      </w:r>
    </w:p>
  </w:footnote>
  <w:footnote w:id="8">
    <w:p w:rsidR="00614CD5" w:rsidRPr="00D72DC1" w:rsidP="00E14EBC">
      <w:pPr>
        <w:pStyle w:val="FootnoteText"/>
        <w:spacing w:after="120"/>
      </w:pPr>
      <w:r w:rsidRPr="00D72DC1">
        <w:rPr>
          <w:rStyle w:val="FootnoteReference"/>
        </w:rPr>
        <w:footnoteRef/>
      </w:r>
      <w:r w:rsidRPr="00D72DC1">
        <w:t xml:space="preserve"> Id. ¶¶ 18-20.</w:t>
      </w:r>
    </w:p>
  </w:footnote>
  <w:footnote w:id="9">
    <w:p w:rsidR="00614CD5" w:rsidRPr="00D72DC1" w:rsidP="00E14EBC">
      <w:pPr>
        <w:pStyle w:val="FootnoteText"/>
        <w:spacing w:after="120"/>
      </w:pPr>
      <w:r w:rsidRPr="00D72DC1">
        <w:rPr>
          <w:rStyle w:val="FootnoteReference"/>
        </w:rPr>
        <w:footnoteRef/>
      </w:r>
      <w:r w:rsidRPr="00D72DC1">
        <w:t xml:space="preserve"> Id. ¶¶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DEO 17-1372 - OCC MTI  (00044975.DOCX;2)</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2017-06-26T15:19:06Z</dcterms:created>
  <dcterms:modified xsi:type="dcterms:W3CDTF">2017-06-26T15:19:06Z</dcterms:modified>
</cp:coreProperties>
</file>