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9.xml" ContentType="application/vnd.openxmlformats-officedocument.wordprocessingml.footer+xml"/>
  <Override PartName="/word/header14.xml" ContentType="application/vnd.openxmlformats-officedocument.wordprocessingml.header+xml"/>
  <Override PartName="/word/footer10.xml" ContentType="application/vnd.openxmlformats-officedocument.wordprocessingml.footer+xml"/>
  <Override PartName="/word/header15.xml" ContentType="application/vnd.openxmlformats-officedocument.wordprocessingml.header+xml"/>
  <Override PartName="/word/footer11.xml" ContentType="application/vnd.openxmlformats-officedocument.wordprocessingml.footer+xml"/>
  <Override PartName="/word/header16.xml" ContentType="application/vnd.openxmlformats-officedocument.wordprocessingml.header+xml"/>
  <Override PartName="/word/footer12.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3.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4.xml" ContentType="application/vnd.openxmlformats-officedocument.wordprocessingml.footer+xml"/>
  <Override PartName="/word/header21.xml" ContentType="application/vnd.openxmlformats-officedocument.wordprocessingml.header+xml"/>
  <Override PartName="/word/footer15.xml" ContentType="application/vnd.openxmlformats-officedocument.wordprocessingml.footer+xml"/>
  <Override PartName="/word/header22.xml" ContentType="application/vnd.openxmlformats-officedocument.wordprocessingml.header+xml"/>
  <Override PartName="/word/footer16.xml" ContentType="application/vnd.openxmlformats-officedocument.wordprocessingml.foot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D6A" w:rsidRPr="002D54AC" w:rsidRDefault="00663D6A" w:rsidP="00663D6A">
      <w:pPr>
        <w:jc w:val="center"/>
        <w:rPr>
          <w:b/>
          <w:sz w:val="26"/>
          <w:szCs w:val="26"/>
        </w:rPr>
      </w:pPr>
      <w:r w:rsidRPr="002D54AC">
        <w:rPr>
          <w:b/>
          <w:sz w:val="26"/>
          <w:szCs w:val="26"/>
        </w:rPr>
        <w:t>BEFORE</w:t>
      </w:r>
    </w:p>
    <w:p w:rsidR="00663D6A" w:rsidRPr="002D54AC" w:rsidRDefault="00663D6A" w:rsidP="00663D6A">
      <w:pPr>
        <w:jc w:val="center"/>
        <w:rPr>
          <w:b/>
          <w:sz w:val="26"/>
          <w:szCs w:val="26"/>
        </w:rPr>
      </w:pPr>
      <w:r w:rsidRPr="002D54AC">
        <w:rPr>
          <w:b/>
          <w:sz w:val="26"/>
          <w:szCs w:val="26"/>
        </w:rPr>
        <w:t xml:space="preserve">THE PUBLIC UTILITIES COMMISSION OF </w:t>
      </w:r>
      <w:smartTag w:uri="urn:schemas-microsoft-com:office:smarttags" w:element="place">
        <w:smartTag w:uri="urn:schemas-microsoft-com:office:smarttags" w:element="State">
          <w:r w:rsidRPr="002D54AC">
            <w:rPr>
              <w:b/>
              <w:sz w:val="26"/>
              <w:szCs w:val="26"/>
            </w:rPr>
            <w:t>OHIO</w:t>
          </w:r>
        </w:smartTag>
      </w:smartTag>
    </w:p>
    <w:p w:rsidR="00663D6A" w:rsidRDefault="00663D6A" w:rsidP="00663D6A">
      <w:pPr>
        <w:pStyle w:val="Title"/>
        <w:tabs>
          <w:tab w:val="left" w:pos="5130"/>
          <w:tab w:val="left" w:pos="5670"/>
        </w:tabs>
        <w:rPr>
          <w:rFonts w:ascii="Times New Roman" w:hAnsi="Times New Roman"/>
          <w:sz w:val="26"/>
          <w:szCs w:val="26"/>
        </w:rPr>
      </w:pPr>
    </w:p>
    <w:p w:rsidR="003B12DD" w:rsidRDefault="003B12DD" w:rsidP="00663D6A">
      <w:pPr>
        <w:pStyle w:val="Title"/>
        <w:tabs>
          <w:tab w:val="left" w:pos="5130"/>
          <w:tab w:val="left" w:pos="5670"/>
        </w:tabs>
        <w:rPr>
          <w:rFonts w:ascii="Times New Roman" w:hAnsi="Times New Roman"/>
          <w:sz w:val="26"/>
          <w:szCs w:val="26"/>
        </w:rPr>
      </w:pPr>
    </w:p>
    <w:p w:rsidR="003B12DD" w:rsidRDefault="003B12DD" w:rsidP="00663D6A">
      <w:pPr>
        <w:pStyle w:val="Title"/>
        <w:tabs>
          <w:tab w:val="left" w:pos="5130"/>
          <w:tab w:val="left" w:pos="5670"/>
        </w:tabs>
        <w:rPr>
          <w:rFonts w:ascii="Times New Roman" w:hAnsi="Times New Roman"/>
          <w:sz w:val="26"/>
          <w:szCs w:val="26"/>
        </w:rPr>
      </w:pPr>
    </w:p>
    <w:tbl>
      <w:tblPr>
        <w:tblW w:w="0" w:type="auto"/>
        <w:tblLook w:val="01E0" w:firstRow="1" w:lastRow="1" w:firstColumn="1" w:lastColumn="1" w:noHBand="0" w:noVBand="0"/>
      </w:tblPr>
      <w:tblGrid>
        <w:gridCol w:w="4689"/>
        <w:gridCol w:w="289"/>
        <w:gridCol w:w="4598"/>
      </w:tblGrid>
      <w:tr w:rsidR="00663D6A" w:rsidTr="00221496">
        <w:tc>
          <w:tcPr>
            <w:tcW w:w="4698" w:type="dxa"/>
          </w:tcPr>
          <w:p w:rsidR="001A5C2F" w:rsidRPr="00FF5711" w:rsidRDefault="00663D6A" w:rsidP="00FF5711">
            <w:pPr>
              <w:tabs>
                <w:tab w:val="left" w:pos="4410"/>
              </w:tabs>
              <w:autoSpaceDE w:val="0"/>
              <w:autoSpaceDN w:val="0"/>
              <w:adjustRightInd w:val="0"/>
              <w:rPr>
                <w:sz w:val="26"/>
                <w:szCs w:val="26"/>
              </w:rPr>
            </w:pPr>
            <w:r w:rsidRPr="00FF5711">
              <w:rPr>
                <w:sz w:val="26"/>
                <w:szCs w:val="26"/>
              </w:rPr>
              <w:t>In the Matter of</w:t>
            </w:r>
            <w:r w:rsidR="00FF5711">
              <w:rPr>
                <w:sz w:val="26"/>
                <w:szCs w:val="26"/>
              </w:rPr>
              <w:t xml:space="preserve"> </w:t>
            </w:r>
            <w:r w:rsidR="00FF5711" w:rsidRPr="00FF5711">
              <w:rPr>
                <w:sz w:val="26"/>
                <w:szCs w:val="26"/>
              </w:rPr>
              <w:t xml:space="preserve">the Joint Application of </w:t>
            </w:r>
            <w:r w:rsidR="00FF5711" w:rsidRPr="00FF5711">
              <w:rPr>
                <w:b/>
                <w:sz w:val="26"/>
                <w:szCs w:val="26"/>
              </w:rPr>
              <w:t>Ohio Edison Company, The Cleveland Electric Illuminating Company</w:t>
            </w:r>
            <w:r w:rsidR="00FF5711" w:rsidRPr="00FF5711">
              <w:rPr>
                <w:sz w:val="26"/>
                <w:szCs w:val="26"/>
              </w:rPr>
              <w:t xml:space="preserve">, and </w:t>
            </w:r>
            <w:r w:rsidR="00FF5711" w:rsidRPr="00FF5711">
              <w:rPr>
                <w:b/>
                <w:sz w:val="26"/>
                <w:szCs w:val="26"/>
              </w:rPr>
              <w:t>The Toledo Edison Company</w:t>
            </w:r>
            <w:r w:rsidR="00FF5711">
              <w:rPr>
                <w:sz w:val="26"/>
                <w:szCs w:val="26"/>
              </w:rPr>
              <w:t xml:space="preserve"> for Authority to </w:t>
            </w:r>
            <w:r w:rsidR="00FF5711" w:rsidRPr="00FF5711">
              <w:rPr>
                <w:sz w:val="26"/>
                <w:szCs w:val="26"/>
              </w:rPr>
              <w:t xml:space="preserve">Issue Phase-In-Recovery Bonds and Impose, Charge and Collect Phase-In-Recovery Charges and </w:t>
            </w:r>
            <w:r w:rsidR="00FF5711">
              <w:rPr>
                <w:sz w:val="26"/>
                <w:szCs w:val="26"/>
              </w:rPr>
              <w:t>f</w:t>
            </w:r>
            <w:r w:rsidR="00FF5711" w:rsidRPr="00FF5711">
              <w:rPr>
                <w:sz w:val="26"/>
                <w:szCs w:val="26"/>
              </w:rPr>
              <w:t>or Tariff and Bill Format Approvals Change</w:t>
            </w:r>
            <w:r w:rsidR="00FF5711">
              <w:rPr>
                <w:sz w:val="26"/>
                <w:szCs w:val="26"/>
              </w:rPr>
              <w:t>.</w:t>
            </w:r>
          </w:p>
        </w:tc>
        <w:tc>
          <w:tcPr>
            <w:tcW w:w="270" w:type="dxa"/>
          </w:tcPr>
          <w:p w:rsidR="00663D6A" w:rsidRPr="00221496" w:rsidRDefault="00663D6A" w:rsidP="00221496">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rsidR="00663D6A" w:rsidRPr="00221496" w:rsidRDefault="00663D6A" w:rsidP="00221496">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rsidR="001A5C2F" w:rsidRDefault="00663D6A" w:rsidP="00221496">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rsidR="00FF5711" w:rsidRDefault="00FF5711" w:rsidP="00221496">
            <w:pPr>
              <w:pStyle w:val="Title"/>
              <w:tabs>
                <w:tab w:val="left" w:pos="5130"/>
                <w:tab w:val="left" w:pos="5670"/>
              </w:tabs>
              <w:rPr>
                <w:rFonts w:ascii="Times New Roman" w:hAnsi="Times New Roman"/>
                <w:sz w:val="26"/>
                <w:szCs w:val="26"/>
              </w:rPr>
            </w:pPr>
            <w:r>
              <w:rPr>
                <w:rFonts w:ascii="Times New Roman" w:hAnsi="Times New Roman"/>
                <w:sz w:val="26"/>
                <w:szCs w:val="26"/>
              </w:rPr>
              <w:t>:</w:t>
            </w:r>
          </w:p>
          <w:p w:rsidR="00FF5711" w:rsidRDefault="00FF5711" w:rsidP="00221496">
            <w:pPr>
              <w:pStyle w:val="Title"/>
              <w:tabs>
                <w:tab w:val="left" w:pos="5130"/>
                <w:tab w:val="left" w:pos="5670"/>
              </w:tabs>
              <w:rPr>
                <w:rFonts w:ascii="Times New Roman" w:hAnsi="Times New Roman"/>
                <w:sz w:val="26"/>
                <w:szCs w:val="26"/>
              </w:rPr>
            </w:pPr>
            <w:r>
              <w:rPr>
                <w:rFonts w:ascii="Times New Roman" w:hAnsi="Times New Roman"/>
                <w:sz w:val="26"/>
                <w:szCs w:val="26"/>
              </w:rPr>
              <w:t>:</w:t>
            </w:r>
            <w:r>
              <w:rPr>
                <w:rFonts w:ascii="Times New Roman" w:hAnsi="Times New Roman"/>
                <w:sz w:val="26"/>
                <w:szCs w:val="26"/>
              </w:rPr>
              <w:br/>
              <w:t>:</w:t>
            </w:r>
          </w:p>
          <w:p w:rsidR="00FF5711" w:rsidRDefault="00FF5711" w:rsidP="00221496">
            <w:pPr>
              <w:pStyle w:val="Title"/>
              <w:tabs>
                <w:tab w:val="left" w:pos="5130"/>
                <w:tab w:val="left" w:pos="5670"/>
              </w:tabs>
              <w:rPr>
                <w:rFonts w:ascii="Times New Roman" w:hAnsi="Times New Roman"/>
                <w:sz w:val="26"/>
                <w:szCs w:val="26"/>
              </w:rPr>
            </w:pPr>
            <w:r>
              <w:rPr>
                <w:rFonts w:ascii="Times New Roman" w:hAnsi="Times New Roman"/>
                <w:sz w:val="26"/>
                <w:szCs w:val="26"/>
              </w:rPr>
              <w:t>:</w:t>
            </w:r>
          </w:p>
          <w:p w:rsidR="00FF5711" w:rsidRPr="00221496" w:rsidRDefault="00FF5711" w:rsidP="00221496">
            <w:pPr>
              <w:pStyle w:val="Title"/>
              <w:tabs>
                <w:tab w:val="left" w:pos="5130"/>
                <w:tab w:val="left" w:pos="5670"/>
              </w:tabs>
              <w:rPr>
                <w:rFonts w:ascii="Times New Roman" w:hAnsi="Times New Roman"/>
                <w:sz w:val="26"/>
                <w:szCs w:val="26"/>
              </w:rPr>
            </w:pPr>
            <w:r>
              <w:rPr>
                <w:rFonts w:ascii="Times New Roman" w:hAnsi="Times New Roman"/>
                <w:sz w:val="26"/>
                <w:szCs w:val="26"/>
              </w:rPr>
              <w:t>:</w:t>
            </w:r>
          </w:p>
        </w:tc>
        <w:tc>
          <w:tcPr>
            <w:tcW w:w="4608" w:type="dxa"/>
          </w:tcPr>
          <w:p w:rsidR="00FF5711" w:rsidRDefault="00FF5711" w:rsidP="00977F01">
            <w:pPr>
              <w:pStyle w:val="Title"/>
              <w:tabs>
                <w:tab w:val="left" w:pos="1142"/>
                <w:tab w:val="left" w:pos="5130"/>
                <w:tab w:val="left" w:pos="5670"/>
              </w:tabs>
              <w:jc w:val="left"/>
              <w:rPr>
                <w:rFonts w:ascii="Times New Roman" w:hAnsi="Times New Roman"/>
                <w:sz w:val="26"/>
                <w:szCs w:val="26"/>
              </w:rPr>
            </w:pPr>
          </w:p>
          <w:p w:rsidR="00FF5711" w:rsidRDefault="00FF5711" w:rsidP="00977F01">
            <w:pPr>
              <w:pStyle w:val="Title"/>
              <w:tabs>
                <w:tab w:val="left" w:pos="1142"/>
                <w:tab w:val="left" w:pos="5130"/>
                <w:tab w:val="left" w:pos="5670"/>
              </w:tabs>
              <w:jc w:val="left"/>
              <w:rPr>
                <w:rFonts w:ascii="Times New Roman" w:hAnsi="Times New Roman"/>
                <w:sz w:val="26"/>
                <w:szCs w:val="26"/>
              </w:rPr>
            </w:pPr>
          </w:p>
          <w:p w:rsidR="001A5C2F" w:rsidRPr="00221496" w:rsidRDefault="00663D6A" w:rsidP="00977F01">
            <w:pPr>
              <w:pStyle w:val="Title"/>
              <w:tabs>
                <w:tab w:val="left" w:pos="1142"/>
                <w:tab w:val="left" w:pos="5130"/>
                <w:tab w:val="left" w:pos="5670"/>
              </w:tabs>
              <w:jc w:val="left"/>
              <w:rPr>
                <w:rFonts w:ascii="Times New Roman" w:hAnsi="Times New Roman"/>
                <w:sz w:val="26"/>
                <w:szCs w:val="26"/>
              </w:rPr>
            </w:pPr>
            <w:r w:rsidRPr="00221496">
              <w:rPr>
                <w:rFonts w:ascii="Times New Roman" w:hAnsi="Times New Roman"/>
                <w:sz w:val="26"/>
                <w:szCs w:val="26"/>
              </w:rPr>
              <w:t xml:space="preserve">Case No. </w:t>
            </w:r>
            <w:r w:rsidR="00E10679">
              <w:rPr>
                <w:rFonts w:ascii="Times New Roman" w:hAnsi="Times New Roman"/>
                <w:sz w:val="26"/>
                <w:szCs w:val="26"/>
              </w:rPr>
              <w:tab/>
            </w:r>
            <w:r w:rsidR="00FF5711">
              <w:rPr>
                <w:rFonts w:ascii="Times New Roman" w:hAnsi="Times New Roman"/>
                <w:sz w:val="26"/>
                <w:szCs w:val="26"/>
              </w:rPr>
              <w:t>12-1465-EL-ATS</w:t>
            </w:r>
          </w:p>
        </w:tc>
      </w:tr>
    </w:tbl>
    <w:p w:rsidR="00663D6A" w:rsidRPr="002D54AC" w:rsidRDefault="00663D6A" w:rsidP="00663D6A">
      <w:pPr>
        <w:pStyle w:val="Title"/>
        <w:tabs>
          <w:tab w:val="left" w:pos="5130"/>
          <w:tab w:val="left" w:pos="5670"/>
        </w:tabs>
        <w:rPr>
          <w:rFonts w:ascii="Times New Roman" w:hAnsi="Times New Roman"/>
          <w:sz w:val="26"/>
          <w:szCs w:val="26"/>
        </w:rPr>
      </w:pPr>
    </w:p>
    <w:p w:rsidR="00663D6A" w:rsidRDefault="00663D6A" w:rsidP="00663D6A">
      <w:pPr>
        <w:pStyle w:val="Title"/>
        <w:tabs>
          <w:tab w:val="left" w:pos="5130"/>
          <w:tab w:val="left" w:pos="5670"/>
        </w:tabs>
        <w:jc w:val="left"/>
        <w:rPr>
          <w:rFonts w:ascii="Times New Roman" w:hAnsi="Times New Roman"/>
          <w:sz w:val="26"/>
          <w:szCs w:val="26"/>
        </w:rPr>
      </w:pPr>
    </w:p>
    <w:p w:rsidR="003B12DD" w:rsidRDefault="00E10679" w:rsidP="00E10679">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rsidR="00E10679" w:rsidRPr="00E10679" w:rsidRDefault="00FF5711" w:rsidP="00E10679">
      <w:pPr>
        <w:pStyle w:val="Title"/>
        <w:tabs>
          <w:tab w:val="left" w:pos="9360"/>
        </w:tabs>
        <w:rPr>
          <w:rFonts w:ascii="Times New Roman" w:hAnsi="Times New Roman"/>
          <w:b/>
          <w:sz w:val="32"/>
          <w:szCs w:val="32"/>
        </w:rPr>
      </w:pPr>
      <w:r>
        <w:rPr>
          <w:rFonts w:ascii="Times New Roman" w:hAnsi="Times New Roman"/>
          <w:b/>
          <w:sz w:val="32"/>
          <w:szCs w:val="32"/>
        </w:rPr>
        <w:t>COMMENTS AND RECOMMENDATIONS</w:t>
      </w:r>
    </w:p>
    <w:p w:rsidR="00663D6A" w:rsidRPr="00FF5711" w:rsidRDefault="00663D6A" w:rsidP="00FF5711">
      <w:pPr>
        <w:jc w:val="center"/>
        <w:rPr>
          <w:sz w:val="28"/>
          <w:szCs w:val="28"/>
        </w:rPr>
      </w:pPr>
      <w:bookmarkStart w:id="0" w:name="_Toc257632572"/>
      <w:bookmarkStart w:id="1" w:name="_Toc257632676"/>
      <w:bookmarkStart w:id="2" w:name="_Toc257637808"/>
      <w:bookmarkStart w:id="3" w:name="_Toc257798062"/>
      <w:bookmarkStart w:id="4" w:name="_Toc260124108"/>
      <w:bookmarkStart w:id="5" w:name="_Toc260125213"/>
      <w:bookmarkStart w:id="6" w:name="_Toc260212953"/>
      <w:r w:rsidRPr="00FF5711">
        <w:rPr>
          <w:sz w:val="28"/>
          <w:szCs w:val="28"/>
        </w:rPr>
        <w:t>SUBMITTED ON BEHALF OF THE STAFF OF</w:t>
      </w:r>
      <w:bookmarkEnd w:id="0"/>
      <w:bookmarkEnd w:id="1"/>
      <w:bookmarkEnd w:id="2"/>
      <w:bookmarkEnd w:id="3"/>
      <w:bookmarkEnd w:id="4"/>
      <w:bookmarkEnd w:id="5"/>
      <w:bookmarkEnd w:id="6"/>
    </w:p>
    <w:p w:rsidR="00663D6A" w:rsidRPr="00FF5711" w:rsidRDefault="00663D6A" w:rsidP="00FF5711">
      <w:pPr>
        <w:jc w:val="center"/>
        <w:rPr>
          <w:sz w:val="28"/>
          <w:szCs w:val="28"/>
        </w:rPr>
      </w:pPr>
      <w:bookmarkStart w:id="7" w:name="_Toc257632573"/>
      <w:bookmarkStart w:id="8" w:name="_Toc257632677"/>
      <w:bookmarkStart w:id="9" w:name="_Toc257637809"/>
      <w:bookmarkStart w:id="10" w:name="_Toc257798063"/>
      <w:bookmarkStart w:id="11" w:name="_Toc260124109"/>
      <w:bookmarkStart w:id="12" w:name="_Toc260125214"/>
      <w:bookmarkStart w:id="13" w:name="_Toc260212954"/>
      <w:r w:rsidRPr="00FF5711">
        <w:rPr>
          <w:sz w:val="28"/>
          <w:szCs w:val="28"/>
        </w:rPr>
        <w:t>THE PUBLIC UTILITIES COMMISSION OF OHIO</w:t>
      </w:r>
      <w:bookmarkEnd w:id="7"/>
      <w:bookmarkEnd w:id="8"/>
      <w:bookmarkEnd w:id="9"/>
      <w:bookmarkEnd w:id="10"/>
      <w:bookmarkEnd w:id="11"/>
      <w:bookmarkEnd w:id="12"/>
      <w:bookmarkEnd w:id="13"/>
    </w:p>
    <w:p w:rsidR="00E10679" w:rsidRDefault="00E10679" w:rsidP="00E10679">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rsidR="00E10679" w:rsidRPr="002D54AC" w:rsidRDefault="00E10679" w:rsidP="00663D6A">
      <w:pPr>
        <w:pStyle w:val="PlainText"/>
        <w:jc w:val="center"/>
        <w:outlineLvl w:val="0"/>
        <w:rPr>
          <w:rFonts w:ascii="Times New Roman" w:hAnsi="Times New Roman"/>
          <w:sz w:val="26"/>
          <w:szCs w:val="26"/>
        </w:rPr>
      </w:pPr>
    </w:p>
    <w:p w:rsidR="00663D6A" w:rsidRDefault="00E10679" w:rsidP="00E10679">
      <w:pPr>
        <w:pStyle w:val="Title"/>
        <w:tabs>
          <w:tab w:val="left" w:pos="4320"/>
        </w:tabs>
        <w:jc w:val="left"/>
        <w:rPr>
          <w:rFonts w:ascii="Times New Roman" w:hAnsi="Times New Roman"/>
          <w:b/>
          <w:sz w:val="26"/>
          <w:szCs w:val="26"/>
        </w:rPr>
      </w:pPr>
      <w:r>
        <w:rPr>
          <w:rFonts w:ascii="Times New Roman" w:hAnsi="Times New Roman"/>
          <w:sz w:val="26"/>
          <w:szCs w:val="26"/>
        </w:rPr>
        <w:tab/>
      </w:r>
      <w:r w:rsidR="00FF5711">
        <w:rPr>
          <w:rFonts w:ascii="Times New Roman" w:hAnsi="Times New Roman"/>
          <w:b/>
          <w:sz w:val="26"/>
          <w:szCs w:val="26"/>
        </w:rPr>
        <w:t>Michael DeWine</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 xml:space="preserve">Ohio </w:t>
      </w:r>
      <w:r w:rsidR="00721F2D">
        <w:rPr>
          <w:rFonts w:ascii="Times New Roman" w:hAnsi="Times New Roman"/>
          <w:sz w:val="26"/>
          <w:szCs w:val="26"/>
        </w:rPr>
        <w:t>Attorney</w:t>
      </w:r>
      <w:r>
        <w:rPr>
          <w:rFonts w:ascii="Times New Roman" w:hAnsi="Times New Roman"/>
          <w:sz w:val="26"/>
          <w:szCs w:val="26"/>
        </w:rPr>
        <w:t xml:space="preserve"> General</w:t>
      </w:r>
    </w:p>
    <w:p w:rsidR="00E10679" w:rsidRDefault="00E10679" w:rsidP="00E10679">
      <w:pPr>
        <w:pStyle w:val="Title"/>
        <w:tabs>
          <w:tab w:val="left" w:pos="4320"/>
        </w:tabs>
        <w:jc w:val="left"/>
        <w:rPr>
          <w:rFonts w:ascii="Times New Roman" w:hAnsi="Times New Roman"/>
          <w:sz w:val="26"/>
          <w:szCs w:val="26"/>
        </w:rPr>
      </w:pP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r>
      <w:r w:rsidR="00BC5B75">
        <w:rPr>
          <w:rFonts w:ascii="Times New Roman" w:hAnsi="Times New Roman"/>
          <w:b/>
          <w:sz w:val="26"/>
          <w:szCs w:val="26"/>
        </w:rPr>
        <w:t>William L. Wright</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Section Chief</w:t>
      </w:r>
    </w:p>
    <w:p w:rsidR="00E10679" w:rsidRDefault="00E10679" w:rsidP="00E10679">
      <w:pPr>
        <w:pStyle w:val="Title"/>
        <w:tabs>
          <w:tab w:val="left" w:pos="4320"/>
        </w:tabs>
        <w:jc w:val="left"/>
        <w:rPr>
          <w:rFonts w:ascii="Times New Roman" w:hAnsi="Times New Roman"/>
          <w:sz w:val="26"/>
          <w:szCs w:val="26"/>
        </w:rPr>
      </w:pPr>
    </w:p>
    <w:p w:rsidR="00E10679" w:rsidRDefault="00E10679" w:rsidP="00FF5711">
      <w:pPr>
        <w:pStyle w:val="Title"/>
        <w:tabs>
          <w:tab w:val="left" w:pos="4320"/>
        </w:tabs>
        <w:jc w:val="left"/>
        <w:rPr>
          <w:rFonts w:ascii="Times New Roman" w:hAnsi="Times New Roman"/>
          <w:b/>
          <w:sz w:val="26"/>
          <w:szCs w:val="26"/>
        </w:rPr>
      </w:pPr>
      <w:r>
        <w:rPr>
          <w:rFonts w:ascii="Times New Roman" w:hAnsi="Times New Roman"/>
          <w:sz w:val="26"/>
          <w:szCs w:val="26"/>
        </w:rPr>
        <w:tab/>
      </w:r>
      <w:r w:rsidR="00FF5711">
        <w:rPr>
          <w:rFonts w:ascii="Times New Roman" w:hAnsi="Times New Roman"/>
          <w:b/>
          <w:sz w:val="26"/>
          <w:szCs w:val="26"/>
        </w:rPr>
        <w:t>Thomas W. McNamee</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r>
      <w:r w:rsidR="00721F2D">
        <w:rPr>
          <w:rFonts w:ascii="Times New Roman" w:hAnsi="Times New Roman"/>
          <w:sz w:val="26"/>
          <w:szCs w:val="26"/>
        </w:rPr>
        <w:t>Assistant</w:t>
      </w:r>
      <w:r w:rsidR="00FF5711">
        <w:rPr>
          <w:rFonts w:ascii="Times New Roman" w:hAnsi="Times New Roman"/>
          <w:sz w:val="26"/>
          <w:szCs w:val="26"/>
        </w:rPr>
        <w:t xml:space="preserve"> Attorney</w:t>
      </w:r>
      <w:r>
        <w:rPr>
          <w:rFonts w:ascii="Times New Roman" w:hAnsi="Times New Roman"/>
          <w:sz w:val="26"/>
          <w:szCs w:val="26"/>
        </w:rPr>
        <w:t xml:space="preserve"> General</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 xml:space="preserve">Public </w:t>
      </w:r>
      <w:r w:rsidR="00721F2D">
        <w:rPr>
          <w:rFonts w:ascii="Times New Roman" w:hAnsi="Times New Roman"/>
          <w:sz w:val="26"/>
          <w:szCs w:val="26"/>
        </w:rPr>
        <w:t>Utilities</w:t>
      </w:r>
      <w:r>
        <w:rPr>
          <w:rFonts w:ascii="Times New Roman" w:hAnsi="Times New Roman"/>
          <w:sz w:val="26"/>
          <w:szCs w:val="26"/>
        </w:rPr>
        <w:t xml:space="preserve"> Section</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180 East Broad Street, 6</w:t>
      </w:r>
      <w:r w:rsidRPr="00E10679">
        <w:rPr>
          <w:rFonts w:ascii="Times New Roman" w:hAnsi="Times New Roman"/>
          <w:sz w:val="26"/>
          <w:szCs w:val="26"/>
          <w:vertAlign w:val="superscript"/>
        </w:rPr>
        <w:t>th</w:t>
      </w:r>
      <w:r>
        <w:rPr>
          <w:rFonts w:ascii="Times New Roman" w:hAnsi="Times New Roman"/>
          <w:sz w:val="26"/>
          <w:szCs w:val="26"/>
        </w:rPr>
        <w:t xml:space="preserve"> Floor</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Columbus, OH  43215-3793</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614.466.4397 (telephone)</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614.644.8764 (fax)</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r>
      <w:hyperlink r:id="rId9" w:history="1">
        <w:r w:rsidR="00FF5711" w:rsidRPr="00FD3B15">
          <w:rPr>
            <w:rStyle w:val="Hyperlink"/>
            <w:rFonts w:ascii="Times New Roman" w:hAnsi="Times New Roman"/>
            <w:sz w:val="26"/>
            <w:szCs w:val="26"/>
          </w:rPr>
          <w:t>thomas.mcnamee@puc.state.oh.us</w:t>
        </w:r>
      </w:hyperlink>
    </w:p>
    <w:p w:rsidR="00E10679" w:rsidRPr="00E10679" w:rsidRDefault="00E10679" w:rsidP="00E10679">
      <w:pPr>
        <w:pStyle w:val="Title"/>
        <w:tabs>
          <w:tab w:val="left" w:pos="4320"/>
        </w:tabs>
        <w:jc w:val="left"/>
        <w:rPr>
          <w:rFonts w:ascii="Times New Roman" w:hAnsi="Times New Roman"/>
          <w:sz w:val="26"/>
          <w:szCs w:val="26"/>
        </w:rPr>
      </w:pPr>
    </w:p>
    <w:p w:rsidR="00663D6A" w:rsidRPr="002D54AC" w:rsidRDefault="00663D6A" w:rsidP="00663D6A">
      <w:pPr>
        <w:pStyle w:val="Title"/>
        <w:tabs>
          <w:tab w:val="left" w:pos="5130"/>
          <w:tab w:val="left" w:pos="5670"/>
        </w:tabs>
        <w:jc w:val="left"/>
        <w:rPr>
          <w:rFonts w:ascii="Times New Roman" w:hAnsi="Times New Roman"/>
          <w:sz w:val="26"/>
          <w:szCs w:val="26"/>
        </w:rPr>
      </w:pPr>
    </w:p>
    <w:p w:rsidR="00663D6A" w:rsidRDefault="00663D6A" w:rsidP="00663D6A">
      <w:pPr>
        <w:pStyle w:val="Title"/>
        <w:tabs>
          <w:tab w:val="left" w:pos="5130"/>
          <w:tab w:val="left" w:pos="5670"/>
        </w:tabs>
        <w:jc w:val="left"/>
        <w:rPr>
          <w:rFonts w:ascii="Times New Roman" w:hAnsi="Times New Roman"/>
          <w:sz w:val="26"/>
          <w:szCs w:val="26"/>
        </w:rPr>
      </w:pPr>
    </w:p>
    <w:p w:rsidR="00FF5711" w:rsidRDefault="00FF5711" w:rsidP="00663D6A">
      <w:pPr>
        <w:pStyle w:val="Title"/>
        <w:tabs>
          <w:tab w:val="left" w:pos="5130"/>
          <w:tab w:val="left" w:pos="5670"/>
        </w:tabs>
        <w:jc w:val="left"/>
        <w:rPr>
          <w:rFonts w:ascii="Times New Roman" w:hAnsi="Times New Roman"/>
          <w:sz w:val="26"/>
          <w:szCs w:val="26"/>
        </w:rPr>
      </w:pPr>
    </w:p>
    <w:p w:rsidR="00FF5711" w:rsidRPr="002D54AC" w:rsidRDefault="00FF5711" w:rsidP="00663D6A">
      <w:pPr>
        <w:pStyle w:val="Title"/>
        <w:tabs>
          <w:tab w:val="left" w:pos="5130"/>
          <w:tab w:val="left" w:pos="5670"/>
        </w:tabs>
        <w:jc w:val="left"/>
        <w:rPr>
          <w:rFonts w:ascii="Times New Roman" w:hAnsi="Times New Roman"/>
          <w:sz w:val="26"/>
          <w:szCs w:val="26"/>
        </w:rPr>
      </w:pPr>
    </w:p>
    <w:p w:rsidR="00663D6A" w:rsidRPr="002D54AC" w:rsidRDefault="00FF5711" w:rsidP="004B6358">
      <w:pPr>
        <w:pStyle w:val="PlainText"/>
        <w:rPr>
          <w:rFonts w:ascii="Times New Roman" w:hAnsi="Times New Roman"/>
          <w:sz w:val="26"/>
          <w:szCs w:val="26"/>
        </w:rPr>
      </w:pPr>
      <w:r>
        <w:rPr>
          <w:rFonts w:ascii="Times New Roman" w:hAnsi="Times New Roman"/>
          <w:sz w:val="26"/>
          <w:szCs w:val="26"/>
        </w:rPr>
        <w:t>June 25, 2012</w:t>
      </w:r>
    </w:p>
    <w:p w:rsidR="003B12DD" w:rsidRDefault="003B12DD" w:rsidP="00663D6A">
      <w:pPr>
        <w:jc w:val="center"/>
        <w:rPr>
          <w:b/>
          <w:sz w:val="26"/>
          <w:szCs w:val="26"/>
        </w:rPr>
        <w:sectPr w:rsidR="003B12DD" w:rsidSect="003B12DD">
          <w:headerReference w:type="default" r:id="rId10"/>
          <w:footerReference w:type="default" r:id="rId11"/>
          <w:footnotePr>
            <w:numRestart w:val="eachSect"/>
          </w:footnotePr>
          <w:pgSz w:w="12240" w:h="15840" w:code="1"/>
          <w:pgMar w:top="1440" w:right="1440" w:bottom="1440" w:left="1440" w:header="720" w:footer="720" w:gutter="0"/>
          <w:pgNumType w:fmt="lowerRoman" w:start="1"/>
          <w:cols w:space="720"/>
          <w:titlePg/>
          <w:docGrid w:linePitch="360"/>
        </w:sectPr>
      </w:pPr>
    </w:p>
    <w:p w:rsidR="00D66F09" w:rsidRDefault="00A871EB">
      <w:pPr>
        <w:pStyle w:val="TOC1"/>
        <w:rPr>
          <w:rFonts w:asciiTheme="minorHAnsi" w:eastAsiaTheme="minorEastAsia" w:hAnsiTheme="minorHAnsi" w:cstheme="minorBidi"/>
          <w:noProof/>
          <w:sz w:val="22"/>
          <w:szCs w:val="22"/>
        </w:rPr>
      </w:pPr>
      <w:r>
        <w:rPr>
          <w:b/>
          <w:szCs w:val="26"/>
        </w:rPr>
        <w:lastRenderedPageBreak/>
        <w:fldChar w:fldCharType="begin"/>
      </w:r>
      <w:r>
        <w:rPr>
          <w:b/>
          <w:szCs w:val="26"/>
        </w:rPr>
        <w:instrText xml:space="preserve"> TOC \o "1-5" \u </w:instrText>
      </w:r>
      <w:r>
        <w:rPr>
          <w:b/>
          <w:szCs w:val="26"/>
        </w:rPr>
        <w:fldChar w:fldCharType="separate"/>
      </w:r>
      <w:r w:rsidR="00D66F09">
        <w:rPr>
          <w:noProof/>
        </w:rPr>
        <w:t>I.</w:t>
      </w:r>
      <w:r w:rsidR="00D66F09">
        <w:rPr>
          <w:rFonts w:asciiTheme="minorHAnsi" w:eastAsiaTheme="minorEastAsia" w:hAnsiTheme="minorHAnsi" w:cstheme="minorBidi"/>
          <w:noProof/>
          <w:sz w:val="22"/>
          <w:szCs w:val="22"/>
        </w:rPr>
        <w:tab/>
      </w:r>
      <w:r w:rsidR="00D66F09">
        <w:rPr>
          <w:noProof/>
        </w:rPr>
        <w:t>INTRODUCTION</w:t>
      </w:r>
      <w:r w:rsidR="00D66F09">
        <w:rPr>
          <w:noProof/>
        </w:rPr>
        <w:tab/>
      </w:r>
      <w:r w:rsidR="00D66F09">
        <w:rPr>
          <w:noProof/>
        </w:rPr>
        <w:fldChar w:fldCharType="begin"/>
      </w:r>
      <w:r w:rsidR="00D66F09">
        <w:rPr>
          <w:noProof/>
        </w:rPr>
        <w:instrText xml:space="preserve"> PAGEREF _Toc328397423 \h </w:instrText>
      </w:r>
      <w:r w:rsidR="00D66F09">
        <w:rPr>
          <w:noProof/>
        </w:rPr>
      </w:r>
      <w:r w:rsidR="00D66F09">
        <w:rPr>
          <w:noProof/>
        </w:rPr>
        <w:fldChar w:fldCharType="separate"/>
      </w:r>
      <w:r w:rsidR="00F6072A">
        <w:rPr>
          <w:noProof/>
        </w:rPr>
        <w:t>1</w:t>
      </w:r>
      <w:r w:rsidR="00D66F09">
        <w:rPr>
          <w:noProof/>
        </w:rPr>
        <w:fldChar w:fldCharType="end"/>
      </w:r>
    </w:p>
    <w:p w:rsidR="00D66F09" w:rsidRDefault="00D66F09">
      <w:pPr>
        <w:pStyle w:val="TOC1"/>
        <w:rPr>
          <w:rFonts w:asciiTheme="minorHAnsi" w:eastAsiaTheme="minorEastAsia" w:hAnsiTheme="minorHAnsi" w:cstheme="minorBidi"/>
          <w:noProof/>
          <w:sz w:val="22"/>
          <w:szCs w:val="22"/>
        </w:rPr>
      </w:pPr>
      <w:r>
        <w:rPr>
          <w:noProof/>
        </w:rPr>
        <w:t>II.</w:t>
      </w:r>
      <w:r>
        <w:rPr>
          <w:rFonts w:asciiTheme="minorHAnsi" w:eastAsiaTheme="minorEastAsia" w:hAnsiTheme="minorHAnsi" w:cstheme="minorBidi"/>
          <w:noProof/>
          <w:sz w:val="22"/>
          <w:szCs w:val="22"/>
        </w:rPr>
        <w:tab/>
      </w:r>
      <w:r>
        <w:rPr>
          <w:noProof/>
        </w:rPr>
        <w:t>BACKGROUND</w:t>
      </w:r>
      <w:r>
        <w:rPr>
          <w:noProof/>
        </w:rPr>
        <w:tab/>
      </w:r>
      <w:r>
        <w:rPr>
          <w:noProof/>
        </w:rPr>
        <w:fldChar w:fldCharType="begin"/>
      </w:r>
      <w:r>
        <w:rPr>
          <w:noProof/>
        </w:rPr>
        <w:instrText xml:space="preserve"> PAGEREF _Toc328397424 \h </w:instrText>
      </w:r>
      <w:r>
        <w:rPr>
          <w:noProof/>
        </w:rPr>
      </w:r>
      <w:r>
        <w:rPr>
          <w:noProof/>
        </w:rPr>
        <w:fldChar w:fldCharType="separate"/>
      </w:r>
      <w:r w:rsidR="00F6072A">
        <w:rPr>
          <w:noProof/>
        </w:rPr>
        <w:t>2</w:t>
      </w:r>
      <w:r>
        <w:rPr>
          <w:noProof/>
        </w:rPr>
        <w:fldChar w:fldCharType="end"/>
      </w:r>
    </w:p>
    <w:p w:rsidR="00D66F09" w:rsidRDefault="00D66F09">
      <w:pPr>
        <w:pStyle w:val="TOC2"/>
        <w:tabs>
          <w:tab w:val="left" w:pos="1440"/>
        </w:tabs>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Ohio Utility Securitization Law</w:t>
      </w:r>
      <w:r>
        <w:rPr>
          <w:noProof/>
        </w:rPr>
        <w:tab/>
      </w:r>
      <w:r>
        <w:rPr>
          <w:noProof/>
        </w:rPr>
        <w:fldChar w:fldCharType="begin"/>
      </w:r>
      <w:r>
        <w:rPr>
          <w:noProof/>
        </w:rPr>
        <w:instrText xml:space="preserve"> PAGEREF _Toc328397425 \h </w:instrText>
      </w:r>
      <w:r>
        <w:rPr>
          <w:noProof/>
        </w:rPr>
      </w:r>
      <w:r>
        <w:rPr>
          <w:noProof/>
        </w:rPr>
        <w:fldChar w:fldCharType="separate"/>
      </w:r>
      <w:r w:rsidR="00F6072A">
        <w:rPr>
          <w:noProof/>
        </w:rPr>
        <w:t>2</w:t>
      </w:r>
      <w:r>
        <w:rPr>
          <w:noProof/>
        </w:rPr>
        <w:fldChar w:fldCharType="end"/>
      </w:r>
    </w:p>
    <w:p w:rsidR="00D66F09" w:rsidRDefault="00D66F09">
      <w:pPr>
        <w:pStyle w:val="TOC2"/>
        <w:tabs>
          <w:tab w:val="left" w:pos="1440"/>
        </w:tabs>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Pr>
          <w:noProof/>
        </w:rPr>
        <w:t>Description of Proposed Transaction</w:t>
      </w:r>
      <w:r>
        <w:rPr>
          <w:noProof/>
        </w:rPr>
        <w:tab/>
      </w:r>
      <w:r>
        <w:rPr>
          <w:noProof/>
        </w:rPr>
        <w:fldChar w:fldCharType="begin"/>
      </w:r>
      <w:r>
        <w:rPr>
          <w:noProof/>
        </w:rPr>
        <w:instrText xml:space="preserve"> PAGEREF _Toc328397426 \h </w:instrText>
      </w:r>
      <w:r>
        <w:rPr>
          <w:noProof/>
        </w:rPr>
      </w:r>
      <w:r>
        <w:rPr>
          <w:noProof/>
        </w:rPr>
        <w:fldChar w:fldCharType="separate"/>
      </w:r>
      <w:r w:rsidR="00F6072A">
        <w:rPr>
          <w:noProof/>
        </w:rPr>
        <w:t>3</w:t>
      </w:r>
      <w:r>
        <w:rPr>
          <w:noProof/>
        </w:rPr>
        <w:fldChar w:fldCharType="end"/>
      </w:r>
    </w:p>
    <w:p w:rsidR="00D66F09" w:rsidRDefault="00D66F09">
      <w:pPr>
        <w:pStyle w:val="TOC1"/>
        <w:rPr>
          <w:rFonts w:asciiTheme="minorHAnsi" w:eastAsiaTheme="minorEastAsia" w:hAnsiTheme="minorHAnsi" w:cstheme="minorBidi"/>
          <w:noProof/>
          <w:sz w:val="22"/>
          <w:szCs w:val="22"/>
        </w:rPr>
      </w:pPr>
      <w:r>
        <w:rPr>
          <w:noProof/>
        </w:rPr>
        <w:t>III.</w:t>
      </w:r>
      <w:r>
        <w:rPr>
          <w:rFonts w:asciiTheme="minorHAnsi" w:eastAsiaTheme="minorEastAsia" w:hAnsiTheme="minorHAnsi" w:cstheme="minorBidi"/>
          <w:noProof/>
          <w:sz w:val="22"/>
          <w:szCs w:val="22"/>
        </w:rPr>
        <w:tab/>
      </w:r>
      <w:r>
        <w:rPr>
          <w:noProof/>
        </w:rPr>
        <w:t>FINANCING TERMS AND COSTS REVIEW AND RECOMMENDATIONS</w:t>
      </w:r>
      <w:r>
        <w:rPr>
          <w:noProof/>
        </w:rPr>
        <w:tab/>
      </w:r>
      <w:r>
        <w:rPr>
          <w:noProof/>
        </w:rPr>
        <w:fldChar w:fldCharType="begin"/>
      </w:r>
      <w:r>
        <w:rPr>
          <w:noProof/>
        </w:rPr>
        <w:instrText xml:space="preserve"> PAGEREF _Toc328397427 \h </w:instrText>
      </w:r>
      <w:r>
        <w:rPr>
          <w:noProof/>
        </w:rPr>
      </w:r>
      <w:r>
        <w:rPr>
          <w:noProof/>
        </w:rPr>
        <w:fldChar w:fldCharType="separate"/>
      </w:r>
      <w:r w:rsidR="00F6072A">
        <w:rPr>
          <w:noProof/>
        </w:rPr>
        <w:t>8</w:t>
      </w:r>
      <w:r>
        <w:rPr>
          <w:noProof/>
        </w:rPr>
        <w:fldChar w:fldCharType="end"/>
      </w:r>
    </w:p>
    <w:p w:rsidR="00D66F09" w:rsidRDefault="00D66F09">
      <w:pPr>
        <w:pStyle w:val="TOC2"/>
        <w:tabs>
          <w:tab w:val="left" w:pos="1440"/>
        </w:tabs>
        <w:rPr>
          <w:rFonts w:asciiTheme="minorHAnsi" w:eastAsiaTheme="minorEastAsia" w:hAnsiTheme="minorHAnsi" w:cstheme="minorBidi"/>
          <w:noProof/>
          <w:sz w:val="22"/>
          <w:szCs w:val="22"/>
        </w:rPr>
      </w:pPr>
      <w:r w:rsidRPr="005B3450">
        <w:rPr>
          <w:rFonts w:cs="Calibri-Bold"/>
          <w:noProof/>
        </w:rPr>
        <w:t>A.</w:t>
      </w:r>
      <w:r>
        <w:rPr>
          <w:rFonts w:asciiTheme="minorHAnsi" w:eastAsiaTheme="minorEastAsia" w:hAnsiTheme="minorHAnsi" w:cstheme="minorBidi"/>
          <w:noProof/>
          <w:sz w:val="22"/>
          <w:szCs w:val="22"/>
        </w:rPr>
        <w:tab/>
      </w:r>
      <w:r w:rsidRPr="005B3450">
        <w:rPr>
          <w:rFonts w:cs="Calibri-Bold"/>
          <w:noProof/>
        </w:rPr>
        <w:t xml:space="preserve">The Estimated </w:t>
      </w:r>
      <w:r>
        <w:rPr>
          <w:noProof/>
        </w:rPr>
        <w:t>Up-front and Ongoing Financing Costs:</w:t>
      </w:r>
      <w:r>
        <w:rPr>
          <w:noProof/>
        </w:rPr>
        <w:tab/>
      </w:r>
      <w:r>
        <w:rPr>
          <w:noProof/>
        </w:rPr>
        <w:fldChar w:fldCharType="begin"/>
      </w:r>
      <w:r>
        <w:rPr>
          <w:noProof/>
        </w:rPr>
        <w:instrText xml:space="preserve"> PAGEREF _Toc328397428 \h </w:instrText>
      </w:r>
      <w:r>
        <w:rPr>
          <w:noProof/>
        </w:rPr>
      </w:r>
      <w:r>
        <w:rPr>
          <w:noProof/>
        </w:rPr>
        <w:fldChar w:fldCharType="separate"/>
      </w:r>
      <w:r w:rsidR="00F6072A">
        <w:rPr>
          <w:noProof/>
        </w:rPr>
        <w:t>10</w:t>
      </w:r>
      <w:r>
        <w:rPr>
          <w:noProof/>
        </w:rPr>
        <w:fldChar w:fldCharType="end"/>
      </w:r>
    </w:p>
    <w:p w:rsidR="00D66F09" w:rsidRDefault="00D66F09">
      <w:pPr>
        <w:pStyle w:val="TOC2"/>
        <w:tabs>
          <w:tab w:val="left" w:pos="1440"/>
        </w:tabs>
        <w:rPr>
          <w:rFonts w:asciiTheme="minorHAnsi" w:eastAsiaTheme="minorEastAsia" w:hAnsiTheme="minorHAnsi" w:cstheme="minorBidi"/>
          <w:noProof/>
          <w:sz w:val="22"/>
          <w:szCs w:val="22"/>
        </w:rPr>
      </w:pPr>
      <w:r w:rsidRPr="005B3450">
        <w:rPr>
          <w:rFonts w:cs="Calibri-Bold"/>
          <w:noProof/>
        </w:rPr>
        <w:t>B.</w:t>
      </w:r>
      <w:r>
        <w:rPr>
          <w:rFonts w:asciiTheme="minorHAnsi" w:eastAsiaTheme="minorEastAsia" w:hAnsiTheme="minorHAnsi" w:cstheme="minorBidi"/>
          <w:noProof/>
          <w:sz w:val="22"/>
          <w:szCs w:val="22"/>
        </w:rPr>
        <w:tab/>
      </w:r>
      <w:r w:rsidRPr="005B3450">
        <w:rPr>
          <w:rFonts w:cs="Calibri-Bold"/>
          <w:noProof/>
        </w:rPr>
        <w:t>The Anticipated U</w:t>
      </w:r>
      <w:r>
        <w:rPr>
          <w:noProof/>
        </w:rPr>
        <w:t>se of the PIR Bond proceeds:</w:t>
      </w:r>
      <w:r>
        <w:rPr>
          <w:noProof/>
        </w:rPr>
        <w:tab/>
      </w:r>
      <w:r>
        <w:rPr>
          <w:noProof/>
        </w:rPr>
        <w:fldChar w:fldCharType="begin"/>
      </w:r>
      <w:r>
        <w:rPr>
          <w:noProof/>
        </w:rPr>
        <w:instrText xml:space="preserve"> PAGEREF _Toc328397429 \h </w:instrText>
      </w:r>
      <w:r>
        <w:rPr>
          <w:noProof/>
        </w:rPr>
      </w:r>
      <w:r>
        <w:rPr>
          <w:noProof/>
        </w:rPr>
        <w:fldChar w:fldCharType="separate"/>
      </w:r>
      <w:r w:rsidR="00F6072A">
        <w:rPr>
          <w:noProof/>
        </w:rPr>
        <w:t>11</w:t>
      </w:r>
      <w:r>
        <w:rPr>
          <w:noProof/>
        </w:rPr>
        <w:fldChar w:fldCharType="end"/>
      </w:r>
    </w:p>
    <w:p w:rsidR="00D66F09" w:rsidRDefault="00D66F09">
      <w:pPr>
        <w:pStyle w:val="TOC2"/>
        <w:tabs>
          <w:tab w:val="left" w:pos="1440"/>
        </w:tabs>
        <w:rPr>
          <w:rFonts w:asciiTheme="minorHAnsi" w:eastAsiaTheme="minorEastAsia" w:hAnsiTheme="minorHAnsi" w:cstheme="minorBidi"/>
          <w:noProof/>
          <w:sz w:val="22"/>
          <w:szCs w:val="22"/>
        </w:rPr>
      </w:pPr>
      <w:r>
        <w:rPr>
          <w:noProof/>
        </w:rPr>
        <w:t>C.</w:t>
      </w:r>
      <w:r>
        <w:rPr>
          <w:rFonts w:asciiTheme="minorHAnsi" w:eastAsiaTheme="minorEastAsia" w:hAnsiTheme="minorHAnsi" w:cstheme="minorBidi"/>
          <w:noProof/>
          <w:sz w:val="22"/>
          <w:szCs w:val="22"/>
        </w:rPr>
        <w:tab/>
      </w:r>
      <w:r>
        <w:rPr>
          <w:noProof/>
        </w:rPr>
        <w:t>Detailed Review and Analysis:</w:t>
      </w:r>
      <w:r>
        <w:rPr>
          <w:noProof/>
        </w:rPr>
        <w:tab/>
      </w:r>
      <w:r>
        <w:rPr>
          <w:noProof/>
        </w:rPr>
        <w:fldChar w:fldCharType="begin"/>
      </w:r>
      <w:r>
        <w:rPr>
          <w:noProof/>
        </w:rPr>
        <w:instrText xml:space="preserve"> PAGEREF _Toc328397430 \h </w:instrText>
      </w:r>
      <w:r>
        <w:rPr>
          <w:noProof/>
        </w:rPr>
      </w:r>
      <w:r>
        <w:rPr>
          <w:noProof/>
        </w:rPr>
        <w:fldChar w:fldCharType="separate"/>
      </w:r>
      <w:r w:rsidR="00F6072A">
        <w:rPr>
          <w:noProof/>
        </w:rPr>
        <w:t>11</w:t>
      </w:r>
      <w:r>
        <w:rPr>
          <w:noProof/>
        </w:rPr>
        <w:fldChar w:fldCharType="end"/>
      </w:r>
    </w:p>
    <w:p w:rsidR="00D66F09" w:rsidRDefault="00D66F09">
      <w:pPr>
        <w:pStyle w:val="TOC3"/>
        <w:tabs>
          <w:tab w:val="left" w:pos="2160"/>
        </w:tabs>
        <w:rPr>
          <w:rFonts w:asciiTheme="minorHAnsi" w:eastAsiaTheme="minorEastAsia" w:hAnsiTheme="minorHAnsi" w:cstheme="minorBidi"/>
          <w:noProof/>
          <w:sz w:val="22"/>
          <w:szCs w:val="22"/>
        </w:rPr>
      </w:pPr>
      <w:r>
        <w:rPr>
          <w:noProof/>
        </w:rPr>
        <w:t>1.</w:t>
      </w:r>
      <w:r>
        <w:rPr>
          <w:rFonts w:asciiTheme="minorHAnsi" w:eastAsiaTheme="minorEastAsia" w:hAnsiTheme="minorHAnsi" w:cstheme="minorBidi"/>
          <w:noProof/>
          <w:sz w:val="22"/>
          <w:szCs w:val="22"/>
        </w:rPr>
        <w:tab/>
      </w:r>
      <w:r>
        <w:rPr>
          <w:noProof/>
        </w:rPr>
        <w:t>The Total Revenue Test</w:t>
      </w:r>
      <w:r>
        <w:rPr>
          <w:noProof/>
        </w:rPr>
        <w:tab/>
      </w:r>
      <w:r>
        <w:rPr>
          <w:noProof/>
        </w:rPr>
        <w:fldChar w:fldCharType="begin"/>
      </w:r>
      <w:r>
        <w:rPr>
          <w:noProof/>
        </w:rPr>
        <w:instrText xml:space="preserve"> PAGEREF _Toc328397431 \h </w:instrText>
      </w:r>
      <w:r>
        <w:rPr>
          <w:noProof/>
        </w:rPr>
      </w:r>
      <w:r>
        <w:rPr>
          <w:noProof/>
        </w:rPr>
        <w:fldChar w:fldCharType="separate"/>
      </w:r>
      <w:r w:rsidR="00F6072A">
        <w:rPr>
          <w:noProof/>
        </w:rPr>
        <w:t>13</w:t>
      </w:r>
      <w:r>
        <w:rPr>
          <w:noProof/>
        </w:rPr>
        <w:fldChar w:fldCharType="end"/>
      </w:r>
    </w:p>
    <w:p w:rsidR="00D66F09" w:rsidRDefault="00D66F09">
      <w:pPr>
        <w:pStyle w:val="TOC3"/>
        <w:tabs>
          <w:tab w:val="left" w:pos="2160"/>
        </w:tabs>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The Present Value Test</w:t>
      </w:r>
      <w:r>
        <w:rPr>
          <w:noProof/>
        </w:rPr>
        <w:tab/>
      </w:r>
      <w:r>
        <w:rPr>
          <w:noProof/>
        </w:rPr>
        <w:fldChar w:fldCharType="begin"/>
      </w:r>
      <w:r>
        <w:rPr>
          <w:noProof/>
        </w:rPr>
        <w:instrText xml:space="preserve"> PAGEREF _Toc328397432 \h </w:instrText>
      </w:r>
      <w:r>
        <w:rPr>
          <w:noProof/>
        </w:rPr>
      </w:r>
      <w:r>
        <w:rPr>
          <w:noProof/>
        </w:rPr>
        <w:fldChar w:fldCharType="separate"/>
      </w:r>
      <w:r w:rsidR="00F6072A">
        <w:rPr>
          <w:noProof/>
        </w:rPr>
        <w:t>15</w:t>
      </w:r>
      <w:r>
        <w:rPr>
          <w:noProof/>
        </w:rPr>
        <w:fldChar w:fldCharType="end"/>
      </w:r>
    </w:p>
    <w:p w:rsidR="00D66F09" w:rsidRDefault="00D66F09">
      <w:pPr>
        <w:pStyle w:val="TOC3"/>
        <w:tabs>
          <w:tab w:val="left" w:pos="2160"/>
        </w:tabs>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The Proceeds Test</w:t>
      </w:r>
      <w:r>
        <w:rPr>
          <w:noProof/>
        </w:rPr>
        <w:tab/>
      </w:r>
      <w:r>
        <w:rPr>
          <w:noProof/>
        </w:rPr>
        <w:fldChar w:fldCharType="begin"/>
      </w:r>
      <w:r>
        <w:rPr>
          <w:noProof/>
        </w:rPr>
        <w:instrText xml:space="preserve"> PAGEREF _Toc328397433 \h </w:instrText>
      </w:r>
      <w:r>
        <w:rPr>
          <w:noProof/>
        </w:rPr>
      </w:r>
      <w:r>
        <w:rPr>
          <w:noProof/>
        </w:rPr>
        <w:fldChar w:fldCharType="separate"/>
      </w:r>
      <w:r w:rsidR="00F6072A">
        <w:rPr>
          <w:noProof/>
        </w:rPr>
        <w:t>15</w:t>
      </w:r>
      <w:r>
        <w:rPr>
          <w:noProof/>
        </w:rPr>
        <w:fldChar w:fldCharType="end"/>
      </w:r>
    </w:p>
    <w:p w:rsidR="00D66F09" w:rsidRDefault="00D66F09">
      <w:pPr>
        <w:pStyle w:val="TOC1"/>
        <w:rPr>
          <w:rFonts w:asciiTheme="minorHAnsi" w:eastAsiaTheme="minorEastAsia" w:hAnsiTheme="minorHAnsi" w:cstheme="minorBidi"/>
          <w:noProof/>
          <w:sz w:val="22"/>
          <w:szCs w:val="22"/>
        </w:rPr>
      </w:pPr>
      <w:r>
        <w:rPr>
          <w:noProof/>
        </w:rPr>
        <w:t>IV.</w:t>
      </w:r>
      <w:r>
        <w:rPr>
          <w:rFonts w:asciiTheme="minorHAnsi" w:eastAsiaTheme="minorEastAsia" w:hAnsiTheme="minorHAnsi" w:cstheme="minorBidi"/>
          <w:noProof/>
          <w:sz w:val="22"/>
          <w:szCs w:val="22"/>
        </w:rPr>
        <w:tab/>
      </w:r>
      <w:r>
        <w:rPr>
          <w:noProof/>
        </w:rPr>
        <w:t>DEBT RETIREMENT COSTS REVIEW</w:t>
      </w:r>
      <w:r>
        <w:rPr>
          <w:noProof/>
        </w:rPr>
        <w:tab/>
      </w:r>
      <w:r>
        <w:rPr>
          <w:noProof/>
        </w:rPr>
        <w:fldChar w:fldCharType="begin"/>
      </w:r>
      <w:r>
        <w:rPr>
          <w:noProof/>
        </w:rPr>
        <w:instrText xml:space="preserve"> PAGEREF _Toc328397434 \h </w:instrText>
      </w:r>
      <w:r>
        <w:rPr>
          <w:noProof/>
        </w:rPr>
      </w:r>
      <w:r>
        <w:rPr>
          <w:noProof/>
        </w:rPr>
        <w:fldChar w:fldCharType="separate"/>
      </w:r>
      <w:r w:rsidR="00F6072A">
        <w:rPr>
          <w:noProof/>
        </w:rPr>
        <w:t>16</w:t>
      </w:r>
      <w:r>
        <w:rPr>
          <w:noProof/>
        </w:rPr>
        <w:fldChar w:fldCharType="end"/>
      </w:r>
    </w:p>
    <w:p w:rsidR="00D66F09" w:rsidRDefault="00D66F09">
      <w:pPr>
        <w:pStyle w:val="TOC1"/>
        <w:rPr>
          <w:rFonts w:asciiTheme="minorHAnsi" w:eastAsiaTheme="minorEastAsia" w:hAnsiTheme="minorHAnsi" w:cstheme="minorBidi"/>
          <w:noProof/>
          <w:sz w:val="22"/>
          <w:szCs w:val="22"/>
        </w:rPr>
      </w:pPr>
      <w:r>
        <w:rPr>
          <w:noProof/>
        </w:rPr>
        <w:t>V.</w:t>
      </w:r>
      <w:r>
        <w:rPr>
          <w:rFonts w:asciiTheme="minorHAnsi" w:eastAsiaTheme="minorEastAsia" w:hAnsiTheme="minorHAnsi" w:cstheme="minorBidi"/>
          <w:noProof/>
          <w:sz w:val="22"/>
          <w:szCs w:val="22"/>
        </w:rPr>
        <w:tab/>
      </w:r>
      <w:r>
        <w:rPr>
          <w:noProof/>
        </w:rPr>
        <w:t>BOND STRUCTURING AND PRICING REVIEW</w:t>
      </w:r>
      <w:r>
        <w:rPr>
          <w:noProof/>
        </w:rPr>
        <w:tab/>
      </w:r>
      <w:r>
        <w:rPr>
          <w:noProof/>
        </w:rPr>
        <w:fldChar w:fldCharType="begin"/>
      </w:r>
      <w:r>
        <w:rPr>
          <w:noProof/>
        </w:rPr>
        <w:instrText xml:space="preserve"> PAGEREF _Toc328397435 \h </w:instrText>
      </w:r>
      <w:r>
        <w:rPr>
          <w:noProof/>
        </w:rPr>
      </w:r>
      <w:r>
        <w:rPr>
          <w:noProof/>
        </w:rPr>
        <w:fldChar w:fldCharType="separate"/>
      </w:r>
      <w:r w:rsidR="00F6072A">
        <w:rPr>
          <w:noProof/>
        </w:rPr>
        <w:t>17</w:t>
      </w:r>
      <w:r>
        <w:rPr>
          <w:noProof/>
        </w:rPr>
        <w:fldChar w:fldCharType="end"/>
      </w:r>
    </w:p>
    <w:p w:rsidR="00D66F09" w:rsidRDefault="00D66F09">
      <w:pPr>
        <w:pStyle w:val="TOC1"/>
        <w:rPr>
          <w:rFonts w:asciiTheme="minorHAnsi" w:eastAsiaTheme="minorEastAsia" w:hAnsiTheme="minorHAnsi" w:cstheme="minorBidi"/>
          <w:noProof/>
          <w:sz w:val="22"/>
          <w:szCs w:val="22"/>
        </w:rPr>
      </w:pPr>
      <w:r>
        <w:rPr>
          <w:noProof/>
        </w:rPr>
        <w:t>VI.</w:t>
      </w:r>
      <w:r>
        <w:rPr>
          <w:rFonts w:asciiTheme="minorHAnsi" w:eastAsiaTheme="minorEastAsia" w:hAnsiTheme="minorHAnsi" w:cstheme="minorBidi"/>
          <w:noProof/>
          <w:sz w:val="22"/>
          <w:szCs w:val="22"/>
        </w:rPr>
        <w:tab/>
      </w:r>
      <w:r>
        <w:rPr>
          <w:noProof/>
        </w:rPr>
        <w:t>STAFF COMMENTS AND RECOMMENDATIONS REGARDING FINANCING COSTS</w:t>
      </w:r>
      <w:r>
        <w:rPr>
          <w:noProof/>
        </w:rPr>
        <w:tab/>
      </w:r>
      <w:r>
        <w:rPr>
          <w:noProof/>
        </w:rPr>
        <w:fldChar w:fldCharType="begin"/>
      </w:r>
      <w:r>
        <w:rPr>
          <w:noProof/>
        </w:rPr>
        <w:instrText xml:space="preserve"> PAGEREF _Toc328397436 \h </w:instrText>
      </w:r>
      <w:r>
        <w:rPr>
          <w:noProof/>
        </w:rPr>
      </w:r>
      <w:r>
        <w:rPr>
          <w:noProof/>
        </w:rPr>
        <w:fldChar w:fldCharType="separate"/>
      </w:r>
      <w:r w:rsidR="00F6072A">
        <w:rPr>
          <w:noProof/>
        </w:rPr>
        <w:t>18</w:t>
      </w:r>
      <w:r>
        <w:rPr>
          <w:noProof/>
        </w:rPr>
        <w:fldChar w:fldCharType="end"/>
      </w:r>
    </w:p>
    <w:p w:rsidR="00D66F09" w:rsidRDefault="00D66F09">
      <w:pPr>
        <w:pStyle w:val="TOC1"/>
        <w:rPr>
          <w:rFonts w:asciiTheme="minorHAnsi" w:eastAsiaTheme="minorEastAsia" w:hAnsiTheme="minorHAnsi" w:cstheme="minorBidi"/>
          <w:noProof/>
          <w:sz w:val="22"/>
          <w:szCs w:val="22"/>
        </w:rPr>
      </w:pPr>
      <w:r>
        <w:rPr>
          <w:noProof/>
        </w:rPr>
        <w:t>VII.</w:t>
      </w:r>
      <w:r>
        <w:rPr>
          <w:rFonts w:asciiTheme="minorHAnsi" w:eastAsiaTheme="minorEastAsia" w:hAnsiTheme="minorHAnsi" w:cstheme="minorBidi"/>
          <w:noProof/>
          <w:sz w:val="22"/>
          <w:szCs w:val="22"/>
        </w:rPr>
        <w:tab/>
      </w:r>
      <w:r>
        <w:rPr>
          <w:noProof/>
        </w:rPr>
        <w:t>PIR DEFERRED BALANCES ESTIMATION AND RECONCILIATION MECHANISM REVIEW AND RECOMMENDATION</w:t>
      </w:r>
      <w:r>
        <w:rPr>
          <w:noProof/>
        </w:rPr>
        <w:tab/>
      </w:r>
      <w:r>
        <w:rPr>
          <w:noProof/>
        </w:rPr>
        <w:fldChar w:fldCharType="begin"/>
      </w:r>
      <w:r>
        <w:rPr>
          <w:noProof/>
        </w:rPr>
        <w:instrText xml:space="preserve"> PAGEREF _Toc328397437 \h </w:instrText>
      </w:r>
      <w:r>
        <w:rPr>
          <w:noProof/>
        </w:rPr>
      </w:r>
      <w:r>
        <w:rPr>
          <w:noProof/>
        </w:rPr>
        <w:fldChar w:fldCharType="separate"/>
      </w:r>
      <w:r w:rsidR="00F6072A">
        <w:rPr>
          <w:noProof/>
        </w:rPr>
        <w:t>23</w:t>
      </w:r>
      <w:r>
        <w:rPr>
          <w:noProof/>
        </w:rPr>
        <w:fldChar w:fldCharType="end"/>
      </w:r>
    </w:p>
    <w:p w:rsidR="00D66F09" w:rsidRDefault="00D66F09">
      <w:pPr>
        <w:pStyle w:val="TOC2"/>
        <w:tabs>
          <w:tab w:val="left" w:pos="1440"/>
        </w:tabs>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Estimated Deferral Balances Subject to Securitization</w:t>
      </w:r>
      <w:r>
        <w:rPr>
          <w:noProof/>
        </w:rPr>
        <w:tab/>
      </w:r>
      <w:r>
        <w:rPr>
          <w:noProof/>
        </w:rPr>
        <w:fldChar w:fldCharType="begin"/>
      </w:r>
      <w:r>
        <w:rPr>
          <w:noProof/>
        </w:rPr>
        <w:instrText xml:space="preserve"> PAGEREF _Toc328397438 \h </w:instrText>
      </w:r>
      <w:r>
        <w:rPr>
          <w:noProof/>
        </w:rPr>
      </w:r>
      <w:r>
        <w:rPr>
          <w:noProof/>
        </w:rPr>
        <w:fldChar w:fldCharType="separate"/>
      </w:r>
      <w:r w:rsidR="00F6072A">
        <w:rPr>
          <w:noProof/>
        </w:rPr>
        <w:t>23</w:t>
      </w:r>
      <w:r>
        <w:rPr>
          <w:noProof/>
        </w:rPr>
        <w:fldChar w:fldCharType="end"/>
      </w:r>
    </w:p>
    <w:p w:rsidR="00D66F09" w:rsidRDefault="00D66F09">
      <w:pPr>
        <w:pStyle w:val="TOC2"/>
        <w:tabs>
          <w:tab w:val="left" w:pos="1440"/>
        </w:tabs>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Pr>
          <w:noProof/>
        </w:rPr>
        <w:t>Securitization Structure and Documentation</w:t>
      </w:r>
      <w:r>
        <w:rPr>
          <w:noProof/>
        </w:rPr>
        <w:tab/>
      </w:r>
      <w:r>
        <w:rPr>
          <w:noProof/>
        </w:rPr>
        <w:fldChar w:fldCharType="begin"/>
      </w:r>
      <w:r>
        <w:rPr>
          <w:noProof/>
        </w:rPr>
        <w:instrText xml:space="preserve"> PAGEREF _Toc328397439 \h </w:instrText>
      </w:r>
      <w:r>
        <w:rPr>
          <w:noProof/>
        </w:rPr>
      </w:r>
      <w:r>
        <w:rPr>
          <w:noProof/>
        </w:rPr>
        <w:fldChar w:fldCharType="separate"/>
      </w:r>
      <w:r w:rsidR="00F6072A">
        <w:rPr>
          <w:noProof/>
        </w:rPr>
        <w:t>23</w:t>
      </w:r>
      <w:r>
        <w:rPr>
          <w:noProof/>
        </w:rPr>
        <w:fldChar w:fldCharType="end"/>
      </w:r>
    </w:p>
    <w:p w:rsidR="00D66F09" w:rsidRDefault="00D66F09">
      <w:pPr>
        <w:pStyle w:val="TOC2"/>
        <w:tabs>
          <w:tab w:val="left" w:pos="1440"/>
        </w:tabs>
        <w:rPr>
          <w:rFonts w:asciiTheme="minorHAnsi" w:eastAsiaTheme="minorEastAsia" w:hAnsiTheme="minorHAnsi" w:cstheme="minorBidi"/>
          <w:noProof/>
          <w:sz w:val="22"/>
          <w:szCs w:val="22"/>
        </w:rPr>
      </w:pPr>
      <w:r>
        <w:rPr>
          <w:noProof/>
        </w:rPr>
        <w:t>C.</w:t>
      </w:r>
      <w:r>
        <w:rPr>
          <w:rFonts w:asciiTheme="minorHAnsi" w:eastAsiaTheme="minorEastAsia" w:hAnsiTheme="minorHAnsi" w:cstheme="minorBidi"/>
          <w:noProof/>
          <w:sz w:val="22"/>
          <w:szCs w:val="22"/>
        </w:rPr>
        <w:tab/>
      </w:r>
      <w:r>
        <w:rPr>
          <w:noProof/>
        </w:rPr>
        <w:t>Securitization Structure and Documentation - (Accumulated Deferred Income Tax)</w:t>
      </w:r>
      <w:r>
        <w:rPr>
          <w:noProof/>
        </w:rPr>
        <w:tab/>
      </w:r>
      <w:r>
        <w:rPr>
          <w:noProof/>
        </w:rPr>
        <w:fldChar w:fldCharType="begin"/>
      </w:r>
      <w:r>
        <w:rPr>
          <w:noProof/>
        </w:rPr>
        <w:instrText xml:space="preserve"> PAGEREF _Toc328397440 \h </w:instrText>
      </w:r>
      <w:r>
        <w:rPr>
          <w:noProof/>
        </w:rPr>
      </w:r>
      <w:r>
        <w:rPr>
          <w:noProof/>
        </w:rPr>
        <w:fldChar w:fldCharType="separate"/>
      </w:r>
      <w:r w:rsidR="00F6072A">
        <w:rPr>
          <w:noProof/>
        </w:rPr>
        <w:t>24</w:t>
      </w:r>
      <w:r>
        <w:rPr>
          <w:noProof/>
        </w:rPr>
        <w:fldChar w:fldCharType="end"/>
      </w:r>
    </w:p>
    <w:p w:rsidR="00D66F09" w:rsidRDefault="00D66F09">
      <w:pPr>
        <w:pStyle w:val="TOC2"/>
        <w:tabs>
          <w:tab w:val="left" w:pos="1440"/>
        </w:tabs>
        <w:rPr>
          <w:rFonts w:asciiTheme="minorHAnsi" w:eastAsiaTheme="minorEastAsia" w:hAnsiTheme="minorHAnsi" w:cstheme="minorBidi"/>
          <w:noProof/>
          <w:sz w:val="22"/>
          <w:szCs w:val="22"/>
        </w:rPr>
      </w:pPr>
      <w:r>
        <w:rPr>
          <w:noProof/>
        </w:rPr>
        <w:t>D.</w:t>
      </w:r>
      <w:r>
        <w:rPr>
          <w:rFonts w:asciiTheme="minorHAnsi" w:eastAsiaTheme="minorEastAsia" w:hAnsiTheme="minorHAnsi" w:cstheme="minorBidi"/>
          <w:noProof/>
          <w:sz w:val="22"/>
          <w:szCs w:val="22"/>
        </w:rPr>
        <w:tab/>
      </w:r>
      <w:r>
        <w:rPr>
          <w:noProof/>
        </w:rPr>
        <w:t>Estimated Comparison of Existing Rate Making and Securitization</w:t>
      </w:r>
      <w:r>
        <w:rPr>
          <w:noProof/>
        </w:rPr>
        <w:tab/>
      </w:r>
      <w:r>
        <w:rPr>
          <w:noProof/>
        </w:rPr>
        <w:fldChar w:fldCharType="begin"/>
      </w:r>
      <w:r>
        <w:rPr>
          <w:noProof/>
        </w:rPr>
        <w:instrText xml:space="preserve"> PAGEREF _Toc328397441 \h </w:instrText>
      </w:r>
      <w:r>
        <w:rPr>
          <w:noProof/>
        </w:rPr>
      </w:r>
      <w:r>
        <w:rPr>
          <w:noProof/>
        </w:rPr>
        <w:fldChar w:fldCharType="separate"/>
      </w:r>
      <w:r w:rsidR="00F6072A">
        <w:rPr>
          <w:noProof/>
        </w:rPr>
        <w:t>25</w:t>
      </w:r>
      <w:r>
        <w:rPr>
          <w:noProof/>
        </w:rPr>
        <w:fldChar w:fldCharType="end"/>
      </w:r>
    </w:p>
    <w:p w:rsidR="00D66F09" w:rsidRDefault="00D66F09">
      <w:pPr>
        <w:pStyle w:val="TOC2"/>
        <w:tabs>
          <w:tab w:val="left" w:pos="1440"/>
        </w:tabs>
        <w:rPr>
          <w:rFonts w:asciiTheme="minorHAnsi" w:eastAsiaTheme="minorEastAsia" w:hAnsiTheme="minorHAnsi" w:cstheme="minorBidi"/>
          <w:noProof/>
          <w:sz w:val="22"/>
          <w:szCs w:val="22"/>
        </w:rPr>
      </w:pPr>
      <w:r>
        <w:rPr>
          <w:noProof/>
        </w:rPr>
        <w:t>E.</w:t>
      </w:r>
      <w:r>
        <w:rPr>
          <w:rFonts w:asciiTheme="minorHAnsi" w:eastAsiaTheme="minorEastAsia" w:hAnsiTheme="minorHAnsi" w:cstheme="minorBidi"/>
          <w:noProof/>
          <w:sz w:val="22"/>
          <w:szCs w:val="22"/>
        </w:rPr>
        <w:tab/>
      </w:r>
      <w:r>
        <w:rPr>
          <w:noProof/>
        </w:rPr>
        <w:t>Rider PIR Reconciliation Mechanism</w:t>
      </w:r>
      <w:r>
        <w:rPr>
          <w:noProof/>
        </w:rPr>
        <w:tab/>
      </w:r>
      <w:r>
        <w:rPr>
          <w:noProof/>
        </w:rPr>
        <w:fldChar w:fldCharType="begin"/>
      </w:r>
      <w:r>
        <w:rPr>
          <w:noProof/>
        </w:rPr>
        <w:instrText xml:space="preserve"> PAGEREF _Toc328397442 \h </w:instrText>
      </w:r>
      <w:r>
        <w:rPr>
          <w:noProof/>
        </w:rPr>
      </w:r>
      <w:r>
        <w:rPr>
          <w:noProof/>
        </w:rPr>
        <w:fldChar w:fldCharType="separate"/>
      </w:r>
      <w:r w:rsidR="00F6072A">
        <w:rPr>
          <w:noProof/>
        </w:rPr>
        <w:t>26</w:t>
      </w:r>
      <w:r>
        <w:rPr>
          <w:noProof/>
        </w:rPr>
        <w:fldChar w:fldCharType="end"/>
      </w:r>
    </w:p>
    <w:p w:rsidR="00D66F09" w:rsidRDefault="00D66F09">
      <w:pPr>
        <w:pStyle w:val="TOC1"/>
        <w:rPr>
          <w:rFonts w:asciiTheme="minorHAnsi" w:eastAsiaTheme="minorEastAsia" w:hAnsiTheme="minorHAnsi" w:cstheme="minorBidi"/>
          <w:noProof/>
          <w:sz w:val="22"/>
          <w:szCs w:val="22"/>
        </w:rPr>
      </w:pPr>
      <w:r>
        <w:rPr>
          <w:noProof/>
        </w:rPr>
        <w:lastRenderedPageBreak/>
        <w:t>VIII.</w:t>
      </w:r>
      <w:r>
        <w:rPr>
          <w:rFonts w:asciiTheme="minorHAnsi" w:eastAsiaTheme="minorEastAsia" w:hAnsiTheme="minorHAnsi" w:cstheme="minorBidi"/>
          <w:noProof/>
          <w:sz w:val="22"/>
          <w:szCs w:val="22"/>
        </w:rPr>
        <w:tab/>
      </w:r>
      <w:r>
        <w:rPr>
          <w:noProof/>
        </w:rPr>
        <w:t>RATES AND TARIFFS REVIEW</w:t>
      </w:r>
      <w:r>
        <w:rPr>
          <w:noProof/>
        </w:rPr>
        <w:tab/>
      </w:r>
      <w:r>
        <w:rPr>
          <w:noProof/>
        </w:rPr>
        <w:fldChar w:fldCharType="begin"/>
      </w:r>
      <w:r>
        <w:rPr>
          <w:noProof/>
        </w:rPr>
        <w:instrText xml:space="preserve"> PAGEREF _Toc328397443 \h </w:instrText>
      </w:r>
      <w:r>
        <w:rPr>
          <w:noProof/>
        </w:rPr>
      </w:r>
      <w:r>
        <w:rPr>
          <w:noProof/>
        </w:rPr>
        <w:fldChar w:fldCharType="separate"/>
      </w:r>
      <w:r w:rsidR="00F6072A">
        <w:rPr>
          <w:noProof/>
        </w:rPr>
        <w:t>29</w:t>
      </w:r>
      <w:r>
        <w:rPr>
          <w:noProof/>
        </w:rPr>
        <w:fldChar w:fldCharType="end"/>
      </w:r>
    </w:p>
    <w:p w:rsidR="00D66F09" w:rsidRDefault="00D66F09">
      <w:pPr>
        <w:pStyle w:val="TOC1"/>
        <w:rPr>
          <w:rFonts w:asciiTheme="minorHAnsi" w:eastAsiaTheme="minorEastAsia" w:hAnsiTheme="minorHAnsi" w:cstheme="minorBidi"/>
          <w:noProof/>
          <w:sz w:val="22"/>
          <w:szCs w:val="22"/>
        </w:rPr>
      </w:pPr>
      <w:r>
        <w:rPr>
          <w:noProof/>
        </w:rPr>
        <w:t>IX.</w:t>
      </w:r>
      <w:r>
        <w:rPr>
          <w:rFonts w:asciiTheme="minorHAnsi" w:eastAsiaTheme="minorEastAsia" w:hAnsiTheme="minorHAnsi" w:cstheme="minorBidi"/>
          <w:noProof/>
          <w:sz w:val="22"/>
          <w:szCs w:val="22"/>
        </w:rPr>
        <w:tab/>
      </w:r>
      <w:r>
        <w:rPr>
          <w:noProof/>
        </w:rPr>
        <w:t>SUMMARY OF STAFF COMMENTS AND RECOMMENDATIONS</w:t>
      </w:r>
      <w:r>
        <w:rPr>
          <w:noProof/>
        </w:rPr>
        <w:tab/>
      </w:r>
      <w:r>
        <w:rPr>
          <w:noProof/>
        </w:rPr>
        <w:fldChar w:fldCharType="begin"/>
      </w:r>
      <w:r>
        <w:rPr>
          <w:noProof/>
        </w:rPr>
        <w:instrText xml:space="preserve"> PAGEREF _Toc328397444 \h </w:instrText>
      </w:r>
      <w:r>
        <w:rPr>
          <w:noProof/>
        </w:rPr>
      </w:r>
      <w:r>
        <w:rPr>
          <w:noProof/>
        </w:rPr>
        <w:fldChar w:fldCharType="separate"/>
      </w:r>
      <w:r w:rsidR="00F6072A">
        <w:rPr>
          <w:noProof/>
        </w:rPr>
        <w:t>31</w:t>
      </w:r>
      <w:r>
        <w:rPr>
          <w:noProof/>
        </w:rPr>
        <w:fldChar w:fldCharType="end"/>
      </w:r>
    </w:p>
    <w:p w:rsidR="00D66F09" w:rsidRDefault="00D66F09">
      <w:pPr>
        <w:pStyle w:val="TOC1"/>
        <w:rPr>
          <w:rFonts w:asciiTheme="minorHAnsi" w:eastAsiaTheme="minorEastAsia" w:hAnsiTheme="minorHAnsi" w:cstheme="minorBidi"/>
          <w:noProof/>
          <w:sz w:val="22"/>
          <w:szCs w:val="22"/>
        </w:rPr>
      </w:pPr>
      <w:r>
        <w:rPr>
          <w:noProof/>
        </w:rPr>
        <w:t>X.</w:t>
      </w:r>
      <w:r>
        <w:rPr>
          <w:rFonts w:asciiTheme="minorHAnsi" w:eastAsiaTheme="minorEastAsia" w:hAnsiTheme="minorHAnsi" w:cstheme="minorBidi"/>
          <w:noProof/>
          <w:sz w:val="22"/>
          <w:szCs w:val="22"/>
        </w:rPr>
        <w:tab/>
      </w:r>
      <w:r>
        <w:rPr>
          <w:noProof/>
        </w:rPr>
        <w:t>CONCLUSION</w:t>
      </w:r>
      <w:r>
        <w:rPr>
          <w:noProof/>
        </w:rPr>
        <w:tab/>
      </w:r>
      <w:r>
        <w:rPr>
          <w:noProof/>
        </w:rPr>
        <w:fldChar w:fldCharType="begin"/>
      </w:r>
      <w:r>
        <w:rPr>
          <w:noProof/>
        </w:rPr>
        <w:instrText xml:space="preserve"> PAGEREF _Toc328397445 \h </w:instrText>
      </w:r>
      <w:r>
        <w:rPr>
          <w:noProof/>
        </w:rPr>
      </w:r>
      <w:r>
        <w:rPr>
          <w:noProof/>
        </w:rPr>
        <w:fldChar w:fldCharType="separate"/>
      </w:r>
      <w:r w:rsidR="00F6072A">
        <w:rPr>
          <w:noProof/>
        </w:rPr>
        <w:t>32</w:t>
      </w:r>
      <w:r>
        <w:rPr>
          <w:noProof/>
        </w:rPr>
        <w:fldChar w:fldCharType="end"/>
      </w:r>
    </w:p>
    <w:p w:rsidR="00D66F09" w:rsidRDefault="00D66F09">
      <w:pPr>
        <w:pStyle w:val="TOC1"/>
        <w:rPr>
          <w:rFonts w:asciiTheme="minorHAnsi" w:eastAsiaTheme="minorEastAsia" w:hAnsiTheme="minorHAnsi" w:cstheme="minorBidi"/>
          <w:noProof/>
          <w:sz w:val="22"/>
          <w:szCs w:val="22"/>
        </w:rPr>
      </w:pPr>
      <w:r>
        <w:rPr>
          <w:noProof/>
        </w:rPr>
        <w:t>XI.</w:t>
      </w:r>
      <w:r>
        <w:rPr>
          <w:rFonts w:asciiTheme="minorHAnsi" w:eastAsiaTheme="minorEastAsia" w:hAnsiTheme="minorHAnsi" w:cstheme="minorBidi"/>
          <w:noProof/>
          <w:sz w:val="22"/>
          <w:szCs w:val="22"/>
        </w:rPr>
        <w:tab/>
      </w:r>
      <w:r>
        <w:rPr>
          <w:noProof/>
        </w:rPr>
        <w:t>PROOF OF SERVICE</w:t>
      </w:r>
      <w:r>
        <w:rPr>
          <w:noProof/>
        </w:rPr>
        <w:tab/>
      </w:r>
      <w:r>
        <w:rPr>
          <w:noProof/>
        </w:rPr>
        <w:fldChar w:fldCharType="begin"/>
      </w:r>
      <w:r>
        <w:rPr>
          <w:noProof/>
        </w:rPr>
        <w:instrText xml:space="preserve"> PAGEREF _Toc328397446 \h </w:instrText>
      </w:r>
      <w:r>
        <w:rPr>
          <w:noProof/>
        </w:rPr>
      </w:r>
      <w:r>
        <w:rPr>
          <w:noProof/>
        </w:rPr>
        <w:fldChar w:fldCharType="separate"/>
      </w:r>
      <w:r w:rsidR="00F6072A">
        <w:rPr>
          <w:noProof/>
        </w:rPr>
        <w:t>33</w:t>
      </w:r>
      <w:r>
        <w:rPr>
          <w:noProof/>
        </w:rPr>
        <w:fldChar w:fldCharType="end"/>
      </w:r>
    </w:p>
    <w:p w:rsidR="0064436A" w:rsidRPr="009511D6" w:rsidRDefault="00A871EB" w:rsidP="009511D6">
      <w:pPr>
        <w:rPr>
          <w:sz w:val="26"/>
          <w:szCs w:val="26"/>
        </w:rPr>
      </w:pPr>
      <w:r>
        <w:rPr>
          <w:b/>
          <w:sz w:val="26"/>
          <w:szCs w:val="26"/>
        </w:rPr>
        <w:fldChar w:fldCharType="end"/>
      </w:r>
      <w:r w:rsidR="009511D6" w:rsidRPr="009511D6">
        <w:rPr>
          <w:sz w:val="26"/>
          <w:szCs w:val="26"/>
        </w:rPr>
        <w:t>ATTACHMENTS</w:t>
      </w:r>
    </w:p>
    <w:p w:rsidR="009511D6" w:rsidRDefault="009511D6" w:rsidP="00CB5644">
      <w:pPr>
        <w:jc w:val="center"/>
        <w:rPr>
          <w:b/>
          <w:sz w:val="26"/>
          <w:szCs w:val="26"/>
        </w:rPr>
      </w:pPr>
    </w:p>
    <w:p w:rsidR="009511D6" w:rsidRDefault="009511D6" w:rsidP="00CB5644">
      <w:pPr>
        <w:jc w:val="center"/>
        <w:rPr>
          <w:b/>
          <w:sz w:val="26"/>
          <w:szCs w:val="26"/>
        </w:rPr>
        <w:sectPr w:rsidR="009511D6" w:rsidSect="00C95499">
          <w:headerReference w:type="default" r:id="rId12"/>
          <w:footerReference w:type="default" r:id="rId13"/>
          <w:headerReference w:type="first" r:id="rId14"/>
          <w:footerReference w:type="first" r:id="rId15"/>
          <w:footnotePr>
            <w:numRestart w:val="eachSect"/>
          </w:footnotePr>
          <w:pgSz w:w="12240" w:h="15840" w:code="1"/>
          <w:pgMar w:top="1440" w:right="1440" w:bottom="1440" w:left="1440" w:header="720" w:footer="720" w:gutter="0"/>
          <w:pgNumType w:fmt="lowerRoman" w:start="1"/>
          <w:cols w:space="720"/>
          <w:titlePg/>
          <w:docGrid w:linePitch="360"/>
        </w:sectPr>
      </w:pPr>
    </w:p>
    <w:p w:rsidR="00CB5644" w:rsidRPr="002D54AC" w:rsidRDefault="00CB5644" w:rsidP="00CB5644">
      <w:pPr>
        <w:jc w:val="center"/>
        <w:rPr>
          <w:b/>
          <w:sz w:val="26"/>
          <w:szCs w:val="26"/>
        </w:rPr>
      </w:pPr>
      <w:r w:rsidRPr="002D54AC">
        <w:rPr>
          <w:b/>
          <w:sz w:val="26"/>
          <w:szCs w:val="26"/>
        </w:rPr>
        <w:lastRenderedPageBreak/>
        <w:t>BEFORE</w:t>
      </w:r>
    </w:p>
    <w:p w:rsidR="00CB5644" w:rsidRDefault="00CB5644" w:rsidP="00CB5644">
      <w:pPr>
        <w:jc w:val="center"/>
        <w:rPr>
          <w:b/>
          <w:sz w:val="26"/>
          <w:szCs w:val="26"/>
        </w:rPr>
      </w:pPr>
      <w:r w:rsidRPr="002D54AC">
        <w:rPr>
          <w:b/>
          <w:sz w:val="26"/>
          <w:szCs w:val="26"/>
        </w:rPr>
        <w:t>THE PUBLIC UTILITIES COMMISSION OF OHIO</w:t>
      </w:r>
    </w:p>
    <w:p w:rsidR="00E10679" w:rsidRDefault="00E10679" w:rsidP="00CB5644">
      <w:pPr>
        <w:jc w:val="center"/>
        <w:rPr>
          <w:b/>
          <w:sz w:val="26"/>
          <w:szCs w:val="26"/>
        </w:rPr>
      </w:pPr>
    </w:p>
    <w:p w:rsidR="00E10679" w:rsidRDefault="00E10679" w:rsidP="00CB5644">
      <w:pPr>
        <w:jc w:val="center"/>
        <w:rPr>
          <w:b/>
          <w:sz w:val="26"/>
          <w:szCs w:val="26"/>
        </w:rPr>
      </w:pPr>
    </w:p>
    <w:tbl>
      <w:tblPr>
        <w:tblW w:w="0" w:type="auto"/>
        <w:tblLook w:val="01E0" w:firstRow="1" w:lastRow="1" w:firstColumn="1" w:lastColumn="1" w:noHBand="0" w:noVBand="0"/>
      </w:tblPr>
      <w:tblGrid>
        <w:gridCol w:w="4689"/>
        <w:gridCol w:w="289"/>
        <w:gridCol w:w="4598"/>
      </w:tblGrid>
      <w:tr w:rsidR="00FF5711" w:rsidTr="00322F45">
        <w:tc>
          <w:tcPr>
            <w:tcW w:w="4689" w:type="dxa"/>
          </w:tcPr>
          <w:p w:rsidR="00FF5711" w:rsidRPr="00FF5711" w:rsidRDefault="00FF5711" w:rsidP="00FF5711">
            <w:pPr>
              <w:tabs>
                <w:tab w:val="left" w:pos="4410"/>
              </w:tabs>
              <w:autoSpaceDE w:val="0"/>
              <w:autoSpaceDN w:val="0"/>
              <w:adjustRightInd w:val="0"/>
              <w:rPr>
                <w:sz w:val="26"/>
                <w:szCs w:val="26"/>
              </w:rPr>
            </w:pPr>
            <w:r w:rsidRPr="00FF5711">
              <w:rPr>
                <w:sz w:val="26"/>
                <w:szCs w:val="26"/>
              </w:rPr>
              <w:t>In the Matter of</w:t>
            </w:r>
            <w:r>
              <w:rPr>
                <w:sz w:val="26"/>
                <w:szCs w:val="26"/>
              </w:rPr>
              <w:t xml:space="preserve"> </w:t>
            </w:r>
            <w:r w:rsidRPr="00FF5711">
              <w:rPr>
                <w:sz w:val="26"/>
                <w:szCs w:val="26"/>
              </w:rPr>
              <w:t xml:space="preserve">the Joint Application of </w:t>
            </w:r>
            <w:r w:rsidRPr="00FF5711">
              <w:rPr>
                <w:b/>
                <w:sz w:val="26"/>
                <w:szCs w:val="26"/>
              </w:rPr>
              <w:t>Ohio Edison Company, The Cleveland Electric Illuminating Company</w:t>
            </w:r>
            <w:r w:rsidRPr="00FF5711">
              <w:rPr>
                <w:sz w:val="26"/>
                <w:szCs w:val="26"/>
              </w:rPr>
              <w:t xml:space="preserve">, and </w:t>
            </w:r>
            <w:r w:rsidRPr="00FF5711">
              <w:rPr>
                <w:b/>
                <w:sz w:val="26"/>
                <w:szCs w:val="26"/>
              </w:rPr>
              <w:t>The Toledo Edison Company</w:t>
            </w:r>
            <w:r>
              <w:rPr>
                <w:sz w:val="26"/>
                <w:szCs w:val="26"/>
              </w:rPr>
              <w:t xml:space="preserve"> for Authority to </w:t>
            </w:r>
            <w:r w:rsidRPr="00FF5711">
              <w:rPr>
                <w:sz w:val="26"/>
                <w:szCs w:val="26"/>
              </w:rPr>
              <w:t xml:space="preserve">Issue Phase-In-Recovery Bonds and Impose, Charge and Collect Phase-In-Recovery Charges and </w:t>
            </w:r>
            <w:r>
              <w:rPr>
                <w:sz w:val="26"/>
                <w:szCs w:val="26"/>
              </w:rPr>
              <w:t>f</w:t>
            </w:r>
            <w:r w:rsidRPr="00FF5711">
              <w:rPr>
                <w:sz w:val="26"/>
                <w:szCs w:val="26"/>
              </w:rPr>
              <w:t>or Tariff and Bill Format Approvals Change</w:t>
            </w:r>
            <w:r>
              <w:rPr>
                <w:sz w:val="26"/>
                <w:szCs w:val="26"/>
              </w:rPr>
              <w:t>.</w:t>
            </w:r>
          </w:p>
        </w:tc>
        <w:tc>
          <w:tcPr>
            <w:tcW w:w="289" w:type="dxa"/>
          </w:tcPr>
          <w:p w:rsidR="00FF5711" w:rsidRPr="00221496" w:rsidRDefault="00FF5711" w:rsidP="00FF5711">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rsidR="00FF5711" w:rsidRPr="00221496" w:rsidRDefault="00FF5711" w:rsidP="00FF5711">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rsidR="00FF5711" w:rsidRDefault="00FF5711" w:rsidP="00FF5711">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rsidR="00FF5711" w:rsidRDefault="00FF5711" w:rsidP="00FF5711">
            <w:pPr>
              <w:pStyle w:val="Title"/>
              <w:tabs>
                <w:tab w:val="left" w:pos="5130"/>
                <w:tab w:val="left" w:pos="5670"/>
              </w:tabs>
              <w:rPr>
                <w:rFonts w:ascii="Times New Roman" w:hAnsi="Times New Roman"/>
                <w:sz w:val="26"/>
                <w:szCs w:val="26"/>
              </w:rPr>
            </w:pPr>
            <w:r>
              <w:rPr>
                <w:rFonts w:ascii="Times New Roman" w:hAnsi="Times New Roman"/>
                <w:sz w:val="26"/>
                <w:szCs w:val="26"/>
              </w:rPr>
              <w:t>:</w:t>
            </w:r>
          </w:p>
          <w:p w:rsidR="00FF5711" w:rsidRDefault="00FF5711" w:rsidP="00FF5711">
            <w:pPr>
              <w:pStyle w:val="Title"/>
              <w:tabs>
                <w:tab w:val="left" w:pos="5130"/>
                <w:tab w:val="left" w:pos="5670"/>
              </w:tabs>
              <w:rPr>
                <w:rFonts w:ascii="Times New Roman" w:hAnsi="Times New Roman"/>
                <w:sz w:val="26"/>
                <w:szCs w:val="26"/>
              </w:rPr>
            </w:pPr>
            <w:r>
              <w:rPr>
                <w:rFonts w:ascii="Times New Roman" w:hAnsi="Times New Roman"/>
                <w:sz w:val="26"/>
                <w:szCs w:val="26"/>
              </w:rPr>
              <w:t>:</w:t>
            </w:r>
            <w:r>
              <w:rPr>
                <w:rFonts w:ascii="Times New Roman" w:hAnsi="Times New Roman"/>
                <w:sz w:val="26"/>
                <w:szCs w:val="26"/>
              </w:rPr>
              <w:br/>
              <w:t>:</w:t>
            </w:r>
          </w:p>
          <w:p w:rsidR="00FF5711" w:rsidRDefault="00FF5711" w:rsidP="00FF5711">
            <w:pPr>
              <w:pStyle w:val="Title"/>
              <w:tabs>
                <w:tab w:val="left" w:pos="5130"/>
                <w:tab w:val="left" w:pos="5670"/>
              </w:tabs>
              <w:rPr>
                <w:rFonts w:ascii="Times New Roman" w:hAnsi="Times New Roman"/>
                <w:sz w:val="26"/>
                <w:szCs w:val="26"/>
              </w:rPr>
            </w:pPr>
            <w:r>
              <w:rPr>
                <w:rFonts w:ascii="Times New Roman" w:hAnsi="Times New Roman"/>
                <w:sz w:val="26"/>
                <w:szCs w:val="26"/>
              </w:rPr>
              <w:t>:</w:t>
            </w:r>
          </w:p>
          <w:p w:rsidR="00FF5711" w:rsidRPr="00221496" w:rsidRDefault="00FF5711" w:rsidP="00FF5711">
            <w:pPr>
              <w:pStyle w:val="Title"/>
              <w:tabs>
                <w:tab w:val="left" w:pos="5130"/>
                <w:tab w:val="left" w:pos="5670"/>
              </w:tabs>
              <w:rPr>
                <w:rFonts w:ascii="Times New Roman" w:hAnsi="Times New Roman"/>
                <w:sz w:val="26"/>
                <w:szCs w:val="26"/>
              </w:rPr>
            </w:pPr>
            <w:r>
              <w:rPr>
                <w:rFonts w:ascii="Times New Roman" w:hAnsi="Times New Roman"/>
                <w:sz w:val="26"/>
                <w:szCs w:val="26"/>
              </w:rPr>
              <w:t>:</w:t>
            </w:r>
          </w:p>
        </w:tc>
        <w:tc>
          <w:tcPr>
            <w:tcW w:w="4598" w:type="dxa"/>
          </w:tcPr>
          <w:p w:rsidR="00FF5711" w:rsidRDefault="00FF5711" w:rsidP="00FF5711">
            <w:pPr>
              <w:pStyle w:val="Title"/>
              <w:tabs>
                <w:tab w:val="left" w:pos="1142"/>
                <w:tab w:val="left" w:pos="5130"/>
                <w:tab w:val="left" w:pos="5670"/>
              </w:tabs>
              <w:jc w:val="left"/>
              <w:rPr>
                <w:rFonts w:ascii="Times New Roman" w:hAnsi="Times New Roman"/>
                <w:sz w:val="26"/>
                <w:szCs w:val="26"/>
              </w:rPr>
            </w:pPr>
          </w:p>
          <w:p w:rsidR="00FF5711" w:rsidRDefault="00FF5711" w:rsidP="00FF5711">
            <w:pPr>
              <w:pStyle w:val="Title"/>
              <w:tabs>
                <w:tab w:val="left" w:pos="1142"/>
                <w:tab w:val="left" w:pos="5130"/>
                <w:tab w:val="left" w:pos="5670"/>
              </w:tabs>
              <w:jc w:val="left"/>
              <w:rPr>
                <w:rFonts w:ascii="Times New Roman" w:hAnsi="Times New Roman"/>
                <w:sz w:val="26"/>
                <w:szCs w:val="26"/>
              </w:rPr>
            </w:pPr>
          </w:p>
          <w:p w:rsidR="00FF5711" w:rsidRPr="00221496" w:rsidRDefault="00FF5711" w:rsidP="00FF5711">
            <w:pPr>
              <w:pStyle w:val="Title"/>
              <w:tabs>
                <w:tab w:val="left" w:pos="1142"/>
                <w:tab w:val="left" w:pos="5130"/>
                <w:tab w:val="left" w:pos="5670"/>
              </w:tabs>
              <w:jc w:val="left"/>
              <w:rPr>
                <w:rFonts w:ascii="Times New Roman" w:hAnsi="Times New Roman"/>
                <w:sz w:val="26"/>
                <w:szCs w:val="26"/>
              </w:rPr>
            </w:pPr>
            <w:r w:rsidRPr="00221496">
              <w:rPr>
                <w:rFonts w:ascii="Times New Roman" w:hAnsi="Times New Roman"/>
                <w:sz w:val="26"/>
                <w:szCs w:val="26"/>
              </w:rPr>
              <w:t xml:space="preserve">Case No. </w:t>
            </w:r>
            <w:r>
              <w:rPr>
                <w:rFonts w:ascii="Times New Roman" w:hAnsi="Times New Roman"/>
                <w:sz w:val="26"/>
                <w:szCs w:val="26"/>
              </w:rPr>
              <w:tab/>
              <w:t>12-1465-EL-ATS</w:t>
            </w:r>
          </w:p>
        </w:tc>
      </w:tr>
    </w:tbl>
    <w:p w:rsidR="00FF5711" w:rsidRPr="002D54AC" w:rsidRDefault="00FF5711" w:rsidP="00FF5711">
      <w:pPr>
        <w:pStyle w:val="Title"/>
        <w:tabs>
          <w:tab w:val="left" w:pos="5130"/>
          <w:tab w:val="left" w:pos="5670"/>
        </w:tabs>
        <w:rPr>
          <w:rFonts w:ascii="Times New Roman" w:hAnsi="Times New Roman"/>
          <w:sz w:val="26"/>
          <w:szCs w:val="26"/>
        </w:rPr>
      </w:pPr>
    </w:p>
    <w:p w:rsidR="00FF5711" w:rsidRDefault="00FF5711" w:rsidP="00FF5711">
      <w:pPr>
        <w:pStyle w:val="Title"/>
        <w:tabs>
          <w:tab w:val="left" w:pos="5130"/>
          <w:tab w:val="left" w:pos="5670"/>
        </w:tabs>
        <w:jc w:val="left"/>
        <w:rPr>
          <w:rFonts w:ascii="Times New Roman" w:hAnsi="Times New Roman"/>
          <w:sz w:val="26"/>
          <w:szCs w:val="26"/>
        </w:rPr>
      </w:pPr>
    </w:p>
    <w:p w:rsidR="00FF5711" w:rsidRDefault="00FF5711" w:rsidP="00FF5711">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rsidR="00FF5711" w:rsidRPr="00E10679" w:rsidRDefault="00FF5711" w:rsidP="00FF5711">
      <w:pPr>
        <w:pStyle w:val="Title"/>
        <w:tabs>
          <w:tab w:val="left" w:pos="9360"/>
        </w:tabs>
        <w:rPr>
          <w:rFonts w:ascii="Times New Roman" w:hAnsi="Times New Roman"/>
          <w:b/>
          <w:sz w:val="32"/>
          <w:szCs w:val="32"/>
        </w:rPr>
      </w:pPr>
      <w:r>
        <w:rPr>
          <w:rFonts w:ascii="Times New Roman" w:hAnsi="Times New Roman"/>
          <w:b/>
          <w:sz w:val="32"/>
          <w:szCs w:val="32"/>
        </w:rPr>
        <w:t>COMMENTS AND RECOMMENDATIONS</w:t>
      </w:r>
    </w:p>
    <w:p w:rsidR="00FF5711" w:rsidRPr="00FF5711" w:rsidRDefault="00FF5711" w:rsidP="00FF5711">
      <w:pPr>
        <w:jc w:val="center"/>
        <w:rPr>
          <w:sz w:val="28"/>
          <w:szCs w:val="28"/>
        </w:rPr>
      </w:pPr>
      <w:r w:rsidRPr="00FF5711">
        <w:rPr>
          <w:sz w:val="28"/>
          <w:szCs w:val="28"/>
        </w:rPr>
        <w:t>SUBMITTED ON BEHALF OF THE STAFF OF</w:t>
      </w:r>
    </w:p>
    <w:p w:rsidR="00FF5711" w:rsidRPr="00FF5711" w:rsidRDefault="00FF5711" w:rsidP="00FF5711">
      <w:pPr>
        <w:jc w:val="center"/>
        <w:rPr>
          <w:sz w:val="28"/>
          <w:szCs w:val="28"/>
        </w:rPr>
      </w:pPr>
      <w:r w:rsidRPr="00FF5711">
        <w:rPr>
          <w:sz w:val="28"/>
          <w:szCs w:val="28"/>
        </w:rPr>
        <w:t>THE PUBLIC UTILITIES COMMISSION OF OHIO</w:t>
      </w:r>
    </w:p>
    <w:p w:rsidR="00FF5711" w:rsidRDefault="00FF5711" w:rsidP="00FF5711">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rsidR="00CB5644" w:rsidRPr="00613023" w:rsidRDefault="00CB5644" w:rsidP="00536C13">
      <w:pPr>
        <w:pStyle w:val="Heading1"/>
      </w:pPr>
      <w:bookmarkStart w:id="14" w:name="_Toc328131628"/>
      <w:bookmarkStart w:id="15" w:name="_Toc328397423"/>
      <w:r w:rsidRPr="00613023">
        <w:t>INTRODUCTION</w:t>
      </w:r>
      <w:bookmarkEnd w:id="14"/>
      <w:bookmarkEnd w:id="15"/>
    </w:p>
    <w:p w:rsidR="00FF5711" w:rsidRDefault="00FF5711" w:rsidP="00FF5711">
      <w:pPr>
        <w:pStyle w:val="textstyle0"/>
      </w:pPr>
      <w:r>
        <w:tab/>
        <w:t>The Staff’s role in this case is to provide the Commission and other interested par</w:t>
      </w:r>
      <w:r w:rsidR="00596570">
        <w:softHyphen/>
      </w:r>
      <w:r>
        <w:t>ties with pertinent information sufficient to permit an appropriate determination.</w:t>
      </w:r>
    </w:p>
    <w:p w:rsidR="00FF5711" w:rsidRDefault="00FF5711" w:rsidP="00FF5711">
      <w:pPr>
        <w:pStyle w:val="textstyle0"/>
      </w:pPr>
      <w:r>
        <w:tab/>
        <w:t>In t</w:t>
      </w:r>
      <w:r w:rsidRPr="000136FE">
        <w:t>h</w:t>
      </w:r>
      <w:r>
        <w:t xml:space="preserve">is report, the Staff summarizes the results of the review the following three Divisions have performed.  </w:t>
      </w:r>
    </w:p>
    <w:p w:rsidR="00FF5711" w:rsidRPr="00FF5711" w:rsidRDefault="00FF5711" w:rsidP="00FF5711">
      <w:pPr>
        <w:pStyle w:val="ListParagraph"/>
        <w:numPr>
          <w:ilvl w:val="0"/>
          <w:numId w:val="33"/>
        </w:numPr>
        <w:autoSpaceDE w:val="0"/>
        <w:autoSpaceDN w:val="0"/>
        <w:adjustRightInd w:val="0"/>
        <w:spacing w:after="240" w:line="240" w:lineRule="auto"/>
        <w:contextualSpacing w:val="0"/>
        <w:jc w:val="both"/>
        <w:rPr>
          <w:rFonts w:ascii="Times New Roman" w:hAnsi="Times New Roman"/>
          <w:b/>
          <w:bCs/>
          <w:sz w:val="26"/>
          <w:szCs w:val="26"/>
        </w:rPr>
      </w:pPr>
      <w:r w:rsidRPr="00FF5711">
        <w:rPr>
          <w:rFonts w:ascii="Times New Roman" w:hAnsi="Times New Roman"/>
          <w:bCs/>
          <w:sz w:val="26"/>
          <w:szCs w:val="26"/>
        </w:rPr>
        <w:t xml:space="preserve">The Capital Recovery and Financial Analysis (CRFA) Division primarily reviewed the </w:t>
      </w:r>
      <w:r w:rsidRPr="00FF5711">
        <w:rPr>
          <w:rFonts w:ascii="Times New Roman" w:hAnsi="Times New Roman"/>
          <w:sz w:val="26"/>
          <w:szCs w:val="26"/>
        </w:rPr>
        <w:t>Estimated Up-front and Ongoing Financing Costs, Expected Use of Proceeds and Capitalization and the Indicative Transaction Structure and Expected Principal Repayment Schedule.</w:t>
      </w:r>
    </w:p>
    <w:p w:rsidR="00FF5711" w:rsidRPr="00FF5711" w:rsidRDefault="00FF5711" w:rsidP="00FF5711">
      <w:pPr>
        <w:pStyle w:val="ListParagraph"/>
        <w:numPr>
          <w:ilvl w:val="0"/>
          <w:numId w:val="33"/>
        </w:numPr>
        <w:autoSpaceDE w:val="0"/>
        <w:autoSpaceDN w:val="0"/>
        <w:adjustRightInd w:val="0"/>
        <w:spacing w:after="240" w:line="240" w:lineRule="auto"/>
        <w:contextualSpacing w:val="0"/>
        <w:jc w:val="both"/>
        <w:rPr>
          <w:rFonts w:ascii="Times New Roman" w:hAnsi="Times New Roman"/>
          <w:sz w:val="26"/>
          <w:szCs w:val="26"/>
        </w:rPr>
      </w:pPr>
      <w:r w:rsidRPr="00FF5711">
        <w:rPr>
          <w:rFonts w:ascii="Times New Roman" w:hAnsi="Times New Roman"/>
          <w:bCs/>
          <w:sz w:val="26"/>
          <w:szCs w:val="26"/>
        </w:rPr>
        <w:t xml:space="preserve">The Accounting and Electricity (A&amp;E) Division primarily reviewed the </w:t>
      </w:r>
      <w:r w:rsidRPr="00FF5711">
        <w:rPr>
          <w:rFonts w:ascii="Times New Roman" w:hAnsi="Times New Roman"/>
          <w:sz w:val="26"/>
          <w:szCs w:val="26"/>
        </w:rPr>
        <w:t>Estimated Deferral Balances Subject to Securitization</w:t>
      </w:r>
      <w:r w:rsidRPr="00FF5711">
        <w:rPr>
          <w:rFonts w:ascii="Times New Roman" w:hAnsi="Times New Roman"/>
          <w:bCs/>
          <w:sz w:val="26"/>
          <w:szCs w:val="26"/>
        </w:rPr>
        <w:t xml:space="preserve"> and the </w:t>
      </w:r>
      <w:r w:rsidRPr="00FF5711">
        <w:rPr>
          <w:rFonts w:ascii="Times New Roman" w:hAnsi="Times New Roman"/>
          <w:sz w:val="26"/>
          <w:szCs w:val="26"/>
        </w:rPr>
        <w:t>Estimated Comparison of Existing Rate Making and Securitization.</w:t>
      </w:r>
    </w:p>
    <w:p w:rsidR="00FF5711" w:rsidRPr="00FF5711" w:rsidRDefault="00FF5711" w:rsidP="00FF5711">
      <w:pPr>
        <w:pStyle w:val="ListParagraph"/>
        <w:numPr>
          <w:ilvl w:val="0"/>
          <w:numId w:val="33"/>
        </w:numPr>
        <w:autoSpaceDE w:val="0"/>
        <w:autoSpaceDN w:val="0"/>
        <w:adjustRightInd w:val="0"/>
        <w:spacing w:after="240" w:line="240" w:lineRule="auto"/>
        <w:contextualSpacing w:val="0"/>
        <w:jc w:val="both"/>
        <w:rPr>
          <w:rFonts w:ascii="Times New Roman" w:hAnsi="Times New Roman"/>
          <w:b/>
          <w:bCs/>
          <w:sz w:val="26"/>
          <w:szCs w:val="26"/>
        </w:rPr>
      </w:pPr>
      <w:r w:rsidRPr="00FF5711">
        <w:rPr>
          <w:rFonts w:ascii="Times New Roman" w:hAnsi="Times New Roman"/>
          <w:bCs/>
          <w:sz w:val="26"/>
          <w:szCs w:val="26"/>
        </w:rPr>
        <w:t xml:space="preserve">The Rates and Tariffs/Energy and Water (RT-EW) Division primarily reviewed the </w:t>
      </w:r>
      <w:r w:rsidRPr="00FF5711">
        <w:rPr>
          <w:rFonts w:ascii="Times New Roman" w:hAnsi="Times New Roman"/>
          <w:sz w:val="26"/>
          <w:szCs w:val="26"/>
        </w:rPr>
        <w:t xml:space="preserve">Rider PIR Reconciliation Mechanism and Rate Design Process, the Estimated </w:t>
      </w:r>
      <w:r w:rsidRPr="00FF5711">
        <w:rPr>
          <w:rFonts w:ascii="Times New Roman" w:hAnsi="Times New Roman"/>
          <w:sz w:val="26"/>
          <w:szCs w:val="26"/>
        </w:rPr>
        <w:lastRenderedPageBreak/>
        <w:t>Monthly Typical Bill Impacts, Proposed Tariffs Sheets for Rider PIR - Phase-In Recovery Rider.</w:t>
      </w:r>
    </w:p>
    <w:p w:rsidR="00FF5711" w:rsidRDefault="00FF5711" w:rsidP="00FF5711">
      <w:pPr>
        <w:pStyle w:val="textstyle0"/>
      </w:pPr>
      <w:r>
        <w:t xml:space="preserve">The assumptions and conclusions of this report should not be misconstrued as binding upon or limiting the scope of Commission consideration. </w:t>
      </w:r>
    </w:p>
    <w:p w:rsidR="00FF5711" w:rsidRDefault="00FF5711" w:rsidP="00536C13">
      <w:pPr>
        <w:pStyle w:val="Heading1"/>
      </w:pPr>
      <w:bookmarkStart w:id="16" w:name="_Toc328131629"/>
      <w:bookmarkStart w:id="17" w:name="_Toc328397424"/>
      <w:r>
        <w:t>BACKGROUND</w:t>
      </w:r>
      <w:bookmarkEnd w:id="16"/>
      <w:bookmarkEnd w:id="17"/>
    </w:p>
    <w:p w:rsidR="00FF5711" w:rsidRPr="000136FE" w:rsidRDefault="00AA29B6" w:rsidP="00AA29B6">
      <w:pPr>
        <w:pStyle w:val="Heading2"/>
      </w:pPr>
      <w:bookmarkStart w:id="18" w:name="_Toc328131630"/>
      <w:bookmarkStart w:id="19" w:name="_Toc328397425"/>
      <w:r>
        <w:t>A.</w:t>
      </w:r>
      <w:r>
        <w:tab/>
      </w:r>
      <w:r w:rsidR="00FF5711" w:rsidRPr="000136FE">
        <w:t xml:space="preserve">Ohio </w:t>
      </w:r>
      <w:r w:rsidR="00FF5711">
        <w:t>U</w:t>
      </w:r>
      <w:r w:rsidR="00FF5711" w:rsidRPr="000136FE">
        <w:t xml:space="preserve">tility </w:t>
      </w:r>
      <w:r w:rsidR="00FF5711">
        <w:t>S</w:t>
      </w:r>
      <w:r w:rsidR="00FF5711" w:rsidRPr="000136FE">
        <w:t xml:space="preserve">ecuritization </w:t>
      </w:r>
      <w:r w:rsidR="00FF5711">
        <w:t>Law</w:t>
      </w:r>
      <w:bookmarkEnd w:id="18"/>
      <w:bookmarkEnd w:id="19"/>
    </w:p>
    <w:p w:rsidR="00FF5711" w:rsidRPr="000136FE" w:rsidRDefault="00FF5711" w:rsidP="00FF5711">
      <w:pPr>
        <w:pStyle w:val="textstyle0"/>
      </w:pPr>
      <w:r>
        <w:tab/>
      </w:r>
      <w:r w:rsidRPr="000136FE">
        <w:t>House Bill 364</w:t>
      </w:r>
      <w:r>
        <w:t xml:space="preserve"> (the Act),</w:t>
      </w:r>
      <w:r w:rsidRPr="000136FE">
        <w:t xml:space="preserve"> introduced in November </w:t>
      </w:r>
      <w:r>
        <w:t>2011, was</w:t>
      </w:r>
      <w:r w:rsidRPr="000136FE">
        <w:t xml:space="preserve"> passed by the Ohio House of Representatives and the Ohio Senate </w:t>
      </w:r>
      <w:r>
        <w:t>in early December 2011</w:t>
      </w:r>
      <w:r w:rsidR="00A71396" w:rsidRPr="000136FE">
        <w:t xml:space="preserve">.  </w:t>
      </w:r>
      <w:r w:rsidRPr="000136FE">
        <w:t>The bill bec</w:t>
      </w:r>
      <w:r>
        <w:t>a</w:t>
      </w:r>
      <w:r w:rsidRPr="000136FE">
        <w:t xml:space="preserve">me law </w:t>
      </w:r>
      <w:r>
        <w:t>in</w:t>
      </w:r>
      <w:r w:rsidRPr="000136FE">
        <w:t xml:space="preserve"> March 2012.</w:t>
      </w:r>
    </w:p>
    <w:p w:rsidR="00FF5711" w:rsidRPr="000136FE" w:rsidRDefault="00FF5711" w:rsidP="00FF5711">
      <w:pPr>
        <w:pStyle w:val="textstyle0"/>
      </w:pPr>
      <w:r>
        <w:tab/>
      </w:r>
      <w:r w:rsidRPr="000136FE">
        <w:t xml:space="preserve">Under the </w:t>
      </w:r>
      <w:r>
        <w:t>Act</w:t>
      </w:r>
      <w:r w:rsidRPr="000136FE">
        <w:t xml:space="preserve">, electric utilities may use bonds to securitize </w:t>
      </w:r>
      <w:r>
        <w:t>certain costs</w:t>
      </w:r>
      <w:r w:rsidRPr="000136FE">
        <w:t xml:space="preserve"> </w:t>
      </w:r>
      <w:r>
        <w:t>which</w:t>
      </w:r>
      <w:r w:rsidRPr="000136FE">
        <w:t xml:space="preserve"> ha</w:t>
      </w:r>
      <w:r>
        <w:t>ve</w:t>
      </w:r>
      <w:r w:rsidRPr="000136FE">
        <w:t xml:space="preserve"> been previously approved by the </w:t>
      </w:r>
      <w:r>
        <w:t>Commission</w:t>
      </w:r>
      <w:r w:rsidR="00FD759A">
        <w:t xml:space="preserve">. </w:t>
      </w:r>
      <w:r>
        <w:t xml:space="preserve"> </w:t>
      </w:r>
      <w:r w:rsidRPr="000136FE">
        <w:t>Utilities may securitize only certain types of costs called deferred assets</w:t>
      </w:r>
      <w:r w:rsidR="00A71396" w:rsidRPr="000136FE">
        <w:t xml:space="preserve">.  </w:t>
      </w:r>
      <w:r w:rsidRPr="000136FE">
        <w:t>These assets include fuel costs, infrastructure costs, and environmental clean</w:t>
      </w:r>
      <w:r w:rsidRPr="000136FE">
        <w:rPr>
          <w:rFonts w:ascii="Cambria Math" w:hAnsi="Cambria Math" w:cs="Cambria Math"/>
        </w:rPr>
        <w:t>‐</w:t>
      </w:r>
      <w:r w:rsidRPr="000136FE">
        <w:t>up expenses that the PUCO has allowed a utility to defer and collect from customers at a later date.</w:t>
      </w:r>
    </w:p>
    <w:p w:rsidR="00FF5711" w:rsidRPr="009B1F27" w:rsidRDefault="00FF5711" w:rsidP="00FF5711">
      <w:pPr>
        <w:pStyle w:val="textstyle0"/>
      </w:pPr>
      <w:r>
        <w:tab/>
      </w:r>
      <w:r w:rsidRPr="009B1F27">
        <w:t xml:space="preserve">Prior to proceeding with bond securitization, the utilities are required to apply </w:t>
      </w:r>
      <w:r w:rsidR="006121CF">
        <w:t>to</w:t>
      </w:r>
      <w:r w:rsidR="006121CF" w:rsidRPr="009B1F27">
        <w:t xml:space="preserve"> </w:t>
      </w:r>
      <w:r w:rsidRPr="009B1F27">
        <w:t xml:space="preserve">the PUCO for a financing order (Financing Order). </w:t>
      </w:r>
    </w:p>
    <w:p w:rsidR="00FF5711" w:rsidRPr="000136FE" w:rsidRDefault="00FF5711" w:rsidP="00FF5711">
      <w:pPr>
        <w:pStyle w:val="textstyle0"/>
      </w:pPr>
      <w:r>
        <w:tab/>
      </w:r>
      <w:r w:rsidRPr="000136FE">
        <w:t xml:space="preserve">There is a defined, deliberate process where interested parties can </w:t>
      </w:r>
      <w:r w:rsidR="006121CF">
        <w:t>present their views</w:t>
      </w:r>
      <w:r w:rsidR="006121CF" w:rsidRPr="000136FE">
        <w:t xml:space="preserve"> </w:t>
      </w:r>
      <w:r w:rsidRPr="000136FE">
        <w:t xml:space="preserve">in order for a securitization application to move forward and be approved. </w:t>
      </w:r>
    </w:p>
    <w:p w:rsidR="00FF5711" w:rsidRPr="000136FE" w:rsidRDefault="00FF5711" w:rsidP="00FF5711">
      <w:pPr>
        <w:pStyle w:val="textstyle0"/>
      </w:pPr>
      <w:r>
        <w:tab/>
      </w:r>
      <w:r w:rsidRPr="000136FE">
        <w:t>The PUCO has 135 days to approve, modify, suspend, or reject a utility’s applica</w:t>
      </w:r>
      <w:r w:rsidR="00596570">
        <w:softHyphen/>
      </w:r>
      <w:r w:rsidRPr="000136FE">
        <w:t xml:space="preserve">tion. </w:t>
      </w:r>
    </w:p>
    <w:p w:rsidR="00FF5711" w:rsidRPr="00E5606D" w:rsidRDefault="00AA29B6" w:rsidP="00AA29B6">
      <w:pPr>
        <w:pStyle w:val="Heading2"/>
      </w:pPr>
      <w:bookmarkStart w:id="20" w:name="_Toc328131631"/>
      <w:bookmarkStart w:id="21" w:name="_Toc328397426"/>
      <w:r>
        <w:lastRenderedPageBreak/>
        <w:t>B.</w:t>
      </w:r>
      <w:r>
        <w:tab/>
      </w:r>
      <w:r w:rsidR="00FF5711">
        <w:t>Description of Proposed Transaction</w:t>
      </w:r>
      <w:bookmarkEnd w:id="20"/>
      <w:bookmarkEnd w:id="21"/>
      <w:r w:rsidR="00FF5711" w:rsidRPr="00E5606D">
        <w:t xml:space="preserve"> </w:t>
      </w:r>
    </w:p>
    <w:p w:rsidR="00FF5711" w:rsidRDefault="00FF5711" w:rsidP="00FF5711">
      <w:pPr>
        <w:pStyle w:val="textstyle0"/>
        <w:rPr>
          <w:szCs w:val="26"/>
        </w:rPr>
      </w:pPr>
      <w:r>
        <w:tab/>
      </w:r>
      <w:r w:rsidRPr="003F740A">
        <w:t>On May 3, 2012, Ohio Edison Company</w:t>
      </w:r>
      <w:r>
        <w:t xml:space="preserve"> (</w:t>
      </w:r>
      <w:r w:rsidRPr="003F740A">
        <w:t>Ohio Edison</w:t>
      </w:r>
      <w:r>
        <w:t>)</w:t>
      </w:r>
      <w:r w:rsidRPr="003F740A">
        <w:t>, The Cleveland Electric Illuminating Company</w:t>
      </w:r>
      <w:r>
        <w:t xml:space="preserve"> (</w:t>
      </w:r>
      <w:r w:rsidRPr="00C80130">
        <w:t>Cleveland Electric</w:t>
      </w:r>
      <w:r>
        <w:t>)</w:t>
      </w:r>
      <w:r w:rsidRPr="003F740A">
        <w:t>, and The Toledo Edison Company</w:t>
      </w:r>
      <w:r>
        <w:t xml:space="preserve"> (</w:t>
      </w:r>
      <w:r w:rsidRPr="00C80130">
        <w:t>Toledo Edison</w:t>
      </w:r>
      <w:r>
        <w:t>)</w:t>
      </w:r>
      <w:r w:rsidRPr="003F740A">
        <w:t xml:space="preserve"> (</w:t>
      </w:r>
      <w:r>
        <w:t>the Companies</w:t>
      </w:r>
      <w:r w:rsidR="007F3B50">
        <w:t xml:space="preserve"> or Applicants</w:t>
      </w:r>
      <w:r w:rsidRPr="003F740A">
        <w:t xml:space="preserve">), jointly filed an application (Application) for </w:t>
      </w:r>
      <w:r w:rsidRPr="00C80130">
        <w:t>a Financing Order pursuant to the provisions of Section</w:t>
      </w:r>
      <w:r>
        <w:t>s</w:t>
      </w:r>
      <w:r w:rsidRPr="00C80130">
        <w:t xml:space="preserve"> 4928.23(C)</w:t>
      </w:r>
      <w:r>
        <w:t>,</w:t>
      </w:r>
      <w:r w:rsidRPr="00C80130">
        <w:t xml:space="preserve"> (D)(2) </w:t>
      </w:r>
      <w:r>
        <w:t xml:space="preserve">and </w:t>
      </w:r>
      <w:r w:rsidRPr="003F740A">
        <w:t>4928.231, Revised Code</w:t>
      </w:r>
      <w:r>
        <w:t>.</w:t>
      </w:r>
      <w:r w:rsidRPr="003F740A">
        <w:t xml:space="preserve"> </w:t>
      </w:r>
      <w:r>
        <w:t xml:space="preserve"> The Companies are seeking Commission a</w:t>
      </w:r>
      <w:r w:rsidRPr="00C80130">
        <w:t>uthoriz</w:t>
      </w:r>
      <w:r>
        <w:t>ation</w:t>
      </w:r>
      <w:r w:rsidRPr="00C80130">
        <w:t xml:space="preserve"> </w:t>
      </w:r>
      <w:r>
        <w:t xml:space="preserve">for </w:t>
      </w:r>
      <w:r w:rsidRPr="00C80130">
        <w:t xml:space="preserve">the issuance of up to an aggregate principal amount of $555 million of the </w:t>
      </w:r>
      <w:r w:rsidRPr="00DD3829">
        <w:t>Phase-In-Recovery Bonds (the PIR Bonds)</w:t>
      </w:r>
      <w:r w:rsidRPr="00C80130">
        <w:t>, in one or more series and in one or more classes/tranches</w:t>
      </w:r>
      <w:r>
        <w:t xml:space="preserve"> by securitizing deferred assets</w:t>
      </w:r>
      <w:r w:rsidRPr="00C80130">
        <w:t xml:space="preserve">.  </w:t>
      </w:r>
      <w:r>
        <w:t>The Companies</w:t>
      </w:r>
      <w:r w:rsidRPr="00C80130">
        <w:t xml:space="preserve"> </w:t>
      </w:r>
      <w:r>
        <w:t xml:space="preserve">propose to issue the PIR Bonds </w:t>
      </w:r>
      <w:r w:rsidRPr="00C80130">
        <w:t>in amounts of $280 mil</w:t>
      </w:r>
      <w:r w:rsidR="00A71396">
        <w:softHyphen/>
      </w:r>
      <w:r w:rsidRPr="00C80130">
        <w:t>lion for Cleveland Electric, $220 million for Ohio Edison and $55 million for Toledo Edison.</w:t>
      </w:r>
    </w:p>
    <w:p w:rsidR="00FF5711" w:rsidRPr="003F740A" w:rsidRDefault="00FF5711" w:rsidP="00FF5711">
      <w:pPr>
        <w:pStyle w:val="textstyle0"/>
      </w:pPr>
      <w:r>
        <w:tab/>
      </w:r>
      <w:r w:rsidRPr="003F740A">
        <w:t xml:space="preserve">Specifically, </w:t>
      </w:r>
      <w:r>
        <w:t xml:space="preserve">the Companies </w:t>
      </w:r>
      <w:r w:rsidRPr="003F740A">
        <w:t>note that, in accordance with Section 4928.02, Revised Code, securitization is authorized provided the Commission finds, consistent with market conditions, that it measurably enhances cost savings to customers and miti</w:t>
      </w:r>
      <w:r w:rsidR="00596570">
        <w:softHyphen/>
      </w:r>
      <w:r w:rsidRPr="003F740A">
        <w:t>gates rate impacts to customers as compared with the Commission's previously-approved recovery methods.</w:t>
      </w:r>
    </w:p>
    <w:p w:rsidR="00FF5711" w:rsidRPr="003F740A" w:rsidRDefault="00FF5711" w:rsidP="00FF5711">
      <w:pPr>
        <w:pStyle w:val="textstyle0"/>
      </w:pPr>
      <w:r>
        <w:tab/>
        <w:t>The Companies contend</w:t>
      </w:r>
      <w:r w:rsidRPr="003F740A">
        <w:t xml:space="preserve"> that the proposed securitization will benefit customers by providing both </w:t>
      </w:r>
      <w:r w:rsidRPr="009756B2">
        <w:t>cost savings</w:t>
      </w:r>
      <w:r w:rsidRPr="003F740A">
        <w:t xml:space="preserve"> and rate mitigation through reducing the overall cost of these regulatory assets and the rates customers currently are paying</w:t>
      </w:r>
      <w:r>
        <w:t xml:space="preserve"> </w:t>
      </w:r>
      <w:r w:rsidRPr="003F740A">
        <w:t xml:space="preserve">toward their recovery. </w:t>
      </w:r>
      <w:r>
        <w:t xml:space="preserve"> The Companies </w:t>
      </w:r>
      <w:r w:rsidRPr="003F740A">
        <w:t xml:space="preserve">also </w:t>
      </w:r>
      <w:r>
        <w:t>contend</w:t>
      </w:r>
      <w:r w:rsidRPr="003F740A">
        <w:t xml:space="preserve"> that the securitization tra</w:t>
      </w:r>
      <w:r>
        <w:t>n</w:t>
      </w:r>
      <w:r w:rsidRPr="003F740A">
        <w:t xml:space="preserve">saction is expected to significantly reduce the carrying charges over the recovery period for the phase-in costs resulting in customer savings through the issuance of phase-in recovery bonds. </w:t>
      </w:r>
      <w:r>
        <w:t xml:space="preserve"> The Companies </w:t>
      </w:r>
      <w:r w:rsidRPr="003F740A">
        <w:t xml:space="preserve">note </w:t>
      </w:r>
      <w:r w:rsidRPr="003F740A">
        <w:lastRenderedPageBreak/>
        <w:t>that the recovery period will not exceed the overall recovery period under the existing cost</w:t>
      </w:r>
      <w:r>
        <w:t xml:space="preserve"> </w:t>
      </w:r>
      <w:r w:rsidRPr="003F740A">
        <w:t>recovery methodologies approved by the Co</w:t>
      </w:r>
      <w:r>
        <w:t>mm</w:t>
      </w:r>
      <w:r w:rsidRPr="003F740A">
        <w:t>ission for such regulatory assets.</w:t>
      </w:r>
    </w:p>
    <w:p w:rsidR="00FF5711" w:rsidRPr="00DD3829" w:rsidRDefault="00FF5711" w:rsidP="00FF5711">
      <w:pPr>
        <w:pStyle w:val="textstyle0"/>
      </w:pPr>
      <w:r>
        <w:tab/>
      </w:r>
      <w:r w:rsidRPr="00DD3829">
        <w:t xml:space="preserve">The Act provides for </w:t>
      </w:r>
      <w:r>
        <w:t>the electric distribution utilities</w:t>
      </w:r>
      <w:r w:rsidRPr="00DD3829">
        <w:t xml:space="preserve"> to securitize certain previ</w:t>
      </w:r>
      <w:r w:rsidR="00596570">
        <w:softHyphen/>
      </w:r>
      <w:r w:rsidRPr="00DD3829">
        <w:t>ously approved costs (Phase-in Costs</w:t>
      </w:r>
      <w:r>
        <w:t>, also referred here as deferred assets</w:t>
      </w:r>
      <w:r w:rsidRPr="00DD3829">
        <w:t>) through the issuance of the PIR Bonds pursuant to a Financing Order issued by the Commission.  Section 4928.02, Revised Code, empowers the Commission to authorize the issuance of the PIR Bonds if such issuances result in, consistent with market conditions, measurably enhancing cost savings to customers and mitigat</w:t>
      </w:r>
      <w:r w:rsidR="00FD759A">
        <w:t>e</w:t>
      </w:r>
      <w:r w:rsidRPr="00DD3829">
        <w:t xml:space="preserve"> rate impacts to customers as com</w:t>
      </w:r>
      <w:r w:rsidR="00596570">
        <w:softHyphen/>
      </w:r>
      <w:r w:rsidRPr="00DD3829">
        <w:t>pared with the Commission’s previously- approved recovery methods.  These benefits to cus</w:t>
      </w:r>
      <w:r w:rsidR="00936E47">
        <w:softHyphen/>
      </w:r>
      <w:r w:rsidRPr="00DD3829">
        <w:t>tomers are reflected in a reduction in the expected amount payable by the customers on both a nominal and a net present value basis as compared with existing recovery mecha</w:t>
      </w:r>
      <w:r w:rsidR="00936E47">
        <w:softHyphen/>
      </w:r>
      <w:r w:rsidRPr="00DD3829">
        <w:t>nisms.</w:t>
      </w:r>
    </w:p>
    <w:p w:rsidR="00FF5711" w:rsidRPr="00C80130" w:rsidRDefault="00FF5711" w:rsidP="00FF5711">
      <w:pPr>
        <w:pStyle w:val="textstyle0"/>
        <w:rPr>
          <w:rFonts w:cs="Arial"/>
        </w:rPr>
      </w:pPr>
      <w:r>
        <w:tab/>
      </w:r>
      <w:r w:rsidRPr="00C80130">
        <w:t xml:space="preserve">The proceeds from the PIR Bonds will: (i) allow full collection of the associated financing costs, and (ii) compensate the </w:t>
      </w:r>
      <w:r>
        <w:t>Companies</w:t>
      </w:r>
      <w:r w:rsidRPr="00C80130">
        <w:t xml:space="preserve"> for Phase-in Costs at an effective interest rate (after taking into account upfront and ongoing Financing Costs) lower than each </w:t>
      </w:r>
      <w:r>
        <w:t>Company</w:t>
      </w:r>
      <w:r w:rsidRPr="00C80130">
        <w:t>’s Commission authorized rate of return for such regulatory assets.  Reduction of the carrying costs of the financed Phase-In Costs benefits customers by reducing the net present value of future payments by customers providing for the recov</w:t>
      </w:r>
      <w:r w:rsidR="00596570">
        <w:softHyphen/>
      </w:r>
      <w:r w:rsidRPr="00C80130">
        <w:t xml:space="preserve">ery of such costs.  </w:t>
      </w:r>
      <w:r w:rsidRPr="00C80130">
        <w:rPr>
          <w:rFonts w:cs="TimesNewRoman"/>
        </w:rPr>
        <w:t>The securitization transaction is also expected to significantly reduce the carrying charges over the recovery period for these Phase-In Costs through the issu</w:t>
      </w:r>
      <w:r w:rsidR="00596570">
        <w:rPr>
          <w:rFonts w:cs="TimesNewRoman"/>
        </w:rPr>
        <w:softHyphen/>
      </w:r>
      <w:r w:rsidRPr="00C80130">
        <w:rPr>
          <w:rFonts w:cs="TimesNewRoman"/>
        </w:rPr>
        <w:t xml:space="preserve">ance of the PIR Bonds resulting in estimated nominal costs savings to customers of approximately $104 million in the aggregate as shown on Exhibit B </w:t>
      </w:r>
      <w:r w:rsidR="006121CF">
        <w:rPr>
          <w:rFonts w:cs="TimesNewRoman"/>
        </w:rPr>
        <w:t>of</w:t>
      </w:r>
      <w:r w:rsidR="006121CF" w:rsidRPr="00C80130">
        <w:rPr>
          <w:rFonts w:cs="TimesNewRoman"/>
        </w:rPr>
        <w:t xml:space="preserve"> </w:t>
      </w:r>
      <w:r w:rsidRPr="00C80130">
        <w:rPr>
          <w:rFonts w:cs="TimesNewRoman"/>
        </w:rPr>
        <w:t>the Application.</w:t>
      </w:r>
    </w:p>
    <w:p w:rsidR="00FF5711" w:rsidRDefault="00FF5711" w:rsidP="00FF5711">
      <w:pPr>
        <w:pStyle w:val="NoSpacing"/>
        <w:tabs>
          <w:tab w:val="left" w:pos="900"/>
        </w:tabs>
        <w:autoSpaceDE w:val="0"/>
        <w:autoSpaceDN w:val="0"/>
        <w:adjustRightInd w:val="0"/>
        <w:ind w:left="1440"/>
        <w:jc w:val="both"/>
        <w:rPr>
          <w:rFonts w:ascii="Book Antiqua" w:hAnsi="Book Antiqua" w:cs="TimesNewRoman"/>
          <w:sz w:val="24"/>
          <w:szCs w:val="24"/>
        </w:rPr>
      </w:pPr>
    </w:p>
    <w:p w:rsidR="00FF5711" w:rsidRPr="00D87A70" w:rsidRDefault="00FF5711" w:rsidP="00FF5711">
      <w:pPr>
        <w:pStyle w:val="textstyle0"/>
      </w:pPr>
      <w:r>
        <w:tab/>
      </w:r>
      <w:r w:rsidRPr="00D87A70">
        <w:t xml:space="preserve">Exhibit D </w:t>
      </w:r>
      <w:r w:rsidR="006121CF">
        <w:t>of</w:t>
      </w:r>
      <w:r w:rsidR="006121CF" w:rsidRPr="00D87A70">
        <w:t xml:space="preserve"> </w:t>
      </w:r>
      <w:r w:rsidRPr="00D87A70">
        <w:t>the Application</w:t>
      </w:r>
      <w:r>
        <w:t xml:space="preserve"> presents the </w:t>
      </w:r>
      <w:r w:rsidRPr="00D87A70">
        <w:t xml:space="preserve">Companies’ use of </w:t>
      </w:r>
      <w:r>
        <w:t xml:space="preserve">PIR Bond </w:t>
      </w:r>
      <w:r w:rsidRPr="00D87A70">
        <w:t xml:space="preserve">proceeds, </w:t>
      </w:r>
      <w:r>
        <w:t xml:space="preserve">and </w:t>
      </w:r>
      <w:r w:rsidRPr="00D87A70">
        <w:t>the current and pro forma capitalization in connection with the issuance of PIR Bonds.</w:t>
      </w:r>
    </w:p>
    <w:p w:rsidR="00FF5711" w:rsidRPr="00E83B86" w:rsidRDefault="00FF5711" w:rsidP="00FF5711">
      <w:pPr>
        <w:pStyle w:val="textstyle0"/>
      </w:pPr>
      <w:r>
        <w:tab/>
        <w:t xml:space="preserve">The </w:t>
      </w:r>
      <w:r w:rsidRPr="00E83B86">
        <w:t>Companies’ request for the Commission issuance of a Finance Order as pro</w:t>
      </w:r>
      <w:r w:rsidR="00596570">
        <w:softHyphen/>
      </w:r>
      <w:r w:rsidRPr="00E83B86">
        <w:t xml:space="preserve">posed herein is consistent with Section 4928.02, Revised Code.   </w:t>
      </w:r>
    </w:p>
    <w:p w:rsidR="00FF5711" w:rsidRPr="00E83B86" w:rsidRDefault="00FF5711" w:rsidP="00FF5711">
      <w:pPr>
        <w:pStyle w:val="textstyle0"/>
      </w:pPr>
      <w:r>
        <w:tab/>
      </w:r>
      <w:r w:rsidRPr="00E83B86">
        <w:t>The Companies request that the Commission:</w:t>
      </w:r>
    </w:p>
    <w:p w:rsidR="00FF5711" w:rsidRPr="00FF5711" w:rsidRDefault="00FF5711" w:rsidP="00FF5711">
      <w:pPr>
        <w:autoSpaceDE w:val="0"/>
        <w:autoSpaceDN w:val="0"/>
        <w:adjustRightInd w:val="0"/>
        <w:spacing w:after="240" w:line="480" w:lineRule="auto"/>
        <w:ind w:left="720" w:hanging="720"/>
        <w:jc w:val="both"/>
        <w:rPr>
          <w:sz w:val="26"/>
          <w:szCs w:val="26"/>
        </w:rPr>
      </w:pPr>
      <w:r w:rsidRPr="00FF5711">
        <w:rPr>
          <w:sz w:val="26"/>
          <w:szCs w:val="26"/>
        </w:rPr>
        <w:t xml:space="preserve">(1) </w:t>
      </w:r>
      <w:r>
        <w:rPr>
          <w:sz w:val="26"/>
          <w:szCs w:val="26"/>
        </w:rPr>
        <w:tab/>
      </w:r>
      <w:r w:rsidRPr="00FF5711">
        <w:rPr>
          <w:sz w:val="26"/>
          <w:szCs w:val="26"/>
        </w:rPr>
        <w:t xml:space="preserve">Approve the Companies' proposed securitization and, pursuant to the Act, issue a Financing Order granting any and all authorizations that may be required under Ohio law for the consummation of the transactions contemplated by the issuance of PIR Bonds and related matters, including, without limitation, </w:t>
      </w:r>
    </w:p>
    <w:p w:rsidR="00FF5711" w:rsidRPr="00FF5711" w:rsidRDefault="00FF5711" w:rsidP="00FF5711">
      <w:pPr>
        <w:autoSpaceDE w:val="0"/>
        <w:autoSpaceDN w:val="0"/>
        <w:adjustRightInd w:val="0"/>
        <w:spacing w:after="240" w:line="480" w:lineRule="auto"/>
        <w:ind w:left="1440" w:hanging="720"/>
        <w:jc w:val="both"/>
        <w:rPr>
          <w:sz w:val="26"/>
          <w:szCs w:val="26"/>
        </w:rPr>
      </w:pPr>
      <w:r w:rsidRPr="00FF5711">
        <w:rPr>
          <w:sz w:val="26"/>
          <w:szCs w:val="26"/>
        </w:rPr>
        <w:t xml:space="preserve">(a) </w:t>
      </w:r>
      <w:r w:rsidRPr="00FF5711">
        <w:rPr>
          <w:sz w:val="26"/>
          <w:szCs w:val="26"/>
        </w:rPr>
        <w:tab/>
        <w:t>The securitization transaction providing for the recovery of Phase-In-Recov</w:t>
      </w:r>
      <w:r w:rsidR="00596570">
        <w:rPr>
          <w:sz w:val="26"/>
          <w:szCs w:val="26"/>
        </w:rPr>
        <w:softHyphen/>
      </w:r>
      <w:r w:rsidRPr="00FF5711">
        <w:rPr>
          <w:sz w:val="26"/>
          <w:szCs w:val="26"/>
        </w:rPr>
        <w:t xml:space="preserve">ery Costs and Financing Costs, through the issuance of up to an aggregate amount of $555 million of Phase-In-Recovery Bonds payable from collections from Phase-In-Recovery Charges, and the execution, delivery and performance of all documentation necessary to consummate the securitization transaction, </w:t>
      </w:r>
    </w:p>
    <w:p w:rsidR="00FF5711" w:rsidRPr="00FF5711" w:rsidRDefault="00FF5711" w:rsidP="00FF5711">
      <w:pPr>
        <w:autoSpaceDE w:val="0"/>
        <w:autoSpaceDN w:val="0"/>
        <w:adjustRightInd w:val="0"/>
        <w:spacing w:after="240" w:line="480" w:lineRule="auto"/>
        <w:ind w:left="1440" w:hanging="720"/>
        <w:jc w:val="both"/>
        <w:rPr>
          <w:sz w:val="26"/>
          <w:szCs w:val="26"/>
        </w:rPr>
      </w:pPr>
      <w:r w:rsidRPr="00FF5711">
        <w:rPr>
          <w:sz w:val="26"/>
          <w:szCs w:val="26"/>
        </w:rPr>
        <w:t xml:space="preserve">(b) </w:t>
      </w:r>
      <w:r w:rsidRPr="00FF5711">
        <w:rPr>
          <w:sz w:val="26"/>
          <w:szCs w:val="26"/>
        </w:rPr>
        <w:tab/>
        <w:t xml:space="preserve">The recovery of certain deferred Phase-In-Costs and Financing Costs, </w:t>
      </w:r>
    </w:p>
    <w:p w:rsidR="00FF5711" w:rsidRPr="00FF5711" w:rsidRDefault="00FF5711" w:rsidP="00FF5711">
      <w:pPr>
        <w:autoSpaceDE w:val="0"/>
        <w:autoSpaceDN w:val="0"/>
        <w:adjustRightInd w:val="0"/>
        <w:spacing w:after="240" w:line="480" w:lineRule="auto"/>
        <w:ind w:left="1440" w:hanging="720"/>
        <w:jc w:val="both"/>
        <w:rPr>
          <w:sz w:val="26"/>
          <w:szCs w:val="26"/>
        </w:rPr>
      </w:pPr>
      <w:r w:rsidRPr="00FF5711">
        <w:rPr>
          <w:sz w:val="26"/>
          <w:szCs w:val="26"/>
        </w:rPr>
        <w:t xml:space="preserve">(c) </w:t>
      </w:r>
      <w:r w:rsidRPr="00FF5711">
        <w:rPr>
          <w:sz w:val="26"/>
          <w:szCs w:val="26"/>
        </w:rPr>
        <w:tab/>
        <w:t xml:space="preserve">The imposition, charging, and collection of Phase-In-Recovery Charges, </w:t>
      </w:r>
    </w:p>
    <w:p w:rsidR="00FF5711" w:rsidRPr="00FF5711" w:rsidRDefault="00FF5711" w:rsidP="00FF5711">
      <w:pPr>
        <w:autoSpaceDE w:val="0"/>
        <w:autoSpaceDN w:val="0"/>
        <w:adjustRightInd w:val="0"/>
        <w:spacing w:after="240" w:line="480" w:lineRule="auto"/>
        <w:ind w:left="1440" w:hanging="720"/>
        <w:jc w:val="both"/>
        <w:rPr>
          <w:sz w:val="26"/>
          <w:szCs w:val="26"/>
        </w:rPr>
      </w:pPr>
      <w:r w:rsidRPr="00FF5711">
        <w:rPr>
          <w:sz w:val="26"/>
          <w:szCs w:val="26"/>
        </w:rPr>
        <w:t xml:space="preserve">(d) </w:t>
      </w:r>
      <w:r w:rsidRPr="00FF5711">
        <w:rPr>
          <w:sz w:val="26"/>
          <w:szCs w:val="26"/>
        </w:rPr>
        <w:tab/>
        <w:t>The creation of the Phase-In-Recovery Property (such creation to be simulta</w:t>
      </w:r>
      <w:r w:rsidR="00596570">
        <w:rPr>
          <w:sz w:val="26"/>
          <w:szCs w:val="26"/>
        </w:rPr>
        <w:softHyphen/>
      </w:r>
      <w:r w:rsidRPr="00FF5711">
        <w:rPr>
          <w:sz w:val="26"/>
          <w:szCs w:val="26"/>
        </w:rPr>
        <w:t xml:space="preserve">neous with the sale of such Phase-In-Recovery Property to each </w:t>
      </w:r>
      <w:r w:rsidR="00FD759A">
        <w:rPr>
          <w:sz w:val="26"/>
          <w:szCs w:val="26"/>
        </w:rPr>
        <w:t xml:space="preserve">of </w:t>
      </w:r>
      <w:r w:rsidR="00FD759A">
        <w:rPr>
          <w:sz w:val="26"/>
          <w:szCs w:val="26"/>
        </w:rPr>
        <w:lastRenderedPageBreak/>
        <w:t xml:space="preserve">the </w:t>
      </w:r>
      <w:r w:rsidRPr="00FF5711">
        <w:rPr>
          <w:sz w:val="26"/>
          <w:szCs w:val="26"/>
        </w:rPr>
        <w:t>special purpose entity (SPE) formed by the respective Companies, the establishment and adjustment from time to time of Phase-In-Recovery Charges from which PIR Bonds and ongoing Financing Costs will be paid and the adjustment mechanism to be used,</w:t>
      </w:r>
    </w:p>
    <w:p w:rsidR="00FF5711" w:rsidRPr="00FF5711" w:rsidRDefault="00FF5711" w:rsidP="00FF5711">
      <w:pPr>
        <w:autoSpaceDE w:val="0"/>
        <w:autoSpaceDN w:val="0"/>
        <w:adjustRightInd w:val="0"/>
        <w:spacing w:after="240" w:line="480" w:lineRule="auto"/>
        <w:ind w:left="1440" w:hanging="720"/>
        <w:jc w:val="both"/>
        <w:rPr>
          <w:sz w:val="26"/>
          <w:szCs w:val="26"/>
        </w:rPr>
      </w:pPr>
      <w:r w:rsidRPr="00FF5711">
        <w:rPr>
          <w:sz w:val="26"/>
          <w:szCs w:val="26"/>
        </w:rPr>
        <w:t xml:space="preserve">(e) </w:t>
      </w:r>
      <w:r w:rsidRPr="00FF5711">
        <w:rPr>
          <w:sz w:val="26"/>
          <w:szCs w:val="26"/>
        </w:rPr>
        <w:tab/>
        <w:t xml:space="preserve">The allocation of Phase-In-Recovery Charges among customer classes, </w:t>
      </w:r>
    </w:p>
    <w:p w:rsidR="00FF5711" w:rsidRPr="00FF5711" w:rsidRDefault="00FF5711" w:rsidP="00FF5711">
      <w:pPr>
        <w:autoSpaceDE w:val="0"/>
        <w:autoSpaceDN w:val="0"/>
        <w:adjustRightInd w:val="0"/>
        <w:spacing w:after="240" w:line="480" w:lineRule="auto"/>
        <w:ind w:left="1440" w:hanging="720"/>
        <w:jc w:val="both"/>
        <w:rPr>
          <w:sz w:val="26"/>
          <w:szCs w:val="26"/>
        </w:rPr>
      </w:pPr>
      <w:r w:rsidRPr="00FF5711">
        <w:rPr>
          <w:sz w:val="26"/>
          <w:szCs w:val="26"/>
        </w:rPr>
        <w:t xml:space="preserve">(f) </w:t>
      </w:r>
      <w:r w:rsidRPr="00FF5711">
        <w:rPr>
          <w:sz w:val="26"/>
          <w:szCs w:val="26"/>
        </w:rPr>
        <w:tab/>
        <w:t xml:space="preserve">The maximum term of the PIR Bonds, </w:t>
      </w:r>
    </w:p>
    <w:p w:rsidR="00FF5711" w:rsidRPr="00FF5711" w:rsidRDefault="00FF5711" w:rsidP="00FF5711">
      <w:pPr>
        <w:autoSpaceDE w:val="0"/>
        <w:autoSpaceDN w:val="0"/>
        <w:adjustRightInd w:val="0"/>
        <w:spacing w:after="240" w:line="480" w:lineRule="auto"/>
        <w:ind w:left="1440" w:hanging="720"/>
        <w:jc w:val="both"/>
        <w:rPr>
          <w:sz w:val="26"/>
          <w:szCs w:val="26"/>
        </w:rPr>
      </w:pPr>
      <w:r w:rsidRPr="00FF5711">
        <w:rPr>
          <w:sz w:val="26"/>
          <w:szCs w:val="26"/>
        </w:rPr>
        <w:t xml:space="preserve">(g) </w:t>
      </w:r>
      <w:r w:rsidRPr="00FF5711">
        <w:rPr>
          <w:sz w:val="26"/>
          <w:szCs w:val="26"/>
        </w:rPr>
        <w:tab/>
        <w:t>The organization and capitalization of each SPE to which Phase-In-Recovery Property will be sold,</w:t>
      </w:r>
    </w:p>
    <w:p w:rsidR="00FF5711" w:rsidRPr="00FF5711" w:rsidRDefault="00FF5711" w:rsidP="00FF5711">
      <w:pPr>
        <w:autoSpaceDE w:val="0"/>
        <w:autoSpaceDN w:val="0"/>
        <w:adjustRightInd w:val="0"/>
        <w:spacing w:after="240" w:line="480" w:lineRule="auto"/>
        <w:ind w:left="1440" w:hanging="720"/>
        <w:jc w:val="both"/>
        <w:rPr>
          <w:sz w:val="26"/>
          <w:szCs w:val="26"/>
        </w:rPr>
      </w:pPr>
      <w:r w:rsidRPr="00FF5711">
        <w:rPr>
          <w:sz w:val="26"/>
          <w:szCs w:val="26"/>
        </w:rPr>
        <w:t xml:space="preserve">(h) </w:t>
      </w:r>
      <w:r w:rsidRPr="00FF5711">
        <w:rPr>
          <w:sz w:val="26"/>
          <w:szCs w:val="26"/>
        </w:rPr>
        <w:tab/>
        <w:t>The servicing of Phase-In-Recovery Charges by the Companies as initial ser</w:t>
      </w:r>
      <w:r w:rsidR="00596570">
        <w:rPr>
          <w:sz w:val="26"/>
          <w:szCs w:val="26"/>
        </w:rPr>
        <w:softHyphen/>
      </w:r>
      <w:r w:rsidRPr="00FF5711">
        <w:rPr>
          <w:sz w:val="26"/>
          <w:szCs w:val="26"/>
        </w:rPr>
        <w:t xml:space="preserve">vicers or any successor servicer under the servicing agreements, </w:t>
      </w:r>
    </w:p>
    <w:p w:rsidR="00FF5711" w:rsidRPr="00FF5711" w:rsidRDefault="00FF5711" w:rsidP="00FF5711">
      <w:pPr>
        <w:autoSpaceDE w:val="0"/>
        <w:autoSpaceDN w:val="0"/>
        <w:adjustRightInd w:val="0"/>
        <w:spacing w:after="240" w:line="480" w:lineRule="auto"/>
        <w:ind w:left="1440" w:hanging="720"/>
        <w:jc w:val="both"/>
        <w:rPr>
          <w:sz w:val="26"/>
          <w:szCs w:val="26"/>
        </w:rPr>
      </w:pPr>
      <w:r>
        <w:rPr>
          <w:sz w:val="26"/>
          <w:szCs w:val="26"/>
        </w:rPr>
        <w:t>(i)</w:t>
      </w:r>
      <w:r>
        <w:rPr>
          <w:sz w:val="26"/>
          <w:szCs w:val="26"/>
        </w:rPr>
        <w:tab/>
      </w:r>
      <w:r w:rsidRPr="00FF5711">
        <w:rPr>
          <w:sz w:val="26"/>
          <w:szCs w:val="26"/>
        </w:rPr>
        <w:t xml:space="preserve">Implementation of the trust structure contemplated by paragraph 24 of this Application, </w:t>
      </w:r>
    </w:p>
    <w:p w:rsidR="00FF5711" w:rsidRPr="00FF5711" w:rsidRDefault="00FF5711" w:rsidP="00FF5711">
      <w:pPr>
        <w:autoSpaceDE w:val="0"/>
        <w:autoSpaceDN w:val="0"/>
        <w:adjustRightInd w:val="0"/>
        <w:spacing w:after="240" w:line="480" w:lineRule="auto"/>
        <w:ind w:left="1440" w:hanging="720"/>
        <w:jc w:val="both"/>
        <w:rPr>
          <w:sz w:val="26"/>
          <w:szCs w:val="26"/>
        </w:rPr>
      </w:pPr>
      <w:r w:rsidRPr="00FF5711">
        <w:rPr>
          <w:sz w:val="26"/>
          <w:szCs w:val="26"/>
        </w:rPr>
        <w:t xml:space="preserve">(j) </w:t>
      </w:r>
      <w:r w:rsidRPr="00FF5711">
        <w:rPr>
          <w:sz w:val="26"/>
          <w:szCs w:val="26"/>
        </w:rPr>
        <w:tab/>
        <w:t xml:space="preserve">Flexibility in establishing the terms and conditions for the PIR Bonds to accommodate changes in market conditions, </w:t>
      </w:r>
    </w:p>
    <w:p w:rsidR="00FF5711" w:rsidRPr="00FF5711" w:rsidRDefault="00FF5711" w:rsidP="00FF5711">
      <w:pPr>
        <w:autoSpaceDE w:val="0"/>
        <w:autoSpaceDN w:val="0"/>
        <w:adjustRightInd w:val="0"/>
        <w:spacing w:after="240" w:line="480" w:lineRule="auto"/>
        <w:ind w:left="1440" w:hanging="720"/>
        <w:jc w:val="both"/>
        <w:rPr>
          <w:sz w:val="26"/>
          <w:szCs w:val="26"/>
        </w:rPr>
      </w:pPr>
      <w:r w:rsidRPr="00FF5711">
        <w:rPr>
          <w:sz w:val="26"/>
          <w:szCs w:val="26"/>
        </w:rPr>
        <w:t xml:space="preserve">(k) </w:t>
      </w:r>
      <w:r w:rsidRPr="00FF5711">
        <w:rPr>
          <w:sz w:val="26"/>
          <w:szCs w:val="26"/>
        </w:rPr>
        <w:tab/>
        <w:t>The ability to issue PIR Bonds in one or more series and to effect correlated assignments, sales, pledges, or other transfers of Phase-in-Recovery Prop</w:t>
      </w:r>
      <w:r w:rsidR="00596570">
        <w:rPr>
          <w:sz w:val="26"/>
          <w:szCs w:val="26"/>
        </w:rPr>
        <w:softHyphen/>
      </w:r>
      <w:r w:rsidRPr="00FF5711">
        <w:rPr>
          <w:sz w:val="26"/>
          <w:szCs w:val="26"/>
        </w:rPr>
        <w:t xml:space="preserve">erty, </w:t>
      </w:r>
    </w:p>
    <w:p w:rsidR="00FF5711" w:rsidRPr="00FF5711" w:rsidRDefault="00FF5711" w:rsidP="00FF5711">
      <w:pPr>
        <w:autoSpaceDE w:val="0"/>
        <w:autoSpaceDN w:val="0"/>
        <w:adjustRightInd w:val="0"/>
        <w:spacing w:after="240" w:line="480" w:lineRule="auto"/>
        <w:ind w:left="1440" w:hanging="720"/>
        <w:jc w:val="both"/>
        <w:rPr>
          <w:sz w:val="26"/>
          <w:szCs w:val="26"/>
        </w:rPr>
      </w:pPr>
      <w:r w:rsidRPr="00FF5711">
        <w:rPr>
          <w:sz w:val="26"/>
          <w:szCs w:val="26"/>
        </w:rPr>
        <w:lastRenderedPageBreak/>
        <w:t xml:space="preserve">(l) </w:t>
      </w:r>
      <w:r w:rsidRPr="00FF5711">
        <w:rPr>
          <w:sz w:val="26"/>
          <w:szCs w:val="26"/>
        </w:rPr>
        <w:tab/>
        <w:t>Approval of the Final Initial Tariff Sheets and associated adjustment mecha</w:t>
      </w:r>
      <w:r w:rsidR="00596570">
        <w:rPr>
          <w:sz w:val="26"/>
          <w:szCs w:val="26"/>
        </w:rPr>
        <w:softHyphen/>
      </w:r>
      <w:r w:rsidRPr="00FF5711">
        <w:rPr>
          <w:sz w:val="26"/>
          <w:szCs w:val="26"/>
        </w:rPr>
        <w:t>nism,</w:t>
      </w:r>
    </w:p>
    <w:p w:rsidR="00FF5711" w:rsidRPr="00FF5711" w:rsidRDefault="00FF5711" w:rsidP="00FF5711">
      <w:pPr>
        <w:autoSpaceDE w:val="0"/>
        <w:autoSpaceDN w:val="0"/>
        <w:adjustRightInd w:val="0"/>
        <w:spacing w:after="240" w:line="480" w:lineRule="auto"/>
        <w:ind w:left="1440" w:hanging="720"/>
        <w:jc w:val="both"/>
        <w:rPr>
          <w:sz w:val="26"/>
          <w:szCs w:val="26"/>
        </w:rPr>
      </w:pPr>
      <w:r w:rsidRPr="00FF5711">
        <w:rPr>
          <w:sz w:val="26"/>
          <w:szCs w:val="26"/>
        </w:rPr>
        <w:t xml:space="preserve">(m) </w:t>
      </w:r>
      <w:r w:rsidRPr="00FF5711">
        <w:rPr>
          <w:sz w:val="26"/>
          <w:szCs w:val="26"/>
        </w:rPr>
        <w:tab/>
        <w:t>Approval of the change reflected in the proposed Bill Format, and,</w:t>
      </w:r>
    </w:p>
    <w:p w:rsidR="00FF5711" w:rsidRPr="00FF5711" w:rsidRDefault="00FF5711" w:rsidP="00FF5711">
      <w:pPr>
        <w:autoSpaceDE w:val="0"/>
        <w:autoSpaceDN w:val="0"/>
        <w:adjustRightInd w:val="0"/>
        <w:spacing w:after="240" w:line="480" w:lineRule="auto"/>
        <w:ind w:left="1440" w:hanging="720"/>
        <w:jc w:val="both"/>
        <w:rPr>
          <w:sz w:val="26"/>
          <w:szCs w:val="26"/>
        </w:rPr>
      </w:pPr>
      <w:r w:rsidRPr="00FF5711">
        <w:rPr>
          <w:sz w:val="26"/>
          <w:szCs w:val="26"/>
        </w:rPr>
        <w:t xml:space="preserve">(n) </w:t>
      </w:r>
      <w:r w:rsidRPr="00FF5711">
        <w:rPr>
          <w:sz w:val="26"/>
          <w:szCs w:val="26"/>
        </w:rPr>
        <w:tab/>
        <w:t>All of the determinations and descriptions required by §4928.232;</w:t>
      </w:r>
    </w:p>
    <w:p w:rsidR="00FF5711" w:rsidRPr="00FF5711" w:rsidRDefault="00FF5711" w:rsidP="00FF5711">
      <w:pPr>
        <w:autoSpaceDE w:val="0"/>
        <w:autoSpaceDN w:val="0"/>
        <w:adjustRightInd w:val="0"/>
        <w:spacing w:after="240" w:line="480" w:lineRule="auto"/>
        <w:ind w:left="720" w:hanging="720"/>
        <w:jc w:val="both"/>
        <w:rPr>
          <w:sz w:val="26"/>
          <w:szCs w:val="26"/>
        </w:rPr>
      </w:pPr>
      <w:r w:rsidRPr="00FF5711">
        <w:rPr>
          <w:sz w:val="26"/>
          <w:szCs w:val="26"/>
        </w:rPr>
        <w:t xml:space="preserve">(2) </w:t>
      </w:r>
      <w:r w:rsidRPr="00FF5711">
        <w:rPr>
          <w:sz w:val="26"/>
          <w:szCs w:val="26"/>
        </w:rPr>
        <w:tab/>
        <w:t>Confirm, provide and include in the Financing Order each provision requested in the Application to be confirmed in the Financing Order including, without limita</w:t>
      </w:r>
      <w:r w:rsidR="00596570">
        <w:rPr>
          <w:sz w:val="26"/>
          <w:szCs w:val="26"/>
        </w:rPr>
        <w:softHyphen/>
      </w:r>
      <w:r w:rsidR="00FD759A">
        <w:rPr>
          <w:sz w:val="26"/>
          <w:szCs w:val="26"/>
        </w:rPr>
        <w:t>tion to</w:t>
      </w:r>
      <w:r w:rsidRPr="00FF5711">
        <w:rPr>
          <w:sz w:val="26"/>
          <w:szCs w:val="26"/>
        </w:rPr>
        <w:t xml:space="preserve"> the following provisions: </w:t>
      </w:r>
    </w:p>
    <w:p w:rsidR="00FF5711" w:rsidRPr="00FF5711" w:rsidRDefault="00FF5711" w:rsidP="00592E75">
      <w:pPr>
        <w:autoSpaceDE w:val="0"/>
        <w:autoSpaceDN w:val="0"/>
        <w:adjustRightInd w:val="0"/>
        <w:spacing w:after="240"/>
        <w:ind w:left="1440" w:hanging="720"/>
        <w:contextualSpacing/>
        <w:jc w:val="both"/>
        <w:rPr>
          <w:sz w:val="26"/>
          <w:szCs w:val="26"/>
        </w:rPr>
      </w:pPr>
      <w:r w:rsidRPr="00FF5711">
        <w:rPr>
          <w:sz w:val="26"/>
          <w:szCs w:val="26"/>
        </w:rPr>
        <w:t xml:space="preserve">(a) </w:t>
      </w:r>
      <w:r w:rsidRPr="00FF5711">
        <w:rPr>
          <w:sz w:val="26"/>
          <w:szCs w:val="26"/>
        </w:rPr>
        <w:tab/>
        <w:t xml:space="preserve">The irrevocability; </w:t>
      </w:r>
    </w:p>
    <w:p w:rsidR="00FF5711" w:rsidRPr="00FF5711" w:rsidRDefault="00FF5711" w:rsidP="00592E75">
      <w:pPr>
        <w:autoSpaceDE w:val="0"/>
        <w:autoSpaceDN w:val="0"/>
        <w:adjustRightInd w:val="0"/>
        <w:spacing w:after="240"/>
        <w:ind w:left="1440" w:hanging="720"/>
        <w:contextualSpacing/>
        <w:jc w:val="both"/>
        <w:rPr>
          <w:sz w:val="26"/>
          <w:szCs w:val="26"/>
        </w:rPr>
      </w:pPr>
      <w:r w:rsidRPr="00FF5711">
        <w:rPr>
          <w:sz w:val="26"/>
          <w:szCs w:val="26"/>
        </w:rPr>
        <w:t xml:space="preserve">(b) </w:t>
      </w:r>
      <w:r w:rsidRPr="00FF5711">
        <w:rPr>
          <w:sz w:val="26"/>
          <w:szCs w:val="26"/>
        </w:rPr>
        <w:tab/>
        <w:t xml:space="preserve">State pledge; </w:t>
      </w:r>
    </w:p>
    <w:p w:rsidR="00FF5711" w:rsidRPr="00FF5711" w:rsidRDefault="00FF5711" w:rsidP="00592E75">
      <w:pPr>
        <w:autoSpaceDE w:val="0"/>
        <w:autoSpaceDN w:val="0"/>
        <w:adjustRightInd w:val="0"/>
        <w:spacing w:after="240"/>
        <w:ind w:left="1440" w:hanging="720"/>
        <w:contextualSpacing/>
        <w:jc w:val="both"/>
        <w:rPr>
          <w:sz w:val="26"/>
          <w:szCs w:val="26"/>
        </w:rPr>
      </w:pPr>
      <w:r w:rsidRPr="00FF5711">
        <w:rPr>
          <w:sz w:val="26"/>
          <w:szCs w:val="26"/>
        </w:rPr>
        <w:t xml:space="preserve">(c) </w:t>
      </w:r>
      <w:r w:rsidRPr="00FF5711">
        <w:rPr>
          <w:sz w:val="26"/>
          <w:szCs w:val="26"/>
        </w:rPr>
        <w:tab/>
        <w:t xml:space="preserve">True sale; </w:t>
      </w:r>
    </w:p>
    <w:p w:rsidR="00FF5711" w:rsidRPr="00FF5711" w:rsidRDefault="00FF5711" w:rsidP="00592E75">
      <w:pPr>
        <w:autoSpaceDE w:val="0"/>
        <w:autoSpaceDN w:val="0"/>
        <w:adjustRightInd w:val="0"/>
        <w:spacing w:after="240"/>
        <w:ind w:left="1440" w:hanging="720"/>
        <w:contextualSpacing/>
        <w:jc w:val="both"/>
        <w:rPr>
          <w:sz w:val="26"/>
          <w:szCs w:val="26"/>
        </w:rPr>
      </w:pPr>
      <w:r w:rsidRPr="00FF5711">
        <w:rPr>
          <w:sz w:val="26"/>
          <w:szCs w:val="26"/>
        </w:rPr>
        <w:t>(d)</w:t>
      </w:r>
      <w:r w:rsidRPr="00FF5711">
        <w:rPr>
          <w:sz w:val="26"/>
          <w:szCs w:val="26"/>
        </w:rPr>
        <w:tab/>
        <w:t xml:space="preserve">Successor utility; </w:t>
      </w:r>
    </w:p>
    <w:p w:rsidR="00FF5711" w:rsidRPr="00FF5711" w:rsidRDefault="00FF5711" w:rsidP="00592E75">
      <w:pPr>
        <w:autoSpaceDE w:val="0"/>
        <w:autoSpaceDN w:val="0"/>
        <w:adjustRightInd w:val="0"/>
        <w:spacing w:after="240"/>
        <w:ind w:left="1440" w:hanging="720"/>
        <w:contextualSpacing/>
        <w:jc w:val="both"/>
        <w:rPr>
          <w:sz w:val="26"/>
          <w:szCs w:val="26"/>
        </w:rPr>
      </w:pPr>
      <w:r w:rsidRPr="00FF5711">
        <w:rPr>
          <w:sz w:val="26"/>
          <w:szCs w:val="26"/>
        </w:rPr>
        <w:t xml:space="preserve">(e) </w:t>
      </w:r>
      <w:r w:rsidRPr="00FF5711">
        <w:rPr>
          <w:sz w:val="26"/>
          <w:szCs w:val="26"/>
        </w:rPr>
        <w:tab/>
        <w:t xml:space="preserve">Security interest; </w:t>
      </w:r>
    </w:p>
    <w:p w:rsidR="00FF5711" w:rsidRPr="00FF5711" w:rsidRDefault="00FF5711" w:rsidP="00592E75">
      <w:pPr>
        <w:autoSpaceDE w:val="0"/>
        <w:autoSpaceDN w:val="0"/>
        <w:adjustRightInd w:val="0"/>
        <w:spacing w:after="240"/>
        <w:ind w:left="1440" w:hanging="720"/>
        <w:contextualSpacing/>
        <w:jc w:val="both"/>
        <w:rPr>
          <w:sz w:val="26"/>
          <w:szCs w:val="26"/>
        </w:rPr>
      </w:pPr>
      <w:r w:rsidRPr="00FF5711">
        <w:rPr>
          <w:sz w:val="26"/>
          <w:szCs w:val="26"/>
        </w:rPr>
        <w:t xml:space="preserve">(f) </w:t>
      </w:r>
      <w:r w:rsidRPr="00FF5711">
        <w:rPr>
          <w:sz w:val="26"/>
          <w:szCs w:val="26"/>
        </w:rPr>
        <w:tab/>
        <w:t xml:space="preserve">Bankruptcy of the electric distribution utility; </w:t>
      </w:r>
    </w:p>
    <w:p w:rsidR="00FF5711" w:rsidRPr="00FF5711" w:rsidRDefault="00FF5711" w:rsidP="00592E75">
      <w:pPr>
        <w:autoSpaceDE w:val="0"/>
        <w:autoSpaceDN w:val="0"/>
        <w:adjustRightInd w:val="0"/>
        <w:spacing w:after="240"/>
        <w:ind w:left="1440" w:hanging="720"/>
        <w:contextualSpacing/>
        <w:jc w:val="both"/>
        <w:rPr>
          <w:sz w:val="26"/>
          <w:szCs w:val="26"/>
        </w:rPr>
      </w:pPr>
      <w:r w:rsidRPr="00FF5711">
        <w:rPr>
          <w:sz w:val="26"/>
          <w:szCs w:val="26"/>
        </w:rPr>
        <w:t xml:space="preserve">(g) </w:t>
      </w:r>
      <w:r w:rsidRPr="00FF5711">
        <w:rPr>
          <w:sz w:val="26"/>
          <w:szCs w:val="26"/>
        </w:rPr>
        <w:tab/>
        <w:t xml:space="preserve">Non-bypassability; </w:t>
      </w:r>
    </w:p>
    <w:p w:rsidR="00FF5711" w:rsidRPr="00FF5711" w:rsidRDefault="00FF5711" w:rsidP="00592E75">
      <w:pPr>
        <w:autoSpaceDE w:val="0"/>
        <w:autoSpaceDN w:val="0"/>
        <w:adjustRightInd w:val="0"/>
        <w:spacing w:after="240"/>
        <w:ind w:left="1440" w:hanging="720"/>
        <w:contextualSpacing/>
        <w:jc w:val="both"/>
        <w:rPr>
          <w:sz w:val="26"/>
          <w:szCs w:val="26"/>
        </w:rPr>
      </w:pPr>
      <w:r w:rsidRPr="00FF5711">
        <w:rPr>
          <w:sz w:val="26"/>
          <w:szCs w:val="26"/>
        </w:rPr>
        <w:t xml:space="preserve">(h) </w:t>
      </w:r>
      <w:r w:rsidRPr="00FF5711">
        <w:rPr>
          <w:sz w:val="26"/>
          <w:szCs w:val="26"/>
        </w:rPr>
        <w:tab/>
        <w:t xml:space="preserve">Third party billing agents; </w:t>
      </w:r>
    </w:p>
    <w:p w:rsidR="00FF5711" w:rsidRPr="00FF5711" w:rsidRDefault="00FF5711" w:rsidP="00592E75">
      <w:pPr>
        <w:autoSpaceDE w:val="0"/>
        <w:autoSpaceDN w:val="0"/>
        <w:adjustRightInd w:val="0"/>
        <w:spacing w:after="240"/>
        <w:ind w:left="1440" w:hanging="720"/>
        <w:contextualSpacing/>
        <w:jc w:val="both"/>
        <w:rPr>
          <w:sz w:val="26"/>
          <w:szCs w:val="26"/>
        </w:rPr>
      </w:pPr>
      <w:r w:rsidRPr="00FF5711">
        <w:rPr>
          <w:sz w:val="26"/>
          <w:szCs w:val="26"/>
        </w:rPr>
        <w:t xml:space="preserve">(i) </w:t>
      </w:r>
      <w:r w:rsidRPr="00FF5711">
        <w:rPr>
          <w:sz w:val="26"/>
          <w:szCs w:val="26"/>
        </w:rPr>
        <w:tab/>
        <w:t xml:space="preserve">Validity of the Financing Order; </w:t>
      </w:r>
    </w:p>
    <w:p w:rsidR="00A05E0C" w:rsidRDefault="00FF5711" w:rsidP="00A05E0C">
      <w:pPr>
        <w:autoSpaceDE w:val="0"/>
        <w:autoSpaceDN w:val="0"/>
        <w:adjustRightInd w:val="0"/>
        <w:ind w:left="1440" w:hanging="720"/>
        <w:contextualSpacing/>
        <w:jc w:val="both"/>
        <w:rPr>
          <w:sz w:val="26"/>
          <w:szCs w:val="26"/>
        </w:rPr>
      </w:pPr>
      <w:r w:rsidRPr="00FF5711">
        <w:rPr>
          <w:sz w:val="26"/>
          <w:szCs w:val="26"/>
        </w:rPr>
        <w:t xml:space="preserve">(j) </w:t>
      </w:r>
      <w:r w:rsidRPr="00FF5711">
        <w:rPr>
          <w:sz w:val="26"/>
          <w:szCs w:val="26"/>
        </w:rPr>
        <w:tab/>
        <w:t xml:space="preserve">Treatment of Phase-In-Recovery Charges; and, </w:t>
      </w:r>
    </w:p>
    <w:p w:rsidR="00FF5711" w:rsidRPr="00FF5711" w:rsidRDefault="00FF5711" w:rsidP="00A05E0C">
      <w:pPr>
        <w:autoSpaceDE w:val="0"/>
        <w:autoSpaceDN w:val="0"/>
        <w:adjustRightInd w:val="0"/>
        <w:spacing w:after="240" w:line="480" w:lineRule="auto"/>
        <w:ind w:left="1440" w:hanging="720"/>
        <w:contextualSpacing/>
        <w:jc w:val="both"/>
        <w:rPr>
          <w:sz w:val="26"/>
          <w:szCs w:val="26"/>
        </w:rPr>
      </w:pPr>
      <w:r w:rsidRPr="00FF5711">
        <w:rPr>
          <w:sz w:val="26"/>
          <w:szCs w:val="26"/>
        </w:rPr>
        <w:t xml:space="preserve">(k) </w:t>
      </w:r>
      <w:r w:rsidRPr="00FF5711">
        <w:rPr>
          <w:sz w:val="26"/>
          <w:szCs w:val="26"/>
        </w:rPr>
        <w:tab/>
        <w:t>Property Right, as described in the Application.</w:t>
      </w:r>
    </w:p>
    <w:p w:rsidR="00FF5711" w:rsidRPr="00FF5711" w:rsidRDefault="00FF5711" w:rsidP="00FF5711">
      <w:pPr>
        <w:autoSpaceDE w:val="0"/>
        <w:autoSpaceDN w:val="0"/>
        <w:adjustRightInd w:val="0"/>
        <w:spacing w:after="240" w:line="480" w:lineRule="auto"/>
        <w:ind w:left="720" w:hanging="720"/>
        <w:jc w:val="both"/>
        <w:rPr>
          <w:sz w:val="26"/>
          <w:szCs w:val="26"/>
        </w:rPr>
      </w:pPr>
      <w:r w:rsidRPr="00FF5711">
        <w:rPr>
          <w:sz w:val="26"/>
          <w:szCs w:val="26"/>
        </w:rPr>
        <w:t xml:space="preserve">(3) </w:t>
      </w:r>
      <w:r>
        <w:rPr>
          <w:sz w:val="26"/>
          <w:szCs w:val="26"/>
        </w:rPr>
        <w:tab/>
      </w:r>
      <w:r w:rsidRPr="00FF5711">
        <w:rPr>
          <w:sz w:val="26"/>
          <w:szCs w:val="26"/>
        </w:rPr>
        <w:t>Find that the proposed securitization, consistent with market conditions, measura</w:t>
      </w:r>
      <w:r w:rsidR="00596570">
        <w:rPr>
          <w:sz w:val="26"/>
          <w:szCs w:val="26"/>
        </w:rPr>
        <w:softHyphen/>
      </w:r>
      <w:r w:rsidRPr="00FF5711">
        <w:rPr>
          <w:sz w:val="26"/>
          <w:szCs w:val="26"/>
        </w:rPr>
        <w:t>bly enhances cost savings to customers and mitigates rate impacts to customers as compared to the existing cost recovery methods of each of the Companies;</w:t>
      </w:r>
    </w:p>
    <w:p w:rsidR="00FF5711" w:rsidRPr="00FF5711" w:rsidRDefault="00FF5711" w:rsidP="00FF5711">
      <w:pPr>
        <w:autoSpaceDE w:val="0"/>
        <w:autoSpaceDN w:val="0"/>
        <w:adjustRightInd w:val="0"/>
        <w:spacing w:after="240" w:line="480" w:lineRule="auto"/>
        <w:ind w:left="720" w:hanging="720"/>
        <w:jc w:val="both"/>
        <w:rPr>
          <w:sz w:val="26"/>
          <w:szCs w:val="26"/>
        </w:rPr>
      </w:pPr>
      <w:r w:rsidRPr="00FF5711">
        <w:rPr>
          <w:sz w:val="26"/>
          <w:szCs w:val="26"/>
        </w:rPr>
        <w:t xml:space="preserve">(4) </w:t>
      </w:r>
      <w:r w:rsidRPr="00FF5711">
        <w:rPr>
          <w:sz w:val="26"/>
          <w:szCs w:val="26"/>
        </w:rPr>
        <w:tab/>
        <w:t>Make such other findings and issue such other orders as requested by the Compa</w:t>
      </w:r>
      <w:r w:rsidR="00596570">
        <w:rPr>
          <w:sz w:val="26"/>
          <w:szCs w:val="26"/>
        </w:rPr>
        <w:softHyphen/>
      </w:r>
      <w:r w:rsidRPr="00FF5711">
        <w:rPr>
          <w:sz w:val="26"/>
          <w:szCs w:val="26"/>
        </w:rPr>
        <w:t>nies in this Application; and,</w:t>
      </w:r>
    </w:p>
    <w:p w:rsidR="00FF5711" w:rsidRPr="00FF5711" w:rsidRDefault="00FF5711" w:rsidP="00FF5711">
      <w:pPr>
        <w:autoSpaceDE w:val="0"/>
        <w:autoSpaceDN w:val="0"/>
        <w:adjustRightInd w:val="0"/>
        <w:spacing w:after="240" w:line="480" w:lineRule="auto"/>
        <w:ind w:left="720" w:hanging="720"/>
        <w:jc w:val="both"/>
        <w:rPr>
          <w:sz w:val="26"/>
          <w:szCs w:val="26"/>
        </w:rPr>
      </w:pPr>
      <w:r w:rsidRPr="00FF5711">
        <w:rPr>
          <w:sz w:val="26"/>
          <w:szCs w:val="26"/>
        </w:rPr>
        <w:lastRenderedPageBreak/>
        <w:t xml:space="preserve">(5) </w:t>
      </w:r>
      <w:r w:rsidRPr="00FF5711">
        <w:rPr>
          <w:sz w:val="26"/>
          <w:szCs w:val="26"/>
        </w:rPr>
        <w:tab/>
        <w:t>Grant such other and further orders and approvals as it may deem necessary or proper under the circumstances.</w:t>
      </w:r>
    </w:p>
    <w:p w:rsidR="00FF5711" w:rsidRPr="00C80130" w:rsidRDefault="00FF5711" w:rsidP="00FF5711">
      <w:pPr>
        <w:pStyle w:val="textstyle0"/>
      </w:pPr>
      <w:r>
        <w:tab/>
        <w:t xml:space="preserve">On May 25, 2012, the attorney examiner (AE) issued an Entry in this proceeding establishing a comment period </w:t>
      </w:r>
      <w:r w:rsidRPr="00C80130">
        <w:t>to afford all interested persons the opportunity to provide comments on the Joint Application filed by Ohio Edison, Cleveland Electric, and Toledo Edison</w:t>
      </w:r>
      <w:r>
        <w:t>.  T</w:t>
      </w:r>
      <w:r w:rsidRPr="00C80130">
        <w:t xml:space="preserve">he </w:t>
      </w:r>
      <w:r>
        <w:t xml:space="preserve">Entry stated that </w:t>
      </w:r>
      <w:r w:rsidRPr="00C80130">
        <w:t xml:space="preserve">all initial comments </w:t>
      </w:r>
      <w:r>
        <w:t xml:space="preserve">and Reply comments should </w:t>
      </w:r>
      <w:r w:rsidRPr="00C80130">
        <w:t>be filed with the Commission by no later than June 29, 2012</w:t>
      </w:r>
      <w:r>
        <w:t xml:space="preserve">, and </w:t>
      </w:r>
      <w:r w:rsidRPr="00C80130">
        <w:t xml:space="preserve">July </w:t>
      </w:r>
      <w:r>
        <w:t>9,</w:t>
      </w:r>
      <w:r w:rsidRPr="00C80130">
        <w:t xml:space="preserve"> 2012</w:t>
      </w:r>
      <w:r>
        <w:t>, respectively</w:t>
      </w:r>
      <w:r w:rsidRPr="00C80130">
        <w:t>.</w:t>
      </w:r>
    </w:p>
    <w:p w:rsidR="00FF5711" w:rsidRDefault="00FF5711" w:rsidP="00FF5711">
      <w:pPr>
        <w:pStyle w:val="textstyle0"/>
      </w:pPr>
      <w:r>
        <w:tab/>
        <w:t>On June 7, 2012, the Office of the Ohio Consumers’ Counsel filed a Motion to Inter</w:t>
      </w:r>
      <w:r w:rsidR="00596570">
        <w:softHyphen/>
      </w:r>
      <w:r>
        <w:t>vene and Memorandum in support in this proceeding.</w:t>
      </w:r>
    </w:p>
    <w:p w:rsidR="00FF5711" w:rsidRPr="004C0DC4" w:rsidRDefault="00FF5711" w:rsidP="00FF5711">
      <w:pPr>
        <w:pStyle w:val="textstyle0"/>
      </w:pPr>
      <w:r>
        <w:tab/>
      </w:r>
      <w:r w:rsidRPr="004C0DC4">
        <w:t>On June 8, 2012, the AE issued an Entry suspending the automatic approval time frame regarding customer bill formats to allow for the Commission to fully review the Application in its totality and in order to fully consider the entire record in this matter, including the forth coming public comments.</w:t>
      </w:r>
    </w:p>
    <w:p w:rsidR="00FF5711" w:rsidRPr="00AA29B6" w:rsidRDefault="00AA29B6" w:rsidP="00536C13">
      <w:pPr>
        <w:pStyle w:val="Heading1"/>
      </w:pPr>
      <w:bookmarkStart w:id="22" w:name="_Toc328397427"/>
      <w:r>
        <w:t>FINANCING TERMS AND COSTS REVIEW AND RECOMMENDATIONS</w:t>
      </w:r>
      <w:bookmarkEnd w:id="22"/>
    </w:p>
    <w:p w:rsidR="00FF5711" w:rsidRPr="001C3B8F" w:rsidRDefault="00FF5711" w:rsidP="00FF5711">
      <w:pPr>
        <w:pStyle w:val="textstyle0"/>
      </w:pPr>
      <w:r>
        <w:tab/>
      </w:r>
      <w:r w:rsidRPr="001C3B8F">
        <w:t>For the purposes of the securitization transaction, each Company will form a sepa</w:t>
      </w:r>
      <w:r w:rsidR="00596570">
        <w:softHyphen/>
      </w:r>
      <w:r w:rsidRPr="001C3B8F">
        <w:t>rate, wholly-owned limited liability company, which is expected to be organized in Delaware, as a special purpose entity (SPE).  Each Company will then</w:t>
      </w:r>
      <w:r>
        <w:t xml:space="preserve"> </w:t>
      </w:r>
      <w:r w:rsidRPr="001C3B8F">
        <w:t xml:space="preserve">transfer, sell or assign its Phase-In Recovery Property to its SPE.  A structure/transaction flow chart has been provided as Exhibit J to the Application.  Companies request that the financing Order confirm the formation of each SPE, the sale of Phase-In Recovery Property to each </w:t>
      </w:r>
      <w:r w:rsidRPr="001C3B8F">
        <w:lastRenderedPageBreak/>
        <w:t>SPE, and the issuance by each SPE of PIR Bonds secured by the Phase-In-Recovery Property and other assets and property (subject to possible limited exceptions described in the Application) owned by such SPE.</w:t>
      </w:r>
    </w:p>
    <w:p w:rsidR="00FF5711" w:rsidRPr="001C3B8F" w:rsidRDefault="00FF5711" w:rsidP="00FF5711">
      <w:pPr>
        <w:pStyle w:val="textstyle0"/>
      </w:pPr>
      <w:r>
        <w:tab/>
      </w:r>
      <w:r w:rsidRPr="001C3B8F">
        <w:t xml:space="preserve">In order to accomplish the securitization, each Company will enter into several agreements with its respective SPE subsidiary, as more fully described in the Application.  Such agreements will be substantially similar among each Company and its respective subsidiary.  </w:t>
      </w:r>
    </w:p>
    <w:p w:rsidR="00FF5711" w:rsidRPr="001C3B8F" w:rsidRDefault="00FF5711" w:rsidP="00FF5711">
      <w:pPr>
        <w:pStyle w:val="textstyle0"/>
      </w:pPr>
      <w:r>
        <w:tab/>
        <w:t>T</w:t>
      </w:r>
      <w:r w:rsidRPr="001C3B8F">
        <w:t>he PIR Bonds’ scheduled re</w:t>
      </w:r>
      <w:r>
        <w:t>covery period (and potential tre</w:t>
      </w:r>
      <w:r w:rsidRPr="001C3B8F">
        <w:t xml:space="preserve">nching resulting in multiple tranches of PIR Bonds with different maturity dates) will be determined </w:t>
      </w:r>
      <w:r>
        <w:t>with</w:t>
      </w:r>
      <w:r w:rsidRPr="001C3B8F">
        <w:t xml:space="preserve"> reference to rating agency considerations and market conditions</w:t>
      </w:r>
      <w:r>
        <w:t>.</w:t>
      </w:r>
      <w:r w:rsidRPr="001C3B8F">
        <w:t xml:space="preserve"> </w:t>
      </w:r>
      <w:r>
        <w:t xml:space="preserve">The </w:t>
      </w:r>
      <w:r w:rsidRPr="001C3B8F">
        <w:t xml:space="preserve">Companies </w:t>
      </w:r>
      <w:r>
        <w:t>state</w:t>
      </w:r>
      <w:r w:rsidRPr="001C3B8F">
        <w:t xml:space="preserve"> that the overall scheduled recovery period </w:t>
      </w:r>
      <w:r w:rsidRPr="00084BCA">
        <w:t xml:space="preserve">of the PIR Bonds </w:t>
      </w:r>
      <w:r w:rsidRPr="001C3B8F">
        <w:t>will not exceed the remain</w:t>
      </w:r>
      <w:r w:rsidR="00596570">
        <w:softHyphen/>
      </w:r>
      <w:r w:rsidRPr="001C3B8F">
        <w:t xml:space="preserve">ing recovery period under the Existing Riders.  </w:t>
      </w:r>
    </w:p>
    <w:p w:rsidR="00FF5711" w:rsidRPr="001C3B8F" w:rsidRDefault="00FF5711" w:rsidP="00FF5711">
      <w:pPr>
        <w:pStyle w:val="textstyle0"/>
      </w:pPr>
      <w:r>
        <w:tab/>
      </w:r>
      <w:r w:rsidRPr="001C3B8F">
        <w:t xml:space="preserve">The expected issuance date for the PIR Bonds, assuming no material changes in market conditions, would be within 120 days of the Financing Order becoming the Final Financing Order.  The indicative transaction structure and expected principal repayment schedule is provided in Exhibit E to the </w:t>
      </w:r>
      <w:r>
        <w:t>A</w:t>
      </w:r>
      <w:r w:rsidRPr="001C3B8F">
        <w:t>pplication.</w:t>
      </w:r>
    </w:p>
    <w:p w:rsidR="00FF5711" w:rsidRPr="00343077" w:rsidRDefault="00FF5711" w:rsidP="00FF5711">
      <w:pPr>
        <w:pStyle w:val="textstyle0"/>
      </w:pPr>
      <w:r>
        <w:tab/>
      </w:r>
      <w:r w:rsidRPr="001C3B8F">
        <w:t>At the time of the issuance of the PIR Bonds, certain of these Financing Costs are likely to vary from such estimate</w:t>
      </w:r>
      <w:r w:rsidR="00FD759A">
        <w:t>d</w:t>
      </w:r>
      <w:r w:rsidRPr="001C3B8F">
        <w:t xml:space="preserve"> amount</w:t>
      </w:r>
      <w:r w:rsidR="00FD759A">
        <w:t>s</w:t>
      </w:r>
      <w:r w:rsidRPr="001C3B8F">
        <w:t xml:space="preserve"> as a result of the market conditions and other factors (e.g., the actual costs of redeeming or otherwise retiring existing long-term debt).</w:t>
      </w:r>
    </w:p>
    <w:p w:rsidR="00FF5711" w:rsidRPr="00FA6962" w:rsidRDefault="00AA29B6" w:rsidP="00AA29B6">
      <w:pPr>
        <w:pStyle w:val="Heading2"/>
        <w:rPr>
          <w:highlight w:val="yellow"/>
        </w:rPr>
      </w:pPr>
      <w:bookmarkStart w:id="23" w:name="_Toc328131633"/>
      <w:bookmarkStart w:id="24" w:name="_Toc328397428"/>
      <w:r>
        <w:rPr>
          <w:rFonts w:cs="Calibri-Bold"/>
        </w:rPr>
        <w:lastRenderedPageBreak/>
        <w:t>A.</w:t>
      </w:r>
      <w:r>
        <w:rPr>
          <w:rFonts w:cs="Calibri-Bold"/>
        </w:rPr>
        <w:tab/>
      </w:r>
      <w:r w:rsidR="00FF5711" w:rsidRPr="00FA6962">
        <w:rPr>
          <w:rFonts w:cs="Calibri-Bold"/>
        </w:rPr>
        <w:t xml:space="preserve">The </w:t>
      </w:r>
      <w:r w:rsidR="00FF5711">
        <w:rPr>
          <w:rFonts w:cs="Calibri-Bold"/>
        </w:rPr>
        <w:t>E</w:t>
      </w:r>
      <w:r w:rsidR="00FF5711" w:rsidRPr="00FA6962">
        <w:rPr>
          <w:rFonts w:cs="Calibri-Bold"/>
        </w:rPr>
        <w:t xml:space="preserve">stimated </w:t>
      </w:r>
      <w:r w:rsidR="00FF5711" w:rsidRPr="00FA6962">
        <w:t>Up-front and Ongoing Financing Costs:</w:t>
      </w:r>
      <w:bookmarkEnd w:id="23"/>
      <w:bookmarkEnd w:id="24"/>
    </w:p>
    <w:p w:rsidR="00FF5711" w:rsidRPr="001C3B8F" w:rsidRDefault="004563E8" w:rsidP="004563E8">
      <w:pPr>
        <w:pStyle w:val="textstyle0"/>
      </w:pPr>
      <w:r>
        <w:tab/>
      </w:r>
      <w:r w:rsidR="00FF5711" w:rsidRPr="001C3B8F">
        <w:t>Promptly upon final determination, a statement setting forth</w:t>
      </w:r>
      <w:r w:rsidR="00FD759A">
        <w:t xml:space="preserve"> the</w:t>
      </w:r>
      <w:r w:rsidR="00FF5711" w:rsidRPr="001C3B8F">
        <w:t xml:space="preserve"> final upfront Financ</w:t>
      </w:r>
      <w:r w:rsidR="00596570">
        <w:softHyphen/>
      </w:r>
      <w:r w:rsidR="00FF5711" w:rsidRPr="001C3B8F">
        <w:t>ing Costs will be provided by the Companies.  However, such Financing Costs recovera</w:t>
      </w:r>
      <w:r w:rsidR="00596570">
        <w:softHyphen/>
      </w:r>
      <w:r w:rsidR="00FF5711" w:rsidRPr="001C3B8F">
        <w:t xml:space="preserve">ble through Phase-In Recovery Charges will not exceed the aggregate limit to be set forth in the Financing Order, which the Companies currently estimate to be $8.4 million, </w:t>
      </w:r>
      <w:r w:rsidR="006121CF">
        <w:t xml:space="preserve">under the single combined issuance scenario, </w:t>
      </w:r>
      <w:r w:rsidR="00FF5711" w:rsidRPr="001C3B8F">
        <w:t xml:space="preserve">exclusive of debt retirement costs. An estimate of the upfront and ongoing Financing Costs related to each Company’s request is set forth in Exhibit C to the Application.  </w:t>
      </w:r>
    </w:p>
    <w:p w:rsidR="00FF5711" w:rsidRPr="001C3B8F" w:rsidRDefault="004563E8" w:rsidP="004563E8">
      <w:pPr>
        <w:pStyle w:val="textstyle0"/>
      </w:pPr>
      <w:r>
        <w:tab/>
      </w:r>
      <w:r w:rsidR="00FF5711" w:rsidRPr="001C3B8F">
        <w:t>The debt retirement costs may vary significantly in response to market conditions and as a result of the terms of the various debt securities to be retired.  Regardless, each Company agrees to retire debt only in a manner that will permit the securitization trans</w:t>
      </w:r>
      <w:r w:rsidR="00596570">
        <w:softHyphen/>
      </w:r>
      <w:r w:rsidR="00FF5711" w:rsidRPr="001C3B8F">
        <w:t>action to achieve enhanced cost savings to customers and mitigates rate impacts for cus</w:t>
      </w:r>
      <w:r w:rsidR="00596570">
        <w:softHyphen/>
      </w:r>
      <w:r w:rsidR="00FF5711" w:rsidRPr="001C3B8F">
        <w:t>tomers.</w:t>
      </w:r>
    </w:p>
    <w:p w:rsidR="00FF5711" w:rsidRPr="001C3B8F" w:rsidRDefault="004563E8" w:rsidP="004563E8">
      <w:pPr>
        <w:pStyle w:val="textstyle0"/>
      </w:pPr>
      <w:r>
        <w:tab/>
      </w:r>
      <w:r w:rsidR="00FF5711" w:rsidRPr="001C3B8F">
        <w:t>From the point of view of the Companies’ customers, the issuance of the PIR Bonds measurably enhances cost savings to customers as compared with recovery of such uncollected Phase-In Recovery Charges under the Existing Riders.  In order for the PIR Bonds to have</w:t>
      </w:r>
      <w:r w:rsidR="00FF5711">
        <w:t xml:space="preserve"> a relatively</w:t>
      </w:r>
      <w:r w:rsidR="00FF5711" w:rsidRPr="001C3B8F">
        <w:t xml:space="preserve"> little credit risk, and, for investors to be willing to accept </w:t>
      </w:r>
      <w:r w:rsidR="00FF5711">
        <w:t xml:space="preserve">a </w:t>
      </w:r>
      <w:r w:rsidR="00FF5711" w:rsidRPr="001C3B8F">
        <w:t>rel</w:t>
      </w:r>
      <w:r w:rsidR="00596570">
        <w:softHyphen/>
      </w:r>
      <w:r w:rsidR="00FF5711" w:rsidRPr="001C3B8F">
        <w:t>atively lower interest rate for the PIR Bonds, there are a number of other structural ele</w:t>
      </w:r>
      <w:r w:rsidR="00596570">
        <w:softHyphen/>
      </w:r>
      <w:r w:rsidR="00FF5711" w:rsidRPr="001C3B8F">
        <w:t>ments</w:t>
      </w:r>
      <w:r w:rsidR="00FF5711">
        <w:t>,</w:t>
      </w:r>
      <w:r w:rsidR="00FF5711" w:rsidRPr="001C3B8F">
        <w:t xml:space="preserve"> expressed regulatory authorizations</w:t>
      </w:r>
      <w:r w:rsidR="00FF5711">
        <w:t xml:space="preserve"> and</w:t>
      </w:r>
      <w:r w:rsidR="00FF5711" w:rsidRPr="001C3B8F">
        <w:t xml:space="preserve"> confirmations </w:t>
      </w:r>
      <w:r w:rsidR="00FF5711">
        <w:t xml:space="preserve">that are </w:t>
      </w:r>
      <w:r w:rsidR="00FF5711" w:rsidRPr="001C3B8F">
        <w:t>customarily required to be included in a Financing Order</w:t>
      </w:r>
      <w:r w:rsidR="009F044B">
        <w:t xml:space="preserve">.  </w:t>
      </w:r>
      <w:r w:rsidR="00FF5711">
        <w:t>These structural elements facilitate the PIR Bond</w:t>
      </w:r>
      <w:r w:rsidR="00FF5711" w:rsidRPr="001C3B8F">
        <w:t xml:space="preserve"> ratings and </w:t>
      </w:r>
      <w:r w:rsidR="00FF5711">
        <w:t xml:space="preserve">their </w:t>
      </w:r>
      <w:r w:rsidR="00FF5711" w:rsidRPr="001C3B8F">
        <w:t>marketing purposes</w:t>
      </w:r>
      <w:r w:rsidR="00FF5711">
        <w:t>.</w:t>
      </w:r>
      <w:r w:rsidR="00FF5711" w:rsidRPr="001C3B8F">
        <w:t xml:space="preserve"> </w:t>
      </w:r>
    </w:p>
    <w:p w:rsidR="00FF5711" w:rsidRDefault="004563E8" w:rsidP="004563E8">
      <w:pPr>
        <w:pStyle w:val="textstyle0"/>
      </w:pPr>
      <w:r>
        <w:lastRenderedPageBreak/>
        <w:tab/>
      </w:r>
      <w:r w:rsidR="00FF5711" w:rsidRPr="001C3B8F">
        <w:t xml:space="preserve">Furthermore, consistent with most other transactions of this type, </w:t>
      </w:r>
      <w:r w:rsidR="00FF5711">
        <w:t xml:space="preserve">the </w:t>
      </w:r>
      <w:r w:rsidR="00FF5711" w:rsidRPr="001C3B8F">
        <w:t>Companies have engaged an investment banking firm, frequently involved in the underwriting of this type of securities to assist in the process of structuring the transaction.</w:t>
      </w:r>
    </w:p>
    <w:p w:rsidR="00FF5711" w:rsidRPr="001C3B8F" w:rsidRDefault="00AA29B6" w:rsidP="00AA29B6">
      <w:pPr>
        <w:pStyle w:val="Heading2"/>
      </w:pPr>
      <w:bookmarkStart w:id="25" w:name="_Toc328131634"/>
      <w:bookmarkStart w:id="26" w:name="_Toc328397429"/>
      <w:r>
        <w:rPr>
          <w:rFonts w:cs="Calibri-Bold"/>
        </w:rPr>
        <w:t>B.</w:t>
      </w:r>
      <w:r>
        <w:rPr>
          <w:rFonts w:cs="Calibri-Bold"/>
        </w:rPr>
        <w:tab/>
      </w:r>
      <w:r w:rsidR="00FF5711" w:rsidRPr="001C3B8F">
        <w:rPr>
          <w:rFonts w:cs="Calibri-Bold"/>
        </w:rPr>
        <w:t xml:space="preserve">The </w:t>
      </w:r>
      <w:r w:rsidR="00FF5711">
        <w:rPr>
          <w:rFonts w:cs="Calibri-Bold"/>
        </w:rPr>
        <w:t>A</w:t>
      </w:r>
      <w:r w:rsidR="00FF5711" w:rsidRPr="001C3B8F">
        <w:rPr>
          <w:rFonts w:cs="Calibri-Bold"/>
        </w:rPr>
        <w:t xml:space="preserve">nticipated </w:t>
      </w:r>
      <w:r w:rsidR="00FF5711">
        <w:rPr>
          <w:rFonts w:cs="Calibri-Bold"/>
        </w:rPr>
        <w:t>U</w:t>
      </w:r>
      <w:r w:rsidR="00FF5711" w:rsidRPr="001C3B8F">
        <w:t>se of the PIR Bond proceeds:</w:t>
      </w:r>
      <w:bookmarkEnd w:id="25"/>
      <w:bookmarkEnd w:id="26"/>
    </w:p>
    <w:p w:rsidR="00FF5711" w:rsidRPr="00C80130" w:rsidRDefault="004563E8" w:rsidP="004563E8">
      <w:pPr>
        <w:pStyle w:val="textstyle0"/>
        <w:rPr>
          <w:rFonts w:cs="Arial"/>
        </w:rPr>
      </w:pPr>
      <w:r>
        <w:tab/>
      </w:r>
      <w:r w:rsidR="00FF5711" w:rsidRPr="00C80130">
        <w:t xml:space="preserve">The proceeds from the PIR Bonds will: (i) allow full collection of the associated financing costs, and (ii) compensate the </w:t>
      </w:r>
      <w:r w:rsidR="00FF5711">
        <w:t>Companies</w:t>
      </w:r>
      <w:r w:rsidR="00FF5711" w:rsidRPr="00C80130">
        <w:t xml:space="preserve"> for Phase-in Costs at an effective interest rate (after taking into account upfront and ongoing Financing Costs) lower than each </w:t>
      </w:r>
      <w:r w:rsidR="00FF5711">
        <w:t>Company</w:t>
      </w:r>
      <w:r w:rsidR="00FF5711" w:rsidRPr="00C80130">
        <w:t>’s Commission authorized rate of return for such regulatory assets.  Reduction of the carrying costs of the financed Phase-In Costs benefits customers by reducing the net present value of future payments by customers providing for the recov</w:t>
      </w:r>
      <w:r w:rsidR="00596570">
        <w:softHyphen/>
      </w:r>
      <w:r w:rsidR="00FF5711" w:rsidRPr="00C80130">
        <w:t xml:space="preserve">ery of such costs.  </w:t>
      </w:r>
      <w:r w:rsidR="00FF5711" w:rsidRPr="00C80130">
        <w:rPr>
          <w:rFonts w:cs="TimesNewRoman"/>
        </w:rPr>
        <w:t>The securitization transaction is also expected to significantly reduce the carrying charges over the recovery period for these Phase-In Costs through the issu</w:t>
      </w:r>
      <w:r w:rsidR="00596570">
        <w:rPr>
          <w:rFonts w:cs="TimesNewRoman"/>
        </w:rPr>
        <w:softHyphen/>
      </w:r>
      <w:r w:rsidR="00FF5711" w:rsidRPr="00C80130">
        <w:rPr>
          <w:rFonts w:cs="TimesNewRoman"/>
        </w:rPr>
        <w:t>ance of the PIR Bonds resulting in estimated nominal costs savings to customers of approximately $104 million in the aggregate as shown on Exhibit B to the Application.</w:t>
      </w:r>
    </w:p>
    <w:p w:rsidR="00FF5711" w:rsidRPr="004E31C1" w:rsidRDefault="004563E8" w:rsidP="004563E8">
      <w:pPr>
        <w:pStyle w:val="textstyle0"/>
      </w:pPr>
      <w:r>
        <w:tab/>
      </w:r>
      <w:r w:rsidR="00FF5711">
        <w:t xml:space="preserve">The </w:t>
      </w:r>
      <w:r w:rsidR="00FF5711" w:rsidRPr="00D87A70">
        <w:t>Companies’ use of proceeds, the current and pro forma capitalization in connec</w:t>
      </w:r>
      <w:r w:rsidR="00596570">
        <w:softHyphen/>
      </w:r>
      <w:r w:rsidR="00FF5711" w:rsidRPr="00D87A70">
        <w:t>tion with the issuance of PIR Bonds is presented i</w:t>
      </w:r>
      <w:r w:rsidR="00FF5711">
        <w:t xml:space="preserve">n Exhibit D </w:t>
      </w:r>
      <w:r w:rsidR="006121CF">
        <w:t xml:space="preserve">of </w:t>
      </w:r>
      <w:r w:rsidR="00FF5711">
        <w:t>the Application.</w:t>
      </w:r>
    </w:p>
    <w:p w:rsidR="00FF5711" w:rsidRDefault="00AA29B6" w:rsidP="00AA29B6">
      <w:pPr>
        <w:pStyle w:val="Heading2"/>
      </w:pPr>
      <w:bookmarkStart w:id="27" w:name="_Toc328131635"/>
      <w:bookmarkStart w:id="28" w:name="_Toc328397430"/>
      <w:r>
        <w:t>C.</w:t>
      </w:r>
      <w:r>
        <w:tab/>
      </w:r>
      <w:r w:rsidR="00FF5711">
        <w:t xml:space="preserve">Detailed </w:t>
      </w:r>
      <w:r w:rsidR="00FF5711" w:rsidRPr="003B5539">
        <w:t>Review and Analysis:</w:t>
      </w:r>
      <w:bookmarkEnd w:id="27"/>
      <w:bookmarkEnd w:id="28"/>
    </w:p>
    <w:p w:rsidR="00FF5711" w:rsidRDefault="004563E8" w:rsidP="004563E8">
      <w:pPr>
        <w:pStyle w:val="textstyle0"/>
      </w:pPr>
      <w:r>
        <w:tab/>
      </w:r>
      <w:r w:rsidR="00FF5711">
        <w:t>In their Joint Application, the Companies state that t</w:t>
      </w:r>
      <w:r w:rsidR="00FF5711" w:rsidRPr="00C80130">
        <w:t xml:space="preserve">he securitization transaction is expected to significantly reduce the carrying charges over the recovery period for these Phase-In Costs through the issuance of the PIR Bonds resulting in estimated nominal </w:t>
      </w:r>
      <w:r w:rsidR="00FF5711" w:rsidRPr="00C80130">
        <w:lastRenderedPageBreak/>
        <w:t xml:space="preserve">costs savings to customers of approximately $104 million in the aggregate as shown on Exhibit B </w:t>
      </w:r>
      <w:r w:rsidR="006121CF">
        <w:t>of</w:t>
      </w:r>
      <w:r w:rsidR="006121CF" w:rsidRPr="00C80130">
        <w:t xml:space="preserve"> </w:t>
      </w:r>
      <w:r w:rsidR="00FF5711" w:rsidRPr="00C80130">
        <w:t>the Application.</w:t>
      </w:r>
    </w:p>
    <w:p w:rsidR="00FF5711" w:rsidRDefault="004563E8" w:rsidP="004563E8">
      <w:pPr>
        <w:pStyle w:val="textstyle0"/>
      </w:pPr>
      <w:r>
        <w:tab/>
      </w:r>
      <w:r w:rsidR="00FF5711">
        <w:t>The Staff applied the following tests and reviews to verify whether the proposed securitization transaction satisfied certain conditions:</w:t>
      </w:r>
    </w:p>
    <w:p w:rsidR="00FF5711" w:rsidRPr="004563E8" w:rsidRDefault="00FF5711" w:rsidP="00A05E0C">
      <w:pPr>
        <w:pStyle w:val="ListParagraph"/>
        <w:numPr>
          <w:ilvl w:val="0"/>
          <w:numId w:val="25"/>
        </w:numPr>
        <w:autoSpaceDE w:val="0"/>
        <w:autoSpaceDN w:val="0"/>
        <w:adjustRightInd w:val="0"/>
        <w:spacing w:after="0" w:line="240" w:lineRule="auto"/>
        <w:ind w:left="1440" w:hanging="720"/>
        <w:jc w:val="both"/>
        <w:rPr>
          <w:rFonts w:ascii="Times New Roman" w:hAnsi="Times New Roman"/>
          <w:sz w:val="26"/>
          <w:szCs w:val="26"/>
        </w:rPr>
      </w:pPr>
      <w:r w:rsidRPr="004563E8">
        <w:rPr>
          <w:rFonts w:ascii="Times New Roman" w:hAnsi="Times New Roman"/>
          <w:sz w:val="26"/>
          <w:szCs w:val="26"/>
        </w:rPr>
        <w:t>The total revenue test,</w:t>
      </w:r>
    </w:p>
    <w:p w:rsidR="00FF5711" w:rsidRPr="004563E8" w:rsidRDefault="00FF5711" w:rsidP="00A05E0C">
      <w:pPr>
        <w:pStyle w:val="ListParagraph"/>
        <w:numPr>
          <w:ilvl w:val="0"/>
          <w:numId w:val="25"/>
        </w:numPr>
        <w:autoSpaceDE w:val="0"/>
        <w:autoSpaceDN w:val="0"/>
        <w:adjustRightInd w:val="0"/>
        <w:spacing w:after="0" w:line="240" w:lineRule="auto"/>
        <w:ind w:left="1440" w:hanging="720"/>
        <w:jc w:val="both"/>
        <w:rPr>
          <w:rFonts w:ascii="Times New Roman" w:hAnsi="Times New Roman"/>
          <w:sz w:val="26"/>
          <w:szCs w:val="26"/>
        </w:rPr>
      </w:pPr>
      <w:r w:rsidRPr="004563E8">
        <w:rPr>
          <w:rFonts w:ascii="Times New Roman" w:hAnsi="Times New Roman"/>
          <w:sz w:val="26"/>
          <w:szCs w:val="26"/>
        </w:rPr>
        <w:t>The present value test,</w:t>
      </w:r>
    </w:p>
    <w:p w:rsidR="00FF5711" w:rsidRPr="004563E8" w:rsidRDefault="00FF5711" w:rsidP="00A05E0C">
      <w:pPr>
        <w:pStyle w:val="ListParagraph"/>
        <w:numPr>
          <w:ilvl w:val="0"/>
          <w:numId w:val="25"/>
        </w:numPr>
        <w:autoSpaceDE w:val="0"/>
        <w:autoSpaceDN w:val="0"/>
        <w:adjustRightInd w:val="0"/>
        <w:spacing w:after="0" w:line="240" w:lineRule="auto"/>
        <w:ind w:left="1440" w:hanging="720"/>
        <w:jc w:val="both"/>
        <w:rPr>
          <w:rFonts w:ascii="Times New Roman" w:hAnsi="Times New Roman"/>
          <w:sz w:val="26"/>
          <w:szCs w:val="26"/>
        </w:rPr>
      </w:pPr>
      <w:r w:rsidRPr="004563E8">
        <w:rPr>
          <w:rFonts w:ascii="Times New Roman" w:hAnsi="Times New Roman"/>
          <w:sz w:val="26"/>
          <w:szCs w:val="26"/>
        </w:rPr>
        <w:t>The proceeds test,</w:t>
      </w:r>
    </w:p>
    <w:p w:rsidR="00FF5711" w:rsidRPr="004563E8" w:rsidRDefault="00FF5711" w:rsidP="00A05E0C">
      <w:pPr>
        <w:pStyle w:val="ListParagraph"/>
        <w:numPr>
          <w:ilvl w:val="0"/>
          <w:numId w:val="25"/>
        </w:numPr>
        <w:autoSpaceDE w:val="0"/>
        <w:autoSpaceDN w:val="0"/>
        <w:adjustRightInd w:val="0"/>
        <w:spacing w:after="0" w:line="240" w:lineRule="auto"/>
        <w:ind w:left="1440" w:hanging="720"/>
        <w:jc w:val="both"/>
        <w:rPr>
          <w:rFonts w:ascii="Times New Roman" w:hAnsi="Times New Roman"/>
          <w:sz w:val="26"/>
          <w:szCs w:val="26"/>
        </w:rPr>
      </w:pPr>
      <w:r w:rsidRPr="004563E8">
        <w:rPr>
          <w:rFonts w:ascii="Times New Roman" w:hAnsi="Times New Roman"/>
          <w:sz w:val="26"/>
          <w:szCs w:val="26"/>
        </w:rPr>
        <w:t>Debt Retirement review, and</w:t>
      </w:r>
    </w:p>
    <w:p w:rsidR="00FF5711" w:rsidRDefault="00FF5711" w:rsidP="00A05E0C">
      <w:pPr>
        <w:pStyle w:val="ListParagraph"/>
        <w:numPr>
          <w:ilvl w:val="0"/>
          <w:numId w:val="25"/>
        </w:numPr>
        <w:autoSpaceDE w:val="0"/>
        <w:autoSpaceDN w:val="0"/>
        <w:adjustRightInd w:val="0"/>
        <w:spacing w:after="0" w:line="240" w:lineRule="auto"/>
        <w:ind w:left="1440" w:hanging="720"/>
        <w:jc w:val="both"/>
        <w:rPr>
          <w:rFonts w:ascii="Times New Roman" w:hAnsi="Times New Roman"/>
          <w:sz w:val="26"/>
          <w:szCs w:val="26"/>
        </w:rPr>
      </w:pPr>
      <w:r w:rsidRPr="004563E8">
        <w:rPr>
          <w:rFonts w:ascii="Times New Roman" w:hAnsi="Times New Roman"/>
          <w:sz w:val="26"/>
          <w:szCs w:val="26"/>
        </w:rPr>
        <w:t>Bond Structuring and Pricing review.</w:t>
      </w:r>
    </w:p>
    <w:p w:rsidR="00A05E0C" w:rsidRPr="004563E8" w:rsidRDefault="00A05E0C" w:rsidP="00A05E0C">
      <w:pPr>
        <w:pStyle w:val="ListParagraph"/>
        <w:autoSpaceDE w:val="0"/>
        <w:autoSpaceDN w:val="0"/>
        <w:adjustRightInd w:val="0"/>
        <w:spacing w:after="0" w:line="240" w:lineRule="auto"/>
        <w:ind w:left="1440"/>
        <w:jc w:val="both"/>
        <w:rPr>
          <w:rFonts w:ascii="Times New Roman" w:hAnsi="Times New Roman"/>
          <w:sz w:val="26"/>
          <w:szCs w:val="26"/>
        </w:rPr>
      </w:pPr>
    </w:p>
    <w:p w:rsidR="00FF5711" w:rsidRDefault="00FF5711" w:rsidP="004563E8">
      <w:pPr>
        <w:pStyle w:val="textstyle0"/>
      </w:pPr>
      <w:r>
        <w:t>The cost/benefit analysis provided by the Companies demonstrates that the securitization meets the total revenue test, the tangible and quantifiable benefits test, and the present value test under either expected-case or worst-case assumptions.  The total revenues from the PIR Charges will be less than the total revenue requirements under conventional util</w:t>
      </w:r>
      <w:r w:rsidR="00596570">
        <w:softHyphen/>
      </w:r>
      <w:r>
        <w:t xml:space="preserve">ity financing methods in the expected case scenarios.  </w:t>
      </w:r>
      <w:r w:rsidRPr="005D6079">
        <w:t>In the expected case scenario, securitization will result in revenues of about $52 million for Cleveland Electric, $ 44 million for Ohio Edison and $8 million for Toledo Edison less than the revenues under the Commission’s previously- approved recovery methods/conventional financing meth</w:t>
      </w:r>
      <w:r w:rsidR="00596570">
        <w:softHyphen/>
      </w:r>
      <w:r w:rsidRPr="005D6079">
        <w:t>ods.</w:t>
      </w:r>
      <w:r>
        <w:t xml:space="preserve">  (Source: Exhibit B to the Application)</w:t>
      </w:r>
    </w:p>
    <w:p w:rsidR="00FF5711" w:rsidRDefault="004563E8" w:rsidP="004563E8">
      <w:pPr>
        <w:pStyle w:val="textstyle0"/>
        <w:rPr>
          <w:rFonts w:cs="TimesNewRoman"/>
        </w:rPr>
      </w:pPr>
      <w:r>
        <w:tab/>
      </w:r>
      <w:r w:rsidR="00FF5711" w:rsidRPr="005D6079">
        <w:t>In the expected</w:t>
      </w:r>
      <w:r w:rsidR="00FF5711">
        <w:t xml:space="preserve"> case scenario</w:t>
      </w:r>
      <w:r w:rsidR="00FF5711" w:rsidRPr="005D6079">
        <w:t>, the securitization will result in tangible and quantifia</w:t>
      </w:r>
      <w:r w:rsidR="00596570">
        <w:softHyphen/>
      </w:r>
      <w:r w:rsidR="00FF5711" w:rsidRPr="005D6079">
        <w:t>ble benefits to consumers</w:t>
      </w:r>
      <w:r w:rsidR="00FF5711">
        <w:t xml:space="preserve"> using the present value test</w:t>
      </w:r>
      <w:r w:rsidR="00FF5711" w:rsidRPr="005D6079">
        <w:t>.   Retail consumers will pay $27 million for Cleveland Electric, $17 million for Ohio Edison and $2 million for Toledo Edison on a present value basis in the expected scenario than they would pay if the same balance were recovered through  previously- approved recovery meth</w:t>
      </w:r>
      <w:r w:rsidR="00596570">
        <w:softHyphen/>
      </w:r>
      <w:r w:rsidR="00FF5711" w:rsidRPr="005D6079">
        <w:t>ods/conventional financing methods.</w:t>
      </w:r>
      <w:r w:rsidR="00FF5711">
        <w:t xml:space="preserve">  </w:t>
      </w:r>
    </w:p>
    <w:p w:rsidR="00FF5711" w:rsidRDefault="004563E8" w:rsidP="004563E8">
      <w:pPr>
        <w:pStyle w:val="textstyle0"/>
      </w:pPr>
      <w:r>
        <w:lastRenderedPageBreak/>
        <w:tab/>
      </w:r>
      <w:r w:rsidR="00FF5711">
        <w:t xml:space="preserve">The proceeds test will be satisfied when the Companies primarily use the proceeds they receive from the issuance of PIR Bonds, in exchange for the sale of the PIR Property to retire their existing debt securities (Exhibit D).  </w:t>
      </w:r>
    </w:p>
    <w:p w:rsidR="00FF5711" w:rsidRDefault="004563E8" w:rsidP="004563E8">
      <w:pPr>
        <w:pStyle w:val="textstyle0"/>
      </w:pPr>
      <w:r>
        <w:tab/>
      </w:r>
      <w:r w:rsidR="00FF5711">
        <w:t>In case of Toledo Edison, in addition to using a portion of the PIR Bonds proceeds for retiring certain PIR debt securities, the Company proposes to use about $11 million for its other corporate purposes. (Exhibit D, Line 6 under Column H)</w:t>
      </w:r>
    </w:p>
    <w:p w:rsidR="00FF5711" w:rsidRDefault="004563E8" w:rsidP="004563E8">
      <w:pPr>
        <w:pStyle w:val="textstyle0"/>
      </w:pPr>
      <w:r>
        <w:tab/>
      </w:r>
      <w:r w:rsidR="00FF5711">
        <w:t>In addition, the proposed securitization financing appears to have been designed and structured to ensure that the PIR Bonds receive the highest bond rating reasonably possible, consistent with the objective of obtaining the lowest overall cost of financing through securitized PIR Bonds.</w:t>
      </w:r>
    </w:p>
    <w:p w:rsidR="00FF5711" w:rsidRPr="007225A3" w:rsidRDefault="00AA29B6" w:rsidP="00AA29B6">
      <w:pPr>
        <w:pStyle w:val="Heading3"/>
      </w:pPr>
      <w:bookmarkStart w:id="29" w:name="_Toc328131636"/>
      <w:bookmarkStart w:id="30" w:name="_Toc328397431"/>
      <w:r>
        <w:t>1.</w:t>
      </w:r>
      <w:r>
        <w:tab/>
      </w:r>
      <w:r w:rsidR="00FF5711" w:rsidRPr="007225A3">
        <w:t xml:space="preserve">The </w:t>
      </w:r>
      <w:r w:rsidR="00FF5711">
        <w:t>Total Revenue Test</w:t>
      </w:r>
      <w:bookmarkEnd w:id="29"/>
      <w:bookmarkEnd w:id="30"/>
    </w:p>
    <w:p w:rsidR="00FF5711" w:rsidRDefault="004563E8" w:rsidP="004563E8">
      <w:pPr>
        <w:pStyle w:val="textstyle0"/>
      </w:pPr>
      <w:r>
        <w:tab/>
      </w:r>
      <w:r w:rsidR="00FF5711">
        <w:t xml:space="preserve">The total revenue test is intended to verify that the total amount of revenues to be collected under the Financing Order will be less than the revenue requirement that would be recovered using existing cost recovery/ratemaking methods.  </w:t>
      </w:r>
    </w:p>
    <w:p w:rsidR="00322F45" w:rsidRDefault="004563E8" w:rsidP="00322F45">
      <w:pPr>
        <w:pStyle w:val="textstyle0"/>
      </w:pPr>
      <w:r>
        <w:tab/>
      </w:r>
      <w:r w:rsidR="00FF5711">
        <w:t>Table-1 below demonstrates that the total revenues from PIR Charges are signifi</w:t>
      </w:r>
      <w:r w:rsidR="00596570">
        <w:softHyphen/>
      </w:r>
      <w:r w:rsidR="00FF5711">
        <w:t>cantly less than those that would be required from the existing cost recovery methodolo</w:t>
      </w:r>
      <w:r w:rsidR="00596570">
        <w:softHyphen/>
      </w:r>
      <w:r w:rsidR="00FF5711">
        <w:t xml:space="preserve">gies demonstrate that the securitization meets the total revenue test. </w:t>
      </w:r>
    </w:p>
    <w:p w:rsidR="00A05E0C" w:rsidRDefault="00A05E0C" w:rsidP="00322F45">
      <w:pPr>
        <w:pStyle w:val="textstyle0"/>
      </w:pPr>
    </w:p>
    <w:p w:rsidR="00A05E0C" w:rsidRDefault="00A05E0C" w:rsidP="00322F45">
      <w:pPr>
        <w:pStyle w:val="textstyle0"/>
      </w:pPr>
    </w:p>
    <w:p w:rsidR="00A05E0C" w:rsidRDefault="00A05E0C" w:rsidP="00322F45">
      <w:pPr>
        <w:pStyle w:val="textstyle0"/>
      </w:pPr>
    </w:p>
    <w:p w:rsidR="00A05E0C" w:rsidRDefault="00A05E0C" w:rsidP="00322F45">
      <w:pPr>
        <w:pStyle w:val="textstyle0"/>
      </w:pPr>
    </w:p>
    <w:p w:rsidR="00FF5711" w:rsidRPr="00322F45" w:rsidRDefault="00322F45" w:rsidP="00322F45">
      <w:pPr>
        <w:pStyle w:val="textstyle0"/>
      </w:pPr>
      <w:r>
        <w:lastRenderedPageBreak/>
        <w:t xml:space="preserve">                                                             </w:t>
      </w:r>
      <w:r w:rsidR="00FF5711" w:rsidRPr="004563E8">
        <w:rPr>
          <w:b/>
          <w:szCs w:val="26"/>
          <w:u w:val="single"/>
        </w:rPr>
        <w:t>TABLE-1</w:t>
      </w:r>
    </w:p>
    <w:tbl>
      <w:tblPr>
        <w:tblW w:w="6300" w:type="dxa"/>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1980"/>
      </w:tblGrid>
      <w:tr w:rsidR="00FF5711" w:rsidRPr="0005054E" w:rsidTr="0005054E">
        <w:trPr>
          <w:trHeight w:val="576"/>
        </w:trPr>
        <w:tc>
          <w:tcPr>
            <w:tcW w:w="4320" w:type="dxa"/>
            <w:shd w:val="clear" w:color="auto" w:fill="auto"/>
            <w:vAlign w:val="center"/>
          </w:tcPr>
          <w:p w:rsidR="00FF5711" w:rsidRPr="0005054E" w:rsidRDefault="00FF5711" w:rsidP="0005054E">
            <w:pPr>
              <w:tabs>
                <w:tab w:val="left" w:pos="900"/>
              </w:tabs>
              <w:autoSpaceDE w:val="0"/>
              <w:autoSpaceDN w:val="0"/>
              <w:adjustRightInd w:val="0"/>
              <w:rPr>
                <w:sz w:val="26"/>
                <w:szCs w:val="26"/>
              </w:rPr>
            </w:pPr>
            <w:r w:rsidRPr="0005054E">
              <w:rPr>
                <w:sz w:val="26"/>
                <w:szCs w:val="26"/>
              </w:rPr>
              <w:t>Phase-In Recovery Charges</w:t>
            </w:r>
          </w:p>
        </w:tc>
        <w:tc>
          <w:tcPr>
            <w:tcW w:w="1980" w:type="dxa"/>
            <w:shd w:val="clear" w:color="auto" w:fill="auto"/>
            <w:vAlign w:val="center"/>
          </w:tcPr>
          <w:p w:rsidR="00FF5711" w:rsidRPr="0005054E" w:rsidRDefault="00FF5711" w:rsidP="0005054E">
            <w:pPr>
              <w:tabs>
                <w:tab w:val="left" w:pos="900"/>
              </w:tabs>
              <w:autoSpaceDE w:val="0"/>
              <w:autoSpaceDN w:val="0"/>
              <w:adjustRightInd w:val="0"/>
              <w:rPr>
                <w:sz w:val="26"/>
                <w:szCs w:val="26"/>
              </w:rPr>
            </w:pPr>
            <w:r w:rsidRPr="0005054E">
              <w:rPr>
                <w:sz w:val="26"/>
                <w:szCs w:val="26"/>
              </w:rPr>
              <w:t xml:space="preserve">$ </w:t>
            </w:r>
            <w:r w:rsidRPr="0005054E">
              <w:rPr>
                <w:bCs/>
                <w:sz w:val="26"/>
                <w:szCs w:val="26"/>
              </w:rPr>
              <w:t>653,284,111</w:t>
            </w:r>
          </w:p>
        </w:tc>
      </w:tr>
      <w:tr w:rsidR="00FF5711" w:rsidRPr="0005054E" w:rsidTr="0005054E">
        <w:trPr>
          <w:trHeight w:val="576"/>
        </w:trPr>
        <w:tc>
          <w:tcPr>
            <w:tcW w:w="4320" w:type="dxa"/>
            <w:shd w:val="clear" w:color="auto" w:fill="auto"/>
            <w:vAlign w:val="center"/>
          </w:tcPr>
          <w:p w:rsidR="00FF5711" w:rsidRPr="0005054E" w:rsidRDefault="00FF5711" w:rsidP="0005054E">
            <w:pPr>
              <w:tabs>
                <w:tab w:val="left" w:pos="900"/>
              </w:tabs>
              <w:autoSpaceDE w:val="0"/>
              <w:autoSpaceDN w:val="0"/>
              <w:adjustRightInd w:val="0"/>
              <w:rPr>
                <w:sz w:val="26"/>
                <w:szCs w:val="26"/>
              </w:rPr>
            </w:pPr>
            <w:r w:rsidRPr="0005054E">
              <w:rPr>
                <w:sz w:val="26"/>
                <w:szCs w:val="26"/>
              </w:rPr>
              <w:t>Existing Cost Recovery/Ratemaking</w:t>
            </w:r>
          </w:p>
        </w:tc>
        <w:tc>
          <w:tcPr>
            <w:tcW w:w="1980" w:type="dxa"/>
            <w:shd w:val="clear" w:color="auto" w:fill="auto"/>
            <w:vAlign w:val="center"/>
          </w:tcPr>
          <w:p w:rsidR="00FF5711" w:rsidRPr="0005054E" w:rsidRDefault="00FF5711" w:rsidP="0005054E">
            <w:pPr>
              <w:tabs>
                <w:tab w:val="left" w:pos="900"/>
              </w:tabs>
              <w:autoSpaceDE w:val="0"/>
              <w:autoSpaceDN w:val="0"/>
              <w:adjustRightInd w:val="0"/>
              <w:rPr>
                <w:sz w:val="26"/>
                <w:szCs w:val="26"/>
              </w:rPr>
            </w:pPr>
            <w:r w:rsidRPr="0005054E">
              <w:rPr>
                <w:sz w:val="26"/>
                <w:szCs w:val="26"/>
              </w:rPr>
              <w:t xml:space="preserve">$ </w:t>
            </w:r>
            <w:r w:rsidRPr="0005054E">
              <w:rPr>
                <w:bCs/>
                <w:sz w:val="26"/>
                <w:szCs w:val="26"/>
              </w:rPr>
              <w:t>757,083,354</w:t>
            </w:r>
          </w:p>
        </w:tc>
      </w:tr>
      <w:tr w:rsidR="00FF5711" w:rsidRPr="0005054E" w:rsidTr="0005054E">
        <w:trPr>
          <w:trHeight w:val="576"/>
        </w:trPr>
        <w:tc>
          <w:tcPr>
            <w:tcW w:w="4320" w:type="dxa"/>
            <w:shd w:val="clear" w:color="auto" w:fill="auto"/>
            <w:vAlign w:val="center"/>
          </w:tcPr>
          <w:p w:rsidR="00FF5711" w:rsidRPr="0005054E" w:rsidRDefault="00FF5711" w:rsidP="0005054E">
            <w:pPr>
              <w:tabs>
                <w:tab w:val="left" w:pos="900"/>
              </w:tabs>
              <w:autoSpaceDE w:val="0"/>
              <w:autoSpaceDN w:val="0"/>
              <w:adjustRightInd w:val="0"/>
              <w:rPr>
                <w:sz w:val="26"/>
                <w:szCs w:val="26"/>
              </w:rPr>
            </w:pPr>
            <w:r w:rsidRPr="0005054E">
              <w:rPr>
                <w:sz w:val="26"/>
                <w:szCs w:val="26"/>
              </w:rPr>
              <w:t>Savings From Securitization</w:t>
            </w:r>
          </w:p>
        </w:tc>
        <w:tc>
          <w:tcPr>
            <w:tcW w:w="1980" w:type="dxa"/>
            <w:shd w:val="clear" w:color="auto" w:fill="auto"/>
            <w:vAlign w:val="center"/>
          </w:tcPr>
          <w:p w:rsidR="00FF5711" w:rsidRPr="0005054E" w:rsidRDefault="00FF5711" w:rsidP="0005054E">
            <w:pPr>
              <w:tabs>
                <w:tab w:val="left" w:pos="900"/>
              </w:tabs>
              <w:autoSpaceDE w:val="0"/>
              <w:autoSpaceDN w:val="0"/>
              <w:adjustRightInd w:val="0"/>
              <w:rPr>
                <w:sz w:val="26"/>
                <w:szCs w:val="26"/>
              </w:rPr>
            </w:pPr>
            <w:r w:rsidRPr="0005054E">
              <w:rPr>
                <w:sz w:val="26"/>
                <w:szCs w:val="26"/>
              </w:rPr>
              <w:t xml:space="preserve">$ </w:t>
            </w:r>
            <w:r w:rsidRPr="0005054E">
              <w:rPr>
                <w:bCs/>
                <w:sz w:val="26"/>
                <w:szCs w:val="26"/>
              </w:rPr>
              <w:t>103,799,243</w:t>
            </w:r>
          </w:p>
        </w:tc>
      </w:tr>
    </w:tbl>
    <w:p w:rsidR="004563E8" w:rsidRDefault="004563E8" w:rsidP="004563E8">
      <w:pPr>
        <w:pStyle w:val="textstyle0"/>
      </w:pPr>
    </w:p>
    <w:p w:rsidR="00FF5711" w:rsidRDefault="00FF5711" w:rsidP="004563E8">
      <w:pPr>
        <w:pStyle w:val="textstyle0"/>
      </w:pPr>
      <w:r w:rsidRPr="005026F5">
        <w:t xml:space="preserve">* Source: Exhibit B </w:t>
      </w:r>
      <w:r w:rsidR="006121CF">
        <w:t>of</w:t>
      </w:r>
      <w:r w:rsidR="006121CF" w:rsidRPr="005026F5">
        <w:t xml:space="preserve"> </w:t>
      </w:r>
      <w:r w:rsidRPr="005026F5">
        <w:t>the Joint Application.</w:t>
      </w:r>
    </w:p>
    <w:p w:rsidR="00FF5711" w:rsidRDefault="004563E8" w:rsidP="004563E8">
      <w:pPr>
        <w:pStyle w:val="textstyle0"/>
      </w:pPr>
      <w:r>
        <w:tab/>
      </w:r>
      <w:r w:rsidR="00FF5711" w:rsidRPr="009969FF">
        <w:t xml:space="preserve">The total revenue from PIR Bonds includes the principal and interest payments to be made over the expected life of the PIR Bonds as shown in Exhibit B </w:t>
      </w:r>
      <w:r w:rsidR="006121CF">
        <w:t>of</w:t>
      </w:r>
      <w:r w:rsidR="006121CF" w:rsidRPr="009969FF">
        <w:t xml:space="preserve"> </w:t>
      </w:r>
      <w:r w:rsidR="00FF5711" w:rsidRPr="009969FF">
        <w:t>the Joint Application.  T</w:t>
      </w:r>
      <w:r w:rsidR="00FF5711">
        <w:t xml:space="preserve">he PIR Charge </w:t>
      </w:r>
      <w:r w:rsidR="00FF5711" w:rsidRPr="009969FF">
        <w:t xml:space="preserve">also include the estimated annual, ongoing Financing Costs as shown in Exhibit B </w:t>
      </w:r>
      <w:r w:rsidR="006121CF">
        <w:t>of</w:t>
      </w:r>
      <w:r w:rsidR="006121CF" w:rsidRPr="009969FF">
        <w:t xml:space="preserve"> </w:t>
      </w:r>
      <w:r w:rsidR="00FF5711" w:rsidRPr="009969FF">
        <w:t>the Joint Application, which are not included in the existing cost recovery case.</w:t>
      </w:r>
      <w:r w:rsidR="00FF5711">
        <w:t xml:space="preserve"> </w:t>
      </w:r>
    </w:p>
    <w:p w:rsidR="00FF5711" w:rsidRDefault="004563E8" w:rsidP="004563E8">
      <w:pPr>
        <w:pStyle w:val="textstyle0"/>
      </w:pPr>
      <w:r>
        <w:tab/>
      </w:r>
      <w:r w:rsidR="00FF5711">
        <w:t>The revenue under the existing cost recovery methods was determined using the same amount of recoverable balance as was used to compute the present value benefit from securitization, but recogniz</w:t>
      </w:r>
      <w:r w:rsidR="00FD759A">
        <w:t>ed</w:t>
      </w:r>
      <w:r w:rsidR="00FF5711">
        <w:t xml:space="preserve"> certain differences between the two recovery meth</w:t>
      </w:r>
      <w:r w:rsidR="00596570">
        <w:softHyphen/>
      </w:r>
      <w:r w:rsidR="00FF5711">
        <w:t xml:space="preserve">ods.  Specifically, the costs that relate solely to a securitization transaction, </w:t>
      </w:r>
      <w:r w:rsidR="00FF5711" w:rsidRPr="007225A3">
        <w:rPr>
          <w:i/>
        </w:rPr>
        <w:t>e.g.,</w:t>
      </w:r>
      <w:r w:rsidR="00FF5711">
        <w:rPr>
          <w:i/>
        </w:rPr>
        <w:t xml:space="preserve"> </w:t>
      </w:r>
      <w:r w:rsidR="00FF5711">
        <w:t>the up-front Financing Costs of issuance and ongoing Financing Costs of supporting and ser</w:t>
      </w:r>
      <w:r w:rsidR="00596570">
        <w:softHyphen/>
      </w:r>
      <w:r w:rsidR="00FF5711">
        <w:t>vicing the PIR Bonds, are not included in the computation of costs under the existing cost recovery methods.  Costs recovered under the existing cost recovery methods assume recovery through 2035</w:t>
      </w:r>
      <w:r w:rsidR="00FF5711" w:rsidRPr="009969FF">
        <w:t xml:space="preserve">, using the pre-tax return on assets of 6.85%, as shown in Exhibit B </w:t>
      </w:r>
      <w:r w:rsidR="006121CF">
        <w:t>of</w:t>
      </w:r>
      <w:r w:rsidR="006121CF" w:rsidRPr="009969FF">
        <w:t xml:space="preserve"> </w:t>
      </w:r>
      <w:r w:rsidR="00FF5711" w:rsidRPr="009969FF">
        <w:t>the Joint Application.</w:t>
      </w:r>
    </w:p>
    <w:p w:rsidR="00FF5711" w:rsidRDefault="00AA29B6" w:rsidP="00AA29B6">
      <w:pPr>
        <w:pStyle w:val="Heading3"/>
      </w:pPr>
      <w:bookmarkStart w:id="31" w:name="_Toc328131637"/>
      <w:bookmarkStart w:id="32" w:name="_Toc328397432"/>
      <w:r>
        <w:lastRenderedPageBreak/>
        <w:t>2.</w:t>
      </w:r>
      <w:r>
        <w:tab/>
      </w:r>
      <w:r w:rsidR="00FF5711" w:rsidRPr="005474AD">
        <w:t xml:space="preserve">The </w:t>
      </w:r>
      <w:r w:rsidR="00FF5711">
        <w:t>P</w:t>
      </w:r>
      <w:r w:rsidR="00FF5711" w:rsidRPr="005474AD">
        <w:t xml:space="preserve">resent </w:t>
      </w:r>
      <w:r w:rsidR="00FF5711">
        <w:t>V</w:t>
      </w:r>
      <w:r w:rsidR="00FF5711" w:rsidRPr="005474AD">
        <w:t xml:space="preserve">alue </w:t>
      </w:r>
      <w:r w:rsidR="00FF5711">
        <w:t>Test</w:t>
      </w:r>
      <w:bookmarkEnd w:id="31"/>
      <w:bookmarkEnd w:id="32"/>
    </w:p>
    <w:p w:rsidR="00FF5711" w:rsidRDefault="004563E8" w:rsidP="004563E8">
      <w:pPr>
        <w:pStyle w:val="textstyle0"/>
      </w:pPr>
      <w:r>
        <w:tab/>
      </w:r>
      <w:r w:rsidR="00FF5711" w:rsidRPr="00C53335">
        <w:t xml:space="preserve">The present value test </w:t>
      </w:r>
      <w:r w:rsidR="00FF5711">
        <w:t>is intended to ensure that the amount securitized may not exceed the present value of revenue requirements over the PIR Bond life discounted using the proposed interest rate on the PIR Bonds.  The present value test uses the same calculation and assumptions as the quantifiable benefits test described above.</w:t>
      </w:r>
    </w:p>
    <w:p w:rsidR="00FF5711" w:rsidRDefault="004563E8" w:rsidP="004563E8">
      <w:pPr>
        <w:pStyle w:val="textstyle0"/>
      </w:pPr>
      <w:r>
        <w:tab/>
      </w:r>
      <w:r w:rsidR="00FF5711">
        <w:t xml:space="preserve">The present value of revenue requirements under existing cost recovery methods is calculated to be </w:t>
      </w:r>
      <w:r w:rsidR="00FF5711" w:rsidRPr="00403F6E">
        <w:t xml:space="preserve">$ </w:t>
      </w:r>
      <w:r w:rsidR="00FF5711" w:rsidRPr="00403F6E">
        <w:rPr>
          <w:rFonts w:cs="BookAntiqua,Bold"/>
          <w:bCs/>
        </w:rPr>
        <w:t>432,676,</w:t>
      </w:r>
      <w:r w:rsidR="006121CF" w:rsidRPr="00403F6E">
        <w:rPr>
          <w:rFonts w:cs="BookAntiqua,Bold"/>
          <w:bCs/>
        </w:rPr>
        <w:t>82</w:t>
      </w:r>
      <w:r w:rsidR="006121CF">
        <w:rPr>
          <w:rFonts w:cs="BookAntiqua,Bold"/>
          <w:bCs/>
        </w:rPr>
        <w:t>0</w:t>
      </w:r>
      <w:r w:rsidR="006121CF" w:rsidRPr="00403F6E">
        <w:t xml:space="preserve"> </w:t>
      </w:r>
      <w:r w:rsidR="00FF5711" w:rsidRPr="00403F6E">
        <w:t xml:space="preserve">in the expected-case scenario.  </w:t>
      </w:r>
      <w:r w:rsidR="00FF5711">
        <w:t xml:space="preserve">The present value of the revenue requirement of the estimated recovery under securitization is calculated to be $385,767,358 which </w:t>
      </w:r>
      <w:r w:rsidR="00FF5711" w:rsidRPr="00403F6E">
        <w:t>does not exceed the present value of the revenue requirements under existing cost recovery methods and, therefore, satisfies this test requirement as illustrated in Table-2 below.</w:t>
      </w:r>
    </w:p>
    <w:p w:rsidR="00FF5711" w:rsidRPr="004563E8" w:rsidRDefault="00322F45" w:rsidP="00322F45">
      <w:pPr>
        <w:tabs>
          <w:tab w:val="left" w:pos="900"/>
        </w:tabs>
        <w:autoSpaceDE w:val="0"/>
        <w:autoSpaceDN w:val="0"/>
        <w:adjustRightInd w:val="0"/>
        <w:rPr>
          <w:b/>
          <w:sz w:val="26"/>
          <w:szCs w:val="26"/>
          <w:u w:val="single"/>
        </w:rPr>
      </w:pPr>
      <w:r w:rsidRPr="00322F45">
        <w:rPr>
          <w:b/>
          <w:sz w:val="26"/>
          <w:szCs w:val="26"/>
        </w:rPr>
        <w:t xml:space="preserve">                                       </w:t>
      </w:r>
      <w:r>
        <w:rPr>
          <w:b/>
          <w:sz w:val="26"/>
          <w:szCs w:val="26"/>
        </w:rPr>
        <w:t xml:space="preserve"> </w:t>
      </w:r>
      <w:r w:rsidRPr="00322F45">
        <w:rPr>
          <w:b/>
          <w:sz w:val="26"/>
          <w:szCs w:val="26"/>
        </w:rPr>
        <w:t xml:space="preserve">                   </w:t>
      </w:r>
      <w:r w:rsidR="00FF5711" w:rsidRPr="004563E8">
        <w:rPr>
          <w:b/>
          <w:sz w:val="26"/>
          <w:szCs w:val="26"/>
          <w:u w:val="single"/>
        </w:rPr>
        <w:t>TABLE-2</w:t>
      </w:r>
    </w:p>
    <w:p w:rsidR="00FF5711" w:rsidRPr="004563E8" w:rsidRDefault="00FF5711" w:rsidP="00FF5711">
      <w:pPr>
        <w:tabs>
          <w:tab w:val="left" w:pos="900"/>
        </w:tabs>
        <w:autoSpaceDE w:val="0"/>
        <w:autoSpaceDN w:val="0"/>
        <w:adjustRightInd w:val="0"/>
        <w:jc w:val="both"/>
        <w:rPr>
          <w:b/>
          <w:sz w:val="26"/>
          <w:szCs w:val="26"/>
          <w:u w:val="single"/>
        </w:rPr>
      </w:pPr>
    </w:p>
    <w:tbl>
      <w:tblPr>
        <w:tblW w:w="621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2070"/>
      </w:tblGrid>
      <w:tr w:rsidR="00FF5711" w:rsidRPr="0005054E" w:rsidTr="0005054E">
        <w:trPr>
          <w:trHeight w:val="576"/>
        </w:trPr>
        <w:tc>
          <w:tcPr>
            <w:tcW w:w="4140" w:type="dxa"/>
            <w:shd w:val="clear" w:color="auto" w:fill="auto"/>
            <w:vAlign w:val="center"/>
          </w:tcPr>
          <w:p w:rsidR="00FF5711" w:rsidRPr="0005054E" w:rsidRDefault="00FF5711" w:rsidP="0005054E">
            <w:pPr>
              <w:tabs>
                <w:tab w:val="left" w:pos="900"/>
              </w:tabs>
              <w:autoSpaceDE w:val="0"/>
              <w:autoSpaceDN w:val="0"/>
              <w:adjustRightInd w:val="0"/>
              <w:rPr>
                <w:sz w:val="26"/>
                <w:szCs w:val="26"/>
              </w:rPr>
            </w:pPr>
            <w:r w:rsidRPr="0005054E">
              <w:rPr>
                <w:sz w:val="26"/>
                <w:szCs w:val="26"/>
              </w:rPr>
              <w:t>Present Value</w:t>
            </w:r>
          </w:p>
        </w:tc>
        <w:tc>
          <w:tcPr>
            <w:tcW w:w="2070" w:type="dxa"/>
            <w:shd w:val="clear" w:color="auto" w:fill="auto"/>
            <w:vAlign w:val="center"/>
          </w:tcPr>
          <w:p w:rsidR="00FF5711" w:rsidRPr="0005054E" w:rsidRDefault="00FF5711" w:rsidP="0005054E">
            <w:pPr>
              <w:tabs>
                <w:tab w:val="left" w:pos="900"/>
              </w:tabs>
              <w:autoSpaceDE w:val="0"/>
              <w:autoSpaceDN w:val="0"/>
              <w:adjustRightInd w:val="0"/>
              <w:rPr>
                <w:sz w:val="26"/>
                <w:szCs w:val="26"/>
              </w:rPr>
            </w:pPr>
            <w:r w:rsidRPr="0005054E">
              <w:rPr>
                <w:sz w:val="26"/>
                <w:szCs w:val="26"/>
              </w:rPr>
              <w:t>Expected Case*</w:t>
            </w:r>
          </w:p>
          <w:p w:rsidR="00FF5711" w:rsidRPr="0005054E" w:rsidRDefault="00FF5711" w:rsidP="0005054E">
            <w:pPr>
              <w:tabs>
                <w:tab w:val="left" w:pos="900"/>
              </w:tabs>
              <w:autoSpaceDE w:val="0"/>
              <w:autoSpaceDN w:val="0"/>
              <w:adjustRightInd w:val="0"/>
              <w:rPr>
                <w:sz w:val="26"/>
                <w:szCs w:val="26"/>
              </w:rPr>
            </w:pPr>
            <w:r w:rsidRPr="0005054E">
              <w:rPr>
                <w:sz w:val="26"/>
                <w:szCs w:val="26"/>
              </w:rPr>
              <w:t>(in millions)</w:t>
            </w:r>
          </w:p>
        </w:tc>
      </w:tr>
      <w:tr w:rsidR="00FF5711" w:rsidRPr="0005054E" w:rsidTr="0005054E">
        <w:trPr>
          <w:trHeight w:val="576"/>
        </w:trPr>
        <w:tc>
          <w:tcPr>
            <w:tcW w:w="4140" w:type="dxa"/>
            <w:shd w:val="clear" w:color="auto" w:fill="auto"/>
            <w:vAlign w:val="center"/>
          </w:tcPr>
          <w:p w:rsidR="00FF5711" w:rsidRPr="0005054E" w:rsidRDefault="00FF5711" w:rsidP="0005054E">
            <w:pPr>
              <w:tabs>
                <w:tab w:val="left" w:pos="900"/>
              </w:tabs>
              <w:autoSpaceDE w:val="0"/>
              <w:autoSpaceDN w:val="0"/>
              <w:adjustRightInd w:val="0"/>
              <w:rPr>
                <w:sz w:val="26"/>
                <w:szCs w:val="26"/>
              </w:rPr>
            </w:pPr>
            <w:r w:rsidRPr="0005054E">
              <w:rPr>
                <w:sz w:val="26"/>
                <w:szCs w:val="26"/>
              </w:rPr>
              <w:t>Phase-In Recovery Charges</w:t>
            </w:r>
          </w:p>
        </w:tc>
        <w:tc>
          <w:tcPr>
            <w:tcW w:w="2070" w:type="dxa"/>
            <w:shd w:val="clear" w:color="auto" w:fill="auto"/>
            <w:vAlign w:val="center"/>
          </w:tcPr>
          <w:p w:rsidR="00FF5711" w:rsidRPr="0005054E" w:rsidRDefault="00FF5711" w:rsidP="0005054E">
            <w:pPr>
              <w:tabs>
                <w:tab w:val="left" w:pos="900"/>
              </w:tabs>
              <w:autoSpaceDE w:val="0"/>
              <w:autoSpaceDN w:val="0"/>
              <w:adjustRightInd w:val="0"/>
              <w:rPr>
                <w:sz w:val="26"/>
                <w:szCs w:val="26"/>
              </w:rPr>
            </w:pPr>
            <w:r w:rsidRPr="0005054E">
              <w:rPr>
                <w:sz w:val="26"/>
                <w:szCs w:val="26"/>
              </w:rPr>
              <w:t xml:space="preserve">$ </w:t>
            </w:r>
            <w:r w:rsidRPr="0005054E">
              <w:rPr>
                <w:bCs/>
                <w:sz w:val="26"/>
                <w:szCs w:val="26"/>
              </w:rPr>
              <w:t>385,767,358</w:t>
            </w:r>
          </w:p>
        </w:tc>
      </w:tr>
      <w:tr w:rsidR="00FF5711" w:rsidRPr="0005054E" w:rsidTr="0005054E">
        <w:trPr>
          <w:trHeight w:val="576"/>
        </w:trPr>
        <w:tc>
          <w:tcPr>
            <w:tcW w:w="4140" w:type="dxa"/>
            <w:shd w:val="clear" w:color="auto" w:fill="auto"/>
            <w:vAlign w:val="center"/>
          </w:tcPr>
          <w:p w:rsidR="00FF5711" w:rsidRPr="0005054E" w:rsidRDefault="00FF5711" w:rsidP="0005054E">
            <w:pPr>
              <w:tabs>
                <w:tab w:val="left" w:pos="900"/>
              </w:tabs>
              <w:autoSpaceDE w:val="0"/>
              <w:autoSpaceDN w:val="0"/>
              <w:adjustRightInd w:val="0"/>
              <w:rPr>
                <w:sz w:val="26"/>
                <w:szCs w:val="26"/>
              </w:rPr>
            </w:pPr>
            <w:r w:rsidRPr="0005054E">
              <w:rPr>
                <w:sz w:val="26"/>
                <w:szCs w:val="26"/>
              </w:rPr>
              <w:t>Existing Cost Recovery/Ratemaking</w:t>
            </w:r>
          </w:p>
        </w:tc>
        <w:tc>
          <w:tcPr>
            <w:tcW w:w="2070" w:type="dxa"/>
            <w:shd w:val="clear" w:color="auto" w:fill="auto"/>
            <w:vAlign w:val="center"/>
          </w:tcPr>
          <w:p w:rsidR="00FF5711" w:rsidRPr="0005054E" w:rsidRDefault="00FF5711" w:rsidP="006121CF">
            <w:pPr>
              <w:tabs>
                <w:tab w:val="left" w:pos="900"/>
              </w:tabs>
              <w:autoSpaceDE w:val="0"/>
              <w:autoSpaceDN w:val="0"/>
              <w:adjustRightInd w:val="0"/>
              <w:rPr>
                <w:sz w:val="26"/>
                <w:szCs w:val="26"/>
              </w:rPr>
            </w:pPr>
            <w:r w:rsidRPr="0005054E">
              <w:rPr>
                <w:sz w:val="26"/>
                <w:szCs w:val="26"/>
              </w:rPr>
              <w:t xml:space="preserve">$ </w:t>
            </w:r>
            <w:r w:rsidRPr="0005054E">
              <w:rPr>
                <w:bCs/>
                <w:sz w:val="26"/>
                <w:szCs w:val="26"/>
              </w:rPr>
              <w:t>432,676,</w:t>
            </w:r>
            <w:r w:rsidR="006121CF" w:rsidRPr="0005054E">
              <w:rPr>
                <w:bCs/>
                <w:sz w:val="26"/>
                <w:szCs w:val="26"/>
              </w:rPr>
              <w:t>82</w:t>
            </w:r>
            <w:r w:rsidR="006121CF">
              <w:rPr>
                <w:bCs/>
                <w:sz w:val="26"/>
                <w:szCs w:val="26"/>
              </w:rPr>
              <w:t>0</w:t>
            </w:r>
          </w:p>
        </w:tc>
      </w:tr>
      <w:tr w:rsidR="00FF5711" w:rsidRPr="0005054E" w:rsidTr="0005054E">
        <w:trPr>
          <w:trHeight w:val="576"/>
        </w:trPr>
        <w:tc>
          <w:tcPr>
            <w:tcW w:w="4140" w:type="dxa"/>
            <w:shd w:val="clear" w:color="auto" w:fill="auto"/>
            <w:vAlign w:val="center"/>
          </w:tcPr>
          <w:p w:rsidR="00FF5711" w:rsidRPr="0005054E" w:rsidRDefault="00FF5711" w:rsidP="0005054E">
            <w:pPr>
              <w:tabs>
                <w:tab w:val="left" w:pos="900"/>
              </w:tabs>
              <w:autoSpaceDE w:val="0"/>
              <w:autoSpaceDN w:val="0"/>
              <w:adjustRightInd w:val="0"/>
              <w:rPr>
                <w:sz w:val="26"/>
                <w:szCs w:val="26"/>
              </w:rPr>
            </w:pPr>
            <w:r w:rsidRPr="0005054E">
              <w:rPr>
                <w:sz w:val="26"/>
                <w:szCs w:val="26"/>
              </w:rPr>
              <w:t>Savings From Securitization</w:t>
            </w:r>
          </w:p>
        </w:tc>
        <w:tc>
          <w:tcPr>
            <w:tcW w:w="2070" w:type="dxa"/>
            <w:shd w:val="clear" w:color="auto" w:fill="auto"/>
            <w:vAlign w:val="center"/>
          </w:tcPr>
          <w:p w:rsidR="00FF5711" w:rsidRPr="0005054E" w:rsidRDefault="00FF5711" w:rsidP="0005054E">
            <w:pPr>
              <w:tabs>
                <w:tab w:val="left" w:pos="900"/>
              </w:tabs>
              <w:autoSpaceDE w:val="0"/>
              <w:autoSpaceDN w:val="0"/>
              <w:adjustRightInd w:val="0"/>
              <w:rPr>
                <w:sz w:val="26"/>
                <w:szCs w:val="26"/>
              </w:rPr>
            </w:pPr>
            <w:r w:rsidRPr="0005054E">
              <w:rPr>
                <w:sz w:val="26"/>
                <w:szCs w:val="26"/>
              </w:rPr>
              <w:t xml:space="preserve">$ </w:t>
            </w:r>
            <w:r w:rsidRPr="0005054E">
              <w:rPr>
                <w:bCs/>
                <w:sz w:val="26"/>
                <w:szCs w:val="26"/>
              </w:rPr>
              <w:t>46,909,463</w:t>
            </w:r>
          </w:p>
        </w:tc>
      </w:tr>
    </w:tbl>
    <w:p w:rsidR="004563E8" w:rsidRDefault="004563E8" w:rsidP="00FF5711">
      <w:pPr>
        <w:tabs>
          <w:tab w:val="left" w:pos="900"/>
        </w:tabs>
        <w:autoSpaceDE w:val="0"/>
        <w:autoSpaceDN w:val="0"/>
        <w:adjustRightInd w:val="0"/>
        <w:jc w:val="both"/>
        <w:rPr>
          <w:sz w:val="26"/>
          <w:szCs w:val="26"/>
        </w:rPr>
      </w:pPr>
    </w:p>
    <w:p w:rsidR="00FF5711" w:rsidRPr="004563E8" w:rsidRDefault="00FF5711" w:rsidP="004563E8">
      <w:pPr>
        <w:pStyle w:val="textstyle0"/>
      </w:pPr>
      <w:r w:rsidRPr="004563E8">
        <w:t xml:space="preserve">* Source: Exhibit B </w:t>
      </w:r>
      <w:r w:rsidR="006121CF">
        <w:t>of</w:t>
      </w:r>
      <w:r w:rsidR="006121CF" w:rsidRPr="004563E8">
        <w:t xml:space="preserve"> </w:t>
      </w:r>
      <w:r w:rsidRPr="004563E8">
        <w:t xml:space="preserve">the Joint Application. </w:t>
      </w:r>
    </w:p>
    <w:p w:rsidR="00FF5711" w:rsidRPr="008C1583" w:rsidRDefault="00AA29B6" w:rsidP="00AA29B6">
      <w:pPr>
        <w:pStyle w:val="Heading3"/>
      </w:pPr>
      <w:bookmarkStart w:id="33" w:name="_Toc328131638"/>
      <w:bookmarkStart w:id="34" w:name="_Toc328397433"/>
      <w:r>
        <w:t>3.</w:t>
      </w:r>
      <w:r>
        <w:tab/>
      </w:r>
      <w:r w:rsidR="00FF5711" w:rsidRPr="008C1583">
        <w:t xml:space="preserve">The </w:t>
      </w:r>
      <w:r w:rsidR="00FF5711">
        <w:t>P</w:t>
      </w:r>
      <w:r w:rsidR="00FF5711" w:rsidRPr="008C1583">
        <w:t xml:space="preserve">roceeds </w:t>
      </w:r>
      <w:r w:rsidR="00FF5711">
        <w:t>T</w:t>
      </w:r>
      <w:r w:rsidR="00FF5711" w:rsidRPr="008C1583">
        <w:t>est</w:t>
      </w:r>
      <w:bookmarkEnd w:id="33"/>
      <w:bookmarkEnd w:id="34"/>
    </w:p>
    <w:p w:rsidR="00FF5711" w:rsidRDefault="004563E8" w:rsidP="004563E8">
      <w:pPr>
        <w:pStyle w:val="textstyle0"/>
      </w:pPr>
      <w:r>
        <w:tab/>
      </w:r>
      <w:r w:rsidR="00FF5711">
        <w:t>The proceeds test is intended to ensure that the proceeds from the PIR Bonds are primarily used for the purposes of the repayment of the existing long-term debt of the Companies and the impact on the Companies’ capitalization.</w:t>
      </w:r>
    </w:p>
    <w:p w:rsidR="00FF5711" w:rsidRPr="001730B1" w:rsidRDefault="004563E8" w:rsidP="004563E8">
      <w:pPr>
        <w:pStyle w:val="textstyle0"/>
        <w:rPr>
          <w:b/>
          <w:u w:val="single"/>
        </w:rPr>
      </w:pPr>
      <w:r>
        <w:lastRenderedPageBreak/>
        <w:tab/>
      </w:r>
      <w:r w:rsidR="00FF5711">
        <w:t xml:space="preserve">As mentioned previously, the Companies propose to use the </w:t>
      </w:r>
      <w:r w:rsidR="00FF5711" w:rsidRPr="001730B1">
        <w:t xml:space="preserve">proceeds from the PIR Bonds to primarily repay their existing long-term debt.  Proceeds will also be used to pay Financing Costs and for other corporate purposes. </w:t>
      </w:r>
    </w:p>
    <w:p w:rsidR="00FF5711" w:rsidRPr="001730B1" w:rsidRDefault="00FF5711" w:rsidP="004563E8">
      <w:pPr>
        <w:pStyle w:val="textstyle0"/>
      </w:pPr>
      <w:r w:rsidRPr="001730B1">
        <w:tab/>
        <w:t xml:space="preserve">Exhibit D to the Joint Application presents the expected use of proceeds from the PIR Bonds and the </w:t>
      </w:r>
      <w:r w:rsidRPr="00FD759A">
        <w:t>pro</w:t>
      </w:r>
      <w:r w:rsidR="006121CF" w:rsidRPr="00FD759A">
        <w:t xml:space="preserve"> </w:t>
      </w:r>
      <w:r w:rsidRPr="00FD759A">
        <w:t>forma</w:t>
      </w:r>
      <w:r w:rsidRPr="001730B1">
        <w:t xml:space="preserve"> capitalization after using the PIR Bond proceeds to repay </w:t>
      </w:r>
      <w:r>
        <w:t>the Companies</w:t>
      </w:r>
      <w:r w:rsidRPr="001730B1">
        <w:t>’ long-term debt.</w:t>
      </w:r>
    </w:p>
    <w:p w:rsidR="00FF5711" w:rsidRDefault="00322F45" w:rsidP="00536C13">
      <w:pPr>
        <w:pStyle w:val="Heading1"/>
      </w:pPr>
      <w:bookmarkStart w:id="35" w:name="_Toc328397434"/>
      <w:r>
        <w:t>DEBT RETIREMENT COSTS REVIEW</w:t>
      </w:r>
      <w:bookmarkEnd w:id="35"/>
    </w:p>
    <w:p w:rsidR="00FF5711" w:rsidRPr="001730B1" w:rsidRDefault="00FF5711" w:rsidP="004563E8">
      <w:pPr>
        <w:pStyle w:val="textstyle0"/>
      </w:pPr>
      <w:r>
        <w:tab/>
      </w:r>
      <w:r w:rsidRPr="001730B1">
        <w:t>Table-</w:t>
      </w:r>
      <w:r>
        <w:t>3</w:t>
      </w:r>
      <w:r w:rsidRPr="001730B1">
        <w:t xml:space="preserve"> below provides a comparison of debt retirement costs to total debt retired by each </w:t>
      </w:r>
      <w:r>
        <w:t>Company</w:t>
      </w:r>
      <w:r w:rsidRPr="001730B1">
        <w:t>.</w:t>
      </w:r>
    </w:p>
    <w:p w:rsidR="00FF5711" w:rsidRPr="004563E8" w:rsidRDefault="00322F45" w:rsidP="00322F45">
      <w:pPr>
        <w:pStyle w:val="ListParagraph"/>
        <w:tabs>
          <w:tab w:val="left" w:pos="0"/>
        </w:tabs>
        <w:autoSpaceDE w:val="0"/>
        <w:autoSpaceDN w:val="0"/>
        <w:adjustRightInd w:val="0"/>
        <w:spacing w:after="0" w:line="240" w:lineRule="auto"/>
        <w:ind w:left="0"/>
        <w:rPr>
          <w:rFonts w:ascii="Times New Roman" w:hAnsi="Times New Roman"/>
          <w:b/>
          <w:sz w:val="26"/>
          <w:szCs w:val="26"/>
          <w:u w:val="single"/>
        </w:rPr>
      </w:pPr>
      <w:r w:rsidRPr="00322F45">
        <w:rPr>
          <w:rFonts w:ascii="Times New Roman" w:hAnsi="Times New Roman"/>
          <w:b/>
          <w:sz w:val="26"/>
          <w:szCs w:val="26"/>
        </w:rPr>
        <w:t xml:space="preserve">                                                  </w:t>
      </w:r>
      <w:r>
        <w:rPr>
          <w:rFonts w:ascii="Times New Roman" w:hAnsi="Times New Roman"/>
          <w:b/>
          <w:sz w:val="26"/>
          <w:szCs w:val="26"/>
        </w:rPr>
        <w:t xml:space="preserve">         </w:t>
      </w:r>
      <w:r w:rsidRPr="00322F45">
        <w:rPr>
          <w:rFonts w:ascii="Times New Roman" w:hAnsi="Times New Roman"/>
          <w:b/>
          <w:sz w:val="26"/>
          <w:szCs w:val="26"/>
        </w:rPr>
        <w:t xml:space="preserve">              </w:t>
      </w:r>
      <w:r w:rsidR="00FF5711" w:rsidRPr="004563E8">
        <w:rPr>
          <w:rFonts w:ascii="Times New Roman" w:hAnsi="Times New Roman"/>
          <w:b/>
          <w:sz w:val="26"/>
          <w:szCs w:val="26"/>
          <w:u w:val="single"/>
        </w:rPr>
        <w:t>TABLE-3</w:t>
      </w:r>
    </w:p>
    <w:p w:rsidR="00FF5711" w:rsidRPr="004563E8" w:rsidRDefault="00322F45" w:rsidP="00FF5711">
      <w:pPr>
        <w:pStyle w:val="ListParagraph"/>
        <w:tabs>
          <w:tab w:val="left" w:pos="0"/>
          <w:tab w:val="left" w:pos="90"/>
          <w:tab w:val="left" w:pos="900"/>
          <w:tab w:val="left" w:pos="8640"/>
        </w:tabs>
        <w:autoSpaceDE w:val="0"/>
        <w:autoSpaceDN w:val="0"/>
        <w:adjustRightInd w:val="0"/>
        <w:spacing w:after="0" w:line="240" w:lineRule="auto"/>
        <w:ind w:left="0"/>
        <w:jc w:val="both"/>
        <w:rPr>
          <w:rFonts w:ascii="Times New Roman" w:hAnsi="Times New Roman"/>
          <w:b/>
          <w:sz w:val="26"/>
          <w:szCs w:val="26"/>
          <w:u w:val="single"/>
        </w:rPr>
      </w:pPr>
      <w:r>
        <w:rPr>
          <w:rFonts w:ascii="Times New Roman" w:hAnsi="Times New Roman"/>
          <w:b/>
          <w:sz w:val="26"/>
          <w:szCs w:val="26"/>
          <w:u w:val="single"/>
        </w:rPr>
        <w:t xml:space="preserve">           </w:t>
      </w:r>
    </w:p>
    <w:tbl>
      <w:tblPr>
        <w:tblW w:w="8298" w:type="dxa"/>
        <w:jc w:val="right"/>
        <w:tblInd w:w="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1890"/>
        <w:gridCol w:w="1800"/>
        <w:gridCol w:w="1728"/>
      </w:tblGrid>
      <w:tr w:rsidR="000572BC" w:rsidRPr="0005054E" w:rsidTr="00322F45">
        <w:trPr>
          <w:trHeight w:val="720"/>
          <w:jc w:val="right"/>
        </w:trPr>
        <w:tc>
          <w:tcPr>
            <w:tcW w:w="2880" w:type="dxa"/>
            <w:shd w:val="clear" w:color="auto" w:fill="auto"/>
            <w:vAlign w:val="center"/>
          </w:tcPr>
          <w:p w:rsidR="00FF5711" w:rsidRPr="0005054E" w:rsidRDefault="00FF5711" w:rsidP="0005054E">
            <w:pPr>
              <w:pStyle w:val="ListParagraph"/>
              <w:tabs>
                <w:tab w:val="left" w:pos="-999"/>
                <w:tab w:val="left" w:pos="96"/>
                <w:tab w:val="left" w:pos="8640"/>
              </w:tabs>
              <w:autoSpaceDE w:val="0"/>
              <w:autoSpaceDN w:val="0"/>
              <w:adjustRightInd w:val="0"/>
              <w:ind w:left="0" w:hanging="369"/>
              <w:jc w:val="center"/>
              <w:rPr>
                <w:rFonts w:ascii="Times New Roman" w:hAnsi="Times New Roman"/>
                <w:sz w:val="26"/>
                <w:szCs w:val="26"/>
              </w:rPr>
            </w:pPr>
            <w:r w:rsidRPr="0005054E">
              <w:rPr>
                <w:rFonts w:ascii="Times New Roman" w:hAnsi="Times New Roman"/>
                <w:sz w:val="26"/>
                <w:szCs w:val="26"/>
              </w:rPr>
              <w:t>Description</w:t>
            </w:r>
          </w:p>
        </w:tc>
        <w:tc>
          <w:tcPr>
            <w:tcW w:w="1890" w:type="dxa"/>
            <w:shd w:val="clear" w:color="auto" w:fill="auto"/>
            <w:vAlign w:val="center"/>
          </w:tcPr>
          <w:p w:rsidR="00FF5711" w:rsidRPr="0005054E" w:rsidRDefault="00FF5711" w:rsidP="0005054E">
            <w:pPr>
              <w:pStyle w:val="ListParagraph"/>
              <w:tabs>
                <w:tab w:val="left" w:pos="-999"/>
                <w:tab w:val="left" w:pos="50"/>
                <w:tab w:val="left" w:pos="96"/>
                <w:tab w:val="left" w:pos="8640"/>
              </w:tabs>
              <w:autoSpaceDE w:val="0"/>
              <w:autoSpaceDN w:val="0"/>
              <w:adjustRightInd w:val="0"/>
              <w:ind w:left="0" w:hanging="369"/>
              <w:jc w:val="center"/>
              <w:rPr>
                <w:rFonts w:ascii="Times New Roman" w:hAnsi="Times New Roman"/>
                <w:sz w:val="26"/>
                <w:szCs w:val="26"/>
              </w:rPr>
            </w:pPr>
            <w:r w:rsidRPr="0005054E">
              <w:rPr>
                <w:rFonts w:ascii="Times New Roman" w:hAnsi="Times New Roman"/>
                <w:sz w:val="26"/>
                <w:szCs w:val="26"/>
              </w:rPr>
              <w:t>CEI</w:t>
            </w:r>
          </w:p>
        </w:tc>
        <w:tc>
          <w:tcPr>
            <w:tcW w:w="1800" w:type="dxa"/>
            <w:shd w:val="clear" w:color="auto" w:fill="auto"/>
            <w:vAlign w:val="center"/>
          </w:tcPr>
          <w:p w:rsidR="00FF5711" w:rsidRPr="0005054E" w:rsidRDefault="00FF5711" w:rsidP="0005054E">
            <w:pPr>
              <w:pStyle w:val="ListParagraph"/>
              <w:tabs>
                <w:tab w:val="left" w:pos="-999"/>
                <w:tab w:val="left" w:pos="50"/>
                <w:tab w:val="left" w:pos="96"/>
                <w:tab w:val="left" w:pos="8640"/>
              </w:tabs>
              <w:autoSpaceDE w:val="0"/>
              <w:autoSpaceDN w:val="0"/>
              <w:adjustRightInd w:val="0"/>
              <w:ind w:left="0" w:hanging="369"/>
              <w:jc w:val="center"/>
              <w:rPr>
                <w:rFonts w:ascii="Times New Roman" w:hAnsi="Times New Roman"/>
                <w:sz w:val="26"/>
                <w:szCs w:val="26"/>
              </w:rPr>
            </w:pPr>
            <w:r w:rsidRPr="0005054E">
              <w:rPr>
                <w:rFonts w:ascii="Times New Roman" w:hAnsi="Times New Roman"/>
                <w:sz w:val="26"/>
                <w:szCs w:val="26"/>
              </w:rPr>
              <w:t>OE</w:t>
            </w:r>
          </w:p>
        </w:tc>
        <w:tc>
          <w:tcPr>
            <w:tcW w:w="1728" w:type="dxa"/>
            <w:shd w:val="clear" w:color="auto" w:fill="auto"/>
            <w:vAlign w:val="center"/>
          </w:tcPr>
          <w:p w:rsidR="00FF5711" w:rsidRPr="0005054E" w:rsidRDefault="00FF5711" w:rsidP="0005054E">
            <w:pPr>
              <w:pStyle w:val="ListParagraph"/>
              <w:tabs>
                <w:tab w:val="left" w:pos="-999"/>
                <w:tab w:val="left" w:pos="-108"/>
                <w:tab w:val="left" w:pos="50"/>
                <w:tab w:val="left" w:pos="96"/>
                <w:tab w:val="left" w:pos="8640"/>
              </w:tabs>
              <w:autoSpaceDE w:val="0"/>
              <w:autoSpaceDN w:val="0"/>
              <w:adjustRightInd w:val="0"/>
              <w:ind w:left="0" w:hanging="369"/>
              <w:jc w:val="center"/>
              <w:rPr>
                <w:rFonts w:ascii="Times New Roman" w:hAnsi="Times New Roman"/>
                <w:sz w:val="26"/>
                <w:szCs w:val="26"/>
              </w:rPr>
            </w:pPr>
            <w:r w:rsidRPr="0005054E">
              <w:rPr>
                <w:rFonts w:ascii="Times New Roman" w:hAnsi="Times New Roman"/>
                <w:sz w:val="26"/>
                <w:szCs w:val="26"/>
              </w:rPr>
              <w:t>TE</w:t>
            </w:r>
          </w:p>
        </w:tc>
      </w:tr>
      <w:tr w:rsidR="000572BC" w:rsidRPr="0005054E" w:rsidTr="00322F45">
        <w:trPr>
          <w:trHeight w:val="720"/>
          <w:jc w:val="right"/>
        </w:trPr>
        <w:tc>
          <w:tcPr>
            <w:tcW w:w="2880" w:type="dxa"/>
            <w:shd w:val="clear" w:color="auto" w:fill="auto"/>
            <w:vAlign w:val="center"/>
          </w:tcPr>
          <w:p w:rsidR="00FF5711" w:rsidRPr="0005054E" w:rsidRDefault="00FF5711" w:rsidP="0005054E">
            <w:pPr>
              <w:pStyle w:val="ListParagraph"/>
              <w:tabs>
                <w:tab w:val="left" w:pos="8640"/>
              </w:tabs>
              <w:autoSpaceDE w:val="0"/>
              <w:autoSpaceDN w:val="0"/>
              <w:adjustRightInd w:val="0"/>
              <w:ind w:left="432" w:hanging="369"/>
              <w:rPr>
                <w:rFonts w:ascii="Times New Roman" w:hAnsi="Times New Roman"/>
                <w:sz w:val="26"/>
                <w:szCs w:val="26"/>
              </w:rPr>
            </w:pPr>
            <w:r w:rsidRPr="0005054E">
              <w:rPr>
                <w:rFonts w:ascii="Times New Roman" w:hAnsi="Times New Roman"/>
                <w:sz w:val="26"/>
                <w:szCs w:val="26"/>
              </w:rPr>
              <w:t>Debt Retirement Costs</w:t>
            </w:r>
          </w:p>
          <w:p w:rsidR="00FF5711" w:rsidRPr="0005054E" w:rsidRDefault="00FF5711" w:rsidP="0005054E">
            <w:pPr>
              <w:pStyle w:val="ListParagraph"/>
              <w:tabs>
                <w:tab w:val="left" w:pos="8640"/>
              </w:tabs>
              <w:autoSpaceDE w:val="0"/>
              <w:autoSpaceDN w:val="0"/>
              <w:adjustRightInd w:val="0"/>
              <w:ind w:left="432" w:hanging="369"/>
              <w:rPr>
                <w:rFonts w:ascii="Times New Roman" w:hAnsi="Times New Roman"/>
                <w:sz w:val="26"/>
                <w:szCs w:val="26"/>
              </w:rPr>
            </w:pPr>
            <w:r w:rsidRPr="0005054E">
              <w:rPr>
                <w:rFonts w:ascii="Times New Roman" w:hAnsi="Times New Roman"/>
                <w:sz w:val="26"/>
                <w:szCs w:val="26"/>
              </w:rPr>
              <w:t>(DRC)</w:t>
            </w:r>
          </w:p>
        </w:tc>
        <w:tc>
          <w:tcPr>
            <w:tcW w:w="1890" w:type="dxa"/>
            <w:shd w:val="clear" w:color="auto" w:fill="auto"/>
            <w:vAlign w:val="center"/>
          </w:tcPr>
          <w:p w:rsidR="00FF5711" w:rsidRPr="0005054E" w:rsidRDefault="00FF5711" w:rsidP="0005054E">
            <w:pPr>
              <w:pStyle w:val="ListParagraph"/>
              <w:tabs>
                <w:tab w:val="left" w:pos="-999"/>
                <w:tab w:val="left" w:pos="50"/>
                <w:tab w:val="left" w:pos="96"/>
                <w:tab w:val="left" w:pos="8640"/>
              </w:tabs>
              <w:autoSpaceDE w:val="0"/>
              <w:autoSpaceDN w:val="0"/>
              <w:adjustRightInd w:val="0"/>
              <w:ind w:left="0" w:hanging="369"/>
              <w:jc w:val="center"/>
              <w:rPr>
                <w:rFonts w:ascii="Times New Roman" w:hAnsi="Times New Roman"/>
                <w:sz w:val="26"/>
                <w:szCs w:val="26"/>
              </w:rPr>
            </w:pPr>
            <w:r w:rsidRPr="0005054E">
              <w:rPr>
                <w:rFonts w:ascii="Times New Roman" w:hAnsi="Times New Roman"/>
                <w:sz w:val="26"/>
                <w:szCs w:val="26"/>
              </w:rPr>
              <w:t>$  11,732,876</w:t>
            </w:r>
          </w:p>
        </w:tc>
        <w:tc>
          <w:tcPr>
            <w:tcW w:w="1800" w:type="dxa"/>
            <w:shd w:val="clear" w:color="auto" w:fill="auto"/>
            <w:vAlign w:val="center"/>
          </w:tcPr>
          <w:p w:rsidR="00FF5711" w:rsidRPr="0005054E" w:rsidRDefault="00FF5711" w:rsidP="0005054E">
            <w:pPr>
              <w:pStyle w:val="ListParagraph"/>
              <w:tabs>
                <w:tab w:val="left" w:pos="-999"/>
                <w:tab w:val="left" w:pos="50"/>
                <w:tab w:val="left" w:pos="96"/>
                <w:tab w:val="left" w:pos="8640"/>
              </w:tabs>
              <w:autoSpaceDE w:val="0"/>
              <w:autoSpaceDN w:val="0"/>
              <w:adjustRightInd w:val="0"/>
              <w:ind w:left="0" w:hanging="369"/>
              <w:jc w:val="center"/>
              <w:rPr>
                <w:rFonts w:ascii="Times New Roman" w:hAnsi="Times New Roman"/>
                <w:sz w:val="26"/>
                <w:szCs w:val="26"/>
              </w:rPr>
            </w:pPr>
            <w:r w:rsidRPr="0005054E">
              <w:rPr>
                <w:rFonts w:ascii="Times New Roman" w:hAnsi="Times New Roman"/>
                <w:sz w:val="26"/>
                <w:szCs w:val="26"/>
              </w:rPr>
              <w:t>$  19,911,070</w:t>
            </w:r>
          </w:p>
        </w:tc>
        <w:tc>
          <w:tcPr>
            <w:tcW w:w="1728" w:type="dxa"/>
            <w:shd w:val="clear" w:color="auto" w:fill="auto"/>
            <w:vAlign w:val="center"/>
          </w:tcPr>
          <w:p w:rsidR="00FF5711" w:rsidRPr="0005054E" w:rsidRDefault="00FF5711" w:rsidP="0005054E">
            <w:pPr>
              <w:pStyle w:val="ListParagraph"/>
              <w:tabs>
                <w:tab w:val="left" w:pos="-999"/>
                <w:tab w:val="left" w:pos="-108"/>
                <w:tab w:val="left" w:pos="50"/>
                <w:tab w:val="left" w:pos="96"/>
                <w:tab w:val="left" w:pos="8640"/>
              </w:tabs>
              <w:autoSpaceDE w:val="0"/>
              <w:autoSpaceDN w:val="0"/>
              <w:adjustRightInd w:val="0"/>
              <w:ind w:left="0" w:hanging="369"/>
              <w:jc w:val="center"/>
              <w:rPr>
                <w:rFonts w:ascii="Times New Roman" w:hAnsi="Times New Roman"/>
                <w:sz w:val="26"/>
                <w:szCs w:val="26"/>
              </w:rPr>
            </w:pPr>
            <w:r w:rsidRPr="0005054E">
              <w:rPr>
                <w:rFonts w:ascii="Times New Roman" w:hAnsi="Times New Roman"/>
                <w:sz w:val="26"/>
                <w:szCs w:val="26"/>
              </w:rPr>
              <w:t>$  8,410,757</w:t>
            </w:r>
          </w:p>
        </w:tc>
      </w:tr>
      <w:tr w:rsidR="000572BC" w:rsidRPr="0005054E" w:rsidTr="00322F45">
        <w:trPr>
          <w:trHeight w:val="720"/>
          <w:jc w:val="right"/>
        </w:trPr>
        <w:tc>
          <w:tcPr>
            <w:tcW w:w="2880" w:type="dxa"/>
            <w:shd w:val="clear" w:color="auto" w:fill="auto"/>
            <w:vAlign w:val="center"/>
          </w:tcPr>
          <w:p w:rsidR="00FF5711" w:rsidRPr="0005054E" w:rsidRDefault="00FF5711" w:rsidP="0005054E">
            <w:pPr>
              <w:pStyle w:val="ListParagraph"/>
              <w:tabs>
                <w:tab w:val="left" w:pos="8640"/>
              </w:tabs>
              <w:autoSpaceDE w:val="0"/>
              <w:autoSpaceDN w:val="0"/>
              <w:adjustRightInd w:val="0"/>
              <w:ind w:left="432" w:hanging="369"/>
              <w:rPr>
                <w:rFonts w:ascii="Times New Roman" w:hAnsi="Times New Roman"/>
                <w:sz w:val="26"/>
                <w:szCs w:val="26"/>
              </w:rPr>
            </w:pPr>
            <w:r w:rsidRPr="0005054E">
              <w:rPr>
                <w:rFonts w:ascii="Times New Roman" w:hAnsi="Times New Roman"/>
                <w:sz w:val="26"/>
                <w:szCs w:val="26"/>
              </w:rPr>
              <w:t>Debt Retired (DR)</w:t>
            </w:r>
          </w:p>
        </w:tc>
        <w:tc>
          <w:tcPr>
            <w:tcW w:w="1890" w:type="dxa"/>
            <w:shd w:val="clear" w:color="auto" w:fill="auto"/>
            <w:vAlign w:val="center"/>
          </w:tcPr>
          <w:p w:rsidR="00FF5711" w:rsidRPr="0005054E" w:rsidRDefault="00FF5711" w:rsidP="0005054E">
            <w:pPr>
              <w:pStyle w:val="ListParagraph"/>
              <w:tabs>
                <w:tab w:val="left" w:pos="-999"/>
                <w:tab w:val="left" w:pos="50"/>
                <w:tab w:val="left" w:pos="96"/>
                <w:tab w:val="left" w:pos="8640"/>
              </w:tabs>
              <w:autoSpaceDE w:val="0"/>
              <w:autoSpaceDN w:val="0"/>
              <w:adjustRightInd w:val="0"/>
              <w:ind w:left="0" w:hanging="369"/>
              <w:jc w:val="center"/>
              <w:rPr>
                <w:rFonts w:ascii="Times New Roman" w:hAnsi="Times New Roman"/>
                <w:sz w:val="26"/>
                <w:szCs w:val="26"/>
              </w:rPr>
            </w:pPr>
            <w:r w:rsidRPr="0005054E">
              <w:rPr>
                <w:rFonts w:ascii="Times New Roman" w:hAnsi="Times New Roman"/>
                <w:sz w:val="26"/>
                <w:szCs w:val="26"/>
              </w:rPr>
              <w:t>$234,657,526</w:t>
            </w:r>
          </w:p>
        </w:tc>
        <w:tc>
          <w:tcPr>
            <w:tcW w:w="1800" w:type="dxa"/>
            <w:shd w:val="clear" w:color="auto" w:fill="auto"/>
            <w:vAlign w:val="center"/>
          </w:tcPr>
          <w:p w:rsidR="00FF5711" w:rsidRPr="0005054E" w:rsidRDefault="00FF5711" w:rsidP="0005054E">
            <w:pPr>
              <w:pStyle w:val="ListParagraph"/>
              <w:tabs>
                <w:tab w:val="left" w:pos="-999"/>
                <w:tab w:val="left" w:pos="50"/>
                <w:tab w:val="left" w:pos="96"/>
                <w:tab w:val="left" w:pos="8640"/>
              </w:tabs>
              <w:autoSpaceDE w:val="0"/>
              <w:autoSpaceDN w:val="0"/>
              <w:adjustRightInd w:val="0"/>
              <w:ind w:left="0" w:hanging="369"/>
              <w:jc w:val="center"/>
              <w:rPr>
                <w:rFonts w:ascii="Times New Roman" w:hAnsi="Times New Roman"/>
                <w:sz w:val="26"/>
                <w:szCs w:val="26"/>
              </w:rPr>
            </w:pPr>
            <w:r w:rsidRPr="0005054E">
              <w:rPr>
                <w:rFonts w:ascii="Times New Roman" w:hAnsi="Times New Roman"/>
                <w:sz w:val="26"/>
                <w:szCs w:val="26"/>
              </w:rPr>
              <w:t>$165,264,613</w:t>
            </w:r>
          </w:p>
        </w:tc>
        <w:tc>
          <w:tcPr>
            <w:tcW w:w="1728" w:type="dxa"/>
            <w:shd w:val="clear" w:color="auto" w:fill="auto"/>
            <w:vAlign w:val="center"/>
          </w:tcPr>
          <w:p w:rsidR="00FF5711" w:rsidRPr="0005054E" w:rsidRDefault="00FF5711" w:rsidP="0005054E">
            <w:pPr>
              <w:pStyle w:val="ListParagraph"/>
              <w:tabs>
                <w:tab w:val="left" w:pos="-999"/>
                <w:tab w:val="left" w:pos="-108"/>
                <w:tab w:val="left" w:pos="50"/>
                <w:tab w:val="left" w:pos="96"/>
                <w:tab w:val="left" w:pos="8640"/>
              </w:tabs>
              <w:autoSpaceDE w:val="0"/>
              <w:autoSpaceDN w:val="0"/>
              <w:adjustRightInd w:val="0"/>
              <w:ind w:left="0" w:hanging="369"/>
              <w:jc w:val="center"/>
              <w:rPr>
                <w:rFonts w:ascii="Times New Roman" w:hAnsi="Times New Roman"/>
                <w:sz w:val="26"/>
                <w:szCs w:val="26"/>
              </w:rPr>
            </w:pPr>
            <w:r w:rsidRPr="0005054E">
              <w:rPr>
                <w:rFonts w:ascii="Times New Roman" w:hAnsi="Times New Roman"/>
                <w:sz w:val="26"/>
                <w:szCs w:val="26"/>
              </w:rPr>
              <w:t>$25,487,141</w:t>
            </w:r>
          </w:p>
        </w:tc>
      </w:tr>
      <w:tr w:rsidR="000572BC" w:rsidRPr="0005054E" w:rsidTr="00322F45">
        <w:trPr>
          <w:trHeight w:val="720"/>
          <w:jc w:val="right"/>
        </w:trPr>
        <w:tc>
          <w:tcPr>
            <w:tcW w:w="2880" w:type="dxa"/>
            <w:shd w:val="clear" w:color="auto" w:fill="auto"/>
            <w:vAlign w:val="center"/>
          </w:tcPr>
          <w:p w:rsidR="00FF5711" w:rsidRPr="0005054E" w:rsidRDefault="00FF5711" w:rsidP="0005054E">
            <w:pPr>
              <w:pStyle w:val="ListParagraph"/>
              <w:tabs>
                <w:tab w:val="left" w:pos="8640"/>
              </w:tabs>
              <w:autoSpaceDE w:val="0"/>
              <w:autoSpaceDN w:val="0"/>
              <w:adjustRightInd w:val="0"/>
              <w:ind w:left="432" w:hanging="369"/>
              <w:rPr>
                <w:rFonts w:ascii="Times New Roman" w:hAnsi="Times New Roman"/>
                <w:sz w:val="26"/>
                <w:szCs w:val="26"/>
              </w:rPr>
            </w:pPr>
            <w:r w:rsidRPr="0005054E">
              <w:rPr>
                <w:rFonts w:ascii="Times New Roman" w:hAnsi="Times New Roman"/>
                <w:sz w:val="26"/>
                <w:szCs w:val="26"/>
              </w:rPr>
              <w:t>DRC as a % of DR</w:t>
            </w:r>
          </w:p>
        </w:tc>
        <w:tc>
          <w:tcPr>
            <w:tcW w:w="1890" w:type="dxa"/>
            <w:shd w:val="clear" w:color="auto" w:fill="auto"/>
            <w:vAlign w:val="center"/>
          </w:tcPr>
          <w:p w:rsidR="00FF5711" w:rsidRPr="0005054E" w:rsidRDefault="00FF5711" w:rsidP="0005054E">
            <w:pPr>
              <w:pStyle w:val="ListParagraph"/>
              <w:tabs>
                <w:tab w:val="left" w:pos="-999"/>
                <w:tab w:val="left" w:pos="50"/>
                <w:tab w:val="left" w:pos="96"/>
                <w:tab w:val="left" w:pos="8640"/>
              </w:tabs>
              <w:autoSpaceDE w:val="0"/>
              <w:autoSpaceDN w:val="0"/>
              <w:adjustRightInd w:val="0"/>
              <w:ind w:left="0" w:hanging="369"/>
              <w:jc w:val="center"/>
              <w:rPr>
                <w:rFonts w:ascii="Times New Roman" w:hAnsi="Times New Roman"/>
                <w:sz w:val="26"/>
                <w:szCs w:val="26"/>
              </w:rPr>
            </w:pPr>
            <w:r w:rsidRPr="0005054E">
              <w:rPr>
                <w:rFonts w:ascii="Times New Roman" w:hAnsi="Times New Roman"/>
                <w:sz w:val="26"/>
                <w:szCs w:val="26"/>
              </w:rPr>
              <w:t>5%</w:t>
            </w:r>
          </w:p>
        </w:tc>
        <w:tc>
          <w:tcPr>
            <w:tcW w:w="1800" w:type="dxa"/>
            <w:shd w:val="clear" w:color="auto" w:fill="auto"/>
            <w:vAlign w:val="center"/>
          </w:tcPr>
          <w:p w:rsidR="00FF5711" w:rsidRPr="0005054E" w:rsidRDefault="00FF5711" w:rsidP="0005054E">
            <w:pPr>
              <w:pStyle w:val="ListParagraph"/>
              <w:tabs>
                <w:tab w:val="left" w:pos="-999"/>
                <w:tab w:val="left" w:pos="50"/>
                <w:tab w:val="left" w:pos="96"/>
                <w:tab w:val="left" w:pos="8640"/>
              </w:tabs>
              <w:autoSpaceDE w:val="0"/>
              <w:autoSpaceDN w:val="0"/>
              <w:adjustRightInd w:val="0"/>
              <w:ind w:left="0" w:hanging="369"/>
              <w:jc w:val="center"/>
              <w:rPr>
                <w:rFonts w:ascii="Times New Roman" w:hAnsi="Times New Roman"/>
                <w:sz w:val="26"/>
                <w:szCs w:val="26"/>
              </w:rPr>
            </w:pPr>
            <w:r w:rsidRPr="0005054E">
              <w:rPr>
                <w:rFonts w:ascii="Times New Roman" w:hAnsi="Times New Roman"/>
                <w:sz w:val="26"/>
                <w:szCs w:val="26"/>
              </w:rPr>
              <w:t>12%</w:t>
            </w:r>
          </w:p>
        </w:tc>
        <w:tc>
          <w:tcPr>
            <w:tcW w:w="1728" w:type="dxa"/>
            <w:shd w:val="clear" w:color="auto" w:fill="auto"/>
            <w:vAlign w:val="center"/>
          </w:tcPr>
          <w:p w:rsidR="00FF5711" w:rsidRPr="0005054E" w:rsidRDefault="00FF5711" w:rsidP="0005054E">
            <w:pPr>
              <w:pStyle w:val="ListParagraph"/>
              <w:tabs>
                <w:tab w:val="left" w:pos="-999"/>
                <w:tab w:val="left" w:pos="-108"/>
                <w:tab w:val="left" w:pos="50"/>
                <w:tab w:val="left" w:pos="96"/>
                <w:tab w:val="left" w:pos="8640"/>
              </w:tabs>
              <w:autoSpaceDE w:val="0"/>
              <w:autoSpaceDN w:val="0"/>
              <w:adjustRightInd w:val="0"/>
              <w:ind w:left="0" w:hanging="369"/>
              <w:jc w:val="center"/>
              <w:rPr>
                <w:rFonts w:ascii="Times New Roman" w:hAnsi="Times New Roman"/>
                <w:sz w:val="26"/>
                <w:szCs w:val="26"/>
              </w:rPr>
            </w:pPr>
            <w:r w:rsidRPr="0005054E">
              <w:rPr>
                <w:rFonts w:ascii="Times New Roman" w:hAnsi="Times New Roman"/>
                <w:sz w:val="26"/>
                <w:szCs w:val="26"/>
              </w:rPr>
              <w:t>33%</w:t>
            </w:r>
          </w:p>
        </w:tc>
      </w:tr>
    </w:tbl>
    <w:p w:rsidR="00791928" w:rsidRDefault="00FF5711" w:rsidP="00791928">
      <w:pPr>
        <w:pStyle w:val="ListParagraph"/>
        <w:autoSpaceDE w:val="0"/>
        <w:autoSpaceDN w:val="0"/>
        <w:adjustRightInd w:val="0"/>
        <w:spacing w:after="0" w:line="240" w:lineRule="auto"/>
        <w:ind w:left="0" w:right="-270"/>
        <w:jc w:val="both"/>
        <w:rPr>
          <w:rFonts w:ascii="Times New Roman" w:hAnsi="Times New Roman"/>
          <w:sz w:val="26"/>
          <w:szCs w:val="26"/>
        </w:rPr>
      </w:pPr>
      <w:r w:rsidRPr="004563E8">
        <w:rPr>
          <w:rFonts w:ascii="Times New Roman" w:hAnsi="Times New Roman"/>
          <w:sz w:val="26"/>
          <w:szCs w:val="26"/>
        </w:rPr>
        <w:t xml:space="preserve"> </w:t>
      </w:r>
    </w:p>
    <w:p w:rsidR="00FF5711" w:rsidRPr="004563E8" w:rsidRDefault="00596570" w:rsidP="00791928">
      <w:pPr>
        <w:pStyle w:val="textstyle0"/>
      </w:pPr>
      <w:r>
        <w:t>* Source</w:t>
      </w:r>
      <w:r w:rsidR="00FF5711" w:rsidRPr="004563E8">
        <w:t xml:space="preserve">: Exhibit D </w:t>
      </w:r>
      <w:r w:rsidR="006121CF">
        <w:t>of</w:t>
      </w:r>
      <w:r w:rsidR="006121CF" w:rsidRPr="004563E8">
        <w:t xml:space="preserve"> </w:t>
      </w:r>
      <w:r w:rsidR="00FF5711" w:rsidRPr="004563E8">
        <w:t>the Joint Application.</w:t>
      </w:r>
    </w:p>
    <w:p w:rsidR="00FF5711" w:rsidRDefault="00791928" w:rsidP="00791928">
      <w:pPr>
        <w:pStyle w:val="textstyle0"/>
      </w:pPr>
      <w:r>
        <w:tab/>
      </w:r>
      <w:r w:rsidR="00FF5711">
        <w:t>A</w:t>
      </w:r>
      <w:r w:rsidR="00FF5711" w:rsidRPr="001730B1">
        <w:t>s illustrated in Table-</w:t>
      </w:r>
      <w:r w:rsidR="00FF5711">
        <w:t>4 above, the Companies will be incurring debt retirement costs of about $12 million for Cleveland Electric, $20 million for Ohio Edison and $8 million for Toledo Edison for retiring their debt.  The debt retirement costs as a percent</w:t>
      </w:r>
      <w:r w:rsidR="00596570">
        <w:softHyphen/>
      </w:r>
      <w:r w:rsidR="00FF5711">
        <w:t xml:space="preserve">age of the debt to be retired by the Companies appear to be reasonable for CEI and OE. </w:t>
      </w:r>
    </w:p>
    <w:p w:rsidR="00FF5711" w:rsidRDefault="00791928" w:rsidP="00791928">
      <w:pPr>
        <w:pStyle w:val="textstyle0"/>
      </w:pPr>
      <w:r>
        <w:lastRenderedPageBreak/>
        <w:tab/>
      </w:r>
      <w:r w:rsidR="00FF5711">
        <w:t xml:space="preserve">However, Toledo Edison will be incurring debt retirement cost of about $8 million to retire about </w:t>
      </w:r>
      <w:r w:rsidR="00FF5711" w:rsidRPr="001730B1">
        <w:t>$25</w:t>
      </w:r>
      <w:r w:rsidR="00FF5711">
        <w:t xml:space="preserve"> million of its existing long-term debt.  This is about 33% of the debt proposed to be retired.</w:t>
      </w:r>
    </w:p>
    <w:p w:rsidR="00FF5711" w:rsidRPr="008B2F68" w:rsidRDefault="00791928" w:rsidP="00791928">
      <w:pPr>
        <w:pStyle w:val="textstyle0"/>
      </w:pPr>
      <w:r>
        <w:tab/>
      </w:r>
      <w:r w:rsidR="00FF5711" w:rsidRPr="008B2F68">
        <w:t xml:space="preserve">Although debt retirement cost of </w:t>
      </w:r>
      <w:r w:rsidR="00FF5711">
        <w:rPr>
          <w:rFonts w:cs="TimesNewRoman"/>
        </w:rPr>
        <w:t>Toledo Edison</w:t>
      </w:r>
      <w:r w:rsidR="00FF5711" w:rsidRPr="008B2F68">
        <w:t xml:space="preserve"> is very high</w:t>
      </w:r>
      <w:r w:rsidR="00FF5711">
        <w:t>,</w:t>
      </w:r>
      <w:r w:rsidR="00FF5711" w:rsidRPr="008B2F68">
        <w:t xml:space="preserve"> </w:t>
      </w:r>
      <w:r w:rsidR="00FF5711">
        <w:t xml:space="preserve">to the extent </w:t>
      </w:r>
      <w:r w:rsidR="00FF5711">
        <w:rPr>
          <w:rFonts w:cs="TimesNewRoman"/>
        </w:rPr>
        <w:t>it</w:t>
      </w:r>
      <w:r w:rsidR="00FF5711">
        <w:t xml:space="preserve"> is part of a combined larger issuance of the PIR Bonds, it will still be able to realize certain cost savings. </w:t>
      </w:r>
      <w:r w:rsidR="00FF5711">
        <w:rPr>
          <w:rFonts w:cs="TimesNewRoman"/>
        </w:rPr>
        <w:t>Toledo Edison</w:t>
      </w:r>
      <w:r w:rsidR="00FF5711">
        <w:t xml:space="preserve"> may not be able to consummate the securitization transaction on a stand alone basis to achieve the cost savings.  </w:t>
      </w:r>
    </w:p>
    <w:p w:rsidR="00FF5711" w:rsidRDefault="00791928" w:rsidP="00791928">
      <w:pPr>
        <w:pStyle w:val="textstyle0"/>
      </w:pPr>
      <w:r>
        <w:tab/>
      </w:r>
      <w:r w:rsidR="00FF5711" w:rsidRPr="001730B1">
        <w:t>It should be noted that the debt retirement costs depend on, among other things, the premiums, if any, that the Companies w</w:t>
      </w:r>
      <w:r w:rsidR="00FF5711">
        <w:t>ould</w:t>
      </w:r>
      <w:r w:rsidR="00FF5711" w:rsidRPr="001730B1">
        <w:t xml:space="preserve"> be required to pay to refund any series of their existing long-tern debt securities, the timing of refunding, etc.   </w:t>
      </w:r>
    </w:p>
    <w:p w:rsidR="00FF5711" w:rsidRDefault="00FF5711" w:rsidP="00791928">
      <w:pPr>
        <w:pStyle w:val="textstyle0"/>
      </w:pPr>
      <w:r>
        <w:tab/>
        <w:t xml:space="preserve">Nevertheless, the </w:t>
      </w:r>
      <w:r w:rsidRPr="001730B1">
        <w:t>securitization transaction is expected to significantly reduce the carrying charges over the recovery period for the Phase-In Costs resulting in customer savings</w:t>
      </w:r>
      <w:r>
        <w:t>.</w:t>
      </w:r>
      <w:r w:rsidRPr="001730B1">
        <w:t xml:space="preserve"> </w:t>
      </w:r>
      <w:r>
        <w:t xml:space="preserve">The </w:t>
      </w:r>
      <w:r w:rsidRPr="001730B1">
        <w:t>estimated cost savings (even after including applicable financing Costs)</w:t>
      </w:r>
      <w:r>
        <w:t xml:space="preserve"> for</w:t>
      </w:r>
      <w:r w:rsidRPr="001730B1">
        <w:t xml:space="preserve"> </w:t>
      </w:r>
      <w:r>
        <w:t xml:space="preserve">the customers of </w:t>
      </w:r>
      <w:r w:rsidRPr="001603DF">
        <w:t>Cleveland Electric Ohio Edison and Toledo Edison will be about $52 million, $44 million, and $8 million, respectively.  (Exhibit B, Pages 1 of 3, Column M).</w:t>
      </w:r>
    </w:p>
    <w:p w:rsidR="00FF5711" w:rsidRPr="00CE6882" w:rsidRDefault="00AA29B6" w:rsidP="00536C13">
      <w:pPr>
        <w:pStyle w:val="Heading1"/>
      </w:pPr>
      <w:bookmarkStart w:id="36" w:name="_Toc328397435"/>
      <w:r>
        <w:t>BOND STRUCTURING AND PRICING REVIEW</w:t>
      </w:r>
      <w:bookmarkEnd w:id="36"/>
    </w:p>
    <w:p w:rsidR="00FF5711" w:rsidRPr="0043432A" w:rsidRDefault="00791928" w:rsidP="00791928">
      <w:pPr>
        <w:pStyle w:val="textstyle0"/>
      </w:pPr>
      <w:r>
        <w:tab/>
      </w:r>
      <w:r w:rsidR="00FF5711" w:rsidRPr="0043432A">
        <w:t xml:space="preserve">The structuring and pricing test </w:t>
      </w:r>
      <w:r w:rsidR="00FF5711">
        <w:t>is intended to ensure that the structuring and pric</w:t>
      </w:r>
      <w:r w:rsidR="00596570">
        <w:softHyphen/>
      </w:r>
      <w:r w:rsidR="00FF5711">
        <w:t>ing of the PIR Bonds result in the lowest PIR charges consistent with market conditions and the terms of the Financing Order.</w:t>
      </w:r>
    </w:p>
    <w:p w:rsidR="00FF5711" w:rsidRDefault="00791928" w:rsidP="00791928">
      <w:pPr>
        <w:pStyle w:val="textstyle0"/>
      </w:pPr>
      <w:r>
        <w:tab/>
      </w:r>
      <w:r w:rsidR="00FF5711">
        <w:t>The Companies have designed and structured the proposed securitization financ</w:t>
      </w:r>
      <w:r w:rsidR="00596570">
        <w:softHyphen/>
      </w:r>
      <w:r w:rsidR="00FF5711">
        <w:t xml:space="preserve">ing to ensure that the PIR Bonds receive the highest bond rating reasonably possible, </w:t>
      </w:r>
      <w:r w:rsidR="00FF5711">
        <w:lastRenderedPageBreak/>
        <w:t>consistent with the objective of obtaining the lowest overall cost of financing through securitized PIR Bonds.</w:t>
      </w:r>
    </w:p>
    <w:p w:rsidR="00FF5711" w:rsidRDefault="00791928" w:rsidP="00791928">
      <w:pPr>
        <w:pStyle w:val="textstyle0"/>
      </w:pPr>
      <w:r>
        <w:tab/>
      </w:r>
      <w:r w:rsidR="00FF5711" w:rsidRPr="00AA69A1">
        <w:t xml:space="preserve">The Companies state that at the time of issuance of the </w:t>
      </w:r>
      <w:r w:rsidR="00FF5711">
        <w:t>PIR</w:t>
      </w:r>
      <w:r w:rsidR="00FF5711" w:rsidRPr="00AA69A1">
        <w:t xml:space="preserve"> Bonds, certain  </w:t>
      </w:r>
      <w:r w:rsidR="00FF5711">
        <w:t>U</w:t>
      </w:r>
      <w:r w:rsidR="00FF5711" w:rsidRPr="00AA69A1">
        <w:t xml:space="preserve">pfront and </w:t>
      </w:r>
      <w:r w:rsidR="00FF5711">
        <w:t>O</w:t>
      </w:r>
      <w:r w:rsidR="00FF5711" w:rsidRPr="00AA69A1">
        <w:t>ngoing Financing Costs are likely to vary from such estimate as a result of changes in market conditions and other factors (e.g., the actual costs of redeeming or oth</w:t>
      </w:r>
      <w:r w:rsidR="00596570">
        <w:softHyphen/>
      </w:r>
      <w:r w:rsidR="00FF5711" w:rsidRPr="00AA69A1">
        <w:t xml:space="preserve">erwise retiring existing long-term debt), none of which can be </w:t>
      </w:r>
      <w:r w:rsidR="00FF5711">
        <w:t>determined</w:t>
      </w:r>
      <w:r w:rsidR="00FF5711" w:rsidRPr="00AA69A1">
        <w:t xml:space="preserve"> at this time. </w:t>
      </w:r>
    </w:p>
    <w:p w:rsidR="00FF5711" w:rsidRPr="00AA69A1" w:rsidRDefault="00791928" w:rsidP="00791928">
      <w:pPr>
        <w:pStyle w:val="textstyle0"/>
      </w:pPr>
      <w:r>
        <w:tab/>
      </w:r>
      <w:r w:rsidR="00FF5711">
        <w:t>The actual investor market-clearing interest rates for the PIR Bonds will be deter</w:t>
      </w:r>
      <w:r w:rsidR="00596570">
        <w:softHyphen/>
      </w:r>
      <w:r w:rsidR="00FF5711">
        <w:t>mined</w:t>
      </w:r>
      <w:r w:rsidR="00FF5711" w:rsidRPr="008A240C">
        <w:t xml:space="preserve"> </w:t>
      </w:r>
      <w:r w:rsidR="00FF5711">
        <w:t>through the marketing and price discovery process.  Through an issuance advice letter,</w:t>
      </w:r>
      <w:r w:rsidR="00FF5711" w:rsidRPr="00995859">
        <w:t xml:space="preserve"> </w:t>
      </w:r>
      <w:r w:rsidR="00FF5711" w:rsidRPr="00114616">
        <w:t xml:space="preserve">including a certification </w:t>
      </w:r>
      <w:r w:rsidR="00FF5711">
        <w:t>(as discussed below)</w:t>
      </w:r>
      <w:r w:rsidR="00FF5711" w:rsidRPr="00114616">
        <w:t>,</w:t>
      </w:r>
      <w:r w:rsidR="00FF5711">
        <w:t xml:space="preserve"> each of the  Companies will provide a confirmation to the Commission that the PIR Bonds in fact have been priced to be sold at the lowest market-clearing rates consistent with market conditions on the day of pric</w:t>
      </w:r>
      <w:r w:rsidR="00596570">
        <w:softHyphen/>
      </w:r>
      <w:r w:rsidR="00FF5711">
        <w:t xml:space="preserve">ing.  This will allow the Companies to achieve the lowest PIR bond charges consistent with the market conditions and the terms of the Financing Order.  </w:t>
      </w:r>
      <w:r w:rsidR="00FF5711" w:rsidRPr="00114616">
        <w:t xml:space="preserve"> </w:t>
      </w:r>
      <w:r w:rsidR="00FF5711">
        <w:t xml:space="preserve">  </w:t>
      </w:r>
    </w:p>
    <w:p w:rsidR="00FF5711" w:rsidRDefault="00322F45" w:rsidP="00536C13">
      <w:pPr>
        <w:pStyle w:val="Heading1"/>
      </w:pPr>
      <w:bookmarkStart w:id="37" w:name="_Toc328397436"/>
      <w:r>
        <w:t>STAFF COMMENTS AND RECOMMENDATIONS REGARDING FINANCING COSTS</w:t>
      </w:r>
      <w:bookmarkEnd w:id="37"/>
    </w:p>
    <w:p w:rsidR="00FF5711" w:rsidRPr="00E369FC" w:rsidRDefault="00791928" w:rsidP="00791928">
      <w:pPr>
        <w:pStyle w:val="textstyle0"/>
      </w:pPr>
      <w:r>
        <w:tab/>
      </w:r>
      <w:r w:rsidR="00FF5711" w:rsidRPr="00E369FC">
        <w:t xml:space="preserve">The Staff reviewed </w:t>
      </w:r>
      <w:r w:rsidR="00FF5711">
        <w:t xml:space="preserve">the Companies’ securitization application and concurs that the financing terms and costs projected </w:t>
      </w:r>
      <w:r w:rsidR="00A71396">
        <w:t>by the</w:t>
      </w:r>
      <w:r w:rsidR="006121CF">
        <w:t xml:space="preserve"> </w:t>
      </w:r>
      <w:r w:rsidR="00FD759A">
        <w:t>Companies</w:t>
      </w:r>
      <w:r w:rsidR="00FF5711">
        <w:t xml:space="preserve"> appear to be in conformance with general mar</w:t>
      </w:r>
      <w:r w:rsidR="00596570">
        <w:softHyphen/>
      </w:r>
      <w:r w:rsidR="00FF5711">
        <w:t xml:space="preserve">ket conditions and are therefore reasonable.  In order to ensure that the actual financing terms and costs incurred by the Companies reflect the projected financing terms and costs, the Staff recommends that the Commission condition its approval of </w:t>
      </w:r>
      <w:r w:rsidR="006121CF">
        <w:t xml:space="preserve">the </w:t>
      </w:r>
      <w:r w:rsidR="00FD759A">
        <w:t>Com</w:t>
      </w:r>
      <w:r w:rsidR="00936E47">
        <w:softHyphen/>
      </w:r>
      <w:r w:rsidR="00FD759A">
        <w:t>panies’</w:t>
      </w:r>
      <w:r w:rsidR="006121CF">
        <w:t xml:space="preserve"> </w:t>
      </w:r>
      <w:r w:rsidR="00FF5711">
        <w:t>securiti</w:t>
      </w:r>
      <w:r w:rsidR="00596570">
        <w:softHyphen/>
      </w:r>
      <w:r w:rsidR="00FF5711">
        <w:t>zation financing costs of the PIR Bonds at an amount not</w:t>
      </w:r>
      <w:r w:rsidR="006121CF">
        <w:t xml:space="preserve"> to</w:t>
      </w:r>
      <w:r w:rsidR="00FF5711">
        <w:t xml:space="preserve"> exceed 105% of the projections provided for in FE’s application.</w:t>
      </w:r>
    </w:p>
    <w:p w:rsidR="00FF5711" w:rsidRPr="00832BA5" w:rsidRDefault="00791928" w:rsidP="00791928">
      <w:pPr>
        <w:pStyle w:val="textstyle0"/>
      </w:pPr>
      <w:r>
        <w:lastRenderedPageBreak/>
        <w:tab/>
      </w:r>
      <w:r w:rsidR="00FF5711">
        <w:t xml:space="preserve">In order to ensure the above, the </w:t>
      </w:r>
      <w:r w:rsidR="00FF5711" w:rsidRPr="00832BA5">
        <w:t xml:space="preserve">Staff recommends that the Commission should require the Companies to confirm that the actual terms of the PIR Bonds will result in compliance with the above mentioned issuance standards </w:t>
      </w:r>
      <w:r w:rsidR="00685EE4">
        <w:t>as discussed below.</w:t>
      </w:r>
    </w:p>
    <w:p w:rsidR="00FF5711" w:rsidRPr="00791928" w:rsidRDefault="00FF5711" w:rsidP="00A71396">
      <w:pPr>
        <w:numPr>
          <w:ilvl w:val="0"/>
          <w:numId w:val="45"/>
        </w:numPr>
        <w:spacing w:after="240" w:line="480" w:lineRule="auto"/>
        <w:ind w:left="720" w:hanging="720"/>
        <w:rPr>
          <w:sz w:val="26"/>
          <w:szCs w:val="26"/>
        </w:rPr>
      </w:pPr>
      <w:r w:rsidRPr="00791928">
        <w:rPr>
          <w:b/>
          <w:sz w:val="26"/>
          <w:szCs w:val="26"/>
          <w:u w:val="single"/>
        </w:rPr>
        <w:t>Issuance Advice Letter:</w:t>
      </w:r>
      <w:r w:rsidRPr="00791928">
        <w:rPr>
          <w:sz w:val="26"/>
          <w:szCs w:val="26"/>
        </w:rPr>
        <w:t xml:space="preserve"> Because the actual structure and pricing of the PIR Bonds will not be known at the time the Financing Order is issued, the Staff rec</w:t>
      </w:r>
      <w:r w:rsidR="00A71396">
        <w:rPr>
          <w:sz w:val="26"/>
          <w:szCs w:val="26"/>
        </w:rPr>
        <w:softHyphen/>
      </w:r>
      <w:r w:rsidRPr="00791928">
        <w:rPr>
          <w:sz w:val="26"/>
          <w:szCs w:val="26"/>
        </w:rPr>
        <w:t>ommends that the Commission should require the Companies to file an issuance advice letter, including a certification from the Companies, with the Commission for each series of PIR Bonds following the determi</w:t>
      </w:r>
      <w:r w:rsidR="00596570">
        <w:rPr>
          <w:sz w:val="26"/>
          <w:szCs w:val="26"/>
        </w:rPr>
        <w:softHyphen/>
      </w:r>
      <w:r w:rsidRPr="00791928">
        <w:rPr>
          <w:sz w:val="26"/>
          <w:szCs w:val="26"/>
        </w:rPr>
        <w:t>nation of the final terms of the PIR Bonds and prior to the issuance of the PIR Bonds.  The issuance advice letter should be filed with the Commis</w:t>
      </w:r>
      <w:r w:rsidR="00596570">
        <w:rPr>
          <w:sz w:val="26"/>
          <w:szCs w:val="26"/>
        </w:rPr>
        <w:softHyphen/>
      </w:r>
      <w:r w:rsidRPr="00791928">
        <w:rPr>
          <w:sz w:val="26"/>
          <w:szCs w:val="26"/>
        </w:rPr>
        <w:t xml:space="preserve">sion no later than the end of the first business day after the pricing date for that series of PIR Bonds.  </w:t>
      </w:r>
    </w:p>
    <w:p w:rsidR="00FF5711" w:rsidRPr="00791928" w:rsidRDefault="00FF5711" w:rsidP="00A71396">
      <w:pPr>
        <w:pStyle w:val="ListParagraph"/>
        <w:autoSpaceDE w:val="0"/>
        <w:autoSpaceDN w:val="0"/>
        <w:adjustRightInd w:val="0"/>
        <w:spacing w:after="240" w:line="480" w:lineRule="auto"/>
        <w:contextualSpacing w:val="0"/>
        <w:jc w:val="both"/>
        <w:rPr>
          <w:rFonts w:ascii="Times New Roman" w:hAnsi="Times New Roman"/>
          <w:sz w:val="26"/>
          <w:szCs w:val="26"/>
        </w:rPr>
      </w:pPr>
      <w:r w:rsidRPr="00791928">
        <w:rPr>
          <w:rFonts w:ascii="Times New Roman" w:hAnsi="Times New Roman"/>
          <w:sz w:val="26"/>
          <w:szCs w:val="26"/>
        </w:rPr>
        <w:t>The issuance advice letter for each series of PIR Bonds should be com</w:t>
      </w:r>
      <w:r w:rsidR="00596570">
        <w:rPr>
          <w:rFonts w:ascii="Times New Roman" w:hAnsi="Times New Roman"/>
          <w:sz w:val="26"/>
          <w:szCs w:val="26"/>
        </w:rPr>
        <w:softHyphen/>
      </w:r>
      <w:r w:rsidRPr="00791928">
        <w:rPr>
          <w:rFonts w:ascii="Times New Roman" w:hAnsi="Times New Roman"/>
          <w:sz w:val="26"/>
          <w:szCs w:val="26"/>
        </w:rPr>
        <w:t>pleted to report the actual dollar amount of the initial Phase-In Recovery Charges and other information specific to the PIR Bonds to be issued.  Companies’ issuance advice letter for each series of PIR Bonds is intended to update the benefit analysis to verify that the final amount securitized by that series satisfies the standards of issuance discussed in Paragraph (1) above.</w:t>
      </w:r>
    </w:p>
    <w:p w:rsidR="00FF5711" w:rsidRPr="00791928" w:rsidRDefault="00FF5711" w:rsidP="00A71396">
      <w:pPr>
        <w:pStyle w:val="ListParagraph"/>
        <w:autoSpaceDE w:val="0"/>
        <w:autoSpaceDN w:val="0"/>
        <w:adjustRightInd w:val="0"/>
        <w:spacing w:after="240" w:line="480" w:lineRule="auto"/>
        <w:contextualSpacing w:val="0"/>
        <w:jc w:val="both"/>
        <w:rPr>
          <w:rFonts w:ascii="Times New Roman" w:hAnsi="Times New Roman"/>
          <w:sz w:val="26"/>
          <w:szCs w:val="26"/>
        </w:rPr>
      </w:pPr>
      <w:r w:rsidRPr="00791928">
        <w:rPr>
          <w:rFonts w:ascii="Times New Roman" w:hAnsi="Times New Roman"/>
          <w:sz w:val="26"/>
          <w:szCs w:val="26"/>
        </w:rPr>
        <w:t>The issuance advice letter should reflect the final structure of the PIR Bonds and include the best estimate of total ongoing Financing Costs.</w:t>
      </w:r>
    </w:p>
    <w:p w:rsidR="00FF5711" w:rsidRPr="00791928" w:rsidRDefault="00FF5711" w:rsidP="00A71396">
      <w:pPr>
        <w:autoSpaceDE w:val="0"/>
        <w:autoSpaceDN w:val="0"/>
        <w:adjustRightInd w:val="0"/>
        <w:spacing w:after="240" w:line="480" w:lineRule="auto"/>
        <w:ind w:left="720"/>
        <w:jc w:val="both"/>
        <w:rPr>
          <w:sz w:val="26"/>
          <w:szCs w:val="26"/>
        </w:rPr>
      </w:pPr>
      <w:r w:rsidRPr="00791928">
        <w:rPr>
          <w:sz w:val="26"/>
          <w:szCs w:val="26"/>
        </w:rPr>
        <w:lastRenderedPageBreak/>
        <w:t>The initial PIR Charges and the final terms of the PIR Bonds are set forth in the issuance advice letter and will become effective on the date of issuance of the PIR Bonds unless prior to noon on the fourth business day after pricing, the Commis</w:t>
      </w:r>
      <w:r w:rsidR="00A71396">
        <w:rPr>
          <w:sz w:val="26"/>
          <w:szCs w:val="26"/>
        </w:rPr>
        <w:softHyphen/>
      </w:r>
      <w:r w:rsidRPr="00791928">
        <w:rPr>
          <w:sz w:val="26"/>
          <w:szCs w:val="26"/>
        </w:rPr>
        <w:t>sion issues a Supplemental Financing Order finding that the proposed issuance does not comply with the requirements of the Financing Order.</w:t>
      </w:r>
    </w:p>
    <w:p w:rsidR="00FF5711" w:rsidRPr="00791928" w:rsidRDefault="00FF5711" w:rsidP="00A71396">
      <w:pPr>
        <w:autoSpaceDE w:val="0"/>
        <w:autoSpaceDN w:val="0"/>
        <w:adjustRightInd w:val="0"/>
        <w:spacing w:after="240" w:line="480" w:lineRule="auto"/>
        <w:ind w:left="720"/>
        <w:jc w:val="both"/>
        <w:rPr>
          <w:sz w:val="26"/>
          <w:szCs w:val="26"/>
        </w:rPr>
      </w:pPr>
      <w:r w:rsidRPr="00791928">
        <w:rPr>
          <w:sz w:val="26"/>
          <w:szCs w:val="26"/>
        </w:rPr>
        <w:t xml:space="preserve">A draft form of the Staff proposed issuance advice letter (Draft Advice Letter), including the certification from the Companies, is provided for the Commission’s consideration in Staff Exhibit A.  </w:t>
      </w:r>
    </w:p>
    <w:p w:rsidR="00FF5711" w:rsidRPr="00791928" w:rsidRDefault="00FF5711" w:rsidP="00A71396">
      <w:pPr>
        <w:autoSpaceDE w:val="0"/>
        <w:autoSpaceDN w:val="0"/>
        <w:adjustRightInd w:val="0"/>
        <w:spacing w:after="240" w:line="480" w:lineRule="auto"/>
        <w:ind w:left="720"/>
        <w:jc w:val="both"/>
        <w:rPr>
          <w:sz w:val="26"/>
          <w:szCs w:val="26"/>
        </w:rPr>
      </w:pPr>
      <w:r w:rsidRPr="00791928">
        <w:rPr>
          <w:sz w:val="26"/>
          <w:szCs w:val="26"/>
        </w:rPr>
        <w:t>Compliance with the terms of the Financing Order and the filing of the Issuance Advice Letter, including the certification from the Companies, will ensure that no PIR Bonds are issued unless they result in the lowest PIR Charges consistent with the market conditions and the terms of the Financing Order.  Therefore, at the time the PIR Bonds are issued, satisfac</w:t>
      </w:r>
      <w:r w:rsidR="00596570">
        <w:rPr>
          <w:sz w:val="26"/>
          <w:szCs w:val="26"/>
        </w:rPr>
        <w:softHyphen/>
      </w:r>
      <w:r w:rsidRPr="00791928">
        <w:rPr>
          <w:sz w:val="26"/>
          <w:szCs w:val="26"/>
        </w:rPr>
        <w:t xml:space="preserve">tion of the structuring and pricing test will be confirmed.  </w:t>
      </w:r>
    </w:p>
    <w:p w:rsidR="00FF5711" w:rsidRPr="00791928" w:rsidRDefault="00FF5711" w:rsidP="00A71396">
      <w:pPr>
        <w:numPr>
          <w:ilvl w:val="0"/>
          <w:numId w:val="45"/>
        </w:numPr>
        <w:spacing w:after="240" w:line="480" w:lineRule="auto"/>
        <w:ind w:left="720" w:hanging="720"/>
        <w:rPr>
          <w:sz w:val="26"/>
          <w:szCs w:val="26"/>
        </w:rPr>
      </w:pPr>
      <w:r w:rsidRPr="00791928">
        <w:rPr>
          <w:b/>
          <w:sz w:val="26"/>
          <w:szCs w:val="26"/>
          <w:u w:val="single"/>
        </w:rPr>
        <w:t>Fixed Interest Rates:</w:t>
      </w:r>
      <w:r w:rsidRPr="00791928">
        <w:rPr>
          <w:sz w:val="26"/>
          <w:szCs w:val="26"/>
        </w:rPr>
        <w:t xml:space="preserve"> According to the Companies, the recommended tranches with initial principal amount, the first scheduled principal payment dates, expected maturity dates, final legal maturity dates and average lives of PIR Bonds are based upon marker conditions as of the date of filing the Application as shown in Exhibit E </w:t>
      </w:r>
      <w:r w:rsidR="00685EE4">
        <w:rPr>
          <w:sz w:val="26"/>
          <w:szCs w:val="26"/>
        </w:rPr>
        <w:t>of</w:t>
      </w:r>
      <w:r w:rsidR="00685EE4" w:rsidRPr="00791928">
        <w:rPr>
          <w:sz w:val="26"/>
          <w:szCs w:val="26"/>
        </w:rPr>
        <w:t xml:space="preserve"> </w:t>
      </w:r>
      <w:r w:rsidRPr="00791928">
        <w:rPr>
          <w:sz w:val="26"/>
          <w:szCs w:val="26"/>
        </w:rPr>
        <w:t xml:space="preserve">the Joint Application.  </w:t>
      </w:r>
    </w:p>
    <w:p w:rsidR="00FF5711" w:rsidRDefault="00FF5711" w:rsidP="00A71396">
      <w:pPr>
        <w:autoSpaceDE w:val="0"/>
        <w:autoSpaceDN w:val="0"/>
        <w:adjustRightInd w:val="0"/>
        <w:spacing w:after="240" w:line="480" w:lineRule="auto"/>
        <w:ind w:left="720"/>
        <w:jc w:val="both"/>
        <w:rPr>
          <w:sz w:val="26"/>
          <w:szCs w:val="26"/>
        </w:rPr>
      </w:pPr>
      <w:r w:rsidRPr="00791928">
        <w:rPr>
          <w:sz w:val="26"/>
          <w:szCs w:val="26"/>
        </w:rPr>
        <w:lastRenderedPageBreak/>
        <w:t>The Joint Application and the Exhibits demonstrate that the proposed securitiza</w:t>
      </w:r>
      <w:r w:rsidR="00A71396">
        <w:rPr>
          <w:sz w:val="26"/>
          <w:szCs w:val="26"/>
        </w:rPr>
        <w:softHyphen/>
      </w:r>
      <w:r w:rsidRPr="00791928">
        <w:rPr>
          <w:sz w:val="26"/>
          <w:szCs w:val="26"/>
        </w:rPr>
        <w:t>tion transaction will result in cost savings to customers based on the assumption that the PIR Bonds will be issued with fixed interest rates.  However, the Com</w:t>
      </w:r>
      <w:r w:rsidR="00936E47">
        <w:rPr>
          <w:sz w:val="26"/>
          <w:szCs w:val="26"/>
        </w:rPr>
        <w:softHyphen/>
      </w:r>
      <w:r w:rsidRPr="00791928">
        <w:rPr>
          <w:sz w:val="26"/>
          <w:szCs w:val="26"/>
        </w:rPr>
        <w:t>panies’ request</w:t>
      </w:r>
      <w:r w:rsidR="00FD759A">
        <w:rPr>
          <w:sz w:val="26"/>
          <w:szCs w:val="26"/>
        </w:rPr>
        <w:t>s</w:t>
      </w:r>
      <w:r w:rsidRPr="00791928">
        <w:rPr>
          <w:sz w:val="26"/>
          <w:szCs w:val="26"/>
        </w:rPr>
        <w:t xml:space="preserve"> do not preclude them from issuing the PIR Bonds with floating interest rates.  The Staff is of the opinion that fixed interest rates are necessary to ensure the consumers benefit from the securitization.  The Staff also </w:t>
      </w:r>
      <w:r w:rsidR="00685EE4">
        <w:rPr>
          <w:sz w:val="26"/>
          <w:szCs w:val="26"/>
        </w:rPr>
        <w:t>believes</w:t>
      </w:r>
      <w:r w:rsidRPr="00791928">
        <w:rPr>
          <w:sz w:val="26"/>
          <w:szCs w:val="26"/>
        </w:rPr>
        <w:t xml:space="preserve"> that the floating rate bonds do not outweigh the potential risks it would impose on con</w:t>
      </w:r>
      <w:r w:rsidR="00A71396">
        <w:rPr>
          <w:sz w:val="26"/>
          <w:szCs w:val="26"/>
        </w:rPr>
        <w:softHyphen/>
      </w:r>
      <w:r w:rsidRPr="00791928">
        <w:rPr>
          <w:sz w:val="26"/>
          <w:szCs w:val="26"/>
        </w:rPr>
        <w:t xml:space="preserve">sumers due to the volatile market conditions.  Therefore, the Staff recommends that the Commission should not permit the Companies to issue the PIR Bonds with floating interest rates.   </w:t>
      </w:r>
    </w:p>
    <w:p w:rsidR="00FF5711" w:rsidRPr="008043F8" w:rsidRDefault="00FF5711" w:rsidP="008043F8">
      <w:pPr>
        <w:numPr>
          <w:ilvl w:val="0"/>
          <w:numId w:val="45"/>
        </w:numPr>
        <w:spacing w:after="240" w:line="480" w:lineRule="auto"/>
        <w:ind w:left="720" w:hanging="720"/>
        <w:rPr>
          <w:b/>
          <w:sz w:val="26"/>
          <w:szCs w:val="26"/>
          <w:u w:val="single"/>
        </w:rPr>
      </w:pPr>
      <w:r w:rsidRPr="00791928">
        <w:rPr>
          <w:b/>
          <w:sz w:val="26"/>
          <w:szCs w:val="26"/>
          <w:u w:val="single"/>
        </w:rPr>
        <w:t>Use of Proceeds:</w:t>
      </w:r>
      <w:r w:rsidRPr="008043F8">
        <w:rPr>
          <w:b/>
          <w:sz w:val="26"/>
          <w:szCs w:val="26"/>
        </w:rPr>
        <w:t xml:space="preserve">  </w:t>
      </w:r>
      <w:r w:rsidRPr="008043F8">
        <w:rPr>
          <w:sz w:val="26"/>
          <w:szCs w:val="26"/>
        </w:rPr>
        <w:t>The Companies intend to use the proceeds from the PIR Bonds to primarily repay their existing long-term debt.  Proceeds will also be used to pay Financing Costs, including all required credit enhancement, and may also be used for other corp</w:t>
      </w:r>
      <w:r w:rsidR="009F044B" w:rsidRPr="008043F8">
        <w:rPr>
          <w:sz w:val="26"/>
          <w:szCs w:val="26"/>
        </w:rPr>
        <w:softHyphen/>
      </w:r>
      <w:r w:rsidRPr="008043F8">
        <w:rPr>
          <w:sz w:val="26"/>
          <w:szCs w:val="26"/>
        </w:rPr>
        <w:t xml:space="preserve">orate purposes. </w:t>
      </w:r>
    </w:p>
    <w:p w:rsidR="00FF5711" w:rsidRPr="00791928" w:rsidRDefault="00FF5711" w:rsidP="00A71396">
      <w:pPr>
        <w:autoSpaceDE w:val="0"/>
        <w:autoSpaceDN w:val="0"/>
        <w:adjustRightInd w:val="0"/>
        <w:spacing w:after="240" w:line="480" w:lineRule="auto"/>
        <w:ind w:left="720"/>
        <w:jc w:val="both"/>
        <w:rPr>
          <w:sz w:val="26"/>
          <w:szCs w:val="26"/>
        </w:rPr>
      </w:pPr>
      <w:r w:rsidRPr="00791928">
        <w:rPr>
          <w:sz w:val="26"/>
          <w:szCs w:val="26"/>
        </w:rPr>
        <w:t xml:space="preserve">Exhibit D </w:t>
      </w:r>
      <w:r w:rsidR="00685EE4">
        <w:rPr>
          <w:sz w:val="26"/>
          <w:szCs w:val="26"/>
        </w:rPr>
        <w:t>of</w:t>
      </w:r>
      <w:r w:rsidR="00685EE4" w:rsidRPr="00791928">
        <w:rPr>
          <w:sz w:val="26"/>
          <w:szCs w:val="26"/>
        </w:rPr>
        <w:t xml:space="preserve"> </w:t>
      </w:r>
      <w:r w:rsidRPr="00791928">
        <w:rPr>
          <w:sz w:val="26"/>
          <w:szCs w:val="26"/>
        </w:rPr>
        <w:t>the Joint Application presents the expected use of proceeds from the PIR Bonds and the pro forma capitalization after using the PIR Bond proceeds to repay Companies’ long-term debt.</w:t>
      </w:r>
    </w:p>
    <w:p w:rsidR="00FF5711" w:rsidRDefault="00FF5711" w:rsidP="00A71396">
      <w:pPr>
        <w:autoSpaceDE w:val="0"/>
        <w:autoSpaceDN w:val="0"/>
        <w:adjustRightInd w:val="0"/>
        <w:spacing w:after="240" w:line="480" w:lineRule="auto"/>
        <w:ind w:left="720"/>
        <w:jc w:val="both"/>
        <w:rPr>
          <w:sz w:val="26"/>
          <w:szCs w:val="26"/>
        </w:rPr>
      </w:pPr>
      <w:r w:rsidRPr="00791928">
        <w:rPr>
          <w:sz w:val="26"/>
          <w:szCs w:val="26"/>
        </w:rPr>
        <w:t xml:space="preserve">Table-4 below summarizes the Companies Sources and Uses of Funds. </w:t>
      </w:r>
    </w:p>
    <w:p w:rsidR="00A05E0C" w:rsidRDefault="00A05E0C" w:rsidP="00A71396">
      <w:pPr>
        <w:autoSpaceDE w:val="0"/>
        <w:autoSpaceDN w:val="0"/>
        <w:adjustRightInd w:val="0"/>
        <w:spacing w:after="240" w:line="480" w:lineRule="auto"/>
        <w:ind w:left="720"/>
        <w:jc w:val="both"/>
        <w:rPr>
          <w:sz w:val="26"/>
          <w:szCs w:val="26"/>
        </w:rPr>
      </w:pPr>
    </w:p>
    <w:p w:rsidR="00A05E0C" w:rsidRPr="00791928" w:rsidRDefault="00A05E0C" w:rsidP="00A71396">
      <w:pPr>
        <w:autoSpaceDE w:val="0"/>
        <w:autoSpaceDN w:val="0"/>
        <w:adjustRightInd w:val="0"/>
        <w:spacing w:after="240" w:line="480" w:lineRule="auto"/>
        <w:ind w:left="720"/>
        <w:jc w:val="both"/>
        <w:rPr>
          <w:sz w:val="26"/>
          <w:szCs w:val="26"/>
        </w:rPr>
      </w:pPr>
    </w:p>
    <w:p w:rsidR="00FF5711" w:rsidRPr="00791928" w:rsidRDefault="00FF5711" w:rsidP="00FF5711">
      <w:pPr>
        <w:pStyle w:val="ListParagraph"/>
        <w:tabs>
          <w:tab w:val="left" w:pos="990"/>
        </w:tabs>
        <w:autoSpaceDE w:val="0"/>
        <w:autoSpaceDN w:val="0"/>
        <w:adjustRightInd w:val="0"/>
        <w:spacing w:after="0" w:line="240" w:lineRule="auto"/>
        <w:ind w:left="990"/>
        <w:jc w:val="center"/>
        <w:rPr>
          <w:rFonts w:ascii="Times New Roman" w:hAnsi="Times New Roman"/>
          <w:b/>
          <w:sz w:val="26"/>
          <w:szCs w:val="26"/>
          <w:u w:val="single"/>
        </w:rPr>
      </w:pPr>
      <w:r w:rsidRPr="00791928">
        <w:rPr>
          <w:rFonts w:ascii="Times New Roman" w:hAnsi="Times New Roman"/>
          <w:b/>
          <w:sz w:val="26"/>
          <w:szCs w:val="26"/>
          <w:u w:val="single"/>
        </w:rPr>
        <w:lastRenderedPageBreak/>
        <w:t>TABLE-4</w:t>
      </w:r>
    </w:p>
    <w:p w:rsidR="00FF5711" w:rsidRPr="00791928" w:rsidRDefault="00FF5711" w:rsidP="00FF5711">
      <w:pPr>
        <w:pStyle w:val="ListParagraph"/>
        <w:tabs>
          <w:tab w:val="left" w:pos="990"/>
        </w:tabs>
        <w:autoSpaceDE w:val="0"/>
        <w:autoSpaceDN w:val="0"/>
        <w:adjustRightInd w:val="0"/>
        <w:spacing w:after="0" w:line="240" w:lineRule="auto"/>
        <w:ind w:left="990"/>
        <w:jc w:val="both"/>
        <w:rPr>
          <w:rFonts w:ascii="Times New Roman" w:hAnsi="Times New Roman"/>
          <w:sz w:val="26"/>
          <w:szCs w:val="26"/>
        </w:rPr>
      </w:pPr>
    </w:p>
    <w:tbl>
      <w:tblPr>
        <w:tblW w:w="801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1"/>
        <w:gridCol w:w="1703"/>
        <w:gridCol w:w="1646"/>
        <w:gridCol w:w="1516"/>
      </w:tblGrid>
      <w:tr w:rsidR="000572BC" w:rsidRPr="0005054E" w:rsidTr="0005054E">
        <w:trPr>
          <w:trHeight w:val="864"/>
        </w:trPr>
        <w:tc>
          <w:tcPr>
            <w:tcW w:w="3151" w:type="dxa"/>
            <w:shd w:val="clear" w:color="auto" w:fill="auto"/>
            <w:vAlign w:val="center"/>
          </w:tcPr>
          <w:p w:rsidR="00FF5711" w:rsidRPr="0005054E" w:rsidRDefault="00FF5711" w:rsidP="0005054E">
            <w:pPr>
              <w:pStyle w:val="ListParagraph"/>
              <w:tabs>
                <w:tab w:val="left" w:pos="990"/>
              </w:tabs>
              <w:autoSpaceDE w:val="0"/>
              <w:autoSpaceDN w:val="0"/>
              <w:adjustRightInd w:val="0"/>
              <w:ind w:left="0"/>
              <w:jc w:val="center"/>
              <w:rPr>
                <w:rFonts w:ascii="Times New Roman" w:hAnsi="Times New Roman"/>
                <w:sz w:val="26"/>
                <w:szCs w:val="26"/>
              </w:rPr>
            </w:pPr>
          </w:p>
        </w:tc>
        <w:tc>
          <w:tcPr>
            <w:tcW w:w="1703" w:type="dxa"/>
            <w:shd w:val="clear" w:color="auto" w:fill="auto"/>
            <w:vAlign w:val="center"/>
          </w:tcPr>
          <w:p w:rsidR="00FF5711" w:rsidRPr="0005054E" w:rsidRDefault="00FF5711" w:rsidP="0005054E">
            <w:pPr>
              <w:pStyle w:val="ListParagraph"/>
              <w:tabs>
                <w:tab w:val="left" w:pos="990"/>
              </w:tabs>
              <w:autoSpaceDE w:val="0"/>
              <w:autoSpaceDN w:val="0"/>
              <w:adjustRightInd w:val="0"/>
              <w:ind w:left="0"/>
              <w:jc w:val="center"/>
              <w:rPr>
                <w:rFonts w:ascii="Times New Roman" w:hAnsi="Times New Roman"/>
                <w:b/>
                <w:sz w:val="26"/>
                <w:szCs w:val="26"/>
              </w:rPr>
            </w:pPr>
            <w:r w:rsidRPr="0005054E">
              <w:rPr>
                <w:rFonts w:ascii="Times New Roman" w:hAnsi="Times New Roman"/>
                <w:b/>
                <w:sz w:val="26"/>
                <w:szCs w:val="26"/>
              </w:rPr>
              <w:t>CEI</w:t>
            </w:r>
          </w:p>
        </w:tc>
        <w:tc>
          <w:tcPr>
            <w:tcW w:w="1646" w:type="dxa"/>
            <w:shd w:val="clear" w:color="auto" w:fill="auto"/>
            <w:vAlign w:val="center"/>
          </w:tcPr>
          <w:p w:rsidR="00FF5711" w:rsidRPr="0005054E" w:rsidRDefault="00FF5711" w:rsidP="0005054E">
            <w:pPr>
              <w:pStyle w:val="ListParagraph"/>
              <w:tabs>
                <w:tab w:val="left" w:pos="990"/>
              </w:tabs>
              <w:autoSpaceDE w:val="0"/>
              <w:autoSpaceDN w:val="0"/>
              <w:adjustRightInd w:val="0"/>
              <w:ind w:left="0"/>
              <w:jc w:val="center"/>
              <w:rPr>
                <w:rFonts w:ascii="Times New Roman" w:hAnsi="Times New Roman"/>
                <w:b/>
                <w:sz w:val="26"/>
                <w:szCs w:val="26"/>
              </w:rPr>
            </w:pPr>
            <w:r w:rsidRPr="0005054E">
              <w:rPr>
                <w:rFonts w:ascii="Times New Roman" w:hAnsi="Times New Roman"/>
                <w:b/>
                <w:sz w:val="26"/>
                <w:szCs w:val="26"/>
              </w:rPr>
              <w:t>OE</w:t>
            </w:r>
          </w:p>
        </w:tc>
        <w:tc>
          <w:tcPr>
            <w:tcW w:w="1516" w:type="dxa"/>
            <w:shd w:val="clear" w:color="auto" w:fill="auto"/>
            <w:vAlign w:val="center"/>
          </w:tcPr>
          <w:p w:rsidR="00FF5711" w:rsidRPr="0005054E" w:rsidRDefault="00FF5711" w:rsidP="0005054E">
            <w:pPr>
              <w:pStyle w:val="ListParagraph"/>
              <w:tabs>
                <w:tab w:val="left" w:pos="990"/>
              </w:tabs>
              <w:autoSpaceDE w:val="0"/>
              <w:autoSpaceDN w:val="0"/>
              <w:adjustRightInd w:val="0"/>
              <w:ind w:left="0"/>
              <w:jc w:val="center"/>
              <w:rPr>
                <w:rFonts w:ascii="Times New Roman" w:hAnsi="Times New Roman"/>
                <w:b/>
                <w:sz w:val="26"/>
                <w:szCs w:val="26"/>
              </w:rPr>
            </w:pPr>
            <w:r w:rsidRPr="0005054E">
              <w:rPr>
                <w:rFonts w:ascii="Times New Roman" w:hAnsi="Times New Roman"/>
                <w:b/>
                <w:sz w:val="26"/>
                <w:szCs w:val="26"/>
              </w:rPr>
              <w:t>TE</w:t>
            </w:r>
          </w:p>
        </w:tc>
      </w:tr>
      <w:tr w:rsidR="000572BC" w:rsidRPr="0005054E" w:rsidTr="0005054E">
        <w:trPr>
          <w:trHeight w:val="864"/>
        </w:trPr>
        <w:tc>
          <w:tcPr>
            <w:tcW w:w="3151" w:type="dxa"/>
            <w:shd w:val="clear" w:color="auto" w:fill="auto"/>
            <w:vAlign w:val="center"/>
          </w:tcPr>
          <w:p w:rsidR="00FF5711" w:rsidRPr="0005054E" w:rsidRDefault="00FF5711" w:rsidP="0005054E">
            <w:pPr>
              <w:pStyle w:val="ListParagraph"/>
              <w:tabs>
                <w:tab w:val="left" w:pos="990"/>
              </w:tabs>
              <w:autoSpaceDE w:val="0"/>
              <w:autoSpaceDN w:val="0"/>
              <w:adjustRightInd w:val="0"/>
              <w:ind w:left="0"/>
              <w:rPr>
                <w:rFonts w:ascii="Times New Roman" w:hAnsi="Times New Roman"/>
                <w:sz w:val="26"/>
                <w:szCs w:val="26"/>
              </w:rPr>
            </w:pPr>
            <w:r w:rsidRPr="0005054E">
              <w:rPr>
                <w:rFonts w:ascii="Times New Roman" w:hAnsi="Times New Roman"/>
                <w:b/>
                <w:sz w:val="26"/>
                <w:szCs w:val="26"/>
                <w:u w:val="single"/>
              </w:rPr>
              <w:t>Sources</w:t>
            </w:r>
            <w:r w:rsidRPr="0005054E">
              <w:rPr>
                <w:rFonts w:ascii="Times New Roman" w:hAnsi="Times New Roman"/>
                <w:b/>
                <w:sz w:val="26"/>
                <w:szCs w:val="26"/>
              </w:rPr>
              <w:t>:</w:t>
            </w:r>
          </w:p>
          <w:p w:rsidR="00FF5711" w:rsidRPr="0005054E" w:rsidRDefault="00FF5711" w:rsidP="0005054E">
            <w:pPr>
              <w:pStyle w:val="ListParagraph"/>
              <w:tabs>
                <w:tab w:val="left" w:pos="990"/>
              </w:tabs>
              <w:autoSpaceDE w:val="0"/>
              <w:autoSpaceDN w:val="0"/>
              <w:adjustRightInd w:val="0"/>
              <w:ind w:left="0"/>
              <w:rPr>
                <w:rFonts w:ascii="Times New Roman" w:hAnsi="Times New Roman"/>
                <w:sz w:val="26"/>
                <w:szCs w:val="26"/>
              </w:rPr>
            </w:pPr>
            <w:r w:rsidRPr="0005054E">
              <w:rPr>
                <w:rFonts w:ascii="Times New Roman" w:hAnsi="Times New Roman"/>
                <w:sz w:val="26"/>
                <w:szCs w:val="26"/>
              </w:rPr>
              <w:t>PIR Bonds Issued</w:t>
            </w:r>
          </w:p>
        </w:tc>
        <w:tc>
          <w:tcPr>
            <w:tcW w:w="1703" w:type="dxa"/>
            <w:shd w:val="clear" w:color="auto" w:fill="auto"/>
            <w:vAlign w:val="center"/>
          </w:tcPr>
          <w:p w:rsidR="00FF5711" w:rsidRPr="0005054E" w:rsidRDefault="00FF5711" w:rsidP="0005054E">
            <w:pPr>
              <w:pStyle w:val="ListParagraph"/>
              <w:tabs>
                <w:tab w:val="left" w:pos="990"/>
              </w:tabs>
              <w:autoSpaceDE w:val="0"/>
              <w:autoSpaceDN w:val="0"/>
              <w:adjustRightInd w:val="0"/>
              <w:ind w:left="0"/>
              <w:rPr>
                <w:rFonts w:ascii="Times New Roman" w:hAnsi="Times New Roman"/>
                <w:sz w:val="26"/>
                <w:szCs w:val="26"/>
              </w:rPr>
            </w:pPr>
            <w:r w:rsidRPr="0005054E">
              <w:rPr>
                <w:rFonts w:ascii="Times New Roman" w:hAnsi="Times New Roman"/>
                <w:sz w:val="26"/>
                <w:szCs w:val="26"/>
              </w:rPr>
              <w:t>$250,680,890</w:t>
            </w:r>
          </w:p>
        </w:tc>
        <w:tc>
          <w:tcPr>
            <w:tcW w:w="1646" w:type="dxa"/>
            <w:shd w:val="clear" w:color="auto" w:fill="auto"/>
            <w:vAlign w:val="center"/>
          </w:tcPr>
          <w:p w:rsidR="00FF5711" w:rsidRPr="0005054E" w:rsidRDefault="00FF5711" w:rsidP="0005054E">
            <w:pPr>
              <w:pStyle w:val="ListParagraph"/>
              <w:tabs>
                <w:tab w:val="left" w:pos="990"/>
              </w:tabs>
              <w:autoSpaceDE w:val="0"/>
              <w:autoSpaceDN w:val="0"/>
              <w:adjustRightInd w:val="0"/>
              <w:ind w:left="0"/>
              <w:rPr>
                <w:rFonts w:ascii="Times New Roman" w:hAnsi="Times New Roman"/>
                <w:sz w:val="26"/>
                <w:szCs w:val="26"/>
              </w:rPr>
            </w:pPr>
            <w:r w:rsidRPr="0005054E">
              <w:rPr>
                <w:rFonts w:ascii="Times New Roman" w:hAnsi="Times New Roman"/>
                <w:sz w:val="26"/>
                <w:szCs w:val="26"/>
              </w:rPr>
              <w:t>$168,353,837</w:t>
            </w:r>
          </w:p>
        </w:tc>
        <w:tc>
          <w:tcPr>
            <w:tcW w:w="1516" w:type="dxa"/>
            <w:shd w:val="clear" w:color="auto" w:fill="auto"/>
            <w:vAlign w:val="center"/>
          </w:tcPr>
          <w:p w:rsidR="00FF5711" w:rsidRPr="0005054E" w:rsidRDefault="00FF5711" w:rsidP="0005054E">
            <w:pPr>
              <w:pStyle w:val="ListParagraph"/>
              <w:tabs>
                <w:tab w:val="left" w:pos="990"/>
              </w:tabs>
              <w:autoSpaceDE w:val="0"/>
              <w:autoSpaceDN w:val="0"/>
              <w:adjustRightInd w:val="0"/>
              <w:ind w:left="0"/>
              <w:rPr>
                <w:rFonts w:ascii="Times New Roman" w:hAnsi="Times New Roman"/>
                <w:sz w:val="26"/>
                <w:szCs w:val="26"/>
              </w:rPr>
            </w:pPr>
            <w:r w:rsidRPr="0005054E">
              <w:rPr>
                <w:rFonts w:ascii="Times New Roman" w:hAnsi="Times New Roman"/>
                <w:sz w:val="26"/>
                <w:szCs w:val="26"/>
              </w:rPr>
              <w:t>$45,762,713</w:t>
            </w:r>
          </w:p>
        </w:tc>
      </w:tr>
      <w:tr w:rsidR="000572BC" w:rsidRPr="0005054E" w:rsidTr="0005054E">
        <w:trPr>
          <w:trHeight w:val="864"/>
        </w:trPr>
        <w:tc>
          <w:tcPr>
            <w:tcW w:w="3151" w:type="dxa"/>
            <w:shd w:val="clear" w:color="auto" w:fill="auto"/>
            <w:vAlign w:val="center"/>
          </w:tcPr>
          <w:p w:rsidR="00FF5711" w:rsidRPr="0005054E" w:rsidRDefault="00FF5711" w:rsidP="0005054E">
            <w:pPr>
              <w:pStyle w:val="ListParagraph"/>
              <w:tabs>
                <w:tab w:val="left" w:pos="2772"/>
              </w:tabs>
              <w:autoSpaceDE w:val="0"/>
              <w:autoSpaceDN w:val="0"/>
              <w:adjustRightInd w:val="0"/>
              <w:ind w:left="0"/>
              <w:rPr>
                <w:rFonts w:ascii="Times New Roman" w:hAnsi="Times New Roman"/>
                <w:b/>
                <w:sz w:val="26"/>
                <w:szCs w:val="26"/>
              </w:rPr>
            </w:pPr>
            <w:r w:rsidRPr="0005054E">
              <w:rPr>
                <w:rFonts w:ascii="Times New Roman" w:hAnsi="Times New Roman"/>
                <w:b/>
                <w:sz w:val="26"/>
                <w:szCs w:val="26"/>
                <w:u w:val="single"/>
              </w:rPr>
              <w:t>Uses</w:t>
            </w:r>
            <w:r w:rsidRPr="0005054E">
              <w:rPr>
                <w:rFonts w:ascii="Times New Roman" w:hAnsi="Times New Roman"/>
                <w:b/>
                <w:sz w:val="26"/>
                <w:szCs w:val="26"/>
              </w:rPr>
              <w:t>:</w:t>
            </w:r>
          </w:p>
          <w:p w:rsidR="00FF5711" w:rsidRPr="0005054E" w:rsidRDefault="00FF5711" w:rsidP="0005054E">
            <w:pPr>
              <w:pStyle w:val="ListParagraph"/>
              <w:tabs>
                <w:tab w:val="left" w:pos="2772"/>
              </w:tabs>
              <w:autoSpaceDE w:val="0"/>
              <w:autoSpaceDN w:val="0"/>
              <w:adjustRightInd w:val="0"/>
              <w:ind w:left="0"/>
              <w:rPr>
                <w:rFonts w:ascii="Times New Roman" w:hAnsi="Times New Roman"/>
                <w:sz w:val="26"/>
                <w:szCs w:val="26"/>
              </w:rPr>
            </w:pPr>
            <w:r w:rsidRPr="0005054E">
              <w:rPr>
                <w:rFonts w:ascii="Times New Roman" w:hAnsi="Times New Roman"/>
                <w:sz w:val="26"/>
                <w:szCs w:val="26"/>
              </w:rPr>
              <w:t>Issuance Expense</w:t>
            </w:r>
            <w:r w:rsidR="0005054E" w:rsidRPr="0005054E">
              <w:rPr>
                <w:rFonts w:ascii="Times New Roman" w:hAnsi="Times New Roman"/>
                <w:sz w:val="26"/>
                <w:szCs w:val="26"/>
              </w:rPr>
              <w:t xml:space="preserve"> </w:t>
            </w:r>
            <w:r w:rsidRPr="0005054E">
              <w:rPr>
                <w:rFonts w:ascii="Times New Roman" w:hAnsi="Times New Roman"/>
                <w:sz w:val="26"/>
                <w:szCs w:val="26"/>
              </w:rPr>
              <w:t>+</w:t>
            </w:r>
            <w:r w:rsidR="0005054E">
              <w:tab/>
            </w:r>
            <w:r w:rsidRPr="0005054E">
              <w:rPr>
                <w:rFonts w:ascii="Times New Roman" w:hAnsi="Times New Roman"/>
                <w:sz w:val="26"/>
                <w:szCs w:val="26"/>
              </w:rPr>
              <w:t>}</w:t>
            </w:r>
          </w:p>
          <w:p w:rsidR="00FF5711" w:rsidRPr="0005054E" w:rsidRDefault="00FF5711" w:rsidP="0005054E">
            <w:pPr>
              <w:pStyle w:val="ListParagraph"/>
              <w:tabs>
                <w:tab w:val="left" w:pos="2772"/>
              </w:tabs>
              <w:autoSpaceDE w:val="0"/>
              <w:autoSpaceDN w:val="0"/>
              <w:adjustRightInd w:val="0"/>
              <w:ind w:left="0"/>
              <w:rPr>
                <w:rFonts w:ascii="Times New Roman" w:hAnsi="Times New Roman"/>
                <w:sz w:val="26"/>
                <w:szCs w:val="26"/>
              </w:rPr>
            </w:pPr>
            <w:r w:rsidRPr="0005054E">
              <w:rPr>
                <w:rFonts w:ascii="Times New Roman" w:hAnsi="Times New Roman"/>
                <w:sz w:val="26"/>
                <w:szCs w:val="26"/>
              </w:rPr>
              <w:t>Debt Retirement Costs</w:t>
            </w:r>
            <w:r w:rsidR="0005054E" w:rsidRPr="0005054E">
              <w:rPr>
                <w:rFonts w:ascii="Times New Roman" w:hAnsi="Times New Roman"/>
                <w:sz w:val="26"/>
                <w:szCs w:val="26"/>
              </w:rPr>
              <w:t xml:space="preserve"> </w:t>
            </w:r>
            <w:r w:rsidRPr="0005054E">
              <w:rPr>
                <w:rFonts w:ascii="Times New Roman" w:hAnsi="Times New Roman"/>
                <w:sz w:val="26"/>
                <w:szCs w:val="26"/>
              </w:rPr>
              <w:t>+</w:t>
            </w:r>
            <w:r w:rsidR="0005054E" w:rsidRPr="0005054E">
              <w:rPr>
                <w:rFonts w:ascii="Times New Roman" w:hAnsi="Times New Roman"/>
                <w:sz w:val="26"/>
                <w:szCs w:val="26"/>
              </w:rPr>
              <w:tab/>
            </w:r>
            <w:r w:rsidRPr="0005054E">
              <w:rPr>
                <w:rFonts w:ascii="Times New Roman" w:hAnsi="Times New Roman"/>
                <w:sz w:val="26"/>
                <w:szCs w:val="26"/>
              </w:rPr>
              <w:t xml:space="preserve">} Debt Retired </w:t>
            </w:r>
            <w:r w:rsidR="0005054E" w:rsidRPr="0005054E">
              <w:rPr>
                <w:rFonts w:ascii="Times New Roman" w:hAnsi="Times New Roman"/>
                <w:sz w:val="26"/>
                <w:szCs w:val="26"/>
              </w:rPr>
              <w:tab/>
            </w:r>
            <w:r w:rsidRPr="0005054E">
              <w:rPr>
                <w:rFonts w:ascii="Times New Roman" w:hAnsi="Times New Roman"/>
                <w:sz w:val="26"/>
                <w:szCs w:val="26"/>
              </w:rPr>
              <w:t>}</w:t>
            </w:r>
          </w:p>
        </w:tc>
        <w:tc>
          <w:tcPr>
            <w:tcW w:w="1703" w:type="dxa"/>
            <w:shd w:val="clear" w:color="auto" w:fill="auto"/>
            <w:vAlign w:val="center"/>
          </w:tcPr>
          <w:p w:rsidR="00FF5711" w:rsidRPr="0005054E" w:rsidRDefault="00FF5711" w:rsidP="0005054E">
            <w:pPr>
              <w:pStyle w:val="ListParagraph"/>
              <w:tabs>
                <w:tab w:val="left" w:pos="990"/>
              </w:tabs>
              <w:autoSpaceDE w:val="0"/>
              <w:autoSpaceDN w:val="0"/>
              <w:adjustRightInd w:val="0"/>
              <w:ind w:left="0"/>
              <w:rPr>
                <w:rFonts w:ascii="Times New Roman" w:hAnsi="Times New Roman"/>
                <w:sz w:val="26"/>
                <w:szCs w:val="26"/>
              </w:rPr>
            </w:pPr>
            <w:r w:rsidRPr="0005054E">
              <w:rPr>
                <w:rFonts w:ascii="Times New Roman" w:hAnsi="Times New Roman"/>
                <w:sz w:val="26"/>
                <w:szCs w:val="26"/>
              </w:rPr>
              <w:t>$250,680,890</w:t>
            </w:r>
          </w:p>
        </w:tc>
        <w:tc>
          <w:tcPr>
            <w:tcW w:w="1646" w:type="dxa"/>
            <w:shd w:val="clear" w:color="auto" w:fill="auto"/>
            <w:vAlign w:val="center"/>
          </w:tcPr>
          <w:p w:rsidR="00FF5711" w:rsidRPr="0005054E" w:rsidRDefault="00FF5711" w:rsidP="0005054E">
            <w:pPr>
              <w:pStyle w:val="ListParagraph"/>
              <w:tabs>
                <w:tab w:val="left" w:pos="990"/>
              </w:tabs>
              <w:autoSpaceDE w:val="0"/>
              <w:autoSpaceDN w:val="0"/>
              <w:adjustRightInd w:val="0"/>
              <w:ind w:left="0"/>
              <w:rPr>
                <w:rFonts w:ascii="Times New Roman" w:hAnsi="Times New Roman"/>
                <w:sz w:val="26"/>
                <w:szCs w:val="26"/>
              </w:rPr>
            </w:pPr>
            <w:r w:rsidRPr="0005054E">
              <w:rPr>
                <w:rFonts w:ascii="Times New Roman" w:hAnsi="Times New Roman"/>
                <w:sz w:val="26"/>
                <w:szCs w:val="26"/>
              </w:rPr>
              <w:t>$168,353,837</w:t>
            </w:r>
          </w:p>
        </w:tc>
        <w:tc>
          <w:tcPr>
            <w:tcW w:w="1516" w:type="dxa"/>
            <w:shd w:val="clear" w:color="auto" w:fill="auto"/>
            <w:vAlign w:val="center"/>
          </w:tcPr>
          <w:p w:rsidR="00FF5711" w:rsidRPr="0005054E" w:rsidRDefault="00FF5711" w:rsidP="0005054E">
            <w:pPr>
              <w:pStyle w:val="ListParagraph"/>
              <w:tabs>
                <w:tab w:val="left" w:pos="990"/>
              </w:tabs>
              <w:autoSpaceDE w:val="0"/>
              <w:autoSpaceDN w:val="0"/>
              <w:adjustRightInd w:val="0"/>
              <w:ind w:left="0"/>
              <w:rPr>
                <w:rFonts w:ascii="Times New Roman" w:hAnsi="Times New Roman"/>
                <w:sz w:val="26"/>
                <w:szCs w:val="26"/>
              </w:rPr>
            </w:pPr>
            <w:r w:rsidRPr="0005054E">
              <w:rPr>
                <w:rFonts w:ascii="Times New Roman" w:hAnsi="Times New Roman"/>
                <w:sz w:val="26"/>
                <w:szCs w:val="26"/>
              </w:rPr>
              <w:t>$34,839,652</w:t>
            </w:r>
          </w:p>
        </w:tc>
      </w:tr>
      <w:tr w:rsidR="000572BC" w:rsidRPr="0005054E" w:rsidTr="0005054E">
        <w:trPr>
          <w:trHeight w:val="864"/>
        </w:trPr>
        <w:tc>
          <w:tcPr>
            <w:tcW w:w="3151" w:type="dxa"/>
            <w:shd w:val="clear" w:color="auto" w:fill="auto"/>
            <w:vAlign w:val="center"/>
          </w:tcPr>
          <w:p w:rsidR="00FF5711" w:rsidRPr="0005054E" w:rsidRDefault="00FF5711" w:rsidP="0005054E">
            <w:pPr>
              <w:pStyle w:val="ListParagraph"/>
              <w:tabs>
                <w:tab w:val="left" w:pos="990"/>
              </w:tabs>
              <w:autoSpaceDE w:val="0"/>
              <w:autoSpaceDN w:val="0"/>
              <w:adjustRightInd w:val="0"/>
              <w:ind w:left="0"/>
              <w:rPr>
                <w:rFonts w:ascii="Times New Roman" w:hAnsi="Times New Roman"/>
                <w:sz w:val="26"/>
                <w:szCs w:val="26"/>
              </w:rPr>
            </w:pPr>
            <w:r w:rsidRPr="0005054E">
              <w:rPr>
                <w:rFonts w:ascii="Times New Roman" w:hAnsi="Times New Roman"/>
                <w:sz w:val="26"/>
                <w:szCs w:val="26"/>
              </w:rPr>
              <w:t>Other Corporate Purposes</w:t>
            </w:r>
          </w:p>
        </w:tc>
        <w:tc>
          <w:tcPr>
            <w:tcW w:w="1703" w:type="dxa"/>
            <w:shd w:val="clear" w:color="auto" w:fill="auto"/>
            <w:vAlign w:val="center"/>
          </w:tcPr>
          <w:p w:rsidR="00FF5711" w:rsidRPr="0005054E" w:rsidRDefault="00FF5711" w:rsidP="0005054E">
            <w:pPr>
              <w:pStyle w:val="ListParagraph"/>
              <w:tabs>
                <w:tab w:val="left" w:pos="990"/>
              </w:tabs>
              <w:autoSpaceDE w:val="0"/>
              <w:autoSpaceDN w:val="0"/>
              <w:adjustRightInd w:val="0"/>
              <w:ind w:left="0"/>
              <w:jc w:val="center"/>
              <w:rPr>
                <w:rFonts w:ascii="Times New Roman" w:hAnsi="Times New Roman"/>
                <w:sz w:val="26"/>
                <w:szCs w:val="26"/>
              </w:rPr>
            </w:pPr>
            <w:r w:rsidRPr="0005054E">
              <w:rPr>
                <w:rFonts w:ascii="Times New Roman" w:hAnsi="Times New Roman"/>
                <w:sz w:val="26"/>
                <w:szCs w:val="26"/>
              </w:rPr>
              <w:t>-0-</w:t>
            </w:r>
          </w:p>
        </w:tc>
        <w:tc>
          <w:tcPr>
            <w:tcW w:w="1646" w:type="dxa"/>
            <w:shd w:val="clear" w:color="auto" w:fill="auto"/>
            <w:vAlign w:val="center"/>
          </w:tcPr>
          <w:p w:rsidR="00FF5711" w:rsidRPr="0005054E" w:rsidRDefault="00FF5711" w:rsidP="0005054E">
            <w:pPr>
              <w:pStyle w:val="ListParagraph"/>
              <w:tabs>
                <w:tab w:val="left" w:pos="990"/>
              </w:tabs>
              <w:autoSpaceDE w:val="0"/>
              <w:autoSpaceDN w:val="0"/>
              <w:adjustRightInd w:val="0"/>
              <w:ind w:left="0"/>
              <w:jc w:val="center"/>
              <w:rPr>
                <w:rFonts w:ascii="Times New Roman" w:hAnsi="Times New Roman"/>
                <w:sz w:val="26"/>
                <w:szCs w:val="26"/>
              </w:rPr>
            </w:pPr>
            <w:r w:rsidRPr="0005054E">
              <w:rPr>
                <w:rFonts w:ascii="Times New Roman" w:hAnsi="Times New Roman"/>
                <w:sz w:val="26"/>
                <w:szCs w:val="26"/>
              </w:rPr>
              <w:t>-0-</w:t>
            </w:r>
          </w:p>
        </w:tc>
        <w:tc>
          <w:tcPr>
            <w:tcW w:w="1516" w:type="dxa"/>
            <w:shd w:val="clear" w:color="auto" w:fill="auto"/>
            <w:vAlign w:val="center"/>
          </w:tcPr>
          <w:p w:rsidR="00FF5711" w:rsidRPr="0005054E" w:rsidRDefault="00FF5711" w:rsidP="0005054E">
            <w:pPr>
              <w:pStyle w:val="ListParagraph"/>
              <w:tabs>
                <w:tab w:val="left" w:pos="990"/>
              </w:tabs>
              <w:autoSpaceDE w:val="0"/>
              <w:autoSpaceDN w:val="0"/>
              <w:adjustRightInd w:val="0"/>
              <w:ind w:left="0"/>
              <w:rPr>
                <w:rFonts w:ascii="Times New Roman" w:hAnsi="Times New Roman"/>
                <w:sz w:val="26"/>
                <w:szCs w:val="26"/>
              </w:rPr>
            </w:pPr>
            <w:r w:rsidRPr="0005054E">
              <w:rPr>
                <w:rFonts w:ascii="Times New Roman" w:hAnsi="Times New Roman"/>
                <w:sz w:val="26"/>
                <w:szCs w:val="26"/>
              </w:rPr>
              <w:t>$10,923,061</w:t>
            </w:r>
          </w:p>
        </w:tc>
      </w:tr>
      <w:tr w:rsidR="000572BC" w:rsidRPr="0005054E" w:rsidTr="0005054E">
        <w:trPr>
          <w:trHeight w:val="864"/>
        </w:trPr>
        <w:tc>
          <w:tcPr>
            <w:tcW w:w="3151" w:type="dxa"/>
            <w:shd w:val="clear" w:color="auto" w:fill="auto"/>
            <w:vAlign w:val="center"/>
          </w:tcPr>
          <w:p w:rsidR="00FF5711" w:rsidRPr="0005054E" w:rsidRDefault="00FF5711" w:rsidP="0005054E">
            <w:pPr>
              <w:pStyle w:val="ListParagraph"/>
              <w:tabs>
                <w:tab w:val="left" w:pos="990"/>
              </w:tabs>
              <w:autoSpaceDE w:val="0"/>
              <w:autoSpaceDN w:val="0"/>
              <w:adjustRightInd w:val="0"/>
              <w:ind w:left="0"/>
              <w:rPr>
                <w:rFonts w:ascii="Times New Roman" w:hAnsi="Times New Roman"/>
                <w:sz w:val="26"/>
                <w:szCs w:val="26"/>
              </w:rPr>
            </w:pPr>
            <w:r w:rsidRPr="0005054E">
              <w:rPr>
                <w:rFonts w:ascii="Times New Roman" w:hAnsi="Times New Roman"/>
                <w:sz w:val="26"/>
                <w:szCs w:val="26"/>
              </w:rPr>
              <w:t>Total Uses</w:t>
            </w:r>
          </w:p>
        </w:tc>
        <w:tc>
          <w:tcPr>
            <w:tcW w:w="1703" w:type="dxa"/>
            <w:shd w:val="clear" w:color="auto" w:fill="auto"/>
            <w:vAlign w:val="center"/>
          </w:tcPr>
          <w:p w:rsidR="00FF5711" w:rsidRPr="0005054E" w:rsidRDefault="00FF5711" w:rsidP="0005054E">
            <w:pPr>
              <w:pStyle w:val="ListParagraph"/>
              <w:tabs>
                <w:tab w:val="left" w:pos="990"/>
              </w:tabs>
              <w:autoSpaceDE w:val="0"/>
              <w:autoSpaceDN w:val="0"/>
              <w:adjustRightInd w:val="0"/>
              <w:ind w:left="0"/>
              <w:rPr>
                <w:rFonts w:ascii="Times New Roman" w:hAnsi="Times New Roman"/>
                <w:sz w:val="26"/>
                <w:szCs w:val="26"/>
              </w:rPr>
            </w:pPr>
            <w:r w:rsidRPr="0005054E">
              <w:rPr>
                <w:rFonts w:ascii="Times New Roman" w:hAnsi="Times New Roman"/>
                <w:sz w:val="26"/>
                <w:szCs w:val="26"/>
              </w:rPr>
              <w:t>$250,680,890</w:t>
            </w:r>
          </w:p>
        </w:tc>
        <w:tc>
          <w:tcPr>
            <w:tcW w:w="1646" w:type="dxa"/>
            <w:shd w:val="clear" w:color="auto" w:fill="auto"/>
            <w:vAlign w:val="center"/>
          </w:tcPr>
          <w:p w:rsidR="00FF5711" w:rsidRPr="0005054E" w:rsidRDefault="00FF5711" w:rsidP="0005054E">
            <w:pPr>
              <w:pStyle w:val="ListParagraph"/>
              <w:tabs>
                <w:tab w:val="left" w:pos="990"/>
              </w:tabs>
              <w:autoSpaceDE w:val="0"/>
              <w:autoSpaceDN w:val="0"/>
              <w:adjustRightInd w:val="0"/>
              <w:ind w:left="0"/>
              <w:rPr>
                <w:rFonts w:ascii="Times New Roman" w:hAnsi="Times New Roman"/>
                <w:sz w:val="26"/>
                <w:szCs w:val="26"/>
              </w:rPr>
            </w:pPr>
            <w:r w:rsidRPr="0005054E">
              <w:rPr>
                <w:rFonts w:ascii="Times New Roman" w:hAnsi="Times New Roman"/>
                <w:sz w:val="26"/>
                <w:szCs w:val="26"/>
              </w:rPr>
              <w:t>$168,353,837</w:t>
            </w:r>
          </w:p>
        </w:tc>
        <w:tc>
          <w:tcPr>
            <w:tcW w:w="1516" w:type="dxa"/>
            <w:shd w:val="clear" w:color="auto" w:fill="auto"/>
            <w:vAlign w:val="center"/>
          </w:tcPr>
          <w:p w:rsidR="00FF5711" w:rsidRPr="0005054E" w:rsidRDefault="00FF5711" w:rsidP="0005054E">
            <w:pPr>
              <w:pStyle w:val="ListParagraph"/>
              <w:tabs>
                <w:tab w:val="left" w:pos="990"/>
              </w:tabs>
              <w:autoSpaceDE w:val="0"/>
              <w:autoSpaceDN w:val="0"/>
              <w:adjustRightInd w:val="0"/>
              <w:ind w:left="0"/>
              <w:rPr>
                <w:rFonts w:ascii="Times New Roman" w:hAnsi="Times New Roman"/>
                <w:sz w:val="26"/>
                <w:szCs w:val="26"/>
              </w:rPr>
            </w:pPr>
            <w:r w:rsidRPr="0005054E">
              <w:rPr>
                <w:rFonts w:ascii="Times New Roman" w:hAnsi="Times New Roman"/>
                <w:sz w:val="26"/>
                <w:szCs w:val="26"/>
              </w:rPr>
              <w:t>$45,762,713</w:t>
            </w:r>
          </w:p>
        </w:tc>
      </w:tr>
    </w:tbl>
    <w:p w:rsidR="0005054E" w:rsidRDefault="0005054E" w:rsidP="00FF5711">
      <w:pPr>
        <w:pStyle w:val="ListParagraph"/>
        <w:tabs>
          <w:tab w:val="left" w:pos="990"/>
        </w:tabs>
        <w:autoSpaceDE w:val="0"/>
        <w:autoSpaceDN w:val="0"/>
        <w:adjustRightInd w:val="0"/>
        <w:spacing w:after="0" w:line="240" w:lineRule="auto"/>
        <w:ind w:left="990"/>
        <w:jc w:val="both"/>
        <w:rPr>
          <w:rFonts w:ascii="Times New Roman" w:hAnsi="Times New Roman"/>
          <w:sz w:val="26"/>
          <w:szCs w:val="26"/>
        </w:rPr>
      </w:pPr>
    </w:p>
    <w:p w:rsidR="00FF5711" w:rsidRPr="00791928" w:rsidRDefault="0005054E" w:rsidP="008043F8">
      <w:pPr>
        <w:pStyle w:val="ListParagraph"/>
        <w:autoSpaceDE w:val="0"/>
        <w:autoSpaceDN w:val="0"/>
        <w:adjustRightInd w:val="0"/>
        <w:spacing w:after="0" w:line="240" w:lineRule="auto"/>
        <w:ind w:left="0"/>
        <w:jc w:val="both"/>
        <w:rPr>
          <w:rFonts w:ascii="Times New Roman" w:hAnsi="Times New Roman"/>
          <w:sz w:val="26"/>
          <w:szCs w:val="26"/>
        </w:rPr>
      </w:pPr>
      <w:r>
        <w:rPr>
          <w:rFonts w:ascii="Times New Roman" w:hAnsi="Times New Roman"/>
          <w:sz w:val="26"/>
          <w:szCs w:val="26"/>
        </w:rPr>
        <w:t xml:space="preserve">* </w:t>
      </w:r>
      <w:r w:rsidR="00FF5711" w:rsidRPr="00791928">
        <w:rPr>
          <w:rFonts w:ascii="Times New Roman" w:hAnsi="Times New Roman"/>
          <w:sz w:val="26"/>
          <w:szCs w:val="26"/>
        </w:rPr>
        <w:t xml:space="preserve">Source:  Exhibit D </w:t>
      </w:r>
      <w:r w:rsidR="00685EE4">
        <w:rPr>
          <w:rFonts w:ascii="Times New Roman" w:hAnsi="Times New Roman"/>
          <w:sz w:val="26"/>
          <w:szCs w:val="26"/>
        </w:rPr>
        <w:t>of</w:t>
      </w:r>
      <w:r w:rsidR="00685EE4" w:rsidRPr="00791928">
        <w:rPr>
          <w:rFonts w:ascii="Times New Roman" w:hAnsi="Times New Roman"/>
          <w:sz w:val="26"/>
          <w:szCs w:val="26"/>
        </w:rPr>
        <w:t xml:space="preserve"> </w:t>
      </w:r>
      <w:r w:rsidR="00FF5711" w:rsidRPr="00791928">
        <w:rPr>
          <w:rFonts w:ascii="Times New Roman" w:hAnsi="Times New Roman"/>
          <w:sz w:val="26"/>
          <w:szCs w:val="26"/>
        </w:rPr>
        <w:t>the Joint Application.</w:t>
      </w:r>
    </w:p>
    <w:p w:rsidR="00FF5711" w:rsidRDefault="00FF5711" w:rsidP="00FF5711">
      <w:pPr>
        <w:pStyle w:val="ListParagraph"/>
        <w:tabs>
          <w:tab w:val="left" w:pos="900"/>
        </w:tabs>
        <w:autoSpaceDE w:val="0"/>
        <w:autoSpaceDN w:val="0"/>
        <w:adjustRightInd w:val="0"/>
        <w:spacing w:after="0" w:line="240" w:lineRule="auto"/>
        <w:ind w:left="990"/>
        <w:jc w:val="both"/>
        <w:rPr>
          <w:rFonts w:ascii="Book Antiqua" w:hAnsi="Book Antiqua" w:cs="TimesNewRoman"/>
          <w:sz w:val="24"/>
          <w:szCs w:val="24"/>
        </w:rPr>
      </w:pPr>
    </w:p>
    <w:p w:rsidR="00685EE4" w:rsidRDefault="00FF5711" w:rsidP="0005054E">
      <w:pPr>
        <w:pStyle w:val="textstyle0"/>
      </w:pPr>
      <w:r>
        <w:t>The Cleveland Electric Company</w:t>
      </w:r>
      <w:r w:rsidRPr="00287687">
        <w:t xml:space="preserve"> and </w:t>
      </w:r>
      <w:r>
        <w:t>Ohio Edison</w:t>
      </w:r>
      <w:r w:rsidRPr="00287687">
        <w:t xml:space="preserve"> were able to match the Sources of Funds (PIR Bond proceeds) to their expected Uses of Funds (Issuance Expense + Debt Retirement Costs + Debt Retired).  However, </w:t>
      </w:r>
      <w:r>
        <w:t>Toledo Edison</w:t>
      </w:r>
      <w:r w:rsidRPr="00287687">
        <w:t xml:space="preserve"> will have about $1</w:t>
      </w:r>
      <w:r>
        <w:t>1</w:t>
      </w:r>
      <w:r w:rsidRPr="00287687">
        <w:t xml:space="preserve"> million of PIR Bond proceeds even after its </w:t>
      </w:r>
      <w:r>
        <w:t>d</w:t>
      </w:r>
      <w:r w:rsidRPr="00287687">
        <w:t xml:space="preserve">ebt </w:t>
      </w:r>
      <w:r>
        <w:t>r</w:t>
      </w:r>
      <w:r w:rsidRPr="00287687">
        <w:t>etirement.  TE is proposing to use the $11 mil</w:t>
      </w:r>
      <w:r w:rsidR="00A71396">
        <w:softHyphen/>
      </w:r>
      <w:r w:rsidRPr="00287687">
        <w:t>lion for other corporate purposes</w:t>
      </w:r>
      <w:r w:rsidR="00685EE4">
        <w:t xml:space="preserve"> which may include investing in the FirstEnergy Utility Money Pool on a short-term basis.</w:t>
      </w:r>
    </w:p>
    <w:p w:rsidR="00FF5711" w:rsidRPr="00287687" w:rsidRDefault="00FD759A" w:rsidP="0005054E">
      <w:pPr>
        <w:pStyle w:val="textstyle0"/>
      </w:pPr>
      <w:r>
        <w:tab/>
      </w:r>
      <w:r w:rsidR="00685EE4">
        <w:t xml:space="preserve">Staff </w:t>
      </w:r>
      <w:r w:rsidR="00936E47">
        <w:t>recommends</w:t>
      </w:r>
      <w:r w:rsidR="00685EE4">
        <w:t xml:space="preserve"> that Toledo Edison should consider investing the $11 million in other types of short-term investments comparable to the Money Pool, if the interest rates for such investment alternatives are greater than the interest rate that it would realize by investment in the money pool</w:t>
      </w:r>
      <w:r w:rsidR="00FF5711" w:rsidRPr="00287687">
        <w:t>.</w:t>
      </w:r>
    </w:p>
    <w:p w:rsidR="00FF5711" w:rsidRPr="004E31C1" w:rsidRDefault="00FF5711" w:rsidP="00536C13">
      <w:pPr>
        <w:pStyle w:val="Heading1"/>
      </w:pPr>
      <w:bookmarkStart w:id="38" w:name="_Toc328131642"/>
      <w:bookmarkStart w:id="39" w:name="_Toc328397437"/>
      <w:r w:rsidRPr="004E31C1">
        <w:lastRenderedPageBreak/>
        <w:t xml:space="preserve">PIR </w:t>
      </w:r>
      <w:bookmarkEnd w:id="38"/>
      <w:r w:rsidR="00322F45">
        <w:t>DEFERRED BALANCES ESTIMATION AND RECONCILIATION MECHANISM REVIEW AND RECOMMENDATION</w:t>
      </w:r>
      <w:bookmarkEnd w:id="39"/>
    </w:p>
    <w:p w:rsidR="00FF5711" w:rsidRPr="00030546" w:rsidRDefault="00AA29B6" w:rsidP="00AA29B6">
      <w:pPr>
        <w:pStyle w:val="Heading2"/>
      </w:pPr>
      <w:bookmarkStart w:id="40" w:name="_Toc328131643"/>
      <w:bookmarkStart w:id="41" w:name="_Toc328397438"/>
      <w:r>
        <w:t>A.</w:t>
      </w:r>
      <w:r>
        <w:tab/>
      </w:r>
      <w:r w:rsidR="00FF5711" w:rsidRPr="00030546">
        <w:t>Estimated Deferral Balances Subject to Securitization</w:t>
      </w:r>
      <w:bookmarkEnd w:id="40"/>
      <w:bookmarkEnd w:id="41"/>
    </w:p>
    <w:p w:rsidR="00FF5711" w:rsidRPr="00030546" w:rsidRDefault="0005054E" w:rsidP="0005054E">
      <w:pPr>
        <w:pStyle w:val="textstyle0"/>
      </w:pPr>
      <w:r>
        <w:tab/>
      </w:r>
      <w:r w:rsidR="00FD759A">
        <w:t xml:space="preserve">The </w:t>
      </w:r>
      <w:r w:rsidR="00FF5711" w:rsidRPr="00030546">
        <w:t>Staff reviewed and verified the deferred balances as of May 2012, including carry</w:t>
      </w:r>
      <w:r w:rsidR="00596570">
        <w:softHyphen/>
      </w:r>
      <w:r w:rsidR="00FF5711" w:rsidRPr="00030546">
        <w:t>ing charges, associated with Riders DGC, RER</w:t>
      </w:r>
      <w:r w:rsidR="00FD759A">
        <w:t>1</w:t>
      </w:r>
      <w:r w:rsidR="00FF5711" w:rsidRPr="00030546">
        <w:t>, and DFC.  Additiona</w:t>
      </w:r>
      <w:r w:rsidR="00FD759A">
        <w:t>lly, the S</w:t>
      </w:r>
      <w:r w:rsidR="00FF5711" w:rsidRPr="00030546">
        <w:t>taff verified the beginning principal balances and monthly activity to date through May 2012 associated with Riders DGC, RER1, and DFC.</w:t>
      </w:r>
    </w:p>
    <w:p w:rsidR="00FF5711" w:rsidRPr="00030546" w:rsidRDefault="00AA29B6" w:rsidP="00AA29B6">
      <w:pPr>
        <w:pStyle w:val="Heading2"/>
      </w:pPr>
      <w:bookmarkStart w:id="42" w:name="_Toc328131644"/>
      <w:bookmarkStart w:id="43" w:name="_Toc328397439"/>
      <w:r>
        <w:t>B.</w:t>
      </w:r>
      <w:r>
        <w:tab/>
      </w:r>
      <w:r w:rsidR="00FF5711" w:rsidRPr="00030546">
        <w:t>Securitization Structure and Documentation</w:t>
      </w:r>
      <w:bookmarkEnd w:id="42"/>
      <w:bookmarkEnd w:id="43"/>
    </w:p>
    <w:p w:rsidR="00FF5711" w:rsidRPr="00030546" w:rsidRDefault="0005054E" w:rsidP="0005054E">
      <w:pPr>
        <w:pStyle w:val="textstyle0"/>
      </w:pPr>
      <w:r>
        <w:tab/>
      </w:r>
      <w:r w:rsidR="00FF5711" w:rsidRPr="00030546">
        <w:t xml:space="preserve">The </w:t>
      </w:r>
      <w:r w:rsidR="00FD759A">
        <w:t>Companies</w:t>
      </w:r>
      <w:r w:rsidR="00FF5711" w:rsidRPr="00030546">
        <w:t xml:space="preserve"> have requested the flexibility in establishing the terms and condi</w:t>
      </w:r>
      <w:r w:rsidR="00596570">
        <w:softHyphen/>
      </w:r>
      <w:r w:rsidR="00FF5711" w:rsidRPr="00030546">
        <w:t>tions for the Phase-In-Recovery Bonds to accommodate changes in market condition, including repayment schedules, interest rates, Financing Costs, collateral requirements, required debt service and other reserves, and the ability of each of the Applicants, at its option, to effect a series of issuances of Phase-In-Recovery Bonds and correlated assign</w:t>
      </w:r>
      <w:r w:rsidR="00596570">
        <w:softHyphen/>
      </w:r>
      <w:r w:rsidR="00FF5711" w:rsidRPr="00030546">
        <w:t>ments, sales, pledges, or other transfers of Phase-In-Recovery Property.</w:t>
      </w:r>
    </w:p>
    <w:p w:rsidR="00FF5711" w:rsidRPr="00030546" w:rsidRDefault="0005054E" w:rsidP="0005054E">
      <w:pPr>
        <w:pStyle w:val="textstyle0"/>
      </w:pPr>
      <w:r>
        <w:tab/>
      </w:r>
      <w:r w:rsidR="00FD759A">
        <w:t xml:space="preserve">The </w:t>
      </w:r>
      <w:r w:rsidR="00FF5711" w:rsidRPr="00030546">
        <w:t>Staff recommends that this flexibility be approved with the understanding that such flexibility exists solely prior to the issuance in order to achieve a savings to custom</w:t>
      </w:r>
      <w:r w:rsidR="00596570">
        <w:softHyphen/>
      </w:r>
      <w:r w:rsidR="00FF5711" w:rsidRPr="00030546">
        <w:t xml:space="preserve">ers in comparison to the traditional recovery mechanism.  The flexibility is required at the time of issuance in order to capture the optimal financing structure and to achieve the greatest savings.  The Staff recommends the flexibility that is requested not be available to the </w:t>
      </w:r>
      <w:r w:rsidR="00FD759A">
        <w:t>Companies</w:t>
      </w:r>
      <w:r w:rsidR="00FF5711" w:rsidRPr="00030546">
        <w:t xml:space="preserve"> after the bond issuance in order to guarantee cost savings to customers and the mitigation of rate impacts.</w:t>
      </w:r>
    </w:p>
    <w:p w:rsidR="00FF5711" w:rsidRPr="00030546" w:rsidRDefault="00AA29B6" w:rsidP="00AA29B6">
      <w:pPr>
        <w:pStyle w:val="Heading2"/>
      </w:pPr>
      <w:bookmarkStart w:id="44" w:name="_Toc328131645"/>
      <w:bookmarkStart w:id="45" w:name="_Toc328397440"/>
      <w:r>
        <w:lastRenderedPageBreak/>
        <w:t>C.</w:t>
      </w:r>
      <w:r>
        <w:tab/>
      </w:r>
      <w:r w:rsidR="00FF5711" w:rsidRPr="00030546">
        <w:t>Securitization Structure and Documentation - (Accumulated Deferred Income Tax)</w:t>
      </w:r>
      <w:bookmarkEnd w:id="44"/>
      <w:bookmarkEnd w:id="45"/>
      <w:r w:rsidR="00FF5711" w:rsidRPr="00030546">
        <w:t xml:space="preserve"> </w:t>
      </w:r>
    </w:p>
    <w:p w:rsidR="00FF5711" w:rsidRPr="00030546" w:rsidRDefault="0005054E" w:rsidP="0005054E">
      <w:pPr>
        <w:pStyle w:val="textstyle0"/>
      </w:pPr>
      <w:r>
        <w:tab/>
      </w:r>
      <w:r w:rsidR="00FF5711" w:rsidRPr="00030546">
        <w:t xml:space="preserve">Staff agrees to the Companies’ proposal that each Applicant will be authorized to recover its average long term debt rate without reduction for accumulated deferred income taxes on its respective SPE’s capitalization amount as an ongoing Financing Cost. </w:t>
      </w:r>
    </w:p>
    <w:p w:rsidR="00FF5711" w:rsidRPr="00030546" w:rsidRDefault="0005054E" w:rsidP="0005054E">
      <w:pPr>
        <w:pStyle w:val="textstyle0"/>
      </w:pPr>
      <w:r>
        <w:tab/>
      </w:r>
      <w:r w:rsidR="00FF5711" w:rsidRPr="00030546">
        <w:t>The reason for</w:t>
      </w:r>
      <w:r w:rsidR="00C66C11">
        <w:t xml:space="preserve"> the</w:t>
      </w:r>
      <w:r w:rsidR="00FF5711" w:rsidRPr="00030546">
        <w:t xml:space="preserve"> </w:t>
      </w:r>
      <w:r w:rsidR="00C66C11">
        <w:t>S</w:t>
      </w:r>
      <w:r w:rsidR="00FF5711" w:rsidRPr="00030546">
        <w:t>taff’s support of this proposal is that the current recovery mecha</w:t>
      </w:r>
      <w:r w:rsidR="00596570">
        <w:softHyphen/>
      </w:r>
      <w:r w:rsidR="00FF5711" w:rsidRPr="00030546">
        <w:t>nisms for Riders DFC, DGC, and RER1 include carrying charges at the Com</w:t>
      </w:r>
      <w:r w:rsidR="00936E47">
        <w:softHyphen/>
      </w:r>
      <w:r w:rsidR="00FF5711" w:rsidRPr="00030546">
        <w:t>panies’ weighted average cost of long-term debt, without reduction for accumulated deferred income taxes.  Once the phase-in costs are securitized, there will no longer be regulatory assets on the Companies’ regulatory books associated with these phase-in costs (subject to final reconciliation), at which time there will no longer be carrying charges on these deferred balances.  The capitalization amounts represent investments made by the Com</w:t>
      </w:r>
      <w:r w:rsidR="00596570">
        <w:softHyphen/>
      </w:r>
      <w:r w:rsidR="00FF5711" w:rsidRPr="00030546">
        <w:t xml:space="preserve">panies into their respective SPEs associated with recovery of the phase-in costs, once securitized.  Accordingly, the return on the Companies’ investment is appropriately aligned with the return they would otherwise be earning under the existing recovery mechanisms absent securitization, i.e., carrying costs at the Companies’ average cost of long-term debt, applied to amounts without reduction for accumulated deferred income taxes. </w:t>
      </w:r>
    </w:p>
    <w:p w:rsidR="00FF5711" w:rsidRPr="00030546" w:rsidRDefault="00A05E0C" w:rsidP="00AA29B6">
      <w:pPr>
        <w:pStyle w:val="Heading2"/>
      </w:pPr>
      <w:bookmarkStart w:id="46" w:name="_Toc328131646"/>
      <w:r>
        <w:br w:type="page"/>
      </w:r>
      <w:bookmarkStart w:id="47" w:name="_Toc328397441"/>
      <w:r w:rsidR="00AA29B6">
        <w:lastRenderedPageBreak/>
        <w:t>D.</w:t>
      </w:r>
      <w:r w:rsidR="00AA29B6">
        <w:tab/>
      </w:r>
      <w:r w:rsidR="00FF5711" w:rsidRPr="00030546">
        <w:t>Estimated Comparison of Existing Rate Making and Securitiza</w:t>
      </w:r>
      <w:r w:rsidR="00936E47">
        <w:softHyphen/>
      </w:r>
      <w:r w:rsidR="00FF5711" w:rsidRPr="00030546">
        <w:t>tion</w:t>
      </w:r>
      <w:bookmarkEnd w:id="46"/>
      <w:bookmarkEnd w:id="47"/>
    </w:p>
    <w:p w:rsidR="00FF5711" w:rsidRPr="00030546" w:rsidRDefault="0005054E" w:rsidP="0005054E">
      <w:pPr>
        <w:pStyle w:val="textstyle0"/>
      </w:pPr>
      <w:r>
        <w:tab/>
      </w:r>
      <w:r w:rsidR="00FF5711" w:rsidRPr="00030546">
        <w:t xml:space="preserve">The securitization structure as illustrated on Exhibit B </w:t>
      </w:r>
      <w:r w:rsidR="00FD759A">
        <w:t xml:space="preserve">of the Application </w:t>
      </w:r>
      <w:r w:rsidR="00FF5711" w:rsidRPr="00030546">
        <w:t>demon</w:t>
      </w:r>
      <w:r w:rsidR="00936E47">
        <w:softHyphen/>
      </w:r>
      <w:r w:rsidR="00FF5711" w:rsidRPr="00030546">
        <w:t>strates the bene</w:t>
      </w:r>
      <w:r w:rsidR="00A71396">
        <w:softHyphen/>
      </w:r>
      <w:r w:rsidR="00FF5711" w:rsidRPr="00030546">
        <w:t>fits to customers of the lower effective interest rate versus the current authorized rate of return are reflected in a reduction in the expected amount payable by customers on both a nomi</w:t>
      </w:r>
      <w:r w:rsidR="00596570">
        <w:softHyphen/>
      </w:r>
      <w:r w:rsidR="00FF5711" w:rsidRPr="00030546">
        <w:t>nal and a net present value basis as compared with existing recovery mecha</w:t>
      </w:r>
      <w:r w:rsidR="00A71396">
        <w:softHyphen/>
      </w:r>
      <w:r w:rsidR="00FF5711" w:rsidRPr="00030546">
        <w:t>nisms.  The proposal is expected to significantly reduce the carrying charges over the recovery period for these Phase-In Costs resulting in customer savings through the issu</w:t>
      </w:r>
      <w:r w:rsidR="00A71396">
        <w:softHyphen/>
      </w:r>
      <w:r w:rsidR="00FF5711" w:rsidRPr="00030546">
        <w:t>ance of the Phase-In Recovery Bonds (even after including applicable Financing Costs</w:t>
      </w:r>
      <w:r w:rsidR="00FD759A">
        <w:t>)</w:t>
      </w:r>
      <w:r w:rsidR="00FF5711" w:rsidRPr="00030546">
        <w:t>.  The recovery period will not exceed the overall recovery period under the existing cost recovery meth</w:t>
      </w:r>
      <w:r w:rsidR="00596570">
        <w:softHyphen/>
      </w:r>
      <w:r w:rsidR="00FF5711" w:rsidRPr="00030546">
        <w:t>odologies approved by the Commission for such regula</w:t>
      </w:r>
      <w:r w:rsidR="00936E47">
        <w:softHyphen/>
      </w:r>
      <w:r w:rsidR="00FF5711" w:rsidRPr="00030546">
        <w:t>tory assets, result</w:t>
      </w:r>
      <w:r w:rsidR="00A71396">
        <w:softHyphen/>
      </w:r>
      <w:r w:rsidR="00FF5711" w:rsidRPr="00030546">
        <w:t>ing in estimated nominal costs savings to customers of approximately $104 million in the aggregate</w:t>
      </w:r>
      <w:r w:rsidR="009F044B" w:rsidRPr="00030546">
        <w:t xml:space="preserve">.  </w:t>
      </w:r>
      <w:r w:rsidR="00FF5711" w:rsidRPr="00030546">
        <w:t>In addition, the proposed securitization is expected to mitigate rate impacts to customers by flowing the cost savings through to customers annually in a manner that yields lower associated rates compared to the traditional cost recovery mechanisms pre</w:t>
      </w:r>
      <w:r w:rsidR="00A71396">
        <w:softHyphen/>
      </w:r>
      <w:r w:rsidR="00FF5711" w:rsidRPr="00030546">
        <w:t xml:space="preserve">viously approved by the Commission.  This expectation for rate mitigation is based on current interest rates, market conditions and rates currently approved by the Commission. </w:t>
      </w:r>
    </w:p>
    <w:p w:rsidR="00FF5711" w:rsidRPr="00030546" w:rsidRDefault="0005054E" w:rsidP="0005054E">
      <w:pPr>
        <w:pStyle w:val="textstyle0"/>
      </w:pPr>
      <w:r>
        <w:tab/>
      </w:r>
      <w:r w:rsidR="00FD759A">
        <w:t xml:space="preserve">The </w:t>
      </w:r>
      <w:r w:rsidR="00FF5711" w:rsidRPr="00030546">
        <w:t>Staff has reviewed Schedule B</w:t>
      </w:r>
      <w:r w:rsidR="00FD759A">
        <w:t xml:space="preserve"> of the Application</w:t>
      </w:r>
      <w:r w:rsidR="00FF5711" w:rsidRPr="00030546">
        <w:t>, which compares by com</w:t>
      </w:r>
      <w:r w:rsidR="00936E47">
        <w:softHyphen/>
      </w:r>
      <w:r w:rsidR="00FF5711" w:rsidRPr="00030546">
        <w:t>pany the existing rate mak</w:t>
      </w:r>
      <w:r w:rsidR="00596570">
        <w:softHyphen/>
      </w:r>
      <w:r w:rsidR="00FF5711" w:rsidRPr="00030546">
        <w:t>ing structure with the securitization structure</w:t>
      </w:r>
      <w:r w:rsidR="00FD759A">
        <w:t>,</w:t>
      </w:r>
      <w:r w:rsidR="00FF5711" w:rsidRPr="00030546">
        <w:t xml:space="preserve"> and believes the rate development methodology is reasonable as long as the financing structure results in a </w:t>
      </w:r>
      <w:r w:rsidR="00FF5711" w:rsidRPr="00030546">
        <w:lastRenderedPageBreak/>
        <w:t xml:space="preserve">reduction </w:t>
      </w:r>
      <w:r w:rsidR="00936E47" w:rsidRPr="00030546">
        <w:t>of amount</w:t>
      </w:r>
      <w:r w:rsidR="00FF5711" w:rsidRPr="00030546">
        <w:t xml:space="preserve"> payable by customers on both a nominal and a net present value basis as com</w:t>
      </w:r>
      <w:r w:rsidR="00596570">
        <w:softHyphen/>
      </w:r>
      <w:r w:rsidR="00FF5711" w:rsidRPr="00030546">
        <w:t xml:space="preserve">pared with existing recovery mechanisms.  </w:t>
      </w:r>
    </w:p>
    <w:p w:rsidR="00FF5711" w:rsidRPr="00030546" w:rsidRDefault="0005054E" w:rsidP="0005054E">
      <w:pPr>
        <w:pStyle w:val="textstyle0"/>
      </w:pPr>
      <w:r>
        <w:tab/>
      </w:r>
      <w:r w:rsidR="00FF5711" w:rsidRPr="00030546">
        <w:t>Due to the fact that the financing order must be reasonably expected to result in cost savings to customers and reasonably expected to mitigate rate impacts as compared with traditional financing or recovery methods,</w:t>
      </w:r>
      <w:r w:rsidR="00FD759A">
        <w:t xml:space="preserve"> the</w:t>
      </w:r>
      <w:r w:rsidR="00FF5711" w:rsidRPr="00030546">
        <w:t xml:space="preserve"> </w:t>
      </w:r>
      <w:r w:rsidR="00C66C11">
        <w:t>S</w:t>
      </w:r>
      <w:r w:rsidR="00FF5711" w:rsidRPr="00030546">
        <w:t xml:space="preserve">taff recommends the Companies seek Commission approval after pricing of the bonds occurs should the up-front financing cost and/or the ongoing financing cost exceed the </w:t>
      </w:r>
      <w:r w:rsidR="00596570" w:rsidRPr="00030546">
        <w:t>estimated cost</w:t>
      </w:r>
      <w:r w:rsidR="00FF5711" w:rsidRPr="00030546">
        <w:t xml:space="preserve"> as illustrated in Exhibit C</w:t>
      </w:r>
      <w:r w:rsidR="00FD759A">
        <w:t xml:space="preserve"> of the Application</w:t>
      </w:r>
      <w:r w:rsidR="00FF5711" w:rsidRPr="00030546">
        <w:t xml:space="preserve"> by 105%.  This recommendation is due to the fact the financing costs could substantially impact the savings to customers should the actual cost vary sig</w:t>
      </w:r>
      <w:r w:rsidR="00936E47">
        <w:softHyphen/>
      </w:r>
      <w:r w:rsidR="00FF5711" w:rsidRPr="00030546">
        <w:t>nificantly from the esti</w:t>
      </w:r>
      <w:r w:rsidR="00596570">
        <w:softHyphen/>
      </w:r>
      <w:r w:rsidR="00FF5711" w:rsidRPr="00030546">
        <w:t>mated cost.</w:t>
      </w:r>
    </w:p>
    <w:p w:rsidR="00FF5711" w:rsidRPr="00030546" w:rsidRDefault="00AA29B6" w:rsidP="00AA29B6">
      <w:pPr>
        <w:pStyle w:val="Heading2"/>
      </w:pPr>
      <w:bookmarkStart w:id="48" w:name="_Toc328131647"/>
      <w:bookmarkStart w:id="49" w:name="_Toc328397442"/>
      <w:r>
        <w:t>E.</w:t>
      </w:r>
      <w:r>
        <w:tab/>
      </w:r>
      <w:r w:rsidR="00FF5711" w:rsidRPr="00030546">
        <w:t>Rider PIR Reconciliation Mechanism</w:t>
      </w:r>
      <w:bookmarkEnd w:id="48"/>
      <w:bookmarkEnd w:id="49"/>
    </w:p>
    <w:p w:rsidR="00FF5711" w:rsidRPr="00030546" w:rsidRDefault="0005054E" w:rsidP="0005054E">
      <w:pPr>
        <w:pStyle w:val="textstyle0"/>
      </w:pPr>
      <w:r>
        <w:tab/>
      </w:r>
      <w:r w:rsidR="00FF5711" w:rsidRPr="00030546">
        <w:t xml:space="preserve">The </w:t>
      </w:r>
      <w:r w:rsidR="00FD759A">
        <w:t>Companies</w:t>
      </w:r>
      <w:r w:rsidR="00FF5711" w:rsidRPr="00030546">
        <w:t xml:space="preserve"> have proposed a formula-based mechanism for making expedi</w:t>
      </w:r>
      <w:r w:rsidR="00596570">
        <w:softHyphen/>
      </w:r>
      <w:r w:rsidR="00FF5711" w:rsidRPr="00030546">
        <w:t xml:space="preserve">tious periodic adjustments in the Phase-In- Recovery Charges that each </w:t>
      </w:r>
      <w:r w:rsidR="00FD759A">
        <w:t>Company’s</w:t>
      </w:r>
      <w:r w:rsidR="00FF5711" w:rsidRPr="00030546">
        <w:t xml:space="preserve"> cus</w:t>
      </w:r>
      <w:r w:rsidR="00596570">
        <w:softHyphen/>
      </w:r>
      <w:r w:rsidR="00FF5711" w:rsidRPr="00030546">
        <w:t xml:space="preserve">tomers would be required to pay under the Financing Order, as illustrated in Exhibit F. </w:t>
      </w:r>
    </w:p>
    <w:p w:rsidR="00FF5711" w:rsidRPr="00030546" w:rsidRDefault="00FF5711" w:rsidP="0005054E">
      <w:pPr>
        <w:pStyle w:val="textstyle0"/>
      </w:pPr>
      <w:r w:rsidRPr="00030546">
        <w:t xml:space="preserve">Specifically, the initial update to each </w:t>
      </w:r>
      <w:r w:rsidR="00FD759A">
        <w:t>Company’s</w:t>
      </w:r>
      <w:r w:rsidRPr="00030546">
        <w:t xml:space="preserve"> Rider PIR will be up to 12 months after the issuance date for the Phase-In- Recovery Bonds</w:t>
      </w:r>
      <w:r w:rsidR="009F044B" w:rsidRPr="00030546">
        <w:t xml:space="preserve">.  </w:t>
      </w:r>
      <w:r w:rsidRPr="00030546">
        <w:t xml:space="preserve">Thereafter, each </w:t>
      </w:r>
      <w:r w:rsidR="00FD759A">
        <w:t>Company’s</w:t>
      </w:r>
      <w:r w:rsidRPr="00030546">
        <w:t xml:space="preserve"> Rider PIR shall be updated semiannually with the exception of the last year may require monthly case updates for  each series of Phase-In-Recovery Bonds  outstanding</w:t>
      </w:r>
      <w:r w:rsidR="00936E47" w:rsidRPr="00030546">
        <w:t xml:space="preserve">.  </w:t>
      </w:r>
      <w:r w:rsidRPr="00030546">
        <w:t>Other</w:t>
      </w:r>
      <w:r w:rsidR="00596570">
        <w:softHyphen/>
      </w:r>
      <w:r w:rsidRPr="00030546">
        <w:t xml:space="preserve">wise, no later than November 1st and May 1st of each year, the </w:t>
      </w:r>
      <w:r w:rsidR="00FD759A">
        <w:t>Companies</w:t>
      </w:r>
      <w:r w:rsidRPr="00030546">
        <w:t xml:space="preserve"> will file with the Commission a request for approval of these adjusted Phase-In-Recovery Charges </w:t>
      </w:r>
      <w:r w:rsidRPr="00030546">
        <w:lastRenderedPageBreak/>
        <w:t>which, unless otherwise ordered by the Commission, shall become effective on a service rendered basis on the succeeding January 1st and July 1st, respectively.</w:t>
      </w:r>
    </w:p>
    <w:p w:rsidR="00FF5711" w:rsidRPr="00030546" w:rsidRDefault="0005054E" w:rsidP="0005054E">
      <w:pPr>
        <w:pStyle w:val="textstyle0"/>
      </w:pPr>
      <w:r>
        <w:tab/>
      </w:r>
      <w:r w:rsidR="00FF5711" w:rsidRPr="00030546">
        <w:t>The Companies have proposed that the review of such a request would be limited to determining whether there is any mathematical error in the application of the formula-based mechanism relating to the appropriate amount of any over</w:t>
      </w:r>
      <w:r w:rsidR="00A71396">
        <w:t>-</w:t>
      </w:r>
      <w:r w:rsidR="00FF5711" w:rsidRPr="00030546">
        <w:t>collection or under</w:t>
      </w:r>
      <w:r w:rsidR="00A71396">
        <w:t>-</w:t>
      </w:r>
      <w:r w:rsidR="00FF5711" w:rsidRPr="00030546">
        <w:t>col</w:t>
      </w:r>
      <w:r w:rsidR="00A71396">
        <w:softHyphen/>
      </w:r>
      <w:r w:rsidR="00FF5711" w:rsidRPr="00030546">
        <w:t>lection of Phase-In-Recovery Charges and the amount of an adjustment</w:t>
      </w:r>
      <w:r w:rsidR="00A71396" w:rsidRPr="00030546">
        <w:t xml:space="preserve">.  </w:t>
      </w:r>
      <w:r w:rsidR="00FF5711" w:rsidRPr="00030546">
        <w:t>These adjust</w:t>
      </w:r>
      <w:r w:rsidR="00596570">
        <w:softHyphen/>
      </w:r>
      <w:r w:rsidR="00FF5711" w:rsidRPr="00030546">
        <w:t>ments will also cover increases or decreases in trustee and servicing costs, rating agency surveillance fees, legal and accounting fees and other ongoing Financing Costs as well as adjustments for dealing with differences between estimated and actual costs. These adjustments will ensure the recovery of adequate revenues sufficient to provide for the payment of Phase-In Costs, principal, interest, and redemption premiums on the Phase-In-Recovery Bonds, any payments under an ancillary agreement, any amounts required to fund or replenish a reserve account or other account established under any indenture, ancillary agreement or other financing document relating to the Phase-In-Recovery Bonds, any costs of retiring or refunding any existing long-term debt of the Applicants with the proceeds from the Phase-In-Recovery Bonds, and any other Financing Costs and other fees, costs, and charges in respect of Phase-In-Recovery Bonds approved under the proposed Financing Order. The adjustments will also take into account revised projec</w:t>
      </w:r>
      <w:r w:rsidR="00596570">
        <w:softHyphen/>
      </w:r>
      <w:r w:rsidR="00FF5711" w:rsidRPr="00030546">
        <w:t xml:space="preserve">tions of electricity consumption and customer payment information (e.g., uncollectibles, lags between customer billing and collection). </w:t>
      </w:r>
    </w:p>
    <w:p w:rsidR="00FF5711" w:rsidRPr="00030546" w:rsidRDefault="0005054E" w:rsidP="0005054E">
      <w:pPr>
        <w:pStyle w:val="textstyle0"/>
      </w:pPr>
      <w:r>
        <w:lastRenderedPageBreak/>
        <w:tab/>
      </w:r>
      <w:r w:rsidR="00596570" w:rsidRPr="00030546">
        <w:t xml:space="preserve">Finally, the adjustment mechanism will provide for any changes or updates to the Proposed Tariff Sheets compared with the Final Initial Tariff Sheets necessary to reflect the terms of the Financing Order pursuant to </w:t>
      </w:r>
      <w:r w:rsidR="00596570">
        <w:t xml:space="preserve">R.C. </w:t>
      </w:r>
      <w:r w:rsidR="00596570" w:rsidRPr="00030546">
        <w:t>4928.232(H).</w:t>
      </w:r>
    </w:p>
    <w:p w:rsidR="00FF5711" w:rsidRPr="00030546" w:rsidRDefault="0005054E" w:rsidP="0005054E">
      <w:pPr>
        <w:pStyle w:val="textstyle0"/>
      </w:pPr>
      <w:r>
        <w:tab/>
      </w:r>
      <w:r w:rsidR="00FF5711" w:rsidRPr="00030546">
        <w:t xml:space="preserve">In regards to the semi-annual review, the </w:t>
      </w:r>
      <w:r w:rsidR="00FD759A">
        <w:t>S</w:t>
      </w:r>
      <w:r w:rsidR="00FF5711" w:rsidRPr="00030546">
        <w:t xml:space="preserve">taff believes that a semiannual review is appropriate given that the </w:t>
      </w:r>
      <w:r w:rsidR="00FD759A">
        <w:t xml:space="preserve">review </w:t>
      </w:r>
      <w:r w:rsidR="00FF5711" w:rsidRPr="00030546">
        <w:t xml:space="preserve">mirrors the existing rider mechanisms for Rider RER1, DGC and DFC </w:t>
      </w:r>
      <w:r w:rsidR="00FD759A">
        <w:t>which</w:t>
      </w:r>
      <w:r w:rsidR="00FF5711" w:rsidRPr="00030546">
        <w:t xml:space="preserve"> are updated and reconciled on a periodic basis, the most frequent (RER1) on a semi-annual basis.  Semi-annual adjustments would be consistent with semi-annual payments on the PIR bonds, reduce volatility in the rider and better reflect sea</w:t>
      </w:r>
      <w:r w:rsidR="00936E47">
        <w:softHyphen/>
      </w:r>
      <w:r w:rsidR="00FF5711" w:rsidRPr="00030546">
        <w:t xml:space="preserve">sonal or other impacts on sales.  Both semi-annual and annual adjustment mechanisms have been used by others in the past with annual being more common.  However, semi-annual would be viewed as useful in rating agency negotiations. </w:t>
      </w:r>
    </w:p>
    <w:p w:rsidR="00FF5711" w:rsidRDefault="0005054E" w:rsidP="0005054E">
      <w:pPr>
        <w:pStyle w:val="textstyle0"/>
      </w:pPr>
      <w:r>
        <w:tab/>
      </w:r>
      <w:r w:rsidR="00FF5711" w:rsidRPr="00030546">
        <w:t>In regard to the   workpapers / schedules that the Companies anticipate filing in support of their semi-annual filings, the Companies ha</w:t>
      </w:r>
      <w:r w:rsidR="00C66C11">
        <w:t>ve</w:t>
      </w:r>
      <w:r w:rsidR="00FF5711" w:rsidRPr="00030546">
        <w:t xml:space="preserve"> stated that the schedules are based on Exhibit F - Attachment 1 included in the Companies’ filing, along with some additional supporting workpapers showing the calculation of the billing lag.  The Com</w:t>
      </w:r>
      <w:r w:rsidR="00596570">
        <w:softHyphen/>
      </w:r>
      <w:r w:rsidR="00FF5711" w:rsidRPr="00030546">
        <w:t>panies also plan to include amortization/principal repayment schedules of the bonds by Company and tranche as well as support for the various categories of ongoing financing costs, when available. (See lines 1-34 on page 1 to Exhibit F – Attachment 1 in the Com</w:t>
      </w:r>
      <w:r w:rsidR="00596570">
        <w:softHyphen/>
      </w:r>
      <w:r w:rsidR="00FF5711" w:rsidRPr="00030546">
        <w:t xml:space="preserve">panies’ filing for an example of the items that the Companies plan to support in their semi-annual filings.)  </w:t>
      </w:r>
      <w:r w:rsidR="00FD759A">
        <w:t xml:space="preserve">The </w:t>
      </w:r>
      <w:r w:rsidR="00FF5711" w:rsidRPr="00030546">
        <w:t xml:space="preserve">Staff </w:t>
      </w:r>
      <w:r w:rsidR="00FD759A">
        <w:t>is of the opinion that</w:t>
      </w:r>
      <w:r w:rsidR="00FF5711" w:rsidRPr="00030546">
        <w:t xml:space="preserve"> this aspect of the proposal is appro</w:t>
      </w:r>
      <w:r w:rsidR="00936E47">
        <w:softHyphen/>
      </w:r>
      <w:r w:rsidR="00FF5711" w:rsidRPr="00030546">
        <w:t>priate and reasonable</w:t>
      </w:r>
      <w:r w:rsidR="00FF5711">
        <w:t>.</w:t>
      </w:r>
    </w:p>
    <w:p w:rsidR="00FF5711" w:rsidRPr="00333C1F" w:rsidRDefault="00322F45" w:rsidP="00536C13">
      <w:pPr>
        <w:pStyle w:val="Heading1"/>
      </w:pPr>
      <w:bookmarkStart w:id="50" w:name="_Toc328397443"/>
      <w:r>
        <w:lastRenderedPageBreak/>
        <w:t>RATES AND TARIFFS REVIEW</w:t>
      </w:r>
      <w:bookmarkEnd w:id="50"/>
    </w:p>
    <w:p w:rsidR="00FF5711" w:rsidRPr="00ED15A0" w:rsidRDefault="0005054E" w:rsidP="0005054E">
      <w:pPr>
        <w:pStyle w:val="textstyle0"/>
      </w:pPr>
      <w:r>
        <w:tab/>
      </w:r>
      <w:r w:rsidR="00FF5711" w:rsidRPr="00ED15A0">
        <w:t>The Companies propose to establish a new rider, Rider PIR (Phase-In Recovery Rider) to recover securitized costs associated with current riders RER1, DGC, and DFC.  Rider RER1 (Residential Electric Heating Recovery Rider) currently applies only to resi</w:t>
      </w:r>
      <w:r w:rsidR="00596570">
        <w:softHyphen/>
      </w:r>
      <w:r w:rsidR="00FF5711" w:rsidRPr="00ED15A0">
        <w:t>dential customers of Ohio Edison and CEI and is expected to be withdrawn approxi</w:t>
      </w:r>
      <w:r w:rsidR="00596570">
        <w:softHyphen/>
      </w:r>
      <w:r w:rsidR="00FF5711" w:rsidRPr="00ED15A0">
        <w:t>mately June 2014 when full recovery of the deferral balance is anticipated.  Rider DGC (Deferred Generation Costs) applies only to customers of CEI; full recovery of the deferred costs associated with this rider is expected about May 2021.  Rider DFC (Deferred Fuel Cost) applies to all customers; full recovery of the deferred costs associ</w:t>
      </w:r>
      <w:r w:rsidR="00596570">
        <w:softHyphen/>
      </w:r>
      <w:r w:rsidR="00FF5711" w:rsidRPr="00ED15A0">
        <w:t>ated with this rider is scheduled for December, 2035.  Once Rider PIR is approved and effective, Riders RER1, DGC, and DFC would be withdrawn.</w:t>
      </w:r>
    </w:p>
    <w:p w:rsidR="00FF5711" w:rsidRPr="00ED15A0" w:rsidRDefault="0005054E" w:rsidP="0005054E">
      <w:pPr>
        <w:pStyle w:val="textstyle0"/>
      </w:pPr>
      <w:r>
        <w:tab/>
      </w:r>
      <w:r w:rsidR="00FF5711" w:rsidRPr="00ED15A0">
        <w:t>The Companies propose to develop a revenue requirement for Rider PIR based on the on-going securitization costs of each Company’s unregulated subsidiary Special Pur</w:t>
      </w:r>
      <w:r w:rsidR="00596570">
        <w:softHyphen/>
      </w:r>
      <w:r w:rsidR="00FF5711" w:rsidRPr="00ED15A0">
        <w:t>pose Entity.  The revenue requirement is allocated to rate schedule, by company, based on each rate schedules’ expected sales levels and the current, commission-approved rates for each rate schedule.  The allocated revenue requirement is then divided by expected kWh sales to arrive at proposed PIR rates.  Once approved, these rates would appear in the tariff of the regulated utility.  These rates would be in effect until the next scheduled update.</w:t>
      </w:r>
    </w:p>
    <w:p w:rsidR="00FF5711" w:rsidRPr="00ED15A0" w:rsidRDefault="0005054E" w:rsidP="0005054E">
      <w:pPr>
        <w:pStyle w:val="textstyle0"/>
      </w:pPr>
      <w:r>
        <w:tab/>
      </w:r>
      <w:r w:rsidR="00FF5711" w:rsidRPr="00ED15A0">
        <w:t>The Staff believes the PIR rate development methodology, as illustrated in Ex</w:t>
      </w:r>
      <w:r w:rsidR="00FD759A">
        <w:t>hibit F, Attachment 1,</w:t>
      </w:r>
      <w:r w:rsidR="00FF5711" w:rsidRPr="00ED15A0">
        <w:t xml:space="preserve"> </w:t>
      </w:r>
      <w:r w:rsidR="00FD759A">
        <w:t>of</w:t>
      </w:r>
      <w:r w:rsidR="00FF5711" w:rsidRPr="00ED15A0">
        <w:t xml:space="preserve"> the Application is reasonable</w:t>
      </w:r>
      <w:r w:rsidR="00936E47" w:rsidRPr="00ED15A0">
        <w:t xml:space="preserve">.  </w:t>
      </w:r>
      <w:r w:rsidR="00FF5711" w:rsidRPr="00ED15A0">
        <w:t xml:space="preserve">It efficiently and fairly consolidates </w:t>
      </w:r>
      <w:r w:rsidR="00FF5711" w:rsidRPr="00ED15A0">
        <w:lastRenderedPageBreak/>
        <w:t>the three current riders into one rider, while capturing the savings attributable to the securitization process.</w:t>
      </w:r>
    </w:p>
    <w:p w:rsidR="00FF5711" w:rsidRPr="00ED15A0" w:rsidRDefault="0005054E" w:rsidP="0005054E">
      <w:pPr>
        <w:pStyle w:val="textstyle0"/>
      </w:pPr>
      <w:r>
        <w:tab/>
      </w:r>
      <w:r w:rsidR="00596570" w:rsidRPr="00ED15A0">
        <w:t>As regards third party billing agents</w:t>
      </w:r>
      <w:r w:rsidR="00C66C11">
        <w:t>,</w:t>
      </w:r>
      <w:r w:rsidR="00596570" w:rsidRPr="00ED15A0">
        <w:t xml:space="preserve"> the Companies state that current law requires the electric distribution utility to bill and collect the PIR Charges directly from customers</w:t>
      </w:r>
      <w:r w:rsidR="00A71396">
        <w:t>.</w:t>
      </w:r>
      <w:r w:rsidR="00A71396" w:rsidRPr="00ED15A0">
        <w:t xml:space="preserve">  </w:t>
      </w:r>
      <w:r w:rsidR="00731BF8">
        <w:t>I</w:t>
      </w:r>
      <w:r w:rsidR="00596570" w:rsidRPr="00ED15A0">
        <w:t>f</w:t>
      </w:r>
      <w:r w:rsidR="00C66C11">
        <w:t>,</w:t>
      </w:r>
      <w:r w:rsidR="00596570" w:rsidRPr="00ED15A0">
        <w:t xml:space="preserve"> and to the extent that</w:t>
      </w:r>
      <w:r w:rsidR="00C66C11">
        <w:t>,</w:t>
      </w:r>
      <w:r w:rsidR="00596570" w:rsidRPr="00ED15A0">
        <w:t xml:space="preserve"> the Commission subsequently allows any third parties to bill and/or collect any PIR Charges (separately, or as one bill</w:t>
      </w:r>
      <w:r w:rsidR="00596570">
        <w:softHyphen/>
      </w:r>
      <w:r w:rsidR="00596570" w:rsidRPr="00ED15A0">
        <w:t xml:space="preserve">ing component that may be levied upon the customer), the </w:t>
      </w:r>
      <w:r w:rsidR="00FF5711" w:rsidRPr="00ED15A0">
        <w:t>Companies request the Commission to take certain steps, as described in the Section IV paragraph 21(h), pp. 24-25 of their Application.</w:t>
      </w:r>
    </w:p>
    <w:p w:rsidR="00FF5711" w:rsidRPr="00ED15A0" w:rsidRDefault="0005054E" w:rsidP="0005054E">
      <w:pPr>
        <w:pStyle w:val="textstyle0"/>
      </w:pPr>
      <w:r>
        <w:rPr>
          <w:rFonts w:cs="TimesNewRoman"/>
        </w:rPr>
        <w:tab/>
      </w:r>
      <w:r w:rsidR="00C66C11">
        <w:rPr>
          <w:rFonts w:cs="TimesNewRoman"/>
        </w:rPr>
        <w:t>C</w:t>
      </w:r>
      <w:r w:rsidR="00FF5711" w:rsidRPr="00ED15A0">
        <w:t xml:space="preserve">urrent law requires the </w:t>
      </w:r>
      <w:r w:rsidR="00FF5711" w:rsidRPr="00ED15A0">
        <w:rPr>
          <w:rFonts w:cs="TimesNewRoman"/>
        </w:rPr>
        <w:t>PIR</w:t>
      </w:r>
      <w:r w:rsidR="00FF5711" w:rsidRPr="00ED15A0">
        <w:t xml:space="preserve"> Charges be col</w:t>
      </w:r>
      <w:r w:rsidR="00596570">
        <w:softHyphen/>
      </w:r>
      <w:r w:rsidR="00FF5711" w:rsidRPr="00ED15A0">
        <w:t>lected by the electric distribution util</w:t>
      </w:r>
      <w:r w:rsidR="00A71396">
        <w:softHyphen/>
      </w:r>
      <w:r w:rsidR="00FF5711" w:rsidRPr="00ED15A0">
        <w:t xml:space="preserve">ity, Section 4928.239, Revised Code.  As mentioned above, the Application requests that the Commission establish certain parameters that would apply should this requirement change.  At a minimum this request is premature.  It is not a useful exercise to attempt to anticipate in what form a hypothetical statutory change might take.  </w:t>
      </w:r>
      <w:r w:rsidR="00C66C11">
        <w:t>S</w:t>
      </w:r>
      <w:r w:rsidR="00FF5711" w:rsidRPr="00ED15A0">
        <w:t xml:space="preserve">hould the Ohio General Assembly decide to reverse itself and permit others to collect the </w:t>
      </w:r>
      <w:r w:rsidR="00FF5711" w:rsidRPr="00ED15A0">
        <w:rPr>
          <w:rFonts w:cs="TimesNewRoman"/>
        </w:rPr>
        <w:t>PIR</w:t>
      </w:r>
      <w:r w:rsidR="00FF5711" w:rsidRPr="00ED15A0">
        <w:t xml:space="preserve"> Charges, the General Assembly will provide its own parameters for the activity.  As the proposal can have no effect under the current state of the law</w:t>
      </w:r>
      <w:r w:rsidR="00C66C11">
        <w:t xml:space="preserve"> and</w:t>
      </w:r>
      <w:r w:rsidR="00FF5711" w:rsidRPr="00ED15A0">
        <w:t xml:space="preserve"> it cannot now be determined if the proposal would conflict with a hypothetical change in the law, this aspect of the Companies’ proposal should be rejected.</w:t>
      </w:r>
      <w:r w:rsidR="00FF5711">
        <w:t xml:space="preserve">  </w:t>
      </w:r>
      <w:r w:rsidR="00C66C11">
        <w:t>To the extent that, at some point in the future, a third party billing obligation is imposed on the Applicants, the Commission should take such steps as are necessary to retain the ratings for the securities issued.</w:t>
      </w:r>
    </w:p>
    <w:p w:rsidR="00FF5711" w:rsidRPr="00CF15EE" w:rsidRDefault="00AA29B6" w:rsidP="00536C13">
      <w:pPr>
        <w:pStyle w:val="Heading1"/>
      </w:pPr>
      <w:bookmarkStart w:id="51" w:name="_Toc328397444"/>
      <w:r>
        <w:lastRenderedPageBreak/>
        <w:t>SUMMARY OF STAFF COMMENTS AND RECOMMENDATIONS</w:t>
      </w:r>
      <w:bookmarkEnd w:id="51"/>
    </w:p>
    <w:p w:rsidR="00FF5711" w:rsidRDefault="0005054E" w:rsidP="0005054E">
      <w:pPr>
        <w:pStyle w:val="textstyle0"/>
      </w:pPr>
      <w:r>
        <w:tab/>
      </w:r>
      <w:r w:rsidR="00FF5711">
        <w:t>The Companies have demonstrated that the proposed securitization will benefit customers by providing cost savings and rate mitigation.  T</w:t>
      </w:r>
      <w:r w:rsidR="00FF5711" w:rsidRPr="00E369FC">
        <w:t xml:space="preserve">he Staff recommends </w:t>
      </w:r>
      <w:r w:rsidR="00FF5711">
        <w:t xml:space="preserve">that </w:t>
      </w:r>
      <w:r w:rsidR="00FF5711" w:rsidRPr="00E369FC">
        <w:t>the Commission should approve the Companies' proposed securitization</w:t>
      </w:r>
      <w:r w:rsidR="00FF5711">
        <w:t>,</w:t>
      </w:r>
      <w:r w:rsidR="00FF5711" w:rsidRPr="00E369FC">
        <w:t xml:space="preserve"> </w:t>
      </w:r>
      <w:r w:rsidR="00FF5711">
        <w:t xml:space="preserve">incorporating the Staff recommendations listed herein, </w:t>
      </w:r>
      <w:r w:rsidR="00FF5711" w:rsidRPr="00E369FC">
        <w:t xml:space="preserve">and issue a Financing Order for </w:t>
      </w:r>
      <w:r w:rsidR="00FF5711">
        <w:t>the following:</w:t>
      </w:r>
    </w:p>
    <w:p w:rsidR="00FF5711" w:rsidRPr="0005054E" w:rsidRDefault="00FF5711" w:rsidP="0005054E">
      <w:pPr>
        <w:pStyle w:val="ListParagraph"/>
        <w:numPr>
          <w:ilvl w:val="0"/>
          <w:numId w:val="32"/>
        </w:numPr>
        <w:autoSpaceDE w:val="0"/>
        <w:autoSpaceDN w:val="0"/>
        <w:adjustRightInd w:val="0"/>
        <w:spacing w:after="240" w:line="240" w:lineRule="auto"/>
        <w:ind w:left="1440" w:hanging="720"/>
        <w:contextualSpacing w:val="0"/>
        <w:rPr>
          <w:rFonts w:ascii="Times New Roman" w:hAnsi="Times New Roman"/>
          <w:sz w:val="26"/>
          <w:szCs w:val="26"/>
        </w:rPr>
      </w:pPr>
      <w:r w:rsidRPr="0005054E">
        <w:rPr>
          <w:rFonts w:ascii="Times New Roman" w:hAnsi="Times New Roman"/>
          <w:sz w:val="26"/>
          <w:szCs w:val="26"/>
        </w:rPr>
        <w:t xml:space="preserve">Consummation of the transactions contemplated by the issuance of PIR Bonds, the securitization transaction providing for the recovery of PIR Costs and Financing Costs, through the issuance of up to an aggregate amount of $555 million of PIR Bonds payable from collections from PIR Charges; </w:t>
      </w:r>
    </w:p>
    <w:p w:rsidR="00FF5711" w:rsidRPr="0005054E" w:rsidRDefault="00FF5711" w:rsidP="0005054E">
      <w:pPr>
        <w:pStyle w:val="ListParagraph"/>
        <w:numPr>
          <w:ilvl w:val="0"/>
          <w:numId w:val="32"/>
        </w:numPr>
        <w:autoSpaceDE w:val="0"/>
        <w:autoSpaceDN w:val="0"/>
        <w:adjustRightInd w:val="0"/>
        <w:spacing w:after="240" w:line="240" w:lineRule="auto"/>
        <w:ind w:left="1440" w:hanging="720"/>
        <w:contextualSpacing w:val="0"/>
        <w:rPr>
          <w:rFonts w:ascii="Times New Roman" w:hAnsi="Times New Roman"/>
          <w:sz w:val="26"/>
          <w:szCs w:val="26"/>
        </w:rPr>
      </w:pPr>
      <w:r w:rsidRPr="0005054E">
        <w:rPr>
          <w:rFonts w:ascii="Times New Roman" w:hAnsi="Times New Roman"/>
          <w:sz w:val="26"/>
          <w:szCs w:val="26"/>
        </w:rPr>
        <w:t xml:space="preserve">Enter into and execute, deliver and perform all documentation necessary to consummate the securitization transaction; </w:t>
      </w:r>
    </w:p>
    <w:p w:rsidR="00FF5711" w:rsidRPr="0005054E" w:rsidRDefault="00FF5711" w:rsidP="0005054E">
      <w:pPr>
        <w:pStyle w:val="ListParagraph"/>
        <w:numPr>
          <w:ilvl w:val="0"/>
          <w:numId w:val="32"/>
        </w:numPr>
        <w:autoSpaceDE w:val="0"/>
        <w:autoSpaceDN w:val="0"/>
        <w:adjustRightInd w:val="0"/>
        <w:spacing w:after="240" w:line="240" w:lineRule="auto"/>
        <w:ind w:left="1440" w:hanging="720"/>
        <w:contextualSpacing w:val="0"/>
        <w:rPr>
          <w:rFonts w:ascii="Times New Roman" w:hAnsi="Times New Roman"/>
          <w:sz w:val="26"/>
          <w:szCs w:val="26"/>
        </w:rPr>
      </w:pPr>
      <w:r w:rsidRPr="0005054E">
        <w:rPr>
          <w:rFonts w:ascii="Times New Roman" w:hAnsi="Times New Roman"/>
          <w:sz w:val="26"/>
          <w:szCs w:val="26"/>
        </w:rPr>
        <w:t xml:space="preserve">The recovery of certain deferred of PIR Charges;  </w:t>
      </w:r>
    </w:p>
    <w:p w:rsidR="00FF5711" w:rsidRPr="0005054E" w:rsidRDefault="00FF5711" w:rsidP="0005054E">
      <w:pPr>
        <w:pStyle w:val="ListParagraph"/>
        <w:numPr>
          <w:ilvl w:val="0"/>
          <w:numId w:val="32"/>
        </w:numPr>
        <w:autoSpaceDE w:val="0"/>
        <w:autoSpaceDN w:val="0"/>
        <w:adjustRightInd w:val="0"/>
        <w:spacing w:after="240" w:line="240" w:lineRule="auto"/>
        <w:ind w:left="1440" w:hanging="720"/>
        <w:contextualSpacing w:val="0"/>
        <w:rPr>
          <w:rFonts w:ascii="Times New Roman" w:hAnsi="Times New Roman"/>
          <w:sz w:val="26"/>
          <w:szCs w:val="26"/>
        </w:rPr>
      </w:pPr>
      <w:r w:rsidRPr="0005054E">
        <w:rPr>
          <w:rFonts w:ascii="Times New Roman" w:hAnsi="Times New Roman"/>
          <w:sz w:val="26"/>
          <w:szCs w:val="26"/>
        </w:rPr>
        <w:t xml:space="preserve">The creation of the PIR Property (such creation to be simultaneous with the sale of such PIR Property to each SPE); </w:t>
      </w:r>
    </w:p>
    <w:p w:rsidR="00FF5711" w:rsidRPr="0005054E" w:rsidRDefault="00FF5711" w:rsidP="0005054E">
      <w:pPr>
        <w:pStyle w:val="ListParagraph"/>
        <w:numPr>
          <w:ilvl w:val="0"/>
          <w:numId w:val="32"/>
        </w:numPr>
        <w:autoSpaceDE w:val="0"/>
        <w:autoSpaceDN w:val="0"/>
        <w:adjustRightInd w:val="0"/>
        <w:spacing w:after="240" w:line="240" w:lineRule="auto"/>
        <w:ind w:left="1440" w:hanging="720"/>
        <w:contextualSpacing w:val="0"/>
        <w:rPr>
          <w:rFonts w:ascii="Times New Roman" w:hAnsi="Times New Roman"/>
          <w:sz w:val="26"/>
          <w:szCs w:val="26"/>
        </w:rPr>
      </w:pPr>
      <w:r w:rsidRPr="0005054E">
        <w:rPr>
          <w:rFonts w:ascii="Times New Roman" w:hAnsi="Times New Roman"/>
          <w:sz w:val="26"/>
          <w:szCs w:val="26"/>
        </w:rPr>
        <w:t xml:space="preserve">The establishment and adjustment from time to time of PIR Charges from which PIR Bonds and ongoing Financing Costs will be paid and the adjustment mechanism to be used; </w:t>
      </w:r>
    </w:p>
    <w:p w:rsidR="00FF5711" w:rsidRPr="0005054E" w:rsidRDefault="00FF5711" w:rsidP="0005054E">
      <w:pPr>
        <w:pStyle w:val="ListParagraph"/>
        <w:numPr>
          <w:ilvl w:val="0"/>
          <w:numId w:val="32"/>
        </w:numPr>
        <w:autoSpaceDE w:val="0"/>
        <w:autoSpaceDN w:val="0"/>
        <w:adjustRightInd w:val="0"/>
        <w:spacing w:after="240" w:line="240" w:lineRule="auto"/>
        <w:ind w:left="1440" w:hanging="720"/>
        <w:contextualSpacing w:val="0"/>
        <w:rPr>
          <w:rFonts w:ascii="Times New Roman" w:hAnsi="Times New Roman"/>
          <w:sz w:val="26"/>
          <w:szCs w:val="26"/>
        </w:rPr>
      </w:pPr>
      <w:r w:rsidRPr="0005054E">
        <w:rPr>
          <w:rFonts w:ascii="Times New Roman" w:hAnsi="Times New Roman"/>
          <w:sz w:val="26"/>
          <w:szCs w:val="26"/>
        </w:rPr>
        <w:t>The allocation of Phase-In-Recovery Charges among customer classes;</w:t>
      </w:r>
    </w:p>
    <w:p w:rsidR="00FF5711" w:rsidRPr="0005054E" w:rsidRDefault="00FF5711" w:rsidP="0005054E">
      <w:pPr>
        <w:pStyle w:val="ListParagraph"/>
        <w:numPr>
          <w:ilvl w:val="0"/>
          <w:numId w:val="32"/>
        </w:numPr>
        <w:autoSpaceDE w:val="0"/>
        <w:autoSpaceDN w:val="0"/>
        <w:adjustRightInd w:val="0"/>
        <w:spacing w:after="240" w:line="240" w:lineRule="auto"/>
        <w:ind w:left="1440" w:hanging="720"/>
        <w:contextualSpacing w:val="0"/>
        <w:rPr>
          <w:rFonts w:ascii="Times New Roman" w:hAnsi="Times New Roman"/>
          <w:sz w:val="26"/>
          <w:szCs w:val="26"/>
        </w:rPr>
      </w:pPr>
      <w:r w:rsidRPr="0005054E">
        <w:rPr>
          <w:rFonts w:ascii="Times New Roman" w:hAnsi="Times New Roman"/>
          <w:sz w:val="26"/>
          <w:szCs w:val="26"/>
        </w:rPr>
        <w:t>The maximum term of the Phase-In-Recovery Bonds;</w:t>
      </w:r>
    </w:p>
    <w:p w:rsidR="00FF5711" w:rsidRPr="0005054E" w:rsidRDefault="00FF5711" w:rsidP="0005054E">
      <w:pPr>
        <w:pStyle w:val="ListParagraph"/>
        <w:numPr>
          <w:ilvl w:val="0"/>
          <w:numId w:val="32"/>
        </w:numPr>
        <w:autoSpaceDE w:val="0"/>
        <w:autoSpaceDN w:val="0"/>
        <w:adjustRightInd w:val="0"/>
        <w:spacing w:after="240" w:line="240" w:lineRule="auto"/>
        <w:ind w:left="1440" w:hanging="720"/>
        <w:contextualSpacing w:val="0"/>
        <w:rPr>
          <w:rFonts w:ascii="Times New Roman" w:hAnsi="Times New Roman"/>
          <w:sz w:val="26"/>
          <w:szCs w:val="26"/>
        </w:rPr>
      </w:pPr>
      <w:r w:rsidRPr="0005054E">
        <w:rPr>
          <w:rFonts w:ascii="Times New Roman" w:hAnsi="Times New Roman"/>
          <w:sz w:val="26"/>
          <w:szCs w:val="26"/>
        </w:rPr>
        <w:t>The organization and capitalization of each SPE to which Phase-In-Recov</w:t>
      </w:r>
      <w:r w:rsidR="00596570">
        <w:rPr>
          <w:rFonts w:ascii="Times New Roman" w:hAnsi="Times New Roman"/>
          <w:sz w:val="26"/>
          <w:szCs w:val="26"/>
        </w:rPr>
        <w:softHyphen/>
      </w:r>
      <w:r w:rsidRPr="0005054E">
        <w:rPr>
          <w:rFonts w:ascii="Times New Roman" w:hAnsi="Times New Roman"/>
          <w:sz w:val="26"/>
          <w:szCs w:val="26"/>
        </w:rPr>
        <w:t>ery Property will be sold;</w:t>
      </w:r>
    </w:p>
    <w:p w:rsidR="00FF5711" w:rsidRPr="0005054E" w:rsidRDefault="00FF5711" w:rsidP="0005054E">
      <w:pPr>
        <w:pStyle w:val="ListParagraph"/>
        <w:numPr>
          <w:ilvl w:val="0"/>
          <w:numId w:val="32"/>
        </w:numPr>
        <w:autoSpaceDE w:val="0"/>
        <w:autoSpaceDN w:val="0"/>
        <w:adjustRightInd w:val="0"/>
        <w:spacing w:after="240" w:line="240" w:lineRule="auto"/>
        <w:ind w:left="1440" w:hanging="720"/>
        <w:contextualSpacing w:val="0"/>
        <w:rPr>
          <w:rFonts w:ascii="Times New Roman" w:hAnsi="Times New Roman"/>
          <w:sz w:val="26"/>
          <w:szCs w:val="26"/>
        </w:rPr>
      </w:pPr>
      <w:r w:rsidRPr="0005054E">
        <w:rPr>
          <w:rFonts w:ascii="Times New Roman" w:hAnsi="Times New Roman"/>
          <w:sz w:val="26"/>
          <w:szCs w:val="26"/>
        </w:rPr>
        <w:t>the servicing of Phase-In-Recovery Charges by Companies as initial ser</w:t>
      </w:r>
      <w:r w:rsidR="00596570">
        <w:rPr>
          <w:rFonts w:ascii="Times New Roman" w:hAnsi="Times New Roman"/>
          <w:sz w:val="26"/>
          <w:szCs w:val="26"/>
        </w:rPr>
        <w:softHyphen/>
      </w:r>
      <w:r w:rsidRPr="0005054E">
        <w:rPr>
          <w:rFonts w:ascii="Times New Roman" w:hAnsi="Times New Roman"/>
          <w:sz w:val="26"/>
          <w:szCs w:val="26"/>
        </w:rPr>
        <w:t>vicers or any successor servicer under the servicing agreements;</w:t>
      </w:r>
    </w:p>
    <w:p w:rsidR="00FF5711" w:rsidRPr="0005054E" w:rsidRDefault="00FF5711" w:rsidP="0005054E">
      <w:pPr>
        <w:pStyle w:val="ListParagraph"/>
        <w:numPr>
          <w:ilvl w:val="0"/>
          <w:numId w:val="32"/>
        </w:numPr>
        <w:autoSpaceDE w:val="0"/>
        <w:autoSpaceDN w:val="0"/>
        <w:adjustRightInd w:val="0"/>
        <w:spacing w:after="240" w:line="240" w:lineRule="auto"/>
        <w:ind w:left="1440" w:hanging="720"/>
        <w:contextualSpacing w:val="0"/>
        <w:rPr>
          <w:rFonts w:ascii="Times New Roman" w:hAnsi="Times New Roman"/>
          <w:sz w:val="26"/>
          <w:szCs w:val="26"/>
        </w:rPr>
      </w:pPr>
      <w:r w:rsidRPr="0005054E">
        <w:rPr>
          <w:rFonts w:ascii="Times New Roman" w:hAnsi="Times New Roman"/>
          <w:sz w:val="26"/>
          <w:szCs w:val="26"/>
        </w:rPr>
        <w:t>Implementation of the trust structure contemplated in the Joint Application;</w:t>
      </w:r>
    </w:p>
    <w:p w:rsidR="00FF5711" w:rsidRPr="0005054E" w:rsidRDefault="00FF5711" w:rsidP="0005054E">
      <w:pPr>
        <w:pStyle w:val="ListParagraph"/>
        <w:numPr>
          <w:ilvl w:val="0"/>
          <w:numId w:val="32"/>
        </w:numPr>
        <w:autoSpaceDE w:val="0"/>
        <w:autoSpaceDN w:val="0"/>
        <w:adjustRightInd w:val="0"/>
        <w:spacing w:after="240" w:line="240" w:lineRule="auto"/>
        <w:ind w:left="1440" w:hanging="720"/>
        <w:contextualSpacing w:val="0"/>
        <w:rPr>
          <w:rFonts w:ascii="Times New Roman" w:hAnsi="Times New Roman"/>
          <w:sz w:val="26"/>
          <w:szCs w:val="26"/>
        </w:rPr>
      </w:pPr>
      <w:r w:rsidRPr="0005054E">
        <w:rPr>
          <w:rFonts w:ascii="Times New Roman" w:hAnsi="Times New Roman"/>
          <w:sz w:val="26"/>
          <w:szCs w:val="26"/>
        </w:rPr>
        <w:t>Flexibility in establishing the terms and conditions for the Phase-In-Recov</w:t>
      </w:r>
      <w:r w:rsidR="00596570">
        <w:rPr>
          <w:rFonts w:ascii="Times New Roman" w:hAnsi="Times New Roman"/>
          <w:sz w:val="26"/>
          <w:szCs w:val="26"/>
        </w:rPr>
        <w:softHyphen/>
      </w:r>
      <w:r w:rsidRPr="0005054E">
        <w:rPr>
          <w:rFonts w:ascii="Times New Roman" w:hAnsi="Times New Roman"/>
          <w:sz w:val="26"/>
          <w:szCs w:val="26"/>
        </w:rPr>
        <w:t xml:space="preserve">ery Bonds to accommodate changes in market conditions; </w:t>
      </w:r>
    </w:p>
    <w:p w:rsidR="00FF5711" w:rsidRPr="0005054E" w:rsidRDefault="00FF5711" w:rsidP="0005054E">
      <w:pPr>
        <w:pStyle w:val="ListParagraph"/>
        <w:numPr>
          <w:ilvl w:val="0"/>
          <w:numId w:val="32"/>
        </w:numPr>
        <w:autoSpaceDE w:val="0"/>
        <w:autoSpaceDN w:val="0"/>
        <w:adjustRightInd w:val="0"/>
        <w:spacing w:after="240" w:line="240" w:lineRule="auto"/>
        <w:ind w:left="1440" w:hanging="720"/>
        <w:contextualSpacing w:val="0"/>
        <w:rPr>
          <w:rFonts w:ascii="Times New Roman" w:hAnsi="Times New Roman"/>
          <w:sz w:val="26"/>
          <w:szCs w:val="26"/>
        </w:rPr>
      </w:pPr>
      <w:r w:rsidRPr="0005054E">
        <w:rPr>
          <w:rFonts w:ascii="Times New Roman" w:hAnsi="Times New Roman"/>
          <w:sz w:val="26"/>
          <w:szCs w:val="26"/>
        </w:rPr>
        <w:lastRenderedPageBreak/>
        <w:t>The ability to issue PIR Bonds in one or more series and to effect correlated assignments, sales, pledges, or other transfers of Phase-in-Recovery Prop</w:t>
      </w:r>
      <w:r w:rsidR="00596570">
        <w:rPr>
          <w:rFonts w:ascii="Times New Roman" w:hAnsi="Times New Roman"/>
          <w:sz w:val="26"/>
          <w:szCs w:val="26"/>
        </w:rPr>
        <w:softHyphen/>
      </w:r>
      <w:r w:rsidRPr="0005054E">
        <w:rPr>
          <w:rFonts w:ascii="Times New Roman" w:hAnsi="Times New Roman"/>
          <w:sz w:val="26"/>
          <w:szCs w:val="26"/>
        </w:rPr>
        <w:t xml:space="preserve">erty; </w:t>
      </w:r>
    </w:p>
    <w:p w:rsidR="00FF5711" w:rsidRPr="0005054E" w:rsidRDefault="00FF5711" w:rsidP="0005054E">
      <w:pPr>
        <w:pStyle w:val="ListParagraph"/>
        <w:numPr>
          <w:ilvl w:val="0"/>
          <w:numId w:val="32"/>
        </w:numPr>
        <w:autoSpaceDE w:val="0"/>
        <w:autoSpaceDN w:val="0"/>
        <w:adjustRightInd w:val="0"/>
        <w:spacing w:after="240" w:line="240" w:lineRule="auto"/>
        <w:ind w:left="1440" w:hanging="720"/>
        <w:contextualSpacing w:val="0"/>
        <w:rPr>
          <w:rFonts w:ascii="Times New Roman" w:hAnsi="Times New Roman"/>
          <w:sz w:val="26"/>
          <w:szCs w:val="26"/>
        </w:rPr>
      </w:pPr>
      <w:r w:rsidRPr="0005054E">
        <w:rPr>
          <w:rFonts w:ascii="Times New Roman" w:hAnsi="Times New Roman"/>
          <w:sz w:val="26"/>
          <w:szCs w:val="26"/>
        </w:rPr>
        <w:t>Approval of the Final Initial Tariff Sheets and associated adjustment mecha</w:t>
      </w:r>
      <w:r w:rsidR="00596570">
        <w:rPr>
          <w:rFonts w:ascii="Times New Roman" w:hAnsi="Times New Roman"/>
          <w:sz w:val="26"/>
          <w:szCs w:val="26"/>
        </w:rPr>
        <w:softHyphen/>
      </w:r>
      <w:r w:rsidRPr="0005054E">
        <w:rPr>
          <w:rFonts w:ascii="Times New Roman" w:hAnsi="Times New Roman"/>
          <w:sz w:val="26"/>
          <w:szCs w:val="26"/>
        </w:rPr>
        <w:t xml:space="preserve">nism; </w:t>
      </w:r>
    </w:p>
    <w:p w:rsidR="00FF5711" w:rsidRPr="0005054E" w:rsidRDefault="00FF5711" w:rsidP="0005054E">
      <w:pPr>
        <w:pStyle w:val="ListParagraph"/>
        <w:numPr>
          <w:ilvl w:val="0"/>
          <w:numId w:val="32"/>
        </w:numPr>
        <w:autoSpaceDE w:val="0"/>
        <w:autoSpaceDN w:val="0"/>
        <w:adjustRightInd w:val="0"/>
        <w:spacing w:after="240" w:line="240" w:lineRule="auto"/>
        <w:ind w:left="1440" w:hanging="720"/>
        <w:contextualSpacing w:val="0"/>
        <w:rPr>
          <w:rFonts w:ascii="Times New Roman" w:hAnsi="Times New Roman"/>
          <w:sz w:val="26"/>
          <w:szCs w:val="26"/>
        </w:rPr>
      </w:pPr>
      <w:r w:rsidRPr="0005054E">
        <w:rPr>
          <w:rFonts w:ascii="Times New Roman" w:hAnsi="Times New Roman"/>
          <w:sz w:val="26"/>
          <w:szCs w:val="26"/>
        </w:rPr>
        <w:t>Approval of the change reflected in the proposed Bill Format; and,</w:t>
      </w:r>
    </w:p>
    <w:p w:rsidR="00FF5711" w:rsidRDefault="00FF5711" w:rsidP="0005054E">
      <w:pPr>
        <w:pStyle w:val="ListParagraph"/>
        <w:numPr>
          <w:ilvl w:val="0"/>
          <w:numId w:val="32"/>
        </w:numPr>
        <w:autoSpaceDE w:val="0"/>
        <w:autoSpaceDN w:val="0"/>
        <w:adjustRightInd w:val="0"/>
        <w:spacing w:after="240" w:line="240" w:lineRule="auto"/>
        <w:ind w:left="1440" w:hanging="720"/>
        <w:contextualSpacing w:val="0"/>
        <w:rPr>
          <w:rFonts w:ascii="Times New Roman" w:hAnsi="Times New Roman"/>
          <w:sz w:val="26"/>
          <w:szCs w:val="26"/>
        </w:rPr>
      </w:pPr>
      <w:r w:rsidRPr="0005054E">
        <w:rPr>
          <w:rFonts w:ascii="Times New Roman" w:hAnsi="Times New Roman"/>
          <w:sz w:val="26"/>
          <w:szCs w:val="26"/>
        </w:rPr>
        <w:t>Find that the proposed securitization, consistent with market conditions, measurably enhances cost savings to customers and mitigates rate impacts to customers as compared to the existing cost recovery methods of each of the Companies;</w:t>
      </w:r>
      <w:r w:rsidR="00731BF8">
        <w:rPr>
          <w:rFonts w:ascii="Times New Roman" w:hAnsi="Times New Roman"/>
          <w:sz w:val="26"/>
          <w:szCs w:val="26"/>
        </w:rPr>
        <w:t xml:space="preserve"> and</w:t>
      </w:r>
    </w:p>
    <w:p w:rsidR="00731BF8" w:rsidRDefault="00731BF8" w:rsidP="0005054E">
      <w:pPr>
        <w:pStyle w:val="ListParagraph"/>
        <w:numPr>
          <w:ilvl w:val="0"/>
          <w:numId w:val="32"/>
        </w:numPr>
        <w:autoSpaceDE w:val="0"/>
        <w:autoSpaceDN w:val="0"/>
        <w:adjustRightInd w:val="0"/>
        <w:spacing w:after="240" w:line="240" w:lineRule="auto"/>
        <w:ind w:left="1440" w:hanging="720"/>
        <w:contextualSpacing w:val="0"/>
        <w:rPr>
          <w:rFonts w:ascii="Times New Roman" w:hAnsi="Times New Roman"/>
          <w:sz w:val="26"/>
          <w:szCs w:val="26"/>
        </w:rPr>
      </w:pPr>
      <w:r>
        <w:rPr>
          <w:rFonts w:ascii="Times New Roman" w:hAnsi="Times New Roman"/>
          <w:sz w:val="26"/>
          <w:szCs w:val="26"/>
        </w:rPr>
        <w:t>After pricing of the PIR bonds occurs, the Companies should seek Commis</w:t>
      </w:r>
      <w:r w:rsidR="00A71396">
        <w:rPr>
          <w:rFonts w:ascii="Times New Roman" w:hAnsi="Times New Roman"/>
          <w:sz w:val="26"/>
          <w:szCs w:val="26"/>
        </w:rPr>
        <w:softHyphen/>
      </w:r>
      <w:r>
        <w:rPr>
          <w:rFonts w:ascii="Times New Roman" w:hAnsi="Times New Roman"/>
          <w:sz w:val="26"/>
          <w:szCs w:val="26"/>
        </w:rPr>
        <w:t xml:space="preserve">sion approval </w:t>
      </w:r>
      <w:r w:rsidR="00FD759A">
        <w:rPr>
          <w:rFonts w:ascii="Times New Roman" w:hAnsi="Times New Roman"/>
          <w:sz w:val="26"/>
          <w:szCs w:val="26"/>
        </w:rPr>
        <w:t>if</w:t>
      </w:r>
      <w:r>
        <w:rPr>
          <w:rFonts w:ascii="Times New Roman" w:hAnsi="Times New Roman"/>
          <w:sz w:val="26"/>
          <w:szCs w:val="26"/>
        </w:rPr>
        <w:t xml:space="preserve"> the upfront financing costs and/or the on-going financing costs exceed the estimated costs by 105%, as illustrated in Exhibit C of the Application.</w:t>
      </w:r>
    </w:p>
    <w:p w:rsidR="001A5C2F" w:rsidRDefault="001A5C2F" w:rsidP="00536C13">
      <w:pPr>
        <w:pStyle w:val="Heading1"/>
      </w:pPr>
      <w:bookmarkStart w:id="52" w:name="_Toc328131650"/>
      <w:bookmarkStart w:id="53" w:name="_Toc328397445"/>
      <w:bookmarkStart w:id="54" w:name="_GoBack"/>
      <w:bookmarkEnd w:id="54"/>
      <w:r>
        <w:t>CONCLUSION</w:t>
      </w:r>
      <w:bookmarkEnd w:id="52"/>
      <w:bookmarkEnd w:id="53"/>
    </w:p>
    <w:p w:rsidR="00E10679" w:rsidRDefault="001A5C2F" w:rsidP="006A3730">
      <w:pPr>
        <w:pStyle w:val="textstyle0"/>
      </w:pPr>
      <w:r>
        <w:tab/>
      </w:r>
      <w:r w:rsidR="00731BF8">
        <w:t>The Staff respectfully requests that the Commission make the above-referred adjust</w:t>
      </w:r>
      <w:r w:rsidR="00A71396">
        <w:softHyphen/>
      </w:r>
      <w:r w:rsidR="00731BF8">
        <w:t>ments in its order in this case.</w:t>
      </w:r>
    </w:p>
    <w:p w:rsidR="00200A0A" w:rsidRPr="0064436A" w:rsidRDefault="00200A0A" w:rsidP="007A2B5F">
      <w:pPr>
        <w:tabs>
          <w:tab w:val="left" w:pos="9348"/>
        </w:tabs>
        <w:spacing w:line="480" w:lineRule="auto"/>
        <w:ind w:left="5040"/>
        <w:rPr>
          <w:sz w:val="26"/>
          <w:szCs w:val="26"/>
        </w:rPr>
      </w:pPr>
      <w:r w:rsidRPr="0064436A">
        <w:rPr>
          <w:sz w:val="26"/>
          <w:szCs w:val="26"/>
        </w:rPr>
        <w:t>Respectfully submitted,</w:t>
      </w:r>
    </w:p>
    <w:p w:rsidR="00200A0A" w:rsidRPr="0064436A" w:rsidRDefault="00610A74" w:rsidP="00200A0A">
      <w:pPr>
        <w:tabs>
          <w:tab w:val="left" w:pos="9348"/>
        </w:tabs>
        <w:ind w:left="5040"/>
        <w:rPr>
          <w:sz w:val="26"/>
          <w:szCs w:val="26"/>
        </w:rPr>
      </w:pPr>
      <w:r>
        <w:rPr>
          <w:b/>
          <w:sz w:val="26"/>
          <w:szCs w:val="26"/>
        </w:rPr>
        <w:t>Michael DeWine</w:t>
      </w:r>
    </w:p>
    <w:p w:rsidR="00200A0A" w:rsidRPr="0064436A" w:rsidRDefault="00200A0A" w:rsidP="00200A0A">
      <w:pPr>
        <w:tabs>
          <w:tab w:val="left" w:pos="9348"/>
        </w:tabs>
        <w:ind w:left="5040"/>
        <w:rPr>
          <w:sz w:val="26"/>
          <w:szCs w:val="26"/>
        </w:rPr>
      </w:pPr>
      <w:r w:rsidRPr="0064436A">
        <w:rPr>
          <w:sz w:val="26"/>
          <w:szCs w:val="26"/>
        </w:rPr>
        <w:t>Ohio Attorney General</w:t>
      </w:r>
    </w:p>
    <w:p w:rsidR="00200A0A" w:rsidRPr="0064436A" w:rsidRDefault="00200A0A" w:rsidP="00200A0A">
      <w:pPr>
        <w:tabs>
          <w:tab w:val="left" w:pos="9348"/>
        </w:tabs>
        <w:ind w:left="5040"/>
        <w:rPr>
          <w:sz w:val="26"/>
          <w:szCs w:val="26"/>
        </w:rPr>
      </w:pPr>
    </w:p>
    <w:p w:rsidR="000753F8" w:rsidRDefault="00BC5B75" w:rsidP="00200A0A">
      <w:pPr>
        <w:tabs>
          <w:tab w:val="left" w:pos="9348"/>
        </w:tabs>
        <w:ind w:left="5040"/>
        <w:rPr>
          <w:b/>
          <w:sz w:val="26"/>
          <w:szCs w:val="26"/>
        </w:rPr>
      </w:pPr>
      <w:r>
        <w:rPr>
          <w:b/>
          <w:sz w:val="26"/>
          <w:szCs w:val="26"/>
        </w:rPr>
        <w:t>William L. Wright</w:t>
      </w:r>
    </w:p>
    <w:p w:rsidR="00200A0A" w:rsidRPr="0064436A" w:rsidRDefault="00200A0A" w:rsidP="00200A0A">
      <w:pPr>
        <w:tabs>
          <w:tab w:val="left" w:pos="9348"/>
        </w:tabs>
        <w:ind w:left="5040"/>
        <w:rPr>
          <w:sz w:val="26"/>
          <w:szCs w:val="26"/>
        </w:rPr>
      </w:pPr>
      <w:r w:rsidRPr="0064436A">
        <w:rPr>
          <w:sz w:val="26"/>
          <w:szCs w:val="26"/>
        </w:rPr>
        <w:t>Section Chief</w:t>
      </w:r>
    </w:p>
    <w:p w:rsidR="00200A0A" w:rsidRPr="0064436A" w:rsidRDefault="00200A0A" w:rsidP="00200A0A">
      <w:pPr>
        <w:tabs>
          <w:tab w:val="left" w:pos="9348"/>
        </w:tabs>
        <w:ind w:left="5040"/>
        <w:rPr>
          <w:sz w:val="26"/>
          <w:szCs w:val="26"/>
        </w:rPr>
      </w:pPr>
    </w:p>
    <w:p w:rsidR="00200A0A" w:rsidRPr="00491F9A" w:rsidRDefault="00491F9A" w:rsidP="00200A0A">
      <w:pPr>
        <w:tabs>
          <w:tab w:val="left" w:pos="9348"/>
        </w:tabs>
        <w:ind w:left="5040"/>
        <w:rPr>
          <w:rFonts w:ascii="Viner Hand ITC" w:hAnsi="Viner Hand ITC"/>
          <w:sz w:val="36"/>
          <w:szCs w:val="36"/>
          <w:u w:val="single"/>
        </w:rPr>
      </w:pPr>
      <w:r w:rsidRPr="00491F9A">
        <w:rPr>
          <w:rFonts w:ascii="Viner Hand ITC" w:hAnsi="Viner Hand ITC"/>
          <w:sz w:val="36"/>
          <w:szCs w:val="36"/>
          <w:u w:val="single"/>
        </w:rPr>
        <w:t>/s/ Thomas W. McNamee</w:t>
      </w:r>
      <w:r w:rsidR="00200A0A" w:rsidRPr="00491F9A">
        <w:rPr>
          <w:rFonts w:ascii="Viner Hand ITC" w:hAnsi="Viner Hand ITC"/>
          <w:sz w:val="36"/>
          <w:szCs w:val="36"/>
          <w:u w:val="single"/>
        </w:rPr>
        <w:tab/>
      </w:r>
    </w:p>
    <w:p w:rsidR="00E45A7D" w:rsidRPr="0064436A" w:rsidRDefault="00491F9A" w:rsidP="00E45A7D">
      <w:pPr>
        <w:tabs>
          <w:tab w:val="left" w:pos="9348"/>
        </w:tabs>
        <w:ind w:left="5040"/>
        <w:rPr>
          <w:b/>
          <w:sz w:val="26"/>
          <w:szCs w:val="26"/>
        </w:rPr>
      </w:pPr>
      <w:r>
        <w:rPr>
          <w:b/>
          <w:sz w:val="26"/>
          <w:szCs w:val="26"/>
        </w:rPr>
        <w:t>Thomas W. McNamee</w:t>
      </w:r>
    </w:p>
    <w:p w:rsidR="00200A0A" w:rsidRPr="0064436A" w:rsidRDefault="00200A0A" w:rsidP="00200A0A">
      <w:pPr>
        <w:tabs>
          <w:tab w:val="left" w:pos="9348"/>
        </w:tabs>
        <w:ind w:left="5040"/>
        <w:rPr>
          <w:sz w:val="26"/>
          <w:szCs w:val="26"/>
        </w:rPr>
      </w:pPr>
      <w:r w:rsidRPr="0064436A">
        <w:rPr>
          <w:sz w:val="26"/>
          <w:szCs w:val="26"/>
        </w:rPr>
        <w:t>Assistant Attorney General</w:t>
      </w:r>
    </w:p>
    <w:p w:rsidR="00200A0A" w:rsidRPr="0064436A" w:rsidRDefault="00200A0A" w:rsidP="00200A0A">
      <w:pPr>
        <w:tabs>
          <w:tab w:val="left" w:pos="9348"/>
        </w:tabs>
        <w:ind w:left="5040"/>
        <w:rPr>
          <w:sz w:val="26"/>
          <w:szCs w:val="26"/>
        </w:rPr>
      </w:pPr>
      <w:r w:rsidRPr="0064436A">
        <w:rPr>
          <w:sz w:val="26"/>
          <w:szCs w:val="26"/>
        </w:rPr>
        <w:t>Public Utilities Section</w:t>
      </w:r>
    </w:p>
    <w:p w:rsidR="00200A0A" w:rsidRPr="0064436A" w:rsidRDefault="00200A0A" w:rsidP="00200A0A">
      <w:pPr>
        <w:tabs>
          <w:tab w:val="left" w:pos="9348"/>
        </w:tabs>
        <w:ind w:left="5040"/>
        <w:rPr>
          <w:sz w:val="26"/>
          <w:szCs w:val="26"/>
        </w:rPr>
      </w:pPr>
      <w:r w:rsidRPr="0064436A">
        <w:rPr>
          <w:sz w:val="26"/>
          <w:szCs w:val="26"/>
        </w:rPr>
        <w:t xml:space="preserve">180 East Broad Street, </w:t>
      </w:r>
      <w:r w:rsidR="000753F8">
        <w:rPr>
          <w:sz w:val="26"/>
          <w:szCs w:val="26"/>
        </w:rPr>
        <w:t>6</w:t>
      </w:r>
      <w:r w:rsidR="000753F8" w:rsidRPr="000753F8">
        <w:rPr>
          <w:sz w:val="26"/>
          <w:szCs w:val="26"/>
          <w:vertAlign w:val="superscript"/>
        </w:rPr>
        <w:t>th</w:t>
      </w:r>
      <w:r w:rsidR="000753F8">
        <w:rPr>
          <w:sz w:val="26"/>
          <w:szCs w:val="26"/>
        </w:rPr>
        <w:t xml:space="preserve"> Floor</w:t>
      </w:r>
    </w:p>
    <w:p w:rsidR="00200A0A" w:rsidRPr="0064436A" w:rsidRDefault="00200A0A" w:rsidP="00200A0A">
      <w:pPr>
        <w:tabs>
          <w:tab w:val="left" w:pos="9348"/>
        </w:tabs>
        <w:ind w:left="5040"/>
        <w:rPr>
          <w:sz w:val="26"/>
          <w:szCs w:val="26"/>
        </w:rPr>
      </w:pPr>
      <w:r w:rsidRPr="0064436A">
        <w:rPr>
          <w:sz w:val="26"/>
          <w:szCs w:val="26"/>
        </w:rPr>
        <w:t>Columbus, OH  43215-3793</w:t>
      </w:r>
    </w:p>
    <w:p w:rsidR="00200A0A" w:rsidRPr="0064436A" w:rsidRDefault="00200A0A" w:rsidP="00200A0A">
      <w:pPr>
        <w:tabs>
          <w:tab w:val="left" w:pos="9348"/>
        </w:tabs>
        <w:ind w:left="5040"/>
        <w:rPr>
          <w:sz w:val="26"/>
          <w:szCs w:val="26"/>
        </w:rPr>
      </w:pPr>
      <w:r w:rsidRPr="0064436A">
        <w:rPr>
          <w:sz w:val="26"/>
          <w:szCs w:val="26"/>
        </w:rPr>
        <w:t>614.466.4397</w:t>
      </w:r>
      <w:r w:rsidR="000753F8">
        <w:rPr>
          <w:sz w:val="26"/>
          <w:szCs w:val="26"/>
        </w:rPr>
        <w:t xml:space="preserve"> (telephone)</w:t>
      </w:r>
    </w:p>
    <w:p w:rsidR="008B058D" w:rsidRDefault="00200A0A" w:rsidP="00200A0A">
      <w:pPr>
        <w:tabs>
          <w:tab w:val="left" w:pos="9348"/>
        </w:tabs>
        <w:ind w:left="5040"/>
        <w:rPr>
          <w:sz w:val="26"/>
          <w:szCs w:val="26"/>
        </w:rPr>
      </w:pPr>
      <w:r w:rsidRPr="0064436A">
        <w:rPr>
          <w:sz w:val="26"/>
          <w:szCs w:val="26"/>
        </w:rPr>
        <w:t>614.644.8764 (fax)</w:t>
      </w:r>
    </w:p>
    <w:p w:rsidR="00200A0A" w:rsidRPr="00533F87" w:rsidRDefault="00F6072A" w:rsidP="00200A0A">
      <w:pPr>
        <w:tabs>
          <w:tab w:val="left" w:pos="9348"/>
        </w:tabs>
        <w:ind w:left="5040"/>
        <w:rPr>
          <w:sz w:val="26"/>
          <w:szCs w:val="26"/>
        </w:rPr>
      </w:pPr>
      <w:hyperlink r:id="rId16" w:history="1">
        <w:r w:rsidR="00491F9A" w:rsidRPr="00EB1C51">
          <w:rPr>
            <w:rStyle w:val="Hyperlink"/>
            <w:sz w:val="26"/>
            <w:szCs w:val="26"/>
          </w:rPr>
          <w:t>thomas.mcnamee@puc.state.oh.us</w:t>
        </w:r>
      </w:hyperlink>
    </w:p>
    <w:p w:rsidR="00200A0A" w:rsidRPr="00322F45" w:rsidRDefault="00200A0A" w:rsidP="00536C13">
      <w:pPr>
        <w:pStyle w:val="Heading1"/>
      </w:pPr>
      <w:r w:rsidRPr="00955E20">
        <w:br w:type="page"/>
      </w:r>
      <w:bookmarkStart w:id="55" w:name="_Toc328397446"/>
      <w:r w:rsidR="00322F45" w:rsidRPr="00322F45">
        <w:lastRenderedPageBreak/>
        <w:t>PROOF OF SERVICE</w:t>
      </w:r>
      <w:bookmarkEnd w:id="55"/>
    </w:p>
    <w:p w:rsidR="00200A0A" w:rsidRPr="00934B92" w:rsidRDefault="0064436A" w:rsidP="006A3730">
      <w:pPr>
        <w:pStyle w:val="textstyle0"/>
      </w:pPr>
      <w:r>
        <w:tab/>
      </w:r>
      <w:r w:rsidR="00200A0A" w:rsidRPr="00934B92">
        <w:t xml:space="preserve">I hereby certify that a true copy of the foregoing </w:t>
      </w:r>
      <w:r w:rsidR="009F044B">
        <w:rPr>
          <w:b/>
        </w:rPr>
        <w:t>Comments and Recommenda</w:t>
      </w:r>
      <w:r w:rsidR="009F044B">
        <w:rPr>
          <w:b/>
        </w:rPr>
        <w:softHyphen/>
        <w:t xml:space="preserve">tions </w:t>
      </w:r>
      <w:r w:rsidR="00200A0A" w:rsidRPr="00934B92">
        <w:t>submitted on behalf of the Staff of the Public Utilities Commis</w:t>
      </w:r>
      <w:r w:rsidR="00200A0A" w:rsidRPr="00934B92">
        <w:softHyphen/>
        <w:t>sion of Ohio,</w:t>
      </w:r>
      <w:r w:rsidR="00200A0A" w:rsidRPr="00934B92">
        <w:rPr>
          <w:b/>
        </w:rPr>
        <w:t xml:space="preserve"> </w:t>
      </w:r>
      <w:r w:rsidR="00200A0A" w:rsidRPr="00934B92">
        <w:t xml:space="preserve">was served </w:t>
      </w:r>
      <w:r w:rsidR="00491F9A">
        <w:t>via electronic mail</w:t>
      </w:r>
      <w:r w:rsidR="00200A0A" w:rsidRPr="00934B92">
        <w:t xml:space="preserve"> upon </w:t>
      </w:r>
      <w:r w:rsidR="00977F01">
        <w:t>the following Parties of Record</w:t>
      </w:r>
      <w:r w:rsidR="00721F2D">
        <w:t xml:space="preserve">, </w:t>
      </w:r>
      <w:r w:rsidR="00200A0A" w:rsidRPr="00934B92">
        <w:t xml:space="preserve">this </w:t>
      </w:r>
      <w:r w:rsidR="009F044B">
        <w:t>25</w:t>
      </w:r>
      <w:r w:rsidR="001A5C2F" w:rsidRPr="001A5C2F">
        <w:rPr>
          <w:vertAlign w:val="superscript"/>
        </w:rPr>
        <w:t>th</w:t>
      </w:r>
      <w:r w:rsidR="001A5C2F">
        <w:t xml:space="preserve"> </w:t>
      </w:r>
      <w:r w:rsidR="004B6358">
        <w:t>d</w:t>
      </w:r>
      <w:r w:rsidR="00200A0A" w:rsidRPr="00934B92">
        <w:t xml:space="preserve">ay of </w:t>
      </w:r>
      <w:r w:rsidR="00721F2D">
        <w:t>June</w:t>
      </w:r>
      <w:r w:rsidR="00200A0A" w:rsidRPr="00934B92">
        <w:t xml:space="preserve">, </w:t>
      </w:r>
      <w:r w:rsidR="009F044B">
        <w:t>2012</w:t>
      </w:r>
      <w:r w:rsidR="00200A0A" w:rsidRPr="00934B92">
        <w:t>.</w:t>
      </w:r>
    </w:p>
    <w:p w:rsidR="00200A0A" w:rsidRPr="00DF3D54" w:rsidRDefault="00200A0A" w:rsidP="00200A0A">
      <w:pPr>
        <w:spacing w:line="480" w:lineRule="auto"/>
        <w:jc w:val="both"/>
      </w:pPr>
    </w:p>
    <w:p w:rsidR="00491F9A" w:rsidRDefault="00491F9A" w:rsidP="00200A0A">
      <w:pPr>
        <w:ind w:left="4332"/>
        <w:jc w:val="both"/>
        <w:rPr>
          <w:rFonts w:ascii="Viner Hand ITC" w:hAnsi="Viner Hand ITC"/>
          <w:sz w:val="36"/>
          <w:szCs w:val="36"/>
          <w:u w:val="single"/>
        </w:rPr>
      </w:pPr>
      <w:r w:rsidRPr="00491F9A">
        <w:rPr>
          <w:rFonts w:ascii="Viner Hand ITC" w:hAnsi="Viner Hand ITC"/>
          <w:sz w:val="36"/>
          <w:szCs w:val="36"/>
          <w:u w:val="single"/>
        </w:rPr>
        <w:t>/s/ Thomas W. McNamee</w:t>
      </w:r>
    </w:p>
    <w:p w:rsidR="00200A0A" w:rsidRPr="00DF3D54" w:rsidRDefault="009F044B" w:rsidP="00200A0A">
      <w:pPr>
        <w:ind w:left="4332"/>
        <w:jc w:val="both"/>
        <w:rPr>
          <w:b/>
          <w:sz w:val="26"/>
          <w:szCs w:val="26"/>
        </w:rPr>
      </w:pPr>
      <w:r>
        <w:rPr>
          <w:b/>
          <w:sz w:val="26"/>
          <w:szCs w:val="26"/>
        </w:rPr>
        <w:t>Thomas W. McNamee</w:t>
      </w:r>
    </w:p>
    <w:p w:rsidR="00200A0A" w:rsidRDefault="00200A0A" w:rsidP="00200A0A">
      <w:pPr>
        <w:ind w:left="4332"/>
        <w:jc w:val="both"/>
        <w:rPr>
          <w:sz w:val="26"/>
          <w:szCs w:val="26"/>
        </w:rPr>
      </w:pPr>
      <w:r w:rsidRPr="00DF3D54">
        <w:rPr>
          <w:sz w:val="26"/>
          <w:szCs w:val="26"/>
        </w:rPr>
        <w:t>Assistant Attorney General</w:t>
      </w:r>
    </w:p>
    <w:p w:rsidR="00977F01" w:rsidRDefault="00977F01" w:rsidP="00200A0A">
      <w:pPr>
        <w:ind w:left="4332"/>
        <w:jc w:val="both"/>
        <w:rPr>
          <w:sz w:val="26"/>
          <w:szCs w:val="26"/>
        </w:rPr>
      </w:pPr>
    </w:p>
    <w:p w:rsidR="00977F01" w:rsidRDefault="00977F01" w:rsidP="00977F01">
      <w:pPr>
        <w:rPr>
          <w:b/>
          <w:sz w:val="26"/>
          <w:szCs w:val="26"/>
        </w:rPr>
      </w:pPr>
      <w:r w:rsidRPr="00DF3D54">
        <w:rPr>
          <w:b/>
          <w:sz w:val="26"/>
          <w:szCs w:val="26"/>
        </w:rPr>
        <w:t>Parties of Record:</w:t>
      </w:r>
    </w:p>
    <w:p w:rsidR="00977F01" w:rsidRPr="00DF3D54" w:rsidRDefault="00977F01" w:rsidP="00977F01">
      <w:pPr>
        <w:rPr>
          <w:b/>
          <w:sz w:val="26"/>
          <w:szCs w:val="26"/>
        </w:rPr>
      </w:pPr>
    </w:p>
    <w:tbl>
      <w:tblPr>
        <w:tblW w:w="0" w:type="auto"/>
        <w:tblLook w:val="01E0" w:firstRow="1" w:lastRow="1" w:firstColumn="1" w:lastColumn="1" w:noHBand="0" w:noVBand="0"/>
      </w:tblPr>
      <w:tblGrid>
        <w:gridCol w:w="4788"/>
        <w:gridCol w:w="4788"/>
      </w:tblGrid>
      <w:tr w:rsidR="00977F01" w:rsidRPr="00D2703A" w:rsidTr="00FF5711">
        <w:tc>
          <w:tcPr>
            <w:tcW w:w="4788" w:type="dxa"/>
          </w:tcPr>
          <w:p w:rsidR="009F044B" w:rsidRDefault="009F044B" w:rsidP="00FF5711">
            <w:pPr>
              <w:rPr>
                <w:sz w:val="26"/>
                <w:szCs w:val="26"/>
              </w:rPr>
            </w:pPr>
            <w:r>
              <w:rPr>
                <w:sz w:val="26"/>
                <w:szCs w:val="26"/>
              </w:rPr>
              <w:t>James W. Burk</w:t>
            </w:r>
          </w:p>
          <w:p w:rsidR="009F044B" w:rsidRDefault="009F044B" w:rsidP="00FF5711">
            <w:pPr>
              <w:rPr>
                <w:sz w:val="26"/>
                <w:szCs w:val="26"/>
              </w:rPr>
            </w:pPr>
            <w:r>
              <w:rPr>
                <w:sz w:val="26"/>
                <w:szCs w:val="26"/>
              </w:rPr>
              <w:t>FirstEnergy Service Company</w:t>
            </w:r>
          </w:p>
          <w:p w:rsidR="009F044B" w:rsidRDefault="009F044B" w:rsidP="00FF5711">
            <w:pPr>
              <w:rPr>
                <w:sz w:val="26"/>
                <w:szCs w:val="26"/>
              </w:rPr>
            </w:pPr>
            <w:r>
              <w:rPr>
                <w:sz w:val="26"/>
                <w:szCs w:val="26"/>
              </w:rPr>
              <w:t>76 South Main Street</w:t>
            </w:r>
          </w:p>
          <w:p w:rsidR="009F044B" w:rsidRDefault="009F044B" w:rsidP="00FF5711">
            <w:pPr>
              <w:rPr>
                <w:sz w:val="26"/>
                <w:szCs w:val="26"/>
              </w:rPr>
            </w:pPr>
            <w:r>
              <w:rPr>
                <w:sz w:val="26"/>
                <w:szCs w:val="26"/>
              </w:rPr>
              <w:t>Akron, OH  44308</w:t>
            </w:r>
          </w:p>
          <w:p w:rsidR="009F044B" w:rsidRDefault="00F6072A" w:rsidP="00FF5711">
            <w:pPr>
              <w:rPr>
                <w:sz w:val="26"/>
                <w:szCs w:val="26"/>
              </w:rPr>
            </w:pPr>
            <w:hyperlink r:id="rId17" w:history="1">
              <w:r w:rsidR="009F044B" w:rsidRPr="00257A34">
                <w:rPr>
                  <w:rStyle w:val="Hyperlink"/>
                  <w:sz w:val="26"/>
                  <w:szCs w:val="26"/>
                </w:rPr>
                <w:t>burkj@firstenergycorp.com</w:t>
              </w:r>
            </w:hyperlink>
          </w:p>
          <w:p w:rsidR="009F044B" w:rsidRDefault="009F044B" w:rsidP="00FF5711">
            <w:pPr>
              <w:rPr>
                <w:sz w:val="26"/>
                <w:szCs w:val="26"/>
              </w:rPr>
            </w:pPr>
          </w:p>
          <w:p w:rsidR="00977F01" w:rsidRDefault="009F044B" w:rsidP="00FF5711">
            <w:pPr>
              <w:rPr>
                <w:sz w:val="26"/>
                <w:szCs w:val="26"/>
              </w:rPr>
            </w:pPr>
            <w:r>
              <w:rPr>
                <w:sz w:val="26"/>
                <w:szCs w:val="26"/>
              </w:rPr>
              <w:t>Kyle L. Kern</w:t>
            </w:r>
          </w:p>
          <w:p w:rsidR="00977F01" w:rsidRDefault="00977F01" w:rsidP="00FF5711">
            <w:pPr>
              <w:rPr>
                <w:sz w:val="26"/>
                <w:szCs w:val="26"/>
              </w:rPr>
            </w:pPr>
            <w:r>
              <w:rPr>
                <w:sz w:val="26"/>
                <w:szCs w:val="26"/>
              </w:rPr>
              <w:t>Assistant Consumers’ Counsel</w:t>
            </w:r>
          </w:p>
          <w:p w:rsidR="00977F01" w:rsidRDefault="00977F01" w:rsidP="00FF5711">
            <w:pPr>
              <w:rPr>
                <w:sz w:val="26"/>
                <w:szCs w:val="26"/>
              </w:rPr>
            </w:pPr>
            <w:r>
              <w:rPr>
                <w:sz w:val="26"/>
                <w:szCs w:val="26"/>
              </w:rPr>
              <w:t>Office of the Ohio Consumers’ Counsel</w:t>
            </w:r>
          </w:p>
          <w:p w:rsidR="00977F01" w:rsidRDefault="00977F01" w:rsidP="00FF5711">
            <w:pPr>
              <w:rPr>
                <w:sz w:val="26"/>
                <w:szCs w:val="26"/>
              </w:rPr>
            </w:pPr>
            <w:r>
              <w:rPr>
                <w:sz w:val="26"/>
                <w:szCs w:val="26"/>
              </w:rPr>
              <w:t>10 West Broad Street</w:t>
            </w:r>
          </w:p>
          <w:p w:rsidR="00977F01" w:rsidRDefault="00977F01" w:rsidP="00FF5711">
            <w:pPr>
              <w:rPr>
                <w:sz w:val="26"/>
                <w:szCs w:val="26"/>
              </w:rPr>
            </w:pPr>
            <w:r>
              <w:rPr>
                <w:sz w:val="26"/>
                <w:szCs w:val="26"/>
              </w:rPr>
              <w:t>Suite 1800</w:t>
            </w:r>
          </w:p>
          <w:p w:rsidR="00977F01" w:rsidRDefault="00977F01" w:rsidP="00FF5711">
            <w:pPr>
              <w:rPr>
                <w:sz w:val="26"/>
                <w:szCs w:val="26"/>
              </w:rPr>
            </w:pPr>
            <w:r>
              <w:rPr>
                <w:sz w:val="26"/>
                <w:szCs w:val="26"/>
              </w:rPr>
              <w:t>Columbus, OH  43215</w:t>
            </w:r>
          </w:p>
          <w:p w:rsidR="00977F01" w:rsidRDefault="00977F01" w:rsidP="00FF5711">
            <w:pPr>
              <w:rPr>
                <w:sz w:val="26"/>
                <w:szCs w:val="26"/>
              </w:rPr>
            </w:pPr>
            <w:r>
              <w:rPr>
                <w:sz w:val="26"/>
                <w:szCs w:val="26"/>
              </w:rPr>
              <w:t>614.466.8574 (telephone)</w:t>
            </w:r>
          </w:p>
          <w:p w:rsidR="00977F01" w:rsidRDefault="00977F01" w:rsidP="00FF5711">
            <w:pPr>
              <w:rPr>
                <w:sz w:val="26"/>
                <w:szCs w:val="26"/>
              </w:rPr>
            </w:pPr>
            <w:r>
              <w:rPr>
                <w:sz w:val="26"/>
                <w:szCs w:val="26"/>
              </w:rPr>
              <w:t>614.466.9475 (fax)</w:t>
            </w:r>
          </w:p>
          <w:p w:rsidR="00977F01" w:rsidRDefault="00F6072A" w:rsidP="00FF5711">
            <w:pPr>
              <w:rPr>
                <w:sz w:val="26"/>
                <w:szCs w:val="26"/>
              </w:rPr>
            </w:pPr>
            <w:hyperlink r:id="rId18" w:history="1">
              <w:r w:rsidR="009F044B" w:rsidRPr="00257A34">
                <w:rPr>
                  <w:rStyle w:val="Hyperlink"/>
                  <w:sz w:val="26"/>
                  <w:szCs w:val="26"/>
                </w:rPr>
                <w:t>kern@occ.state.oh.us</w:t>
              </w:r>
            </w:hyperlink>
          </w:p>
          <w:p w:rsidR="00977F01" w:rsidRPr="00221496" w:rsidRDefault="00977F01" w:rsidP="00FF5711">
            <w:pPr>
              <w:rPr>
                <w:sz w:val="26"/>
                <w:szCs w:val="26"/>
              </w:rPr>
            </w:pPr>
          </w:p>
        </w:tc>
        <w:tc>
          <w:tcPr>
            <w:tcW w:w="4788" w:type="dxa"/>
          </w:tcPr>
          <w:p w:rsidR="00977F01" w:rsidRDefault="009F044B" w:rsidP="00FF5711">
            <w:pPr>
              <w:rPr>
                <w:sz w:val="26"/>
                <w:szCs w:val="26"/>
              </w:rPr>
            </w:pPr>
            <w:r>
              <w:rPr>
                <w:sz w:val="26"/>
                <w:szCs w:val="26"/>
              </w:rPr>
              <w:t>James F. Lang</w:t>
            </w:r>
          </w:p>
          <w:p w:rsidR="009F044B" w:rsidRDefault="009F044B" w:rsidP="00FF5711">
            <w:pPr>
              <w:rPr>
                <w:sz w:val="26"/>
                <w:szCs w:val="26"/>
              </w:rPr>
            </w:pPr>
            <w:r>
              <w:rPr>
                <w:sz w:val="26"/>
                <w:szCs w:val="26"/>
              </w:rPr>
              <w:t>Laura C. McBride</w:t>
            </w:r>
          </w:p>
          <w:p w:rsidR="009F044B" w:rsidRDefault="009F044B" w:rsidP="00FF5711">
            <w:pPr>
              <w:rPr>
                <w:sz w:val="26"/>
                <w:szCs w:val="26"/>
              </w:rPr>
            </w:pPr>
            <w:r>
              <w:rPr>
                <w:sz w:val="26"/>
                <w:szCs w:val="26"/>
              </w:rPr>
              <w:t>Calfee, halter &amp; Griswold</w:t>
            </w:r>
          </w:p>
          <w:p w:rsidR="009F044B" w:rsidRDefault="009F044B" w:rsidP="00FF5711">
            <w:pPr>
              <w:rPr>
                <w:sz w:val="26"/>
                <w:szCs w:val="26"/>
              </w:rPr>
            </w:pPr>
            <w:r>
              <w:rPr>
                <w:sz w:val="26"/>
                <w:szCs w:val="26"/>
              </w:rPr>
              <w:t>1405 East Sixth Street</w:t>
            </w:r>
          </w:p>
          <w:p w:rsidR="009F044B" w:rsidRDefault="009F044B" w:rsidP="00FF5711">
            <w:pPr>
              <w:rPr>
                <w:sz w:val="26"/>
                <w:szCs w:val="26"/>
              </w:rPr>
            </w:pPr>
            <w:r>
              <w:rPr>
                <w:sz w:val="26"/>
                <w:szCs w:val="26"/>
              </w:rPr>
              <w:t>Cleveland, OH  44114</w:t>
            </w:r>
          </w:p>
          <w:p w:rsidR="009F044B" w:rsidRDefault="00F6072A" w:rsidP="00FF5711">
            <w:pPr>
              <w:rPr>
                <w:sz w:val="26"/>
                <w:szCs w:val="26"/>
              </w:rPr>
            </w:pPr>
            <w:hyperlink r:id="rId19" w:history="1">
              <w:r w:rsidR="009F044B" w:rsidRPr="00257A34">
                <w:rPr>
                  <w:rStyle w:val="Hyperlink"/>
                  <w:sz w:val="26"/>
                  <w:szCs w:val="26"/>
                </w:rPr>
                <w:t>jlang@calfee.com</w:t>
              </w:r>
            </w:hyperlink>
          </w:p>
          <w:p w:rsidR="009F044B" w:rsidRDefault="00F6072A" w:rsidP="00FF5711">
            <w:pPr>
              <w:rPr>
                <w:sz w:val="26"/>
                <w:szCs w:val="26"/>
              </w:rPr>
            </w:pPr>
            <w:hyperlink r:id="rId20" w:history="1">
              <w:r w:rsidR="009F044B" w:rsidRPr="00257A34">
                <w:rPr>
                  <w:rStyle w:val="Hyperlink"/>
                  <w:sz w:val="26"/>
                  <w:szCs w:val="26"/>
                </w:rPr>
                <w:t>lmcbride@calfee.com</w:t>
              </w:r>
            </w:hyperlink>
          </w:p>
          <w:p w:rsidR="009F044B" w:rsidRDefault="009F044B" w:rsidP="00FF5711">
            <w:pPr>
              <w:rPr>
                <w:sz w:val="26"/>
                <w:szCs w:val="26"/>
              </w:rPr>
            </w:pPr>
          </w:p>
          <w:p w:rsidR="009F044B" w:rsidRPr="00221496" w:rsidRDefault="009F044B" w:rsidP="00FF5711">
            <w:pPr>
              <w:rPr>
                <w:sz w:val="26"/>
                <w:szCs w:val="26"/>
              </w:rPr>
            </w:pPr>
          </w:p>
        </w:tc>
      </w:tr>
    </w:tbl>
    <w:p w:rsidR="00322F45" w:rsidRDefault="00322F45" w:rsidP="00200A0A">
      <w:pPr>
        <w:ind w:left="4332"/>
        <w:jc w:val="both"/>
        <w:rPr>
          <w:sz w:val="26"/>
          <w:szCs w:val="26"/>
        </w:rPr>
        <w:sectPr w:rsidR="00322F45" w:rsidSect="003B12DD">
          <w:headerReference w:type="default" r:id="rId21"/>
          <w:footerReference w:type="default" r:id="rId22"/>
          <w:headerReference w:type="first" r:id="rId23"/>
          <w:footerReference w:type="first" r:id="rId24"/>
          <w:footnotePr>
            <w:numRestart w:val="eachSect"/>
          </w:footnotePr>
          <w:pgSz w:w="12240" w:h="15840" w:code="1"/>
          <w:pgMar w:top="1440" w:right="1440" w:bottom="1440" w:left="1440" w:header="720" w:footer="720" w:gutter="0"/>
          <w:pgNumType w:start="1"/>
          <w:cols w:space="720"/>
          <w:titlePg/>
          <w:docGrid w:linePitch="360"/>
        </w:sectPr>
      </w:pPr>
    </w:p>
    <w:p w:rsidR="00322F45" w:rsidRDefault="00322F45" w:rsidP="00A71396">
      <w:pPr>
        <w:suppressLineNumbers/>
        <w:spacing w:after="240"/>
        <w:jc w:val="center"/>
        <w:rPr>
          <w:b/>
          <w:sz w:val="26"/>
          <w:szCs w:val="26"/>
        </w:rPr>
      </w:pPr>
      <w:r w:rsidRPr="0005054E">
        <w:rPr>
          <w:b/>
          <w:sz w:val="26"/>
          <w:szCs w:val="26"/>
        </w:rPr>
        <w:lastRenderedPageBreak/>
        <w:t>________day ______ __, 2013</w:t>
      </w:r>
    </w:p>
    <w:p w:rsidR="00322F45" w:rsidRPr="0005054E" w:rsidRDefault="00322F45" w:rsidP="00A71396">
      <w:pPr>
        <w:suppressLineNumbers/>
        <w:spacing w:after="240"/>
        <w:jc w:val="center"/>
        <w:rPr>
          <w:b/>
          <w:sz w:val="26"/>
          <w:szCs w:val="26"/>
        </w:rPr>
      </w:pPr>
    </w:p>
    <w:p w:rsidR="00322F45" w:rsidRPr="0005054E" w:rsidRDefault="00322F45" w:rsidP="00A71396">
      <w:pPr>
        <w:suppressLineNumbers/>
        <w:spacing w:after="240"/>
        <w:jc w:val="center"/>
        <w:rPr>
          <w:b/>
          <w:sz w:val="26"/>
          <w:szCs w:val="26"/>
        </w:rPr>
      </w:pPr>
      <w:r w:rsidRPr="0005054E">
        <w:rPr>
          <w:b/>
          <w:sz w:val="26"/>
          <w:szCs w:val="26"/>
        </w:rPr>
        <w:t>Case No. 12-1465-EL-ATS</w:t>
      </w:r>
    </w:p>
    <w:p w:rsidR="00322F45" w:rsidRPr="000572BC" w:rsidRDefault="00322F45" w:rsidP="00A71396">
      <w:pPr>
        <w:suppressLineNumbers/>
        <w:spacing w:after="240"/>
        <w:jc w:val="center"/>
        <w:rPr>
          <w:b/>
          <w:sz w:val="26"/>
          <w:szCs w:val="26"/>
        </w:rPr>
      </w:pPr>
      <w:r w:rsidRPr="000572BC">
        <w:rPr>
          <w:b/>
          <w:sz w:val="26"/>
          <w:szCs w:val="26"/>
        </w:rPr>
        <w:t>The Public Utilities Commission of Ohio</w:t>
      </w:r>
    </w:p>
    <w:p w:rsidR="00322F45" w:rsidRPr="0005054E" w:rsidRDefault="00322F45" w:rsidP="00322F45">
      <w:pPr>
        <w:suppressLineNumbers/>
        <w:spacing w:after="240"/>
        <w:rPr>
          <w:b/>
          <w:color w:val="000000"/>
          <w:sz w:val="26"/>
          <w:szCs w:val="26"/>
          <w:u w:val="single"/>
        </w:rPr>
      </w:pPr>
      <w:r>
        <w:rPr>
          <w:b/>
          <w:color w:val="000000"/>
          <w:sz w:val="26"/>
          <w:szCs w:val="26"/>
          <w:u w:val="single"/>
        </w:rPr>
        <w:t>SUBJE</w:t>
      </w:r>
      <w:r w:rsidRPr="0005054E">
        <w:rPr>
          <w:b/>
          <w:color w:val="000000"/>
          <w:sz w:val="26"/>
          <w:szCs w:val="26"/>
          <w:u w:val="single"/>
        </w:rPr>
        <w:t>CT:</w:t>
      </w:r>
      <w:r>
        <w:rPr>
          <w:b/>
          <w:color w:val="000000"/>
          <w:sz w:val="26"/>
          <w:szCs w:val="26"/>
          <w:u w:val="single"/>
        </w:rPr>
        <w:tab/>
      </w:r>
      <w:r w:rsidRPr="0005054E">
        <w:rPr>
          <w:b/>
          <w:color w:val="000000"/>
          <w:sz w:val="26"/>
          <w:szCs w:val="26"/>
          <w:u w:val="single"/>
        </w:rPr>
        <w:t>ISSUANCE ADVICE LETTER FOR PHASE-IN RECOVERY BONDS</w:t>
      </w:r>
    </w:p>
    <w:p w:rsidR="00322F45" w:rsidRPr="0005054E" w:rsidRDefault="00322F45" w:rsidP="00322F45">
      <w:pPr>
        <w:suppressLineNumbers/>
        <w:tabs>
          <w:tab w:val="left" w:pos="4410"/>
        </w:tabs>
        <w:autoSpaceDE w:val="0"/>
        <w:autoSpaceDN w:val="0"/>
        <w:adjustRightInd w:val="0"/>
        <w:spacing w:after="240"/>
        <w:jc w:val="both"/>
        <w:rPr>
          <w:sz w:val="26"/>
          <w:szCs w:val="26"/>
        </w:rPr>
      </w:pPr>
      <w:r w:rsidRPr="0005054E">
        <w:rPr>
          <w:sz w:val="26"/>
          <w:szCs w:val="26"/>
        </w:rPr>
        <w:t xml:space="preserve">Pursuant to the Financing Order issued </w:t>
      </w:r>
      <w:r w:rsidRPr="0005054E">
        <w:rPr>
          <w:i/>
          <w:sz w:val="26"/>
          <w:szCs w:val="26"/>
        </w:rPr>
        <w:t>In the Matter of the Joint Application of Ohio Edison Company, The Cleveland Electric Illuminating Company, and The Toledo Edison Company for Authority to Impose, Issue Phase-In-Recovery Bonds and Charge and Collect Phase-In-Recovery Charges and For Tariff Approvals in Case No.</w:t>
      </w:r>
      <w:r w:rsidRPr="0005054E">
        <w:rPr>
          <w:b/>
          <w:snapToGrid w:val="0"/>
          <w:color w:val="000000"/>
          <w:sz w:val="26"/>
          <w:szCs w:val="26"/>
        </w:rPr>
        <w:t xml:space="preserve"> </w:t>
      </w:r>
      <w:r w:rsidRPr="0005054E">
        <w:rPr>
          <w:i/>
          <w:snapToGrid w:val="0"/>
          <w:color w:val="000000"/>
          <w:sz w:val="26"/>
          <w:szCs w:val="26"/>
        </w:rPr>
        <w:t>12</w:t>
      </w:r>
      <w:r w:rsidRPr="0005054E">
        <w:rPr>
          <w:i/>
          <w:color w:val="000000"/>
          <w:sz w:val="26"/>
          <w:szCs w:val="26"/>
        </w:rPr>
        <w:t xml:space="preserve">-1465-EL-ATS (the Financing Order), </w:t>
      </w:r>
      <w:r w:rsidRPr="0005054E">
        <w:rPr>
          <w:color w:val="000000"/>
          <w:sz w:val="26"/>
          <w:szCs w:val="26"/>
        </w:rPr>
        <w:t xml:space="preserve">each Applicant hereby submits, no later than the end of the first business day after the pricing of this series of PIR Bonds, the information referenced below.  The issuance Advice Letter is for the PIR Bonds series____, tranches________.  Any capitalized terms not defined in this letter shall have the meanings ascribed to them in the Financing Order. </w:t>
      </w:r>
      <w:r w:rsidRPr="0005054E">
        <w:rPr>
          <w:sz w:val="26"/>
          <w:szCs w:val="26"/>
        </w:rPr>
        <w:t xml:space="preserve"> </w:t>
      </w:r>
    </w:p>
    <w:p w:rsidR="00322F45" w:rsidRPr="0005054E" w:rsidRDefault="00322F45" w:rsidP="00322F45">
      <w:pPr>
        <w:suppressLineNumbers/>
        <w:jc w:val="both"/>
        <w:rPr>
          <w:b/>
          <w:sz w:val="26"/>
          <w:szCs w:val="26"/>
        </w:rPr>
      </w:pPr>
    </w:p>
    <w:p w:rsidR="00322F45" w:rsidRPr="000572BC" w:rsidRDefault="00322F45" w:rsidP="00322F45">
      <w:pPr>
        <w:suppressLineNumbers/>
        <w:spacing w:after="240"/>
        <w:rPr>
          <w:b/>
          <w:color w:val="000000"/>
          <w:sz w:val="26"/>
          <w:szCs w:val="26"/>
          <w:u w:val="single"/>
        </w:rPr>
      </w:pPr>
      <w:r w:rsidRPr="000572BC">
        <w:rPr>
          <w:b/>
          <w:color w:val="000000"/>
          <w:sz w:val="26"/>
          <w:szCs w:val="26"/>
          <w:u w:val="single"/>
        </w:rPr>
        <w:t>PURPOSE</w:t>
      </w:r>
      <w:r>
        <w:rPr>
          <w:b/>
          <w:color w:val="000000"/>
          <w:sz w:val="26"/>
          <w:szCs w:val="26"/>
          <w:u w:val="single"/>
        </w:rPr>
        <w:t>:</w:t>
      </w:r>
    </w:p>
    <w:p w:rsidR="00322F45" w:rsidRPr="0005054E" w:rsidRDefault="00322F45" w:rsidP="00322F45">
      <w:pPr>
        <w:suppressLineNumbers/>
        <w:tabs>
          <w:tab w:val="left" w:pos="4410"/>
        </w:tabs>
        <w:autoSpaceDE w:val="0"/>
        <w:autoSpaceDN w:val="0"/>
        <w:adjustRightInd w:val="0"/>
        <w:spacing w:after="240"/>
        <w:jc w:val="both"/>
        <w:rPr>
          <w:sz w:val="26"/>
          <w:szCs w:val="26"/>
        </w:rPr>
      </w:pPr>
      <w:r w:rsidRPr="0005054E">
        <w:rPr>
          <w:sz w:val="26"/>
          <w:szCs w:val="26"/>
        </w:rPr>
        <w:t>This filing establishes the following:</w:t>
      </w:r>
    </w:p>
    <w:p w:rsidR="00322F45" w:rsidRPr="0005054E" w:rsidRDefault="00322F45" w:rsidP="00FD759A">
      <w:pPr>
        <w:pStyle w:val="ListParagraph"/>
        <w:numPr>
          <w:ilvl w:val="0"/>
          <w:numId w:val="28"/>
        </w:numPr>
        <w:suppressLineNumbers/>
        <w:spacing w:after="0" w:line="240" w:lineRule="auto"/>
        <w:ind w:left="1440" w:hanging="720"/>
        <w:contextualSpacing w:val="0"/>
        <w:jc w:val="both"/>
        <w:rPr>
          <w:rFonts w:ascii="Times New Roman" w:hAnsi="Times New Roman"/>
          <w:sz w:val="26"/>
          <w:szCs w:val="26"/>
          <w:u w:val="single"/>
        </w:rPr>
      </w:pPr>
      <w:r w:rsidRPr="0005054E">
        <w:rPr>
          <w:rFonts w:ascii="Times New Roman" w:hAnsi="Times New Roman"/>
          <w:sz w:val="26"/>
          <w:szCs w:val="26"/>
        </w:rPr>
        <w:t>The total amount of Phase-In Recovery Charges being securitized;</w:t>
      </w:r>
    </w:p>
    <w:p w:rsidR="00322F45" w:rsidRPr="0005054E" w:rsidRDefault="00322F45" w:rsidP="00FD759A">
      <w:pPr>
        <w:pStyle w:val="ListParagraph"/>
        <w:numPr>
          <w:ilvl w:val="0"/>
          <w:numId w:val="28"/>
        </w:numPr>
        <w:suppressLineNumbers/>
        <w:spacing w:after="0" w:line="240" w:lineRule="auto"/>
        <w:ind w:left="1440" w:hanging="720"/>
        <w:contextualSpacing w:val="0"/>
        <w:jc w:val="both"/>
        <w:rPr>
          <w:rFonts w:ascii="Times New Roman" w:hAnsi="Times New Roman"/>
          <w:sz w:val="26"/>
          <w:szCs w:val="26"/>
          <w:u w:val="single"/>
        </w:rPr>
      </w:pPr>
      <w:r w:rsidRPr="0005054E">
        <w:rPr>
          <w:rFonts w:ascii="Times New Roman" w:hAnsi="Times New Roman"/>
          <w:sz w:val="26"/>
          <w:szCs w:val="26"/>
        </w:rPr>
        <w:t>Confirmation of compliance with issuance standards;</w:t>
      </w:r>
    </w:p>
    <w:p w:rsidR="00322F45" w:rsidRPr="0005054E" w:rsidRDefault="00322F45" w:rsidP="00FD759A">
      <w:pPr>
        <w:pStyle w:val="ListParagraph"/>
        <w:numPr>
          <w:ilvl w:val="0"/>
          <w:numId w:val="28"/>
        </w:numPr>
        <w:suppressLineNumbers/>
        <w:spacing w:after="0" w:line="240" w:lineRule="auto"/>
        <w:ind w:left="1440" w:hanging="720"/>
        <w:contextualSpacing w:val="0"/>
        <w:jc w:val="both"/>
        <w:rPr>
          <w:rFonts w:ascii="Times New Roman" w:hAnsi="Times New Roman"/>
          <w:sz w:val="26"/>
          <w:szCs w:val="26"/>
          <w:u w:val="single"/>
        </w:rPr>
      </w:pPr>
      <w:r w:rsidRPr="0005054E">
        <w:rPr>
          <w:rFonts w:ascii="Times New Roman" w:hAnsi="Times New Roman"/>
          <w:sz w:val="26"/>
          <w:szCs w:val="26"/>
        </w:rPr>
        <w:t>The actual terms and structure of the PIR Bonds being issued;</w:t>
      </w:r>
    </w:p>
    <w:p w:rsidR="00322F45" w:rsidRPr="0005054E" w:rsidRDefault="00322F45" w:rsidP="00FD759A">
      <w:pPr>
        <w:pStyle w:val="ListParagraph"/>
        <w:numPr>
          <w:ilvl w:val="0"/>
          <w:numId w:val="28"/>
        </w:numPr>
        <w:suppressLineNumbers/>
        <w:spacing w:after="0" w:line="240" w:lineRule="auto"/>
        <w:ind w:left="1440" w:hanging="720"/>
        <w:contextualSpacing w:val="0"/>
        <w:jc w:val="both"/>
        <w:rPr>
          <w:rFonts w:ascii="Times New Roman" w:hAnsi="Times New Roman"/>
          <w:sz w:val="26"/>
          <w:szCs w:val="26"/>
          <w:u w:val="single"/>
        </w:rPr>
      </w:pPr>
      <w:r w:rsidRPr="0005054E">
        <w:rPr>
          <w:rFonts w:ascii="Times New Roman" w:hAnsi="Times New Roman"/>
          <w:sz w:val="26"/>
          <w:szCs w:val="26"/>
        </w:rPr>
        <w:t xml:space="preserve">The initial Phase-In-Recovery Charges for retail users; and </w:t>
      </w:r>
    </w:p>
    <w:p w:rsidR="00322F45" w:rsidRPr="0005054E" w:rsidRDefault="00322F45" w:rsidP="00FD759A">
      <w:pPr>
        <w:pStyle w:val="ListParagraph"/>
        <w:numPr>
          <w:ilvl w:val="0"/>
          <w:numId w:val="28"/>
        </w:numPr>
        <w:suppressLineNumbers/>
        <w:spacing w:after="0" w:line="240" w:lineRule="auto"/>
        <w:ind w:left="1440" w:hanging="720"/>
        <w:contextualSpacing w:val="0"/>
        <w:jc w:val="both"/>
        <w:rPr>
          <w:rFonts w:ascii="Times New Roman" w:hAnsi="Times New Roman"/>
          <w:sz w:val="26"/>
          <w:szCs w:val="26"/>
          <w:u w:val="single"/>
        </w:rPr>
      </w:pPr>
      <w:r w:rsidRPr="0005054E">
        <w:rPr>
          <w:rFonts w:ascii="Times New Roman" w:hAnsi="Times New Roman"/>
          <w:sz w:val="26"/>
          <w:szCs w:val="26"/>
        </w:rPr>
        <w:t>The identification of the SPE</w:t>
      </w:r>
    </w:p>
    <w:p w:rsidR="00322F45" w:rsidRPr="0005054E" w:rsidRDefault="00322F45" w:rsidP="00322F45">
      <w:pPr>
        <w:pStyle w:val="ListParagraph"/>
        <w:suppressLineNumbers/>
        <w:jc w:val="both"/>
        <w:rPr>
          <w:rFonts w:ascii="Times New Roman" w:hAnsi="Times New Roman"/>
          <w:sz w:val="26"/>
          <w:szCs w:val="26"/>
        </w:rPr>
      </w:pPr>
    </w:p>
    <w:p w:rsidR="00FD759A" w:rsidRPr="000572BC" w:rsidRDefault="00FD759A" w:rsidP="00FD759A">
      <w:pPr>
        <w:suppressLineNumbers/>
        <w:spacing w:after="240"/>
        <w:rPr>
          <w:b/>
          <w:color w:val="000000"/>
          <w:sz w:val="26"/>
          <w:szCs w:val="26"/>
          <w:u w:val="single"/>
        </w:rPr>
      </w:pPr>
      <w:r w:rsidRPr="000572BC">
        <w:rPr>
          <w:b/>
          <w:color w:val="000000"/>
          <w:sz w:val="26"/>
          <w:szCs w:val="26"/>
          <w:u w:val="single"/>
        </w:rPr>
        <w:t>PHASE-IN RECOVERY CHARGES BEING SECURITIZED</w:t>
      </w:r>
      <w:r>
        <w:rPr>
          <w:b/>
          <w:color w:val="000000"/>
          <w:sz w:val="26"/>
          <w:szCs w:val="26"/>
          <w:u w:val="single"/>
        </w:rPr>
        <w:t>:</w:t>
      </w:r>
    </w:p>
    <w:p w:rsidR="00FD759A" w:rsidRPr="000572BC" w:rsidRDefault="00FD759A" w:rsidP="00FD759A">
      <w:pPr>
        <w:suppressLineNumbers/>
        <w:spacing w:after="240"/>
        <w:jc w:val="both"/>
        <w:rPr>
          <w:color w:val="000000"/>
          <w:sz w:val="26"/>
          <w:szCs w:val="26"/>
        </w:rPr>
      </w:pPr>
      <w:r w:rsidRPr="000572BC">
        <w:rPr>
          <w:color w:val="000000"/>
          <w:sz w:val="26"/>
          <w:szCs w:val="26"/>
        </w:rPr>
        <w:t>The total amount of Phase-In Recovery Charges being securitized (the Securitized Phase-In Recovery Charges) is presented in Attachment-1</w:t>
      </w:r>
      <w:r>
        <w:rPr>
          <w:color w:val="000000"/>
          <w:sz w:val="26"/>
          <w:szCs w:val="26"/>
        </w:rPr>
        <w:t>.</w:t>
      </w:r>
    </w:p>
    <w:p w:rsidR="00FD759A" w:rsidRDefault="00FD759A" w:rsidP="00FD759A">
      <w:pPr>
        <w:suppressLineNumbers/>
        <w:spacing w:after="240"/>
        <w:rPr>
          <w:b/>
          <w:color w:val="000000"/>
          <w:sz w:val="26"/>
          <w:szCs w:val="26"/>
          <w:u w:val="single"/>
        </w:rPr>
        <w:sectPr w:rsidR="00FD759A" w:rsidSect="003B12DD">
          <w:headerReference w:type="default" r:id="rId25"/>
          <w:footerReference w:type="default" r:id="rId26"/>
          <w:headerReference w:type="first" r:id="rId27"/>
          <w:footerReference w:type="first" r:id="rId28"/>
          <w:footnotePr>
            <w:numRestart w:val="eachSect"/>
          </w:footnotePr>
          <w:pgSz w:w="12240" w:h="15840" w:code="1"/>
          <w:pgMar w:top="1440" w:right="1440" w:bottom="1440" w:left="1440" w:header="720" w:footer="720" w:gutter="0"/>
          <w:pgNumType w:start="1"/>
          <w:cols w:space="720"/>
          <w:titlePg/>
          <w:docGrid w:linePitch="360"/>
        </w:sectPr>
      </w:pPr>
    </w:p>
    <w:p w:rsidR="00322F45" w:rsidRPr="000572BC" w:rsidRDefault="00322F45" w:rsidP="00FD759A">
      <w:pPr>
        <w:suppressLineNumbers/>
        <w:spacing w:after="240"/>
        <w:rPr>
          <w:b/>
          <w:color w:val="000000"/>
          <w:sz w:val="26"/>
          <w:szCs w:val="26"/>
          <w:u w:val="single"/>
        </w:rPr>
      </w:pPr>
      <w:r w:rsidRPr="000572BC">
        <w:rPr>
          <w:b/>
          <w:color w:val="000000"/>
          <w:sz w:val="26"/>
          <w:szCs w:val="26"/>
          <w:u w:val="single"/>
        </w:rPr>
        <w:lastRenderedPageBreak/>
        <w:t>COMPLIANCE WITH ISSUANCE STANDARDS</w:t>
      </w:r>
    </w:p>
    <w:p w:rsidR="00322F45" w:rsidRPr="000572BC" w:rsidRDefault="00322F45" w:rsidP="00322F45">
      <w:pPr>
        <w:suppressLineNumbers/>
        <w:spacing w:after="240"/>
        <w:jc w:val="both"/>
        <w:rPr>
          <w:color w:val="000000"/>
          <w:sz w:val="26"/>
          <w:szCs w:val="26"/>
        </w:rPr>
      </w:pPr>
      <w:r w:rsidRPr="000572BC">
        <w:rPr>
          <w:color w:val="000000"/>
          <w:sz w:val="26"/>
          <w:szCs w:val="26"/>
        </w:rPr>
        <w:t>The Financing Order requires Applicants to confirm, using the methodology approved therein, that the actual terms of the Phase-In Recovery (PIR) Bonds result in compliance with the standards set forth in the Financing Order.  These standards are:</w:t>
      </w:r>
    </w:p>
    <w:p w:rsidR="00322F45" w:rsidRPr="0005054E" w:rsidRDefault="00322F45" w:rsidP="00322F45">
      <w:pPr>
        <w:pStyle w:val="ListParagraph"/>
        <w:numPr>
          <w:ilvl w:val="0"/>
          <w:numId w:val="29"/>
        </w:numPr>
        <w:suppressLineNumbers/>
        <w:spacing w:after="240"/>
        <w:ind w:left="1440" w:hanging="720"/>
        <w:contextualSpacing w:val="0"/>
        <w:jc w:val="both"/>
        <w:rPr>
          <w:rFonts w:ascii="Times New Roman" w:hAnsi="Times New Roman"/>
          <w:sz w:val="26"/>
          <w:szCs w:val="26"/>
        </w:rPr>
      </w:pPr>
      <w:r w:rsidRPr="0005054E">
        <w:rPr>
          <w:rFonts w:ascii="Times New Roman" w:hAnsi="Times New Roman"/>
          <w:sz w:val="26"/>
          <w:szCs w:val="26"/>
        </w:rPr>
        <w:t>The total amount of revenues to be collected under the Financing Order is less than the revenue requirement that would be recovered using traditional cost recovery mechanisms (See Exhibit-A, Attachment 2, Schedule C and D);</w:t>
      </w:r>
    </w:p>
    <w:p w:rsidR="00322F45" w:rsidRPr="0005054E" w:rsidRDefault="00322F45" w:rsidP="00322F45">
      <w:pPr>
        <w:suppressLineNumbers/>
        <w:spacing w:after="240"/>
        <w:ind w:left="1440" w:hanging="720"/>
        <w:jc w:val="both"/>
        <w:rPr>
          <w:sz w:val="26"/>
          <w:szCs w:val="26"/>
        </w:rPr>
      </w:pPr>
      <w:r w:rsidRPr="0005054E">
        <w:rPr>
          <w:sz w:val="26"/>
          <w:szCs w:val="26"/>
        </w:rPr>
        <w:t>2.</w:t>
      </w:r>
      <w:r w:rsidRPr="0005054E">
        <w:rPr>
          <w:sz w:val="26"/>
          <w:szCs w:val="26"/>
        </w:rPr>
        <w:tab/>
        <w:t>The amount securitized will not exceed the present value of traditional cost recovery mechanisms revenue requirement over the life of the proposed PIR Bonds associated with the Securitized PIR; (See Exhibit-A, Attach</w:t>
      </w:r>
      <w:r>
        <w:rPr>
          <w:sz w:val="26"/>
          <w:szCs w:val="26"/>
        </w:rPr>
        <w:softHyphen/>
      </w:r>
      <w:r w:rsidRPr="0005054E">
        <w:rPr>
          <w:sz w:val="26"/>
          <w:szCs w:val="26"/>
        </w:rPr>
        <w:t>ment 2, Schedule D);</w:t>
      </w:r>
    </w:p>
    <w:p w:rsidR="00731BF8" w:rsidRDefault="00322F45" w:rsidP="00322F45">
      <w:pPr>
        <w:suppressLineNumbers/>
        <w:spacing w:after="240"/>
        <w:ind w:left="1440" w:hanging="720"/>
        <w:jc w:val="both"/>
        <w:rPr>
          <w:sz w:val="26"/>
          <w:szCs w:val="26"/>
        </w:rPr>
      </w:pPr>
      <w:r w:rsidRPr="0005054E">
        <w:rPr>
          <w:sz w:val="26"/>
          <w:szCs w:val="26"/>
        </w:rPr>
        <w:t>3.</w:t>
      </w:r>
      <w:r w:rsidRPr="0005054E">
        <w:rPr>
          <w:sz w:val="26"/>
          <w:szCs w:val="26"/>
        </w:rPr>
        <w:tab/>
        <w:t xml:space="preserve">The PIR Bonds will be issued in one or more series comprised of one or more tranches having final maturities of ___years and legal final maturities not exceeding ___ years from the date of issuance of such series (See Exhibit-A, Attachment 2, Schedule A).  </w:t>
      </w:r>
    </w:p>
    <w:p w:rsidR="00322F45" w:rsidRPr="0005054E" w:rsidRDefault="00731BF8" w:rsidP="00322F45">
      <w:pPr>
        <w:suppressLineNumbers/>
        <w:spacing w:after="240"/>
        <w:ind w:left="1440" w:hanging="720"/>
        <w:jc w:val="both"/>
        <w:rPr>
          <w:sz w:val="26"/>
          <w:szCs w:val="26"/>
        </w:rPr>
      </w:pPr>
      <w:r>
        <w:rPr>
          <w:sz w:val="26"/>
          <w:szCs w:val="26"/>
        </w:rPr>
        <w:tab/>
      </w:r>
      <w:r w:rsidR="00322F45" w:rsidRPr="0005054E">
        <w:rPr>
          <w:sz w:val="26"/>
          <w:szCs w:val="26"/>
        </w:rPr>
        <w:t>The structuring and pricing of the PIR Bonds is certified by the Applicants to result in the lowest PIR bond charges consistent with market conditions and the terms (including the amortization structure ordered by the Commission, if any) set out in the Financing Order (See Exhibit-A, Attachment 3).</w:t>
      </w:r>
    </w:p>
    <w:p w:rsidR="00FD759A" w:rsidRDefault="00FD759A" w:rsidP="00A71396">
      <w:pPr>
        <w:suppressLineNumbers/>
        <w:spacing w:after="240"/>
        <w:jc w:val="center"/>
        <w:rPr>
          <w:b/>
          <w:color w:val="000000"/>
          <w:sz w:val="26"/>
          <w:szCs w:val="26"/>
          <w:u w:val="single"/>
        </w:rPr>
        <w:sectPr w:rsidR="00FD759A" w:rsidSect="003B12DD">
          <w:headerReference w:type="first" r:id="rId29"/>
          <w:footnotePr>
            <w:numRestart w:val="eachSect"/>
          </w:footnotePr>
          <w:pgSz w:w="12240" w:h="15840" w:code="1"/>
          <w:pgMar w:top="1440" w:right="1440" w:bottom="1440" w:left="1440" w:header="720" w:footer="720" w:gutter="0"/>
          <w:pgNumType w:start="1"/>
          <w:cols w:space="720"/>
          <w:titlePg/>
          <w:docGrid w:linePitch="360"/>
        </w:sectPr>
      </w:pPr>
    </w:p>
    <w:p w:rsidR="00322F45" w:rsidRPr="000572BC" w:rsidRDefault="00322F45" w:rsidP="00A71396">
      <w:pPr>
        <w:suppressLineNumbers/>
        <w:spacing w:after="240"/>
        <w:jc w:val="center"/>
        <w:rPr>
          <w:b/>
          <w:color w:val="000000"/>
          <w:sz w:val="26"/>
          <w:szCs w:val="26"/>
          <w:u w:val="single"/>
        </w:rPr>
      </w:pPr>
      <w:r w:rsidRPr="000572BC">
        <w:rPr>
          <w:b/>
          <w:color w:val="000000"/>
          <w:sz w:val="26"/>
          <w:szCs w:val="26"/>
          <w:u w:val="single"/>
        </w:rPr>
        <w:lastRenderedPageBreak/>
        <w:t>ACTUAL TERMS OF ISSUANCE</w:t>
      </w:r>
    </w:p>
    <w:p w:rsidR="00322F45" w:rsidRPr="0005054E" w:rsidRDefault="00322F45" w:rsidP="00322F45">
      <w:pPr>
        <w:pStyle w:val="NoSpacing"/>
        <w:suppressLineNumbers/>
        <w:jc w:val="both"/>
        <w:rPr>
          <w:rFonts w:ascii="Times New Roman" w:hAnsi="Times New Roman"/>
          <w:sz w:val="26"/>
          <w:szCs w:val="26"/>
        </w:rPr>
      </w:pPr>
      <w:r w:rsidRPr="0005054E">
        <w:rPr>
          <w:rFonts w:ascii="Times New Roman" w:hAnsi="Times New Roman"/>
          <w:sz w:val="26"/>
          <w:szCs w:val="26"/>
        </w:rPr>
        <w:t>PIR Bond Series: ___________</w:t>
      </w:r>
    </w:p>
    <w:p w:rsidR="00322F45" w:rsidRPr="0005054E" w:rsidRDefault="00322F45" w:rsidP="00322F45">
      <w:pPr>
        <w:pStyle w:val="NoSpacing"/>
        <w:suppressLineNumbers/>
        <w:spacing w:after="240"/>
        <w:jc w:val="both"/>
        <w:rPr>
          <w:rFonts w:ascii="Times New Roman" w:hAnsi="Times New Roman"/>
          <w:sz w:val="26"/>
          <w:szCs w:val="26"/>
        </w:rPr>
      </w:pPr>
    </w:p>
    <w:p w:rsidR="00322F45" w:rsidRPr="0005054E" w:rsidRDefault="00322F45" w:rsidP="00322F45">
      <w:pPr>
        <w:pStyle w:val="NoSpacing"/>
        <w:suppressLineNumbers/>
        <w:spacing w:after="240"/>
        <w:jc w:val="both"/>
        <w:rPr>
          <w:rFonts w:ascii="Times New Roman" w:hAnsi="Times New Roman"/>
          <w:sz w:val="26"/>
          <w:szCs w:val="26"/>
        </w:rPr>
      </w:pPr>
      <w:r w:rsidRPr="0005054E">
        <w:rPr>
          <w:rFonts w:ascii="Times New Roman" w:hAnsi="Times New Roman"/>
          <w:sz w:val="26"/>
          <w:szCs w:val="26"/>
        </w:rPr>
        <w:t>PIR Bond Issuer:  [SPE}</w:t>
      </w:r>
    </w:p>
    <w:p w:rsidR="00322F45" w:rsidRPr="0005054E" w:rsidRDefault="00322F45" w:rsidP="00322F45">
      <w:pPr>
        <w:pStyle w:val="NoSpacing"/>
        <w:suppressLineNumbers/>
        <w:spacing w:after="240"/>
        <w:jc w:val="both"/>
        <w:rPr>
          <w:rFonts w:ascii="Times New Roman" w:hAnsi="Times New Roman"/>
          <w:sz w:val="26"/>
          <w:szCs w:val="26"/>
        </w:rPr>
      </w:pPr>
      <w:r w:rsidRPr="0005054E">
        <w:rPr>
          <w:rFonts w:ascii="Times New Roman" w:hAnsi="Times New Roman"/>
          <w:sz w:val="26"/>
          <w:szCs w:val="26"/>
        </w:rPr>
        <w:t>Trustee:</w:t>
      </w:r>
    </w:p>
    <w:p w:rsidR="00322F45" w:rsidRPr="0005054E" w:rsidRDefault="00322F45" w:rsidP="00322F45">
      <w:pPr>
        <w:pStyle w:val="NoSpacing"/>
        <w:suppressLineNumbers/>
        <w:spacing w:after="240"/>
        <w:jc w:val="both"/>
        <w:rPr>
          <w:rFonts w:ascii="Times New Roman" w:hAnsi="Times New Roman"/>
          <w:sz w:val="26"/>
          <w:szCs w:val="26"/>
        </w:rPr>
      </w:pPr>
      <w:r w:rsidRPr="0005054E">
        <w:rPr>
          <w:rFonts w:ascii="Times New Roman" w:hAnsi="Times New Roman"/>
          <w:sz w:val="26"/>
          <w:szCs w:val="26"/>
        </w:rPr>
        <w:t>Closing date: _______, 2013</w:t>
      </w:r>
    </w:p>
    <w:p w:rsidR="00322F45" w:rsidRPr="0005054E" w:rsidRDefault="00322F45" w:rsidP="00322F45">
      <w:pPr>
        <w:pStyle w:val="NoSpacing"/>
        <w:suppressLineNumbers/>
        <w:spacing w:after="240"/>
        <w:jc w:val="both"/>
        <w:rPr>
          <w:rFonts w:ascii="Times New Roman" w:hAnsi="Times New Roman"/>
          <w:sz w:val="26"/>
          <w:szCs w:val="26"/>
        </w:rPr>
      </w:pPr>
      <w:r w:rsidRPr="0005054E">
        <w:rPr>
          <w:rFonts w:ascii="Times New Roman" w:hAnsi="Times New Roman"/>
          <w:sz w:val="26"/>
          <w:szCs w:val="26"/>
        </w:rPr>
        <w:t>Bond ratings:  S&amp;P AAA, Fitch AAA, Moody’s Aaa</w:t>
      </w:r>
    </w:p>
    <w:p w:rsidR="00322F45" w:rsidRPr="0005054E" w:rsidRDefault="00322F45" w:rsidP="00322F45">
      <w:pPr>
        <w:pStyle w:val="NoSpacing"/>
        <w:suppressLineNumbers/>
        <w:spacing w:after="240"/>
        <w:jc w:val="both"/>
        <w:rPr>
          <w:rFonts w:ascii="Times New Roman" w:hAnsi="Times New Roman"/>
          <w:sz w:val="26"/>
          <w:szCs w:val="26"/>
        </w:rPr>
      </w:pPr>
      <w:r w:rsidRPr="0005054E">
        <w:rPr>
          <w:rFonts w:ascii="Times New Roman" w:hAnsi="Times New Roman"/>
          <w:sz w:val="26"/>
          <w:szCs w:val="26"/>
        </w:rPr>
        <w:t>Amount Issued: $ ___________</w:t>
      </w:r>
    </w:p>
    <w:p w:rsidR="00322F45" w:rsidRPr="0005054E" w:rsidRDefault="00322F45" w:rsidP="00322F45">
      <w:pPr>
        <w:pStyle w:val="NoSpacing"/>
        <w:suppressLineNumbers/>
        <w:spacing w:after="240"/>
        <w:jc w:val="both"/>
        <w:rPr>
          <w:rFonts w:ascii="Times New Roman" w:hAnsi="Times New Roman"/>
          <w:sz w:val="26"/>
          <w:szCs w:val="26"/>
        </w:rPr>
      </w:pPr>
      <w:r w:rsidRPr="0005054E">
        <w:rPr>
          <w:rFonts w:ascii="Times New Roman" w:hAnsi="Times New Roman"/>
          <w:sz w:val="26"/>
          <w:szCs w:val="26"/>
        </w:rPr>
        <w:t>PIR Bond Issuance Costs:  See Attachment________ Schedule___</w:t>
      </w:r>
    </w:p>
    <w:p w:rsidR="00322F45" w:rsidRPr="0005054E" w:rsidRDefault="00322F45" w:rsidP="00322F45">
      <w:pPr>
        <w:pStyle w:val="NoSpacing"/>
        <w:suppressLineNumbers/>
        <w:spacing w:after="240"/>
        <w:jc w:val="both"/>
        <w:rPr>
          <w:rFonts w:ascii="Times New Roman" w:hAnsi="Times New Roman"/>
          <w:sz w:val="26"/>
          <w:szCs w:val="26"/>
        </w:rPr>
      </w:pPr>
      <w:r w:rsidRPr="0005054E">
        <w:rPr>
          <w:rFonts w:ascii="Times New Roman" w:hAnsi="Times New Roman"/>
          <w:sz w:val="26"/>
          <w:szCs w:val="26"/>
        </w:rPr>
        <w:t>PIR Bond Support and Serving:  See Attachment ______ Schedule ___</w:t>
      </w:r>
    </w:p>
    <w:p w:rsidR="00322F45" w:rsidRPr="0005054E" w:rsidRDefault="00322F45" w:rsidP="00322F45">
      <w:pPr>
        <w:pStyle w:val="NoSpacing"/>
        <w:suppressLineNumbers/>
        <w:jc w:val="both"/>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214"/>
        <w:gridCol w:w="2214"/>
        <w:gridCol w:w="2214"/>
      </w:tblGrid>
      <w:tr w:rsidR="00322F45" w:rsidRPr="0005054E" w:rsidTr="003C048B">
        <w:trPr>
          <w:trHeight w:val="144"/>
        </w:trPr>
        <w:tc>
          <w:tcPr>
            <w:tcW w:w="2214" w:type="dxa"/>
            <w:shd w:val="clear" w:color="auto" w:fill="auto"/>
            <w:vAlign w:val="center"/>
          </w:tcPr>
          <w:p w:rsidR="00322F45" w:rsidRPr="0005054E" w:rsidRDefault="00322F45" w:rsidP="00322F45">
            <w:pPr>
              <w:pStyle w:val="NoSpacing"/>
              <w:suppressLineNumbers/>
              <w:jc w:val="center"/>
              <w:rPr>
                <w:rFonts w:ascii="Times New Roman" w:hAnsi="Times New Roman"/>
                <w:sz w:val="26"/>
                <w:szCs w:val="26"/>
              </w:rPr>
            </w:pPr>
          </w:p>
          <w:p w:rsidR="00322F45" w:rsidRPr="0005054E" w:rsidRDefault="00322F45" w:rsidP="00322F45">
            <w:pPr>
              <w:pStyle w:val="NoSpacing"/>
              <w:suppressLineNumbers/>
              <w:jc w:val="center"/>
              <w:rPr>
                <w:rFonts w:ascii="Times New Roman" w:hAnsi="Times New Roman"/>
                <w:sz w:val="26"/>
                <w:szCs w:val="26"/>
              </w:rPr>
            </w:pPr>
            <w:r w:rsidRPr="0005054E">
              <w:rPr>
                <w:rFonts w:ascii="Times New Roman" w:hAnsi="Times New Roman"/>
                <w:sz w:val="26"/>
                <w:szCs w:val="26"/>
              </w:rPr>
              <w:t>Tranche</w:t>
            </w:r>
          </w:p>
        </w:tc>
        <w:tc>
          <w:tcPr>
            <w:tcW w:w="2214" w:type="dxa"/>
            <w:shd w:val="clear" w:color="auto" w:fill="auto"/>
            <w:vAlign w:val="center"/>
          </w:tcPr>
          <w:p w:rsidR="00322F45" w:rsidRPr="0005054E" w:rsidRDefault="00322F45" w:rsidP="00322F45">
            <w:pPr>
              <w:pStyle w:val="NoSpacing"/>
              <w:suppressLineNumbers/>
              <w:jc w:val="center"/>
              <w:rPr>
                <w:rFonts w:ascii="Times New Roman" w:hAnsi="Times New Roman"/>
                <w:sz w:val="26"/>
                <w:szCs w:val="26"/>
              </w:rPr>
            </w:pPr>
          </w:p>
          <w:p w:rsidR="00322F45" w:rsidRPr="0005054E" w:rsidRDefault="00322F45" w:rsidP="00322F45">
            <w:pPr>
              <w:pStyle w:val="NoSpacing"/>
              <w:suppressLineNumbers/>
              <w:jc w:val="center"/>
              <w:rPr>
                <w:rFonts w:ascii="Times New Roman" w:hAnsi="Times New Roman"/>
                <w:sz w:val="26"/>
                <w:szCs w:val="26"/>
              </w:rPr>
            </w:pPr>
            <w:r w:rsidRPr="0005054E">
              <w:rPr>
                <w:rFonts w:ascii="Times New Roman" w:hAnsi="Times New Roman"/>
                <w:sz w:val="26"/>
                <w:szCs w:val="26"/>
              </w:rPr>
              <w:t>Coupon Rate</w:t>
            </w:r>
          </w:p>
        </w:tc>
        <w:tc>
          <w:tcPr>
            <w:tcW w:w="2214" w:type="dxa"/>
            <w:shd w:val="clear" w:color="auto" w:fill="auto"/>
            <w:vAlign w:val="center"/>
          </w:tcPr>
          <w:p w:rsidR="00322F45" w:rsidRPr="0005054E" w:rsidRDefault="00322F45" w:rsidP="00322F45">
            <w:pPr>
              <w:pStyle w:val="NoSpacing"/>
              <w:suppressLineNumbers/>
              <w:jc w:val="center"/>
              <w:rPr>
                <w:rFonts w:ascii="Times New Roman" w:hAnsi="Times New Roman"/>
                <w:sz w:val="26"/>
                <w:szCs w:val="26"/>
              </w:rPr>
            </w:pPr>
            <w:r w:rsidRPr="0005054E">
              <w:rPr>
                <w:rFonts w:ascii="Times New Roman" w:hAnsi="Times New Roman"/>
                <w:sz w:val="26"/>
                <w:szCs w:val="26"/>
              </w:rPr>
              <w:t>Expected Final</w:t>
            </w:r>
          </w:p>
          <w:p w:rsidR="00322F45" w:rsidRPr="0005054E" w:rsidRDefault="00322F45" w:rsidP="00322F45">
            <w:pPr>
              <w:pStyle w:val="NoSpacing"/>
              <w:suppressLineNumbers/>
              <w:jc w:val="center"/>
              <w:rPr>
                <w:rFonts w:ascii="Times New Roman" w:hAnsi="Times New Roman"/>
                <w:sz w:val="26"/>
                <w:szCs w:val="26"/>
              </w:rPr>
            </w:pPr>
            <w:r w:rsidRPr="0005054E">
              <w:rPr>
                <w:rFonts w:ascii="Times New Roman" w:hAnsi="Times New Roman"/>
                <w:sz w:val="26"/>
                <w:szCs w:val="26"/>
              </w:rPr>
              <w:t>Maturity</w:t>
            </w:r>
          </w:p>
        </w:tc>
        <w:tc>
          <w:tcPr>
            <w:tcW w:w="2214" w:type="dxa"/>
            <w:shd w:val="clear" w:color="auto" w:fill="auto"/>
            <w:vAlign w:val="center"/>
          </w:tcPr>
          <w:p w:rsidR="00322F45" w:rsidRPr="0005054E" w:rsidRDefault="00322F45" w:rsidP="00322F45">
            <w:pPr>
              <w:pStyle w:val="NoSpacing"/>
              <w:suppressLineNumbers/>
              <w:jc w:val="center"/>
              <w:rPr>
                <w:rFonts w:ascii="Times New Roman" w:hAnsi="Times New Roman"/>
                <w:sz w:val="26"/>
                <w:szCs w:val="26"/>
              </w:rPr>
            </w:pPr>
            <w:r w:rsidRPr="0005054E">
              <w:rPr>
                <w:rFonts w:ascii="Times New Roman" w:hAnsi="Times New Roman"/>
                <w:sz w:val="26"/>
                <w:szCs w:val="26"/>
              </w:rPr>
              <w:t>Legal Final</w:t>
            </w:r>
          </w:p>
          <w:p w:rsidR="00322F45" w:rsidRPr="0005054E" w:rsidRDefault="00322F45" w:rsidP="00322F45">
            <w:pPr>
              <w:pStyle w:val="NoSpacing"/>
              <w:suppressLineNumbers/>
              <w:jc w:val="center"/>
              <w:rPr>
                <w:rFonts w:ascii="Times New Roman" w:hAnsi="Times New Roman"/>
                <w:sz w:val="26"/>
                <w:szCs w:val="26"/>
              </w:rPr>
            </w:pPr>
            <w:r w:rsidRPr="0005054E">
              <w:rPr>
                <w:rFonts w:ascii="Times New Roman" w:hAnsi="Times New Roman"/>
                <w:sz w:val="26"/>
                <w:szCs w:val="26"/>
              </w:rPr>
              <w:t>Maturity</w:t>
            </w:r>
          </w:p>
        </w:tc>
      </w:tr>
      <w:tr w:rsidR="00322F45" w:rsidRPr="0005054E" w:rsidTr="003C048B">
        <w:trPr>
          <w:trHeight w:val="144"/>
        </w:trPr>
        <w:tc>
          <w:tcPr>
            <w:tcW w:w="2214" w:type="dxa"/>
            <w:shd w:val="clear" w:color="auto" w:fill="auto"/>
            <w:vAlign w:val="center"/>
          </w:tcPr>
          <w:p w:rsidR="00322F45" w:rsidRPr="0005054E" w:rsidRDefault="00322F45" w:rsidP="00322F45">
            <w:pPr>
              <w:pStyle w:val="NoSpacing"/>
              <w:suppressLineNumbers/>
              <w:rPr>
                <w:rFonts w:ascii="Times New Roman" w:hAnsi="Times New Roman"/>
                <w:sz w:val="26"/>
                <w:szCs w:val="26"/>
              </w:rPr>
            </w:pPr>
            <w:r w:rsidRPr="0005054E">
              <w:rPr>
                <w:rFonts w:ascii="Times New Roman" w:hAnsi="Times New Roman"/>
                <w:sz w:val="26"/>
                <w:szCs w:val="26"/>
              </w:rPr>
              <w:t>A-1</w:t>
            </w:r>
          </w:p>
        </w:tc>
        <w:tc>
          <w:tcPr>
            <w:tcW w:w="2214" w:type="dxa"/>
            <w:shd w:val="clear" w:color="auto" w:fill="auto"/>
            <w:vAlign w:val="center"/>
          </w:tcPr>
          <w:p w:rsidR="00322F45" w:rsidRPr="0005054E" w:rsidRDefault="00322F45" w:rsidP="00322F45">
            <w:pPr>
              <w:pStyle w:val="NoSpacing"/>
              <w:suppressLineNumbers/>
              <w:rPr>
                <w:rFonts w:ascii="Times New Roman" w:hAnsi="Times New Roman"/>
                <w:sz w:val="26"/>
                <w:szCs w:val="26"/>
              </w:rPr>
            </w:pPr>
          </w:p>
        </w:tc>
        <w:tc>
          <w:tcPr>
            <w:tcW w:w="2214" w:type="dxa"/>
            <w:shd w:val="clear" w:color="auto" w:fill="auto"/>
            <w:vAlign w:val="center"/>
          </w:tcPr>
          <w:p w:rsidR="00322F45" w:rsidRPr="0005054E" w:rsidRDefault="00322F45" w:rsidP="00322F45">
            <w:pPr>
              <w:pStyle w:val="NoSpacing"/>
              <w:suppressLineNumbers/>
              <w:rPr>
                <w:rFonts w:ascii="Times New Roman" w:hAnsi="Times New Roman"/>
                <w:sz w:val="26"/>
                <w:szCs w:val="26"/>
              </w:rPr>
            </w:pPr>
            <w:r w:rsidRPr="0005054E">
              <w:rPr>
                <w:rFonts w:ascii="Times New Roman" w:hAnsi="Times New Roman"/>
                <w:sz w:val="26"/>
                <w:szCs w:val="26"/>
              </w:rPr>
              <w:t>__/__ /____</w:t>
            </w:r>
          </w:p>
        </w:tc>
        <w:tc>
          <w:tcPr>
            <w:tcW w:w="2214" w:type="dxa"/>
            <w:shd w:val="clear" w:color="auto" w:fill="auto"/>
            <w:vAlign w:val="center"/>
          </w:tcPr>
          <w:p w:rsidR="00322F45" w:rsidRPr="0005054E" w:rsidRDefault="00322F45" w:rsidP="00322F45">
            <w:pPr>
              <w:pStyle w:val="NoSpacing"/>
              <w:suppressLineNumbers/>
              <w:rPr>
                <w:rFonts w:ascii="Times New Roman" w:hAnsi="Times New Roman"/>
                <w:sz w:val="26"/>
                <w:szCs w:val="26"/>
              </w:rPr>
            </w:pPr>
            <w:r w:rsidRPr="0005054E">
              <w:rPr>
                <w:rFonts w:ascii="Times New Roman" w:hAnsi="Times New Roman"/>
                <w:sz w:val="26"/>
                <w:szCs w:val="26"/>
              </w:rPr>
              <w:t>__/__ /____</w:t>
            </w:r>
          </w:p>
        </w:tc>
      </w:tr>
      <w:tr w:rsidR="00322F45" w:rsidRPr="0005054E" w:rsidTr="003C048B">
        <w:trPr>
          <w:trHeight w:val="144"/>
        </w:trPr>
        <w:tc>
          <w:tcPr>
            <w:tcW w:w="2214" w:type="dxa"/>
            <w:shd w:val="clear" w:color="auto" w:fill="auto"/>
            <w:vAlign w:val="center"/>
          </w:tcPr>
          <w:p w:rsidR="00322F45" w:rsidRPr="0005054E" w:rsidRDefault="00322F45" w:rsidP="00322F45">
            <w:pPr>
              <w:pStyle w:val="NoSpacing"/>
              <w:suppressLineNumbers/>
              <w:rPr>
                <w:rFonts w:ascii="Times New Roman" w:hAnsi="Times New Roman"/>
                <w:sz w:val="26"/>
                <w:szCs w:val="26"/>
              </w:rPr>
            </w:pPr>
            <w:r w:rsidRPr="0005054E">
              <w:rPr>
                <w:rFonts w:ascii="Times New Roman" w:hAnsi="Times New Roman"/>
                <w:sz w:val="26"/>
                <w:szCs w:val="26"/>
              </w:rPr>
              <w:t>A-2</w:t>
            </w:r>
          </w:p>
        </w:tc>
        <w:tc>
          <w:tcPr>
            <w:tcW w:w="2214" w:type="dxa"/>
            <w:shd w:val="clear" w:color="auto" w:fill="auto"/>
            <w:vAlign w:val="center"/>
          </w:tcPr>
          <w:p w:rsidR="00322F45" w:rsidRPr="0005054E" w:rsidRDefault="00322F45" w:rsidP="00322F45">
            <w:pPr>
              <w:pStyle w:val="NoSpacing"/>
              <w:suppressLineNumbers/>
              <w:rPr>
                <w:rFonts w:ascii="Times New Roman" w:hAnsi="Times New Roman"/>
                <w:sz w:val="26"/>
                <w:szCs w:val="26"/>
              </w:rPr>
            </w:pPr>
          </w:p>
        </w:tc>
        <w:tc>
          <w:tcPr>
            <w:tcW w:w="2214" w:type="dxa"/>
            <w:shd w:val="clear" w:color="auto" w:fill="auto"/>
            <w:vAlign w:val="center"/>
          </w:tcPr>
          <w:p w:rsidR="00322F45" w:rsidRPr="0005054E" w:rsidRDefault="00322F45" w:rsidP="00322F45">
            <w:pPr>
              <w:pStyle w:val="NoSpacing"/>
              <w:suppressLineNumbers/>
              <w:rPr>
                <w:rFonts w:ascii="Times New Roman" w:hAnsi="Times New Roman"/>
                <w:sz w:val="26"/>
                <w:szCs w:val="26"/>
              </w:rPr>
            </w:pPr>
            <w:r w:rsidRPr="0005054E">
              <w:rPr>
                <w:rFonts w:ascii="Times New Roman" w:hAnsi="Times New Roman"/>
                <w:sz w:val="26"/>
                <w:szCs w:val="26"/>
              </w:rPr>
              <w:t>__/__ /____</w:t>
            </w:r>
          </w:p>
        </w:tc>
        <w:tc>
          <w:tcPr>
            <w:tcW w:w="2214" w:type="dxa"/>
            <w:shd w:val="clear" w:color="auto" w:fill="auto"/>
            <w:vAlign w:val="center"/>
          </w:tcPr>
          <w:p w:rsidR="00322F45" w:rsidRPr="0005054E" w:rsidRDefault="00322F45" w:rsidP="00322F45">
            <w:pPr>
              <w:pStyle w:val="NoSpacing"/>
              <w:suppressLineNumbers/>
              <w:rPr>
                <w:rFonts w:ascii="Times New Roman" w:hAnsi="Times New Roman"/>
                <w:sz w:val="26"/>
                <w:szCs w:val="26"/>
              </w:rPr>
            </w:pPr>
            <w:r w:rsidRPr="0005054E">
              <w:rPr>
                <w:rFonts w:ascii="Times New Roman" w:hAnsi="Times New Roman"/>
                <w:sz w:val="26"/>
                <w:szCs w:val="26"/>
              </w:rPr>
              <w:t>__/__ /____</w:t>
            </w:r>
          </w:p>
        </w:tc>
      </w:tr>
      <w:tr w:rsidR="00322F45" w:rsidRPr="0005054E" w:rsidTr="003C048B">
        <w:trPr>
          <w:trHeight w:val="144"/>
        </w:trPr>
        <w:tc>
          <w:tcPr>
            <w:tcW w:w="2214" w:type="dxa"/>
            <w:shd w:val="clear" w:color="auto" w:fill="auto"/>
            <w:vAlign w:val="center"/>
          </w:tcPr>
          <w:p w:rsidR="00322F45" w:rsidRPr="0005054E" w:rsidRDefault="00322F45" w:rsidP="00322F45">
            <w:pPr>
              <w:pStyle w:val="NoSpacing"/>
              <w:suppressLineNumbers/>
              <w:rPr>
                <w:rFonts w:ascii="Times New Roman" w:hAnsi="Times New Roman"/>
                <w:sz w:val="26"/>
                <w:szCs w:val="26"/>
              </w:rPr>
            </w:pPr>
            <w:r w:rsidRPr="0005054E">
              <w:rPr>
                <w:rFonts w:ascii="Times New Roman" w:hAnsi="Times New Roman"/>
                <w:sz w:val="26"/>
                <w:szCs w:val="26"/>
              </w:rPr>
              <w:t>A-3</w:t>
            </w:r>
          </w:p>
        </w:tc>
        <w:tc>
          <w:tcPr>
            <w:tcW w:w="2214" w:type="dxa"/>
            <w:shd w:val="clear" w:color="auto" w:fill="auto"/>
            <w:vAlign w:val="center"/>
          </w:tcPr>
          <w:p w:rsidR="00322F45" w:rsidRPr="0005054E" w:rsidRDefault="00322F45" w:rsidP="00322F45">
            <w:pPr>
              <w:pStyle w:val="NoSpacing"/>
              <w:suppressLineNumbers/>
              <w:rPr>
                <w:rFonts w:ascii="Times New Roman" w:hAnsi="Times New Roman"/>
                <w:sz w:val="26"/>
                <w:szCs w:val="26"/>
              </w:rPr>
            </w:pPr>
          </w:p>
        </w:tc>
        <w:tc>
          <w:tcPr>
            <w:tcW w:w="2214" w:type="dxa"/>
            <w:shd w:val="clear" w:color="auto" w:fill="auto"/>
            <w:vAlign w:val="center"/>
          </w:tcPr>
          <w:p w:rsidR="00322F45" w:rsidRPr="0005054E" w:rsidRDefault="00322F45" w:rsidP="00322F45">
            <w:pPr>
              <w:pStyle w:val="NoSpacing"/>
              <w:suppressLineNumbers/>
              <w:rPr>
                <w:rFonts w:ascii="Times New Roman" w:hAnsi="Times New Roman"/>
                <w:sz w:val="26"/>
                <w:szCs w:val="26"/>
              </w:rPr>
            </w:pPr>
            <w:r w:rsidRPr="0005054E">
              <w:rPr>
                <w:rFonts w:ascii="Times New Roman" w:hAnsi="Times New Roman"/>
                <w:sz w:val="26"/>
                <w:szCs w:val="26"/>
              </w:rPr>
              <w:t>__/__ /____</w:t>
            </w:r>
          </w:p>
        </w:tc>
        <w:tc>
          <w:tcPr>
            <w:tcW w:w="2214" w:type="dxa"/>
            <w:shd w:val="clear" w:color="auto" w:fill="auto"/>
            <w:vAlign w:val="center"/>
          </w:tcPr>
          <w:p w:rsidR="00322F45" w:rsidRPr="0005054E" w:rsidRDefault="00322F45" w:rsidP="00322F45">
            <w:pPr>
              <w:pStyle w:val="NoSpacing"/>
              <w:suppressLineNumbers/>
              <w:rPr>
                <w:rFonts w:ascii="Times New Roman" w:hAnsi="Times New Roman"/>
                <w:sz w:val="26"/>
                <w:szCs w:val="26"/>
              </w:rPr>
            </w:pPr>
            <w:r w:rsidRPr="0005054E">
              <w:rPr>
                <w:rFonts w:ascii="Times New Roman" w:hAnsi="Times New Roman"/>
                <w:sz w:val="26"/>
                <w:szCs w:val="26"/>
              </w:rPr>
              <w:t>__/__ /____</w:t>
            </w:r>
          </w:p>
        </w:tc>
      </w:tr>
    </w:tbl>
    <w:p w:rsidR="00322F45" w:rsidRPr="0005054E" w:rsidRDefault="00322F45" w:rsidP="00322F45">
      <w:pPr>
        <w:pStyle w:val="NoSpacing"/>
        <w:suppressLineNumbers/>
        <w:jc w:val="both"/>
        <w:rPr>
          <w:rFonts w:ascii="Times New Roman" w:hAnsi="Times New Roman"/>
          <w:sz w:val="26"/>
          <w:szCs w:val="26"/>
        </w:rPr>
      </w:pPr>
    </w:p>
    <w:p w:rsidR="00322F45" w:rsidRPr="0005054E" w:rsidRDefault="00322F45" w:rsidP="00322F45">
      <w:pPr>
        <w:pStyle w:val="NoSpacing"/>
        <w:suppressLineNumbers/>
        <w:jc w:val="both"/>
        <w:rPr>
          <w:rFonts w:ascii="Times New Roman" w:hAnsi="Times New Roman"/>
          <w:sz w:val="26"/>
          <w:szCs w:val="26"/>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8"/>
        <w:gridCol w:w="3780"/>
      </w:tblGrid>
      <w:tr w:rsidR="00322F45" w:rsidRPr="0005054E" w:rsidTr="003C048B">
        <w:trPr>
          <w:trHeight w:val="288"/>
        </w:trPr>
        <w:tc>
          <w:tcPr>
            <w:tcW w:w="5058" w:type="dxa"/>
            <w:shd w:val="clear" w:color="auto" w:fill="auto"/>
            <w:vAlign w:val="center"/>
          </w:tcPr>
          <w:p w:rsidR="00322F45" w:rsidRPr="0005054E" w:rsidRDefault="00322F45" w:rsidP="00322F45">
            <w:pPr>
              <w:pStyle w:val="NoSpacing"/>
              <w:suppressLineNumbers/>
              <w:rPr>
                <w:rFonts w:ascii="Times New Roman" w:hAnsi="Times New Roman"/>
                <w:sz w:val="26"/>
                <w:szCs w:val="26"/>
              </w:rPr>
            </w:pPr>
            <w:r w:rsidRPr="0005054E">
              <w:rPr>
                <w:rFonts w:ascii="Times New Roman" w:hAnsi="Times New Roman"/>
                <w:sz w:val="26"/>
                <w:szCs w:val="26"/>
              </w:rPr>
              <w:t>Effective Annual Weighted Average Interest Rate of the PIR Bonds</w:t>
            </w:r>
          </w:p>
        </w:tc>
        <w:tc>
          <w:tcPr>
            <w:tcW w:w="3780" w:type="dxa"/>
            <w:shd w:val="clear" w:color="auto" w:fill="auto"/>
            <w:vAlign w:val="center"/>
          </w:tcPr>
          <w:p w:rsidR="00322F45" w:rsidRPr="0005054E" w:rsidRDefault="00322F45" w:rsidP="00322F45">
            <w:pPr>
              <w:pStyle w:val="NoSpacing"/>
              <w:suppressLineNumbers/>
              <w:rPr>
                <w:rFonts w:ascii="Times New Roman" w:hAnsi="Times New Roman"/>
                <w:sz w:val="26"/>
                <w:szCs w:val="26"/>
              </w:rPr>
            </w:pPr>
          </w:p>
          <w:p w:rsidR="00322F45" w:rsidRPr="0005054E" w:rsidRDefault="00322F45" w:rsidP="00322F45">
            <w:pPr>
              <w:pStyle w:val="NoSpacing"/>
              <w:suppressLineNumbers/>
              <w:rPr>
                <w:rFonts w:ascii="Times New Roman" w:hAnsi="Times New Roman"/>
                <w:sz w:val="26"/>
                <w:szCs w:val="26"/>
              </w:rPr>
            </w:pPr>
            <w:r w:rsidRPr="0005054E">
              <w:rPr>
                <w:rFonts w:ascii="Times New Roman" w:hAnsi="Times New Roman"/>
                <w:sz w:val="26"/>
                <w:szCs w:val="26"/>
              </w:rPr>
              <w:t>___%</w:t>
            </w:r>
          </w:p>
        </w:tc>
      </w:tr>
      <w:tr w:rsidR="00322F45" w:rsidRPr="0005054E" w:rsidTr="003C048B">
        <w:trPr>
          <w:trHeight w:val="288"/>
        </w:trPr>
        <w:tc>
          <w:tcPr>
            <w:tcW w:w="5058" w:type="dxa"/>
            <w:shd w:val="clear" w:color="auto" w:fill="auto"/>
            <w:vAlign w:val="center"/>
          </w:tcPr>
          <w:p w:rsidR="00322F45" w:rsidRPr="0005054E" w:rsidRDefault="00322F45" w:rsidP="00322F45">
            <w:pPr>
              <w:pStyle w:val="NoSpacing"/>
              <w:suppressLineNumbers/>
              <w:rPr>
                <w:rFonts w:ascii="Times New Roman" w:hAnsi="Times New Roman"/>
                <w:sz w:val="26"/>
                <w:szCs w:val="26"/>
              </w:rPr>
            </w:pPr>
            <w:r w:rsidRPr="0005054E">
              <w:rPr>
                <w:rFonts w:ascii="Times New Roman" w:hAnsi="Times New Roman"/>
                <w:sz w:val="26"/>
                <w:szCs w:val="26"/>
              </w:rPr>
              <w:t>Life of Series:</w:t>
            </w:r>
          </w:p>
        </w:tc>
        <w:tc>
          <w:tcPr>
            <w:tcW w:w="3780" w:type="dxa"/>
            <w:shd w:val="clear" w:color="auto" w:fill="auto"/>
            <w:vAlign w:val="center"/>
          </w:tcPr>
          <w:p w:rsidR="00322F45" w:rsidRPr="0005054E" w:rsidRDefault="00322F45" w:rsidP="00322F45">
            <w:pPr>
              <w:pStyle w:val="NoSpacing"/>
              <w:suppressLineNumbers/>
              <w:rPr>
                <w:rFonts w:ascii="Times New Roman" w:hAnsi="Times New Roman"/>
                <w:sz w:val="26"/>
                <w:szCs w:val="26"/>
              </w:rPr>
            </w:pPr>
            <w:r w:rsidRPr="0005054E">
              <w:rPr>
                <w:rFonts w:ascii="Times New Roman" w:hAnsi="Times New Roman"/>
                <w:sz w:val="26"/>
                <w:szCs w:val="26"/>
              </w:rPr>
              <w:t>___years</w:t>
            </w:r>
          </w:p>
        </w:tc>
      </w:tr>
      <w:tr w:rsidR="00322F45" w:rsidRPr="0005054E" w:rsidTr="003C048B">
        <w:trPr>
          <w:trHeight w:val="288"/>
        </w:trPr>
        <w:tc>
          <w:tcPr>
            <w:tcW w:w="5058" w:type="dxa"/>
            <w:shd w:val="clear" w:color="auto" w:fill="auto"/>
            <w:vAlign w:val="center"/>
          </w:tcPr>
          <w:p w:rsidR="00322F45" w:rsidRPr="0005054E" w:rsidRDefault="00322F45" w:rsidP="00322F45">
            <w:pPr>
              <w:pStyle w:val="NoSpacing"/>
              <w:suppressLineNumbers/>
              <w:rPr>
                <w:rFonts w:ascii="Times New Roman" w:hAnsi="Times New Roman"/>
                <w:sz w:val="26"/>
                <w:szCs w:val="26"/>
              </w:rPr>
            </w:pPr>
            <w:r w:rsidRPr="0005054E">
              <w:rPr>
                <w:rFonts w:ascii="Times New Roman" w:hAnsi="Times New Roman"/>
                <w:sz w:val="26"/>
                <w:szCs w:val="26"/>
              </w:rPr>
              <w:t>Weighted Average Life of Series:</w:t>
            </w:r>
          </w:p>
        </w:tc>
        <w:tc>
          <w:tcPr>
            <w:tcW w:w="3780" w:type="dxa"/>
            <w:shd w:val="clear" w:color="auto" w:fill="auto"/>
            <w:vAlign w:val="center"/>
          </w:tcPr>
          <w:p w:rsidR="00322F45" w:rsidRPr="0005054E" w:rsidRDefault="00322F45" w:rsidP="00322F45">
            <w:pPr>
              <w:pStyle w:val="NoSpacing"/>
              <w:suppressLineNumbers/>
              <w:rPr>
                <w:rFonts w:ascii="Times New Roman" w:hAnsi="Times New Roman"/>
                <w:sz w:val="26"/>
                <w:szCs w:val="26"/>
              </w:rPr>
            </w:pPr>
            <w:r w:rsidRPr="0005054E">
              <w:rPr>
                <w:rFonts w:ascii="Times New Roman" w:hAnsi="Times New Roman"/>
                <w:sz w:val="26"/>
                <w:szCs w:val="26"/>
              </w:rPr>
              <w:t>___years</w:t>
            </w:r>
          </w:p>
        </w:tc>
      </w:tr>
      <w:tr w:rsidR="00322F45" w:rsidRPr="0005054E" w:rsidTr="003C048B">
        <w:trPr>
          <w:trHeight w:val="288"/>
        </w:trPr>
        <w:tc>
          <w:tcPr>
            <w:tcW w:w="5058" w:type="dxa"/>
            <w:shd w:val="clear" w:color="auto" w:fill="auto"/>
            <w:vAlign w:val="center"/>
          </w:tcPr>
          <w:p w:rsidR="00322F45" w:rsidRPr="0005054E" w:rsidRDefault="00322F45" w:rsidP="00322F45">
            <w:pPr>
              <w:pStyle w:val="NoSpacing"/>
              <w:suppressLineNumbers/>
              <w:rPr>
                <w:rFonts w:ascii="Times New Roman" w:hAnsi="Times New Roman"/>
                <w:sz w:val="26"/>
                <w:szCs w:val="26"/>
              </w:rPr>
            </w:pPr>
            <w:r w:rsidRPr="0005054E">
              <w:rPr>
                <w:rFonts w:ascii="Times New Roman" w:hAnsi="Times New Roman"/>
                <w:sz w:val="26"/>
                <w:szCs w:val="26"/>
              </w:rPr>
              <w:t>Call Provisions (including premium, if any):</w:t>
            </w:r>
          </w:p>
        </w:tc>
        <w:tc>
          <w:tcPr>
            <w:tcW w:w="3780" w:type="dxa"/>
            <w:shd w:val="clear" w:color="auto" w:fill="auto"/>
            <w:vAlign w:val="center"/>
          </w:tcPr>
          <w:p w:rsidR="00322F45" w:rsidRPr="0005054E" w:rsidRDefault="00322F45" w:rsidP="00322F45">
            <w:pPr>
              <w:pStyle w:val="NoSpacing"/>
              <w:suppressLineNumbers/>
              <w:rPr>
                <w:rFonts w:ascii="Times New Roman" w:hAnsi="Times New Roman"/>
                <w:sz w:val="26"/>
                <w:szCs w:val="26"/>
              </w:rPr>
            </w:pPr>
          </w:p>
        </w:tc>
      </w:tr>
      <w:tr w:rsidR="00322F45" w:rsidRPr="0005054E" w:rsidTr="003C048B">
        <w:trPr>
          <w:trHeight w:val="288"/>
        </w:trPr>
        <w:tc>
          <w:tcPr>
            <w:tcW w:w="5058" w:type="dxa"/>
            <w:shd w:val="clear" w:color="auto" w:fill="auto"/>
            <w:vAlign w:val="center"/>
          </w:tcPr>
          <w:p w:rsidR="00322F45" w:rsidRPr="0005054E" w:rsidRDefault="00322F45" w:rsidP="00322F45">
            <w:pPr>
              <w:pStyle w:val="NoSpacing"/>
              <w:suppressLineNumbers/>
              <w:rPr>
                <w:rFonts w:ascii="Times New Roman" w:hAnsi="Times New Roman"/>
                <w:sz w:val="26"/>
                <w:szCs w:val="26"/>
              </w:rPr>
            </w:pPr>
            <w:r w:rsidRPr="0005054E">
              <w:rPr>
                <w:rFonts w:ascii="Times New Roman" w:hAnsi="Times New Roman"/>
                <w:sz w:val="26"/>
                <w:szCs w:val="26"/>
              </w:rPr>
              <w:t xml:space="preserve">Target Amortization Schedule: </w:t>
            </w:r>
          </w:p>
        </w:tc>
        <w:tc>
          <w:tcPr>
            <w:tcW w:w="3780" w:type="dxa"/>
            <w:shd w:val="clear" w:color="auto" w:fill="auto"/>
            <w:vAlign w:val="center"/>
          </w:tcPr>
          <w:p w:rsidR="00322F45" w:rsidRPr="0005054E" w:rsidRDefault="00322F45" w:rsidP="00322F45">
            <w:pPr>
              <w:pStyle w:val="NoSpacing"/>
              <w:suppressLineNumbers/>
              <w:rPr>
                <w:rFonts w:ascii="Times New Roman" w:hAnsi="Times New Roman"/>
                <w:sz w:val="26"/>
                <w:szCs w:val="26"/>
              </w:rPr>
            </w:pPr>
          </w:p>
        </w:tc>
      </w:tr>
      <w:tr w:rsidR="00322F45" w:rsidRPr="0005054E" w:rsidTr="003C048B">
        <w:trPr>
          <w:trHeight w:val="288"/>
        </w:trPr>
        <w:tc>
          <w:tcPr>
            <w:tcW w:w="5058" w:type="dxa"/>
            <w:shd w:val="clear" w:color="auto" w:fill="auto"/>
            <w:vAlign w:val="center"/>
          </w:tcPr>
          <w:p w:rsidR="00322F45" w:rsidRPr="0005054E" w:rsidRDefault="00322F45" w:rsidP="00322F45">
            <w:pPr>
              <w:pStyle w:val="NoSpacing"/>
              <w:suppressLineNumbers/>
              <w:rPr>
                <w:rFonts w:ascii="Times New Roman" w:hAnsi="Times New Roman"/>
                <w:sz w:val="26"/>
                <w:szCs w:val="26"/>
              </w:rPr>
            </w:pPr>
            <w:r w:rsidRPr="0005054E">
              <w:rPr>
                <w:rFonts w:ascii="Times New Roman" w:hAnsi="Times New Roman"/>
                <w:sz w:val="26"/>
                <w:szCs w:val="26"/>
              </w:rPr>
              <w:t>Target Final Maturity Dates:</w:t>
            </w:r>
          </w:p>
        </w:tc>
        <w:tc>
          <w:tcPr>
            <w:tcW w:w="3780" w:type="dxa"/>
            <w:shd w:val="clear" w:color="auto" w:fill="auto"/>
            <w:vAlign w:val="center"/>
          </w:tcPr>
          <w:p w:rsidR="00322F45" w:rsidRPr="0005054E" w:rsidRDefault="00322F45" w:rsidP="00322F45">
            <w:pPr>
              <w:pStyle w:val="NoSpacing"/>
              <w:suppressLineNumbers/>
              <w:rPr>
                <w:rFonts w:ascii="Times New Roman" w:hAnsi="Times New Roman"/>
                <w:sz w:val="26"/>
                <w:szCs w:val="26"/>
              </w:rPr>
            </w:pPr>
          </w:p>
        </w:tc>
      </w:tr>
      <w:tr w:rsidR="00322F45" w:rsidRPr="0005054E" w:rsidTr="003C048B">
        <w:trPr>
          <w:trHeight w:val="288"/>
        </w:trPr>
        <w:tc>
          <w:tcPr>
            <w:tcW w:w="5058" w:type="dxa"/>
            <w:shd w:val="clear" w:color="auto" w:fill="auto"/>
            <w:vAlign w:val="center"/>
          </w:tcPr>
          <w:p w:rsidR="00322F45" w:rsidRPr="0005054E" w:rsidRDefault="00322F45" w:rsidP="00322F45">
            <w:pPr>
              <w:pStyle w:val="NoSpacing"/>
              <w:suppressLineNumbers/>
              <w:rPr>
                <w:rFonts w:ascii="Times New Roman" w:hAnsi="Times New Roman"/>
                <w:sz w:val="26"/>
                <w:szCs w:val="26"/>
              </w:rPr>
            </w:pPr>
            <w:r w:rsidRPr="0005054E">
              <w:rPr>
                <w:rFonts w:ascii="Times New Roman" w:hAnsi="Times New Roman"/>
                <w:sz w:val="26"/>
                <w:szCs w:val="26"/>
              </w:rPr>
              <w:t>Legal final Maturity Dates:</w:t>
            </w:r>
          </w:p>
        </w:tc>
        <w:tc>
          <w:tcPr>
            <w:tcW w:w="3780" w:type="dxa"/>
            <w:shd w:val="clear" w:color="auto" w:fill="auto"/>
            <w:vAlign w:val="center"/>
          </w:tcPr>
          <w:p w:rsidR="00322F45" w:rsidRPr="0005054E" w:rsidRDefault="00322F45" w:rsidP="00322F45">
            <w:pPr>
              <w:pStyle w:val="NoSpacing"/>
              <w:suppressLineNumbers/>
              <w:rPr>
                <w:rFonts w:ascii="Times New Roman" w:hAnsi="Times New Roman"/>
                <w:sz w:val="26"/>
                <w:szCs w:val="26"/>
              </w:rPr>
            </w:pPr>
          </w:p>
        </w:tc>
      </w:tr>
      <w:tr w:rsidR="00322F45" w:rsidRPr="0005054E" w:rsidTr="003C048B">
        <w:trPr>
          <w:trHeight w:val="288"/>
        </w:trPr>
        <w:tc>
          <w:tcPr>
            <w:tcW w:w="5058" w:type="dxa"/>
            <w:shd w:val="clear" w:color="auto" w:fill="auto"/>
            <w:vAlign w:val="center"/>
          </w:tcPr>
          <w:p w:rsidR="00322F45" w:rsidRPr="0005054E" w:rsidRDefault="00322F45" w:rsidP="00322F45">
            <w:pPr>
              <w:pStyle w:val="NoSpacing"/>
              <w:suppressLineNumbers/>
              <w:rPr>
                <w:rFonts w:ascii="Times New Roman" w:hAnsi="Times New Roman"/>
                <w:sz w:val="26"/>
                <w:szCs w:val="26"/>
              </w:rPr>
            </w:pPr>
            <w:r w:rsidRPr="0005054E">
              <w:rPr>
                <w:rFonts w:ascii="Times New Roman" w:hAnsi="Times New Roman"/>
                <w:sz w:val="26"/>
                <w:szCs w:val="26"/>
              </w:rPr>
              <w:t>Payments to Investors:</w:t>
            </w:r>
          </w:p>
        </w:tc>
        <w:tc>
          <w:tcPr>
            <w:tcW w:w="3780" w:type="dxa"/>
            <w:shd w:val="clear" w:color="auto" w:fill="auto"/>
            <w:vAlign w:val="center"/>
          </w:tcPr>
          <w:p w:rsidR="00322F45" w:rsidRPr="0005054E" w:rsidRDefault="00322F45" w:rsidP="00322F45">
            <w:pPr>
              <w:pStyle w:val="NoSpacing"/>
              <w:suppressLineNumbers/>
              <w:rPr>
                <w:rFonts w:ascii="Times New Roman" w:hAnsi="Times New Roman"/>
                <w:sz w:val="26"/>
                <w:szCs w:val="26"/>
              </w:rPr>
            </w:pPr>
            <w:r w:rsidRPr="0005054E">
              <w:rPr>
                <w:rFonts w:ascii="Times New Roman" w:hAnsi="Times New Roman"/>
                <w:sz w:val="26"/>
                <w:szCs w:val="26"/>
              </w:rPr>
              <w:t>Semiannually</w:t>
            </w:r>
          </w:p>
          <w:p w:rsidR="00322F45" w:rsidRPr="0005054E" w:rsidRDefault="00322F45" w:rsidP="00322F45">
            <w:pPr>
              <w:pStyle w:val="NoSpacing"/>
              <w:suppressLineNumbers/>
              <w:rPr>
                <w:rFonts w:ascii="Times New Roman" w:hAnsi="Times New Roman"/>
                <w:sz w:val="26"/>
                <w:szCs w:val="26"/>
              </w:rPr>
            </w:pPr>
            <w:r w:rsidRPr="0005054E">
              <w:rPr>
                <w:rFonts w:ascii="Times New Roman" w:hAnsi="Times New Roman"/>
                <w:sz w:val="26"/>
                <w:szCs w:val="26"/>
              </w:rPr>
              <w:t>Beginning ________ __, 2013</w:t>
            </w:r>
          </w:p>
        </w:tc>
      </w:tr>
      <w:tr w:rsidR="00322F45" w:rsidRPr="0005054E" w:rsidTr="003C048B">
        <w:trPr>
          <w:trHeight w:val="288"/>
        </w:trPr>
        <w:tc>
          <w:tcPr>
            <w:tcW w:w="5058" w:type="dxa"/>
            <w:shd w:val="clear" w:color="auto" w:fill="auto"/>
            <w:vAlign w:val="center"/>
          </w:tcPr>
          <w:p w:rsidR="00322F45" w:rsidRPr="0005054E" w:rsidRDefault="00322F45" w:rsidP="00322F45">
            <w:pPr>
              <w:pStyle w:val="NoSpacing"/>
              <w:suppressLineNumbers/>
              <w:rPr>
                <w:rFonts w:ascii="Times New Roman" w:hAnsi="Times New Roman"/>
                <w:sz w:val="26"/>
                <w:szCs w:val="26"/>
              </w:rPr>
            </w:pPr>
            <w:r w:rsidRPr="0005054E">
              <w:rPr>
                <w:rFonts w:ascii="Times New Roman" w:hAnsi="Times New Roman"/>
                <w:sz w:val="26"/>
                <w:szCs w:val="26"/>
              </w:rPr>
              <w:t>Initial annual Servicing Fee as a percent of original PIR Bond principal balance:</w:t>
            </w:r>
          </w:p>
        </w:tc>
        <w:tc>
          <w:tcPr>
            <w:tcW w:w="3780" w:type="dxa"/>
            <w:shd w:val="clear" w:color="auto" w:fill="auto"/>
            <w:vAlign w:val="center"/>
          </w:tcPr>
          <w:p w:rsidR="00322F45" w:rsidRPr="0005054E" w:rsidRDefault="00322F45" w:rsidP="00322F45">
            <w:pPr>
              <w:pStyle w:val="NoSpacing"/>
              <w:suppressLineNumbers/>
              <w:rPr>
                <w:rFonts w:ascii="Times New Roman" w:hAnsi="Times New Roman"/>
                <w:sz w:val="26"/>
                <w:szCs w:val="26"/>
              </w:rPr>
            </w:pPr>
          </w:p>
          <w:p w:rsidR="00322F45" w:rsidRPr="0005054E" w:rsidRDefault="00322F45" w:rsidP="00322F45">
            <w:pPr>
              <w:pStyle w:val="NoSpacing"/>
              <w:suppressLineNumbers/>
              <w:rPr>
                <w:rFonts w:ascii="Times New Roman" w:hAnsi="Times New Roman"/>
                <w:sz w:val="26"/>
                <w:szCs w:val="26"/>
              </w:rPr>
            </w:pPr>
            <w:r w:rsidRPr="0005054E">
              <w:rPr>
                <w:rFonts w:ascii="Times New Roman" w:hAnsi="Times New Roman"/>
                <w:sz w:val="26"/>
                <w:szCs w:val="26"/>
              </w:rPr>
              <w:t>____%</w:t>
            </w:r>
          </w:p>
        </w:tc>
      </w:tr>
    </w:tbl>
    <w:p w:rsidR="003C048B" w:rsidRDefault="003C048B" w:rsidP="00A71396">
      <w:pPr>
        <w:suppressLineNumbers/>
        <w:spacing w:after="240"/>
        <w:jc w:val="center"/>
        <w:rPr>
          <w:b/>
          <w:color w:val="000000"/>
          <w:sz w:val="26"/>
          <w:szCs w:val="26"/>
          <w:u w:val="single"/>
        </w:rPr>
        <w:sectPr w:rsidR="003C048B" w:rsidSect="003B12DD">
          <w:headerReference w:type="first" r:id="rId30"/>
          <w:footnotePr>
            <w:numRestart w:val="eachSect"/>
          </w:footnotePr>
          <w:pgSz w:w="12240" w:h="15840" w:code="1"/>
          <w:pgMar w:top="1440" w:right="1440" w:bottom="1440" w:left="1440" w:header="720" w:footer="720" w:gutter="0"/>
          <w:pgNumType w:start="1"/>
          <w:cols w:space="720"/>
          <w:titlePg/>
          <w:docGrid w:linePitch="360"/>
        </w:sectPr>
      </w:pPr>
    </w:p>
    <w:p w:rsidR="00322F45" w:rsidRPr="000572BC" w:rsidRDefault="00322F45" w:rsidP="00A71396">
      <w:pPr>
        <w:suppressLineNumbers/>
        <w:spacing w:after="240"/>
        <w:jc w:val="center"/>
        <w:rPr>
          <w:b/>
          <w:color w:val="000000"/>
          <w:sz w:val="26"/>
          <w:szCs w:val="26"/>
          <w:u w:val="single"/>
        </w:rPr>
      </w:pPr>
      <w:r w:rsidRPr="000572BC">
        <w:rPr>
          <w:b/>
          <w:color w:val="000000"/>
          <w:sz w:val="26"/>
          <w:szCs w:val="26"/>
          <w:u w:val="single"/>
        </w:rPr>
        <w:lastRenderedPageBreak/>
        <w:t>INITIAL PHASE-IN RECOVERY CHARGES</w:t>
      </w:r>
    </w:p>
    <w:p w:rsidR="00322F45" w:rsidRPr="0005054E" w:rsidRDefault="00322F45" w:rsidP="00322F45">
      <w:pPr>
        <w:pStyle w:val="NoSpacing"/>
        <w:suppressLineNumbers/>
        <w:rPr>
          <w:rFonts w:ascii="Times New Roman" w:hAnsi="Times New Roman"/>
          <w:sz w:val="26"/>
          <w:szCs w:val="26"/>
        </w:rPr>
      </w:pPr>
      <w:r w:rsidRPr="0005054E">
        <w:rPr>
          <w:rFonts w:ascii="Times New Roman" w:hAnsi="Times New Roman"/>
          <w:sz w:val="26"/>
          <w:szCs w:val="26"/>
        </w:rPr>
        <w:t>Table I below shows the current assumptions for each of the variables used in the calcu</w:t>
      </w:r>
      <w:r>
        <w:rPr>
          <w:rFonts w:ascii="Times New Roman" w:hAnsi="Times New Roman"/>
          <w:sz w:val="26"/>
          <w:szCs w:val="26"/>
        </w:rPr>
        <w:softHyphen/>
      </w:r>
      <w:r w:rsidRPr="0005054E">
        <w:rPr>
          <w:rFonts w:ascii="Times New Roman" w:hAnsi="Times New Roman"/>
          <w:sz w:val="26"/>
          <w:szCs w:val="26"/>
        </w:rPr>
        <w:t>lation of the initial Phase-In Recovery Charges</w:t>
      </w:r>
      <w:r w:rsidR="00731BF8">
        <w:rPr>
          <w:rFonts w:ascii="Times New Roman" w:hAnsi="Times New Roman"/>
          <w:sz w:val="26"/>
          <w:szCs w:val="26"/>
        </w:rPr>
        <w:t>.</w:t>
      </w:r>
    </w:p>
    <w:p w:rsidR="00322F45" w:rsidRPr="0005054E" w:rsidRDefault="00322F45" w:rsidP="00322F45">
      <w:pPr>
        <w:pStyle w:val="NoSpacing"/>
        <w:suppressLineNumbers/>
        <w:jc w:val="both"/>
        <w:rPr>
          <w:rFonts w:ascii="Times New Roman" w:hAnsi="Times New Roman"/>
          <w:sz w:val="26"/>
          <w:szCs w:val="26"/>
        </w:rPr>
      </w:pPr>
    </w:p>
    <w:p w:rsidR="00322F45" w:rsidRPr="0005054E" w:rsidRDefault="00322F45" w:rsidP="00322F45">
      <w:pPr>
        <w:pStyle w:val="NoSpacing"/>
        <w:suppressLineNumbers/>
        <w:jc w:val="both"/>
        <w:rPr>
          <w:rFonts w:ascii="Times New Roman" w:hAnsi="Times New Roman"/>
          <w:sz w:val="26"/>
          <w:szCs w:val="26"/>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8"/>
        <w:gridCol w:w="2250"/>
      </w:tblGrid>
      <w:tr w:rsidR="00322F45" w:rsidRPr="0005054E" w:rsidTr="00322F45">
        <w:tc>
          <w:tcPr>
            <w:tcW w:w="8748" w:type="dxa"/>
            <w:gridSpan w:val="2"/>
            <w:shd w:val="clear" w:color="auto" w:fill="auto"/>
          </w:tcPr>
          <w:p w:rsidR="00322F45" w:rsidRPr="0005054E" w:rsidRDefault="00322F45" w:rsidP="00322F45">
            <w:pPr>
              <w:pStyle w:val="NoSpacing"/>
              <w:suppressLineNumbers/>
              <w:jc w:val="both"/>
              <w:rPr>
                <w:rFonts w:ascii="Times New Roman" w:hAnsi="Times New Roman"/>
                <w:b/>
                <w:sz w:val="26"/>
                <w:szCs w:val="26"/>
              </w:rPr>
            </w:pPr>
            <w:r w:rsidRPr="0005054E">
              <w:rPr>
                <w:rFonts w:ascii="Times New Roman" w:hAnsi="Times New Roman"/>
                <w:b/>
                <w:sz w:val="26"/>
                <w:szCs w:val="26"/>
              </w:rPr>
              <w:t>TABLE I</w:t>
            </w:r>
          </w:p>
        </w:tc>
      </w:tr>
      <w:tr w:rsidR="00322F45" w:rsidRPr="0005054E" w:rsidTr="00322F45">
        <w:trPr>
          <w:trHeight w:val="576"/>
        </w:trPr>
        <w:tc>
          <w:tcPr>
            <w:tcW w:w="8748" w:type="dxa"/>
            <w:gridSpan w:val="2"/>
            <w:shd w:val="clear" w:color="auto" w:fill="auto"/>
            <w:vAlign w:val="center"/>
          </w:tcPr>
          <w:p w:rsidR="00322F45" w:rsidRPr="0005054E" w:rsidRDefault="00322F45" w:rsidP="00322F45">
            <w:pPr>
              <w:pStyle w:val="NoSpacing"/>
              <w:suppressLineNumbers/>
              <w:rPr>
                <w:rFonts w:ascii="Times New Roman" w:hAnsi="Times New Roman"/>
                <w:b/>
                <w:sz w:val="26"/>
                <w:szCs w:val="26"/>
              </w:rPr>
            </w:pPr>
            <w:r w:rsidRPr="0005054E">
              <w:rPr>
                <w:rFonts w:ascii="Times New Roman" w:hAnsi="Times New Roman"/>
                <w:b/>
                <w:sz w:val="26"/>
                <w:szCs w:val="26"/>
              </w:rPr>
              <w:t>Input Values For Initial Phase-In Recovery Charges</w:t>
            </w:r>
          </w:p>
        </w:tc>
      </w:tr>
      <w:tr w:rsidR="00322F45" w:rsidRPr="0005054E" w:rsidTr="00322F45">
        <w:trPr>
          <w:trHeight w:val="576"/>
        </w:trPr>
        <w:tc>
          <w:tcPr>
            <w:tcW w:w="8748" w:type="dxa"/>
            <w:gridSpan w:val="2"/>
            <w:shd w:val="clear" w:color="auto" w:fill="auto"/>
            <w:vAlign w:val="center"/>
          </w:tcPr>
          <w:p w:rsidR="00322F45" w:rsidRPr="0005054E" w:rsidRDefault="00322F45" w:rsidP="00322F45">
            <w:pPr>
              <w:pStyle w:val="NoSpacing"/>
              <w:suppressLineNumbers/>
              <w:rPr>
                <w:rFonts w:ascii="Times New Roman" w:hAnsi="Times New Roman"/>
                <w:sz w:val="26"/>
                <w:szCs w:val="26"/>
              </w:rPr>
            </w:pPr>
            <w:r w:rsidRPr="0005054E">
              <w:rPr>
                <w:rFonts w:ascii="Times New Roman" w:hAnsi="Times New Roman"/>
                <w:sz w:val="26"/>
                <w:szCs w:val="26"/>
              </w:rPr>
              <w:t>Applicable period:  from______, ______ to _________, _____</w:t>
            </w:r>
          </w:p>
        </w:tc>
      </w:tr>
      <w:tr w:rsidR="00322F45" w:rsidRPr="0005054E" w:rsidTr="00322F45">
        <w:trPr>
          <w:trHeight w:val="576"/>
        </w:trPr>
        <w:tc>
          <w:tcPr>
            <w:tcW w:w="6498" w:type="dxa"/>
            <w:shd w:val="clear" w:color="auto" w:fill="auto"/>
            <w:vAlign w:val="center"/>
          </w:tcPr>
          <w:p w:rsidR="00322F45" w:rsidRPr="0005054E" w:rsidRDefault="00322F45" w:rsidP="00322F45">
            <w:pPr>
              <w:pStyle w:val="NoSpacing"/>
              <w:suppressLineNumbers/>
              <w:rPr>
                <w:rFonts w:ascii="Times New Roman" w:hAnsi="Times New Roman"/>
                <w:sz w:val="26"/>
                <w:szCs w:val="26"/>
              </w:rPr>
            </w:pPr>
            <w:r w:rsidRPr="0005054E">
              <w:rPr>
                <w:rFonts w:ascii="Times New Roman" w:hAnsi="Times New Roman"/>
                <w:sz w:val="26"/>
                <w:szCs w:val="26"/>
              </w:rPr>
              <w:t>Forecasted retail kWh/kW sales for the applicable period:</w:t>
            </w:r>
          </w:p>
        </w:tc>
        <w:tc>
          <w:tcPr>
            <w:tcW w:w="2250" w:type="dxa"/>
            <w:shd w:val="clear" w:color="auto" w:fill="auto"/>
            <w:vAlign w:val="center"/>
          </w:tcPr>
          <w:p w:rsidR="00322F45" w:rsidRPr="0005054E" w:rsidRDefault="00322F45" w:rsidP="00322F45">
            <w:pPr>
              <w:pStyle w:val="NoSpacing"/>
              <w:suppressLineNumbers/>
              <w:rPr>
                <w:rFonts w:ascii="Times New Roman" w:hAnsi="Times New Roman"/>
                <w:sz w:val="26"/>
                <w:szCs w:val="26"/>
              </w:rPr>
            </w:pPr>
            <w:r w:rsidRPr="0005054E">
              <w:rPr>
                <w:rFonts w:ascii="Times New Roman" w:hAnsi="Times New Roman"/>
                <w:sz w:val="26"/>
                <w:szCs w:val="26"/>
              </w:rPr>
              <w:t>________</w:t>
            </w:r>
          </w:p>
        </w:tc>
      </w:tr>
      <w:tr w:rsidR="00322F45" w:rsidRPr="0005054E" w:rsidTr="00322F45">
        <w:trPr>
          <w:trHeight w:val="576"/>
        </w:trPr>
        <w:tc>
          <w:tcPr>
            <w:tcW w:w="6498" w:type="dxa"/>
            <w:shd w:val="clear" w:color="auto" w:fill="auto"/>
            <w:vAlign w:val="center"/>
          </w:tcPr>
          <w:p w:rsidR="00322F45" w:rsidRPr="0005054E" w:rsidRDefault="00322F45" w:rsidP="00322F45">
            <w:pPr>
              <w:pStyle w:val="NoSpacing"/>
              <w:suppressLineNumbers/>
              <w:rPr>
                <w:rFonts w:ascii="Times New Roman" w:hAnsi="Times New Roman"/>
                <w:sz w:val="26"/>
                <w:szCs w:val="26"/>
              </w:rPr>
            </w:pPr>
            <w:r w:rsidRPr="0005054E">
              <w:rPr>
                <w:rFonts w:ascii="Times New Roman" w:hAnsi="Times New Roman"/>
                <w:sz w:val="26"/>
                <w:szCs w:val="26"/>
              </w:rPr>
              <w:t>PIR Bond debt service for the applicable period:</w:t>
            </w:r>
          </w:p>
        </w:tc>
        <w:tc>
          <w:tcPr>
            <w:tcW w:w="2250" w:type="dxa"/>
            <w:shd w:val="clear" w:color="auto" w:fill="auto"/>
            <w:vAlign w:val="center"/>
          </w:tcPr>
          <w:p w:rsidR="00322F45" w:rsidRPr="0005054E" w:rsidRDefault="00322F45" w:rsidP="00322F45">
            <w:pPr>
              <w:pStyle w:val="NoSpacing"/>
              <w:suppressLineNumbers/>
              <w:rPr>
                <w:rFonts w:ascii="Times New Roman" w:hAnsi="Times New Roman"/>
                <w:sz w:val="26"/>
                <w:szCs w:val="26"/>
              </w:rPr>
            </w:pPr>
            <w:r w:rsidRPr="0005054E">
              <w:rPr>
                <w:rFonts w:ascii="Times New Roman" w:hAnsi="Times New Roman"/>
                <w:sz w:val="26"/>
                <w:szCs w:val="26"/>
              </w:rPr>
              <w:t>$________</w:t>
            </w:r>
          </w:p>
        </w:tc>
      </w:tr>
      <w:tr w:rsidR="00322F45" w:rsidRPr="0005054E" w:rsidTr="00322F45">
        <w:trPr>
          <w:trHeight w:val="576"/>
        </w:trPr>
        <w:tc>
          <w:tcPr>
            <w:tcW w:w="6498" w:type="dxa"/>
            <w:shd w:val="clear" w:color="auto" w:fill="auto"/>
            <w:vAlign w:val="center"/>
          </w:tcPr>
          <w:p w:rsidR="00322F45" w:rsidRPr="0005054E" w:rsidRDefault="00322F45" w:rsidP="00322F45">
            <w:pPr>
              <w:pStyle w:val="NoSpacing"/>
              <w:suppressLineNumbers/>
              <w:rPr>
                <w:rFonts w:ascii="Times New Roman" w:hAnsi="Times New Roman"/>
                <w:sz w:val="26"/>
                <w:szCs w:val="26"/>
              </w:rPr>
            </w:pPr>
            <w:r w:rsidRPr="0005054E">
              <w:rPr>
                <w:rFonts w:ascii="Times New Roman" w:hAnsi="Times New Roman"/>
                <w:sz w:val="26"/>
                <w:szCs w:val="26"/>
              </w:rPr>
              <w:t>Percent of billed amounts expected to be charged-off</w:t>
            </w:r>
          </w:p>
        </w:tc>
        <w:tc>
          <w:tcPr>
            <w:tcW w:w="2250" w:type="dxa"/>
            <w:shd w:val="clear" w:color="auto" w:fill="auto"/>
            <w:vAlign w:val="center"/>
          </w:tcPr>
          <w:p w:rsidR="00322F45" w:rsidRPr="0005054E" w:rsidRDefault="00322F45" w:rsidP="00322F45">
            <w:pPr>
              <w:pStyle w:val="NoSpacing"/>
              <w:suppressLineNumbers/>
              <w:rPr>
                <w:rFonts w:ascii="Times New Roman" w:hAnsi="Times New Roman"/>
                <w:sz w:val="26"/>
                <w:szCs w:val="26"/>
              </w:rPr>
            </w:pPr>
            <w:r w:rsidRPr="0005054E">
              <w:rPr>
                <w:rFonts w:ascii="Times New Roman" w:hAnsi="Times New Roman"/>
                <w:sz w:val="26"/>
                <w:szCs w:val="26"/>
              </w:rPr>
              <w:t>%</w:t>
            </w:r>
          </w:p>
        </w:tc>
      </w:tr>
      <w:tr w:rsidR="00322F45" w:rsidRPr="0005054E" w:rsidTr="00322F45">
        <w:trPr>
          <w:trHeight w:val="576"/>
        </w:trPr>
        <w:tc>
          <w:tcPr>
            <w:tcW w:w="6498" w:type="dxa"/>
            <w:shd w:val="clear" w:color="auto" w:fill="auto"/>
            <w:vAlign w:val="center"/>
          </w:tcPr>
          <w:p w:rsidR="00322F45" w:rsidRPr="0005054E" w:rsidRDefault="00322F45" w:rsidP="00322F45">
            <w:pPr>
              <w:pStyle w:val="NoSpacing"/>
              <w:suppressLineNumbers/>
              <w:rPr>
                <w:rFonts w:ascii="Times New Roman" w:hAnsi="Times New Roman"/>
                <w:sz w:val="26"/>
                <w:szCs w:val="26"/>
              </w:rPr>
            </w:pPr>
            <w:r w:rsidRPr="0005054E">
              <w:rPr>
                <w:rFonts w:ascii="Times New Roman" w:hAnsi="Times New Roman"/>
                <w:sz w:val="26"/>
                <w:szCs w:val="26"/>
              </w:rPr>
              <w:t>Forecasted % of Billing Paid in the Applicable Period:</w:t>
            </w:r>
          </w:p>
        </w:tc>
        <w:tc>
          <w:tcPr>
            <w:tcW w:w="2250" w:type="dxa"/>
            <w:shd w:val="clear" w:color="auto" w:fill="auto"/>
            <w:vAlign w:val="center"/>
          </w:tcPr>
          <w:p w:rsidR="00322F45" w:rsidRPr="0005054E" w:rsidRDefault="00322F45" w:rsidP="00322F45">
            <w:pPr>
              <w:pStyle w:val="NoSpacing"/>
              <w:suppressLineNumbers/>
              <w:rPr>
                <w:rFonts w:ascii="Times New Roman" w:hAnsi="Times New Roman"/>
                <w:sz w:val="26"/>
                <w:szCs w:val="26"/>
              </w:rPr>
            </w:pPr>
            <w:r w:rsidRPr="0005054E">
              <w:rPr>
                <w:rFonts w:ascii="Times New Roman" w:hAnsi="Times New Roman"/>
                <w:sz w:val="26"/>
                <w:szCs w:val="26"/>
              </w:rPr>
              <w:t>%</w:t>
            </w:r>
          </w:p>
        </w:tc>
      </w:tr>
      <w:tr w:rsidR="00322F45" w:rsidRPr="0005054E" w:rsidTr="00322F45">
        <w:trPr>
          <w:trHeight w:val="576"/>
        </w:trPr>
        <w:tc>
          <w:tcPr>
            <w:tcW w:w="6498" w:type="dxa"/>
            <w:shd w:val="clear" w:color="auto" w:fill="auto"/>
            <w:vAlign w:val="center"/>
          </w:tcPr>
          <w:p w:rsidR="00322F45" w:rsidRPr="0005054E" w:rsidRDefault="00322F45" w:rsidP="00322F45">
            <w:pPr>
              <w:pStyle w:val="NoSpacing"/>
              <w:suppressLineNumbers/>
              <w:rPr>
                <w:rFonts w:ascii="Times New Roman" w:hAnsi="Times New Roman"/>
                <w:sz w:val="26"/>
                <w:szCs w:val="26"/>
              </w:rPr>
            </w:pPr>
            <w:r w:rsidRPr="0005054E">
              <w:rPr>
                <w:rFonts w:ascii="Times New Roman" w:hAnsi="Times New Roman"/>
                <w:sz w:val="26"/>
                <w:szCs w:val="26"/>
              </w:rPr>
              <w:t>Forecasted retail kWh/Kw sales billed and collected for the applicable period:</w:t>
            </w:r>
          </w:p>
        </w:tc>
        <w:tc>
          <w:tcPr>
            <w:tcW w:w="2250" w:type="dxa"/>
            <w:shd w:val="clear" w:color="auto" w:fill="auto"/>
            <w:vAlign w:val="center"/>
          </w:tcPr>
          <w:p w:rsidR="00322F45" w:rsidRPr="0005054E" w:rsidRDefault="00322F45" w:rsidP="00322F45">
            <w:pPr>
              <w:pStyle w:val="NoSpacing"/>
              <w:suppressLineNumbers/>
              <w:rPr>
                <w:rFonts w:ascii="Times New Roman" w:hAnsi="Times New Roman"/>
                <w:sz w:val="26"/>
                <w:szCs w:val="26"/>
              </w:rPr>
            </w:pPr>
          </w:p>
        </w:tc>
      </w:tr>
      <w:tr w:rsidR="00322F45" w:rsidRPr="0005054E" w:rsidTr="00322F45">
        <w:trPr>
          <w:trHeight w:val="576"/>
        </w:trPr>
        <w:tc>
          <w:tcPr>
            <w:tcW w:w="6498" w:type="dxa"/>
            <w:shd w:val="clear" w:color="auto" w:fill="auto"/>
            <w:vAlign w:val="center"/>
          </w:tcPr>
          <w:p w:rsidR="00322F45" w:rsidRPr="0005054E" w:rsidRDefault="00322F45" w:rsidP="00322F45">
            <w:pPr>
              <w:pStyle w:val="NoSpacing"/>
              <w:suppressLineNumbers/>
              <w:rPr>
                <w:rFonts w:ascii="Times New Roman" w:hAnsi="Times New Roman"/>
                <w:sz w:val="26"/>
                <w:szCs w:val="26"/>
              </w:rPr>
            </w:pPr>
            <w:r w:rsidRPr="0005054E">
              <w:rPr>
                <w:rFonts w:ascii="Times New Roman" w:hAnsi="Times New Roman"/>
                <w:sz w:val="26"/>
                <w:szCs w:val="26"/>
              </w:rPr>
              <w:t>Current PIR Bond outstanding balance:</w:t>
            </w:r>
          </w:p>
        </w:tc>
        <w:tc>
          <w:tcPr>
            <w:tcW w:w="2250" w:type="dxa"/>
            <w:shd w:val="clear" w:color="auto" w:fill="auto"/>
            <w:vAlign w:val="center"/>
          </w:tcPr>
          <w:p w:rsidR="00322F45" w:rsidRPr="0005054E" w:rsidRDefault="00322F45" w:rsidP="00322F45">
            <w:pPr>
              <w:pStyle w:val="NoSpacing"/>
              <w:suppressLineNumbers/>
              <w:rPr>
                <w:rFonts w:ascii="Times New Roman" w:hAnsi="Times New Roman"/>
                <w:sz w:val="26"/>
                <w:szCs w:val="26"/>
              </w:rPr>
            </w:pPr>
            <w:r w:rsidRPr="0005054E">
              <w:rPr>
                <w:rFonts w:ascii="Times New Roman" w:hAnsi="Times New Roman"/>
                <w:sz w:val="26"/>
                <w:szCs w:val="26"/>
              </w:rPr>
              <w:t>$______. __</w:t>
            </w:r>
          </w:p>
        </w:tc>
      </w:tr>
      <w:tr w:rsidR="00322F45" w:rsidRPr="0005054E" w:rsidTr="00322F45">
        <w:trPr>
          <w:trHeight w:val="576"/>
        </w:trPr>
        <w:tc>
          <w:tcPr>
            <w:tcW w:w="6498" w:type="dxa"/>
            <w:shd w:val="clear" w:color="auto" w:fill="auto"/>
            <w:vAlign w:val="center"/>
          </w:tcPr>
          <w:p w:rsidR="00322F45" w:rsidRPr="0005054E" w:rsidRDefault="00322F45" w:rsidP="00322F45">
            <w:pPr>
              <w:pStyle w:val="NoSpacing"/>
              <w:suppressLineNumbers/>
              <w:rPr>
                <w:rFonts w:ascii="Times New Roman" w:hAnsi="Times New Roman"/>
                <w:sz w:val="26"/>
                <w:szCs w:val="26"/>
              </w:rPr>
            </w:pPr>
            <w:r w:rsidRPr="0005054E">
              <w:rPr>
                <w:rFonts w:ascii="Times New Roman" w:hAnsi="Times New Roman"/>
                <w:sz w:val="26"/>
                <w:szCs w:val="26"/>
              </w:rPr>
              <w:t>Target PIR Bond outstanding balance as of __/__/_____</w:t>
            </w:r>
          </w:p>
        </w:tc>
        <w:tc>
          <w:tcPr>
            <w:tcW w:w="2250" w:type="dxa"/>
            <w:shd w:val="clear" w:color="auto" w:fill="auto"/>
            <w:vAlign w:val="center"/>
          </w:tcPr>
          <w:p w:rsidR="00322F45" w:rsidRPr="0005054E" w:rsidRDefault="00322F45" w:rsidP="00322F45">
            <w:pPr>
              <w:pStyle w:val="NoSpacing"/>
              <w:suppressLineNumbers/>
              <w:rPr>
                <w:rFonts w:ascii="Times New Roman" w:hAnsi="Times New Roman"/>
                <w:sz w:val="26"/>
                <w:szCs w:val="26"/>
              </w:rPr>
            </w:pPr>
            <w:r w:rsidRPr="0005054E">
              <w:rPr>
                <w:rFonts w:ascii="Times New Roman" w:hAnsi="Times New Roman"/>
                <w:sz w:val="26"/>
                <w:szCs w:val="26"/>
              </w:rPr>
              <w:t>$_________</w:t>
            </w:r>
          </w:p>
        </w:tc>
      </w:tr>
      <w:tr w:rsidR="00322F45" w:rsidRPr="0005054E" w:rsidTr="00322F45">
        <w:trPr>
          <w:trHeight w:val="576"/>
        </w:trPr>
        <w:tc>
          <w:tcPr>
            <w:tcW w:w="6498" w:type="dxa"/>
            <w:shd w:val="clear" w:color="auto" w:fill="auto"/>
            <w:vAlign w:val="center"/>
          </w:tcPr>
          <w:p w:rsidR="00322F45" w:rsidRPr="0005054E" w:rsidRDefault="00322F45" w:rsidP="00322F45">
            <w:pPr>
              <w:pStyle w:val="NoSpacing"/>
              <w:suppressLineNumbers/>
              <w:rPr>
                <w:rFonts w:ascii="Times New Roman" w:hAnsi="Times New Roman"/>
                <w:sz w:val="26"/>
                <w:szCs w:val="26"/>
              </w:rPr>
            </w:pPr>
            <w:r w:rsidRPr="0005054E">
              <w:rPr>
                <w:rFonts w:ascii="Times New Roman" w:hAnsi="Times New Roman"/>
                <w:sz w:val="26"/>
                <w:szCs w:val="26"/>
              </w:rPr>
              <w:t>Total Periodic Billing Requirement for applicable period:</w:t>
            </w:r>
          </w:p>
        </w:tc>
        <w:tc>
          <w:tcPr>
            <w:tcW w:w="2250" w:type="dxa"/>
            <w:shd w:val="clear" w:color="auto" w:fill="auto"/>
            <w:vAlign w:val="center"/>
          </w:tcPr>
          <w:p w:rsidR="00322F45" w:rsidRPr="0005054E" w:rsidRDefault="00322F45" w:rsidP="00322F45">
            <w:pPr>
              <w:pStyle w:val="NoSpacing"/>
              <w:suppressLineNumbers/>
              <w:rPr>
                <w:rFonts w:ascii="Times New Roman" w:hAnsi="Times New Roman"/>
                <w:sz w:val="26"/>
                <w:szCs w:val="26"/>
              </w:rPr>
            </w:pPr>
            <w:r w:rsidRPr="0005054E">
              <w:rPr>
                <w:rFonts w:ascii="Times New Roman" w:hAnsi="Times New Roman"/>
                <w:sz w:val="26"/>
                <w:szCs w:val="26"/>
              </w:rPr>
              <w:t>$_________</w:t>
            </w:r>
          </w:p>
        </w:tc>
      </w:tr>
    </w:tbl>
    <w:p w:rsidR="00322F45" w:rsidRDefault="00322F45" w:rsidP="00322F45">
      <w:pPr>
        <w:pStyle w:val="NoSpacing"/>
        <w:suppressLineNumbers/>
        <w:jc w:val="both"/>
        <w:rPr>
          <w:rFonts w:ascii="Times New Roman" w:hAnsi="Times New Roman"/>
          <w:sz w:val="26"/>
          <w:szCs w:val="26"/>
        </w:rPr>
        <w:sectPr w:rsidR="00322F45" w:rsidSect="003B12DD">
          <w:headerReference w:type="first" r:id="rId31"/>
          <w:footnotePr>
            <w:numRestart w:val="eachSect"/>
          </w:footnotePr>
          <w:pgSz w:w="12240" w:h="15840" w:code="1"/>
          <w:pgMar w:top="1440" w:right="1440" w:bottom="1440" w:left="1440" w:header="720" w:footer="720" w:gutter="0"/>
          <w:pgNumType w:start="1"/>
          <w:cols w:space="720"/>
          <w:titlePg/>
          <w:docGrid w:linePitch="360"/>
        </w:sectPr>
      </w:pPr>
    </w:p>
    <w:p w:rsidR="003C048B" w:rsidRDefault="003C048B" w:rsidP="00322F45">
      <w:pPr>
        <w:pStyle w:val="NoSpacing"/>
        <w:suppressLineNumbers/>
        <w:spacing w:after="240"/>
        <w:jc w:val="center"/>
        <w:rPr>
          <w:rFonts w:ascii="Times New Roman" w:hAnsi="Times New Roman"/>
          <w:b/>
          <w:sz w:val="26"/>
          <w:szCs w:val="26"/>
          <w:u w:val="single"/>
        </w:rPr>
      </w:pPr>
      <w:r>
        <w:rPr>
          <w:rFonts w:ascii="Times New Roman" w:hAnsi="Times New Roman"/>
          <w:b/>
          <w:sz w:val="26"/>
          <w:szCs w:val="26"/>
          <w:u w:val="single"/>
        </w:rPr>
        <w:lastRenderedPageBreak/>
        <w:t>ATTACHMENT-1</w:t>
      </w:r>
      <w:r w:rsidR="008669CD">
        <w:rPr>
          <w:rFonts w:ascii="Times New Roman" w:hAnsi="Times New Roman"/>
          <w:b/>
          <w:sz w:val="26"/>
          <w:szCs w:val="26"/>
          <w:u w:val="single"/>
        </w:rPr>
        <w:br/>
      </w:r>
      <w:r>
        <w:rPr>
          <w:rFonts w:ascii="Times New Roman" w:hAnsi="Times New Roman"/>
          <w:b/>
          <w:sz w:val="26"/>
          <w:szCs w:val="26"/>
          <w:u w:val="single"/>
        </w:rPr>
        <w:t>SCHEDULE A</w:t>
      </w:r>
    </w:p>
    <w:p w:rsidR="003C048B" w:rsidRPr="0005054E" w:rsidRDefault="003C048B" w:rsidP="00322F45">
      <w:pPr>
        <w:pStyle w:val="NoSpacing"/>
        <w:suppressLineNumbers/>
        <w:spacing w:after="240"/>
        <w:jc w:val="center"/>
        <w:rPr>
          <w:rFonts w:ascii="Times New Roman" w:hAnsi="Times New Roman"/>
          <w:b/>
          <w:sz w:val="26"/>
          <w:szCs w:val="26"/>
          <w:u w:val="single"/>
        </w:rPr>
      </w:pPr>
    </w:p>
    <w:p w:rsidR="00322F45" w:rsidRPr="0005054E" w:rsidRDefault="00322F45" w:rsidP="00A71396">
      <w:pPr>
        <w:suppressLineNumbers/>
        <w:spacing w:after="240"/>
        <w:jc w:val="center"/>
        <w:rPr>
          <w:b/>
          <w:sz w:val="26"/>
          <w:szCs w:val="26"/>
          <w:u w:val="single"/>
        </w:rPr>
      </w:pPr>
      <w:r w:rsidRPr="0005054E">
        <w:rPr>
          <w:b/>
          <w:sz w:val="26"/>
          <w:szCs w:val="26"/>
          <w:u w:val="single"/>
        </w:rPr>
        <w:t>CALCULATION OF SECURITIZED PHASE-IN RECOVERY CHARGES</w:t>
      </w:r>
    </w:p>
    <w:p w:rsidR="00322F45" w:rsidRPr="0005054E" w:rsidRDefault="00322F45" w:rsidP="00322F45">
      <w:pPr>
        <w:suppressLineNumbers/>
        <w:jc w:val="both"/>
        <w:rPr>
          <w:b/>
          <w:sz w:val="26"/>
          <w:szCs w:val="26"/>
          <w:u w:val="single"/>
        </w:rPr>
      </w:pPr>
    </w:p>
    <w:tbl>
      <w:tblPr>
        <w:tblW w:w="8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1471"/>
        <w:gridCol w:w="1544"/>
        <w:gridCol w:w="1471"/>
        <w:gridCol w:w="1459"/>
      </w:tblGrid>
      <w:tr w:rsidR="00322F45" w:rsidRPr="0005054E" w:rsidTr="00322F45">
        <w:trPr>
          <w:trHeight w:val="576"/>
        </w:trPr>
        <w:tc>
          <w:tcPr>
            <w:tcW w:w="2842" w:type="dxa"/>
            <w:shd w:val="clear" w:color="auto" w:fill="auto"/>
            <w:vAlign w:val="center"/>
          </w:tcPr>
          <w:p w:rsidR="00322F45" w:rsidRPr="0005054E" w:rsidRDefault="00322F45" w:rsidP="00322F45">
            <w:pPr>
              <w:suppressLineNumbers/>
              <w:rPr>
                <w:b/>
                <w:sz w:val="26"/>
                <w:szCs w:val="26"/>
                <w:u w:val="single"/>
              </w:rPr>
            </w:pPr>
          </w:p>
        </w:tc>
        <w:tc>
          <w:tcPr>
            <w:tcW w:w="1471" w:type="dxa"/>
            <w:shd w:val="clear" w:color="auto" w:fill="auto"/>
            <w:vAlign w:val="center"/>
          </w:tcPr>
          <w:p w:rsidR="00322F45" w:rsidRPr="0005054E" w:rsidRDefault="00322F45" w:rsidP="00322F45">
            <w:pPr>
              <w:suppressLineNumbers/>
              <w:rPr>
                <w:sz w:val="26"/>
                <w:szCs w:val="26"/>
              </w:rPr>
            </w:pPr>
            <w:r w:rsidRPr="0005054E">
              <w:rPr>
                <w:sz w:val="26"/>
                <w:szCs w:val="26"/>
              </w:rPr>
              <w:t>OE</w:t>
            </w:r>
          </w:p>
        </w:tc>
        <w:tc>
          <w:tcPr>
            <w:tcW w:w="1544" w:type="dxa"/>
            <w:shd w:val="clear" w:color="auto" w:fill="auto"/>
            <w:vAlign w:val="center"/>
          </w:tcPr>
          <w:p w:rsidR="00322F45" w:rsidRPr="0005054E" w:rsidRDefault="00322F45" w:rsidP="00322F45">
            <w:pPr>
              <w:suppressLineNumbers/>
              <w:rPr>
                <w:b/>
                <w:sz w:val="26"/>
                <w:szCs w:val="26"/>
                <w:u w:val="single"/>
              </w:rPr>
            </w:pPr>
            <w:r w:rsidRPr="0005054E">
              <w:rPr>
                <w:sz w:val="26"/>
                <w:szCs w:val="26"/>
              </w:rPr>
              <w:t>CEI</w:t>
            </w:r>
          </w:p>
        </w:tc>
        <w:tc>
          <w:tcPr>
            <w:tcW w:w="1471" w:type="dxa"/>
            <w:shd w:val="clear" w:color="auto" w:fill="auto"/>
            <w:vAlign w:val="center"/>
          </w:tcPr>
          <w:p w:rsidR="00322F45" w:rsidRPr="0005054E" w:rsidRDefault="00322F45" w:rsidP="00322F45">
            <w:pPr>
              <w:suppressLineNumbers/>
              <w:rPr>
                <w:sz w:val="26"/>
                <w:szCs w:val="26"/>
              </w:rPr>
            </w:pPr>
            <w:r w:rsidRPr="0005054E">
              <w:rPr>
                <w:sz w:val="26"/>
                <w:szCs w:val="26"/>
              </w:rPr>
              <w:t>TE</w:t>
            </w:r>
          </w:p>
        </w:tc>
        <w:tc>
          <w:tcPr>
            <w:tcW w:w="1459" w:type="dxa"/>
            <w:shd w:val="clear" w:color="auto" w:fill="auto"/>
            <w:vAlign w:val="center"/>
          </w:tcPr>
          <w:p w:rsidR="00322F45" w:rsidRPr="0005054E" w:rsidRDefault="00322F45" w:rsidP="00322F45">
            <w:pPr>
              <w:suppressLineNumbers/>
              <w:rPr>
                <w:sz w:val="26"/>
                <w:szCs w:val="26"/>
              </w:rPr>
            </w:pPr>
            <w:r w:rsidRPr="0005054E">
              <w:rPr>
                <w:sz w:val="26"/>
                <w:szCs w:val="26"/>
              </w:rPr>
              <w:t>Total</w:t>
            </w:r>
          </w:p>
        </w:tc>
      </w:tr>
      <w:tr w:rsidR="00322F45" w:rsidRPr="0005054E" w:rsidTr="00322F45">
        <w:trPr>
          <w:trHeight w:val="576"/>
        </w:trPr>
        <w:tc>
          <w:tcPr>
            <w:tcW w:w="2842" w:type="dxa"/>
            <w:shd w:val="clear" w:color="auto" w:fill="auto"/>
            <w:vAlign w:val="center"/>
          </w:tcPr>
          <w:p w:rsidR="00322F45" w:rsidRPr="0005054E" w:rsidRDefault="00322F45" w:rsidP="00322F45">
            <w:pPr>
              <w:suppressLineNumbers/>
              <w:rPr>
                <w:sz w:val="26"/>
                <w:szCs w:val="26"/>
              </w:rPr>
            </w:pPr>
            <w:r w:rsidRPr="0005054E">
              <w:rPr>
                <w:sz w:val="26"/>
                <w:szCs w:val="26"/>
              </w:rPr>
              <w:t>Amount permitted to be securitized by Financing Order</w:t>
            </w:r>
          </w:p>
          <w:p w:rsidR="00322F45" w:rsidRPr="0005054E" w:rsidRDefault="00322F45" w:rsidP="00322F45">
            <w:pPr>
              <w:suppressLineNumbers/>
              <w:rPr>
                <w:b/>
                <w:sz w:val="26"/>
                <w:szCs w:val="26"/>
                <w:u w:val="single"/>
              </w:rPr>
            </w:pPr>
          </w:p>
        </w:tc>
        <w:tc>
          <w:tcPr>
            <w:tcW w:w="1471" w:type="dxa"/>
            <w:shd w:val="clear" w:color="auto" w:fill="auto"/>
            <w:vAlign w:val="center"/>
          </w:tcPr>
          <w:p w:rsidR="00322F45" w:rsidRPr="0005054E" w:rsidRDefault="00322F45" w:rsidP="00322F45">
            <w:pPr>
              <w:suppressLineNumbers/>
              <w:rPr>
                <w:b/>
                <w:sz w:val="26"/>
                <w:szCs w:val="26"/>
              </w:rPr>
            </w:pPr>
            <w:r w:rsidRPr="0005054E">
              <w:rPr>
                <w:b/>
                <w:sz w:val="26"/>
                <w:szCs w:val="26"/>
              </w:rPr>
              <w:t>$</w:t>
            </w:r>
          </w:p>
        </w:tc>
        <w:tc>
          <w:tcPr>
            <w:tcW w:w="1544" w:type="dxa"/>
            <w:shd w:val="clear" w:color="auto" w:fill="auto"/>
            <w:vAlign w:val="center"/>
          </w:tcPr>
          <w:p w:rsidR="00322F45" w:rsidRPr="0005054E" w:rsidRDefault="00322F45" w:rsidP="00322F45">
            <w:pPr>
              <w:suppressLineNumbers/>
              <w:rPr>
                <w:b/>
                <w:sz w:val="26"/>
                <w:szCs w:val="26"/>
              </w:rPr>
            </w:pPr>
            <w:r w:rsidRPr="0005054E">
              <w:rPr>
                <w:b/>
                <w:sz w:val="26"/>
                <w:szCs w:val="26"/>
              </w:rPr>
              <w:t>$</w:t>
            </w:r>
          </w:p>
        </w:tc>
        <w:tc>
          <w:tcPr>
            <w:tcW w:w="1471" w:type="dxa"/>
            <w:shd w:val="clear" w:color="auto" w:fill="auto"/>
            <w:vAlign w:val="center"/>
          </w:tcPr>
          <w:p w:rsidR="00322F45" w:rsidRPr="0005054E" w:rsidRDefault="00322F45" w:rsidP="00322F45">
            <w:pPr>
              <w:suppressLineNumbers/>
              <w:rPr>
                <w:b/>
                <w:sz w:val="26"/>
                <w:szCs w:val="26"/>
                <w:u w:val="single"/>
              </w:rPr>
            </w:pPr>
            <w:r w:rsidRPr="0005054E">
              <w:rPr>
                <w:b/>
                <w:sz w:val="26"/>
                <w:szCs w:val="26"/>
              </w:rPr>
              <w:t>$</w:t>
            </w:r>
          </w:p>
        </w:tc>
        <w:tc>
          <w:tcPr>
            <w:tcW w:w="1459" w:type="dxa"/>
            <w:shd w:val="clear" w:color="auto" w:fill="auto"/>
            <w:vAlign w:val="center"/>
          </w:tcPr>
          <w:p w:rsidR="00322F45" w:rsidRPr="0005054E" w:rsidRDefault="00322F45" w:rsidP="00322F45">
            <w:pPr>
              <w:suppressLineNumbers/>
              <w:rPr>
                <w:b/>
                <w:sz w:val="26"/>
                <w:szCs w:val="26"/>
                <w:u w:val="single"/>
              </w:rPr>
            </w:pPr>
            <w:r w:rsidRPr="0005054E">
              <w:rPr>
                <w:b/>
                <w:sz w:val="26"/>
                <w:szCs w:val="26"/>
              </w:rPr>
              <w:t>$</w:t>
            </w:r>
          </w:p>
        </w:tc>
      </w:tr>
      <w:tr w:rsidR="00322F45" w:rsidRPr="0005054E" w:rsidTr="00322F45">
        <w:trPr>
          <w:trHeight w:val="576"/>
        </w:trPr>
        <w:tc>
          <w:tcPr>
            <w:tcW w:w="2842" w:type="dxa"/>
            <w:shd w:val="clear" w:color="auto" w:fill="auto"/>
            <w:vAlign w:val="center"/>
          </w:tcPr>
          <w:p w:rsidR="00322F45" w:rsidRPr="0005054E" w:rsidRDefault="00322F45" w:rsidP="00322F45">
            <w:pPr>
              <w:suppressLineNumbers/>
              <w:rPr>
                <w:b/>
                <w:sz w:val="26"/>
                <w:szCs w:val="26"/>
              </w:rPr>
            </w:pPr>
            <w:r w:rsidRPr="0005054E">
              <w:rPr>
                <w:b/>
                <w:sz w:val="26"/>
                <w:szCs w:val="26"/>
              </w:rPr>
              <w:t>TOTAL SECURIT</w:t>
            </w:r>
            <w:r>
              <w:rPr>
                <w:b/>
                <w:sz w:val="26"/>
                <w:szCs w:val="26"/>
              </w:rPr>
              <w:softHyphen/>
            </w:r>
            <w:r w:rsidRPr="0005054E">
              <w:rPr>
                <w:b/>
                <w:sz w:val="26"/>
                <w:szCs w:val="26"/>
              </w:rPr>
              <w:t>IZED PHASE-IN RECOVERY CHARGES</w:t>
            </w:r>
          </w:p>
          <w:p w:rsidR="00322F45" w:rsidRPr="0005054E" w:rsidRDefault="00322F45" w:rsidP="00322F45">
            <w:pPr>
              <w:suppressLineNumbers/>
              <w:rPr>
                <w:b/>
                <w:sz w:val="26"/>
                <w:szCs w:val="26"/>
                <w:u w:val="single"/>
              </w:rPr>
            </w:pPr>
          </w:p>
        </w:tc>
        <w:tc>
          <w:tcPr>
            <w:tcW w:w="1471" w:type="dxa"/>
            <w:shd w:val="clear" w:color="auto" w:fill="auto"/>
            <w:vAlign w:val="center"/>
          </w:tcPr>
          <w:p w:rsidR="00322F45" w:rsidRPr="0005054E" w:rsidRDefault="00322F45" w:rsidP="00322F45">
            <w:pPr>
              <w:suppressLineNumbers/>
              <w:rPr>
                <w:b/>
                <w:sz w:val="26"/>
                <w:szCs w:val="26"/>
                <w:u w:val="single"/>
              </w:rPr>
            </w:pPr>
            <w:r w:rsidRPr="0005054E">
              <w:rPr>
                <w:b/>
                <w:sz w:val="26"/>
                <w:szCs w:val="26"/>
              </w:rPr>
              <w:t>$</w:t>
            </w:r>
          </w:p>
        </w:tc>
        <w:tc>
          <w:tcPr>
            <w:tcW w:w="1544" w:type="dxa"/>
            <w:shd w:val="clear" w:color="auto" w:fill="auto"/>
            <w:vAlign w:val="center"/>
          </w:tcPr>
          <w:p w:rsidR="00322F45" w:rsidRPr="0005054E" w:rsidRDefault="00322F45" w:rsidP="00322F45">
            <w:pPr>
              <w:suppressLineNumbers/>
              <w:rPr>
                <w:b/>
                <w:sz w:val="26"/>
                <w:szCs w:val="26"/>
                <w:u w:val="single"/>
              </w:rPr>
            </w:pPr>
            <w:r w:rsidRPr="0005054E">
              <w:rPr>
                <w:b/>
                <w:sz w:val="26"/>
                <w:szCs w:val="26"/>
              </w:rPr>
              <w:t>$</w:t>
            </w:r>
          </w:p>
        </w:tc>
        <w:tc>
          <w:tcPr>
            <w:tcW w:w="1471" w:type="dxa"/>
            <w:shd w:val="clear" w:color="auto" w:fill="auto"/>
            <w:vAlign w:val="center"/>
          </w:tcPr>
          <w:p w:rsidR="00322F45" w:rsidRPr="0005054E" w:rsidRDefault="00322F45" w:rsidP="00322F45">
            <w:pPr>
              <w:suppressLineNumbers/>
              <w:rPr>
                <w:b/>
                <w:sz w:val="26"/>
                <w:szCs w:val="26"/>
                <w:u w:val="single"/>
              </w:rPr>
            </w:pPr>
            <w:r w:rsidRPr="0005054E">
              <w:rPr>
                <w:b/>
                <w:sz w:val="26"/>
                <w:szCs w:val="26"/>
              </w:rPr>
              <w:t>$</w:t>
            </w:r>
          </w:p>
        </w:tc>
        <w:tc>
          <w:tcPr>
            <w:tcW w:w="1459" w:type="dxa"/>
            <w:shd w:val="clear" w:color="auto" w:fill="auto"/>
            <w:vAlign w:val="center"/>
          </w:tcPr>
          <w:p w:rsidR="00322F45" w:rsidRPr="0005054E" w:rsidRDefault="00322F45" w:rsidP="00322F45">
            <w:pPr>
              <w:suppressLineNumbers/>
              <w:rPr>
                <w:b/>
                <w:sz w:val="26"/>
                <w:szCs w:val="26"/>
                <w:u w:val="single"/>
              </w:rPr>
            </w:pPr>
            <w:r w:rsidRPr="0005054E">
              <w:rPr>
                <w:b/>
                <w:sz w:val="26"/>
                <w:szCs w:val="26"/>
              </w:rPr>
              <w:t>$</w:t>
            </w:r>
          </w:p>
        </w:tc>
      </w:tr>
    </w:tbl>
    <w:p w:rsidR="00322F45" w:rsidRPr="0005054E" w:rsidRDefault="00322F45" w:rsidP="00322F45">
      <w:pPr>
        <w:suppressLineNumbers/>
        <w:jc w:val="both"/>
        <w:rPr>
          <w:b/>
          <w:sz w:val="26"/>
          <w:szCs w:val="26"/>
          <w:u w:val="single"/>
        </w:rPr>
      </w:pPr>
    </w:p>
    <w:p w:rsidR="00322F45" w:rsidRDefault="00322F45" w:rsidP="00322F45">
      <w:pPr>
        <w:pStyle w:val="NoSpacing"/>
        <w:suppressLineNumbers/>
        <w:spacing w:after="240"/>
        <w:jc w:val="center"/>
        <w:rPr>
          <w:rFonts w:ascii="Times New Roman" w:hAnsi="Times New Roman"/>
          <w:b/>
          <w:sz w:val="26"/>
          <w:szCs w:val="26"/>
          <w:u w:val="single"/>
        </w:rPr>
        <w:sectPr w:rsidR="00322F45" w:rsidSect="003B12DD">
          <w:headerReference w:type="first" r:id="rId32"/>
          <w:footerReference w:type="first" r:id="rId33"/>
          <w:footnotePr>
            <w:numRestart w:val="eachSect"/>
          </w:footnotePr>
          <w:pgSz w:w="12240" w:h="15840" w:code="1"/>
          <w:pgMar w:top="1440" w:right="1440" w:bottom="1440" w:left="1440" w:header="720" w:footer="720" w:gutter="0"/>
          <w:pgNumType w:start="1"/>
          <w:cols w:space="720"/>
          <w:titlePg/>
          <w:docGrid w:linePitch="360"/>
        </w:sectPr>
      </w:pPr>
    </w:p>
    <w:p w:rsidR="003C048B" w:rsidRDefault="003C048B" w:rsidP="00A71396">
      <w:pPr>
        <w:suppressLineNumbers/>
        <w:spacing w:after="240"/>
        <w:jc w:val="center"/>
        <w:rPr>
          <w:b/>
          <w:sz w:val="26"/>
          <w:szCs w:val="26"/>
          <w:u w:val="single"/>
        </w:rPr>
      </w:pPr>
      <w:r>
        <w:rPr>
          <w:b/>
          <w:sz w:val="26"/>
          <w:szCs w:val="26"/>
          <w:u w:val="single"/>
        </w:rPr>
        <w:lastRenderedPageBreak/>
        <w:t>ATTACHMENT-1</w:t>
      </w:r>
      <w:r>
        <w:rPr>
          <w:b/>
          <w:sz w:val="26"/>
          <w:szCs w:val="26"/>
          <w:u w:val="single"/>
        </w:rPr>
        <w:br/>
        <w:t>SCHEDULE B</w:t>
      </w:r>
    </w:p>
    <w:p w:rsidR="00322F45" w:rsidRPr="0005054E" w:rsidRDefault="003C048B" w:rsidP="00A71396">
      <w:pPr>
        <w:suppressLineNumbers/>
        <w:spacing w:after="240"/>
        <w:jc w:val="center"/>
        <w:rPr>
          <w:b/>
          <w:sz w:val="26"/>
          <w:szCs w:val="26"/>
          <w:u w:val="single"/>
        </w:rPr>
      </w:pPr>
      <w:r>
        <w:rPr>
          <w:b/>
          <w:sz w:val="26"/>
          <w:szCs w:val="26"/>
          <w:u w:val="single"/>
        </w:rPr>
        <w:br/>
        <w:t>ESTIMATED UP-FRON</w:t>
      </w:r>
      <w:r w:rsidR="00322F45" w:rsidRPr="0005054E">
        <w:rPr>
          <w:b/>
          <w:sz w:val="26"/>
          <w:szCs w:val="26"/>
          <w:u w:val="single"/>
        </w:rPr>
        <w:t>T FINANCING COSTS</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6390"/>
        <w:gridCol w:w="1710"/>
      </w:tblGrid>
      <w:tr w:rsidR="00322F45" w:rsidRPr="0005054E" w:rsidTr="00322F45">
        <w:trPr>
          <w:trHeight w:val="432"/>
        </w:trPr>
        <w:tc>
          <w:tcPr>
            <w:tcW w:w="648" w:type="dxa"/>
            <w:shd w:val="clear" w:color="auto" w:fill="auto"/>
            <w:vAlign w:val="center"/>
          </w:tcPr>
          <w:p w:rsidR="00322F45" w:rsidRPr="0005054E" w:rsidRDefault="00322F45" w:rsidP="00322F45">
            <w:pPr>
              <w:suppressLineNumbers/>
              <w:jc w:val="center"/>
              <w:rPr>
                <w:b/>
                <w:sz w:val="26"/>
                <w:szCs w:val="26"/>
                <w:u w:val="single"/>
              </w:rPr>
            </w:pPr>
          </w:p>
        </w:tc>
        <w:tc>
          <w:tcPr>
            <w:tcW w:w="6390" w:type="dxa"/>
            <w:shd w:val="clear" w:color="auto" w:fill="auto"/>
            <w:vAlign w:val="center"/>
          </w:tcPr>
          <w:p w:rsidR="00322F45" w:rsidRPr="0005054E" w:rsidRDefault="00322F45" w:rsidP="00322F45">
            <w:pPr>
              <w:suppressLineNumbers/>
              <w:rPr>
                <w:b/>
                <w:sz w:val="26"/>
                <w:szCs w:val="26"/>
                <w:u w:val="single"/>
              </w:rPr>
            </w:pPr>
          </w:p>
        </w:tc>
        <w:tc>
          <w:tcPr>
            <w:tcW w:w="1710" w:type="dxa"/>
            <w:shd w:val="clear" w:color="auto" w:fill="auto"/>
            <w:vAlign w:val="center"/>
          </w:tcPr>
          <w:p w:rsidR="00322F45" w:rsidRPr="0005054E" w:rsidRDefault="00322F45" w:rsidP="00322F45">
            <w:pPr>
              <w:suppressLineNumbers/>
              <w:ind w:left="-18"/>
              <w:rPr>
                <w:b/>
                <w:sz w:val="26"/>
                <w:szCs w:val="26"/>
                <w:u w:val="single"/>
              </w:rPr>
            </w:pPr>
            <w:r w:rsidRPr="0005054E">
              <w:rPr>
                <w:b/>
                <w:sz w:val="26"/>
                <w:szCs w:val="26"/>
                <w:u w:val="single"/>
              </w:rPr>
              <w:t>AMOUNT</w:t>
            </w:r>
            <w:r>
              <w:rPr>
                <w:rStyle w:val="FootnoteReference"/>
                <w:b/>
                <w:sz w:val="26"/>
                <w:szCs w:val="26"/>
                <w:u w:val="single"/>
              </w:rPr>
              <w:footnoteReference w:id="1"/>
            </w:r>
          </w:p>
        </w:tc>
      </w:tr>
      <w:tr w:rsidR="00322F45" w:rsidRPr="0005054E" w:rsidTr="00322F45">
        <w:trPr>
          <w:trHeight w:val="432"/>
        </w:trPr>
        <w:tc>
          <w:tcPr>
            <w:tcW w:w="648" w:type="dxa"/>
            <w:shd w:val="clear" w:color="auto" w:fill="auto"/>
            <w:vAlign w:val="center"/>
          </w:tcPr>
          <w:p w:rsidR="00322F45" w:rsidRPr="0005054E" w:rsidRDefault="00322F45" w:rsidP="00322F45">
            <w:pPr>
              <w:suppressLineNumbers/>
              <w:jc w:val="center"/>
              <w:rPr>
                <w:sz w:val="26"/>
                <w:szCs w:val="26"/>
              </w:rPr>
            </w:pPr>
            <w:r w:rsidRPr="0005054E">
              <w:rPr>
                <w:sz w:val="26"/>
                <w:szCs w:val="26"/>
              </w:rPr>
              <w:t>1</w:t>
            </w:r>
          </w:p>
        </w:tc>
        <w:tc>
          <w:tcPr>
            <w:tcW w:w="6390" w:type="dxa"/>
            <w:shd w:val="clear" w:color="auto" w:fill="auto"/>
            <w:vAlign w:val="center"/>
          </w:tcPr>
          <w:p w:rsidR="00322F45" w:rsidRPr="0005054E" w:rsidRDefault="00322F45" w:rsidP="00322F45">
            <w:pPr>
              <w:suppressLineNumbers/>
              <w:rPr>
                <w:sz w:val="26"/>
                <w:szCs w:val="26"/>
              </w:rPr>
            </w:pPr>
            <w:r w:rsidRPr="0005054E">
              <w:rPr>
                <w:sz w:val="26"/>
                <w:szCs w:val="26"/>
              </w:rPr>
              <w:t>Accountant’s/Auditor’s Fees</w:t>
            </w:r>
          </w:p>
        </w:tc>
        <w:tc>
          <w:tcPr>
            <w:tcW w:w="1710" w:type="dxa"/>
            <w:shd w:val="clear" w:color="auto" w:fill="auto"/>
            <w:vAlign w:val="center"/>
          </w:tcPr>
          <w:p w:rsidR="00322F45" w:rsidRPr="0005054E" w:rsidRDefault="00322F45" w:rsidP="00322F45">
            <w:pPr>
              <w:suppressLineNumbers/>
              <w:rPr>
                <w:sz w:val="26"/>
                <w:szCs w:val="26"/>
              </w:rPr>
            </w:pPr>
          </w:p>
        </w:tc>
      </w:tr>
      <w:tr w:rsidR="00322F45" w:rsidRPr="0005054E" w:rsidTr="00322F45">
        <w:trPr>
          <w:trHeight w:val="432"/>
        </w:trPr>
        <w:tc>
          <w:tcPr>
            <w:tcW w:w="648" w:type="dxa"/>
            <w:shd w:val="clear" w:color="auto" w:fill="auto"/>
            <w:vAlign w:val="center"/>
          </w:tcPr>
          <w:p w:rsidR="00322F45" w:rsidRPr="0005054E" w:rsidRDefault="00322F45" w:rsidP="00322F45">
            <w:pPr>
              <w:suppressLineNumbers/>
              <w:jc w:val="center"/>
              <w:rPr>
                <w:sz w:val="26"/>
                <w:szCs w:val="26"/>
              </w:rPr>
            </w:pPr>
            <w:r w:rsidRPr="0005054E">
              <w:rPr>
                <w:sz w:val="26"/>
                <w:szCs w:val="26"/>
              </w:rPr>
              <w:t>2</w:t>
            </w:r>
          </w:p>
        </w:tc>
        <w:tc>
          <w:tcPr>
            <w:tcW w:w="6390" w:type="dxa"/>
            <w:shd w:val="clear" w:color="auto" w:fill="auto"/>
            <w:vAlign w:val="center"/>
          </w:tcPr>
          <w:p w:rsidR="00322F45" w:rsidRPr="0005054E" w:rsidRDefault="00322F45" w:rsidP="00322F45">
            <w:pPr>
              <w:suppressLineNumbers/>
              <w:rPr>
                <w:sz w:val="26"/>
                <w:szCs w:val="26"/>
              </w:rPr>
            </w:pPr>
            <w:r w:rsidRPr="0005054E">
              <w:rPr>
                <w:sz w:val="26"/>
                <w:szCs w:val="26"/>
              </w:rPr>
              <w:t>Fee for Applicants’ Structuring Advisor</w:t>
            </w:r>
          </w:p>
        </w:tc>
        <w:tc>
          <w:tcPr>
            <w:tcW w:w="1710" w:type="dxa"/>
            <w:shd w:val="clear" w:color="auto" w:fill="auto"/>
            <w:vAlign w:val="center"/>
          </w:tcPr>
          <w:p w:rsidR="00322F45" w:rsidRPr="0005054E" w:rsidRDefault="00322F45" w:rsidP="00322F45">
            <w:pPr>
              <w:suppressLineNumbers/>
              <w:rPr>
                <w:sz w:val="26"/>
                <w:szCs w:val="26"/>
              </w:rPr>
            </w:pPr>
          </w:p>
        </w:tc>
      </w:tr>
      <w:tr w:rsidR="00322F45" w:rsidRPr="0005054E" w:rsidTr="00322F45">
        <w:trPr>
          <w:trHeight w:val="432"/>
        </w:trPr>
        <w:tc>
          <w:tcPr>
            <w:tcW w:w="648" w:type="dxa"/>
            <w:shd w:val="clear" w:color="auto" w:fill="auto"/>
            <w:vAlign w:val="center"/>
          </w:tcPr>
          <w:p w:rsidR="00322F45" w:rsidRPr="0005054E" w:rsidRDefault="00322F45" w:rsidP="00322F45">
            <w:pPr>
              <w:suppressLineNumbers/>
              <w:jc w:val="center"/>
              <w:rPr>
                <w:sz w:val="26"/>
                <w:szCs w:val="26"/>
              </w:rPr>
            </w:pPr>
            <w:r w:rsidRPr="0005054E">
              <w:rPr>
                <w:sz w:val="26"/>
                <w:szCs w:val="26"/>
              </w:rPr>
              <w:t>3</w:t>
            </w:r>
          </w:p>
        </w:tc>
        <w:tc>
          <w:tcPr>
            <w:tcW w:w="6390" w:type="dxa"/>
            <w:shd w:val="clear" w:color="auto" w:fill="auto"/>
            <w:vAlign w:val="center"/>
          </w:tcPr>
          <w:p w:rsidR="00322F45" w:rsidRPr="0005054E" w:rsidRDefault="00322F45" w:rsidP="00322F45">
            <w:pPr>
              <w:suppressLineNumbers/>
              <w:rPr>
                <w:sz w:val="26"/>
                <w:szCs w:val="26"/>
              </w:rPr>
            </w:pPr>
            <w:r w:rsidRPr="0005054E">
              <w:rPr>
                <w:sz w:val="26"/>
                <w:szCs w:val="26"/>
              </w:rPr>
              <w:t>Legal Fees and Expenses for Applicants/Issuer’s Counsel</w:t>
            </w:r>
          </w:p>
        </w:tc>
        <w:tc>
          <w:tcPr>
            <w:tcW w:w="1710" w:type="dxa"/>
            <w:shd w:val="clear" w:color="auto" w:fill="auto"/>
            <w:vAlign w:val="center"/>
          </w:tcPr>
          <w:p w:rsidR="00322F45" w:rsidRPr="0005054E" w:rsidRDefault="00322F45" w:rsidP="00322F45">
            <w:pPr>
              <w:suppressLineNumbers/>
              <w:rPr>
                <w:sz w:val="26"/>
                <w:szCs w:val="26"/>
              </w:rPr>
            </w:pPr>
          </w:p>
        </w:tc>
      </w:tr>
      <w:tr w:rsidR="00322F45" w:rsidRPr="0005054E" w:rsidTr="00322F45">
        <w:trPr>
          <w:trHeight w:val="432"/>
        </w:trPr>
        <w:tc>
          <w:tcPr>
            <w:tcW w:w="648" w:type="dxa"/>
            <w:shd w:val="clear" w:color="auto" w:fill="auto"/>
            <w:vAlign w:val="center"/>
          </w:tcPr>
          <w:p w:rsidR="00322F45" w:rsidRPr="0005054E" w:rsidRDefault="00322F45" w:rsidP="00322F45">
            <w:pPr>
              <w:suppressLineNumbers/>
              <w:jc w:val="center"/>
              <w:rPr>
                <w:sz w:val="26"/>
                <w:szCs w:val="26"/>
              </w:rPr>
            </w:pPr>
            <w:r w:rsidRPr="0005054E">
              <w:rPr>
                <w:sz w:val="26"/>
                <w:szCs w:val="26"/>
              </w:rPr>
              <w:t>4</w:t>
            </w:r>
          </w:p>
        </w:tc>
        <w:tc>
          <w:tcPr>
            <w:tcW w:w="6390" w:type="dxa"/>
            <w:shd w:val="clear" w:color="auto" w:fill="auto"/>
            <w:vAlign w:val="center"/>
          </w:tcPr>
          <w:p w:rsidR="00322F45" w:rsidRPr="0005054E" w:rsidRDefault="00322F45" w:rsidP="00322F45">
            <w:pPr>
              <w:suppressLineNumbers/>
              <w:rPr>
                <w:sz w:val="26"/>
                <w:szCs w:val="26"/>
              </w:rPr>
            </w:pPr>
            <w:r w:rsidRPr="0005054E">
              <w:rPr>
                <w:sz w:val="26"/>
                <w:szCs w:val="26"/>
              </w:rPr>
              <w:t>Legal Fees and Expenses for Trustee’s Counsel</w:t>
            </w:r>
          </w:p>
        </w:tc>
        <w:tc>
          <w:tcPr>
            <w:tcW w:w="1710" w:type="dxa"/>
            <w:shd w:val="clear" w:color="auto" w:fill="auto"/>
            <w:vAlign w:val="center"/>
          </w:tcPr>
          <w:p w:rsidR="00322F45" w:rsidRPr="0005054E" w:rsidRDefault="00322F45" w:rsidP="00322F45">
            <w:pPr>
              <w:suppressLineNumbers/>
              <w:rPr>
                <w:sz w:val="26"/>
                <w:szCs w:val="26"/>
              </w:rPr>
            </w:pPr>
          </w:p>
        </w:tc>
      </w:tr>
      <w:tr w:rsidR="00322F45" w:rsidRPr="0005054E" w:rsidTr="00322F45">
        <w:trPr>
          <w:trHeight w:val="432"/>
        </w:trPr>
        <w:tc>
          <w:tcPr>
            <w:tcW w:w="648" w:type="dxa"/>
            <w:shd w:val="clear" w:color="auto" w:fill="auto"/>
            <w:vAlign w:val="center"/>
          </w:tcPr>
          <w:p w:rsidR="00322F45" w:rsidRPr="0005054E" w:rsidRDefault="00322F45" w:rsidP="00322F45">
            <w:pPr>
              <w:suppressLineNumbers/>
              <w:jc w:val="center"/>
              <w:rPr>
                <w:sz w:val="26"/>
                <w:szCs w:val="26"/>
              </w:rPr>
            </w:pPr>
            <w:r w:rsidRPr="0005054E">
              <w:rPr>
                <w:sz w:val="26"/>
                <w:szCs w:val="26"/>
              </w:rPr>
              <w:t>5</w:t>
            </w:r>
          </w:p>
        </w:tc>
        <w:tc>
          <w:tcPr>
            <w:tcW w:w="6390" w:type="dxa"/>
            <w:shd w:val="clear" w:color="auto" w:fill="auto"/>
            <w:vAlign w:val="center"/>
          </w:tcPr>
          <w:p w:rsidR="00322F45" w:rsidRPr="0005054E" w:rsidRDefault="00322F45" w:rsidP="00322F45">
            <w:pPr>
              <w:suppressLineNumbers/>
              <w:rPr>
                <w:sz w:val="26"/>
                <w:szCs w:val="26"/>
              </w:rPr>
            </w:pPr>
            <w:r w:rsidRPr="0005054E">
              <w:rPr>
                <w:sz w:val="26"/>
                <w:szCs w:val="26"/>
              </w:rPr>
              <w:t>Legal Fees and Expenses for Underwriter’s Counsel</w:t>
            </w:r>
          </w:p>
        </w:tc>
        <w:tc>
          <w:tcPr>
            <w:tcW w:w="1710" w:type="dxa"/>
            <w:shd w:val="clear" w:color="auto" w:fill="auto"/>
            <w:vAlign w:val="center"/>
          </w:tcPr>
          <w:p w:rsidR="00322F45" w:rsidRPr="0005054E" w:rsidRDefault="00322F45" w:rsidP="00322F45">
            <w:pPr>
              <w:suppressLineNumbers/>
              <w:rPr>
                <w:sz w:val="26"/>
                <w:szCs w:val="26"/>
              </w:rPr>
            </w:pPr>
          </w:p>
        </w:tc>
      </w:tr>
      <w:tr w:rsidR="00322F45" w:rsidRPr="0005054E" w:rsidTr="00322F45">
        <w:trPr>
          <w:trHeight w:val="432"/>
        </w:trPr>
        <w:tc>
          <w:tcPr>
            <w:tcW w:w="648" w:type="dxa"/>
            <w:shd w:val="clear" w:color="auto" w:fill="auto"/>
            <w:vAlign w:val="center"/>
          </w:tcPr>
          <w:p w:rsidR="00322F45" w:rsidRPr="0005054E" w:rsidRDefault="00322F45" w:rsidP="00322F45">
            <w:pPr>
              <w:suppressLineNumbers/>
              <w:jc w:val="center"/>
              <w:rPr>
                <w:sz w:val="26"/>
                <w:szCs w:val="26"/>
              </w:rPr>
            </w:pPr>
            <w:r w:rsidRPr="0005054E">
              <w:rPr>
                <w:sz w:val="26"/>
                <w:szCs w:val="26"/>
              </w:rPr>
              <w:t>6</w:t>
            </w:r>
          </w:p>
        </w:tc>
        <w:tc>
          <w:tcPr>
            <w:tcW w:w="6390" w:type="dxa"/>
            <w:shd w:val="clear" w:color="auto" w:fill="auto"/>
            <w:vAlign w:val="center"/>
          </w:tcPr>
          <w:p w:rsidR="00322F45" w:rsidRPr="0005054E" w:rsidRDefault="00322F45" w:rsidP="00322F45">
            <w:pPr>
              <w:suppressLineNumbers/>
              <w:rPr>
                <w:sz w:val="26"/>
                <w:szCs w:val="26"/>
              </w:rPr>
            </w:pPr>
            <w:r w:rsidRPr="0005054E">
              <w:rPr>
                <w:sz w:val="26"/>
                <w:szCs w:val="26"/>
              </w:rPr>
              <w:t>Printing and Filing Fees</w:t>
            </w:r>
          </w:p>
        </w:tc>
        <w:tc>
          <w:tcPr>
            <w:tcW w:w="1710" w:type="dxa"/>
            <w:shd w:val="clear" w:color="auto" w:fill="auto"/>
            <w:vAlign w:val="center"/>
          </w:tcPr>
          <w:p w:rsidR="00322F45" w:rsidRPr="0005054E" w:rsidRDefault="00322F45" w:rsidP="00322F45">
            <w:pPr>
              <w:suppressLineNumbers/>
              <w:rPr>
                <w:sz w:val="26"/>
                <w:szCs w:val="26"/>
              </w:rPr>
            </w:pPr>
          </w:p>
        </w:tc>
      </w:tr>
      <w:tr w:rsidR="00322F45" w:rsidRPr="0005054E" w:rsidTr="00322F45">
        <w:trPr>
          <w:trHeight w:val="432"/>
        </w:trPr>
        <w:tc>
          <w:tcPr>
            <w:tcW w:w="648" w:type="dxa"/>
            <w:shd w:val="clear" w:color="auto" w:fill="auto"/>
            <w:vAlign w:val="center"/>
          </w:tcPr>
          <w:p w:rsidR="00322F45" w:rsidRPr="0005054E" w:rsidRDefault="00322F45" w:rsidP="00322F45">
            <w:pPr>
              <w:suppressLineNumbers/>
              <w:jc w:val="center"/>
              <w:rPr>
                <w:sz w:val="26"/>
                <w:szCs w:val="26"/>
              </w:rPr>
            </w:pPr>
            <w:r w:rsidRPr="0005054E">
              <w:rPr>
                <w:sz w:val="26"/>
                <w:szCs w:val="26"/>
              </w:rPr>
              <w:t>7</w:t>
            </w:r>
          </w:p>
        </w:tc>
        <w:tc>
          <w:tcPr>
            <w:tcW w:w="6390" w:type="dxa"/>
            <w:shd w:val="clear" w:color="auto" w:fill="auto"/>
            <w:vAlign w:val="center"/>
          </w:tcPr>
          <w:p w:rsidR="00322F45" w:rsidRPr="0005054E" w:rsidRDefault="00322F45" w:rsidP="00322F45">
            <w:pPr>
              <w:suppressLineNumbers/>
              <w:rPr>
                <w:sz w:val="26"/>
                <w:szCs w:val="26"/>
              </w:rPr>
            </w:pPr>
            <w:r w:rsidRPr="0005054E">
              <w:rPr>
                <w:sz w:val="26"/>
                <w:szCs w:val="26"/>
              </w:rPr>
              <w:t>Rating Agency Fee</w:t>
            </w:r>
            <w:r>
              <w:rPr>
                <w:rStyle w:val="FootnoteReference"/>
                <w:sz w:val="26"/>
                <w:szCs w:val="26"/>
              </w:rPr>
              <w:footnoteReference w:id="2"/>
            </w:r>
          </w:p>
        </w:tc>
        <w:tc>
          <w:tcPr>
            <w:tcW w:w="1710" w:type="dxa"/>
            <w:shd w:val="clear" w:color="auto" w:fill="auto"/>
            <w:vAlign w:val="center"/>
          </w:tcPr>
          <w:p w:rsidR="00322F45" w:rsidRPr="0005054E" w:rsidRDefault="00322F45" w:rsidP="00322F45">
            <w:pPr>
              <w:suppressLineNumbers/>
              <w:rPr>
                <w:sz w:val="26"/>
                <w:szCs w:val="26"/>
              </w:rPr>
            </w:pPr>
          </w:p>
        </w:tc>
      </w:tr>
      <w:tr w:rsidR="00322F45" w:rsidRPr="0005054E" w:rsidTr="00322F45">
        <w:trPr>
          <w:trHeight w:val="432"/>
        </w:trPr>
        <w:tc>
          <w:tcPr>
            <w:tcW w:w="648" w:type="dxa"/>
            <w:shd w:val="clear" w:color="auto" w:fill="auto"/>
            <w:vAlign w:val="center"/>
          </w:tcPr>
          <w:p w:rsidR="00322F45" w:rsidRPr="0005054E" w:rsidRDefault="00322F45" w:rsidP="00322F45">
            <w:pPr>
              <w:suppressLineNumbers/>
              <w:jc w:val="center"/>
              <w:rPr>
                <w:sz w:val="26"/>
                <w:szCs w:val="26"/>
              </w:rPr>
            </w:pPr>
            <w:r w:rsidRPr="0005054E">
              <w:rPr>
                <w:sz w:val="26"/>
                <w:szCs w:val="26"/>
              </w:rPr>
              <w:t>8</w:t>
            </w:r>
          </w:p>
        </w:tc>
        <w:tc>
          <w:tcPr>
            <w:tcW w:w="6390" w:type="dxa"/>
            <w:shd w:val="clear" w:color="auto" w:fill="auto"/>
            <w:vAlign w:val="center"/>
          </w:tcPr>
          <w:p w:rsidR="00322F45" w:rsidRPr="0005054E" w:rsidRDefault="00322F45" w:rsidP="00322F45">
            <w:pPr>
              <w:suppressLineNumbers/>
              <w:rPr>
                <w:sz w:val="26"/>
                <w:szCs w:val="26"/>
              </w:rPr>
            </w:pPr>
            <w:r w:rsidRPr="0005054E">
              <w:rPr>
                <w:sz w:val="26"/>
                <w:szCs w:val="26"/>
              </w:rPr>
              <w:t>SEC Registration Fees</w:t>
            </w:r>
            <w:r>
              <w:rPr>
                <w:rStyle w:val="FootnoteReference"/>
                <w:sz w:val="26"/>
                <w:szCs w:val="26"/>
              </w:rPr>
              <w:footnoteReference w:id="3"/>
            </w:r>
          </w:p>
        </w:tc>
        <w:tc>
          <w:tcPr>
            <w:tcW w:w="1710" w:type="dxa"/>
            <w:shd w:val="clear" w:color="auto" w:fill="auto"/>
            <w:vAlign w:val="center"/>
          </w:tcPr>
          <w:p w:rsidR="00322F45" w:rsidRPr="0005054E" w:rsidRDefault="00322F45" w:rsidP="00322F45">
            <w:pPr>
              <w:suppressLineNumbers/>
              <w:rPr>
                <w:sz w:val="26"/>
                <w:szCs w:val="26"/>
              </w:rPr>
            </w:pPr>
          </w:p>
        </w:tc>
      </w:tr>
      <w:tr w:rsidR="00322F45" w:rsidRPr="0005054E" w:rsidTr="00322F45">
        <w:trPr>
          <w:trHeight w:val="432"/>
        </w:trPr>
        <w:tc>
          <w:tcPr>
            <w:tcW w:w="648" w:type="dxa"/>
            <w:shd w:val="clear" w:color="auto" w:fill="auto"/>
            <w:vAlign w:val="center"/>
          </w:tcPr>
          <w:p w:rsidR="00322F45" w:rsidRPr="0005054E" w:rsidRDefault="00322F45" w:rsidP="00322F45">
            <w:pPr>
              <w:suppressLineNumbers/>
              <w:jc w:val="center"/>
              <w:rPr>
                <w:sz w:val="26"/>
                <w:szCs w:val="26"/>
              </w:rPr>
            </w:pPr>
            <w:r w:rsidRPr="0005054E">
              <w:rPr>
                <w:sz w:val="26"/>
                <w:szCs w:val="26"/>
              </w:rPr>
              <w:t>9</w:t>
            </w:r>
          </w:p>
        </w:tc>
        <w:tc>
          <w:tcPr>
            <w:tcW w:w="6390" w:type="dxa"/>
            <w:shd w:val="clear" w:color="auto" w:fill="auto"/>
            <w:vAlign w:val="center"/>
          </w:tcPr>
          <w:p w:rsidR="00322F45" w:rsidRPr="0005054E" w:rsidRDefault="00322F45" w:rsidP="00322F45">
            <w:pPr>
              <w:suppressLineNumbers/>
              <w:rPr>
                <w:sz w:val="26"/>
                <w:szCs w:val="26"/>
              </w:rPr>
            </w:pPr>
            <w:r w:rsidRPr="0005054E">
              <w:rPr>
                <w:sz w:val="26"/>
                <w:szCs w:val="26"/>
              </w:rPr>
              <w:t>Servicer Set-up Costs</w:t>
            </w:r>
            <w:r>
              <w:rPr>
                <w:rStyle w:val="FootnoteReference"/>
                <w:sz w:val="26"/>
                <w:szCs w:val="26"/>
              </w:rPr>
              <w:footnoteReference w:id="4"/>
            </w:r>
          </w:p>
        </w:tc>
        <w:tc>
          <w:tcPr>
            <w:tcW w:w="1710" w:type="dxa"/>
            <w:shd w:val="clear" w:color="auto" w:fill="auto"/>
            <w:vAlign w:val="center"/>
          </w:tcPr>
          <w:p w:rsidR="00322F45" w:rsidRPr="0005054E" w:rsidRDefault="00322F45" w:rsidP="00322F45">
            <w:pPr>
              <w:suppressLineNumbers/>
              <w:rPr>
                <w:sz w:val="26"/>
                <w:szCs w:val="26"/>
              </w:rPr>
            </w:pPr>
          </w:p>
        </w:tc>
      </w:tr>
      <w:tr w:rsidR="00322F45" w:rsidRPr="0005054E" w:rsidTr="00322F45">
        <w:trPr>
          <w:trHeight w:val="432"/>
        </w:trPr>
        <w:tc>
          <w:tcPr>
            <w:tcW w:w="648" w:type="dxa"/>
            <w:shd w:val="clear" w:color="auto" w:fill="auto"/>
            <w:vAlign w:val="center"/>
          </w:tcPr>
          <w:p w:rsidR="00322F45" w:rsidRPr="0005054E" w:rsidRDefault="00322F45" w:rsidP="00322F45">
            <w:pPr>
              <w:suppressLineNumbers/>
              <w:jc w:val="center"/>
              <w:rPr>
                <w:sz w:val="26"/>
                <w:szCs w:val="26"/>
              </w:rPr>
            </w:pPr>
            <w:r w:rsidRPr="0005054E">
              <w:rPr>
                <w:sz w:val="26"/>
                <w:szCs w:val="26"/>
              </w:rPr>
              <w:t>10</w:t>
            </w:r>
          </w:p>
        </w:tc>
        <w:tc>
          <w:tcPr>
            <w:tcW w:w="6390" w:type="dxa"/>
            <w:shd w:val="clear" w:color="auto" w:fill="auto"/>
            <w:vAlign w:val="center"/>
          </w:tcPr>
          <w:p w:rsidR="00322F45" w:rsidRPr="0005054E" w:rsidRDefault="00322F45" w:rsidP="00322F45">
            <w:pPr>
              <w:suppressLineNumbers/>
              <w:rPr>
                <w:sz w:val="26"/>
                <w:szCs w:val="26"/>
              </w:rPr>
            </w:pPr>
            <w:r w:rsidRPr="0005054E">
              <w:rPr>
                <w:sz w:val="26"/>
                <w:szCs w:val="26"/>
              </w:rPr>
              <w:t>Trustee Payments</w:t>
            </w:r>
          </w:p>
        </w:tc>
        <w:tc>
          <w:tcPr>
            <w:tcW w:w="1710" w:type="dxa"/>
            <w:shd w:val="clear" w:color="auto" w:fill="auto"/>
            <w:vAlign w:val="center"/>
          </w:tcPr>
          <w:p w:rsidR="00322F45" w:rsidRPr="0005054E" w:rsidRDefault="00322F45" w:rsidP="00322F45">
            <w:pPr>
              <w:suppressLineNumbers/>
              <w:rPr>
                <w:sz w:val="26"/>
                <w:szCs w:val="26"/>
              </w:rPr>
            </w:pPr>
          </w:p>
        </w:tc>
      </w:tr>
      <w:tr w:rsidR="00322F45" w:rsidRPr="0005054E" w:rsidTr="00322F45">
        <w:trPr>
          <w:trHeight w:val="432"/>
        </w:trPr>
        <w:tc>
          <w:tcPr>
            <w:tcW w:w="648" w:type="dxa"/>
            <w:shd w:val="clear" w:color="auto" w:fill="auto"/>
            <w:vAlign w:val="center"/>
          </w:tcPr>
          <w:p w:rsidR="00322F45" w:rsidRPr="0005054E" w:rsidRDefault="00322F45" w:rsidP="00322F45">
            <w:pPr>
              <w:suppressLineNumbers/>
              <w:jc w:val="center"/>
              <w:rPr>
                <w:sz w:val="26"/>
                <w:szCs w:val="26"/>
              </w:rPr>
            </w:pPr>
            <w:r w:rsidRPr="0005054E">
              <w:rPr>
                <w:sz w:val="26"/>
                <w:szCs w:val="26"/>
              </w:rPr>
              <w:t>11</w:t>
            </w:r>
          </w:p>
        </w:tc>
        <w:tc>
          <w:tcPr>
            <w:tcW w:w="6390" w:type="dxa"/>
            <w:shd w:val="clear" w:color="auto" w:fill="auto"/>
            <w:vAlign w:val="center"/>
          </w:tcPr>
          <w:p w:rsidR="00322F45" w:rsidRPr="0005054E" w:rsidRDefault="00322F45" w:rsidP="00322F45">
            <w:pPr>
              <w:suppressLineNumbers/>
              <w:rPr>
                <w:sz w:val="26"/>
                <w:szCs w:val="26"/>
              </w:rPr>
            </w:pPr>
            <w:r w:rsidRPr="0005054E">
              <w:rPr>
                <w:sz w:val="26"/>
                <w:szCs w:val="26"/>
              </w:rPr>
              <w:t>Underwriting Costs</w:t>
            </w:r>
            <w:r>
              <w:rPr>
                <w:rStyle w:val="FootnoteReference"/>
                <w:sz w:val="26"/>
                <w:szCs w:val="26"/>
              </w:rPr>
              <w:footnoteReference w:id="5"/>
            </w:r>
          </w:p>
        </w:tc>
        <w:tc>
          <w:tcPr>
            <w:tcW w:w="1710" w:type="dxa"/>
            <w:shd w:val="clear" w:color="auto" w:fill="auto"/>
            <w:vAlign w:val="center"/>
          </w:tcPr>
          <w:p w:rsidR="00322F45" w:rsidRPr="0005054E" w:rsidRDefault="00322F45" w:rsidP="00322F45">
            <w:pPr>
              <w:suppressLineNumbers/>
              <w:rPr>
                <w:sz w:val="26"/>
                <w:szCs w:val="26"/>
              </w:rPr>
            </w:pPr>
          </w:p>
        </w:tc>
      </w:tr>
      <w:tr w:rsidR="00322F45" w:rsidRPr="0005054E" w:rsidTr="00322F45">
        <w:trPr>
          <w:trHeight w:val="432"/>
        </w:trPr>
        <w:tc>
          <w:tcPr>
            <w:tcW w:w="648" w:type="dxa"/>
            <w:shd w:val="clear" w:color="auto" w:fill="auto"/>
            <w:vAlign w:val="center"/>
          </w:tcPr>
          <w:p w:rsidR="00322F45" w:rsidRPr="0005054E" w:rsidRDefault="00322F45" w:rsidP="00322F45">
            <w:pPr>
              <w:suppressLineNumbers/>
              <w:jc w:val="center"/>
              <w:rPr>
                <w:sz w:val="26"/>
                <w:szCs w:val="26"/>
              </w:rPr>
            </w:pPr>
            <w:r w:rsidRPr="0005054E">
              <w:rPr>
                <w:sz w:val="26"/>
                <w:szCs w:val="26"/>
              </w:rPr>
              <w:t>12</w:t>
            </w:r>
          </w:p>
        </w:tc>
        <w:tc>
          <w:tcPr>
            <w:tcW w:w="6390" w:type="dxa"/>
            <w:shd w:val="clear" w:color="auto" w:fill="auto"/>
            <w:vAlign w:val="center"/>
          </w:tcPr>
          <w:p w:rsidR="00322F45" w:rsidRPr="0005054E" w:rsidRDefault="00322F45" w:rsidP="00322F45">
            <w:pPr>
              <w:suppressLineNumbers/>
              <w:rPr>
                <w:sz w:val="26"/>
                <w:szCs w:val="26"/>
              </w:rPr>
            </w:pPr>
            <w:r w:rsidRPr="0005054E">
              <w:rPr>
                <w:sz w:val="26"/>
                <w:szCs w:val="26"/>
              </w:rPr>
              <w:t>Miscellaneous</w:t>
            </w:r>
            <w:r>
              <w:rPr>
                <w:rStyle w:val="FootnoteReference"/>
                <w:sz w:val="26"/>
                <w:szCs w:val="26"/>
              </w:rPr>
              <w:footnoteReference w:id="6"/>
            </w:r>
          </w:p>
        </w:tc>
        <w:tc>
          <w:tcPr>
            <w:tcW w:w="1710" w:type="dxa"/>
            <w:shd w:val="clear" w:color="auto" w:fill="auto"/>
            <w:vAlign w:val="center"/>
          </w:tcPr>
          <w:p w:rsidR="00322F45" w:rsidRPr="0005054E" w:rsidRDefault="00322F45" w:rsidP="00322F45">
            <w:pPr>
              <w:suppressLineNumbers/>
              <w:rPr>
                <w:sz w:val="26"/>
                <w:szCs w:val="26"/>
              </w:rPr>
            </w:pPr>
          </w:p>
        </w:tc>
      </w:tr>
      <w:tr w:rsidR="00322F45" w:rsidRPr="0005054E" w:rsidTr="00322F45">
        <w:trPr>
          <w:trHeight w:val="432"/>
        </w:trPr>
        <w:tc>
          <w:tcPr>
            <w:tcW w:w="648" w:type="dxa"/>
            <w:shd w:val="clear" w:color="auto" w:fill="auto"/>
            <w:vAlign w:val="center"/>
          </w:tcPr>
          <w:p w:rsidR="00322F45" w:rsidRPr="0005054E" w:rsidRDefault="00322F45" w:rsidP="00322F45">
            <w:pPr>
              <w:suppressLineNumbers/>
              <w:jc w:val="center"/>
              <w:rPr>
                <w:sz w:val="26"/>
                <w:szCs w:val="26"/>
              </w:rPr>
            </w:pPr>
            <w:r w:rsidRPr="0005054E">
              <w:rPr>
                <w:sz w:val="26"/>
                <w:szCs w:val="26"/>
              </w:rPr>
              <w:t>13</w:t>
            </w:r>
          </w:p>
        </w:tc>
        <w:tc>
          <w:tcPr>
            <w:tcW w:w="6390" w:type="dxa"/>
            <w:shd w:val="clear" w:color="auto" w:fill="auto"/>
            <w:vAlign w:val="center"/>
          </w:tcPr>
          <w:p w:rsidR="00322F45" w:rsidRPr="0005054E" w:rsidRDefault="00322F45" w:rsidP="00322F45">
            <w:pPr>
              <w:suppressLineNumbers/>
              <w:rPr>
                <w:sz w:val="26"/>
                <w:szCs w:val="26"/>
              </w:rPr>
            </w:pPr>
            <w:r w:rsidRPr="0005054E">
              <w:rPr>
                <w:sz w:val="26"/>
                <w:szCs w:val="26"/>
              </w:rPr>
              <w:t>Subtotal Issuance Expenses (Sum Lines 1-12)</w:t>
            </w:r>
          </w:p>
        </w:tc>
        <w:tc>
          <w:tcPr>
            <w:tcW w:w="1710" w:type="dxa"/>
            <w:shd w:val="clear" w:color="auto" w:fill="auto"/>
            <w:vAlign w:val="center"/>
          </w:tcPr>
          <w:p w:rsidR="00322F45" w:rsidRPr="0005054E" w:rsidRDefault="00322F45" w:rsidP="00322F45">
            <w:pPr>
              <w:suppressLineNumbers/>
              <w:rPr>
                <w:sz w:val="26"/>
                <w:szCs w:val="26"/>
              </w:rPr>
            </w:pPr>
          </w:p>
        </w:tc>
      </w:tr>
      <w:tr w:rsidR="00322F45" w:rsidRPr="0005054E" w:rsidTr="00322F45">
        <w:trPr>
          <w:trHeight w:val="432"/>
        </w:trPr>
        <w:tc>
          <w:tcPr>
            <w:tcW w:w="648" w:type="dxa"/>
            <w:shd w:val="clear" w:color="auto" w:fill="auto"/>
            <w:vAlign w:val="center"/>
          </w:tcPr>
          <w:p w:rsidR="00322F45" w:rsidRPr="0005054E" w:rsidRDefault="00322F45" w:rsidP="00322F45">
            <w:pPr>
              <w:suppressLineNumbers/>
              <w:jc w:val="center"/>
              <w:rPr>
                <w:sz w:val="26"/>
                <w:szCs w:val="26"/>
              </w:rPr>
            </w:pPr>
            <w:r w:rsidRPr="0005054E">
              <w:rPr>
                <w:sz w:val="26"/>
                <w:szCs w:val="26"/>
              </w:rPr>
              <w:t>14</w:t>
            </w:r>
          </w:p>
        </w:tc>
        <w:tc>
          <w:tcPr>
            <w:tcW w:w="6390" w:type="dxa"/>
            <w:shd w:val="clear" w:color="auto" w:fill="auto"/>
            <w:vAlign w:val="center"/>
          </w:tcPr>
          <w:p w:rsidR="00322F45" w:rsidRPr="0005054E" w:rsidRDefault="00322F45" w:rsidP="00322F45">
            <w:pPr>
              <w:suppressLineNumbers/>
              <w:rPr>
                <w:sz w:val="26"/>
                <w:szCs w:val="26"/>
              </w:rPr>
            </w:pPr>
            <w:r w:rsidRPr="0005054E">
              <w:rPr>
                <w:sz w:val="26"/>
                <w:szCs w:val="26"/>
              </w:rPr>
              <w:t>Debt Retirement Costs</w:t>
            </w:r>
            <w:r>
              <w:rPr>
                <w:rStyle w:val="FootnoteReference"/>
                <w:sz w:val="26"/>
                <w:szCs w:val="26"/>
              </w:rPr>
              <w:footnoteReference w:id="7"/>
            </w:r>
          </w:p>
        </w:tc>
        <w:tc>
          <w:tcPr>
            <w:tcW w:w="1710" w:type="dxa"/>
            <w:shd w:val="clear" w:color="auto" w:fill="auto"/>
            <w:vAlign w:val="center"/>
          </w:tcPr>
          <w:p w:rsidR="00322F45" w:rsidRPr="0005054E" w:rsidRDefault="00322F45" w:rsidP="00322F45">
            <w:pPr>
              <w:suppressLineNumbers/>
              <w:rPr>
                <w:sz w:val="26"/>
                <w:szCs w:val="26"/>
              </w:rPr>
            </w:pPr>
          </w:p>
        </w:tc>
      </w:tr>
      <w:tr w:rsidR="00322F45" w:rsidRPr="0005054E" w:rsidTr="00322F45">
        <w:trPr>
          <w:trHeight w:val="432"/>
        </w:trPr>
        <w:tc>
          <w:tcPr>
            <w:tcW w:w="648" w:type="dxa"/>
            <w:shd w:val="clear" w:color="auto" w:fill="auto"/>
            <w:vAlign w:val="center"/>
          </w:tcPr>
          <w:p w:rsidR="00322F45" w:rsidRPr="0005054E" w:rsidRDefault="00322F45" w:rsidP="00322F45">
            <w:pPr>
              <w:suppressLineNumbers/>
              <w:jc w:val="center"/>
              <w:rPr>
                <w:sz w:val="26"/>
                <w:szCs w:val="26"/>
              </w:rPr>
            </w:pPr>
            <w:r w:rsidRPr="0005054E">
              <w:rPr>
                <w:sz w:val="26"/>
                <w:szCs w:val="26"/>
              </w:rPr>
              <w:t>15</w:t>
            </w:r>
          </w:p>
        </w:tc>
        <w:tc>
          <w:tcPr>
            <w:tcW w:w="6390" w:type="dxa"/>
            <w:shd w:val="clear" w:color="auto" w:fill="auto"/>
            <w:vAlign w:val="center"/>
          </w:tcPr>
          <w:p w:rsidR="00322F45" w:rsidRPr="0005054E" w:rsidRDefault="00322F45" w:rsidP="00322F45">
            <w:pPr>
              <w:suppressLineNumbers/>
              <w:rPr>
                <w:b/>
                <w:sz w:val="26"/>
                <w:szCs w:val="26"/>
              </w:rPr>
            </w:pPr>
            <w:r w:rsidRPr="0005054E">
              <w:rPr>
                <w:b/>
                <w:sz w:val="26"/>
                <w:szCs w:val="26"/>
              </w:rPr>
              <w:t>TOTAL ESTIMATED UP-FRONT FINANCING COSTS</w:t>
            </w:r>
          </w:p>
          <w:p w:rsidR="00322F45" w:rsidRPr="0005054E" w:rsidRDefault="00322F45" w:rsidP="00322F45">
            <w:pPr>
              <w:suppressLineNumbers/>
              <w:rPr>
                <w:sz w:val="26"/>
                <w:szCs w:val="26"/>
              </w:rPr>
            </w:pPr>
            <w:r w:rsidRPr="0005054E">
              <w:rPr>
                <w:sz w:val="26"/>
                <w:szCs w:val="26"/>
              </w:rPr>
              <w:t>(Lines 13 + Line 14)</w:t>
            </w:r>
          </w:p>
        </w:tc>
        <w:tc>
          <w:tcPr>
            <w:tcW w:w="1710" w:type="dxa"/>
            <w:shd w:val="clear" w:color="auto" w:fill="auto"/>
            <w:vAlign w:val="center"/>
          </w:tcPr>
          <w:p w:rsidR="00322F45" w:rsidRPr="0005054E" w:rsidRDefault="00322F45" w:rsidP="00322F45">
            <w:pPr>
              <w:suppressLineNumbers/>
              <w:rPr>
                <w:sz w:val="26"/>
                <w:szCs w:val="26"/>
              </w:rPr>
            </w:pPr>
          </w:p>
        </w:tc>
      </w:tr>
    </w:tbl>
    <w:p w:rsidR="00322F45" w:rsidRPr="0005054E" w:rsidRDefault="00322F45" w:rsidP="00322F45">
      <w:pPr>
        <w:suppressLineNumbers/>
        <w:jc w:val="both"/>
        <w:rPr>
          <w:b/>
          <w:sz w:val="26"/>
          <w:szCs w:val="26"/>
          <w:u w:val="single"/>
        </w:rPr>
      </w:pPr>
    </w:p>
    <w:p w:rsidR="00322F45" w:rsidRDefault="00322F45" w:rsidP="00322F45">
      <w:pPr>
        <w:pStyle w:val="NoSpacing"/>
        <w:suppressLineNumbers/>
        <w:spacing w:after="240"/>
        <w:jc w:val="center"/>
        <w:rPr>
          <w:rFonts w:ascii="Times New Roman" w:hAnsi="Times New Roman"/>
          <w:b/>
          <w:sz w:val="26"/>
          <w:szCs w:val="26"/>
          <w:u w:val="single"/>
        </w:rPr>
        <w:sectPr w:rsidR="00322F45" w:rsidSect="00536C13">
          <w:headerReference w:type="default" r:id="rId34"/>
          <w:headerReference w:type="first" r:id="rId35"/>
          <w:footerReference w:type="first" r:id="rId36"/>
          <w:footnotePr>
            <w:numRestart w:val="eachSect"/>
          </w:footnotePr>
          <w:pgSz w:w="12240" w:h="15840" w:code="1"/>
          <w:pgMar w:top="720" w:right="1440" w:bottom="720" w:left="1440" w:header="720" w:footer="720" w:gutter="0"/>
          <w:pgNumType w:start="1"/>
          <w:cols w:space="720"/>
          <w:titlePg/>
          <w:docGrid w:linePitch="360"/>
        </w:sectPr>
      </w:pPr>
    </w:p>
    <w:p w:rsidR="008669CD" w:rsidRDefault="008669CD" w:rsidP="00A71396">
      <w:pPr>
        <w:suppressLineNumbers/>
        <w:spacing w:after="240"/>
        <w:jc w:val="center"/>
        <w:rPr>
          <w:b/>
          <w:sz w:val="26"/>
          <w:szCs w:val="26"/>
          <w:u w:val="single"/>
        </w:rPr>
      </w:pPr>
      <w:r>
        <w:rPr>
          <w:b/>
          <w:sz w:val="26"/>
          <w:szCs w:val="26"/>
          <w:u w:val="single"/>
        </w:rPr>
        <w:lastRenderedPageBreak/>
        <w:t>ATTACHMENT-2</w:t>
      </w:r>
      <w:r>
        <w:rPr>
          <w:b/>
          <w:sz w:val="26"/>
          <w:szCs w:val="26"/>
          <w:u w:val="single"/>
        </w:rPr>
        <w:br/>
        <w:t>SCHEDULE-A</w:t>
      </w:r>
    </w:p>
    <w:p w:rsidR="00322F45" w:rsidRPr="0005054E" w:rsidRDefault="00322F45" w:rsidP="00A71396">
      <w:pPr>
        <w:suppressLineNumbers/>
        <w:spacing w:after="240"/>
        <w:jc w:val="center"/>
        <w:rPr>
          <w:b/>
          <w:sz w:val="26"/>
          <w:szCs w:val="26"/>
          <w:u w:val="single"/>
        </w:rPr>
      </w:pPr>
      <w:r w:rsidRPr="0005054E">
        <w:rPr>
          <w:b/>
          <w:sz w:val="26"/>
          <w:szCs w:val="26"/>
          <w:u w:val="single"/>
        </w:rPr>
        <w:t>PHASE-IN RECOVERY BOND REVENUE REQUIREMENT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1771"/>
        <w:gridCol w:w="1771"/>
        <w:gridCol w:w="1771"/>
        <w:gridCol w:w="1772"/>
      </w:tblGrid>
      <w:tr w:rsidR="00322F45" w:rsidRPr="0005054E" w:rsidTr="00322F45">
        <w:tc>
          <w:tcPr>
            <w:tcW w:w="8856" w:type="dxa"/>
            <w:gridSpan w:val="5"/>
            <w:shd w:val="clear" w:color="auto" w:fill="auto"/>
          </w:tcPr>
          <w:p w:rsidR="00322F45" w:rsidRPr="0005054E" w:rsidRDefault="00322F45" w:rsidP="00322F45">
            <w:pPr>
              <w:suppressLineNumbers/>
              <w:jc w:val="both"/>
              <w:rPr>
                <w:b/>
                <w:sz w:val="26"/>
                <w:szCs w:val="26"/>
                <w:u w:val="single"/>
              </w:rPr>
            </w:pPr>
            <w:r w:rsidRPr="0005054E">
              <w:rPr>
                <w:b/>
                <w:sz w:val="26"/>
                <w:szCs w:val="26"/>
                <w:u w:val="single"/>
              </w:rPr>
              <w:t>SERIES________, TRANCHE________</w:t>
            </w:r>
          </w:p>
        </w:tc>
      </w:tr>
      <w:tr w:rsidR="00322F45" w:rsidRPr="0005054E" w:rsidTr="00322F45">
        <w:tc>
          <w:tcPr>
            <w:tcW w:w="1771" w:type="dxa"/>
            <w:shd w:val="clear" w:color="auto" w:fill="auto"/>
          </w:tcPr>
          <w:p w:rsidR="00322F45" w:rsidRPr="0005054E" w:rsidRDefault="00322F45" w:rsidP="00322F45">
            <w:pPr>
              <w:suppressLineNumbers/>
              <w:jc w:val="both"/>
              <w:rPr>
                <w:sz w:val="26"/>
                <w:szCs w:val="26"/>
              </w:rPr>
            </w:pPr>
            <w:r w:rsidRPr="0005054E">
              <w:rPr>
                <w:sz w:val="26"/>
                <w:szCs w:val="26"/>
              </w:rPr>
              <w:t>Payment</w:t>
            </w:r>
          </w:p>
          <w:p w:rsidR="00322F45" w:rsidRPr="0005054E" w:rsidRDefault="00322F45" w:rsidP="00322F45">
            <w:pPr>
              <w:suppressLineNumbers/>
              <w:jc w:val="both"/>
              <w:rPr>
                <w:sz w:val="26"/>
                <w:szCs w:val="26"/>
              </w:rPr>
            </w:pPr>
            <w:r w:rsidRPr="0005054E">
              <w:rPr>
                <w:sz w:val="26"/>
                <w:szCs w:val="26"/>
              </w:rPr>
              <w:t>Date</w:t>
            </w:r>
          </w:p>
        </w:tc>
        <w:tc>
          <w:tcPr>
            <w:tcW w:w="1771" w:type="dxa"/>
            <w:shd w:val="clear" w:color="auto" w:fill="auto"/>
          </w:tcPr>
          <w:p w:rsidR="00322F45" w:rsidRPr="0005054E" w:rsidRDefault="00322F45" w:rsidP="00322F45">
            <w:pPr>
              <w:suppressLineNumbers/>
              <w:jc w:val="both"/>
              <w:rPr>
                <w:sz w:val="26"/>
                <w:szCs w:val="26"/>
              </w:rPr>
            </w:pPr>
            <w:r w:rsidRPr="0005054E">
              <w:rPr>
                <w:sz w:val="26"/>
                <w:szCs w:val="26"/>
              </w:rPr>
              <w:t xml:space="preserve">Principal </w:t>
            </w:r>
          </w:p>
          <w:p w:rsidR="00322F45" w:rsidRPr="0005054E" w:rsidRDefault="00322F45" w:rsidP="00322F45">
            <w:pPr>
              <w:suppressLineNumbers/>
              <w:jc w:val="both"/>
              <w:rPr>
                <w:sz w:val="26"/>
                <w:szCs w:val="26"/>
              </w:rPr>
            </w:pPr>
            <w:r w:rsidRPr="0005054E">
              <w:rPr>
                <w:sz w:val="26"/>
                <w:szCs w:val="26"/>
              </w:rPr>
              <w:t>Balance</w:t>
            </w:r>
          </w:p>
        </w:tc>
        <w:tc>
          <w:tcPr>
            <w:tcW w:w="1771" w:type="dxa"/>
            <w:shd w:val="clear" w:color="auto" w:fill="auto"/>
          </w:tcPr>
          <w:p w:rsidR="00322F45" w:rsidRPr="0005054E" w:rsidRDefault="00322F45" w:rsidP="00322F45">
            <w:pPr>
              <w:suppressLineNumbers/>
              <w:jc w:val="both"/>
              <w:rPr>
                <w:sz w:val="26"/>
                <w:szCs w:val="26"/>
              </w:rPr>
            </w:pPr>
          </w:p>
          <w:p w:rsidR="00322F45" w:rsidRPr="0005054E" w:rsidRDefault="00322F45" w:rsidP="00322F45">
            <w:pPr>
              <w:suppressLineNumbers/>
              <w:jc w:val="both"/>
              <w:rPr>
                <w:sz w:val="26"/>
                <w:szCs w:val="26"/>
              </w:rPr>
            </w:pPr>
            <w:r w:rsidRPr="0005054E">
              <w:rPr>
                <w:sz w:val="26"/>
                <w:szCs w:val="26"/>
              </w:rPr>
              <w:t>Interest</w:t>
            </w:r>
          </w:p>
        </w:tc>
        <w:tc>
          <w:tcPr>
            <w:tcW w:w="1771" w:type="dxa"/>
            <w:shd w:val="clear" w:color="auto" w:fill="auto"/>
          </w:tcPr>
          <w:p w:rsidR="00322F45" w:rsidRPr="0005054E" w:rsidRDefault="00322F45" w:rsidP="00322F45">
            <w:pPr>
              <w:suppressLineNumbers/>
              <w:jc w:val="both"/>
              <w:rPr>
                <w:sz w:val="26"/>
                <w:szCs w:val="26"/>
              </w:rPr>
            </w:pPr>
          </w:p>
          <w:p w:rsidR="00322F45" w:rsidRPr="0005054E" w:rsidRDefault="00322F45" w:rsidP="00322F45">
            <w:pPr>
              <w:suppressLineNumbers/>
              <w:jc w:val="both"/>
              <w:rPr>
                <w:sz w:val="26"/>
                <w:szCs w:val="26"/>
              </w:rPr>
            </w:pPr>
            <w:r w:rsidRPr="0005054E">
              <w:rPr>
                <w:sz w:val="26"/>
                <w:szCs w:val="26"/>
              </w:rPr>
              <w:t>Principal</w:t>
            </w:r>
          </w:p>
        </w:tc>
        <w:tc>
          <w:tcPr>
            <w:tcW w:w="1772" w:type="dxa"/>
            <w:shd w:val="clear" w:color="auto" w:fill="auto"/>
          </w:tcPr>
          <w:p w:rsidR="00322F45" w:rsidRPr="0005054E" w:rsidRDefault="00322F45" w:rsidP="00322F45">
            <w:pPr>
              <w:suppressLineNumbers/>
              <w:jc w:val="both"/>
              <w:rPr>
                <w:sz w:val="26"/>
                <w:szCs w:val="26"/>
              </w:rPr>
            </w:pPr>
            <w:r w:rsidRPr="0005054E">
              <w:rPr>
                <w:sz w:val="26"/>
                <w:szCs w:val="26"/>
              </w:rPr>
              <w:t>Total</w:t>
            </w:r>
          </w:p>
          <w:p w:rsidR="00322F45" w:rsidRPr="0005054E" w:rsidRDefault="00322F45" w:rsidP="00322F45">
            <w:pPr>
              <w:suppressLineNumbers/>
              <w:jc w:val="both"/>
              <w:rPr>
                <w:sz w:val="26"/>
                <w:szCs w:val="26"/>
              </w:rPr>
            </w:pPr>
            <w:r w:rsidRPr="0005054E">
              <w:rPr>
                <w:sz w:val="26"/>
                <w:szCs w:val="26"/>
              </w:rPr>
              <w:t>Payment</w:t>
            </w:r>
          </w:p>
        </w:tc>
      </w:tr>
      <w:tr w:rsidR="00322F45" w:rsidRPr="0005054E" w:rsidTr="00322F45">
        <w:tc>
          <w:tcPr>
            <w:tcW w:w="1771" w:type="dxa"/>
            <w:shd w:val="clear" w:color="auto" w:fill="auto"/>
          </w:tcPr>
          <w:p w:rsidR="00322F45" w:rsidRPr="0005054E" w:rsidRDefault="00322F45" w:rsidP="00322F45">
            <w:pPr>
              <w:suppressLineNumbers/>
              <w:jc w:val="both"/>
              <w:rPr>
                <w:b/>
                <w:sz w:val="26"/>
                <w:szCs w:val="26"/>
                <w:u w:val="single"/>
              </w:rPr>
            </w:pPr>
          </w:p>
        </w:tc>
        <w:tc>
          <w:tcPr>
            <w:tcW w:w="1771" w:type="dxa"/>
            <w:shd w:val="clear" w:color="auto" w:fill="auto"/>
          </w:tcPr>
          <w:p w:rsidR="00322F45" w:rsidRPr="0005054E" w:rsidRDefault="00322F45" w:rsidP="00322F45">
            <w:pPr>
              <w:suppressLineNumbers/>
              <w:jc w:val="both"/>
              <w:rPr>
                <w:b/>
                <w:sz w:val="26"/>
                <w:szCs w:val="26"/>
                <w:u w:val="single"/>
              </w:rPr>
            </w:pPr>
          </w:p>
        </w:tc>
        <w:tc>
          <w:tcPr>
            <w:tcW w:w="1771" w:type="dxa"/>
            <w:shd w:val="clear" w:color="auto" w:fill="auto"/>
          </w:tcPr>
          <w:p w:rsidR="00322F45" w:rsidRPr="0005054E" w:rsidRDefault="00322F45" w:rsidP="00322F45">
            <w:pPr>
              <w:suppressLineNumbers/>
              <w:jc w:val="both"/>
              <w:rPr>
                <w:b/>
                <w:sz w:val="26"/>
                <w:szCs w:val="26"/>
                <w:u w:val="single"/>
              </w:rPr>
            </w:pPr>
          </w:p>
        </w:tc>
        <w:tc>
          <w:tcPr>
            <w:tcW w:w="1771" w:type="dxa"/>
            <w:shd w:val="clear" w:color="auto" w:fill="auto"/>
          </w:tcPr>
          <w:p w:rsidR="00322F45" w:rsidRPr="0005054E" w:rsidRDefault="00322F45" w:rsidP="00322F45">
            <w:pPr>
              <w:suppressLineNumbers/>
              <w:jc w:val="both"/>
              <w:rPr>
                <w:b/>
                <w:sz w:val="26"/>
                <w:szCs w:val="26"/>
                <w:u w:val="single"/>
              </w:rPr>
            </w:pPr>
          </w:p>
        </w:tc>
        <w:tc>
          <w:tcPr>
            <w:tcW w:w="1772" w:type="dxa"/>
            <w:shd w:val="clear" w:color="auto" w:fill="auto"/>
          </w:tcPr>
          <w:p w:rsidR="00322F45" w:rsidRPr="0005054E" w:rsidRDefault="00322F45" w:rsidP="00322F45">
            <w:pPr>
              <w:suppressLineNumbers/>
              <w:jc w:val="both"/>
              <w:rPr>
                <w:b/>
                <w:sz w:val="26"/>
                <w:szCs w:val="26"/>
                <w:u w:val="single"/>
              </w:rPr>
            </w:pPr>
          </w:p>
        </w:tc>
      </w:tr>
      <w:tr w:rsidR="00322F45" w:rsidRPr="0005054E" w:rsidTr="00322F45">
        <w:tc>
          <w:tcPr>
            <w:tcW w:w="1771" w:type="dxa"/>
            <w:shd w:val="clear" w:color="auto" w:fill="auto"/>
          </w:tcPr>
          <w:p w:rsidR="00322F45" w:rsidRPr="0005054E" w:rsidRDefault="00322F45" w:rsidP="00322F45">
            <w:pPr>
              <w:suppressLineNumbers/>
              <w:jc w:val="both"/>
              <w:rPr>
                <w:b/>
                <w:sz w:val="26"/>
                <w:szCs w:val="26"/>
                <w:u w:val="single"/>
              </w:rPr>
            </w:pPr>
          </w:p>
        </w:tc>
        <w:tc>
          <w:tcPr>
            <w:tcW w:w="1771" w:type="dxa"/>
            <w:shd w:val="clear" w:color="auto" w:fill="auto"/>
          </w:tcPr>
          <w:p w:rsidR="00322F45" w:rsidRPr="0005054E" w:rsidRDefault="00322F45" w:rsidP="00322F45">
            <w:pPr>
              <w:suppressLineNumbers/>
              <w:jc w:val="both"/>
              <w:rPr>
                <w:b/>
                <w:sz w:val="26"/>
                <w:szCs w:val="26"/>
                <w:u w:val="single"/>
              </w:rPr>
            </w:pPr>
          </w:p>
        </w:tc>
        <w:tc>
          <w:tcPr>
            <w:tcW w:w="1771" w:type="dxa"/>
            <w:shd w:val="clear" w:color="auto" w:fill="auto"/>
          </w:tcPr>
          <w:p w:rsidR="00322F45" w:rsidRPr="0005054E" w:rsidRDefault="00322F45" w:rsidP="00322F45">
            <w:pPr>
              <w:suppressLineNumbers/>
              <w:jc w:val="both"/>
              <w:rPr>
                <w:b/>
                <w:sz w:val="26"/>
                <w:szCs w:val="26"/>
                <w:u w:val="single"/>
              </w:rPr>
            </w:pPr>
          </w:p>
        </w:tc>
        <w:tc>
          <w:tcPr>
            <w:tcW w:w="1771" w:type="dxa"/>
            <w:shd w:val="clear" w:color="auto" w:fill="auto"/>
          </w:tcPr>
          <w:p w:rsidR="00322F45" w:rsidRPr="0005054E" w:rsidRDefault="00322F45" w:rsidP="00322F45">
            <w:pPr>
              <w:suppressLineNumbers/>
              <w:jc w:val="both"/>
              <w:rPr>
                <w:b/>
                <w:sz w:val="26"/>
                <w:szCs w:val="26"/>
                <w:u w:val="single"/>
              </w:rPr>
            </w:pPr>
          </w:p>
        </w:tc>
        <w:tc>
          <w:tcPr>
            <w:tcW w:w="1772" w:type="dxa"/>
            <w:shd w:val="clear" w:color="auto" w:fill="auto"/>
          </w:tcPr>
          <w:p w:rsidR="00322F45" w:rsidRPr="0005054E" w:rsidRDefault="00322F45" w:rsidP="00322F45">
            <w:pPr>
              <w:suppressLineNumbers/>
              <w:jc w:val="both"/>
              <w:rPr>
                <w:b/>
                <w:sz w:val="26"/>
                <w:szCs w:val="26"/>
                <w:u w:val="single"/>
              </w:rPr>
            </w:pPr>
          </w:p>
        </w:tc>
      </w:tr>
      <w:tr w:rsidR="00322F45" w:rsidRPr="0005054E" w:rsidTr="00322F45">
        <w:tc>
          <w:tcPr>
            <w:tcW w:w="1771" w:type="dxa"/>
            <w:shd w:val="clear" w:color="auto" w:fill="auto"/>
          </w:tcPr>
          <w:p w:rsidR="00322F45" w:rsidRPr="0005054E" w:rsidRDefault="00322F45" w:rsidP="00322F45">
            <w:pPr>
              <w:suppressLineNumbers/>
              <w:jc w:val="both"/>
              <w:rPr>
                <w:b/>
                <w:sz w:val="26"/>
                <w:szCs w:val="26"/>
                <w:u w:val="single"/>
              </w:rPr>
            </w:pPr>
          </w:p>
        </w:tc>
        <w:tc>
          <w:tcPr>
            <w:tcW w:w="1771" w:type="dxa"/>
            <w:shd w:val="clear" w:color="auto" w:fill="auto"/>
          </w:tcPr>
          <w:p w:rsidR="00322F45" w:rsidRPr="0005054E" w:rsidRDefault="00322F45" w:rsidP="00322F45">
            <w:pPr>
              <w:suppressLineNumbers/>
              <w:jc w:val="both"/>
              <w:rPr>
                <w:b/>
                <w:sz w:val="26"/>
                <w:szCs w:val="26"/>
                <w:u w:val="single"/>
              </w:rPr>
            </w:pPr>
          </w:p>
        </w:tc>
        <w:tc>
          <w:tcPr>
            <w:tcW w:w="1771" w:type="dxa"/>
            <w:shd w:val="clear" w:color="auto" w:fill="auto"/>
          </w:tcPr>
          <w:p w:rsidR="00322F45" w:rsidRPr="0005054E" w:rsidRDefault="00322F45" w:rsidP="00322F45">
            <w:pPr>
              <w:suppressLineNumbers/>
              <w:jc w:val="both"/>
              <w:rPr>
                <w:b/>
                <w:sz w:val="26"/>
                <w:szCs w:val="26"/>
                <w:u w:val="single"/>
              </w:rPr>
            </w:pPr>
          </w:p>
        </w:tc>
        <w:tc>
          <w:tcPr>
            <w:tcW w:w="1771" w:type="dxa"/>
            <w:shd w:val="clear" w:color="auto" w:fill="auto"/>
          </w:tcPr>
          <w:p w:rsidR="00322F45" w:rsidRPr="0005054E" w:rsidRDefault="00322F45" w:rsidP="00322F45">
            <w:pPr>
              <w:suppressLineNumbers/>
              <w:jc w:val="both"/>
              <w:rPr>
                <w:b/>
                <w:sz w:val="26"/>
                <w:szCs w:val="26"/>
                <w:u w:val="single"/>
              </w:rPr>
            </w:pPr>
          </w:p>
        </w:tc>
        <w:tc>
          <w:tcPr>
            <w:tcW w:w="1772" w:type="dxa"/>
            <w:shd w:val="clear" w:color="auto" w:fill="auto"/>
          </w:tcPr>
          <w:p w:rsidR="00322F45" w:rsidRPr="0005054E" w:rsidRDefault="00322F45" w:rsidP="00322F45">
            <w:pPr>
              <w:suppressLineNumbers/>
              <w:jc w:val="both"/>
              <w:rPr>
                <w:b/>
                <w:sz w:val="26"/>
                <w:szCs w:val="26"/>
                <w:u w:val="single"/>
              </w:rPr>
            </w:pPr>
          </w:p>
        </w:tc>
      </w:tr>
      <w:tr w:rsidR="00322F45" w:rsidRPr="0005054E" w:rsidTr="00322F45">
        <w:tc>
          <w:tcPr>
            <w:tcW w:w="1771" w:type="dxa"/>
            <w:shd w:val="clear" w:color="auto" w:fill="auto"/>
          </w:tcPr>
          <w:p w:rsidR="00322F45" w:rsidRPr="0005054E" w:rsidRDefault="00322F45" w:rsidP="00322F45">
            <w:pPr>
              <w:suppressLineNumbers/>
              <w:jc w:val="both"/>
              <w:rPr>
                <w:b/>
                <w:sz w:val="26"/>
                <w:szCs w:val="26"/>
                <w:u w:val="single"/>
              </w:rPr>
            </w:pPr>
          </w:p>
        </w:tc>
        <w:tc>
          <w:tcPr>
            <w:tcW w:w="1771" w:type="dxa"/>
            <w:shd w:val="clear" w:color="auto" w:fill="auto"/>
          </w:tcPr>
          <w:p w:rsidR="00322F45" w:rsidRPr="0005054E" w:rsidRDefault="00322F45" w:rsidP="00322F45">
            <w:pPr>
              <w:suppressLineNumbers/>
              <w:jc w:val="both"/>
              <w:rPr>
                <w:b/>
                <w:sz w:val="26"/>
                <w:szCs w:val="26"/>
                <w:u w:val="single"/>
              </w:rPr>
            </w:pPr>
          </w:p>
        </w:tc>
        <w:tc>
          <w:tcPr>
            <w:tcW w:w="1771" w:type="dxa"/>
            <w:shd w:val="clear" w:color="auto" w:fill="auto"/>
          </w:tcPr>
          <w:p w:rsidR="00322F45" w:rsidRPr="0005054E" w:rsidRDefault="00322F45" w:rsidP="00322F45">
            <w:pPr>
              <w:suppressLineNumbers/>
              <w:jc w:val="both"/>
              <w:rPr>
                <w:b/>
                <w:sz w:val="26"/>
                <w:szCs w:val="26"/>
                <w:u w:val="single"/>
              </w:rPr>
            </w:pPr>
          </w:p>
        </w:tc>
        <w:tc>
          <w:tcPr>
            <w:tcW w:w="1771" w:type="dxa"/>
            <w:shd w:val="clear" w:color="auto" w:fill="auto"/>
          </w:tcPr>
          <w:p w:rsidR="00322F45" w:rsidRPr="0005054E" w:rsidRDefault="00322F45" w:rsidP="00322F45">
            <w:pPr>
              <w:suppressLineNumbers/>
              <w:jc w:val="both"/>
              <w:rPr>
                <w:b/>
                <w:sz w:val="26"/>
                <w:szCs w:val="26"/>
                <w:u w:val="single"/>
              </w:rPr>
            </w:pPr>
          </w:p>
        </w:tc>
        <w:tc>
          <w:tcPr>
            <w:tcW w:w="1772" w:type="dxa"/>
            <w:shd w:val="clear" w:color="auto" w:fill="auto"/>
          </w:tcPr>
          <w:p w:rsidR="00322F45" w:rsidRPr="0005054E" w:rsidRDefault="00322F45" w:rsidP="00322F45">
            <w:pPr>
              <w:suppressLineNumbers/>
              <w:jc w:val="both"/>
              <w:rPr>
                <w:b/>
                <w:sz w:val="26"/>
                <w:szCs w:val="26"/>
                <w:u w:val="single"/>
              </w:rPr>
            </w:pPr>
          </w:p>
        </w:tc>
      </w:tr>
      <w:tr w:rsidR="00322F45" w:rsidRPr="0005054E" w:rsidTr="00322F45">
        <w:tc>
          <w:tcPr>
            <w:tcW w:w="1771" w:type="dxa"/>
            <w:shd w:val="clear" w:color="auto" w:fill="auto"/>
          </w:tcPr>
          <w:p w:rsidR="00322F45" w:rsidRPr="0005054E" w:rsidRDefault="00322F45" w:rsidP="00322F45">
            <w:pPr>
              <w:suppressLineNumbers/>
              <w:jc w:val="both"/>
              <w:rPr>
                <w:b/>
                <w:sz w:val="26"/>
                <w:szCs w:val="26"/>
                <w:u w:val="single"/>
              </w:rPr>
            </w:pPr>
          </w:p>
        </w:tc>
        <w:tc>
          <w:tcPr>
            <w:tcW w:w="1771" w:type="dxa"/>
            <w:shd w:val="clear" w:color="auto" w:fill="auto"/>
          </w:tcPr>
          <w:p w:rsidR="00322F45" w:rsidRPr="0005054E" w:rsidRDefault="00322F45" w:rsidP="00322F45">
            <w:pPr>
              <w:suppressLineNumbers/>
              <w:jc w:val="both"/>
              <w:rPr>
                <w:b/>
                <w:sz w:val="26"/>
                <w:szCs w:val="26"/>
                <w:u w:val="single"/>
              </w:rPr>
            </w:pPr>
          </w:p>
        </w:tc>
        <w:tc>
          <w:tcPr>
            <w:tcW w:w="1771" w:type="dxa"/>
            <w:shd w:val="clear" w:color="auto" w:fill="auto"/>
          </w:tcPr>
          <w:p w:rsidR="00322F45" w:rsidRPr="0005054E" w:rsidRDefault="00322F45" w:rsidP="00322F45">
            <w:pPr>
              <w:suppressLineNumbers/>
              <w:jc w:val="both"/>
              <w:rPr>
                <w:b/>
                <w:sz w:val="26"/>
                <w:szCs w:val="26"/>
                <w:u w:val="single"/>
              </w:rPr>
            </w:pPr>
          </w:p>
        </w:tc>
        <w:tc>
          <w:tcPr>
            <w:tcW w:w="1771" w:type="dxa"/>
            <w:shd w:val="clear" w:color="auto" w:fill="auto"/>
          </w:tcPr>
          <w:p w:rsidR="00322F45" w:rsidRPr="0005054E" w:rsidRDefault="00322F45" w:rsidP="00322F45">
            <w:pPr>
              <w:suppressLineNumbers/>
              <w:jc w:val="both"/>
              <w:rPr>
                <w:b/>
                <w:sz w:val="26"/>
                <w:szCs w:val="26"/>
                <w:u w:val="single"/>
              </w:rPr>
            </w:pPr>
          </w:p>
        </w:tc>
        <w:tc>
          <w:tcPr>
            <w:tcW w:w="1772" w:type="dxa"/>
            <w:shd w:val="clear" w:color="auto" w:fill="auto"/>
          </w:tcPr>
          <w:p w:rsidR="00322F45" w:rsidRPr="0005054E" w:rsidRDefault="00322F45" w:rsidP="00322F45">
            <w:pPr>
              <w:suppressLineNumbers/>
              <w:jc w:val="both"/>
              <w:rPr>
                <w:b/>
                <w:sz w:val="26"/>
                <w:szCs w:val="26"/>
                <w:u w:val="single"/>
              </w:rPr>
            </w:pPr>
          </w:p>
        </w:tc>
      </w:tr>
      <w:tr w:rsidR="00322F45" w:rsidRPr="0005054E" w:rsidTr="00322F45">
        <w:tc>
          <w:tcPr>
            <w:tcW w:w="1771" w:type="dxa"/>
            <w:shd w:val="clear" w:color="auto" w:fill="auto"/>
          </w:tcPr>
          <w:p w:rsidR="00322F45" w:rsidRPr="0005054E" w:rsidRDefault="00322F45" w:rsidP="00322F45">
            <w:pPr>
              <w:suppressLineNumbers/>
              <w:jc w:val="both"/>
              <w:rPr>
                <w:b/>
                <w:sz w:val="26"/>
                <w:szCs w:val="26"/>
                <w:u w:val="single"/>
              </w:rPr>
            </w:pPr>
          </w:p>
        </w:tc>
        <w:tc>
          <w:tcPr>
            <w:tcW w:w="1771" w:type="dxa"/>
            <w:shd w:val="clear" w:color="auto" w:fill="auto"/>
          </w:tcPr>
          <w:p w:rsidR="00322F45" w:rsidRPr="0005054E" w:rsidRDefault="00322F45" w:rsidP="00322F45">
            <w:pPr>
              <w:suppressLineNumbers/>
              <w:jc w:val="both"/>
              <w:rPr>
                <w:b/>
                <w:sz w:val="26"/>
                <w:szCs w:val="26"/>
                <w:u w:val="single"/>
              </w:rPr>
            </w:pPr>
          </w:p>
        </w:tc>
        <w:tc>
          <w:tcPr>
            <w:tcW w:w="1771" w:type="dxa"/>
            <w:shd w:val="clear" w:color="auto" w:fill="auto"/>
          </w:tcPr>
          <w:p w:rsidR="00322F45" w:rsidRPr="0005054E" w:rsidRDefault="00322F45" w:rsidP="00322F45">
            <w:pPr>
              <w:suppressLineNumbers/>
              <w:jc w:val="both"/>
              <w:rPr>
                <w:b/>
                <w:sz w:val="26"/>
                <w:szCs w:val="26"/>
                <w:u w:val="single"/>
              </w:rPr>
            </w:pPr>
          </w:p>
        </w:tc>
        <w:tc>
          <w:tcPr>
            <w:tcW w:w="1771" w:type="dxa"/>
            <w:shd w:val="clear" w:color="auto" w:fill="auto"/>
          </w:tcPr>
          <w:p w:rsidR="00322F45" w:rsidRPr="0005054E" w:rsidRDefault="00322F45" w:rsidP="00322F45">
            <w:pPr>
              <w:suppressLineNumbers/>
              <w:jc w:val="both"/>
              <w:rPr>
                <w:b/>
                <w:sz w:val="26"/>
                <w:szCs w:val="26"/>
                <w:u w:val="single"/>
              </w:rPr>
            </w:pPr>
          </w:p>
        </w:tc>
        <w:tc>
          <w:tcPr>
            <w:tcW w:w="1772" w:type="dxa"/>
            <w:shd w:val="clear" w:color="auto" w:fill="auto"/>
          </w:tcPr>
          <w:p w:rsidR="00322F45" w:rsidRPr="0005054E" w:rsidRDefault="00322F45" w:rsidP="00322F45">
            <w:pPr>
              <w:suppressLineNumbers/>
              <w:jc w:val="both"/>
              <w:rPr>
                <w:b/>
                <w:sz w:val="26"/>
                <w:szCs w:val="26"/>
                <w:u w:val="single"/>
              </w:rPr>
            </w:pPr>
          </w:p>
        </w:tc>
      </w:tr>
    </w:tbl>
    <w:p w:rsidR="00322F45" w:rsidRPr="0005054E" w:rsidRDefault="00322F45" w:rsidP="00322F45">
      <w:pPr>
        <w:suppressLineNumbers/>
        <w:jc w:val="both"/>
        <w:rPr>
          <w:b/>
          <w:sz w:val="26"/>
          <w:szCs w:val="26"/>
          <w:u w:val="single"/>
        </w:rPr>
      </w:pPr>
    </w:p>
    <w:p w:rsidR="00322F45" w:rsidRPr="0005054E" w:rsidRDefault="00322F45" w:rsidP="00322F45">
      <w:pPr>
        <w:pStyle w:val="NoSpacing"/>
        <w:suppressLineNumbers/>
        <w:jc w:val="both"/>
        <w:rPr>
          <w:rFonts w:ascii="Times New Roman" w:hAnsi="Times New Roman"/>
          <w:b/>
          <w:sz w:val="26"/>
          <w:szCs w:val="2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1771"/>
        <w:gridCol w:w="1771"/>
        <w:gridCol w:w="1771"/>
        <w:gridCol w:w="1772"/>
      </w:tblGrid>
      <w:tr w:rsidR="00322F45" w:rsidRPr="0005054E" w:rsidTr="00322F45">
        <w:tc>
          <w:tcPr>
            <w:tcW w:w="8856" w:type="dxa"/>
            <w:gridSpan w:val="5"/>
            <w:shd w:val="clear" w:color="auto" w:fill="auto"/>
          </w:tcPr>
          <w:p w:rsidR="00322F45" w:rsidRPr="0005054E" w:rsidRDefault="00322F45" w:rsidP="00322F45">
            <w:pPr>
              <w:pStyle w:val="NoSpacing"/>
              <w:suppressLineNumbers/>
              <w:jc w:val="both"/>
              <w:rPr>
                <w:rFonts w:ascii="Times New Roman" w:hAnsi="Times New Roman"/>
                <w:b/>
                <w:sz w:val="26"/>
                <w:szCs w:val="26"/>
                <w:u w:val="single"/>
              </w:rPr>
            </w:pPr>
            <w:r w:rsidRPr="0005054E">
              <w:rPr>
                <w:rFonts w:ascii="Times New Roman" w:hAnsi="Times New Roman"/>
                <w:b/>
                <w:sz w:val="26"/>
                <w:szCs w:val="26"/>
                <w:u w:val="single"/>
              </w:rPr>
              <w:t>SERIES________, TRANCHE________</w:t>
            </w:r>
          </w:p>
        </w:tc>
      </w:tr>
      <w:tr w:rsidR="00322F45" w:rsidRPr="0005054E" w:rsidTr="00322F45">
        <w:tc>
          <w:tcPr>
            <w:tcW w:w="1771" w:type="dxa"/>
            <w:shd w:val="clear" w:color="auto" w:fill="auto"/>
          </w:tcPr>
          <w:p w:rsidR="00322F45" w:rsidRPr="0005054E" w:rsidRDefault="00322F45" w:rsidP="00322F45">
            <w:pPr>
              <w:suppressLineNumbers/>
              <w:jc w:val="both"/>
              <w:rPr>
                <w:sz w:val="26"/>
                <w:szCs w:val="26"/>
              </w:rPr>
            </w:pPr>
            <w:r w:rsidRPr="0005054E">
              <w:rPr>
                <w:sz w:val="26"/>
                <w:szCs w:val="26"/>
              </w:rPr>
              <w:t>Payment</w:t>
            </w:r>
          </w:p>
          <w:p w:rsidR="00322F45" w:rsidRPr="0005054E" w:rsidRDefault="00322F45" w:rsidP="00322F45">
            <w:pPr>
              <w:pStyle w:val="NoSpacing"/>
              <w:suppressLineNumbers/>
              <w:jc w:val="both"/>
              <w:rPr>
                <w:rFonts w:ascii="Times New Roman" w:hAnsi="Times New Roman"/>
                <w:sz w:val="26"/>
                <w:szCs w:val="26"/>
              </w:rPr>
            </w:pPr>
            <w:r w:rsidRPr="0005054E">
              <w:rPr>
                <w:rFonts w:ascii="Times New Roman" w:hAnsi="Times New Roman"/>
                <w:sz w:val="26"/>
                <w:szCs w:val="26"/>
              </w:rPr>
              <w:t>Date</w:t>
            </w:r>
          </w:p>
        </w:tc>
        <w:tc>
          <w:tcPr>
            <w:tcW w:w="1771" w:type="dxa"/>
            <w:shd w:val="clear" w:color="auto" w:fill="auto"/>
          </w:tcPr>
          <w:p w:rsidR="00322F45" w:rsidRPr="0005054E" w:rsidRDefault="00322F45" w:rsidP="00322F45">
            <w:pPr>
              <w:suppressLineNumbers/>
              <w:jc w:val="both"/>
              <w:rPr>
                <w:sz w:val="26"/>
                <w:szCs w:val="26"/>
              </w:rPr>
            </w:pPr>
            <w:r w:rsidRPr="0005054E">
              <w:rPr>
                <w:sz w:val="26"/>
                <w:szCs w:val="26"/>
              </w:rPr>
              <w:t xml:space="preserve">Principal </w:t>
            </w:r>
          </w:p>
          <w:p w:rsidR="00322F45" w:rsidRPr="0005054E" w:rsidRDefault="00322F45" w:rsidP="00322F45">
            <w:pPr>
              <w:pStyle w:val="NoSpacing"/>
              <w:suppressLineNumbers/>
              <w:jc w:val="both"/>
              <w:rPr>
                <w:rFonts w:ascii="Times New Roman" w:hAnsi="Times New Roman"/>
                <w:sz w:val="26"/>
                <w:szCs w:val="26"/>
              </w:rPr>
            </w:pPr>
            <w:r w:rsidRPr="0005054E">
              <w:rPr>
                <w:rFonts w:ascii="Times New Roman" w:hAnsi="Times New Roman"/>
                <w:sz w:val="26"/>
                <w:szCs w:val="26"/>
              </w:rPr>
              <w:t>Balance</w:t>
            </w:r>
          </w:p>
        </w:tc>
        <w:tc>
          <w:tcPr>
            <w:tcW w:w="1771" w:type="dxa"/>
            <w:shd w:val="clear" w:color="auto" w:fill="auto"/>
          </w:tcPr>
          <w:p w:rsidR="00322F45" w:rsidRPr="0005054E" w:rsidRDefault="00322F45" w:rsidP="00322F45">
            <w:pPr>
              <w:pStyle w:val="NoSpacing"/>
              <w:suppressLineNumbers/>
              <w:jc w:val="both"/>
              <w:rPr>
                <w:rFonts w:ascii="Times New Roman" w:hAnsi="Times New Roman"/>
                <w:sz w:val="26"/>
                <w:szCs w:val="26"/>
              </w:rPr>
            </w:pPr>
          </w:p>
          <w:p w:rsidR="00322F45" w:rsidRPr="0005054E" w:rsidRDefault="00322F45" w:rsidP="00322F45">
            <w:pPr>
              <w:pStyle w:val="NoSpacing"/>
              <w:suppressLineNumbers/>
              <w:jc w:val="both"/>
              <w:rPr>
                <w:rFonts w:ascii="Times New Roman" w:hAnsi="Times New Roman"/>
                <w:sz w:val="26"/>
                <w:szCs w:val="26"/>
              </w:rPr>
            </w:pPr>
            <w:r w:rsidRPr="0005054E">
              <w:rPr>
                <w:rFonts w:ascii="Times New Roman" w:hAnsi="Times New Roman"/>
                <w:sz w:val="26"/>
                <w:szCs w:val="26"/>
              </w:rPr>
              <w:t>Interest</w:t>
            </w:r>
          </w:p>
        </w:tc>
        <w:tc>
          <w:tcPr>
            <w:tcW w:w="1771" w:type="dxa"/>
            <w:shd w:val="clear" w:color="auto" w:fill="auto"/>
          </w:tcPr>
          <w:p w:rsidR="00322F45" w:rsidRPr="0005054E" w:rsidRDefault="00322F45" w:rsidP="00322F45">
            <w:pPr>
              <w:pStyle w:val="NoSpacing"/>
              <w:suppressLineNumbers/>
              <w:jc w:val="both"/>
              <w:rPr>
                <w:rFonts w:ascii="Times New Roman" w:hAnsi="Times New Roman"/>
                <w:sz w:val="26"/>
                <w:szCs w:val="26"/>
              </w:rPr>
            </w:pPr>
          </w:p>
          <w:p w:rsidR="00322F45" w:rsidRPr="0005054E" w:rsidRDefault="00322F45" w:rsidP="00322F45">
            <w:pPr>
              <w:pStyle w:val="NoSpacing"/>
              <w:suppressLineNumbers/>
              <w:jc w:val="both"/>
              <w:rPr>
                <w:rFonts w:ascii="Times New Roman" w:hAnsi="Times New Roman"/>
                <w:sz w:val="26"/>
                <w:szCs w:val="26"/>
              </w:rPr>
            </w:pPr>
            <w:r w:rsidRPr="0005054E">
              <w:rPr>
                <w:rFonts w:ascii="Times New Roman" w:hAnsi="Times New Roman"/>
                <w:sz w:val="26"/>
                <w:szCs w:val="26"/>
              </w:rPr>
              <w:t>Principal</w:t>
            </w:r>
          </w:p>
        </w:tc>
        <w:tc>
          <w:tcPr>
            <w:tcW w:w="1772" w:type="dxa"/>
            <w:shd w:val="clear" w:color="auto" w:fill="auto"/>
          </w:tcPr>
          <w:p w:rsidR="00322F45" w:rsidRPr="0005054E" w:rsidRDefault="00322F45" w:rsidP="00322F45">
            <w:pPr>
              <w:suppressLineNumbers/>
              <w:jc w:val="both"/>
              <w:rPr>
                <w:sz w:val="26"/>
                <w:szCs w:val="26"/>
              </w:rPr>
            </w:pPr>
            <w:r w:rsidRPr="0005054E">
              <w:rPr>
                <w:sz w:val="26"/>
                <w:szCs w:val="26"/>
              </w:rPr>
              <w:t>Total</w:t>
            </w:r>
          </w:p>
          <w:p w:rsidR="00322F45" w:rsidRPr="0005054E" w:rsidRDefault="00322F45" w:rsidP="00322F45">
            <w:pPr>
              <w:pStyle w:val="NoSpacing"/>
              <w:suppressLineNumbers/>
              <w:jc w:val="both"/>
              <w:rPr>
                <w:rFonts w:ascii="Times New Roman" w:hAnsi="Times New Roman"/>
                <w:sz w:val="26"/>
                <w:szCs w:val="26"/>
              </w:rPr>
            </w:pPr>
            <w:r w:rsidRPr="0005054E">
              <w:rPr>
                <w:rFonts w:ascii="Times New Roman" w:hAnsi="Times New Roman"/>
                <w:sz w:val="26"/>
                <w:szCs w:val="26"/>
              </w:rPr>
              <w:t>Payment</w:t>
            </w:r>
          </w:p>
        </w:tc>
      </w:tr>
      <w:tr w:rsidR="00322F45" w:rsidRPr="0005054E" w:rsidTr="00322F45">
        <w:tc>
          <w:tcPr>
            <w:tcW w:w="1771" w:type="dxa"/>
            <w:shd w:val="clear" w:color="auto" w:fill="auto"/>
          </w:tcPr>
          <w:p w:rsidR="00322F45" w:rsidRPr="0005054E" w:rsidRDefault="00322F45" w:rsidP="00322F45">
            <w:pPr>
              <w:pStyle w:val="NoSpacing"/>
              <w:suppressLineNumbers/>
              <w:jc w:val="both"/>
              <w:rPr>
                <w:rFonts w:ascii="Times New Roman" w:hAnsi="Times New Roman"/>
                <w:b/>
                <w:sz w:val="26"/>
                <w:szCs w:val="26"/>
                <w:u w:val="single"/>
              </w:rPr>
            </w:pPr>
          </w:p>
        </w:tc>
        <w:tc>
          <w:tcPr>
            <w:tcW w:w="1771" w:type="dxa"/>
            <w:shd w:val="clear" w:color="auto" w:fill="auto"/>
          </w:tcPr>
          <w:p w:rsidR="00322F45" w:rsidRPr="0005054E" w:rsidRDefault="00322F45" w:rsidP="00322F45">
            <w:pPr>
              <w:pStyle w:val="NoSpacing"/>
              <w:suppressLineNumbers/>
              <w:jc w:val="both"/>
              <w:rPr>
                <w:rFonts w:ascii="Times New Roman" w:hAnsi="Times New Roman"/>
                <w:b/>
                <w:sz w:val="26"/>
                <w:szCs w:val="26"/>
                <w:u w:val="single"/>
              </w:rPr>
            </w:pPr>
          </w:p>
        </w:tc>
        <w:tc>
          <w:tcPr>
            <w:tcW w:w="1771" w:type="dxa"/>
            <w:shd w:val="clear" w:color="auto" w:fill="auto"/>
          </w:tcPr>
          <w:p w:rsidR="00322F45" w:rsidRPr="0005054E" w:rsidRDefault="00322F45" w:rsidP="00322F45">
            <w:pPr>
              <w:pStyle w:val="NoSpacing"/>
              <w:suppressLineNumbers/>
              <w:jc w:val="both"/>
              <w:rPr>
                <w:rFonts w:ascii="Times New Roman" w:hAnsi="Times New Roman"/>
                <w:b/>
                <w:sz w:val="26"/>
                <w:szCs w:val="26"/>
                <w:u w:val="single"/>
              </w:rPr>
            </w:pPr>
          </w:p>
        </w:tc>
        <w:tc>
          <w:tcPr>
            <w:tcW w:w="1771" w:type="dxa"/>
            <w:shd w:val="clear" w:color="auto" w:fill="auto"/>
          </w:tcPr>
          <w:p w:rsidR="00322F45" w:rsidRPr="0005054E" w:rsidRDefault="00322F45" w:rsidP="00322F45">
            <w:pPr>
              <w:pStyle w:val="NoSpacing"/>
              <w:suppressLineNumbers/>
              <w:jc w:val="both"/>
              <w:rPr>
                <w:rFonts w:ascii="Times New Roman" w:hAnsi="Times New Roman"/>
                <w:b/>
                <w:sz w:val="26"/>
                <w:szCs w:val="26"/>
                <w:u w:val="single"/>
              </w:rPr>
            </w:pPr>
          </w:p>
        </w:tc>
        <w:tc>
          <w:tcPr>
            <w:tcW w:w="1772" w:type="dxa"/>
            <w:shd w:val="clear" w:color="auto" w:fill="auto"/>
          </w:tcPr>
          <w:p w:rsidR="00322F45" w:rsidRPr="0005054E" w:rsidRDefault="00322F45" w:rsidP="00322F45">
            <w:pPr>
              <w:pStyle w:val="NoSpacing"/>
              <w:suppressLineNumbers/>
              <w:jc w:val="both"/>
              <w:rPr>
                <w:rFonts w:ascii="Times New Roman" w:hAnsi="Times New Roman"/>
                <w:b/>
                <w:sz w:val="26"/>
                <w:szCs w:val="26"/>
                <w:u w:val="single"/>
              </w:rPr>
            </w:pPr>
          </w:p>
        </w:tc>
      </w:tr>
      <w:tr w:rsidR="00322F45" w:rsidRPr="0005054E" w:rsidTr="00322F45">
        <w:tc>
          <w:tcPr>
            <w:tcW w:w="1771" w:type="dxa"/>
            <w:shd w:val="clear" w:color="auto" w:fill="auto"/>
          </w:tcPr>
          <w:p w:rsidR="00322F45" w:rsidRPr="0005054E" w:rsidRDefault="00322F45" w:rsidP="00322F45">
            <w:pPr>
              <w:pStyle w:val="NoSpacing"/>
              <w:suppressLineNumbers/>
              <w:jc w:val="both"/>
              <w:rPr>
                <w:rFonts w:ascii="Times New Roman" w:hAnsi="Times New Roman"/>
                <w:b/>
                <w:sz w:val="26"/>
                <w:szCs w:val="26"/>
                <w:u w:val="single"/>
              </w:rPr>
            </w:pPr>
          </w:p>
        </w:tc>
        <w:tc>
          <w:tcPr>
            <w:tcW w:w="1771" w:type="dxa"/>
            <w:shd w:val="clear" w:color="auto" w:fill="auto"/>
          </w:tcPr>
          <w:p w:rsidR="00322F45" w:rsidRPr="0005054E" w:rsidRDefault="00322F45" w:rsidP="00322F45">
            <w:pPr>
              <w:pStyle w:val="NoSpacing"/>
              <w:suppressLineNumbers/>
              <w:jc w:val="both"/>
              <w:rPr>
                <w:rFonts w:ascii="Times New Roman" w:hAnsi="Times New Roman"/>
                <w:b/>
                <w:sz w:val="26"/>
                <w:szCs w:val="26"/>
                <w:u w:val="single"/>
              </w:rPr>
            </w:pPr>
          </w:p>
        </w:tc>
        <w:tc>
          <w:tcPr>
            <w:tcW w:w="1771" w:type="dxa"/>
            <w:shd w:val="clear" w:color="auto" w:fill="auto"/>
          </w:tcPr>
          <w:p w:rsidR="00322F45" w:rsidRPr="0005054E" w:rsidRDefault="00322F45" w:rsidP="00322F45">
            <w:pPr>
              <w:pStyle w:val="NoSpacing"/>
              <w:suppressLineNumbers/>
              <w:jc w:val="both"/>
              <w:rPr>
                <w:rFonts w:ascii="Times New Roman" w:hAnsi="Times New Roman"/>
                <w:b/>
                <w:sz w:val="26"/>
                <w:szCs w:val="26"/>
                <w:u w:val="single"/>
              </w:rPr>
            </w:pPr>
          </w:p>
        </w:tc>
        <w:tc>
          <w:tcPr>
            <w:tcW w:w="1771" w:type="dxa"/>
            <w:shd w:val="clear" w:color="auto" w:fill="auto"/>
          </w:tcPr>
          <w:p w:rsidR="00322F45" w:rsidRPr="0005054E" w:rsidRDefault="00322F45" w:rsidP="00322F45">
            <w:pPr>
              <w:pStyle w:val="NoSpacing"/>
              <w:suppressLineNumbers/>
              <w:jc w:val="both"/>
              <w:rPr>
                <w:rFonts w:ascii="Times New Roman" w:hAnsi="Times New Roman"/>
                <w:b/>
                <w:sz w:val="26"/>
                <w:szCs w:val="26"/>
                <w:u w:val="single"/>
              </w:rPr>
            </w:pPr>
          </w:p>
        </w:tc>
        <w:tc>
          <w:tcPr>
            <w:tcW w:w="1772" w:type="dxa"/>
            <w:shd w:val="clear" w:color="auto" w:fill="auto"/>
          </w:tcPr>
          <w:p w:rsidR="00322F45" w:rsidRPr="0005054E" w:rsidRDefault="00322F45" w:rsidP="00322F45">
            <w:pPr>
              <w:pStyle w:val="NoSpacing"/>
              <w:suppressLineNumbers/>
              <w:jc w:val="both"/>
              <w:rPr>
                <w:rFonts w:ascii="Times New Roman" w:hAnsi="Times New Roman"/>
                <w:b/>
                <w:sz w:val="26"/>
                <w:szCs w:val="26"/>
                <w:u w:val="single"/>
              </w:rPr>
            </w:pPr>
          </w:p>
        </w:tc>
      </w:tr>
      <w:tr w:rsidR="00322F45" w:rsidRPr="0005054E" w:rsidTr="00322F45">
        <w:tc>
          <w:tcPr>
            <w:tcW w:w="1771" w:type="dxa"/>
            <w:shd w:val="clear" w:color="auto" w:fill="auto"/>
          </w:tcPr>
          <w:p w:rsidR="00322F45" w:rsidRPr="0005054E" w:rsidRDefault="00322F45" w:rsidP="00322F45">
            <w:pPr>
              <w:pStyle w:val="NoSpacing"/>
              <w:suppressLineNumbers/>
              <w:jc w:val="both"/>
              <w:rPr>
                <w:rFonts w:ascii="Times New Roman" w:hAnsi="Times New Roman"/>
                <w:b/>
                <w:sz w:val="26"/>
                <w:szCs w:val="26"/>
                <w:u w:val="single"/>
              </w:rPr>
            </w:pPr>
          </w:p>
        </w:tc>
        <w:tc>
          <w:tcPr>
            <w:tcW w:w="1771" w:type="dxa"/>
            <w:shd w:val="clear" w:color="auto" w:fill="auto"/>
          </w:tcPr>
          <w:p w:rsidR="00322F45" w:rsidRPr="0005054E" w:rsidRDefault="00322F45" w:rsidP="00322F45">
            <w:pPr>
              <w:pStyle w:val="NoSpacing"/>
              <w:suppressLineNumbers/>
              <w:jc w:val="both"/>
              <w:rPr>
                <w:rFonts w:ascii="Times New Roman" w:hAnsi="Times New Roman"/>
                <w:b/>
                <w:sz w:val="26"/>
                <w:szCs w:val="26"/>
                <w:u w:val="single"/>
              </w:rPr>
            </w:pPr>
          </w:p>
        </w:tc>
        <w:tc>
          <w:tcPr>
            <w:tcW w:w="1771" w:type="dxa"/>
            <w:shd w:val="clear" w:color="auto" w:fill="auto"/>
          </w:tcPr>
          <w:p w:rsidR="00322F45" w:rsidRPr="0005054E" w:rsidRDefault="00322F45" w:rsidP="00322F45">
            <w:pPr>
              <w:pStyle w:val="NoSpacing"/>
              <w:suppressLineNumbers/>
              <w:jc w:val="both"/>
              <w:rPr>
                <w:rFonts w:ascii="Times New Roman" w:hAnsi="Times New Roman"/>
                <w:b/>
                <w:sz w:val="26"/>
                <w:szCs w:val="26"/>
                <w:u w:val="single"/>
              </w:rPr>
            </w:pPr>
          </w:p>
        </w:tc>
        <w:tc>
          <w:tcPr>
            <w:tcW w:w="1771" w:type="dxa"/>
            <w:shd w:val="clear" w:color="auto" w:fill="auto"/>
          </w:tcPr>
          <w:p w:rsidR="00322F45" w:rsidRPr="0005054E" w:rsidRDefault="00322F45" w:rsidP="00322F45">
            <w:pPr>
              <w:pStyle w:val="NoSpacing"/>
              <w:suppressLineNumbers/>
              <w:jc w:val="both"/>
              <w:rPr>
                <w:rFonts w:ascii="Times New Roman" w:hAnsi="Times New Roman"/>
                <w:b/>
                <w:sz w:val="26"/>
                <w:szCs w:val="26"/>
                <w:u w:val="single"/>
              </w:rPr>
            </w:pPr>
          </w:p>
        </w:tc>
        <w:tc>
          <w:tcPr>
            <w:tcW w:w="1772" w:type="dxa"/>
            <w:shd w:val="clear" w:color="auto" w:fill="auto"/>
          </w:tcPr>
          <w:p w:rsidR="00322F45" w:rsidRPr="0005054E" w:rsidRDefault="00322F45" w:rsidP="00322F45">
            <w:pPr>
              <w:pStyle w:val="NoSpacing"/>
              <w:suppressLineNumbers/>
              <w:jc w:val="both"/>
              <w:rPr>
                <w:rFonts w:ascii="Times New Roman" w:hAnsi="Times New Roman"/>
                <w:b/>
                <w:sz w:val="26"/>
                <w:szCs w:val="26"/>
                <w:u w:val="single"/>
              </w:rPr>
            </w:pPr>
          </w:p>
        </w:tc>
      </w:tr>
      <w:tr w:rsidR="00322F45" w:rsidRPr="0005054E" w:rsidTr="00322F45">
        <w:tc>
          <w:tcPr>
            <w:tcW w:w="1771" w:type="dxa"/>
            <w:shd w:val="clear" w:color="auto" w:fill="auto"/>
          </w:tcPr>
          <w:p w:rsidR="00322F45" w:rsidRPr="0005054E" w:rsidRDefault="00322F45" w:rsidP="00322F45">
            <w:pPr>
              <w:pStyle w:val="NoSpacing"/>
              <w:suppressLineNumbers/>
              <w:jc w:val="both"/>
              <w:rPr>
                <w:rFonts w:ascii="Times New Roman" w:hAnsi="Times New Roman"/>
                <w:b/>
                <w:sz w:val="26"/>
                <w:szCs w:val="26"/>
                <w:u w:val="single"/>
              </w:rPr>
            </w:pPr>
          </w:p>
        </w:tc>
        <w:tc>
          <w:tcPr>
            <w:tcW w:w="1771" w:type="dxa"/>
            <w:shd w:val="clear" w:color="auto" w:fill="auto"/>
          </w:tcPr>
          <w:p w:rsidR="00322F45" w:rsidRPr="0005054E" w:rsidRDefault="00322F45" w:rsidP="00322F45">
            <w:pPr>
              <w:pStyle w:val="NoSpacing"/>
              <w:suppressLineNumbers/>
              <w:jc w:val="both"/>
              <w:rPr>
                <w:rFonts w:ascii="Times New Roman" w:hAnsi="Times New Roman"/>
                <w:b/>
                <w:sz w:val="26"/>
                <w:szCs w:val="26"/>
                <w:u w:val="single"/>
              </w:rPr>
            </w:pPr>
          </w:p>
        </w:tc>
        <w:tc>
          <w:tcPr>
            <w:tcW w:w="1771" w:type="dxa"/>
            <w:shd w:val="clear" w:color="auto" w:fill="auto"/>
          </w:tcPr>
          <w:p w:rsidR="00322F45" w:rsidRPr="0005054E" w:rsidRDefault="00322F45" w:rsidP="00322F45">
            <w:pPr>
              <w:pStyle w:val="NoSpacing"/>
              <w:suppressLineNumbers/>
              <w:jc w:val="both"/>
              <w:rPr>
                <w:rFonts w:ascii="Times New Roman" w:hAnsi="Times New Roman"/>
                <w:b/>
                <w:sz w:val="26"/>
                <w:szCs w:val="26"/>
                <w:u w:val="single"/>
              </w:rPr>
            </w:pPr>
          </w:p>
        </w:tc>
        <w:tc>
          <w:tcPr>
            <w:tcW w:w="1771" w:type="dxa"/>
            <w:shd w:val="clear" w:color="auto" w:fill="auto"/>
          </w:tcPr>
          <w:p w:rsidR="00322F45" w:rsidRPr="0005054E" w:rsidRDefault="00322F45" w:rsidP="00322F45">
            <w:pPr>
              <w:pStyle w:val="NoSpacing"/>
              <w:suppressLineNumbers/>
              <w:jc w:val="both"/>
              <w:rPr>
                <w:rFonts w:ascii="Times New Roman" w:hAnsi="Times New Roman"/>
                <w:b/>
                <w:sz w:val="26"/>
                <w:szCs w:val="26"/>
                <w:u w:val="single"/>
              </w:rPr>
            </w:pPr>
          </w:p>
        </w:tc>
        <w:tc>
          <w:tcPr>
            <w:tcW w:w="1772" w:type="dxa"/>
            <w:shd w:val="clear" w:color="auto" w:fill="auto"/>
          </w:tcPr>
          <w:p w:rsidR="00322F45" w:rsidRPr="0005054E" w:rsidRDefault="00322F45" w:rsidP="00322F45">
            <w:pPr>
              <w:pStyle w:val="NoSpacing"/>
              <w:suppressLineNumbers/>
              <w:jc w:val="both"/>
              <w:rPr>
                <w:rFonts w:ascii="Times New Roman" w:hAnsi="Times New Roman"/>
                <w:b/>
                <w:sz w:val="26"/>
                <w:szCs w:val="26"/>
                <w:u w:val="single"/>
              </w:rPr>
            </w:pPr>
          </w:p>
        </w:tc>
      </w:tr>
      <w:tr w:rsidR="00322F45" w:rsidRPr="0005054E" w:rsidTr="00322F45">
        <w:tc>
          <w:tcPr>
            <w:tcW w:w="1771" w:type="dxa"/>
            <w:shd w:val="clear" w:color="auto" w:fill="auto"/>
          </w:tcPr>
          <w:p w:rsidR="00322F45" w:rsidRPr="0005054E" w:rsidRDefault="00322F45" w:rsidP="00322F45">
            <w:pPr>
              <w:pStyle w:val="NoSpacing"/>
              <w:suppressLineNumbers/>
              <w:jc w:val="both"/>
              <w:rPr>
                <w:rFonts w:ascii="Times New Roman" w:hAnsi="Times New Roman"/>
                <w:b/>
                <w:sz w:val="26"/>
                <w:szCs w:val="26"/>
                <w:u w:val="single"/>
              </w:rPr>
            </w:pPr>
          </w:p>
        </w:tc>
        <w:tc>
          <w:tcPr>
            <w:tcW w:w="1771" w:type="dxa"/>
            <w:shd w:val="clear" w:color="auto" w:fill="auto"/>
          </w:tcPr>
          <w:p w:rsidR="00322F45" w:rsidRPr="0005054E" w:rsidRDefault="00322F45" w:rsidP="00322F45">
            <w:pPr>
              <w:pStyle w:val="NoSpacing"/>
              <w:suppressLineNumbers/>
              <w:jc w:val="both"/>
              <w:rPr>
                <w:rFonts w:ascii="Times New Roman" w:hAnsi="Times New Roman"/>
                <w:b/>
                <w:sz w:val="26"/>
                <w:szCs w:val="26"/>
                <w:u w:val="single"/>
              </w:rPr>
            </w:pPr>
          </w:p>
        </w:tc>
        <w:tc>
          <w:tcPr>
            <w:tcW w:w="1771" w:type="dxa"/>
            <w:shd w:val="clear" w:color="auto" w:fill="auto"/>
          </w:tcPr>
          <w:p w:rsidR="00322F45" w:rsidRPr="0005054E" w:rsidRDefault="00322F45" w:rsidP="00322F45">
            <w:pPr>
              <w:pStyle w:val="NoSpacing"/>
              <w:suppressLineNumbers/>
              <w:jc w:val="both"/>
              <w:rPr>
                <w:rFonts w:ascii="Times New Roman" w:hAnsi="Times New Roman"/>
                <w:b/>
                <w:sz w:val="26"/>
                <w:szCs w:val="26"/>
                <w:u w:val="single"/>
              </w:rPr>
            </w:pPr>
          </w:p>
        </w:tc>
        <w:tc>
          <w:tcPr>
            <w:tcW w:w="1771" w:type="dxa"/>
            <w:shd w:val="clear" w:color="auto" w:fill="auto"/>
          </w:tcPr>
          <w:p w:rsidR="00322F45" w:rsidRPr="0005054E" w:rsidRDefault="00322F45" w:rsidP="00322F45">
            <w:pPr>
              <w:pStyle w:val="NoSpacing"/>
              <w:suppressLineNumbers/>
              <w:jc w:val="both"/>
              <w:rPr>
                <w:rFonts w:ascii="Times New Roman" w:hAnsi="Times New Roman"/>
                <w:b/>
                <w:sz w:val="26"/>
                <w:szCs w:val="26"/>
                <w:u w:val="single"/>
              </w:rPr>
            </w:pPr>
          </w:p>
        </w:tc>
        <w:tc>
          <w:tcPr>
            <w:tcW w:w="1772" w:type="dxa"/>
            <w:shd w:val="clear" w:color="auto" w:fill="auto"/>
          </w:tcPr>
          <w:p w:rsidR="00322F45" w:rsidRPr="0005054E" w:rsidRDefault="00322F45" w:rsidP="00322F45">
            <w:pPr>
              <w:pStyle w:val="NoSpacing"/>
              <w:suppressLineNumbers/>
              <w:jc w:val="both"/>
              <w:rPr>
                <w:rFonts w:ascii="Times New Roman" w:hAnsi="Times New Roman"/>
                <w:b/>
                <w:sz w:val="26"/>
                <w:szCs w:val="26"/>
                <w:u w:val="single"/>
              </w:rPr>
            </w:pPr>
          </w:p>
        </w:tc>
      </w:tr>
      <w:tr w:rsidR="00322F45" w:rsidRPr="0005054E" w:rsidTr="00322F45">
        <w:tc>
          <w:tcPr>
            <w:tcW w:w="1771" w:type="dxa"/>
            <w:shd w:val="clear" w:color="auto" w:fill="auto"/>
          </w:tcPr>
          <w:p w:rsidR="00322F45" w:rsidRPr="0005054E" w:rsidRDefault="00322F45" w:rsidP="00322F45">
            <w:pPr>
              <w:pStyle w:val="NoSpacing"/>
              <w:suppressLineNumbers/>
              <w:jc w:val="both"/>
              <w:rPr>
                <w:rFonts w:ascii="Times New Roman" w:hAnsi="Times New Roman"/>
                <w:b/>
                <w:sz w:val="26"/>
                <w:szCs w:val="26"/>
                <w:u w:val="single"/>
              </w:rPr>
            </w:pPr>
          </w:p>
        </w:tc>
        <w:tc>
          <w:tcPr>
            <w:tcW w:w="1771" w:type="dxa"/>
            <w:shd w:val="clear" w:color="auto" w:fill="auto"/>
          </w:tcPr>
          <w:p w:rsidR="00322F45" w:rsidRPr="0005054E" w:rsidRDefault="00322F45" w:rsidP="00322F45">
            <w:pPr>
              <w:pStyle w:val="NoSpacing"/>
              <w:suppressLineNumbers/>
              <w:jc w:val="both"/>
              <w:rPr>
                <w:rFonts w:ascii="Times New Roman" w:hAnsi="Times New Roman"/>
                <w:b/>
                <w:sz w:val="26"/>
                <w:szCs w:val="26"/>
                <w:u w:val="single"/>
              </w:rPr>
            </w:pPr>
          </w:p>
        </w:tc>
        <w:tc>
          <w:tcPr>
            <w:tcW w:w="1771" w:type="dxa"/>
            <w:shd w:val="clear" w:color="auto" w:fill="auto"/>
          </w:tcPr>
          <w:p w:rsidR="00322F45" w:rsidRPr="0005054E" w:rsidRDefault="00322F45" w:rsidP="00322F45">
            <w:pPr>
              <w:pStyle w:val="NoSpacing"/>
              <w:suppressLineNumbers/>
              <w:jc w:val="both"/>
              <w:rPr>
                <w:rFonts w:ascii="Times New Roman" w:hAnsi="Times New Roman"/>
                <w:b/>
                <w:sz w:val="26"/>
                <w:szCs w:val="26"/>
                <w:u w:val="single"/>
              </w:rPr>
            </w:pPr>
          </w:p>
        </w:tc>
        <w:tc>
          <w:tcPr>
            <w:tcW w:w="1771" w:type="dxa"/>
            <w:shd w:val="clear" w:color="auto" w:fill="auto"/>
          </w:tcPr>
          <w:p w:rsidR="00322F45" w:rsidRPr="0005054E" w:rsidRDefault="00322F45" w:rsidP="00322F45">
            <w:pPr>
              <w:pStyle w:val="NoSpacing"/>
              <w:suppressLineNumbers/>
              <w:jc w:val="both"/>
              <w:rPr>
                <w:rFonts w:ascii="Times New Roman" w:hAnsi="Times New Roman"/>
                <w:b/>
                <w:sz w:val="26"/>
                <w:szCs w:val="26"/>
                <w:u w:val="single"/>
              </w:rPr>
            </w:pPr>
          </w:p>
        </w:tc>
        <w:tc>
          <w:tcPr>
            <w:tcW w:w="1772" w:type="dxa"/>
            <w:shd w:val="clear" w:color="auto" w:fill="auto"/>
          </w:tcPr>
          <w:p w:rsidR="00322F45" w:rsidRPr="0005054E" w:rsidRDefault="00322F45" w:rsidP="00322F45">
            <w:pPr>
              <w:pStyle w:val="NoSpacing"/>
              <w:suppressLineNumbers/>
              <w:jc w:val="both"/>
              <w:rPr>
                <w:rFonts w:ascii="Times New Roman" w:hAnsi="Times New Roman"/>
                <w:b/>
                <w:sz w:val="26"/>
                <w:szCs w:val="26"/>
                <w:u w:val="single"/>
              </w:rPr>
            </w:pPr>
          </w:p>
        </w:tc>
      </w:tr>
    </w:tbl>
    <w:p w:rsidR="00322F45" w:rsidRPr="0005054E" w:rsidRDefault="00322F45" w:rsidP="00322F45">
      <w:pPr>
        <w:pStyle w:val="NoSpacing"/>
        <w:suppressLineNumbers/>
        <w:jc w:val="both"/>
        <w:rPr>
          <w:rFonts w:ascii="Times New Roman" w:hAnsi="Times New Roman"/>
          <w:b/>
          <w:sz w:val="26"/>
          <w:szCs w:val="26"/>
          <w:u w:val="single"/>
        </w:rPr>
      </w:pPr>
    </w:p>
    <w:p w:rsidR="00322F45" w:rsidRPr="0005054E" w:rsidRDefault="00322F45" w:rsidP="00322F45">
      <w:pPr>
        <w:pStyle w:val="NoSpacing"/>
        <w:suppressLineNumbers/>
        <w:jc w:val="both"/>
        <w:rPr>
          <w:rFonts w:ascii="Times New Roman" w:hAnsi="Times New Roman"/>
          <w:b/>
          <w:sz w:val="26"/>
          <w:szCs w:val="2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1771"/>
        <w:gridCol w:w="1771"/>
        <w:gridCol w:w="1771"/>
        <w:gridCol w:w="1772"/>
      </w:tblGrid>
      <w:tr w:rsidR="00322F45" w:rsidRPr="0005054E" w:rsidTr="00322F45">
        <w:tc>
          <w:tcPr>
            <w:tcW w:w="8856" w:type="dxa"/>
            <w:gridSpan w:val="5"/>
            <w:shd w:val="clear" w:color="auto" w:fill="auto"/>
          </w:tcPr>
          <w:p w:rsidR="00322F45" w:rsidRPr="0005054E" w:rsidRDefault="00322F45" w:rsidP="00322F45">
            <w:pPr>
              <w:pStyle w:val="NoSpacing"/>
              <w:suppressLineNumbers/>
              <w:jc w:val="both"/>
              <w:rPr>
                <w:rFonts w:ascii="Times New Roman" w:hAnsi="Times New Roman"/>
                <w:b/>
                <w:sz w:val="26"/>
                <w:szCs w:val="26"/>
                <w:u w:val="single"/>
              </w:rPr>
            </w:pPr>
            <w:r w:rsidRPr="0005054E">
              <w:rPr>
                <w:rFonts w:ascii="Times New Roman" w:hAnsi="Times New Roman"/>
                <w:b/>
                <w:sz w:val="26"/>
                <w:szCs w:val="26"/>
                <w:u w:val="single"/>
              </w:rPr>
              <w:t>SERIES________, TRANCHE________</w:t>
            </w:r>
          </w:p>
        </w:tc>
      </w:tr>
      <w:tr w:rsidR="00322F45" w:rsidRPr="0005054E" w:rsidTr="00322F45">
        <w:tc>
          <w:tcPr>
            <w:tcW w:w="1771" w:type="dxa"/>
            <w:shd w:val="clear" w:color="auto" w:fill="auto"/>
          </w:tcPr>
          <w:p w:rsidR="00322F45" w:rsidRPr="0005054E" w:rsidRDefault="00322F45" w:rsidP="00322F45">
            <w:pPr>
              <w:suppressLineNumbers/>
              <w:jc w:val="both"/>
              <w:rPr>
                <w:sz w:val="26"/>
                <w:szCs w:val="26"/>
              </w:rPr>
            </w:pPr>
            <w:r w:rsidRPr="0005054E">
              <w:rPr>
                <w:sz w:val="26"/>
                <w:szCs w:val="26"/>
              </w:rPr>
              <w:t>Payment</w:t>
            </w:r>
          </w:p>
          <w:p w:rsidR="00322F45" w:rsidRPr="0005054E" w:rsidRDefault="00322F45" w:rsidP="00322F45">
            <w:pPr>
              <w:pStyle w:val="NoSpacing"/>
              <w:suppressLineNumbers/>
              <w:jc w:val="both"/>
              <w:rPr>
                <w:rFonts w:ascii="Times New Roman" w:hAnsi="Times New Roman"/>
                <w:sz w:val="26"/>
                <w:szCs w:val="26"/>
              </w:rPr>
            </w:pPr>
            <w:r w:rsidRPr="0005054E">
              <w:rPr>
                <w:rFonts w:ascii="Times New Roman" w:hAnsi="Times New Roman"/>
                <w:sz w:val="26"/>
                <w:szCs w:val="26"/>
              </w:rPr>
              <w:t>Date</w:t>
            </w:r>
          </w:p>
        </w:tc>
        <w:tc>
          <w:tcPr>
            <w:tcW w:w="1771" w:type="dxa"/>
            <w:shd w:val="clear" w:color="auto" w:fill="auto"/>
          </w:tcPr>
          <w:p w:rsidR="00322F45" w:rsidRPr="0005054E" w:rsidRDefault="00322F45" w:rsidP="00322F45">
            <w:pPr>
              <w:suppressLineNumbers/>
              <w:jc w:val="both"/>
              <w:rPr>
                <w:sz w:val="26"/>
                <w:szCs w:val="26"/>
              </w:rPr>
            </w:pPr>
            <w:r w:rsidRPr="0005054E">
              <w:rPr>
                <w:sz w:val="26"/>
                <w:szCs w:val="26"/>
              </w:rPr>
              <w:t xml:space="preserve">Principal </w:t>
            </w:r>
          </w:p>
          <w:p w:rsidR="00322F45" w:rsidRPr="0005054E" w:rsidRDefault="00322F45" w:rsidP="00322F45">
            <w:pPr>
              <w:pStyle w:val="NoSpacing"/>
              <w:suppressLineNumbers/>
              <w:jc w:val="both"/>
              <w:rPr>
                <w:rFonts w:ascii="Times New Roman" w:hAnsi="Times New Roman"/>
                <w:sz w:val="26"/>
                <w:szCs w:val="26"/>
              </w:rPr>
            </w:pPr>
            <w:r w:rsidRPr="0005054E">
              <w:rPr>
                <w:rFonts w:ascii="Times New Roman" w:hAnsi="Times New Roman"/>
                <w:sz w:val="26"/>
                <w:szCs w:val="26"/>
              </w:rPr>
              <w:t>Balance</w:t>
            </w:r>
          </w:p>
        </w:tc>
        <w:tc>
          <w:tcPr>
            <w:tcW w:w="1771" w:type="dxa"/>
            <w:shd w:val="clear" w:color="auto" w:fill="auto"/>
          </w:tcPr>
          <w:p w:rsidR="00322F45" w:rsidRPr="0005054E" w:rsidRDefault="00322F45" w:rsidP="00322F45">
            <w:pPr>
              <w:pStyle w:val="NoSpacing"/>
              <w:suppressLineNumbers/>
              <w:jc w:val="both"/>
              <w:rPr>
                <w:rFonts w:ascii="Times New Roman" w:hAnsi="Times New Roman"/>
                <w:sz w:val="26"/>
                <w:szCs w:val="26"/>
              </w:rPr>
            </w:pPr>
          </w:p>
          <w:p w:rsidR="00322F45" w:rsidRPr="0005054E" w:rsidRDefault="00322F45" w:rsidP="00322F45">
            <w:pPr>
              <w:pStyle w:val="NoSpacing"/>
              <w:suppressLineNumbers/>
              <w:jc w:val="both"/>
              <w:rPr>
                <w:rFonts w:ascii="Times New Roman" w:hAnsi="Times New Roman"/>
                <w:sz w:val="26"/>
                <w:szCs w:val="26"/>
              </w:rPr>
            </w:pPr>
            <w:r w:rsidRPr="0005054E">
              <w:rPr>
                <w:rFonts w:ascii="Times New Roman" w:hAnsi="Times New Roman"/>
                <w:sz w:val="26"/>
                <w:szCs w:val="26"/>
              </w:rPr>
              <w:t>Interest</w:t>
            </w:r>
          </w:p>
        </w:tc>
        <w:tc>
          <w:tcPr>
            <w:tcW w:w="1771" w:type="dxa"/>
            <w:shd w:val="clear" w:color="auto" w:fill="auto"/>
          </w:tcPr>
          <w:p w:rsidR="00322F45" w:rsidRPr="0005054E" w:rsidRDefault="00322F45" w:rsidP="00322F45">
            <w:pPr>
              <w:pStyle w:val="NoSpacing"/>
              <w:suppressLineNumbers/>
              <w:jc w:val="both"/>
              <w:rPr>
                <w:rFonts w:ascii="Times New Roman" w:hAnsi="Times New Roman"/>
                <w:sz w:val="26"/>
                <w:szCs w:val="26"/>
              </w:rPr>
            </w:pPr>
          </w:p>
          <w:p w:rsidR="00322F45" w:rsidRPr="0005054E" w:rsidRDefault="00322F45" w:rsidP="00322F45">
            <w:pPr>
              <w:pStyle w:val="NoSpacing"/>
              <w:suppressLineNumbers/>
              <w:jc w:val="both"/>
              <w:rPr>
                <w:rFonts w:ascii="Times New Roman" w:hAnsi="Times New Roman"/>
                <w:sz w:val="26"/>
                <w:szCs w:val="26"/>
              </w:rPr>
            </w:pPr>
            <w:r w:rsidRPr="0005054E">
              <w:rPr>
                <w:rFonts w:ascii="Times New Roman" w:hAnsi="Times New Roman"/>
                <w:sz w:val="26"/>
                <w:szCs w:val="26"/>
              </w:rPr>
              <w:t>Principal</w:t>
            </w:r>
          </w:p>
        </w:tc>
        <w:tc>
          <w:tcPr>
            <w:tcW w:w="1772" w:type="dxa"/>
            <w:shd w:val="clear" w:color="auto" w:fill="auto"/>
          </w:tcPr>
          <w:p w:rsidR="00322F45" w:rsidRPr="0005054E" w:rsidRDefault="00322F45" w:rsidP="00322F45">
            <w:pPr>
              <w:suppressLineNumbers/>
              <w:jc w:val="both"/>
              <w:rPr>
                <w:sz w:val="26"/>
                <w:szCs w:val="26"/>
              </w:rPr>
            </w:pPr>
            <w:r w:rsidRPr="0005054E">
              <w:rPr>
                <w:sz w:val="26"/>
                <w:szCs w:val="26"/>
              </w:rPr>
              <w:t>Total</w:t>
            </w:r>
          </w:p>
          <w:p w:rsidR="00322F45" w:rsidRPr="0005054E" w:rsidRDefault="00322F45" w:rsidP="00322F45">
            <w:pPr>
              <w:pStyle w:val="NoSpacing"/>
              <w:suppressLineNumbers/>
              <w:jc w:val="both"/>
              <w:rPr>
                <w:rFonts w:ascii="Times New Roman" w:hAnsi="Times New Roman"/>
                <w:sz w:val="26"/>
                <w:szCs w:val="26"/>
              </w:rPr>
            </w:pPr>
            <w:r w:rsidRPr="0005054E">
              <w:rPr>
                <w:rFonts w:ascii="Times New Roman" w:hAnsi="Times New Roman"/>
                <w:sz w:val="26"/>
                <w:szCs w:val="26"/>
              </w:rPr>
              <w:t>Payment</w:t>
            </w:r>
          </w:p>
        </w:tc>
      </w:tr>
      <w:tr w:rsidR="00322F45" w:rsidRPr="0005054E" w:rsidTr="00322F45">
        <w:tc>
          <w:tcPr>
            <w:tcW w:w="1771" w:type="dxa"/>
            <w:shd w:val="clear" w:color="auto" w:fill="auto"/>
          </w:tcPr>
          <w:p w:rsidR="00322F45" w:rsidRPr="0005054E" w:rsidRDefault="00322F45" w:rsidP="00322F45">
            <w:pPr>
              <w:pStyle w:val="NoSpacing"/>
              <w:suppressLineNumbers/>
              <w:jc w:val="both"/>
              <w:rPr>
                <w:rFonts w:ascii="Times New Roman" w:hAnsi="Times New Roman"/>
                <w:b/>
                <w:sz w:val="26"/>
                <w:szCs w:val="26"/>
                <w:u w:val="single"/>
              </w:rPr>
            </w:pPr>
          </w:p>
        </w:tc>
        <w:tc>
          <w:tcPr>
            <w:tcW w:w="1771" w:type="dxa"/>
            <w:shd w:val="clear" w:color="auto" w:fill="auto"/>
          </w:tcPr>
          <w:p w:rsidR="00322F45" w:rsidRPr="0005054E" w:rsidRDefault="00322F45" w:rsidP="00322F45">
            <w:pPr>
              <w:pStyle w:val="NoSpacing"/>
              <w:suppressLineNumbers/>
              <w:jc w:val="both"/>
              <w:rPr>
                <w:rFonts w:ascii="Times New Roman" w:hAnsi="Times New Roman"/>
                <w:b/>
                <w:sz w:val="26"/>
                <w:szCs w:val="26"/>
                <w:u w:val="single"/>
              </w:rPr>
            </w:pPr>
          </w:p>
        </w:tc>
        <w:tc>
          <w:tcPr>
            <w:tcW w:w="1771" w:type="dxa"/>
            <w:shd w:val="clear" w:color="auto" w:fill="auto"/>
          </w:tcPr>
          <w:p w:rsidR="00322F45" w:rsidRPr="0005054E" w:rsidRDefault="00322F45" w:rsidP="00322F45">
            <w:pPr>
              <w:pStyle w:val="NoSpacing"/>
              <w:suppressLineNumbers/>
              <w:jc w:val="both"/>
              <w:rPr>
                <w:rFonts w:ascii="Times New Roman" w:hAnsi="Times New Roman"/>
                <w:b/>
                <w:sz w:val="26"/>
                <w:szCs w:val="26"/>
                <w:u w:val="single"/>
              </w:rPr>
            </w:pPr>
          </w:p>
        </w:tc>
        <w:tc>
          <w:tcPr>
            <w:tcW w:w="1771" w:type="dxa"/>
            <w:shd w:val="clear" w:color="auto" w:fill="auto"/>
          </w:tcPr>
          <w:p w:rsidR="00322F45" w:rsidRPr="0005054E" w:rsidRDefault="00322F45" w:rsidP="00322F45">
            <w:pPr>
              <w:pStyle w:val="NoSpacing"/>
              <w:suppressLineNumbers/>
              <w:jc w:val="both"/>
              <w:rPr>
                <w:rFonts w:ascii="Times New Roman" w:hAnsi="Times New Roman"/>
                <w:b/>
                <w:sz w:val="26"/>
                <w:szCs w:val="26"/>
                <w:u w:val="single"/>
              </w:rPr>
            </w:pPr>
          </w:p>
        </w:tc>
        <w:tc>
          <w:tcPr>
            <w:tcW w:w="1772" w:type="dxa"/>
            <w:shd w:val="clear" w:color="auto" w:fill="auto"/>
          </w:tcPr>
          <w:p w:rsidR="00322F45" w:rsidRPr="0005054E" w:rsidRDefault="00322F45" w:rsidP="00322F45">
            <w:pPr>
              <w:pStyle w:val="NoSpacing"/>
              <w:suppressLineNumbers/>
              <w:jc w:val="both"/>
              <w:rPr>
                <w:rFonts w:ascii="Times New Roman" w:hAnsi="Times New Roman"/>
                <w:b/>
                <w:sz w:val="26"/>
                <w:szCs w:val="26"/>
                <w:u w:val="single"/>
              </w:rPr>
            </w:pPr>
          </w:p>
        </w:tc>
      </w:tr>
      <w:tr w:rsidR="00322F45" w:rsidRPr="0005054E" w:rsidTr="00322F45">
        <w:tc>
          <w:tcPr>
            <w:tcW w:w="1771" w:type="dxa"/>
            <w:shd w:val="clear" w:color="auto" w:fill="auto"/>
          </w:tcPr>
          <w:p w:rsidR="00322F45" w:rsidRPr="0005054E" w:rsidRDefault="00322F45" w:rsidP="00322F45">
            <w:pPr>
              <w:pStyle w:val="NoSpacing"/>
              <w:suppressLineNumbers/>
              <w:jc w:val="both"/>
              <w:rPr>
                <w:rFonts w:ascii="Times New Roman" w:hAnsi="Times New Roman"/>
                <w:b/>
                <w:sz w:val="26"/>
                <w:szCs w:val="26"/>
                <w:u w:val="single"/>
              </w:rPr>
            </w:pPr>
          </w:p>
        </w:tc>
        <w:tc>
          <w:tcPr>
            <w:tcW w:w="1771" w:type="dxa"/>
            <w:shd w:val="clear" w:color="auto" w:fill="auto"/>
          </w:tcPr>
          <w:p w:rsidR="00322F45" w:rsidRPr="0005054E" w:rsidRDefault="00322F45" w:rsidP="00322F45">
            <w:pPr>
              <w:pStyle w:val="NoSpacing"/>
              <w:suppressLineNumbers/>
              <w:jc w:val="both"/>
              <w:rPr>
                <w:rFonts w:ascii="Times New Roman" w:hAnsi="Times New Roman"/>
                <w:b/>
                <w:sz w:val="26"/>
                <w:szCs w:val="26"/>
                <w:u w:val="single"/>
              </w:rPr>
            </w:pPr>
          </w:p>
        </w:tc>
        <w:tc>
          <w:tcPr>
            <w:tcW w:w="1771" w:type="dxa"/>
            <w:shd w:val="clear" w:color="auto" w:fill="auto"/>
          </w:tcPr>
          <w:p w:rsidR="00322F45" w:rsidRPr="0005054E" w:rsidRDefault="00322F45" w:rsidP="00322F45">
            <w:pPr>
              <w:pStyle w:val="NoSpacing"/>
              <w:suppressLineNumbers/>
              <w:jc w:val="both"/>
              <w:rPr>
                <w:rFonts w:ascii="Times New Roman" w:hAnsi="Times New Roman"/>
                <w:b/>
                <w:sz w:val="26"/>
                <w:szCs w:val="26"/>
                <w:u w:val="single"/>
              </w:rPr>
            </w:pPr>
          </w:p>
        </w:tc>
        <w:tc>
          <w:tcPr>
            <w:tcW w:w="1771" w:type="dxa"/>
            <w:shd w:val="clear" w:color="auto" w:fill="auto"/>
          </w:tcPr>
          <w:p w:rsidR="00322F45" w:rsidRPr="0005054E" w:rsidRDefault="00322F45" w:rsidP="00322F45">
            <w:pPr>
              <w:pStyle w:val="NoSpacing"/>
              <w:suppressLineNumbers/>
              <w:jc w:val="both"/>
              <w:rPr>
                <w:rFonts w:ascii="Times New Roman" w:hAnsi="Times New Roman"/>
                <w:b/>
                <w:sz w:val="26"/>
                <w:szCs w:val="26"/>
                <w:u w:val="single"/>
              </w:rPr>
            </w:pPr>
          </w:p>
        </w:tc>
        <w:tc>
          <w:tcPr>
            <w:tcW w:w="1772" w:type="dxa"/>
            <w:shd w:val="clear" w:color="auto" w:fill="auto"/>
          </w:tcPr>
          <w:p w:rsidR="00322F45" w:rsidRPr="0005054E" w:rsidRDefault="00322F45" w:rsidP="00322F45">
            <w:pPr>
              <w:pStyle w:val="NoSpacing"/>
              <w:suppressLineNumbers/>
              <w:jc w:val="both"/>
              <w:rPr>
                <w:rFonts w:ascii="Times New Roman" w:hAnsi="Times New Roman"/>
                <w:b/>
                <w:sz w:val="26"/>
                <w:szCs w:val="26"/>
                <w:u w:val="single"/>
              </w:rPr>
            </w:pPr>
          </w:p>
        </w:tc>
      </w:tr>
      <w:tr w:rsidR="00322F45" w:rsidRPr="0005054E" w:rsidTr="00322F45">
        <w:tc>
          <w:tcPr>
            <w:tcW w:w="1771" w:type="dxa"/>
            <w:shd w:val="clear" w:color="auto" w:fill="auto"/>
          </w:tcPr>
          <w:p w:rsidR="00322F45" w:rsidRPr="0005054E" w:rsidRDefault="00322F45" w:rsidP="00322F45">
            <w:pPr>
              <w:pStyle w:val="NoSpacing"/>
              <w:suppressLineNumbers/>
              <w:jc w:val="both"/>
              <w:rPr>
                <w:rFonts w:ascii="Times New Roman" w:hAnsi="Times New Roman"/>
                <w:b/>
                <w:sz w:val="26"/>
                <w:szCs w:val="26"/>
                <w:u w:val="single"/>
              </w:rPr>
            </w:pPr>
          </w:p>
        </w:tc>
        <w:tc>
          <w:tcPr>
            <w:tcW w:w="1771" w:type="dxa"/>
            <w:shd w:val="clear" w:color="auto" w:fill="auto"/>
          </w:tcPr>
          <w:p w:rsidR="00322F45" w:rsidRPr="0005054E" w:rsidRDefault="00322F45" w:rsidP="00322F45">
            <w:pPr>
              <w:pStyle w:val="NoSpacing"/>
              <w:suppressLineNumbers/>
              <w:jc w:val="both"/>
              <w:rPr>
                <w:rFonts w:ascii="Times New Roman" w:hAnsi="Times New Roman"/>
                <w:b/>
                <w:sz w:val="26"/>
                <w:szCs w:val="26"/>
                <w:u w:val="single"/>
              </w:rPr>
            </w:pPr>
          </w:p>
        </w:tc>
        <w:tc>
          <w:tcPr>
            <w:tcW w:w="1771" w:type="dxa"/>
            <w:shd w:val="clear" w:color="auto" w:fill="auto"/>
          </w:tcPr>
          <w:p w:rsidR="00322F45" w:rsidRPr="0005054E" w:rsidRDefault="00322F45" w:rsidP="00322F45">
            <w:pPr>
              <w:pStyle w:val="NoSpacing"/>
              <w:suppressLineNumbers/>
              <w:jc w:val="both"/>
              <w:rPr>
                <w:rFonts w:ascii="Times New Roman" w:hAnsi="Times New Roman"/>
                <w:b/>
                <w:sz w:val="26"/>
                <w:szCs w:val="26"/>
                <w:u w:val="single"/>
              </w:rPr>
            </w:pPr>
          </w:p>
        </w:tc>
        <w:tc>
          <w:tcPr>
            <w:tcW w:w="1771" w:type="dxa"/>
            <w:shd w:val="clear" w:color="auto" w:fill="auto"/>
          </w:tcPr>
          <w:p w:rsidR="00322F45" w:rsidRPr="0005054E" w:rsidRDefault="00322F45" w:rsidP="00322F45">
            <w:pPr>
              <w:pStyle w:val="NoSpacing"/>
              <w:suppressLineNumbers/>
              <w:jc w:val="both"/>
              <w:rPr>
                <w:rFonts w:ascii="Times New Roman" w:hAnsi="Times New Roman"/>
                <w:b/>
                <w:sz w:val="26"/>
                <w:szCs w:val="26"/>
                <w:u w:val="single"/>
              </w:rPr>
            </w:pPr>
          </w:p>
        </w:tc>
        <w:tc>
          <w:tcPr>
            <w:tcW w:w="1772" w:type="dxa"/>
            <w:shd w:val="clear" w:color="auto" w:fill="auto"/>
          </w:tcPr>
          <w:p w:rsidR="00322F45" w:rsidRPr="0005054E" w:rsidRDefault="00322F45" w:rsidP="00322F45">
            <w:pPr>
              <w:pStyle w:val="NoSpacing"/>
              <w:suppressLineNumbers/>
              <w:jc w:val="both"/>
              <w:rPr>
                <w:rFonts w:ascii="Times New Roman" w:hAnsi="Times New Roman"/>
                <w:b/>
                <w:sz w:val="26"/>
                <w:szCs w:val="26"/>
                <w:u w:val="single"/>
              </w:rPr>
            </w:pPr>
          </w:p>
        </w:tc>
      </w:tr>
      <w:tr w:rsidR="00322F45" w:rsidRPr="0005054E" w:rsidTr="00322F45">
        <w:tc>
          <w:tcPr>
            <w:tcW w:w="1771" w:type="dxa"/>
            <w:shd w:val="clear" w:color="auto" w:fill="auto"/>
          </w:tcPr>
          <w:p w:rsidR="00322F45" w:rsidRPr="0005054E" w:rsidRDefault="00322F45" w:rsidP="00322F45">
            <w:pPr>
              <w:pStyle w:val="NoSpacing"/>
              <w:suppressLineNumbers/>
              <w:jc w:val="both"/>
              <w:rPr>
                <w:rFonts w:ascii="Times New Roman" w:hAnsi="Times New Roman"/>
                <w:b/>
                <w:sz w:val="26"/>
                <w:szCs w:val="26"/>
                <w:u w:val="single"/>
              </w:rPr>
            </w:pPr>
          </w:p>
        </w:tc>
        <w:tc>
          <w:tcPr>
            <w:tcW w:w="1771" w:type="dxa"/>
            <w:shd w:val="clear" w:color="auto" w:fill="auto"/>
          </w:tcPr>
          <w:p w:rsidR="00322F45" w:rsidRPr="0005054E" w:rsidRDefault="00322F45" w:rsidP="00322F45">
            <w:pPr>
              <w:pStyle w:val="NoSpacing"/>
              <w:suppressLineNumbers/>
              <w:jc w:val="both"/>
              <w:rPr>
                <w:rFonts w:ascii="Times New Roman" w:hAnsi="Times New Roman"/>
                <w:b/>
                <w:sz w:val="26"/>
                <w:szCs w:val="26"/>
                <w:u w:val="single"/>
              </w:rPr>
            </w:pPr>
          </w:p>
        </w:tc>
        <w:tc>
          <w:tcPr>
            <w:tcW w:w="1771" w:type="dxa"/>
            <w:shd w:val="clear" w:color="auto" w:fill="auto"/>
          </w:tcPr>
          <w:p w:rsidR="00322F45" w:rsidRPr="0005054E" w:rsidRDefault="00322F45" w:rsidP="00322F45">
            <w:pPr>
              <w:pStyle w:val="NoSpacing"/>
              <w:suppressLineNumbers/>
              <w:jc w:val="both"/>
              <w:rPr>
                <w:rFonts w:ascii="Times New Roman" w:hAnsi="Times New Roman"/>
                <w:b/>
                <w:sz w:val="26"/>
                <w:szCs w:val="26"/>
                <w:u w:val="single"/>
              </w:rPr>
            </w:pPr>
          </w:p>
        </w:tc>
        <w:tc>
          <w:tcPr>
            <w:tcW w:w="1771" w:type="dxa"/>
            <w:shd w:val="clear" w:color="auto" w:fill="auto"/>
          </w:tcPr>
          <w:p w:rsidR="00322F45" w:rsidRPr="0005054E" w:rsidRDefault="00322F45" w:rsidP="00322F45">
            <w:pPr>
              <w:pStyle w:val="NoSpacing"/>
              <w:suppressLineNumbers/>
              <w:jc w:val="both"/>
              <w:rPr>
                <w:rFonts w:ascii="Times New Roman" w:hAnsi="Times New Roman"/>
                <w:b/>
                <w:sz w:val="26"/>
                <w:szCs w:val="26"/>
                <w:u w:val="single"/>
              </w:rPr>
            </w:pPr>
          </w:p>
        </w:tc>
        <w:tc>
          <w:tcPr>
            <w:tcW w:w="1772" w:type="dxa"/>
            <w:shd w:val="clear" w:color="auto" w:fill="auto"/>
          </w:tcPr>
          <w:p w:rsidR="00322F45" w:rsidRPr="0005054E" w:rsidRDefault="00322F45" w:rsidP="00322F45">
            <w:pPr>
              <w:pStyle w:val="NoSpacing"/>
              <w:suppressLineNumbers/>
              <w:jc w:val="both"/>
              <w:rPr>
                <w:rFonts w:ascii="Times New Roman" w:hAnsi="Times New Roman"/>
                <w:b/>
                <w:sz w:val="26"/>
                <w:szCs w:val="26"/>
                <w:u w:val="single"/>
              </w:rPr>
            </w:pPr>
          </w:p>
        </w:tc>
      </w:tr>
      <w:tr w:rsidR="00322F45" w:rsidRPr="0005054E" w:rsidTr="00322F45">
        <w:tc>
          <w:tcPr>
            <w:tcW w:w="1771" w:type="dxa"/>
            <w:shd w:val="clear" w:color="auto" w:fill="auto"/>
          </w:tcPr>
          <w:p w:rsidR="00322F45" w:rsidRPr="0005054E" w:rsidRDefault="00322F45" w:rsidP="00322F45">
            <w:pPr>
              <w:pStyle w:val="NoSpacing"/>
              <w:suppressLineNumbers/>
              <w:jc w:val="both"/>
              <w:rPr>
                <w:rFonts w:ascii="Times New Roman" w:hAnsi="Times New Roman"/>
                <w:b/>
                <w:sz w:val="26"/>
                <w:szCs w:val="26"/>
                <w:u w:val="single"/>
              </w:rPr>
            </w:pPr>
          </w:p>
        </w:tc>
        <w:tc>
          <w:tcPr>
            <w:tcW w:w="1771" w:type="dxa"/>
            <w:shd w:val="clear" w:color="auto" w:fill="auto"/>
          </w:tcPr>
          <w:p w:rsidR="00322F45" w:rsidRPr="0005054E" w:rsidRDefault="00322F45" w:rsidP="00322F45">
            <w:pPr>
              <w:pStyle w:val="NoSpacing"/>
              <w:suppressLineNumbers/>
              <w:jc w:val="both"/>
              <w:rPr>
                <w:rFonts w:ascii="Times New Roman" w:hAnsi="Times New Roman"/>
                <w:b/>
                <w:sz w:val="26"/>
                <w:szCs w:val="26"/>
                <w:u w:val="single"/>
              </w:rPr>
            </w:pPr>
          </w:p>
        </w:tc>
        <w:tc>
          <w:tcPr>
            <w:tcW w:w="1771" w:type="dxa"/>
            <w:shd w:val="clear" w:color="auto" w:fill="auto"/>
          </w:tcPr>
          <w:p w:rsidR="00322F45" w:rsidRPr="0005054E" w:rsidRDefault="00322F45" w:rsidP="00322F45">
            <w:pPr>
              <w:pStyle w:val="NoSpacing"/>
              <w:suppressLineNumbers/>
              <w:jc w:val="both"/>
              <w:rPr>
                <w:rFonts w:ascii="Times New Roman" w:hAnsi="Times New Roman"/>
                <w:b/>
                <w:sz w:val="26"/>
                <w:szCs w:val="26"/>
                <w:u w:val="single"/>
              </w:rPr>
            </w:pPr>
          </w:p>
        </w:tc>
        <w:tc>
          <w:tcPr>
            <w:tcW w:w="1771" w:type="dxa"/>
            <w:shd w:val="clear" w:color="auto" w:fill="auto"/>
          </w:tcPr>
          <w:p w:rsidR="00322F45" w:rsidRPr="0005054E" w:rsidRDefault="00322F45" w:rsidP="00322F45">
            <w:pPr>
              <w:pStyle w:val="NoSpacing"/>
              <w:suppressLineNumbers/>
              <w:jc w:val="both"/>
              <w:rPr>
                <w:rFonts w:ascii="Times New Roman" w:hAnsi="Times New Roman"/>
                <w:b/>
                <w:sz w:val="26"/>
                <w:szCs w:val="26"/>
                <w:u w:val="single"/>
              </w:rPr>
            </w:pPr>
          </w:p>
        </w:tc>
        <w:tc>
          <w:tcPr>
            <w:tcW w:w="1772" w:type="dxa"/>
            <w:shd w:val="clear" w:color="auto" w:fill="auto"/>
          </w:tcPr>
          <w:p w:rsidR="00322F45" w:rsidRPr="0005054E" w:rsidRDefault="00322F45" w:rsidP="00322F45">
            <w:pPr>
              <w:pStyle w:val="NoSpacing"/>
              <w:suppressLineNumbers/>
              <w:jc w:val="both"/>
              <w:rPr>
                <w:rFonts w:ascii="Times New Roman" w:hAnsi="Times New Roman"/>
                <w:b/>
                <w:sz w:val="26"/>
                <w:szCs w:val="26"/>
                <w:u w:val="single"/>
              </w:rPr>
            </w:pPr>
          </w:p>
        </w:tc>
      </w:tr>
      <w:tr w:rsidR="00322F45" w:rsidRPr="0005054E" w:rsidTr="00322F45">
        <w:tc>
          <w:tcPr>
            <w:tcW w:w="1771" w:type="dxa"/>
            <w:shd w:val="clear" w:color="auto" w:fill="auto"/>
          </w:tcPr>
          <w:p w:rsidR="00322F45" w:rsidRPr="0005054E" w:rsidRDefault="00322F45" w:rsidP="00322F45">
            <w:pPr>
              <w:pStyle w:val="NoSpacing"/>
              <w:suppressLineNumbers/>
              <w:jc w:val="both"/>
              <w:rPr>
                <w:rFonts w:ascii="Times New Roman" w:hAnsi="Times New Roman"/>
                <w:b/>
                <w:sz w:val="26"/>
                <w:szCs w:val="26"/>
                <w:u w:val="single"/>
              </w:rPr>
            </w:pPr>
          </w:p>
        </w:tc>
        <w:tc>
          <w:tcPr>
            <w:tcW w:w="1771" w:type="dxa"/>
            <w:shd w:val="clear" w:color="auto" w:fill="auto"/>
          </w:tcPr>
          <w:p w:rsidR="00322F45" w:rsidRPr="0005054E" w:rsidRDefault="00322F45" w:rsidP="00322F45">
            <w:pPr>
              <w:pStyle w:val="NoSpacing"/>
              <w:suppressLineNumbers/>
              <w:jc w:val="both"/>
              <w:rPr>
                <w:rFonts w:ascii="Times New Roman" w:hAnsi="Times New Roman"/>
                <w:b/>
                <w:sz w:val="26"/>
                <w:szCs w:val="26"/>
                <w:u w:val="single"/>
              </w:rPr>
            </w:pPr>
          </w:p>
        </w:tc>
        <w:tc>
          <w:tcPr>
            <w:tcW w:w="1771" w:type="dxa"/>
            <w:shd w:val="clear" w:color="auto" w:fill="auto"/>
          </w:tcPr>
          <w:p w:rsidR="00322F45" w:rsidRPr="0005054E" w:rsidRDefault="00322F45" w:rsidP="00322F45">
            <w:pPr>
              <w:pStyle w:val="NoSpacing"/>
              <w:suppressLineNumbers/>
              <w:jc w:val="both"/>
              <w:rPr>
                <w:rFonts w:ascii="Times New Roman" w:hAnsi="Times New Roman"/>
                <w:b/>
                <w:sz w:val="26"/>
                <w:szCs w:val="26"/>
                <w:u w:val="single"/>
              </w:rPr>
            </w:pPr>
          </w:p>
        </w:tc>
        <w:tc>
          <w:tcPr>
            <w:tcW w:w="1771" w:type="dxa"/>
            <w:shd w:val="clear" w:color="auto" w:fill="auto"/>
          </w:tcPr>
          <w:p w:rsidR="00322F45" w:rsidRPr="0005054E" w:rsidRDefault="00322F45" w:rsidP="00322F45">
            <w:pPr>
              <w:pStyle w:val="NoSpacing"/>
              <w:suppressLineNumbers/>
              <w:jc w:val="both"/>
              <w:rPr>
                <w:rFonts w:ascii="Times New Roman" w:hAnsi="Times New Roman"/>
                <w:b/>
                <w:sz w:val="26"/>
                <w:szCs w:val="26"/>
                <w:u w:val="single"/>
              </w:rPr>
            </w:pPr>
          </w:p>
        </w:tc>
        <w:tc>
          <w:tcPr>
            <w:tcW w:w="1772" w:type="dxa"/>
            <w:shd w:val="clear" w:color="auto" w:fill="auto"/>
          </w:tcPr>
          <w:p w:rsidR="00322F45" w:rsidRPr="0005054E" w:rsidRDefault="00322F45" w:rsidP="00322F45">
            <w:pPr>
              <w:pStyle w:val="NoSpacing"/>
              <w:suppressLineNumbers/>
              <w:jc w:val="both"/>
              <w:rPr>
                <w:rFonts w:ascii="Times New Roman" w:hAnsi="Times New Roman"/>
                <w:b/>
                <w:sz w:val="26"/>
                <w:szCs w:val="26"/>
                <w:u w:val="single"/>
              </w:rPr>
            </w:pPr>
          </w:p>
        </w:tc>
      </w:tr>
    </w:tbl>
    <w:p w:rsidR="007C4D6B" w:rsidRDefault="007C4D6B" w:rsidP="00322F45">
      <w:pPr>
        <w:suppressLineNumbers/>
        <w:jc w:val="both"/>
        <w:rPr>
          <w:b/>
          <w:sz w:val="26"/>
          <w:szCs w:val="26"/>
          <w:u w:val="single"/>
        </w:rPr>
        <w:sectPr w:rsidR="007C4D6B" w:rsidSect="003B12DD">
          <w:headerReference w:type="first" r:id="rId37"/>
          <w:footerReference w:type="first" r:id="rId38"/>
          <w:footnotePr>
            <w:numRestart w:val="eachSect"/>
          </w:footnotePr>
          <w:pgSz w:w="12240" w:h="15840" w:code="1"/>
          <w:pgMar w:top="1440" w:right="1440" w:bottom="1440" w:left="1440" w:header="720" w:footer="720" w:gutter="0"/>
          <w:pgNumType w:start="1"/>
          <w:cols w:space="720"/>
          <w:titlePg/>
          <w:docGrid w:linePitch="360"/>
        </w:sectPr>
      </w:pPr>
    </w:p>
    <w:p w:rsidR="008669CD" w:rsidRDefault="008669CD" w:rsidP="00A71396">
      <w:pPr>
        <w:suppressLineNumbers/>
        <w:spacing w:after="240"/>
        <w:jc w:val="center"/>
        <w:rPr>
          <w:b/>
          <w:sz w:val="26"/>
          <w:szCs w:val="26"/>
          <w:u w:val="single"/>
        </w:rPr>
      </w:pPr>
      <w:r>
        <w:rPr>
          <w:b/>
          <w:sz w:val="26"/>
          <w:szCs w:val="26"/>
          <w:u w:val="single"/>
        </w:rPr>
        <w:lastRenderedPageBreak/>
        <w:t>ATTACHMENT-2</w:t>
      </w:r>
      <w:r>
        <w:rPr>
          <w:b/>
          <w:sz w:val="26"/>
          <w:szCs w:val="26"/>
          <w:u w:val="single"/>
        </w:rPr>
        <w:br/>
        <w:t>SCHEDULE-B</w:t>
      </w:r>
    </w:p>
    <w:p w:rsidR="00322F45" w:rsidRPr="0005054E" w:rsidRDefault="00322F45" w:rsidP="00A71396">
      <w:pPr>
        <w:suppressLineNumbers/>
        <w:spacing w:after="240"/>
        <w:jc w:val="center"/>
        <w:rPr>
          <w:b/>
          <w:sz w:val="26"/>
          <w:szCs w:val="26"/>
          <w:u w:val="single"/>
        </w:rPr>
      </w:pPr>
      <w:r w:rsidRPr="0005054E">
        <w:rPr>
          <w:b/>
          <w:sz w:val="26"/>
          <w:szCs w:val="26"/>
          <w:u w:val="single"/>
        </w:rPr>
        <w:t>ONGOING FINANCING COSTS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8"/>
        <w:gridCol w:w="2880"/>
      </w:tblGrid>
      <w:tr w:rsidR="00322F45" w:rsidRPr="0005054E" w:rsidTr="008669CD">
        <w:trPr>
          <w:trHeight w:val="432"/>
        </w:trPr>
        <w:tc>
          <w:tcPr>
            <w:tcW w:w="6048" w:type="dxa"/>
            <w:shd w:val="clear" w:color="auto" w:fill="auto"/>
            <w:vAlign w:val="center"/>
          </w:tcPr>
          <w:p w:rsidR="00322F45" w:rsidRPr="0005054E" w:rsidRDefault="00322F45" w:rsidP="00322F45">
            <w:pPr>
              <w:suppressLineNumbers/>
              <w:rPr>
                <w:b/>
                <w:sz w:val="26"/>
                <w:szCs w:val="26"/>
                <w:u w:val="single"/>
              </w:rPr>
            </w:pPr>
          </w:p>
        </w:tc>
        <w:tc>
          <w:tcPr>
            <w:tcW w:w="2880" w:type="dxa"/>
            <w:shd w:val="clear" w:color="auto" w:fill="auto"/>
            <w:vAlign w:val="center"/>
          </w:tcPr>
          <w:p w:rsidR="00322F45" w:rsidRPr="0005054E" w:rsidRDefault="00322F45" w:rsidP="00322F45">
            <w:pPr>
              <w:suppressLineNumbers/>
              <w:ind w:left="-18"/>
              <w:rPr>
                <w:b/>
                <w:sz w:val="26"/>
                <w:szCs w:val="26"/>
                <w:u w:val="single"/>
              </w:rPr>
            </w:pPr>
            <w:r w:rsidRPr="0005054E">
              <w:rPr>
                <w:b/>
                <w:sz w:val="26"/>
                <w:szCs w:val="26"/>
                <w:u w:val="single"/>
              </w:rPr>
              <w:t>ANNUAL AMOUNT</w:t>
            </w:r>
            <w:r>
              <w:rPr>
                <w:rStyle w:val="FootnoteReference"/>
                <w:b/>
                <w:sz w:val="26"/>
                <w:szCs w:val="26"/>
                <w:u w:val="single"/>
              </w:rPr>
              <w:footnoteReference w:id="8"/>
            </w:r>
          </w:p>
        </w:tc>
      </w:tr>
      <w:tr w:rsidR="00322F45" w:rsidRPr="0005054E" w:rsidTr="008669CD">
        <w:trPr>
          <w:trHeight w:val="432"/>
        </w:trPr>
        <w:tc>
          <w:tcPr>
            <w:tcW w:w="6048" w:type="dxa"/>
            <w:shd w:val="clear" w:color="auto" w:fill="auto"/>
            <w:vAlign w:val="center"/>
          </w:tcPr>
          <w:p w:rsidR="00322F45" w:rsidRPr="0005054E" w:rsidRDefault="00322F45" w:rsidP="00322F45">
            <w:pPr>
              <w:suppressLineNumbers/>
              <w:rPr>
                <w:sz w:val="26"/>
                <w:szCs w:val="26"/>
              </w:rPr>
            </w:pPr>
            <w:r w:rsidRPr="0005054E">
              <w:rPr>
                <w:sz w:val="26"/>
                <w:szCs w:val="26"/>
              </w:rPr>
              <w:t>Ongoing Servicer Fee (The Companies as Servicer)</w:t>
            </w:r>
            <w:r>
              <w:rPr>
                <w:rStyle w:val="FootnoteReference"/>
                <w:sz w:val="26"/>
                <w:szCs w:val="26"/>
              </w:rPr>
              <w:footnoteReference w:id="9"/>
            </w:r>
          </w:p>
          <w:p w:rsidR="00322F45" w:rsidRPr="0005054E" w:rsidRDefault="00322F45" w:rsidP="00322F45">
            <w:pPr>
              <w:suppressLineNumbers/>
              <w:rPr>
                <w:sz w:val="26"/>
                <w:szCs w:val="26"/>
              </w:rPr>
            </w:pPr>
            <w:r w:rsidRPr="0005054E">
              <w:rPr>
                <w:sz w:val="26"/>
                <w:szCs w:val="26"/>
              </w:rPr>
              <w:t>(0.10% of issuance amount)</w:t>
            </w:r>
          </w:p>
          <w:p w:rsidR="00322F45" w:rsidRPr="0005054E" w:rsidRDefault="00322F45" w:rsidP="00322F45">
            <w:pPr>
              <w:suppressLineNumbers/>
              <w:rPr>
                <w:b/>
                <w:sz w:val="26"/>
                <w:szCs w:val="26"/>
                <w:u w:val="single"/>
              </w:rPr>
            </w:pPr>
            <w:r w:rsidRPr="0005054E">
              <w:rPr>
                <w:b/>
                <w:sz w:val="26"/>
                <w:szCs w:val="26"/>
                <w:u w:val="single"/>
              </w:rPr>
              <w:t>OR</w:t>
            </w:r>
          </w:p>
          <w:p w:rsidR="00322F45" w:rsidRPr="0005054E" w:rsidRDefault="00322F45" w:rsidP="00322F45">
            <w:pPr>
              <w:suppressLineNumbers/>
              <w:rPr>
                <w:sz w:val="26"/>
                <w:szCs w:val="26"/>
              </w:rPr>
            </w:pPr>
            <w:r w:rsidRPr="0005054E">
              <w:rPr>
                <w:sz w:val="26"/>
                <w:szCs w:val="26"/>
              </w:rPr>
              <w:t xml:space="preserve">Ongoing Servicer Fee (Third Party as Servicer) </w:t>
            </w:r>
          </w:p>
          <w:p w:rsidR="00322F45" w:rsidRPr="0005054E" w:rsidRDefault="00322F45" w:rsidP="00322F45">
            <w:pPr>
              <w:suppressLineNumbers/>
              <w:rPr>
                <w:sz w:val="26"/>
                <w:szCs w:val="26"/>
              </w:rPr>
            </w:pPr>
            <w:r w:rsidRPr="0005054E">
              <w:rPr>
                <w:sz w:val="26"/>
                <w:szCs w:val="26"/>
              </w:rPr>
              <w:t>(___% of issuance amount)</w:t>
            </w:r>
          </w:p>
        </w:tc>
        <w:tc>
          <w:tcPr>
            <w:tcW w:w="2880" w:type="dxa"/>
            <w:shd w:val="clear" w:color="auto" w:fill="auto"/>
            <w:vAlign w:val="center"/>
          </w:tcPr>
          <w:p w:rsidR="00322F45" w:rsidRPr="0005054E" w:rsidRDefault="00322F45" w:rsidP="00322F45">
            <w:pPr>
              <w:suppressLineNumbers/>
              <w:rPr>
                <w:sz w:val="26"/>
                <w:szCs w:val="26"/>
              </w:rPr>
            </w:pPr>
          </w:p>
        </w:tc>
      </w:tr>
      <w:tr w:rsidR="00322F45" w:rsidRPr="0005054E" w:rsidTr="008669CD">
        <w:trPr>
          <w:trHeight w:val="432"/>
        </w:trPr>
        <w:tc>
          <w:tcPr>
            <w:tcW w:w="6048" w:type="dxa"/>
            <w:shd w:val="clear" w:color="auto" w:fill="auto"/>
            <w:vAlign w:val="center"/>
          </w:tcPr>
          <w:p w:rsidR="00322F45" w:rsidRPr="0005054E" w:rsidRDefault="00322F45" w:rsidP="00322F45">
            <w:pPr>
              <w:suppressLineNumbers/>
              <w:rPr>
                <w:sz w:val="26"/>
                <w:szCs w:val="26"/>
              </w:rPr>
            </w:pPr>
            <w:r w:rsidRPr="0005054E">
              <w:rPr>
                <w:sz w:val="26"/>
                <w:szCs w:val="26"/>
              </w:rPr>
              <w:t>Administration Fees and Expenses</w:t>
            </w:r>
          </w:p>
        </w:tc>
        <w:tc>
          <w:tcPr>
            <w:tcW w:w="2880" w:type="dxa"/>
            <w:shd w:val="clear" w:color="auto" w:fill="auto"/>
            <w:vAlign w:val="center"/>
          </w:tcPr>
          <w:p w:rsidR="00322F45" w:rsidRPr="0005054E" w:rsidRDefault="00322F45" w:rsidP="00322F45">
            <w:pPr>
              <w:suppressLineNumbers/>
              <w:rPr>
                <w:sz w:val="26"/>
                <w:szCs w:val="26"/>
              </w:rPr>
            </w:pPr>
          </w:p>
        </w:tc>
      </w:tr>
      <w:tr w:rsidR="00322F45" w:rsidRPr="0005054E" w:rsidTr="008669CD">
        <w:trPr>
          <w:trHeight w:val="432"/>
        </w:trPr>
        <w:tc>
          <w:tcPr>
            <w:tcW w:w="6048" w:type="dxa"/>
            <w:shd w:val="clear" w:color="auto" w:fill="auto"/>
            <w:vAlign w:val="center"/>
          </w:tcPr>
          <w:p w:rsidR="00322F45" w:rsidRPr="0005054E" w:rsidRDefault="00322F45" w:rsidP="00322F45">
            <w:pPr>
              <w:suppressLineNumbers/>
              <w:rPr>
                <w:sz w:val="26"/>
                <w:szCs w:val="26"/>
              </w:rPr>
            </w:pPr>
            <w:r w:rsidRPr="0005054E">
              <w:rPr>
                <w:sz w:val="26"/>
                <w:szCs w:val="26"/>
              </w:rPr>
              <w:t>Trustee Fees and Expenses</w:t>
            </w:r>
          </w:p>
        </w:tc>
        <w:tc>
          <w:tcPr>
            <w:tcW w:w="2880" w:type="dxa"/>
            <w:shd w:val="clear" w:color="auto" w:fill="auto"/>
            <w:vAlign w:val="center"/>
          </w:tcPr>
          <w:p w:rsidR="00322F45" w:rsidRPr="0005054E" w:rsidRDefault="00322F45" w:rsidP="00322F45">
            <w:pPr>
              <w:suppressLineNumbers/>
              <w:rPr>
                <w:sz w:val="26"/>
                <w:szCs w:val="26"/>
              </w:rPr>
            </w:pPr>
          </w:p>
        </w:tc>
      </w:tr>
      <w:tr w:rsidR="00322F45" w:rsidRPr="0005054E" w:rsidTr="008669CD">
        <w:trPr>
          <w:trHeight w:val="432"/>
        </w:trPr>
        <w:tc>
          <w:tcPr>
            <w:tcW w:w="6048" w:type="dxa"/>
            <w:shd w:val="clear" w:color="auto" w:fill="auto"/>
            <w:vAlign w:val="center"/>
          </w:tcPr>
          <w:p w:rsidR="00322F45" w:rsidRPr="0005054E" w:rsidRDefault="00322F45" w:rsidP="00322F45">
            <w:pPr>
              <w:suppressLineNumbers/>
              <w:rPr>
                <w:sz w:val="26"/>
                <w:szCs w:val="26"/>
              </w:rPr>
            </w:pPr>
            <w:r w:rsidRPr="0005054E">
              <w:rPr>
                <w:sz w:val="26"/>
                <w:szCs w:val="26"/>
              </w:rPr>
              <w:t>Legal Fees</w:t>
            </w:r>
          </w:p>
        </w:tc>
        <w:tc>
          <w:tcPr>
            <w:tcW w:w="2880" w:type="dxa"/>
            <w:shd w:val="clear" w:color="auto" w:fill="auto"/>
            <w:vAlign w:val="center"/>
          </w:tcPr>
          <w:p w:rsidR="00322F45" w:rsidRPr="0005054E" w:rsidRDefault="00322F45" w:rsidP="00322F45">
            <w:pPr>
              <w:suppressLineNumbers/>
              <w:rPr>
                <w:sz w:val="26"/>
                <w:szCs w:val="26"/>
              </w:rPr>
            </w:pPr>
          </w:p>
        </w:tc>
      </w:tr>
      <w:tr w:rsidR="00322F45" w:rsidRPr="0005054E" w:rsidTr="008669CD">
        <w:trPr>
          <w:trHeight w:val="432"/>
        </w:trPr>
        <w:tc>
          <w:tcPr>
            <w:tcW w:w="6048" w:type="dxa"/>
            <w:shd w:val="clear" w:color="auto" w:fill="auto"/>
            <w:vAlign w:val="center"/>
          </w:tcPr>
          <w:p w:rsidR="00322F45" w:rsidRPr="0005054E" w:rsidRDefault="00322F45" w:rsidP="00322F45">
            <w:pPr>
              <w:suppressLineNumbers/>
              <w:rPr>
                <w:sz w:val="26"/>
                <w:szCs w:val="26"/>
              </w:rPr>
            </w:pPr>
            <w:r w:rsidRPr="0005054E">
              <w:rPr>
                <w:sz w:val="26"/>
                <w:szCs w:val="26"/>
              </w:rPr>
              <w:t>Accounting Fees</w:t>
            </w:r>
          </w:p>
        </w:tc>
        <w:tc>
          <w:tcPr>
            <w:tcW w:w="2880" w:type="dxa"/>
            <w:shd w:val="clear" w:color="auto" w:fill="auto"/>
            <w:vAlign w:val="center"/>
          </w:tcPr>
          <w:p w:rsidR="00322F45" w:rsidRPr="0005054E" w:rsidRDefault="00322F45" w:rsidP="00322F45">
            <w:pPr>
              <w:suppressLineNumbers/>
              <w:rPr>
                <w:sz w:val="26"/>
                <w:szCs w:val="26"/>
              </w:rPr>
            </w:pPr>
          </w:p>
        </w:tc>
      </w:tr>
      <w:tr w:rsidR="00322F45" w:rsidRPr="0005054E" w:rsidTr="008669CD">
        <w:trPr>
          <w:trHeight w:val="432"/>
        </w:trPr>
        <w:tc>
          <w:tcPr>
            <w:tcW w:w="6048" w:type="dxa"/>
            <w:shd w:val="clear" w:color="auto" w:fill="auto"/>
            <w:vAlign w:val="center"/>
          </w:tcPr>
          <w:p w:rsidR="00322F45" w:rsidRPr="0005054E" w:rsidRDefault="00322F45" w:rsidP="00322F45">
            <w:pPr>
              <w:suppressLineNumbers/>
              <w:rPr>
                <w:sz w:val="26"/>
                <w:szCs w:val="26"/>
              </w:rPr>
            </w:pPr>
            <w:r w:rsidRPr="0005054E">
              <w:rPr>
                <w:sz w:val="26"/>
                <w:szCs w:val="26"/>
              </w:rPr>
              <w:t>SPE Independent Manager’s Fees</w:t>
            </w:r>
          </w:p>
        </w:tc>
        <w:tc>
          <w:tcPr>
            <w:tcW w:w="2880" w:type="dxa"/>
            <w:shd w:val="clear" w:color="auto" w:fill="auto"/>
            <w:vAlign w:val="center"/>
          </w:tcPr>
          <w:p w:rsidR="00322F45" w:rsidRPr="0005054E" w:rsidRDefault="00322F45" w:rsidP="00322F45">
            <w:pPr>
              <w:suppressLineNumbers/>
              <w:rPr>
                <w:sz w:val="26"/>
                <w:szCs w:val="26"/>
              </w:rPr>
            </w:pPr>
          </w:p>
        </w:tc>
      </w:tr>
      <w:tr w:rsidR="00322F45" w:rsidRPr="0005054E" w:rsidTr="008669CD">
        <w:trPr>
          <w:trHeight w:val="432"/>
        </w:trPr>
        <w:tc>
          <w:tcPr>
            <w:tcW w:w="6048" w:type="dxa"/>
            <w:shd w:val="clear" w:color="auto" w:fill="auto"/>
            <w:vAlign w:val="center"/>
          </w:tcPr>
          <w:p w:rsidR="00322F45" w:rsidRPr="0005054E" w:rsidRDefault="00322F45" w:rsidP="00322F45">
            <w:pPr>
              <w:suppressLineNumbers/>
              <w:rPr>
                <w:sz w:val="26"/>
                <w:szCs w:val="26"/>
              </w:rPr>
            </w:pPr>
            <w:r w:rsidRPr="0005054E">
              <w:rPr>
                <w:sz w:val="26"/>
                <w:szCs w:val="26"/>
              </w:rPr>
              <w:t>Rating Agency Fees</w:t>
            </w:r>
            <w:r>
              <w:rPr>
                <w:rStyle w:val="FootnoteReference"/>
                <w:sz w:val="26"/>
                <w:szCs w:val="26"/>
              </w:rPr>
              <w:footnoteReference w:id="10"/>
            </w:r>
          </w:p>
        </w:tc>
        <w:tc>
          <w:tcPr>
            <w:tcW w:w="2880" w:type="dxa"/>
            <w:shd w:val="clear" w:color="auto" w:fill="auto"/>
            <w:vAlign w:val="center"/>
          </w:tcPr>
          <w:p w:rsidR="00322F45" w:rsidRPr="0005054E" w:rsidRDefault="00322F45" w:rsidP="00322F45">
            <w:pPr>
              <w:suppressLineNumbers/>
              <w:rPr>
                <w:sz w:val="26"/>
                <w:szCs w:val="26"/>
              </w:rPr>
            </w:pPr>
          </w:p>
        </w:tc>
      </w:tr>
      <w:tr w:rsidR="00322F45" w:rsidRPr="0005054E" w:rsidTr="008669CD">
        <w:trPr>
          <w:trHeight w:val="432"/>
        </w:trPr>
        <w:tc>
          <w:tcPr>
            <w:tcW w:w="6048" w:type="dxa"/>
            <w:shd w:val="clear" w:color="auto" w:fill="auto"/>
            <w:vAlign w:val="center"/>
          </w:tcPr>
          <w:p w:rsidR="00322F45" w:rsidRPr="0005054E" w:rsidRDefault="00322F45" w:rsidP="00322F45">
            <w:pPr>
              <w:suppressLineNumbers/>
              <w:rPr>
                <w:sz w:val="26"/>
                <w:szCs w:val="26"/>
              </w:rPr>
            </w:pPr>
            <w:r w:rsidRPr="0005054E">
              <w:rPr>
                <w:sz w:val="26"/>
                <w:szCs w:val="26"/>
              </w:rPr>
              <w:t>Reporting and SEC Filing Fees</w:t>
            </w:r>
          </w:p>
        </w:tc>
        <w:tc>
          <w:tcPr>
            <w:tcW w:w="2880" w:type="dxa"/>
            <w:shd w:val="clear" w:color="auto" w:fill="auto"/>
            <w:vAlign w:val="center"/>
          </w:tcPr>
          <w:p w:rsidR="00322F45" w:rsidRPr="0005054E" w:rsidRDefault="00322F45" w:rsidP="00322F45">
            <w:pPr>
              <w:suppressLineNumbers/>
              <w:rPr>
                <w:sz w:val="26"/>
                <w:szCs w:val="26"/>
              </w:rPr>
            </w:pPr>
          </w:p>
        </w:tc>
      </w:tr>
      <w:tr w:rsidR="00322F45" w:rsidRPr="0005054E" w:rsidTr="008669CD">
        <w:trPr>
          <w:trHeight w:val="432"/>
        </w:trPr>
        <w:tc>
          <w:tcPr>
            <w:tcW w:w="6048" w:type="dxa"/>
            <w:shd w:val="clear" w:color="auto" w:fill="auto"/>
            <w:vAlign w:val="center"/>
          </w:tcPr>
          <w:p w:rsidR="00322F45" w:rsidRPr="0005054E" w:rsidRDefault="00322F45" w:rsidP="00322F45">
            <w:pPr>
              <w:suppressLineNumbers/>
              <w:rPr>
                <w:sz w:val="26"/>
                <w:szCs w:val="26"/>
              </w:rPr>
            </w:pPr>
            <w:r w:rsidRPr="0005054E">
              <w:rPr>
                <w:sz w:val="26"/>
                <w:szCs w:val="26"/>
              </w:rPr>
              <w:t>Miscellaneous</w:t>
            </w:r>
          </w:p>
        </w:tc>
        <w:tc>
          <w:tcPr>
            <w:tcW w:w="2880" w:type="dxa"/>
            <w:shd w:val="clear" w:color="auto" w:fill="auto"/>
            <w:vAlign w:val="center"/>
          </w:tcPr>
          <w:p w:rsidR="00322F45" w:rsidRPr="0005054E" w:rsidRDefault="00322F45" w:rsidP="00322F45">
            <w:pPr>
              <w:suppressLineNumbers/>
              <w:rPr>
                <w:sz w:val="26"/>
                <w:szCs w:val="26"/>
              </w:rPr>
            </w:pPr>
          </w:p>
        </w:tc>
      </w:tr>
      <w:tr w:rsidR="00322F45" w:rsidRPr="0005054E" w:rsidTr="008669CD">
        <w:trPr>
          <w:trHeight w:val="432"/>
        </w:trPr>
        <w:tc>
          <w:tcPr>
            <w:tcW w:w="6048" w:type="dxa"/>
            <w:shd w:val="clear" w:color="auto" w:fill="auto"/>
            <w:vAlign w:val="center"/>
          </w:tcPr>
          <w:p w:rsidR="00322F45" w:rsidRPr="0005054E" w:rsidRDefault="00322F45" w:rsidP="00322F45">
            <w:pPr>
              <w:suppressLineNumbers/>
              <w:rPr>
                <w:sz w:val="26"/>
                <w:szCs w:val="26"/>
              </w:rPr>
            </w:pPr>
            <w:r w:rsidRPr="0005054E">
              <w:rPr>
                <w:sz w:val="26"/>
                <w:szCs w:val="26"/>
              </w:rPr>
              <w:t>Return on Capital Account</w:t>
            </w:r>
            <w:r w:rsidRPr="0005054E">
              <w:rPr>
                <w:rStyle w:val="FootnoteReference"/>
                <w:sz w:val="26"/>
                <w:szCs w:val="26"/>
              </w:rPr>
              <w:footnoteReference w:id="11"/>
            </w:r>
          </w:p>
        </w:tc>
        <w:tc>
          <w:tcPr>
            <w:tcW w:w="2880" w:type="dxa"/>
            <w:shd w:val="clear" w:color="auto" w:fill="auto"/>
            <w:vAlign w:val="center"/>
          </w:tcPr>
          <w:p w:rsidR="00322F45" w:rsidRPr="0005054E" w:rsidRDefault="00322F45" w:rsidP="00322F45">
            <w:pPr>
              <w:suppressLineNumbers/>
              <w:rPr>
                <w:sz w:val="26"/>
                <w:szCs w:val="26"/>
              </w:rPr>
            </w:pPr>
          </w:p>
        </w:tc>
      </w:tr>
      <w:tr w:rsidR="00322F45" w:rsidRPr="0005054E" w:rsidTr="008669CD">
        <w:trPr>
          <w:trHeight w:val="432"/>
        </w:trPr>
        <w:tc>
          <w:tcPr>
            <w:tcW w:w="6048" w:type="dxa"/>
            <w:shd w:val="clear" w:color="auto" w:fill="auto"/>
            <w:vAlign w:val="center"/>
          </w:tcPr>
          <w:p w:rsidR="00322F45" w:rsidRPr="0005054E" w:rsidRDefault="00322F45" w:rsidP="00322F45">
            <w:pPr>
              <w:suppressLineNumbers/>
              <w:rPr>
                <w:sz w:val="26"/>
                <w:szCs w:val="26"/>
              </w:rPr>
            </w:pPr>
            <w:r w:rsidRPr="0005054E">
              <w:rPr>
                <w:sz w:val="26"/>
                <w:szCs w:val="26"/>
              </w:rPr>
              <w:t>Dealers in Intangible Tax</w:t>
            </w:r>
            <w:r>
              <w:rPr>
                <w:rStyle w:val="FootnoteReference"/>
                <w:sz w:val="26"/>
                <w:szCs w:val="26"/>
              </w:rPr>
              <w:footnoteReference w:id="12"/>
            </w:r>
          </w:p>
        </w:tc>
        <w:tc>
          <w:tcPr>
            <w:tcW w:w="2880" w:type="dxa"/>
            <w:shd w:val="clear" w:color="auto" w:fill="auto"/>
            <w:vAlign w:val="center"/>
          </w:tcPr>
          <w:p w:rsidR="00322F45" w:rsidRPr="0005054E" w:rsidRDefault="00322F45" w:rsidP="00322F45">
            <w:pPr>
              <w:suppressLineNumbers/>
              <w:rPr>
                <w:sz w:val="26"/>
                <w:szCs w:val="26"/>
              </w:rPr>
            </w:pPr>
          </w:p>
        </w:tc>
      </w:tr>
      <w:tr w:rsidR="00322F45" w:rsidRPr="0005054E" w:rsidTr="008669CD">
        <w:trPr>
          <w:trHeight w:val="432"/>
        </w:trPr>
        <w:tc>
          <w:tcPr>
            <w:tcW w:w="6048" w:type="dxa"/>
            <w:shd w:val="clear" w:color="auto" w:fill="auto"/>
            <w:vAlign w:val="center"/>
          </w:tcPr>
          <w:p w:rsidR="00322F45" w:rsidRPr="0005054E" w:rsidRDefault="00322F45" w:rsidP="00322F45">
            <w:pPr>
              <w:suppressLineNumbers/>
              <w:rPr>
                <w:b/>
                <w:sz w:val="26"/>
                <w:szCs w:val="26"/>
              </w:rPr>
            </w:pPr>
            <w:r w:rsidRPr="0005054E">
              <w:rPr>
                <w:b/>
                <w:sz w:val="26"/>
                <w:szCs w:val="26"/>
              </w:rPr>
              <w:t>TOTAL ONGOING FINANCING COSTS</w:t>
            </w:r>
          </w:p>
        </w:tc>
        <w:tc>
          <w:tcPr>
            <w:tcW w:w="2880" w:type="dxa"/>
            <w:shd w:val="clear" w:color="auto" w:fill="auto"/>
            <w:vAlign w:val="center"/>
          </w:tcPr>
          <w:p w:rsidR="00322F45" w:rsidRPr="0005054E" w:rsidRDefault="00322F45" w:rsidP="00322F45">
            <w:pPr>
              <w:suppressLineNumbers/>
              <w:rPr>
                <w:sz w:val="26"/>
                <w:szCs w:val="26"/>
              </w:rPr>
            </w:pPr>
          </w:p>
        </w:tc>
      </w:tr>
    </w:tbl>
    <w:p w:rsidR="00322F45" w:rsidRDefault="00322F45" w:rsidP="00322F45">
      <w:pPr>
        <w:suppressLineNumbers/>
        <w:jc w:val="both"/>
        <w:rPr>
          <w:b/>
          <w:sz w:val="26"/>
          <w:szCs w:val="26"/>
          <w:u w:val="single"/>
        </w:rPr>
      </w:pPr>
    </w:p>
    <w:p w:rsidR="008669CD" w:rsidRDefault="008669CD" w:rsidP="00322F45">
      <w:pPr>
        <w:suppressLineNumbers/>
        <w:jc w:val="both"/>
        <w:rPr>
          <w:b/>
          <w:sz w:val="26"/>
          <w:szCs w:val="26"/>
          <w:u w:val="single"/>
        </w:rPr>
      </w:pPr>
    </w:p>
    <w:p w:rsidR="008669CD" w:rsidRPr="0005054E" w:rsidRDefault="008669CD" w:rsidP="00322F45">
      <w:pPr>
        <w:suppressLineNumbers/>
        <w:jc w:val="both"/>
        <w:rPr>
          <w:b/>
          <w:sz w:val="26"/>
          <w:szCs w:val="26"/>
          <w:u w:val="single"/>
        </w:rPr>
      </w:pPr>
    </w:p>
    <w:p w:rsidR="00322F45" w:rsidRPr="0005054E" w:rsidRDefault="00322F45" w:rsidP="00322F45">
      <w:pPr>
        <w:suppressLineNumbers/>
        <w:jc w:val="both"/>
        <w:rPr>
          <w:b/>
          <w:sz w:val="26"/>
          <w:szCs w:val="26"/>
        </w:rPr>
      </w:pPr>
      <w:r w:rsidRPr="0005054E">
        <w:rPr>
          <w:b/>
          <w:sz w:val="26"/>
          <w:szCs w:val="26"/>
        </w:rPr>
        <w:t>Note:  The amounts shown for each category of operating expense on this attach</w:t>
      </w:r>
      <w:r>
        <w:rPr>
          <w:b/>
          <w:sz w:val="26"/>
          <w:szCs w:val="26"/>
        </w:rPr>
        <w:softHyphen/>
      </w:r>
      <w:r w:rsidRPr="0005054E">
        <w:rPr>
          <w:b/>
          <w:sz w:val="26"/>
          <w:szCs w:val="26"/>
        </w:rPr>
        <w:t>ment are the expected expenses for the first year of the transition bonds.  Phase-In Recovery Charges will be adjusted at least semi-annually to reflect any changes on Ongoing Financing Costs through the true-up process described in the financing Order.</w:t>
      </w:r>
    </w:p>
    <w:p w:rsidR="007C4D6B" w:rsidRDefault="007C4D6B" w:rsidP="00322F45">
      <w:pPr>
        <w:pStyle w:val="NoSpacing"/>
        <w:suppressLineNumbers/>
        <w:spacing w:after="240"/>
        <w:jc w:val="center"/>
        <w:rPr>
          <w:rFonts w:ascii="Times New Roman" w:eastAsia="Times New Roman" w:hAnsi="Times New Roman"/>
          <w:b/>
          <w:sz w:val="26"/>
          <w:szCs w:val="26"/>
        </w:rPr>
        <w:sectPr w:rsidR="007C4D6B" w:rsidSect="00533F87">
          <w:headerReference w:type="default" r:id="rId39"/>
          <w:footerReference w:type="default" r:id="rId40"/>
          <w:headerReference w:type="first" r:id="rId41"/>
          <w:footerReference w:type="first" r:id="rId42"/>
          <w:footnotePr>
            <w:numRestart w:val="eachSect"/>
          </w:footnotePr>
          <w:pgSz w:w="12240" w:h="15840" w:code="1"/>
          <w:pgMar w:top="720" w:right="1440" w:bottom="720" w:left="1440" w:header="720" w:footer="720" w:gutter="0"/>
          <w:pgNumType w:start="1"/>
          <w:cols w:space="720"/>
          <w:titlePg/>
          <w:docGrid w:linePitch="360"/>
        </w:sectPr>
      </w:pPr>
    </w:p>
    <w:p w:rsidR="008669CD" w:rsidRDefault="008669CD" w:rsidP="00A71396">
      <w:pPr>
        <w:pStyle w:val="NoSpacing"/>
        <w:suppressLineNumbers/>
        <w:spacing w:after="240"/>
        <w:jc w:val="center"/>
        <w:rPr>
          <w:rFonts w:ascii="Times New Roman" w:hAnsi="Times New Roman"/>
          <w:b/>
          <w:sz w:val="26"/>
          <w:szCs w:val="26"/>
          <w:u w:val="single"/>
        </w:rPr>
      </w:pPr>
      <w:r>
        <w:rPr>
          <w:rFonts w:ascii="Times New Roman" w:hAnsi="Times New Roman"/>
          <w:b/>
          <w:sz w:val="26"/>
          <w:szCs w:val="26"/>
          <w:u w:val="single"/>
        </w:rPr>
        <w:lastRenderedPageBreak/>
        <w:t>ATTACHMENT-2</w:t>
      </w:r>
      <w:r>
        <w:rPr>
          <w:rFonts w:ascii="Times New Roman" w:hAnsi="Times New Roman"/>
          <w:b/>
          <w:sz w:val="26"/>
          <w:szCs w:val="26"/>
          <w:u w:val="single"/>
        </w:rPr>
        <w:br/>
        <w:t>SCHEDULE-C</w:t>
      </w:r>
    </w:p>
    <w:p w:rsidR="00322F45" w:rsidRPr="0005054E" w:rsidRDefault="00322F45" w:rsidP="00A71396">
      <w:pPr>
        <w:pStyle w:val="NoSpacing"/>
        <w:suppressLineNumbers/>
        <w:spacing w:after="240"/>
        <w:jc w:val="center"/>
        <w:rPr>
          <w:rFonts w:ascii="Times New Roman" w:hAnsi="Times New Roman"/>
          <w:b/>
          <w:sz w:val="26"/>
          <w:szCs w:val="26"/>
          <w:u w:val="single"/>
        </w:rPr>
      </w:pPr>
      <w:r w:rsidRPr="0005054E">
        <w:rPr>
          <w:rFonts w:ascii="Times New Roman" w:hAnsi="Times New Roman"/>
          <w:b/>
          <w:sz w:val="26"/>
          <w:szCs w:val="26"/>
          <w:u w:val="single"/>
        </w:rPr>
        <w:t>CALCULATION OF PHASE-IN RECOVERY CHARGES</w:t>
      </w:r>
    </w:p>
    <w:p w:rsidR="00322F45" w:rsidRPr="0005054E" w:rsidRDefault="00322F45" w:rsidP="00322F45">
      <w:pPr>
        <w:pStyle w:val="NoSpacing"/>
        <w:suppressLineNumbers/>
        <w:jc w:val="both"/>
        <w:rPr>
          <w:rFonts w:ascii="Times New Roman" w:hAnsi="Times New Roman"/>
          <w:b/>
          <w:sz w:val="26"/>
          <w:szCs w:val="2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1771"/>
        <w:gridCol w:w="1771"/>
        <w:gridCol w:w="1771"/>
        <w:gridCol w:w="1772"/>
      </w:tblGrid>
      <w:tr w:rsidR="00322F45" w:rsidRPr="0005054E" w:rsidTr="00322F45">
        <w:tc>
          <w:tcPr>
            <w:tcW w:w="1771" w:type="dxa"/>
            <w:shd w:val="clear" w:color="auto" w:fill="auto"/>
            <w:vAlign w:val="center"/>
          </w:tcPr>
          <w:p w:rsidR="00322F45" w:rsidRPr="0005054E" w:rsidRDefault="00322F45" w:rsidP="00322F45">
            <w:pPr>
              <w:pStyle w:val="NoSpacing"/>
              <w:suppressLineNumbers/>
              <w:rPr>
                <w:rFonts w:ascii="Times New Roman" w:hAnsi="Times New Roman"/>
                <w:b/>
                <w:sz w:val="26"/>
                <w:szCs w:val="26"/>
              </w:rPr>
            </w:pPr>
          </w:p>
          <w:p w:rsidR="00322F45" w:rsidRPr="0005054E" w:rsidRDefault="00322F45" w:rsidP="00322F45">
            <w:pPr>
              <w:pStyle w:val="NoSpacing"/>
              <w:suppressLineNumbers/>
              <w:rPr>
                <w:rFonts w:ascii="Times New Roman" w:hAnsi="Times New Roman"/>
                <w:b/>
                <w:sz w:val="26"/>
                <w:szCs w:val="26"/>
              </w:rPr>
            </w:pPr>
            <w:r w:rsidRPr="0005054E">
              <w:rPr>
                <w:rFonts w:ascii="Times New Roman" w:hAnsi="Times New Roman"/>
                <w:b/>
                <w:sz w:val="26"/>
                <w:szCs w:val="26"/>
              </w:rPr>
              <w:t>Year</w:t>
            </w:r>
          </w:p>
          <w:p w:rsidR="00322F45" w:rsidRPr="0005054E" w:rsidRDefault="00322F45" w:rsidP="00322F45">
            <w:pPr>
              <w:pStyle w:val="NoSpacing"/>
              <w:suppressLineNumbers/>
              <w:rPr>
                <w:rFonts w:ascii="Times New Roman" w:hAnsi="Times New Roman"/>
                <w:b/>
                <w:sz w:val="26"/>
                <w:szCs w:val="26"/>
                <w:u w:val="single"/>
              </w:rPr>
            </w:pPr>
          </w:p>
          <w:p w:rsidR="00322F45" w:rsidRPr="0005054E" w:rsidRDefault="00322F45" w:rsidP="00322F45">
            <w:pPr>
              <w:pStyle w:val="NoSpacing"/>
              <w:suppressLineNumbers/>
              <w:rPr>
                <w:rFonts w:ascii="Times New Roman" w:hAnsi="Times New Roman"/>
                <w:b/>
                <w:sz w:val="26"/>
                <w:szCs w:val="26"/>
                <w:u w:val="single"/>
              </w:rPr>
            </w:pPr>
          </w:p>
          <w:p w:rsidR="00322F45" w:rsidRPr="0005054E" w:rsidRDefault="00322F45" w:rsidP="00322F45">
            <w:pPr>
              <w:pStyle w:val="NoSpacing"/>
              <w:suppressLineNumbers/>
              <w:rPr>
                <w:rFonts w:ascii="Times New Roman" w:hAnsi="Times New Roman"/>
                <w:b/>
                <w:sz w:val="26"/>
                <w:szCs w:val="26"/>
                <w:u w:val="single"/>
              </w:rPr>
            </w:pPr>
          </w:p>
          <w:p w:rsidR="00322F45" w:rsidRPr="0005054E" w:rsidRDefault="00322F45" w:rsidP="00322F45">
            <w:pPr>
              <w:pStyle w:val="NoSpacing"/>
              <w:suppressLineNumbers/>
              <w:rPr>
                <w:rFonts w:ascii="Times New Roman" w:hAnsi="Times New Roman"/>
                <w:b/>
                <w:sz w:val="26"/>
                <w:szCs w:val="26"/>
              </w:rPr>
            </w:pPr>
          </w:p>
          <w:p w:rsidR="00322F45" w:rsidRPr="0005054E" w:rsidRDefault="00322F45" w:rsidP="00322F45">
            <w:pPr>
              <w:pStyle w:val="NoSpacing"/>
              <w:suppressLineNumbers/>
              <w:rPr>
                <w:rFonts w:ascii="Times New Roman" w:hAnsi="Times New Roman"/>
                <w:b/>
                <w:sz w:val="26"/>
                <w:szCs w:val="26"/>
              </w:rPr>
            </w:pPr>
            <w:r w:rsidRPr="0005054E">
              <w:rPr>
                <w:rFonts w:ascii="Times New Roman" w:hAnsi="Times New Roman"/>
                <w:b/>
                <w:sz w:val="26"/>
                <w:szCs w:val="26"/>
              </w:rPr>
              <w:t>(a)</w:t>
            </w:r>
          </w:p>
        </w:tc>
        <w:tc>
          <w:tcPr>
            <w:tcW w:w="1771" w:type="dxa"/>
            <w:shd w:val="clear" w:color="auto" w:fill="auto"/>
            <w:vAlign w:val="center"/>
          </w:tcPr>
          <w:p w:rsidR="00322F45" w:rsidRPr="0005054E" w:rsidRDefault="00322F45" w:rsidP="00322F45">
            <w:pPr>
              <w:pStyle w:val="NoSpacing"/>
              <w:suppressLineNumbers/>
              <w:rPr>
                <w:rFonts w:ascii="Times New Roman" w:hAnsi="Times New Roman"/>
                <w:b/>
                <w:sz w:val="26"/>
                <w:szCs w:val="26"/>
              </w:rPr>
            </w:pPr>
            <w:r w:rsidRPr="0005054E">
              <w:rPr>
                <w:rFonts w:ascii="Times New Roman" w:hAnsi="Times New Roman"/>
                <w:b/>
                <w:sz w:val="26"/>
                <w:szCs w:val="26"/>
              </w:rPr>
              <w:t>Transition Bond</w:t>
            </w:r>
          </w:p>
          <w:p w:rsidR="00322F45" w:rsidRPr="0005054E" w:rsidRDefault="00322F45" w:rsidP="00322F45">
            <w:pPr>
              <w:pStyle w:val="NoSpacing"/>
              <w:suppressLineNumbers/>
              <w:rPr>
                <w:rFonts w:ascii="Times New Roman" w:hAnsi="Times New Roman"/>
                <w:b/>
                <w:sz w:val="26"/>
                <w:szCs w:val="26"/>
                <w:vertAlign w:val="superscript"/>
              </w:rPr>
            </w:pPr>
            <w:r w:rsidRPr="0005054E">
              <w:rPr>
                <w:rFonts w:ascii="Times New Roman" w:hAnsi="Times New Roman"/>
                <w:b/>
                <w:sz w:val="26"/>
                <w:szCs w:val="26"/>
              </w:rPr>
              <w:t>Payments</w:t>
            </w:r>
            <w:r>
              <w:rPr>
                <w:rStyle w:val="FootnoteReference"/>
                <w:rFonts w:ascii="Times New Roman" w:hAnsi="Times New Roman"/>
                <w:b/>
                <w:sz w:val="26"/>
                <w:szCs w:val="26"/>
              </w:rPr>
              <w:footnoteReference w:id="13"/>
            </w:r>
          </w:p>
          <w:p w:rsidR="00322F45" w:rsidRPr="0005054E" w:rsidRDefault="00322F45" w:rsidP="00322F45">
            <w:pPr>
              <w:pStyle w:val="NoSpacing"/>
              <w:suppressLineNumbers/>
              <w:rPr>
                <w:rFonts w:ascii="Times New Roman" w:hAnsi="Times New Roman"/>
                <w:b/>
                <w:sz w:val="26"/>
                <w:szCs w:val="26"/>
                <w:vertAlign w:val="superscript"/>
              </w:rPr>
            </w:pPr>
          </w:p>
          <w:p w:rsidR="00322F45" w:rsidRPr="0005054E" w:rsidRDefault="00322F45" w:rsidP="00322F45">
            <w:pPr>
              <w:pStyle w:val="NoSpacing"/>
              <w:suppressLineNumbers/>
              <w:rPr>
                <w:rFonts w:ascii="Times New Roman" w:hAnsi="Times New Roman"/>
                <w:b/>
                <w:sz w:val="26"/>
                <w:szCs w:val="26"/>
                <w:vertAlign w:val="superscript"/>
              </w:rPr>
            </w:pPr>
          </w:p>
          <w:p w:rsidR="00322F45" w:rsidRPr="0005054E" w:rsidRDefault="00322F45" w:rsidP="00322F45">
            <w:pPr>
              <w:pStyle w:val="NoSpacing"/>
              <w:suppressLineNumbers/>
              <w:rPr>
                <w:rFonts w:ascii="Times New Roman" w:hAnsi="Times New Roman"/>
                <w:b/>
                <w:sz w:val="26"/>
                <w:szCs w:val="26"/>
              </w:rPr>
            </w:pPr>
          </w:p>
          <w:p w:rsidR="00322F45" w:rsidRPr="0005054E" w:rsidRDefault="00322F45" w:rsidP="00322F45">
            <w:pPr>
              <w:pStyle w:val="NoSpacing"/>
              <w:suppressLineNumbers/>
              <w:rPr>
                <w:rFonts w:ascii="Times New Roman" w:hAnsi="Times New Roman"/>
                <w:b/>
                <w:sz w:val="26"/>
                <w:szCs w:val="26"/>
                <w:u w:val="single"/>
              </w:rPr>
            </w:pPr>
            <w:r w:rsidRPr="0005054E">
              <w:rPr>
                <w:rFonts w:ascii="Times New Roman" w:hAnsi="Times New Roman"/>
                <w:b/>
                <w:sz w:val="26"/>
                <w:szCs w:val="26"/>
              </w:rPr>
              <w:t>(b)</w:t>
            </w:r>
          </w:p>
        </w:tc>
        <w:tc>
          <w:tcPr>
            <w:tcW w:w="1771" w:type="dxa"/>
            <w:shd w:val="clear" w:color="auto" w:fill="auto"/>
            <w:vAlign w:val="center"/>
          </w:tcPr>
          <w:p w:rsidR="00322F45" w:rsidRPr="0005054E" w:rsidRDefault="00322F45" w:rsidP="00322F45">
            <w:pPr>
              <w:pStyle w:val="NoSpacing"/>
              <w:suppressLineNumbers/>
              <w:rPr>
                <w:rFonts w:ascii="Times New Roman" w:hAnsi="Times New Roman"/>
                <w:b/>
                <w:sz w:val="26"/>
                <w:szCs w:val="26"/>
              </w:rPr>
            </w:pPr>
            <w:r w:rsidRPr="0005054E">
              <w:rPr>
                <w:rFonts w:ascii="Times New Roman" w:hAnsi="Times New Roman"/>
                <w:b/>
                <w:sz w:val="26"/>
                <w:szCs w:val="26"/>
              </w:rPr>
              <w:t>Ongoing</w:t>
            </w:r>
          </w:p>
          <w:p w:rsidR="00322F45" w:rsidRPr="0005054E" w:rsidRDefault="00322F45" w:rsidP="00322F45">
            <w:pPr>
              <w:pStyle w:val="NoSpacing"/>
              <w:suppressLineNumbers/>
              <w:rPr>
                <w:rFonts w:ascii="Times New Roman" w:hAnsi="Times New Roman"/>
                <w:b/>
                <w:sz w:val="26"/>
                <w:szCs w:val="26"/>
                <w:vertAlign w:val="superscript"/>
              </w:rPr>
            </w:pPr>
            <w:r w:rsidRPr="0005054E">
              <w:rPr>
                <w:rFonts w:ascii="Times New Roman" w:hAnsi="Times New Roman"/>
                <w:b/>
                <w:sz w:val="26"/>
                <w:szCs w:val="26"/>
              </w:rPr>
              <w:t>Costs</w:t>
            </w:r>
            <w:r>
              <w:rPr>
                <w:rStyle w:val="FootnoteReference"/>
                <w:rFonts w:ascii="Times New Roman" w:hAnsi="Times New Roman"/>
                <w:b/>
                <w:sz w:val="26"/>
                <w:szCs w:val="26"/>
              </w:rPr>
              <w:footnoteReference w:id="14"/>
            </w:r>
          </w:p>
          <w:p w:rsidR="00322F45" w:rsidRPr="0005054E" w:rsidRDefault="00322F45" w:rsidP="00322F45">
            <w:pPr>
              <w:pStyle w:val="NoSpacing"/>
              <w:suppressLineNumbers/>
              <w:rPr>
                <w:rFonts w:ascii="Times New Roman" w:hAnsi="Times New Roman"/>
                <w:b/>
                <w:sz w:val="26"/>
                <w:szCs w:val="26"/>
              </w:rPr>
            </w:pPr>
          </w:p>
          <w:p w:rsidR="00322F45" w:rsidRPr="0005054E" w:rsidRDefault="00322F45" w:rsidP="00322F45">
            <w:pPr>
              <w:pStyle w:val="NoSpacing"/>
              <w:suppressLineNumbers/>
              <w:rPr>
                <w:rFonts w:ascii="Times New Roman" w:hAnsi="Times New Roman"/>
                <w:b/>
                <w:sz w:val="26"/>
                <w:szCs w:val="26"/>
              </w:rPr>
            </w:pPr>
          </w:p>
          <w:p w:rsidR="00322F45" w:rsidRPr="0005054E" w:rsidRDefault="00322F45" w:rsidP="00322F45">
            <w:pPr>
              <w:pStyle w:val="NoSpacing"/>
              <w:suppressLineNumbers/>
              <w:rPr>
                <w:rFonts w:ascii="Times New Roman" w:hAnsi="Times New Roman"/>
                <w:b/>
                <w:sz w:val="26"/>
                <w:szCs w:val="26"/>
              </w:rPr>
            </w:pPr>
          </w:p>
          <w:p w:rsidR="00322F45" w:rsidRPr="0005054E" w:rsidRDefault="00322F45" w:rsidP="00322F45">
            <w:pPr>
              <w:pStyle w:val="NoSpacing"/>
              <w:suppressLineNumbers/>
              <w:rPr>
                <w:rFonts w:ascii="Times New Roman" w:hAnsi="Times New Roman"/>
                <w:b/>
                <w:sz w:val="26"/>
                <w:szCs w:val="26"/>
              </w:rPr>
            </w:pPr>
          </w:p>
          <w:p w:rsidR="00322F45" w:rsidRPr="0005054E" w:rsidRDefault="00322F45" w:rsidP="00322F45">
            <w:pPr>
              <w:pStyle w:val="NoSpacing"/>
              <w:suppressLineNumbers/>
              <w:rPr>
                <w:rFonts w:ascii="Times New Roman" w:hAnsi="Times New Roman"/>
                <w:b/>
                <w:sz w:val="26"/>
                <w:szCs w:val="26"/>
                <w:u w:val="single"/>
              </w:rPr>
            </w:pPr>
            <w:r w:rsidRPr="0005054E">
              <w:rPr>
                <w:rFonts w:ascii="Times New Roman" w:hAnsi="Times New Roman"/>
                <w:b/>
                <w:sz w:val="26"/>
                <w:szCs w:val="26"/>
              </w:rPr>
              <w:t>(c)</w:t>
            </w:r>
          </w:p>
        </w:tc>
        <w:tc>
          <w:tcPr>
            <w:tcW w:w="1771" w:type="dxa"/>
            <w:shd w:val="clear" w:color="auto" w:fill="auto"/>
            <w:vAlign w:val="center"/>
          </w:tcPr>
          <w:p w:rsidR="00322F45" w:rsidRPr="0005054E" w:rsidRDefault="00322F45" w:rsidP="00322F45">
            <w:pPr>
              <w:pStyle w:val="NoSpacing"/>
              <w:suppressLineNumbers/>
              <w:rPr>
                <w:rFonts w:ascii="Times New Roman" w:hAnsi="Times New Roman"/>
                <w:b/>
                <w:sz w:val="26"/>
                <w:szCs w:val="26"/>
              </w:rPr>
            </w:pPr>
            <w:r w:rsidRPr="0005054E">
              <w:rPr>
                <w:rFonts w:ascii="Times New Roman" w:hAnsi="Times New Roman"/>
                <w:b/>
                <w:sz w:val="26"/>
                <w:szCs w:val="26"/>
              </w:rPr>
              <w:t>Total nominal Phase-In Recovery Charge</w:t>
            </w:r>
          </w:p>
          <w:p w:rsidR="00322F45" w:rsidRPr="0005054E" w:rsidRDefault="00322F45" w:rsidP="00322F45">
            <w:pPr>
              <w:pStyle w:val="NoSpacing"/>
              <w:suppressLineNumbers/>
              <w:rPr>
                <w:rFonts w:ascii="Times New Roman" w:hAnsi="Times New Roman"/>
                <w:b/>
                <w:sz w:val="26"/>
                <w:szCs w:val="26"/>
                <w:vertAlign w:val="superscript"/>
              </w:rPr>
            </w:pPr>
            <w:r w:rsidRPr="0005054E">
              <w:rPr>
                <w:rFonts w:ascii="Times New Roman" w:hAnsi="Times New Roman"/>
                <w:b/>
                <w:sz w:val="26"/>
                <w:szCs w:val="26"/>
              </w:rPr>
              <w:t>Requirement</w:t>
            </w:r>
            <w:r>
              <w:rPr>
                <w:rStyle w:val="FootnoteReference"/>
                <w:rFonts w:ascii="Times New Roman" w:hAnsi="Times New Roman"/>
                <w:b/>
                <w:sz w:val="26"/>
                <w:szCs w:val="26"/>
              </w:rPr>
              <w:footnoteReference w:id="15"/>
            </w:r>
          </w:p>
          <w:p w:rsidR="00322F45" w:rsidRPr="0005054E" w:rsidRDefault="00322F45" w:rsidP="00322F45">
            <w:pPr>
              <w:pStyle w:val="NoSpacing"/>
              <w:suppressLineNumbers/>
              <w:rPr>
                <w:rFonts w:ascii="Times New Roman" w:hAnsi="Times New Roman"/>
                <w:b/>
                <w:sz w:val="26"/>
                <w:szCs w:val="26"/>
              </w:rPr>
            </w:pPr>
            <w:r w:rsidRPr="0005054E">
              <w:rPr>
                <w:rFonts w:ascii="Times New Roman" w:hAnsi="Times New Roman"/>
                <w:b/>
                <w:sz w:val="26"/>
                <w:szCs w:val="26"/>
              </w:rPr>
              <w:t xml:space="preserve">(b)+(c)  </w:t>
            </w:r>
          </w:p>
          <w:p w:rsidR="00322F45" w:rsidRPr="0005054E" w:rsidRDefault="00322F45" w:rsidP="00322F45">
            <w:pPr>
              <w:pStyle w:val="NoSpacing"/>
              <w:suppressLineNumbers/>
              <w:rPr>
                <w:rFonts w:ascii="Times New Roman" w:hAnsi="Times New Roman"/>
                <w:b/>
                <w:sz w:val="26"/>
                <w:szCs w:val="26"/>
                <w:u w:val="single"/>
              </w:rPr>
            </w:pPr>
            <w:r w:rsidRPr="0005054E">
              <w:rPr>
                <w:rFonts w:ascii="Times New Roman" w:hAnsi="Times New Roman"/>
                <w:b/>
                <w:sz w:val="26"/>
                <w:szCs w:val="26"/>
              </w:rPr>
              <w:t>(d)</w:t>
            </w:r>
          </w:p>
        </w:tc>
        <w:tc>
          <w:tcPr>
            <w:tcW w:w="1772" w:type="dxa"/>
            <w:shd w:val="clear" w:color="auto" w:fill="auto"/>
            <w:vAlign w:val="center"/>
          </w:tcPr>
          <w:p w:rsidR="00322F45" w:rsidRPr="0005054E" w:rsidRDefault="00322F45" w:rsidP="00322F45">
            <w:pPr>
              <w:pStyle w:val="NoSpacing"/>
              <w:suppressLineNumbers/>
              <w:rPr>
                <w:rFonts w:ascii="Times New Roman" w:hAnsi="Times New Roman"/>
                <w:b/>
                <w:sz w:val="26"/>
                <w:szCs w:val="26"/>
              </w:rPr>
            </w:pPr>
            <w:r w:rsidRPr="0005054E">
              <w:rPr>
                <w:rFonts w:ascii="Times New Roman" w:hAnsi="Times New Roman"/>
                <w:b/>
                <w:sz w:val="26"/>
                <w:szCs w:val="26"/>
              </w:rPr>
              <w:t xml:space="preserve">Present Value of </w:t>
            </w:r>
          </w:p>
          <w:p w:rsidR="00322F45" w:rsidRPr="0005054E" w:rsidRDefault="00322F45" w:rsidP="00322F45">
            <w:pPr>
              <w:pStyle w:val="NoSpacing"/>
              <w:suppressLineNumbers/>
              <w:rPr>
                <w:rFonts w:ascii="Times New Roman" w:hAnsi="Times New Roman"/>
                <w:b/>
                <w:sz w:val="26"/>
                <w:szCs w:val="26"/>
                <w:vertAlign w:val="superscript"/>
              </w:rPr>
            </w:pPr>
            <w:r w:rsidRPr="0005054E">
              <w:rPr>
                <w:rFonts w:ascii="Times New Roman" w:hAnsi="Times New Roman"/>
                <w:b/>
                <w:sz w:val="26"/>
                <w:szCs w:val="26"/>
              </w:rPr>
              <w:t>Phase-In Recovery Charges</w:t>
            </w:r>
            <w:r>
              <w:rPr>
                <w:rStyle w:val="FootnoteReference"/>
                <w:rFonts w:ascii="Times New Roman" w:hAnsi="Times New Roman"/>
                <w:b/>
                <w:sz w:val="26"/>
                <w:szCs w:val="26"/>
              </w:rPr>
              <w:footnoteReference w:id="16"/>
            </w:r>
          </w:p>
          <w:p w:rsidR="00322F45" w:rsidRPr="0005054E" w:rsidRDefault="00322F45" w:rsidP="00322F45">
            <w:pPr>
              <w:pStyle w:val="NoSpacing"/>
              <w:suppressLineNumbers/>
              <w:rPr>
                <w:rFonts w:ascii="Times New Roman" w:hAnsi="Times New Roman"/>
                <w:b/>
                <w:sz w:val="26"/>
                <w:szCs w:val="26"/>
              </w:rPr>
            </w:pPr>
          </w:p>
          <w:p w:rsidR="00322F45" w:rsidRPr="0005054E" w:rsidRDefault="00322F45" w:rsidP="00322F45">
            <w:pPr>
              <w:pStyle w:val="NoSpacing"/>
              <w:suppressLineNumbers/>
              <w:rPr>
                <w:rFonts w:ascii="Times New Roman" w:hAnsi="Times New Roman"/>
                <w:b/>
                <w:sz w:val="26"/>
                <w:szCs w:val="26"/>
                <w:u w:val="single"/>
              </w:rPr>
            </w:pPr>
            <w:r w:rsidRPr="0005054E">
              <w:rPr>
                <w:rFonts w:ascii="Times New Roman" w:hAnsi="Times New Roman"/>
                <w:b/>
                <w:sz w:val="26"/>
                <w:szCs w:val="26"/>
              </w:rPr>
              <w:t>(e)</w:t>
            </w:r>
          </w:p>
        </w:tc>
      </w:tr>
      <w:tr w:rsidR="00322F45" w:rsidRPr="0005054E" w:rsidTr="00322F45">
        <w:tc>
          <w:tcPr>
            <w:tcW w:w="1771" w:type="dxa"/>
            <w:shd w:val="clear" w:color="auto" w:fill="auto"/>
            <w:vAlign w:val="center"/>
          </w:tcPr>
          <w:p w:rsidR="00322F45" w:rsidRPr="0005054E" w:rsidRDefault="00322F45" w:rsidP="00322F45">
            <w:pPr>
              <w:pStyle w:val="NoSpacing"/>
              <w:suppressLineNumbers/>
              <w:rPr>
                <w:rFonts w:ascii="Times New Roman" w:hAnsi="Times New Roman"/>
                <w:b/>
                <w:sz w:val="26"/>
                <w:szCs w:val="26"/>
                <w:u w:val="single"/>
              </w:rPr>
            </w:pPr>
          </w:p>
        </w:tc>
        <w:tc>
          <w:tcPr>
            <w:tcW w:w="1771" w:type="dxa"/>
            <w:shd w:val="clear" w:color="auto" w:fill="auto"/>
            <w:vAlign w:val="center"/>
          </w:tcPr>
          <w:p w:rsidR="00322F45" w:rsidRPr="0005054E" w:rsidRDefault="00322F45" w:rsidP="00322F45">
            <w:pPr>
              <w:pStyle w:val="NoSpacing"/>
              <w:suppressLineNumbers/>
              <w:rPr>
                <w:rFonts w:ascii="Times New Roman" w:hAnsi="Times New Roman"/>
                <w:b/>
                <w:sz w:val="26"/>
                <w:szCs w:val="26"/>
                <w:u w:val="single"/>
              </w:rPr>
            </w:pPr>
          </w:p>
        </w:tc>
        <w:tc>
          <w:tcPr>
            <w:tcW w:w="1771" w:type="dxa"/>
            <w:shd w:val="clear" w:color="auto" w:fill="auto"/>
            <w:vAlign w:val="center"/>
          </w:tcPr>
          <w:p w:rsidR="00322F45" w:rsidRPr="0005054E" w:rsidRDefault="00322F45" w:rsidP="00322F45">
            <w:pPr>
              <w:pStyle w:val="NoSpacing"/>
              <w:suppressLineNumbers/>
              <w:rPr>
                <w:rFonts w:ascii="Times New Roman" w:hAnsi="Times New Roman"/>
                <w:b/>
                <w:sz w:val="26"/>
                <w:szCs w:val="26"/>
                <w:u w:val="single"/>
              </w:rPr>
            </w:pPr>
          </w:p>
        </w:tc>
        <w:tc>
          <w:tcPr>
            <w:tcW w:w="1771" w:type="dxa"/>
            <w:shd w:val="clear" w:color="auto" w:fill="auto"/>
            <w:vAlign w:val="center"/>
          </w:tcPr>
          <w:p w:rsidR="00322F45" w:rsidRPr="0005054E" w:rsidRDefault="00322F45" w:rsidP="00322F45">
            <w:pPr>
              <w:pStyle w:val="NoSpacing"/>
              <w:suppressLineNumbers/>
              <w:rPr>
                <w:rFonts w:ascii="Times New Roman" w:hAnsi="Times New Roman"/>
                <w:b/>
                <w:sz w:val="26"/>
                <w:szCs w:val="26"/>
                <w:u w:val="single"/>
              </w:rPr>
            </w:pPr>
          </w:p>
        </w:tc>
        <w:tc>
          <w:tcPr>
            <w:tcW w:w="1772" w:type="dxa"/>
            <w:shd w:val="clear" w:color="auto" w:fill="auto"/>
            <w:vAlign w:val="center"/>
          </w:tcPr>
          <w:p w:rsidR="00322F45" w:rsidRPr="0005054E" w:rsidRDefault="00322F45" w:rsidP="00322F45">
            <w:pPr>
              <w:pStyle w:val="NoSpacing"/>
              <w:suppressLineNumbers/>
              <w:rPr>
                <w:rFonts w:ascii="Times New Roman" w:hAnsi="Times New Roman"/>
                <w:b/>
                <w:sz w:val="26"/>
                <w:szCs w:val="26"/>
                <w:u w:val="single"/>
              </w:rPr>
            </w:pPr>
          </w:p>
        </w:tc>
      </w:tr>
      <w:tr w:rsidR="00322F45" w:rsidRPr="0005054E" w:rsidTr="00322F45">
        <w:tc>
          <w:tcPr>
            <w:tcW w:w="1771" w:type="dxa"/>
            <w:shd w:val="clear" w:color="auto" w:fill="auto"/>
            <w:vAlign w:val="center"/>
          </w:tcPr>
          <w:p w:rsidR="00322F45" w:rsidRPr="0005054E" w:rsidRDefault="00322F45" w:rsidP="00322F45">
            <w:pPr>
              <w:pStyle w:val="NoSpacing"/>
              <w:suppressLineNumbers/>
              <w:rPr>
                <w:rFonts w:ascii="Times New Roman" w:hAnsi="Times New Roman"/>
                <w:b/>
                <w:sz w:val="26"/>
                <w:szCs w:val="26"/>
                <w:u w:val="single"/>
              </w:rPr>
            </w:pPr>
          </w:p>
        </w:tc>
        <w:tc>
          <w:tcPr>
            <w:tcW w:w="1771" w:type="dxa"/>
            <w:shd w:val="clear" w:color="auto" w:fill="auto"/>
            <w:vAlign w:val="center"/>
          </w:tcPr>
          <w:p w:rsidR="00322F45" w:rsidRPr="0005054E" w:rsidRDefault="00322F45" w:rsidP="00322F45">
            <w:pPr>
              <w:pStyle w:val="NoSpacing"/>
              <w:suppressLineNumbers/>
              <w:rPr>
                <w:rFonts w:ascii="Times New Roman" w:hAnsi="Times New Roman"/>
                <w:b/>
                <w:sz w:val="26"/>
                <w:szCs w:val="26"/>
                <w:u w:val="single"/>
              </w:rPr>
            </w:pPr>
          </w:p>
        </w:tc>
        <w:tc>
          <w:tcPr>
            <w:tcW w:w="1771" w:type="dxa"/>
            <w:shd w:val="clear" w:color="auto" w:fill="auto"/>
            <w:vAlign w:val="center"/>
          </w:tcPr>
          <w:p w:rsidR="00322F45" w:rsidRPr="0005054E" w:rsidRDefault="00322F45" w:rsidP="00322F45">
            <w:pPr>
              <w:pStyle w:val="NoSpacing"/>
              <w:suppressLineNumbers/>
              <w:rPr>
                <w:rFonts w:ascii="Times New Roman" w:hAnsi="Times New Roman"/>
                <w:b/>
                <w:sz w:val="26"/>
                <w:szCs w:val="26"/>
                <w:u w:val="single"/>
              </w:rPr>
            </w:pPr>
          </w:p>
        </w:tc>
        <w:tc>
          <w:tcPr>
            <w:tcW w:w="1771" w:type="dxa"/>
            <w:shd w:val="clear" w:color="auto" w:fill="auto"/>
            <w:vAlign w:val="center"/>
          </w:tcPr>
          <w:p w:rsidR="00322F45" w:rsidRPr="0005054E" w:rsidRDefault="00322F45" w:rsidP="00322F45">
            <w:pPr>
              <w:pStyle w:val="NoSpacing"/>
              <w:suppressLineNumbers/>
              <w:rPr>
                <w:rFonts w:ascii="Times New Roman" w:hAnsi="Times New Roman"/>
                <w:b/>
                <w:sz w:val="26"/>
                <w:szCs w:val="26"/>
                <w:u w:val="single"/>
              </w:rPr>
            </w:pPr>
          </w:p>
        </w:tc>
        <w:tc>
          <w:tcPr>
            <w:tcW w:w="1772" w:type="dxa"/>
            <w:shd w:val="clear" w:color="auto" w:fill="auto"/>
            <w:vAlign w:val="center"/>
          </w:tcPr>
          <w:p w:rsidR="00322F45" w:rsidRPr="0005054E" w:rsidRDefault="00322F45" w:rsidP="00322F45">
            <w:pPr>
              <w:pStyle w:val="NoSpacing"/>
              <w:suppressLineNumbers/>
              <w:rPr>
                <w:rFonts w:ascii="Times New Roman" w:hAnsi="Times New Roman"/>
                <w:b/>
                <w:sz w:val="26"/>
                <w:szCs w:val="26"/>
                <w:u w:val="single"/>
              </w:rPr>
            </w:pPr>
          </w:p>
        </w:tc>
      </w:tr>
      <w:tr w:rsidR="00322F45" w:rsidRPr="0005054E" w:rsidTr="00322F45">
        <w:tc>
          <w:tcPr>
            <w:tcW w:w="1771" w:type="dxa"/>
            <w:shd w:val="clear" w:color="auto" w:fill="auto"/>
            <w:vAlign w:val="center"/>
          </w:tcPr>
          <w:p w:rsidR="00322F45" w:rsidRPr="0005054E" w:rsidRDefault="00322F45" w:rsidP="00322F45">
            <w:pPr>
              <w:pStyle w:val="NoSpacing"/>
              <w:suppressLineNumbers/>
              <w:rPr>
                <w:rFonts w:ascii="Times New Roman" w:hAnsi="Times New Roman"/>
                <w:b/>
                <w:sz w:val="26"/>
                <w:szCs w:val="26"/>
                <w:u w:val="single"/>
              </w:rPr>
            </w:pPr>
          </w:p>
        </w:tc>
        <w:tc>
          <w:tcPr>
            <w:tcW w:w="1771" w:type="dxa"/>
            <w:shd w:val="clear" w:color="auto" w:fill="auto"/>
            <w:vAlign w:val="center"/>
          </w:tcPr>
          <w:p w:rsidR="00322F45" w:rsidRPr="0005054E" w:rsidRDefault="00322F45" w:rsidP="00322F45">
            <w:pPr>
              <w:pStyle w:val="NoSpacing"/>
              <w:suppressLineNumbers/>
              <w:rPr>
                <w:rFonts w:ascii="Times New Roman" w:hAnsi="Times New Roman"/>
                <w:b/>
                <w:sz w:val="26"/>
                <w:szCs w:val="26"/>
                <w:u w:val="single"/>
              </w:rPr>
            </w:pPr>
          </w:p>
        </w:tc>
        <w:tc>
          <w:tcPr>
            <w:tcW w:w="1771" w:type="dxa"/>
            <w:shd w:val="clear" w:color="auto" w:fill="auto"/>
            <w:vAlign w:val="center"/>
          </w:tcPr>
          <w:p w:rsidR="00322F45" w:rsidRPr="0005054E" w:rsidRDefault="00322F45" w:rsidP="00322F45">
            <w:pPr>
              <w:pStyle w:val="NoSpacing"/>
              <w:suppressLineNumbers/>
              <w:rPr>
                <w:rFonts w:ascii="Times New Roman" w:hAnsi="Times New Roman"/>
                <w:b/>
                <w:sz w:val="26"/>
                <w:szCs w:val="26"/>
                <w:u w:val="single"/>
              </w:rPr>
            </w:pPr>
          </w:p>
        </w:tc>
        <w:tc>
          <w:tcPr>
            <w:tcW w:w="1771" w:type="dxa"/>
            <w:shd w:val="clear" w:color="auto" w:fill="auto"/>
            <w:vAlign w:val="center"/>
          </w:tcPr>
          <w:p w:rsidR="00322F45" w:rsidRPr="0005054E" w:rsidRDefault="00322F45" w:rsidP="00322F45">
            <w:pPr>
              <w:pStyle w:val="NoSpacing"/>
              <w:suppressLineNumbers/>
              <w:rPr>
                <w:rFonts w:ascii="Times New Roman" w:hAnsi="Times New Roman"/>
                <w:b/>
                <w:sz w:val="26"/>
                <w:szCs w:val="26"/>
                <w:u w:val="single"/>
              </w:rPr>
            </w:pPr>
          </w:p>
        </w:tc>
        <w:tc>
          <w:tcPr>
            <w:tcW w:w="1772" w:type="dxa"/>
            <w:shd w:val="clear" w:color="auto" w:fill="auto"/>
            <w:vAlign w:val="center"/>
          </w:tcPr>
          <w:p w:rsidR="00322F45" w:rsidRPr="0005054E" w:rsidRDefault="00322F45" w:rsidP="00322F45">
            <w:pPr>
              <w:pStyle w:val="NoSpacing"/>
              <w:suppressLineNumbers/>
              <w:rPr>
                <w:rFonts w:ascii="Times New Roman" w:hAnsi="Times New Roman"/>
                <w:b/>
                <w:sz w:val="26"/>
                <w:szCs w:val="26"/>
                <w:u w:val="single"/>
              </w:rPr>
            </w:pPr>
          </w:p>
        </w:tc>
      </w:tr>
      <w:tr w:rsidR="00322F45" w:rsidRPr="0005054E" w:rsidTr="00322F45">
        <w:tc>
          <w:tcPr>
            <w:tcW w:w="1771" w:type="dxa"/>
            <w:shd w:val="clear" w:color="auto" w:fill="auto"/>
            <w:vAlign w:val="center"/>
          </w:tcPr>
          <w:p w:rsidR="00322F45" w:rsidRPr="0005054E" w:rsidRDefault="00322F45" w:rsidP="00322F45">
            <w:pPr>
              <w:pStyle w:val="NoSpacing"/>
              <w:suppressLineNumbers/>
              <w:rPr>
                <w:rFonts w:ascii="Times New Roman" w:hAnsi="Times New Roman"/>
                <w:b/>
                <w:sz w:val="26"/>
                <w:szCs w:val="26"/>
                <w:u w:val="single"/>
              </w:rPr>
            </w:pPr>
          </w:p>
        </w:tc>
        <w:tc>
          <w:tcPr>
            <w:tcW w:w="1771" w:type="dxa"/>
            <w:shd w:val="clear" w:color="auto" w:fill="auto"/>
            <w:vAlign w:val="center"/>
          </w:tcPr>
          <w:p w:rsidR="00322F45" w:rsidRPr="0005054E" w:rsidRDefault="00322F45" w:rsidP="00322F45">
            <w:pPr>
              <w:pStyle w:val="NoSpacing"/>
              <w:suppressLineNumbers/>
              <w:rPr>
                <w:rFonts w:ascii="Times New Roman" w:hAnsi="Times New Roman"/>
                <w:b/>
                <w:sz w:val="26"/>
                <w:szCs w:val="26"/>
                <w:u w:val="single"/>
              </w:rPr>
            </w:pPr>
          </w:p>
        </w:tc>
        <w:tc>
          <w:tcPr>
            <w:tcW w:w="1771" w:type="dxa"/>
            <w:shd w:val="clear" w:color="auto" w:fill="auto"/>
            <w:vAlign w:val="center"/>
          </w:tcPr>
          <w:p w:rsidR="00322F45" w:rsidRPr="0005054E" w:rsidRDefault="00322F45" w:rsidP="00322F45">
            <w:pPr>
              <w:pStyle w:val="NoSpacing"/>
              <w:suppressLineNumbers/>
              <w:rPr>
                <w:rFonts w:ascii="Times New Roman" w:hAnsi="Times New Roman"/>
                <w:b/>
                <w:sz w:val="26"/>
                <w:szCs w:val="26"/>
                <w:u w:val="single"/>
              </w:rPr>
            </w:pPr>
          </w:p>
        </w:tc>
        <w:tc>
          <w:tcPr>
            <w:tcW w:w="1771" w:type="dxa"/>
            <w:shd w:val="clear" w:color="auto" w:fill="auto"/>
            <w:vAlign w:val="center"/>
          </w:tcPr>
          <w:p w:rsidR="00322F45" w:rsidRPr="0005054E" w:rsidRDefault="00322F45" w:rsidP="00322F45">
            <w:pPr>
              <w:pStyle w:val="NoSpacing"/>
              <w:suppressLineNumbers/>
              <w:rPr>
                <w:rFonts w:ascii="Times New Roman" w:hAnsi="Times New Roman"/>
                <w:b/>
                <w:sz w:val="26"/>
                <w:szCs w:val="26"/>
                <w:u w:val="single"/>
              </w:rPr>
            </w:pPr>
          </w:p>
        </w:tc>
        <w:tc>
          <w:tcPr>
            <w:tcW w:w="1772" w:type="dxa"/>
            <w:shd w:val="clear" w:color="auto" w:fill="auto"/>
            <w:vAlign w:val="center"/>
          </w:tcPr>
          <w:p w:rsidR="00322F45" w:rsidRPr="0005054E" w:rsidRDefault="00322F45" w:rsidP="00322F45">
            <w:pPr>
              <w:pStyle w:val="NoSpacing"/>
              <w:suppressLineNumbers/>
              <w:rPr>
                <w:rFonts w:ascii="Times New Roman" w:hAnsi="Times New Roman"/>
                <w:b/>
                <w:sz w:val="26"/>
                <w:szCs w:val="26"/>
                <w:u w:val="single"/>
              </w:rPr>
            </w:pPr>
          </w:p>
        </w:tc>
      </w:tr>
      <w:tr w:rsidR="00322F45" w:rsidRPr="0005054E" w:rsidTr="00322F45">
        <w:tc>
          <w:tcPr>
            <w:tcW w:w="1771" w:type="dxa"/>
            <w:shd w:val="clear" w:color="auto" w:fill="auto"/>
            <w:vAlign w:val="center"/>
          </w:tcPr>
          <w:p w:rsidR="00322F45" w:rsidRPr="0005054E" w:rsidRDefault="00322F45" w:rsidP="00322F45">
            <w:pPr>
              <w:pStyle w:val="NoSpacing"/>
              <w:suppressLineNumbers/>
              <w:rPr>
                <w:rFonts w:ascii="Times New Roman" w:hAnsi="Times New Roman"/>
                <w:b/>
                <w:sz w:val="26"/>
                <w:szCs w:val="26"/>
                <w:u w:val="single"/>
              </w:rPr>
            </w:pPr>
          </w:p>
        </w:tc>
        <w:tc>
          <w:tcPr>
            <w:tcW w:w="1771" w:type="dxa"/>
            <w:shd w:val="clear" w:color="auto" w:fill="auto"/>
            <w:vAlign w:val="center"/>
          </w:tcPr>
          <w:p w:rsidR="00322F45" w:rsidRPr="0005054E" w:rsidRDefault="00322F45" w:rsidP="00322F45">
            <w:pPr>
              <w:pStyle w:val="NoSpacing"/>
              <w:suppressLineNumbers/>
              <w:rPr>
                <w:rFonts w:ascii="Times New Roman" w:hAnsi="Times New Roman"/>
                <w:b/>
                <w:sz w:val="26"/>
                <w:szCs w:val="26"/>
                <w:u w:val="single"/>
              </w:rPr>
            </w:pPr>
          </w:p>
        </w:tc>
        <w:tc>
          <w:tcPr>
            <w:tcW w:w="1771" w:type="dxa"/>
            <w:shd w:val="clear" w:color="auto" w:fill="auto"/>
            <w:vAlign w:val="center"/>
          </w:tcPr>
          <w:p w:rsidR="00322F45" w:rsidRPr="0005054E" w:rsidRDefault="00322F45" w:rsidP="00322F45">
            <w:pPr>
              <w:pStyle w:val="NoSpacing"/>
              <w:suppressLineNumbers/>
              <w:rPr>
                <w:rFonts w:ascii="Times New Roman" w:hAnsi="Times New Roman"/>
                <w:b/>
                <w:sz w:val="26"/>
                <w:szCs w:val="26"/>
                <w:u w:val="single"/>
              </w:rPr>
            </w:pPr>
          </w:p>
        </w:tc>
        <w:tc>
          <w:tcPr>
            <w:tcW w:w="1771" w:type="dxa"/>
            <w:shd w:val="clear" w:color="auto" w:fill="auto"/>
            <w:vAlign w:val="center"/>
          </w:tcPr>
          <w:p w:rsidR="00322F45" w:rsidRPr="0005054E" w:rsidRDefault="00322F45" w:rsidP="00322F45">
            <w:pPr>
              <w:pStyle w:val="NoSpacing"/>
              <w:suppressLineNumbers/>
              <w:rPr>
                <w:rFonts w:ascii="Times New Roman" w:hAnsi="Times New Roman"/>
                <w:b/>
                <w:sz w:val="26"/>
                <w:szCs w:val="26"/>
                <w:u w:val="single"/>
              </w:rPr>
            </w:pPr>
          </w:p>
        </w:tc>
        <w:tc>
          <w:tcPr>
            <w:tcW w:w="1772" w:type="dxa"/>
            <w:shd w:val="clear" w:color="auto" w:fill="auto"/>
            <w:vAlign w:val="center"/>
          </w:tcPr>
          <w:p w:rsidR="00322F45" w:rsidRPr="0005054E" w:rsidRDefault="00322F45" w:rsidP="00322F45">
            <w:pPr>
              <w:pStyle w:val="NoSpacing"/>
              <w:suppressLineNumbers/>
              <w:rPr>
                <w:rFonts w:ascii="Times New Roman" w:hAnsi="Times New Roman"/>
                <w:b/>
                <w:sz w:val="26"/>
                <w:szCs w:val="26"/>
                <w:u w:val="single"/>
              </w:rPr>
            </w:pPr>
          </w:p>
        </w:tc>
      </w:tr>
      <w:tr w:rsidR="00322F45" w:rsidRPr="0005054E" w:rsidTr="00322F45">
        <w:tc>
          <w:tcPr>
            <w:tcW w:w="1771" w:type="dxa"/>
            <w:shd w:val="clear" w:color="auto" w:fill="auto"/>
            <w:vAlign w:val="center"/>
          </w:tcPr>
          <w:p w:rsidR="00322F45" w:rsidRPr="0005054E" w:rsidRDefault="00322F45" w:rsidP="00322F45">
            <w:pPr>
              <w:pStyle w:val="NoSpacing"/>
              <w:suppressLineNumbers/>
              <w:rPr>
                <w:rFonts w:ascii="Times New Roman" w:hAnsi="Times New Roman"/>
                <w:b/>
                <w:sz w:val="26"/>
                <w:szCs w:val="26"/>
                <w:u w:val="single"/>
              </w:rPr>
            </w:pPr>
          </w:p>
        </w:tc>
        <w:tc>
          <w:tcPr>
            <w:tcW w:w="1771" w:type="dxa"/>
            <w:shd w:val="clear" w:color="auto" w:fill="auto"/>
            <w:vAlign w:val="center"/>
          </w:tcPr>
          <w:p w:rsidR="00322F45" w:rsidRPr="0005054E" w:rsidRDefault="00322F45" w:rsidP="00322F45">
            <w:pPr>
              <w:pStyle w:val="NoSpacing"/>
              <w:suppressLineNumbers/>
              <w:rPr>
                <w:rFonts w:ascii="Times New Roman" w:hAnsi="Times New Roman"/>
                <w:b/>
                <w:sz w:val="26"/>
                <w:szCs w:val="26"/>
                <w:u w:val="single"/>
              </w:rPr>
            </w:pPr>
          </w:p>
        </w:tc>
        <w:tc>
          <w:tcPr>
            <w:tcW w:w="1771" w:type="dxa"/>
            <w:shd w:val="clear" w:color="auto" w:fill="auto"/>
            <w:vAlign w:val="center"/>
          </w:tcPr>
          <w:p w:rsidR="00322F45" w:rsidRPr="0005054E" w:rsidRDefault="00322F45" w:rsidP="00322F45">
            <w:pPr>
              <w:pStyle w:val="NoSpacing"/>
              <w:suppressLineNumbers/>
              <w:rPr>
                <w:rFonts w:ascii="Times New Roman" w:hAnsi="Times New Roman"/>
                <w:b/>
                <w:sz w:val="26"/>
                <w:szCs w:val="26"/>
                <w:u w:val="single"/>
              </w:rPr>
            </w:pPr>
          </w:p>
        </w:tc>
        <w:tc>
          <w:tcPr>
            <w:tcW w:w="1771" w:type="dxa"/>
            <w:shd w:val="clear" w:color="auto" w:fill="auto"/>
            <w:vAlign w:val="center"/>
          </w:tcPr>
          <w:p w:rsidR="00322F45" w:rsidRPr="0005054E" w:rsidRDefault="00322F45" w:rsidP="00322F45">
            <w:pPr>
              <w:pStyle w:val="NoSpacing"/>
              <w:suppressLineNumbers/>
              <w:rPr>
                <w:rFonts w:ascii="Times New Roman" w:hAnsi="Times New Roman"/>
                <w:b/>
                <w:sz w:val="26"/>
                <w:szCs w:val="26"/>
                <w:u w:val="single"/>
              </w:rPr>
            </w:pPr>
          </w:p>
        </w:tc>
        <w:tc>
          <w:tcPr>
            <w:tcW w:w="1772" w:type="dxa"/>
            <w:shd w:val="clear" w:color="auto" w:fill="auto"/>
            <w:vAlign w:val="center"/>
          </w:tcPr>
          <w:p w:rsidR="00322F45" w:rsidRPr="0005054E" w:rsidRDefault="00322F45" w:rsidP="00322F45">
            <w:pPr>
              <w:pStyle w:val="NoSpacing"/>
              <w:suppressLineNumbers/>
              <w:rPr>
                <w:rFonts w:ascii="Times New Roman" w:hAnsi="Times New Roman"/>
                <w:b/>
                <w:sz w:val="26"/>
                <w:szCs w:val="26"/>
                <w:u w:val="single"/>
              </w:rPr>
            </w:pPr>
          </w:p>
        </w:tc>
      </w:tr>
      <w:tr w:rsidR="00322F45" w:rsidRPr="0005054E" w:rsidTr="00322F45">
        <w:tc>
          <w:tcPr>
            <w:tcW w:w="1771" w:type="dxa"/>
            <w:shd w:val="clear" w:color="auto" w:fill="auto"/>
            <w:vAlign w:val="center"/>
          </w:tcPr>
          <w:p w:rsidR="00322F45" w:rsidRPr="0005054E" w:rsidRDefault="00322F45" w:rsidP="00322F45">
            <w:pPr>
              <w:pStyle w:val="NoSpacing"/>
              <w:suppressLineNumbers/>
              <w:rPr>
                <w:rFonts w:ascii="Times New Roman" w:hAnsi="Times New Roman"/>
                <w:b/>
                <w:sz w:val="26"/>
                <w:szCs w:val="26"/>
                <w:u w:val="single"/>
              </w:rPr>
            </w:pPr>
          </w:p>
        </w:tc>
        <w:tc>
          <w:tcPr>
            <w:tcW w:w="1771" w:type="dxa"/>
            <w:shd w:val="clear" w:color="auto" w:fill="auto"/>
            <w:vAlign w:val="center"/>
          </w:tcPr>
          <w:p w:rsidR="00322F45" w:rsidRPr="0005054E" w:rsidRDefault="00322F45" w:rsidP="00322F45">
            <w:pPr>
              <w:pStyle w:val="NoSpacing"/>
              <w:suppressLineNumbers/>
              <w:rPr>
                <w:rFonts w:ascii="Times New Roman" w:hAnsi="Times New Roman"/>
                <w:b/>
                <w:sz w:val="26"/>
                <w:szCs w:val="26"/>
                <w:u w:val="single"/>
              </w:rPr>
            </w:pPr>
          </w:p>
        </w:tc>
        <w:tc>
          <w:tcPr>
            <w:tcW w:w="1771" w:type="dxa"/>
            <w:shd w:val="clear" w:color="auto" w:fill="auto"/>
            <w:vAlign w:val="center"/>
          </w:tcPr>
          <w:p w:rsidR="00322F45" w:rsidRPr="0005054E" w:rsidRDefault="00322F45" w:rsidP="00322F45">
            <w:pPr>
              <w:pStyle w:val="NoSpacing"/>
              <w:suppressLineNumbers/>
              <w:rPr>
                <w:rFonts w:ascii="Times New Roman" w:hAnsi="Times New Roman"/>
                <w:b/>
                <w:sz w:val="26"/>
                <w:szCs w:val="26"/>
                <w:u w:val="single"/>
              </w:rPr>
            </w:pPr>
          </w:p>
        </w:tc>
        <w:tc>
          <w:tcPr>
            <w:tcW w:w="1771" w:type="dxa"/>
            <w:shd w:val="clear" w:color="auto" w:fill="auto"/>
            <w:vAlign w:val="center"/>
          </w:tcPr>
          <w:p w:rsidR="00322F45" w:rsidRPr="0005054E" w:rsidRDefault="00322F45" w:rsidP="00322F45">
            <w:pPr>
              <w:pStyle w:val="NoSpacing"/>
              <w:suppressLineNumbers/>
              <w:rPr>
                <w:rFonts w:ascii="Times New Roman" w:hAnsi="Times New Roman"/>
                <w:b/>
                <w:sz w:val="26"/>
                <w:szCs w:val="26"/>
                <w:u w:val="single"/>
              </w:rPr>
            </w:pPr>
          </w:p>
        </w:tc>
        <w:tc>
          <w:tcPr>
            <w:tcW w:w="1772" w:type="dxa"/>
            <w:shd w:val="clear" w:color="auto" w:fill="auto"/>
            <w:vAlign w:val="center"/>
          </w:tcPr>
          <w:p w:rsidR="00322F45" w:rsidRPr="0005054E" w:rsidRDefault="00322F45" w:rsidP="00322F45">
            <w:pPr>
              <w:pStyle w:val="NoSpacing"/>
              <w:suppressLineNumbers/>
              <w:rPr>
                <w:rFonts w:ascii="Times New Roman" w:hAnsi="Times New Roman"/>
                <w:b/>
                <w:sz w:val="26"/>
                <w:szCs w:val="26"/>
                <w:u w:val="single"/>
              </w:rPr>
            </w:pPr>
          </w:p>
        </w:tc>
      </w:tr>
    </w:tbl>
    <w:p w:rsidR="00322F45" w:rsidRPr="0005054E" w:rsidRDefault="00322F45" w:rsidP="00322F45">
      <w:pPr>
        <w:pStyle w:val="NoSpacing"/>
        <w:suppressLineNumbers/>
        <w:jc w:val="both"/>
        <w:rPr>
          <w:rFonts w:ascii="Times New Roman" w:hAnsi="Times New Roman"/>
          <w:b/>
          <w:sz w:val="26"/>
          <w:szCs w:val="26"/>
          <w:u w:val="single"/>
        </w:rPr>
      </w:pPr>
    </w:p>
    <w:p w:rsidR="00322F45" w:rsidRPr="0005054E" w:rsidRDefault="00322F45" w:rsidP="00322F45">
      <w:pPr>
        <w:pStyle w:val="NoSpacing"/>
        <w:suppressLineNumbers/>
        <w:jc w:val="both"/>
        <w:rPr>
          <w:rFonts w:ascii="Times New Roman" w:hAnsi="Times New Roman"/>
          <w:b/>
          <w:sz w:val="26"/>
          <w:szCs w:val="26"/>
          <w:u w:val="single"/>
        </w:rPr>
      </w:pPr>
    </w:p>
    <w:p w:rsidR="00322F45" w:rsidRPr="0005054E" w:rsidRDefault="00322F45" w:rsidP="00322F45">
      <w:pPr>
        <w:pStyle w:val="NoSpacing"/>
        <w:suppressLineNumbers/>
        <w:jc w:val="both"/>
        <w:rPr>
          <w:rFonts w:ascii="Times New Roman" w:hAnsi="Times New Roman"/>
          <w:b/>
          <w:sz w:val="26"/>
          <w:szCs w:val="26"/>
          <w:u w:val="single"/>
        </w:rPr>
      </w:pPr>
    </w:p>
    <w:p w:rsidR="00322F45" w:rsidRPr="0005054E" w:rsidRDefault="00322F45" w:rsidP="00322F45">
      <w:pPr>
        <w:pStyle w:val="NoSpacing"/>
        <w:suppressLineNumbers/>
        <w:jc w:val="both"/>
        <w:rPr>
          <w:rFonts w:ascii="Times New Roman" w:hAnsi="Times New Roman"/>
          <w:b/>
          <w:sz w:val="26"/>
          <w:szCs w:val="26"/>
          <w:u w:val="single"/>
        </w:rPr>
      </w:pPr>
    </w:p>
    <w:p w:rsidR="00322F45" w:rsidRPr="0005054E" w:rsidRDefault="00322F45" w:rsidP="00322F45">
      <w:pPr>
        <w:pStyle w:val="NoSpacing"/>
        <w:suppressLineNumbers/>
        <w:jc w:val="both"/>
        <w:rPr>
          <w:rFonts w:ascii="Times New Roman" w:hAnsi="Times New Roman"/>
          <w:b/>
          <w:sz w:val="26"/>
          <w:szCs w:val="26"/>
          <w:u w:val="single"/>
        </w:rPr>
      </w:pPr>
    </w:p>
    <w:p w:rsidR="00322F45" w:rsidRPr="0005054E" w:rsidRDefault="00322F45" w:rsidP="00322F45">
      <w:pPr>
        <w:pStyle w:val="NoSpacing"/>
        <w:suppressLineNumbers/>
        <w:jc w:val="both"/>
        <w:rPr>
          <w:rFonts w:ascii="Times New Roman" w:hAnsi="Times New Roman"/>
          <w:b/>
          <w:sz w:val="26"/>
          <w:szCs w:val="26"/>
          <w:u w:val="single"/>
        </w:rPr>
      </w:pPr>
    </w:p>
    <w:p w:rsidR="00322F45" w:rsidRPr="0005054E" w:rsidRDefault="00322F45" w:rsidP="00322F45">
      <w:pPr>
        <w:pStyle w:val="NoSpacing"/>
        <w:suppressLineNumbers/>
        <w:jc w:val="both"/>
        <w:rPr>
          <w:rFonts w:ascii="Times New Roman" w:hAnsi="Times New Roman"/>
          <w:b/>
          <w:sz w:val="26"/>
          <w:szCs w:val="26"/>
          <w:u w:val="single"/>
        </w:rPr>
      </w:pPr>
    </w:p>
    <w:p w:rsidR="00322F45" w:rsidRPr="0005054E" w:rsidRDefault="00322F45" w:rsidP="00322F45">
      <w:pPr>
        <w:pStyle w:val="NoSpacing"/>
        <w:suppressLineNumbers/>
        <w:jc w:val="both"/>
        <w:rPr>
          <w:rFonts w:ascii="Times New Roman" w:hAnsi="Times New Roman"/>
          <w:b/>
          <w:sz w:val="26"/>
          <w:szCs w:val="26"/>
          <w:u w:val="single"/>
        </w:rPr>
      </w:pPr>
    </w:p>
    <w:p w:rsidR="00322F45" w:rsidRPr="0005054E" w:rsidRDefault="00322F45" w:rsidP="00322F45">
      <w:pPr>
        <w:pStyle w:val="NoSpacing"/>
        <w:suppressLineNumbers/>
        <w:jc w:val="both"/>
        <w:rPr>
          <w:rFonts w:ascii="Times New Roman" w:hAnsi="Times New Roman"/>
          <w:b/>
          <w:sz w:val="26"/>
          <w:szCs w:val="26"/>
          <w:u w:val="single"/>
        </w:rPr>
      </w:pPr>
    </w:p>
    <w:p w:rsidR="007C4D6B" w:rsidRDefault="007C4D6B" w:rsidP="00322F45">
      <w:pPr>
        <w:pStyle w:val="NoSpacing"/>
        <w:suppressLineNumbers/>
        <w:spacing w:after="240"/>
        <w:jc w:val="center"/>
        <w:rPr>
          <w:rFonts w:ascii="Times New Roman" w:hAnsi="Times New Roman"/>
          <w:b/>
          <w:sz w:val="26"/>
          <w:szCs w:val="26"/>
        </w:rPr>
        <w:sectPr w:rsidR="007C4D6B" w:rsidSect="003B12DD">
          <w:headerReference w:type="default" r:id="rId43"/>
          <w:headerReference w:type="first" r:id="rId44"/>
          <w:footerReference w:type="first" r:id="rId45"/>
          <w:footnotePr>
            <w:numRestart w:val="eachSect"/>
          </w:footnotePr>
          <w:pgSz w:w="12240" w:h="15840" w:code="1"/>
          <w:pgMar w:top="1440" w:right="1440" w:bottom="1440" w:left="1440" w:header="720" w:footer="720" w:gutter="0"/>
          <w:pgNumType w:start="1"/>
          <w:cols w:space="720"/>
          <w:titlePg/>
          <w:docGrid w:linePitch="360"/>
        </w:sectPr>
      </w:pPr>
    </w:p>
    <w:p w:rsidR="008669CD" w:rsidRDefault="008669CD" w:rsidP="00A71396">
      <w:pPr>
        <w:suppressLineNumbers/>
        <w:spacing w:after="240"/>
        <w:jc w:val="center"/>
        <w:rPr>
          <w:b/>
          <w:sz w:val="26"/>
          <w:szCs w:val="26"/>
          <w:u w:val="single"/>
        </w:rPr>
      </w:pPr>
      <w:r>
        <w:rPr>
          <w:b/>
          <w:sz w:val="26"/>
          <w:szCs w:val="26"/>
          <w:u w:val="single"/>
        </w:rPr>
        <w:lastRenderedPageBreak/>
        <w:t>ATTACHMENT-2</w:t>
      </w:r>
      <w:r>
        <w:rPr>
          <w:b/>
          <w:sz w:val="26"/>
          <w:szCs w:val="26"/>
          <w:u w:val="single"/>
        </w:rPr>
        <w:br/>
        <w:t>SCHEDULE-D</w:t>
      </w:r>
    </w:p>
    <w:p w:rsidR="008669CD" w:rsidRDefault="008669CD" w:rsidP="00A71396">
      <w:pPr>
        <w:suppressLineNumbers/>
        <w:spacing w:after="240"/>
        <w:jc w:val="center"/>
        <w:rPr>
          <w:b/>
          <w:sz w:val="26"/>
          <w:szCs w:val="26"/>
          <w:u w:val="single"/>
        </w:rPr>
      </w:pPr>
    </w:p>
    <w:p w:rsidR="00322F45" w:rsidRPr="0005054E" w:rsidRDefault="00322F45" w:rsidP="00A71396">
      <w:pPr>
        <w:suppressLineNumbers/>
        <w:spacing w:after="240"/>
        <w:jc w:val="center"/>
        <w:rPr>
          <w:b/>
          <w:sz w:val="26"/>
          <w:szCs w:val="26"/>
          <w:u w:val="single"/>
        </w:rPr>
      </w:pPr>
      <w:r w:rsidRPr="0005054E">
        <w:rPr>
          <w:b/>
          <w:sz w:val="26"/>
          <w:szCs w:val="26"/>
          <w:u w:val="single"/>
        </w:rPr>
        <w:t>COMPLIANCE WITH THE PRESENT VALUE STANDARD</w:t>
      </w:r>
      <w:r>
        <w:rPr>
          <w:rStyle w:val="FootnoteReference"/>
          <w:b/>
          <w:sz w:val="26"/>
          <w:szCs w:val="26"/>
          <w:u w:val="single"/>
        </w:rPr>
        <w:footnoteReference w:id="1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214"/>
        <w:gridCol w:w="2214"/>
        <w:gridCol w:w="2214"/>
      </w:tblGrid>
      <w:tr w:rsidR="00322F45" w:rsidRPr="0005054E" w:rsidTr="00322F45">
        <w:tc>
          <w:tcPr>
            <w:tcW w:w="2214" w:type="dxa"/>
            <w:shd w:val="clear" w:color="auto" w:fill="auto"/>
          </w:tcPr>
          <w:p w:rsidR="00322F45" w:rsidRPr="0005054E" w:rsidRDefault="00322F45" w:rsidP="00322F45">
            <w:pPr>
              <w:suppressLineNumbers/>
              <w:jc w:val="both"/>
              <w:rPr>
                <w:b/>
                <w:sz w:val="26"/>
                <w:szCs w:val="26"/>
                <w:u w:val="single"/>
              </w:rPr>
            </w:pPr>
          </w:p>
        </w:tc>
        <w:tc>
          <w:tcPr>
            <w:tcW w:w="2214" w:type="dxa"/>
            <w:shd w:val="clear" w:color="auto" w:fill="auto"/>
          </w:tcPr>
          <w:p w:rsidR="00322F45" w:rsidRPr="0005054E" w:rsidRDefault="00322F45" w:rsidP="00322F45">
            <w:pPr>
              <w:suppressLineNumbers/>
              <w:jc w:val="both"/>
              <w:rPr>
                <w:b/>
                <w:sz w:val="26"/>
                <w:szCs w:val="26"/>
                <w:u w:val="single"/>
              </w:rPr>
            </w:pPr>
          </w:p>
          <w:p w:rsidR="00322F45" w:rsidRPr="0005054E" w:rsidRDefault="00322F45" w:rsidP="00322F45">
            <w:pPr>
              <w:suppressLineNumbers/>
              <w:jc w:val="both"/>
              <w:rPr>
                <w:b/>
                <w:sz w:val="26"/>
                <w:szCs w:val="26"/>
              </w:rPr>
            </w:pPr>
            <w:r w:rsidRPr="0005054E">
              <w:rPr>
                <w:b/>
                <w:sz w:val="26"/>
                <w:szCs w:val="26"/>
              </w:rPr>
              <w:t>Conventional Financing</w:t>
            </w:r>
          </w:p>
          <w:p w:rsidR="00322F45" w:rsidRPr="0005054E" w:rsidRDefault="00322F45" w:rsidP="00322F45">
            <w:pPr>
              <w:suppressLineNumbers/>
              <w:jc w:val="both"/>
              <w:rPr>
                <w:b/>
                <w:sz w:val="26"/>
                <w:szCs w:val="26"/>
                <w:vertAlign w:val="superscript"/>
              </w:rPr>
            </w:pPr>
            <w:r w:rsidRPr="0005054E">
              <w:rPr>
                <w:b/>
                <w:sz w:val="26"/>
                <w:szCs w:val="26"/>
              </w:rPr>
              <w:t>Through</w:t>
            </w:r>
            <w:r>
              <w:rPr>
                <w:rStyle w:val="FootnoteReference"/>
                <w:b/>
                <w:sz w:val="26"/>
                <w:szCs w:val="26"/>
              </w:rPr>
              <w:footnoteReference w:id="18"/>
            </w:r>
          </w:p>
          <w:p w:rsidR="00322F45" w:rsidRPr="0005054E" w:rsidRDefault="00322F45" w:rsidP="00322F45">
            <w:pPr>
              <w:suppressLineNumbers/>
              <w:jc w:val="both"/>
              <w:rPr>
                <w:b/>
                <w:sz w:val="26"/>
                <w:szCs w:val="26"/>
                <w:u w:val="single"/>
              </w:rPr>
            </w:pPr>
          </w:p>
        </w:tc>
        <w:tc>
          <w:tcPr>
            <w:tcW w:w="2214" w:type="dxa"/>
            <w:shd w:val="clear" w:color="auto" w:fill="auto"/>
          </w:tcPr>
          <w:p w:rsidR="00322F45" w:rsidRPr="0005054E" w:rsidRDefault="00322F45" w:rsidP="00322F45">
            <w:pPr>
              <w:suppressLineNumbers/>
              <w:jc w:val="both"/>
              <w:rPr>
                <w:b/>
                <w:sz w:val="26"/>
                <w:szCs w:val="26"/>
                <w:u w:val="single"/>
              </w:rPr>
            </w:pPr>
          </w:p>
          <w:p w:rsidR="00322F45" w:rsidRPr="0005054E" w:rsidRDefault="00322F45" w:rsidP="00322F45">
            <w:pPr>
              <w:suppressLineNumbers/>
              <w:jc w:val="both"/>
              <w:rPr>
                <w:b/>
                <w:sz w:val="26"/>
                <w:szCs w:val="26"/>
              </w:rPr>
            </w:pPr>
            <w:r w:rsidRPr="0005054E">
              <w:rPr>
                <w:b/>
                <w:sz w:val="26"/>
                <w:szCs w:val="26"/>
              </w:rPr>
              <w:t xml:space="preserve">Securitization </w:t>
            </w:r>
          </w:p>
          <w:p w:rsidR="00322F45" w:rsidRPr="0005054E" w:rsidRDefault="00322F45" w:rsidP="00322F45">
            <w:pPr>
              <w:suppressLineNumbers/>
              <w:jc w:val="both"/>
              <w:rPr>
                <w:b/>
                <w:sz w:val="26"/>
                <w:szCs w:val="26"/>
                <w:u w:val="single"/>
              </w:rPr>
            </w:pPr>
            <w:r w:rsidRPr="0005054E">
              <w:rPr>
                <w:b/>
                <w:sz w:val="26"/>
                <w:szCs w:val="26"/>
              </w:rPr>
              <w:t>Financing</w:t>
            </w:r>
            <w:r>
              <w:rPr>
                <w:rStyle w:val="FootnoteReference"/>
                <w:b/>
                <w:sz w:val="26"/>
                <w:szCs w:val="26"/>
              </w:rPr>
              <w:footnoteReference w:id="19"/>
            </w:r>
          </w:p>
        </w:tc>
        <w:tc>
          <w:tcPr>
            <w:tcW w:w="2214" w:type="dxa"/>
            <w:shd w:val="clear" w:color="auto" w:fill="auto"/>
          </w:tcPr>
          <w:p w:rsidR="00322F45" w:rsidRPr="0005054E" w:rsidRDefault="00322F45" w:rsidP="00322F45">
            <w:pPr>
              <w:suppressLineNumbers/>
              <w:jc w:val="both"/>
              <w:rPr>
                <w:b/>
                <w:sz w:val="26"/>
                <w:szCs w:val="26"/>
                <w:u w:val="single"/>
              </w:rPr>
            </w:pPr>
          </w:p>
          <w:p w:rsidR="00322F45" w:rsidRPr="0005054E" w:rsidRDefault="00322F45" w:rsidP="00322F45">
            <w:pPr>
              <w:suppressLineNumbers/>
              <w:jc w:val="both"/>
              <w:rPr>
                <w:b/>
                <w:sz w:val="26"/>
                <w:szCs w:val="26"/>
              </w:rPr>
            </w:pPr>
            <w:r w:rsidRPr="0005054E">
              <w:rPr>
                <w:b/>
                <w:sz w:val="26"/>
                <w:szCs w:val="26"/>
              </w:rPr>
              <w:t>Savings/(Cost) of</w:t>
            </w:r>
          </w:p>
          <w:p w:rsidR="00322F45" w:rsidRPr="0005054E" w:rsidRDefault="00322F45" w:rsidP="00322F45">
            <w:pPr>
              <w:suppressLineNumbers/>
              <w:jc w:val="both"/>
              <w:rPr>
                <w:b/>
                <w:sz w:val="26"/>
                <w:szCs w:val="26"/>
              </w:rPr>
            </w:pPr>
            <w:r w:rsidRPr="0005054E">
              <w:rPr>
                <w:b/>
                <w:sz w:val="26"/>
                <w:szCs w:val="26"/>
              </w:rPr>
              <w:t>Securitization</w:t>
            </w:r>
          </w:p>
          <w:p w:rsidR="00322F45" w:rsidRPr="0005054E" w:rsidRDefault="00322F45" w:rsidP="00322F45">
            <w:pPr>
              <w:suppressLineNumbers/>
              <w:jc w:val="both"/>
              <w:rPr>
                <w:b/>
                <w:sz w:val="26"/>
                <w:szCs w:val="26"/>
                <w:u w:val="single"/>
              </w:rPr>
            </w:pPr>
            <w:r w:rsidRPr="0005054E">
              <w:rPr>
                <w:b/>
                <w:sz w:val="26"/>
                <w:szCs w:val="26"/>
              </w:rPr>
              <w:t>Financing</w:t>
            </w:r>
          </w:p>
        </w:tc>
      </w:tr>
      <w:tr w:rsidR="00322F45" w:rsidRPr="0005054E" w:rsidTr="00322F45">
        <w:trPr>
          <w:trHeight w:val="576"/>
        </w:trPr>
        <w:tc>
          <w:tcPr>
            <w:tcW w:w="2214" w:type="dxa"/>
            <w:shd w:val="clear" w:color="auto" w:fill="auto"/>
            <w:vAlign w:val="center"/>
          </w:tcPr>
          <w:p w:rsidR="00322F45" w:rsidRPr="0005054E" w:rsidRDefault="00322F45" w:rsidP="00322F45">
            <w:pPr>
              <w:suppressLineNumbers/>
              <w:rPr>
                <w:b/>
                <w:sz w:val="26"/>
                <w:szCs w:val="26"/>
              </w:rPr>
            </w:pPr>
            <w:r w:rsidRPr="0005054E">
              <w:rPr>
                <w:b/>
                <w:sz w:val="26"/>
                <w:szCs w:val="26"/>
              </w:rPr>
              <w:t>Nominal</w:t>
            </w:r>
          </w:p>
        </w:tc>
        <w:tc>
          <w:tcPr>
            <w:tcW w:w="2214" w:type="dxa"/>
            <w:shd w:val="clear" w:color="auto" w:fill="auto"/>
            <w:vAlign w:val="center"/>
          </w:tcPr>
          <w:p w:rsidR="00322F45" w:rsidRPr="0005054E" w:rsidRDefault="00322F45" w:rsidP="00322F45">
            <w:pPr>
              <w:suppressLineNumbers/>
              <w:rPr>
                <w:b/>
                <w:sz w:val="26"/>
                <w:szCs w:val="26"/>
                <w:u w:val="single"/>
              </w:rPr>
            </w:pPr>
            <w:r w:rsidRPr="0005054E">
              <w:rPr>
                <w:b/>
                <w:sz w:val="26"/>
                <w:szCs w:val="26"/>
              </w:rPr>
              <w:t>$</w:t>
            </w:r>
            <w:r w:rsidRPr="0005054E">
              <w:rPr>
                <w:b/>
                <w:sz w:val="26"/>
                <w:szCs w:val="26"/>
                <w:u w:val="single"/>
              </w:rPr>
              <w:t>__________</w:t>
            </w:r>
          </w:p>
        </w:tc>
        <w:tc>
          <w:tcPr>
            <w:tcW w:w="2214" w:type="dxa"/>
            <w:shd w:val="clear" w:color="auto" w:fill="auto"/>
            <w:vAlign w:val="center"/>
          </w:tcPr>
          <w:p w:rsidR="00322F45" w:rsidRPr="0005054E" w:rsidRDefault="00322F45" w:rsidP="00322F45">
            <w:pPr>
              <w:suppressLineNumbers/>
              <w:rPr>
                <w:b/>
                <w:sz w:val="26"/>
                <w:szCs w:val="26"/>
                <w:u w:val="single"/>
              </w:rPr>
            </w:pPr>
            <w:r w:rsidRPr="0005054E">
              <w:rPr>
                <w:b/>
                <w:sz w:val="26"/>
                <w:szCs w:val="26"/>
              </w:rPr>
              <w:t>$</w:t>
            </w:r>
            <w:r w:rsidRPr="0005054E">
              <w:rPr>
                <w:b/>
                <w:sz w:val="26"/>
                <w:szCs w:val="26"/>
                <w:u w:val="single"/>
              </w:rPr>
              <w:t>__________</w:t>
            </w:r>
          </w:p>
        </w:tc>
        <w:tc>
          <w:tcPr>
            <w:tcW w:w="2214" w:type="dxa"/>
            <w:shd w:val="clear" w:color="auto" w:fill="auto"/>
            <w:vAlign w:val="center"/>
          </w:tcPr>
          <w:p w:rsidR="00322F45" w:rsidRPr="0005054E" w:rsidRDefault="00322F45" w:rsidP="00322F45">
            <w:pPr>
              <w:suppressLineNumbers/>
              <w:rPr>
                <w:b/>
                <w:sz w:val="26"/>
                <w:szCs w:val="26"/>
                <w:u w:val="single"/>
              </w:rPr>
            </w:pPr>
            <w:r w:rsidRPr="0005054E">
              <w:rPr>
                <w:b/>
                <w:sz w:val="26"/>
                <w:szCs w:val="26"/>
              </w:rPr>
              <w:t>$</w:t>
            </w:r>
            <w:r w:rsidRPr="0005054E">
              <w:rPr>
                <w:b/>
                <w:sz w:val="26"/>
                <w:szCs w:val="26"/>
                <w:u w:val="single"/>
              </w:rPr>
              <w:t>__________</w:t>
            </w:r>
          </w:p>
        </w:tc>
      </w:tr>
      <w:tr w:rsidR="00322F45" w:rsidRPr="0005054E" w:rsidTr="00322F45">
        <w:trPr>
          <w:trHeight w:val="576"/>
        </w:trPr>
        <w:tc>
          <w:tcPr>
            <w:tcW w:w="2214" w:type="dxa"/>
            <w:shd w:val="clear" w:color="auto" w:fill="auto"/>
            <w:vAlign w:val="center"/>
          </w:tcPr>
          <w:p w:rsidR="00322F45" w:rsidRPr="0005054E" w:rsidRDefault="00322F45" w:rsidP="00322F45">
            <w:pPr>
              <w:suppressLineNumbers/>
              <w:rPr>
                <w:b/>
                <w:sz w:val="26"/>
                <w:szCs w:val="26"/>
              </w:rPr>
            </w:pPr>
            <w:r w:rsidRPr="0005054E">
              <w:rPr>
                <w:b/>
                <w:sz w:val="26"/>
                <w:szCs w:val="26"/>
              </w:rPr>
              <w:t>Present Value</w:t>
            </w:r>
          </w:p>
        </w:tc>
        <w:tc>
          <w:tcPr>
            <w:tcW w:w="2214" w:type="dxa"/>
            <w:shd w:val="clear" w:color="auto" w:fill="auto"/>
            <w:vAlign w:val="center"/>
          </w:tcPr>
          <w:p w:rsidR="00322F45" w:rsidRPr="0005054E" w:rsidRDefault="00322F45" w:rsidP="00322F45">
            <w:pPr>
              <w:suppressLineNumbers/>
              <w:rPr>
                <w:b/>
                <w:sz w:val="26"/>
                <w:szCs w:val="26"/>
                <w:u w:val="single"/>
              </w:rPr>
            </w:pPr>
            <w:r w:rsidRPr="0005054E">
              <w:rPr>
                <w:b/>
                <w:sz w:val="26"/>
                <w:szCs w:val="26"/>
              </w:rPr>
              <w:t>$</w:t>
            </w:r>
            <w:r w:rsidRPr="0005054E">
              <w:rPr>
                <w:b/>
                <w:sz w:val="26"/>
                <w:szCs w:val="26"/>
                <w:u w:val="single"/>
              </w:rPr>
              <w:t>__________</w:t>
            </w:r>
          </w:p>
        </w:tc>
        <w:tc>
          <w:tcPr>
            <w:tcW w:w="2214" w:type="dxa"/>
            <w:shd w:val="clear" w:color="auto" w:fill="auto"/>
            <w:vAlign w:val="center"/>
          </w:tcPr>
          <w:p w:rsidR="00322F45" w:rsidRPr="0005054E" w:rsidRDefault="00322F45" w:rsidP="00322F45">
            <w:pPr>
              <w:suppressLineNumbers/>
              <w:rPr>
                <w:b/>
                <w:sz w:val="26"/>
                <w:szCs w:val="26"/>
                <w:u w:val="single"/>
              </w:rPr>
            </w:pPr>
            <w:r w:rsidRPr="0005054E">
              <w:rPr>
                <w:b/>
                <w:sz w:val="26"/>
                <w:szCs w:val="26"/>
              </w:rPr>
              <w:t>$</w:t>
            </w:r>
            <w:r w:rsidRPr="0005054E">
              <w:rPr>
                <w:b/>
                <w:sz w:val="26"/>
                <w:szCs w:val="26"/>
                <w:u w:val="single"/>
              </w:rPr>
              <w:t>__________</w:t>
            </w:r>
          </w:p>
        </w:tc>
        <w:tc>
          <w:tcPr>
            <w:tcW w:w="2214" w:type="dxa"/>
            <w:shd w:val="clear" w:color="auto" w:fill="auto"/>
            <w:vAlign w:val="center"/>
          </w:tcPr>
          <w:p w:rsidR="00322F45" w:rsidRPr="0005054E" w:rsidRDefault="00322F45" w:rsidP="00322F45">
            <w:pPr>
              <w:suppressLineNumbers/>
              <w:rPr>
                <w:b/>
                <w:sz w:val="26"/>
                <w:szCs w:val="26"/>
                <w:u w:val="single"/>
              </w:rPr>
            </w:pPr>
            <w:r w:rsidRPr="0005054E">
              <w:rPr>
                <w:b/>
                <w:sz w:val="26"/>
                <w:szCs w:val="26"/>
              </w:rPr>
              <w:t>$</w:t>
            </w:r>
            <w:r w:rsidRPr="0005054E">
              <w:rPr>
                <w:b/>
                <w:sz w:val="26"/>
                <w:szCs w:val="26"/>
                <w:u w:val="single"/>
              </w:rPr>
              <w:t>__________</w:t>
            </w:r>
          </w:p>
        </w:tc>
      </w:tr>
    </w:tbl>
    <w:p w:rsidR="00322F45" w:rsidRPr="0005054E" w:rsidRDefault="00322F45" w:rsidP="00322F45">
      <w:pPr>
        <w:suppressLineNumbers/>
        <w:jc w:val="both"/>
        <w:rPr>
          <w:b/>
          <w:sz w:val="26"/>
          <w:szCs w:val="26"/>
          <w:u w:val="single"/>
        </w:rPr>
      </w:pPr>
    </w:p>
    <w:p w:rsidR="00322F45" w:rsidRPr="0005054E" w:rsidRDefault="00322F45" w:rsidP="00322F45">
      <w:pPr>
        <w:suppressLineNumbers/>
        <w:jc w:val="both"/>
        <w:rPr>
          <w:b/>
          <w:sz w:val="26"/>
          <w:szCs w:val="26"/>
          <w:u w:val="single"/>
        </w:rPr>
      </w:pPr>
    </w:p>
    <w:p w:rsidR="00322F45" w:rsidRPr="0005054E" w:rsidRDefault="00322F45" w:rsidP="00322F45">
      <w:pPr>
        <w:suppressLineNumbers/>
        <w:jc w:val="both"/>
        <w:rPr>
          <w:b/>
          <w:sz w:val="26"/>
          <w:szCs w:val="26"/>
          <w:u w:val="single"/>
        </w:rPr>
      </w:pPr>
    </w:p>
    <w:p w:rsidR="00322F45" w:rsidRPr="0005054E" w:rsidRDefault="00322F45" w:rsidP="00322F45">
      <w:pPr>
        <w:suppressLineNumbers/>
        <w:jc w:val="both"/>
        <w:rPr>
          <w:b/>
          <w:sz w:val="26"/>
          <w:szCs w:val="26"/>
          <w:u w:val="single"/>
        </w:rPr>
      </w:pPr>
    </w:p>
    <w:p w:rsidR="007C4D6B" w:rsidRDefault="007C4D6B" w:rsidP="007C4D6B">
      <w:pPr>
        <w:pStyle w:val="NoSpacing"/>
        <w:suppressLineNumbers/>
        <w:spacing w:after="240"/>
        <w:jc w:val="center"/>
        <w:rPr>
          <w:rFonts w:ascii="Times New Roman" w:hAnsi="Times New Roman"/>
          <w:b/>
          <w:sz w:val="26"/>
          <w:szCs w:val="26"/>
        </w:rPr>
        <w:sectPr w:rsidR="007C4D6B" w:rsidSect="003B12DD">
          <w:headerReference w:type="default" r:id="rId46"/>
          <w:headerReference w:type="first" r:id="rId47"/>
          <w:footerReference w:type="first" r:id="rId48"/>
          <w:footnotePr>
            <w:numRestart w:val="eachSect"/>
          </w:footnotePr>
          <w:pgSz w:w="12240" w:h="15840" w:code="1"/>
          <w:pgMar w:top="1440" w:right="1440" w:bottom="1440" w:left="1440" w:header="720" w:footer="720" w:gutter="0"/>
          <w:pgNumType w:start="1"/>
          <w:cols w:space="720"/>
          <w:titlePg/>
          <w:docGrid w:linePitch="360"/>
        </w:sectPr>
      </w:pPr>
    </w:p>
    <w:p w:rsidR="008669CD" w:rsidRDefault="008669CD" w:rsidP="007C4D6B">
      <w:pPr>
        <w:pStyle w:val="NoSpacing"/>
        <w:suppressLineNumbers/>
        <w:spacing w:after="240"/>
        <w:jc w:val="center"/>
        <w:rPr>
          <w:rFonts w:ascii="Times New Roman" w:hAnsi="Times New Roman"/>
          <w:b/>
          <w:sz w:val="26"/>
          <w:szCs w:val="26"/>
          <w:u w:val="single"/>
        </w:rPr>
      </w:pPr>
      <w:r>
        <w:rPr>
          <w:rFonts w:ascii="Times New Roman" w:hAnsi="Times New Roman"/>
          <w:b/>
          <w:sz w:val="26"/>
          <w:szCs w:val="26"/>
          <w:u w:val="single"/>
        </w:rPr>
        <w:lastRenderedPageBreak/>
        <w:t>ATTACHMENT-3</w:t>
      </w:r>
    </w:p>
    <w:p w:rsidR="008669CD" w:rsidRDefault="008669CD" w:rsidP="007C4D6B">
      <w:pPr>
        <w:pStyle w:val="NoSpacing"/>
        <w:suppressLineNumbers/>
        <w:spacing w:after="240"/>
        <w:jc w:val="center"/>
        <w:rPr>
          <w:rFonts w:ascii="Times New Roman" w:hAnsi="Times New Roman"/>
          <w:b/>
          <w:sz w:val="26"/>
          <w:szCs w:val="26"/>
          <w:u w:val="single"/>
        </w:rPr>
      </w:pPr>
    </w:p>
    <w:p w:rsidR="00322F45" w:rsidRPr="0005054E" w:rsidRDefault="00322F45" w:rsidP="007C4D6B">
      <w:pPr>
        <w:pStyle w:val="NoSpacing"/>
        <w:suppressLineNumbers/>
        <w:spacing w:after="240"/>
        <w:jc w:val="center"/>
        <w:rPr>
          <w:rFonts w:ascii="Times New Roman" w:hAnsi="Times New Roman"/>
          <w:b/>
          <w:sz w:val="26"/>
          <w:szCs w:val="26"/>
          <w:u w:val="single"/>
        </w:rPr>
      </w:pPr>
      <w:r w:rsidRPr="0005054E">
        <w:rPr>
          <w:rFonts w:ascii="Times New Roman" w:hAnsi="Times New Roman"/>
          <w:b/>
          <w:sz w:val="26"/>
          <w:szCs w:val="26"/>
          <w:u w:val="single"/>
        </w:rPr>
        <w:t>CERTIFICATION OF COMPLIANCE</w:t>
      </w:r>
    </w:p>
    <w:p w:rsidR="00322F45" w:rsidRPr="0005054E" w:rsidRDefault="00322F45" w:rsidP="00322F45">
      <w:pPr>
        <w:pStyle w:val="NoSpacing"/>
        <w:suppressLineNumbers/>
        <w:ind w:left="180" w:hanging="180"/>
        <w:jc w:val="both"/>
        <w:rPr>
          <w:rFonts w:ascii="Times New Roman" w:hAnsi="Times New Roman"/>
          <w:sz w:val="26"/>
          <w:szCs w:val="26"/>
        </w:rPr>
      </w:pPr>
    </w:p>
    <w:p w:rsidR="00322F45" w:rsidRPr="0005054E" w:rsidRDefault="00322F45" w:rsidP="00322F45">
      <w:pPr>
        <w:pStyle w:val="NoSpacing"/>
        <w:suppressLineNumbers/>
        <w:ind w:left="180" w:hanging="180"/>
        <w:jc w:val="both"/>
        <w:rPr>
          <w:rFonts w:ascii="Times New Roman" w:hAnsi="Times New Roman"/>
          <w:sz w:val="26"/>
          <w:szCs w:val="26"/>
        </w:rPr>
      </w:pPr>
      <w:r w:rsidRPr="0005054E">
        <w:rPr>
          <w:rFonts w:ascii="Times New Roman" w:hAnsi="Times New Roman"/>
          <w:sz w:val="26"/>
          <w:szCs w:val="26"/>
        </w:rPr>
        <w:t>[FE Companies Letterhead]</w:t>
      </w:r>
    </w:p>
    <w:p w:rsidR="00322F45" w:rsidRPr="0005054E" w:rsidRDefault="00322F45" w:rsidP="00322F45">
      <w:pPr>
        <w:pStyle w:val="NoSpacing"/>
        <w:suppressLineNumbers/>
        <w:ind w:left="180" w:hanging="180"/>
        <w:jc w:val="both"/>
        <w:rPr>
          <w:rFonts w:ascii="Times New Roman" w:hAnsi="Times New Roman"/>
          <w:sz w:val="26"/>
          <w:szCs w:val="26"/>
        </w:rPr>
      </w:pPr>
    </w:p>
    <w:p w:rsidR="00322F45" w:rsidRPr="0005054E" w:rsidRDefault="00322F45" w:rsidP="00322F45">
      <w:pPr>
        <w:pStyle w:val="NoSpacing"/>
        <w:suppressLineNumbers/>
        <w:ind w:left="180" w:hanging="180"/>
        <w:jc w:val="both"/>
        <w:rPr>
          <w:rFonts w:ascii="Times New Roman" w:hAnsi="Times New Roman"/>
          <w:sz w:val="26"/>
          <w:szCs w:val="26"/>
        </w:rPr>
      </w:pPr>
      <w:r w:rsidRPr="0005054E">
        <w:rPr>
          <w:rFonts w:ascii="Times New Roman" w:hAnsi="Times New Roman"/>
          <w:sz w:val="26"/>
          <w:szCs w:val="26"/>
        </w:rPr>
        <w:t>Date:________  __, 2013</w:t>
      </w:r>
    </w:p>
    <w:p w:rsidR="00322F45" w:rsidRPr="0005054E" w:rsidRDefault="00322F45" w:rsidP="00322F45">
      <w:pPr>
        <w:pStyle w:val="NoSpacing"/>
        <w:suppressLineNumbers/>
        <w:ind w:left="180" w:hanging="180"/>
        <w:jc w:val="both"/>
        <w:rPr>
          <w:rFonts w:ascii="Times New Roman" w:hAnsi="Times New Roman"/>
          <w:sz w:val="26"/>
          <w:szCs w:val="26"/>
        </w:rPr>
      </w:pPr>
    </w:p>
    <w:p w:rsidR="00322F45" w:rsidRPr="0005054E" w:rsidRDefault="00322F45" w:rsidP="00322F45">
      <w:pPr>
        <w:pStyle w:val="NoSpacing"/>
        <w:suppressLineNumbers/>
        <w:ind w:left="540" w:hanging="540"/>
        <w:jc w:val="both"/>
        <w:rPr>
          <w:rFonts w:ascii="Times New Roman" w:hAnsi="Times New Roman"/>
          <w:sz w:val="26"/>
          <w:szCs w:val="26"/>
        </w:rPr>
      </w:pPr>
      <w:r w:rsidRPr="0005054E">
        <w:rPr>
          <w:rFonts w:ascii="Times New Roman" w:hAnsi="Times New Roman"/>
          <w:sz w:val="26"/>
          <w:szCs w:val="26"/>
        </w:rPr>
        <w:t xml:space="preserve">Re: Joint Application of Ohio Edison Company, The Cleveland Electric Illuminating Company, and The Toledo Edison Company, Case No. </w:t>
      </w:r>
      <w:r w:rsidRPr="0005054E">
        <w:rPr>
          <w:rFonts w:ascii="Times New Roman" w:hAnsi="Times New Roman"/>
          <w:snapToGrid w:val="0"/>
          <w:sz w:val="26"/>
          <w:szCs w:val="26"/>
        </w:rPr>
        <w:t>12</w:t>
      </w:r>
      <w:r w:rsidRPr="0005054E">
        <w:rPr>
          <w:rFonts w:ascii="Times New Roman" w:hAnsi="Times New Roman"/>
          <w:sz w:val="26"/>
          <w:szCs w:val="26"/>
        </w:rPr>
        <w:t>-1465-EL-ATS</w:t>
      </w:r>
    </w:p>
    <w:p w:rsidR="00322F45" w:rsidRPr="0005054E" w:rsidRDefault="00322F45" w:rsidP="00322F45">
      <w:pPr>
        <w:pStyle w:val="NoSpacing"/>
        <w:suppressLineNumbers/>
        <w:ind w:left="540" w:hanging="540"/>
        <w:jc w:val="both"/>
        <w:rPr>
          <w:rFonts w:ascii="Times New Roman" w:hAnsi="Times New Roman"/>
          <w:sz w:val="26"/>
          <w:szCs w:val="26"/>
        </w:rPr>
      </w:pPr>
    </w:p>
    <w:p w:rsidR="00322F45" w:rsidRPr="0005054E" w:rsidRDefault="00322F45" w:rsidP="00322F45">
      <w:pPr>
        <w:pStyle w:val="NoSpacing"/>
        <w:suppressLineNumbers/>
        <w:jc w:val="both"/>
        <w:rPr>
          <w:rFonts w:ascii="Times New Roman" w:hAnsi="Times New Roman"/>
          <w:color w:val="000000"/>
          <w:sz w:val="26"/>
          <w:szCs w:val="26"/>
        </w:rPr>
      </w:pPr>
      <w:r w:rsidRPr="0005054E">
        <w:rPr>
          <w:rFonts w:ascii="Times New Roman" w:hAnsi="Times New Roman"/>
          <w:sz w:val="26"/>
          <w:szCs w:val="26"/>
        </w:rPr>
        <w:t xml:space="preserve">Applicants, Ohio Edison, Cleveland Electric, and Toledo Edison submit this Certification pursuant to Ordering Paragraph No___ of the Financing Order </w:t>
      </w:r>
      <w:r w:rsidRPr="0005054E">
        <w:rPr>
          <w:rFonts w:ascii="Times New Roman" w:hAnsi="Times New Roman"/>
          <w:i/>
          <w:sz w:val="26"/>
          <w:szCs w:val="26"/>
        </w:rPr>
        <w:t>In the Matter of the Joint Application of Ohio Edison Company, The Cleveland Electric Illuminating Company, and The Toledo Edison Company for Authority to Impose, Issue Phase-In-Recovery Bonds and Charge and Collect Phase-In-Recovery Charges and For Tariff Approvals in Case No.</w:t>
      </w:r>
      <w:r w:rsidRPr="0005054E">
        <w:rPr>
          <w:rFonts w:ascii="Times New Roman" w:hAnsi="Times New Roman"/>
          <w:b/>
          <w:snapToGrid w:val="0"/>
          <w:color w:val="000000"/>
          <w:sz w:val="26"/>
          <w:szCs w:val="26"/>
        </w:rPr>
        <w:t xml:space="preserve"> </w:t>
      </w:r>
      <w:r w:rsidRPr="0005054E">
        <w:rPr>
          <w:rFonts w:ascii="Times New Roman" w:hAnsi="Times New Roman"/>
          <w:i/>
          <w:snapToGrid w:val="0"/>
          <w:color w:val="000000"/>
          <w:sz w:val="26"/>
          <w:szCs w:val="26"/>
        </w:rPr>
        <w:t>12</w:t>
      </w:r>
      <w:r w:rsidRPr="0005054E">
        <w:rPr>
          <w:rFonts w:ascii="Times New Roman" w:hAnsi="Times New Roman"/>
          <w:i/>
          <w:color w:val="000000"/>
          <w:sz w:val="26"/>
          <w:szCs w:val="26"/>
        </w:rPr>
        <w:t>-1465-EL-ATS (the Financing Order).</w:t>
      </w:r>
      <w:r w:rsidRPr="0005054E">
        <w:rPr>
          <w:rFonts w:ascii="Times New Roman" w:hAnsi="Times New Roman"/>
          <w:color w:val="000000"/>
          <w:sz w:val="26"/>
          <w:szCs w:val="26"/>
        </w:rPr>
        <w:t xml:space="preserve">  All capitalized terms not defined in this letter shall have the meanings ascribed to them in the Financing Order.</w:t>
      </w:r>
    </w:p>
    <w:p w:rsidR="00322F45" w:rsidRPr="0005054E" w:rsidRDefault="00322F45" w:rsidP="00322F45">
      <w:pPr>
        <w:pStyle w:val="NoSpacing"/>
        <w:suppressLineNumbers/>
        <w:jc w:val="both"/>
        <w:rPr>
          <w:rFonts w:ascii="Times New Roman" w:hAnsi="Times New Roman"/>
          <w:color w:val="000000"/>
          <w:sz w:val="26"/>
          <w:szCs w:val="26"/>
        </w:rPr>
      </w:pPr>
    </w:p>
    <w:p w:rsidR="00322F45" w:rsidRPr="0005054E" w:rsidRDefault="00322F45" w:rsidP="00322F45">
      <w:pPr>
        <w:pStyle w:val="NoSpacing"/>
        <w:suppressLineNumbers/>
        <w:jc w:val="both"/>
        <w:rPr>
          <w:rFonts w:ascii="Times New Roman" w:hAnsi="Times New Roman"/>
          <w:color w:val="000000"/>
          <w:sz w:val="26"/>
          <w:szCs w:val="26"/>
        </w:rPr>
      </w:pPr>
      <w:r w:rsidRPr="0005054E">
        <w:rPr>
          <w:rFonts w:ascii="Times New Roman" w:hAnsi="Times New Roman"/>
          <w:color w:val="000000"/>
          <w:sz w:val="26"/>
          <w:szCs w:val="26"/>
        </w:rPr>
        <w:t>In its issuance advice letter dated _______ __, 2013, the Applicant has set forth the fol</w:t>
      </w:r>
      <w:r>
        <w:rPr>
          <w:rFonts w:ascii="Times New Roman" w:hAnsi="Times New Roman"/>
          <w:color w:val="000000"/>
          <w:sz w:val="26"/>
          <w:szCs w:val="26"/>
        </w:rPr>
        <w:softHyphen/>
      </w:r>
      <w:r w:rsidRPr="0005054E">
        <w:rPr>
          <w:rFonts w:ascii="Times New Roman" w:hAnsi="Times New Roman"/>
          <w:color w:val="000000"/>
          <w:sz w:val="26"/>
          <w:szCs w:val="26"/>
        </w:rPr>
        <w:t>lowing particulars of the PIR Bonds:</w:t>
      </w:r>
    </w:p>
    <w:p w:rsidR="00322F45" w:rsidRPr="0005054E" w:rsidRDefault="00322F45" w:rsidP="00322F45">
      <w:pPr>
        <w:pStyle w:val="NoSpacing"/>
        <w:suppressLineNumbers/>
        <w:jc w:val="both"/>
        <w:rPr>
          <w:rFonts w:ascii="Times New Roman" w:hAnsi="Times New Roman"/>
          <w:color w:val="000000"/>
          <w:sz w:val="26"/>
          <w:szCs w:val="26"/>
        </w:rPr>
      </w:pPr>
    </w:p>
    <w:p w:rsidR="00322F45" w:rsidRPr="0005054E" w:rsidRDefault="00322F45" w:rsidP="00322F45">
      <w:pPr>
        <w:pStyle w:val="NoSpacing"/>
        <w:suppressLineNumbers/>
        <w:jc w:val="both"/>
        <w:rPr>
          <w:rFonts w:ascii="Times New Roman" w:hAnsi="Times New Roman"/>
          <w:color w:val="000000"/>
          <w:sz w:val="26"/>
          <w:szCs w:val="26"/>
        </w:rPr>
      </w:pPr>
      <w:r w:rsidRPr="0005054E">
        <w:rPr>
          <w:rFonts w:ascii="Times New Roman" w:hAnsi="Times New Roman"/>
          <w:color w:val="000000"/>
          <w:sz w:val="26"/>
          <w:szCs w:val="26"/>
        </w:rPr>
        <w:t>Name of PIR Bonds: ________________</w:t>
      </w:r>
    </w:p>
    <w:p w:rsidR="00322F45" w:rsidRPr="0005054E" w:rsidRDefault="00322F45" w:rsidP="00322F45">
      <w:pPr>
        <w:pStyle w:val="NoSpacing"/>
        <w:suppressLineNumbers/>
        <w:jc w:val="both"/>
        <w:rPr>
          <w:rFonts w:ascii="Times New Roman" w:hAnsi="Times New Roman"/>
          <w:sz w:val="26"/>
          <w:szCs w:val="26"/>
        </w:rPr>
      </w:pPr>
      <w:r w:rsidRPr="0005054E">
        <w:rPr>
          <w:rFonts w:ascii="Times New Roman" w:hAnsi="Times New Roman"/>
          <w:sz w:val="26"/>
          <w:szCs w:val="26"/>
        </w:rPr>
        <w:t xml:space="preserve">PIR Bond Issuer:  </w:t>
      </w:r>
    </w:p>
    <w:p w:rsidR="00322F45" w:rsidRPr="0005054E" w:rsidRDefault="00322F45" w:rsidP="00322F45">
      <w:pPr>
        <w:pStyle w:val="NoSpacing"/>
        <w:suppressLineNumbers/>
        <w:jc w:val="both"/>
        <w:rPr>
          <w:rFonts w:ascii="Times New Roman" w:hAnsi="Times New Roman"/>
          <w:sz w:val="26"/>
          <w:szCs w:val="26"/>
        </w:rPr>
      </w:pPr>
      <w:r w:rsidRPr="0005054E">
        <w:rPr>
          <w:rFonts w:ascii="Times New Roman" w:hAnsi="Times New Roman"/>
          <w:sz w:val="26"/>
          <w:szCs w:val="26"/>
        </w:rPr>
        <w:t>SPE}</w:t>
      </w:r>
    </w:p>
    <w:p w:rsidR="00322F45" w:rsidRPr="0005054E" w:rsidRDefault="00322F45" w:rsidP="00322F45">
      <w:pPr>
        <w:pStyle w:val="NoSpacing"/>
        <w:suppressLineNumbers/>
        <w:jc w:val="both"/>
        <w:rPr>
          <w:rFonts w:ascii="Times New Roman" w:hAnsi="Times New Roman"/>
          <w:sz w:val="26"/>
          <w:szCs w:val="26"/>
        </w:rPr>
      </w:pPr>
      <w:r w:rsidRPr="0005054E">
        <w:rPr>
          <w:rFonts w:ascii="Times New Roman" w:hAnsi="Times New Roman"/>
          <w:sz w:val="26"/>
          <w:szCs w:val="26"/>
        </w:rPr>
        <w:t>Trustee:</w:t>
      </w:r>
    </w:p>
    <w:p w:rsidR="00322F45" w:rsidRPr="0005054E" w:rsidRDefault="00322F45" w:rsidP="00322F45">
      <w:pPr>
        <w:pStyle w:val="NoSpacing"/>
        <w:suppressLineNumbers/>
        <w:jc w:val="both"/>
        <w:rPr>
          <w:rFonts w:ascii="Times New Roman" w:hAnsi="Times New Roman"/>
          <w:sz w:val="26"/>
          <w:szCs w:val="26"/>
        </w:rPr>
      </w:pPr>
      <w:r w:rsidRPr="0005054E">
        <w:rPr>
          <w:rFonts w:ascii="Times New Roman" w:hAnsi="Times New Roman"/>
          <w:sz w:val="26"/>
          <w:szCs w:val="26"/>
        </w:rPr>
        <w:t>Closing date: _______, 2013</w:t>
      </w:r>
    </w:p>
    <w:p w:rsidR="00322F45" w:rsidRPr="0005054E" w:rsidRDefault="00322F45" w:rsidP="00322F45">
      <w:pPr>
        <w:pStyle w:val="NoSpacing"/>
        <w:suppressLineNumbers/>
        <w:jc w:val="both"/>
        <w:rPr>
          <w:rFonts w:ascii="Times New Roman" w:hAnsi="Times New Roman"/>
          <w:sz w:val="26"/>
          <w:szCs w:val="26"/>
        </w:rPr>
      </w:pPr>
      <w:r w:rsidRPr="0005054E">
        <w:rPr>
          <w:rFonts w:ascii="Times New Roman" w:hAnsi="Times New Roman"/>
          <w:sz w:val="26"/>
          <w:szCs w:val="26"/>
        </w:rPr>
        <w:t>Amount Issued: $ ___________</w:t>
      </w:r>
    </w:p>
    <w:p w:rsidR="00322F45" w:rsidRPr="0005054E" w:rsidRDefault="00322F45" w:rsidP="00322F45">
      <w:pPr>
        <w:pStyle w:val="NoSpacing"/>
        <w:suppressLineNumbers/>
        <w:ind w:left="3780" w:hanging="3780"/>
        <w:jc w:val="both"/>
        <w:rPr>
          <w:rFonts w:ascii="Times New Roman" w:hAnsi="Times New Roman"/>
          <w:color w:val="000000"/>
          <w:sz w:val="26"/>
          <w:szCs w:val="26"/>
        </w:rPr>
      </w:pPr>
      <w:r w:rsidRPr="0005054E">
        <w:rPr>
          <w:rFonts w:ascii="Times New Roman" w:hAnsi="Times New Roman"/>
          <w:color w:val="000000"/>
          <w:sz w:val="26"/>
          <w:szCs w:val="26"/>
        </w:rPr>
        <w:t>Expected Amortization Schedule:  See Attachment 2, Schedule A to the Issuance Advice Letter</w:t>
      </w:r>
    </w:p>
    <w:p w:rsidR="00322F45" w:rsidRPr="0005054E" w:rsidRDefault="00322F45" w:rsidP="00322F45">
      <w:pPr>
        <w:pStyle w:val="NoSpacing"/>
        <w:suppressLineNumbers/>
        <w:jc w:val="both"/>
        <w:rPr>
          <w:rFonts w:ascii="Times New Roman" w:hAnsi="Times New Roman"/>
          <w:snapToGrid w:val="0"/>
          <w:color w:val="000000"/>
          <w:sz w:val="26"/>
          <w:szCs w:val="26"/>
        </w:rPr>
      </w:pPr>
      <w:r w:rsidRPr="0005054E">
        <w:rPr>
          <w:rFonts w:ascii="Times New Roman" w:hAnsi="Times New Roman"/>
          <w:snapToGrid w:val="0"/>
          <w:color w:val="000000"/>
          <w:sz w:val="26"/>
          <w:szCs w:val="26"/>
        </w:rPr>
        <w:t>Distributions to Investors (quarterly or semi-annually):</w:t>
      </w:r>
    </w:p>
    <w:p w:rsidR="00322F45" w:rsidRPr="0005054E" w:rsidRDefault="00322F45" w:rsidP="00322F45">
      <w:pPr>
        <w:pStyle w:val="NoSpacing"/>
        <w:suppressLineNumbers/>
        <w:jc w:val="both"/>
        <w:rPr>
          <w:rFonts w:ascii="Times New Roman" w:hAnsi="Times New Roman"/>
          <w:snapToGrid w:val="0"/>
          <w:color w:val="000000"/>
          <w:sz w:val="26"/>
          <w:szCs w:val="26"/>
        </w:rPr>
      </w:pPr>
      <w:r w:rsidRPr="0005054E">
        <w:rPr>
          <w:rFonts w:ascii="Times New Roman" w:hAnsi="Times New Roman"/>
          <w:snapToGrid w:val="0"/>
          <w:color w:val="000000"/>
          <w:sz w:val="26"/>
          <w:szCs w:val="26"/>
        </w:rPr>
        <w:t>Weighted Average Coupon Rate: ___%</w:t>
      </w:r>
    </w:p>
    <w:p w:rsidR="00322F45" w:rsidRPr="0005054E" w:rsidRDefault="00322F45" w:rsidP="00322F45">
      <w:pPr>
        <w:pStyle w:val="NoSpacing"/>
        <w:suppressLineNumbers/>
        <w:jc w:val="both"/>
        <w:rPr>
          <w:rFonts w:ascii="Times New Roman" w:hAnsi="Times New Roman"/>
          <w:snapToGrid w:val="0"/>
          <w:color w:val="000000"/>
          <w:sz w:val="26"/>
          <w:szCs w:val="26"/>
        </w:rPr>
      </w:pPr>
      <w:r w:rsidRPr="0005054E">
        <w:rPr>
          <w:rFonts w:ascii="Times New Roman" w:hAnsi="Times New Roman"/>
          <w:snapToGrid w:val="0"/>
          <w:color w:val="000000"/>
          <w:sz w:val="26"/>
          <w:szCs w:val="26"/>
        </w:rPr>
        <w:t>Weighted Average Yield: ___%</w:t>
      </w:r>
    </w:p>
    <w:p w:rsidR="00322F45" w:rsidRPr="0005054E" w:rsidRDefault="00322F45" w:rsidP="00322F45">
      <w:pPr>
        <w:pStyle w:val="NoSpacing"/>
        <w:suppressLineNumbers/>
        <w:jc w:val="both"/>
        <w:rPr>
          <w:rFonts w:ascii="Times New Roman" w:hAnsi="Times New Roman"/>
          <w:snapToGrid w:val="0"/>
          <w:color w:val="000000"/>
          <w:sz w:val="26"/>
          <w:szCs w:val="26"/>
        </w:rPr>
      </w:pPr>
    </w:p>
    <w:p w:rsidR="00322F45" w:rsidRPr="0005054E" w:rsidRDefault="00322F45" w:rsidP="00322F45">
      <w:pPr>
        <w:pStyle w:val="NoSpacing"/>
        <w:suppressLineNumbers/>
        <w:jc w:val="both"/>
        <w:rPr>
          <w:rFonts w:ascii="Times New Roman" w:hAnsi="Times New Roman"/>
          <w:snapToGrid w:val="0"/>
          <w:color w:val="000000"/>
          <w:sz w:val="26"/>
          <w:szCs w:val="26"/>
        </w:rPr>
      </w:pPr>
      <w:r w:rsidRPr="0005054E">
        <w:rPr>
          <w:rFonts w:ascii="Times New Roman" w:hAnsi="Times New Roman"/>
          <w:snapToGrid w:val="0"/>
          <w:color w:val="000000"/>
          <w:sz w:val="26"/>
          <w:szCs w:val="26"/>
        </w:rPr>
        <w:t>The following actions were taken in connection with the design, structuring and pricing of the PIR Bonds:</w:t>
      </w:r>
    </w:p>
    <w:p w:rsidR="00322F45" w:rsidRPr="0005054E" w:rsidRDefault="00322F45" w:rsidP="00322F45">
      <w:pPr>
        <w:pStyle w:val="NoSpacing"/>
        <w:suppressLineNumbers/>
        <w:jc w:val="both"/>
        <w:rPr>
          <w:rFonts w:ascii="Times New Roman" w:hAnsi="Times New Roman"/>
          <w:snapToGrid w:val="0"/>
          <w:color w:val="000000"/>
          <w:sz w:val="26"/>
          <w:szCs w:val="26"/>
        </w:rPr>
      </w:pPr>
    </w:p>
    <w:p w:rsidR="00322F45" w:rsidRPr="0005054E" w:rsidRDefault="00322F45" w:rsidP="00322F45">
      <w:pPr>
        <w:pStyle w:val="NoSpacing"/>
        <w:suppressLineNumbers/>
        <w:jc w:val="both"/>
        <w:rPr>
          <w:rFonts w:ascii="Times New Roman" w:hAnsi="Times New Roman"/>
          <w:snapToGrid w:val="0"/>
          <w:color w:val="000000"/>
          <w:sz w:val="26"/>
          <w:szCs w:val="26"/>
        </w:rPr>
      </w:pPr>
      <w:r w:rsidRPr="0005054E">
        <w:rPr>
          <w:rFonts w:ascii="Times New Roman" w:hAnsi="Times New Roman"/>
          <w:snapToGrid w:val="0"/>
          <w:color w:val="000000"/>
          <w:sz w:val="26"/>
          <w:szCs w:val="26"/>
        </w:rPr>
        <w:t>&lt;</w:t>
      </w:r>
      <w:r w:rsidRPr="0005054E">
        <w:rPr>
          <w:rFonts w:ascii="Times New Roman" w:hAnsi="Times New Roman"/>
          <w:i/>
          <w:snapToGrid w:val="0"/>
          <w:color w:val="000000"/>
          <w:sz w:val="26"/>
          <w:szCs w:val="26"/>
        </w:rPr>
        <w:t>Insert actions actually taken here</w:t>
      </w:r>
      <w:r w:rsidRPr="0005054E">
        <w:rPr>
          <w:rFonts w:ascii="Times New Roman" w:hAnsi="Times New Roman"/>
          <w:snapToGrid w:val="0"/>
          <w:color w:val="000000"/>
          <w:sz w:val="26"/>
          <w:szCs w:val="26"/>
        </w:rPr>
        <w:t>&gt;</w:t>
      </w:r>
    </w:p>
    <w:p w:rsidR="00322F45" w:rsidRPr="0005054E" w:rsidRDefault="00322F45" w:rsidP="00322F45">
      <w:pPr>
        <w:pStyle w:val="NoSpacing"/>
        <w:suppressLineNumbers/>
        <w:ind w:left="180" w:hanging="180"/>
        <w:jc w:val="both"/>
        <w:rPr>
          <w:rFonts w:ascii="Times New Roman" w:hAnsi="Times New Roman"/>
          <w:sz w:val="26"/>
          <w:szCs w:val="26"/>
        </w:rPr>
      </w:pPr>
    </w:p>
    <w:p w:rsidR="008669CD" w:rsidRDefault="008669CD" w:rsidP="00322F45">
      <w:pPr>
        <w:pStyle w:val="NoSpacing"/>
        <w:suppressLineNumbers/>
        <w:ind w:left="180" w:hanging="180"/>
        <w:jc w:val="both"/>
        <w:rPr>
          <w:rFonts w:ascii="Times New Roman" w:hAnsi="Times New Roman"/>
          <w:sz w:val="26"/>
          <w:szCs w:val="26"/>
        </w:rPr>
        <w:sectPr w:rsidR="008669CD" w:rsidSect="003B12DD">
          <w:headerReference w:type="default" r:id="rId49"/>
          <w:footerReference w:type="default" r:id="rId50"/>
          <w:headerReference w:type="first" r:id="rId51"/>
          <w:footerReference w:type="first" r:id="rId52"/>
          <w:footnotePr>
            <w:numRestart w:val="eachSect"/>
          </w:footnotePr>
          <w:pgSz w:w="12240" w:h="15840" w:code="1"/>
          <w:pgMar w:top="1440" w:right="1440" w:bottom="1440" w:left="1440" w:header="720" w:footer="720" w:gutter="0"/>
          <w:pgNumType w:start="1"/>
          <w:cols w:space="720"/>
          <w:titlePg/>
          <w:docGrid w:linePitch="360"/>
        </w:sectPr>
      </w:pPr>
    </w:p>
    <w:p w:rsidR="00322F45" w:rsidRPr="0005054E" w:rsidRDefault="00322F45" w:rsidP="00322F45">
      <w:pPr>
        <w:pStyle w:val="NoSpacing"/>
        <w:suppressLineNumbers/>
        <w:ind w:left="180" w:hanging="180"/>
        <w:jc w:val="both"/>
        <w:rPr>
          <w:rFonts w:ascii="Times New Roman" w:hAnsi="Times New Roman"/>
          <w:sz w:val="26"/>
          <w:szCs w:val="26"/>
        </w:rPr>
      </w:pPr>
    </w:p>
    <w:p w:rsidR="00322F45" w:rsidRPr="0005054E" w:rsidRDefault="00322F45" w:rsidP="00322F45">
      <w:pPr>
        <w:pStyle w:val="NoSpacing"/>
        <w:suppressLineNumbers/>
        <w:jc w:val="both"/>
        <w:rPr>
          <w:rFonts w:ascii="Times New Roman" w:hAnsi="Times New Roman"/>
          <w:sz w:val="26"/>
          <w:szCs w:val="26"/>
        </w:rPr>
      </w:pPr>
      <w:r w:rsidRPr="0005054E">
        <w:rPr>
          <w:rFonts w:ascii="Times New Roman" w:hAnsi="Times New Roman"/>
          <w:sz w:val="26"/>
          <w:szCs w:val="26"/>
        </w:rPr>
        <w:t>Based upon the information reasonably available to its officers, agents, and employees of the Applicants, the Applicants hereby certify that the structuring and pricing of the PIR Bonds, as described in the issuance advice letter, will result in the lowest PIR bond charges consistent with market conditions and the terms of the Financing Order (includ</w:t>
      </w:r>
      <w:r>
        <w:rPr>
          <w:rFonts w:ascii="Times New Roman" w:hAnsi="Times New Roman"/>
          <w:sz w:val="26"/>
          <w:szCs w:val="26"/>
        </w:rPr>
        <w:softHyphen/>
      </w:r>
      <w:r w:rsidRPr="0005054E">
        <w:rPr>
          <w:rFonts w:ascii="Times New Roman" w:hAnsi="Times New Roman"/>
          <w:sz w:val="26"/>
          <w:szCs w:val="26"/>
        </w:rPr>
        <w:t xml:space="preserve">ing the amortization structure, if any, ordered by the Commission).  [Applicants further certify that they reasonably expect the small amount of original issue discount associated with the PIR Bonds to provide benefits greater than its costs.] </w:t>
      </w:r>
    </w:p>
    <w:p w:rsidR="00322F45" w:rsidRPr="0005054E" w:rsidRDefault="00322F45" w:rsidP="00322F45">
      <w:pPr>
        <w:pStyle w:val="NoSpacing"/>
        <w:suppressLineNumbers/>
        <w:jc w:val="both"/>
        <w:rPr>
          <w:rFonts w:ascii="Times New Roman" w:hAnsi="Times New Roman"/>
          <w:sz w:val="26"/>
          <w:szCs w:val="26"/>
        </w:rPr>
      </w:pPr>
    </w:p>
    <w:p w:rsidR="00322F45" w:rsidRPr="0005054E" w:rsidRDefault="00322F45" w:rsidP="00322F45">
      <w:pPr>
        <w:pStyle w:val="NoSpacing"/>
        <w:suppressLineNumbers/>
        <w:jc w:val="both"/>
        <w:rPr>
          <w:rFonts w:ascii="Times New Roman" w:hAnsi="Times New Roman"/>
          <w:sz w:val="26"/>
          <w:szCs w:val="26"/>
        </w:rPr>
      </w:pPr>
      <w:r w:rsidRPr="0005054E">
        <w:rPr>
          <w:rFonts w:ascii="Times New Roman" w:hAnsi="Times New Roman"/>
          <w:sz w:val="26"/>
          <w:szCs w:val="26"/>
        </w:rPr>
        <w:t>The forgoing certifications do not mean that lower PIR Bond charges could not have been achieved under different market conditions, or that structuring and pricing the PIR Bonds under conditions not permitted by the financing Order could not also have achieved lower PIR Bond charges.</w:t>
      </w:r>
    </w:p>
    <w:p w:rsidR="00322F45" w:rsidRPr="0005054E" w:rsidRDefault="00322F45" w:rsidP="00322F45">
      <w:pPr>
        <w:pStyle w:val="NoSpacing"/>
        <w:suppressLineNumbers/>
        <w:jc w:val="both"/>
        <w:rPr>
          <w:rFonts w:ascii="Times New Roman" w:hAnsi="Times New Roman"/>
          <w:sz w:val="26"/>
          <w:szCs w:val="26"/>
        </w:rPr>
      </w:pPr>
    </w:p>
    <w:p w:rsidR="00322F45" w:rsidRPr="0005054E" w:rsidRDefault="00322F45" w:rsidP="00322F45">
      <w:pPr>
        <w:pStyle w:val="NoSpacing"/>
        <w:suppressLineNumbers/>
        <w:jc w:val="both"/>
        <w:rPr>
          <w:rFonts w:ascii="Times New Roman" w:hAnsi="Times New Roman"/>
          <w:sz w:val="26"/>
          <w:szCs w:val="26"/>
        </w:rPr>
      </w:pPr>
      <w:r w:rsidRPr="0005054E">
        <w:rPr>
          <w:rFonts w:ascii="Times New Roman" w:hAnsi="Times New Roman"/>
          <w:sz w:val="26"/>
          <w:szCs w:val="26"/>
        </w:rPr>
        <w:t>The Applicants are delivering this Certification to the Commission solely to assist the Commission in establishing compliance with the aforementioned standard.  The Appli</w:t>
      </w:r>
      <w:r>
        <w:rPr>
          <w:rFonts w:ascii="Times New Roman" w:hAnsi="Times New Roman"/>
          <w:sz w:val="26"/>
          <w:szCs w:val="26"/>
        </w:rPr>
        <w:softHyphen/>
      </w:r>
      <w:r w:rsidRPr="0005054E">
        <w:rPr>
          <w:rFonts w:ascii="Times New Roman" w:hAnsi="Times New Roman"/>
          <w:sz w:val="26"/>
          <w:szCs w:val="26"/>
        </w:rPr>
        <w:t>cants specifically disclaims any responsibility to any other person for the contents of this Certification, whether such person claims rights directly or as third-party beneficiary.</w:t>
      </w:r>
    </w:p>
    <w:p w:rsidR="00322F45" w:rsidRPr="0005054E" w:rsidRDefault="00322F45" w:rsidP="00322F45">
      <w:pPr>
        <w:pStyle w:val="NoSpacing"/>
        <w:suppressLineNumbers/>
        <w:jc w:val="both"/>
        <w:rPr>
          <w:rFonts w:ascii="Times New Roman" w:hAnsi="Times New Roman"/>
          <w:sz w:val="26"/>
          <w:szCs w:val="26"/>
        </w:rPr>
      </w:pPr>
    </w:p>
    <w:p w:rsidR="00322F45" w:rsidRPr="0005054E" w:rsidRDefault="00322F45" w:rsidP="00322F45">
      <w:pPr>
        <w:pStyle w:val="NoSpacing"/>
        <w:suppressLineNumbers/>
        <w:jc w:val="both"/>
        <w:rPr>
          <w:rFonts w:ascii="Times New Roman" w:hAnsi="Times New Roman"/>
          <w:sz w:val="26"/>
          <w:szCs w:val="26"/>
        </w:rPr>
      </w:pPr>
    </w:p>
    <w:p w:rsidR="00322F45" w:rsidRPr="0005054E" w:rsidRDefault="00322F45" w:rsidP="00322F45">
      <w:pPr>
        <w:pStyle w:val="NoSpacing"/>
        <w:suppressLineNumbers/>
        <w:ind w:left="2160"/>
        <w:jc w:val="both"/>
        <w:rPr>
          <w:rFonts w:ascii="Times New Roman" w:hAnsi="Times New Roman"/>
          <w:sz w:val="26"/>
          <w:szCs w:val="26"/>
        </w:rPr>
      </w:pPr>
      <w:r w:rsidRPr="0005054E">
        <w:rPr>
          <w:rFonts w:ascii="Times New Roman" w:hAnsi="Times New Roman"/>
          <w:sz w:val="26"/>
          <w:szCs w:val="26"/>
        </w:rPr>
        <w:t>Respectfully submitted,</w:t>
      </w:r>
    </w:p>
    <w:p w:rsidR="00322F45" w:rsidRPr="0005054E" w:rsidRDefault="00322F45" w:rsidP="00322F45">
      <w:pPr>
        <w:pStyle w:val="NoSpacing"/>
        <w:suppressLineNumbers/>
        <w:jc w:val="both"/>
        <w:rPr>
          <w:rFonts w:ascii="Times New Roman" w:hAnsi="Times New Roman"/>
          <w:sz w:val="26"/>
          <w:szCs w:val="26"/>
        </w:rPr>
      </w:pPr>
    </w:p>
    <w:p w:rsidR="00322F45" w:rsidRPr="0005054E" w:rsidRDefault="00322F45" w:rsidP="00322F45">
      <w:pPr>
        <w:pStyle w:val="NoSpacing"/>
        <w:suppressLineNumbers/>
        <w:ind w:left="2160" w:right="-270"/>
        <w:jc w:val="both"/>
        <w:rPr>
          <w:rFonts w:ascii="Times New Roman" w:hAnsi="Times New Roman"/>
          <w:sz w:val="26"/>
          <w:szCs w:val="26"/>
        </w:rPr>
      </w:pPr>
      <w:r w:rsidRPr="0005054E">
        <w:rPr>
          <w:rFonts w:ascii="Times New Roman" w:hAnsi="Times New Roman"/>
          <w:sz w:val="26"/>
          <w:szCs w:val="26"/>
        </w:rPr>
        <w:t>OHIO EDISON COMPANY</w:t>
      </w:r>
    </w:p>
    <w:p w:rsidR="00322F45" w:rsidRPr="0005054E" w:rsidRDefault="00322F45" w:rsidP="00322F45">
      <w:pPr>
        <w:pStyle w:val="NoSpacing"/>
        <w:suppressLineNumbers/>
        <w:ind w:left="2160" w:right="-270"/>
        <w:jc w:val="both"/>
        <w:rPr>
          <w:rFonts w:ascii="Times New Roman" w:hAnsi="Times New Roman"/>
          <w:sz w:val="26"/>
          <w:szCs w:val="26"/>
        </w:rPr>
      </w:pPr>
      <w:r w:rsidRPr="0005054E">
        <w:rPr>
          <w:rFonts w:ascii="Times New Roman" w:hAnsi="Times New Roman"/>
          <w:sz w:val="26"/>
          <w:szCs w:val="26"/>
        </w:rPr>
        <w:t>THE CLEVELAND ELECTRIC ILLUMINATING COMPANY</w:t>
      </w:r>
    </w:p>
    <w:p w:rsidR="00322F45" w:rsidRPr="0005054E" w:rsidRDefault="00322F45" w:rsidP="00322F45">
      <w:pPr>
        <w:pStyle w:val="NoSpacing"/>
        <w:suppressLineNumbers/>
        <w:ind w:left="2160" w:right="-270"/>
        <w:jc w:val="both"/>
        <w:rPr>
          <w:rFonts w:ascii="Times New Roman" w:hAnsi="Times New Roman"/>
          <w:sz w:val="26"/>
          <w:szCs w:val="26"/>
        </w:rPr>
      </w:pPr>
      <w:r w:rsidRPr="0005054E">
        <w:rPr>
          <w:rFonts w:ascii="Times New Roman" w:hAnsi="Times New Roman"/>
          <w:sz w:val="26"/>
          <w:szCs w:val="26"/>
        </w:rPr>
        <w:t>THE TOLEDO EDISON COMPANY</w:t>
      </w:r>
    </w:p>
    <w:p w:rsidR="00322F45" w:rsidRPr="0005054E" w:rsidRDefault="00322F45" w:rsidP="00322F45">
      <w:pPr>
        <w:pStyle w:val="NoSpacing"/>
        <w:suppressLineNumbers/>
        <w:jc w:val="both"/>
        <w:rPr>
          <w:rFonts w:ascii="Times New Roman" w:hAnsi="Times New Roman"/>
          <w:sz w:val="26"/>
          <w:szCs w:val="26"/>
        </w:rPr>
      </w:pPr>
    </w:p>
    <w:p w:rsidR="00322F45" w:rsidRPr="0005054E" w:rsidRDefault="00322F45" w:rsidP="00322F45">
      <w:pPr>
        <w:pStyle w:val="NoSpacing"/>
        <w:suppressLineNumbers/>
        <w:jc w:val="both"/>
        <w:rPr>
          <w:rFonts w:ascii="Times New Roman" w:hAnsi="Times New Roman"/>
          <w:sz w:val="26"/>
          <w:szCs w:val="26"/>
        </w:rPr>
      </w:pPr>
    </w:p>
    <w:p w:rsidR="00322F45" w:rsidRPr="0005054E" w:rsidRDefault="00322F45" w:rsidP="00322F45">
      <w:pPr>
        <w:pStyle w:val="NoSpacing"/>
        <w:suppressLineNumbers/>
        <w:ind w:left="2160"/>
        <w:jc w:val="both"/>
        <w:rPr>
          <w:rFonts w:ascii="Times New Roman" w:hAnsi="Times New Roman"/>
          <w:sz w:val="26"/>
          <w:szCs w:val="26"/>
        </w:rPr>
      </w:pPr>
      <w:r w:rsidRPr="0005054E">
        <w:rPr>
          <w:rFonts w:ascii="Times New Roman" w:hAnsi="Times New Roman"/>
          <w:sz w:val="26"/>
          <w:szCs w:val="26"/>
        </w:rPr>
        <w:t>By:___________________________</w:t>
      </w:r>
    </w:p>
    <w:p w:rsidR="00322F45" w:rsidRPr="0005054E" w:rsidRDefault="00322F45" w:rsidP="00322F45">
      <w:pPr>
        <w:pStyle w:val="NoSpacing"/>
        <w:suppressLineNumbers/>
        <w:ind w:left="2160"/>
        <w:jc w:val="both"/>
        <w:rPr>
          <w:rFonts w:ascii="Times New Roman" w:hAnsi="Times New Roman"/>
          <w:sz w:val="26"/>
          <w:szCs w:val="26"/>
        </w:rPr>
      </w:pPr>
      <w:r w:rsidRPr="0005054E">
        <w:rPr>
          <w:rFonts w:ascii="Times New Roman" w:hAnsi="Times New Roman"/>
          <w:sz w:val="26"/>
          <w:szCs w:val="26"/>
        </w:rPr>
        <w:t>Name:__________________</w:t>
      </w:r>
    </w:p>
    <w:p w:rsidR="00322F45" w:rsidRPr="0005054E" w:rsidRDefault="00322F45" w:rsidP="00322F45">
      <w:pPr>
        <w:pStyle w:val="NoSpacing"/>
        <w:suppressLineNumbers/>
        <w:ind w:left="2160"/>
        <w:jc w:val="both"/>
        <w:rPr>
          <w:rFonts w:ascii="Times New Roman" w:hAnsi="Times New Roman"/>
          <w:sz w:val="26"/>
          <w:szCs w:val="26"/>
        </w:rPr>
      </w:pPr>
      <w:r w:rsidRPr="0005054E">
        <w:rPr>
          <w:rFonts w:ascii="Times New Roman" w:hAnsi="Times New Roman"/>
          <w:sz w:val="26"/>
          <w:szCs w:val="26"/>
        </w:rPr>
        <w:t>Title:________________</w:t>
      </w:r>
    </w:p>
    <w:p w:rsidR="00322F45" w:rsidRPr="009928CF" w:rsidRDefault="00322F45" w:rsidP="00322F45">
      <w:pPr>
        <w:suppressLineNumbers/>
        <w:jc w:val="both"/>
        <w:rPr>
          <w:rFonts w:ascii="Book Antiqua" w:hAnsi="Book Antiqua"/>
          <w:sz w:val="24"/>
          <w:szCs w:val="24"/>
        </w:rPr>
      </w:pPr>
    </w:p>
    <w:p w:rsidR="00977F01" w:rsidRPr="00DF3D54" w:rsidRDefault="00977F01" w:rsidP="00200A0A">
      <w:pPr>
        <w:ind w:left="4332"/>
        <w:jc w:val="both"/>
        <w:rPr>
          <w:sz w:val="26"/>
          <w:szCs w:val="26"/>
        </w:rPr>
      </w:pPr>
    </w:p>
    <w:sectPr w:rsidR="00977F01" w:rsidRPr="00DF3D54" w:rsidSect="003B12DD">
      <w:headerReference w:type="first" r:id="rId53"/>
      <w:footnotePr>
        <w:numRestart w:val="eachSect"/>
      </w:footnotePr>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E75" w:rsidRDefault="00592E75" w:rsidP="008866FC">
      <w:pPr>
        <w:pStyle w:val="Title"/>
      </w:pPr>
      <w:r>
        <w:separator/>
      </w:r>
    </w:p>
  </w:endnote>
  <w:endnote w:type="continuationSeparator" w:id="0">
    <w:p w:rsidR="00592E75" w:rsidRDefault="00592E75" w:rsidP="008866FC">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Bold">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Antiqua,Bold">
    <w:panose1 w:val="00000000000000000000"/>
    <w:charset w:val="00"/>
    <w:family w:val="auto"/>
    <w:notTrueType/>
    <w:pitch w:val="default"/>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E75" w:rsidRDefault="00592E75" w:rsidP="003B12DD">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E75" w:rsidRPr="00536C13" w:rsidRDefault="00592E75" w:rsidP="00536C13">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E75" w:rsidRPr="007F5520" w:rsidRDefault="00592E75" w:rsidP="003B12DD">
    <w:pPr>
      <w:pStyle w:val="Footer"/>
      <w:jc w:val="center"/>
      <w:rPr>
        <w:sz w:val="24"/>
        <w:szCs w:val="24"/>
      </w:rPr>
    </w:pPr>
    <w:r w:rsidRPr="007F5520">
      <w:rPr>
        <w:rStyle w:val="PageNumber"/>
        <w:sz w:val="24"/>
        <w:szCs w:val="24"/>
      </w:rPr>
      <w:fldChar w:fldCharType="begin"/>
    </w:r>
    <w:r w:rsidRPr="007F5520">
      <w:rPr>
        <w:rStyle w:val="PageNumber"/>
        <w:sz w:val="24"/>
        <w:szCs w:val="24"/>
      </w:rPr>
      <w:instrText xml:space="preserve"> PAGE </w:instrText>
    </w:r>
    <w:r w:rsidRPr="007F5520">
      <w:rPr>
        <w:rStyle w:val="PageNumber"/>
        <w:sz w:val="24"/>
        <w:szCs w:val="24"/>
      </w:rPr>
      <w:fldChar w:fldCharType="separate"/>
    </w:r>
    <w:r>
      <w:rPr>
        <w:rStyle w:val="PageNumber"/>
        <w:noProof/>
        <w:sz w:val="24"/>
        <w:szCs w:val="24"/>
      </w:rPr>
      <w:t>2</w:t>
    </w:r>
    <w:r w:rsidRPr="007F5520">
      <w:rPr>
        <w:rStyle w:val="PageNumber"/>
        <w:sz w:val="24"/>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E75" w:rsidRPr="00536C13" w:rsidRDefault="00592E75" w:rsidP="00536C13">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E75" w:rsidRPr="00536C13" w:rsidRDefault="00592E75" w:rsidP="00536C13">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E75" w:rsidRPr="00536C13" w:rsidRDefault="00592E75" w:rsidP="00536C13">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E75" w:rsidRPr="00533F87" w:rsidRDefault="00592E75" w:rsidP="00533F87">
    <w:pPr>
      <w:pStyle w:val="Footer"/>
      <w:jc w:val="center"/>
      <w:rPr>
        <w:sz w:val="24"/>
        <w:szCs w:val="24"/>
      </w:rPr>
    </w:pPr>
    <w:r w:rsidRPr="00533F87">
      <w:rPr>
        <w:sz w:val="24"/>
        <w:szCs w:val="24"/>
      </w:rPr>
      <w:fldChar w:fldCharType="begin"/>
    </w:r>
    <w:r w:rsidRPr="00533F87">
      <w:rPr>
        <w:sz w:val="24"/>
        <w:szCs w:val="24"/>
      </w:rPr>
      <w:instrText xml:space="preserve"> PAGE   \* MERGEFORMAT </w:instrText>
    </w:r>
    <w:r w:rsidRPr="00533F87">
      <w:rPr>
        <w:sz w:val="24"/>
        <w:szCs w:val="24"/>
      </w:rPr>
      <w:fldChar w:fldCharType="separate"/>
    </w:r>
    <w:r>
      <w:rPr>
        <w:noProof/>
        <w:sz w:val="24"/>
        <w:szCs w:val="24"/>
      </w:rPr>
      <w:t>2</w:t>
    </w:r>
    <w:r w:rsidRPr="00533F87">
      <w:rPr>
        <w:noProof/>
        <w:sz w:val="24"/>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E75" w:rsidRPr="00536C13" w:rsidRDefault="00592E75" w:rsidP="00536C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E75" w:rsidRPr="007F5520" w:rsidRDefault="00592E75" w:rsidP="003B12DD">
    <w:pPr>
      <w:pStyle w:val="Footer"/>
      <w:jc w:val="center"/>
      <w:rPr>
        <w:sz w:val="24"/>
        <w:szCs w:val="24"/>
      </w:rPr>
    </w:pPr>
    <w:r w:rsidRPr="007F5520">
      <w:rPr>
        <w:rStyle w:val="PageNumber"/>
        <w:sz w:val="24"/>
        <w:szCs w:val="24"/>
      </w:rPr>
      <w:fldChar w:fldCharType="begin"/>
    </w:r>
    <w:r w:rsidRPr="007F5520">
      <w:rPr>
        <w:rStyle w:val="PageNumber"/>
        <w:sz w:val="24"/>
        <w:szCs w:val="24"/>
      </w:rPr>
      <w:instrText xml:space="preserve"> PAGE </w:instrText>
    </w:r>
    <w:r w:rsidRPr="007F5520">
      <w:rPr>
        <w:rStyle w:val="PageNumber"/>
        <w:sz w:val="24"/>
        <w:szCs w:val="24"/>
      </w:rPr>
      <w:fldChar w:fldCharType="separate"/>
    </w:r>
    <w:r w:rsidR="00F6072A">
      <w:rPr>
        <w:rStyle w:val="PageNumber"/>
        <w:noProof/>
        <w:sz w:val="24"/>
        <w:szCs w:val="24"/>
      </w:rPr>
      <w:t>ii</w:t>
    </w:r>
    <w:r w:rsidRPr="007F5520">
      <w:rPr>
        <w:rStyle w:val="PageNumbe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E75" w:rsidRPr="00C95499" w:rsidRDefault="00592E75" w:rsidP="00C95499">
    <w:pPr>
      <w:pStyle w:val="Footer"/>
      <w:jc w:val="center"/>
      <w:rPr>
        <w:sz w:val="26"/>
        <w:szCs w:val="26"/>
      </w:rPr>
    </w:pPr>
    <w:r w:rsidRPr="00C95499">
      <w:rPr>
        <w:sz w:val="26"/>
        <w:szCs w:val="26"/>
      </w:rPr>
      <w:fldChar w:fldCharType="begin"/>
    </w:r>
    <w:r w:rsidRPr="00C95499">
      <w:rPr>
        <w:sz w:val="26"/>
        <w:szCs w:val="26"/>
      </w:rPr>
      <w:instrText xml:space="preserve"> PAGE   \* MERGEFORMAT </w:instrText>
    </w:r>
    <w:r w:rsidRPr="00C95499">
      <w:rPr>
        <w:sz w:val="26"/>
        <w:szCs w:val="26"/>
      </w:rPr>
      <w:fldChar w:fldCharType="separate"/>
    </w:r>
    <w:r w:rsidR="00F6072A">
      <w:rPr>
        <w:noProof/>
        <w:sz w:val="26"/>
        <w:szCs w:val="26"/>
      </w:rPr>
      <w:t>i</w:t>
    </w:r>
    <w:r w:rsidRPr="00C95499">
      <w:rPr>
        <w:sz w:val="26"/>
        <w:szCs w:val="2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E75" w:rsidRPr="007F5520" w:rsidRDefault="00592E75" w:rsidP="003B12DD">
    <w:pPr>
      <w:pStyle w:val="Footer"/>
      <w:jc w:val="center"/>
      <w:rPr>
        <w:sz w:val="24"/>
        <w:szCs w:val="24"/>
      </w:rPr>
    </w:pPr>
    <w:r w:rsidRPr="007F5520">
      <w:rPr>
        <w:rStyle w:val="PageNumber"/>
        <w:sz w:val="24"/>
        <w:szCs w:val="24"/>
      </w:rPr>
      <w:fldChar w:fldCharType="begin"/>
    </w:r>
    <w:r w:rsidRPr="007F5520">
      <w:rPr>
        <w:rStyle w:val="PageNumber"/>
        <w:sz w:val="24"/>
        <w:szCs w:val="24"/>
      </w:rPr>
      <w:instrText xml:space="preserve"> PAGE </w:instrText>
    </w:r>
    <w:r w:rsidRPr="007F5520">
      <w:rPr>
        <w:rStyle w:val="PageNumber"/>
        <w:sz w:val="24"/>
        <w:szCs w:val="24"/>
      </w:rPr>
      <w:fldChar w:fldCharType="separate"/>
    </w:r>
    <w:r w:rsidR="00F6072A">
      <w:rPr>
        <w:rStyle w:val="PageNumber"/>
        <w:noProof/>
        <w:sz w:val="24"/>
        <w:szCs w:val="24"/>
      </w:rPr>
      <w:t>32</w:t>
    </w:r>
    <w:r w:rsidRPr="007F5520">
      <w:rPr>
        <w:rStyle w:val="PageNumber"/>
        <w:sz w:val="24"/>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E75" w:rsidRPr="00536C13" w:rsidRDefault="00592E75" w:rsidP="00536C1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E75" w:rsidRPr="007F5520" w:rsidRDefault="00592E75" w:rsidP="003B12DD">
    <w:pPr>
      <w:pStyle w:val="Footer"/>
      <w:jc w:val="center"/>
      <w:rPr>
        <w:sz w:val="24"/>
        <w:szCs w:val="24"/>
      </w:rPr>
    </w:pPr>
    <w:r w:rsidRPr="007F5520">
      <w:rPr>
        <w:rStyle w:val="PageNumber"/>
        <w:sz w:val="24"/>
        <w:szCs w:val="24"/>
      </w:rPr>
      <w:fldChar w:fldCharType="begin"/>
    </w:r>
    <w:r w:rsidRPr="007F5520">
      <w:rPr>
        <w:rStyle w:val="PageNumber"/>
        <w:sz w:val="24"/>
        <w:szCs w:val="24"/>
      </w:rPr>
      <w:instrText xml:space="preserve"> PAGE </w:instrText>
    </w:r>
    <w:r w:rsidRPr="007F5520">
      <w:rPr>
        <w:rStyle w:val="PageNumber"/>
        <w:sz w:val="24"/>
        <w:szCs w:val="24"/>
      </w:rPr>
      <w:fldChar w:fldCharType="separate"/>
    </w:r>
    <w:r>
      <w:rPr>
        <w:rStyle w:val="PageNumber"/>
        <w:noProof/>
        <w:sz w:val="24"/>
        <w:szCs w:val="24"/>
      </w:rPr>
      <w:t>2</w:t>
    </w:r>
    <w:r w:rsidRPr="007F5520">
      <w:rPr>
        <w:rStyle w:val="PageNumber"/>
        <w:sz w:val="24"/>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E75" w:rsidRPr="00536C13" w:rsidRDefault="00592E75" w:rsidP="00536C13">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E75" w:rsidRPr="00536C13" w:rsidRDefault="00592E75" w:rsidP="00536C13">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E75" w:rsidRPr="00536C13" w:rsidRDefault="00592E75" w:rsidP="00536C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E75" w:rsidRDefault="00592E75" w:rsidP="00663D6A">
      <w:pPr>
        <w:pStyle w:val="Title"/>
        <w:jc w:val="left"/>
      </w:pPr>
      <w:r>
        <w:separator/>
      </w:r>
    </w:p>
  </w:footnote>
  <w:footnote w:type="continuationSeparator" w:id="0">
    <w:p w:rsidR="00592E75" w:rsidRDefault="00592E75" w:rsidP="008866FC">
      <w:pPr>
        <w:pStyle w:val="Title"/>
      </w:pPr>
      <w:r>
        <w:continuationSeparator/>
      </w:r>
    </w:p>
  </w:footnote>
  <w:footnote w:id="1">
    <w:p w:rsidR="0092757B" w:rsidRDefault="00592E75" w:rsidP="0092757B">
      <w:pPr>
        <w:pStyle w:val="FootnoteText"/>
      </w:pPr>
      <w:r>
        <w:rPr>
          <w:rStyle w:val="FootnoteReference"/>
        </w:rPr>
        <w:footnoteRef/>
      </w:r>
      <w:r w:rsidR="0092757B">
        <w:t xml:space="preserve"> </w:t>
      </w:r>
      <w:r w:rsidRPr="00536C13">
        <w:t xml:space="preserve">Up-front financing costs expected to be allocated based upon Phase-in Cost amounts assuming a SEC-registered </w:t>
      </w:r>
    </w:p>
    <w:p w:rsidR="00592E75" w:rsidRPr="00536C13" w:rsidRDefault="0092757B" w:rsidP="0092757B">
      <w:pPr>
        <w:pStyle w:val="FootnoteText"/>
      </w:pPr>
      <w:r>
        <w:t xml:space="preserve">   </w:t>
      </w:r>
      <w:r w:rsidR="00592E75" w:rsidRPr="00536C13">
        <w:t>single combined offering, unless otherwise noted.</w:t>
      </w:r>
    </w:p>
  </w:footnote>
  <w:footnote w:id="2">
    <w:p w:rsidR="00592E75" w:rsidRDefault="00592E75" w:rsidP="0092757B">
      <w:pPr>
        <w:pStyle w:val="FootnoteText"/>
      </w:pPr>
      <w:r>
        <w:rPr>
          <w:rStyle w:val="FootnoteReference"/>
        </w:rPr>
        <w:footnoteRef/>
      </w:r>
      <w:r w:rsidR="0092757B">
        <w:t xml:space="preserve"> </w:t>
      </w:r>
      <w:r w:rsidRPr="0005054E">
        <w:t>Based upon current fee schedules applied to issuance amounts which change from time to time.</w:t>
      </w:r>
    </w:p>
  </w:footnote>
  <w:footnote w:id="3">
    <w:p w:rsidR="00592E75" w:rsidRDefault="00592E75" w:rsidP="0092757B">
      <w:pPr>
        <w:pStyle w:val="FootnoteText"/>
      </w:pPr>
      <w:r>
        <w:rPr>
          <w:rStyle w:val="FootnoteReference"/>
        </w:rPr>
        <w:footnoteRef/>
      </w:r>
      <w:r w:rsidR="0092757B">
        <w:t xml:space="preserve"> </w:t>
      </w:r>
      <w:r w:rsidRPr="0005054E">
        <w:t>Based upon current fee level of $0.0000393 applied to issuance amounts</w:t>
      </w:r>
    </w:p>
  </w:footnote>
  <w:footnote w:id="4">
    <w:p w:rsidR="00592E75" w:rsidRDefault="00592E75" w:rsidP="0092757B">
      <w:pPr>
        <w:pStyle w:val="FootnoteText"/>
      </w:pPr>
      <w:r>
        <w:rPr>
          <w:rStyle w:val="FootnoteReference"/>
        </w:rPr>
        <w:footnoteRef/>
      </w:r>
      <w:r w:rsidR="0092757B">
        <w:t xml:space="preserve"> </w:t>
      </w:r>
      <w:r w:rsidRPr="0005054E">
        <w:t>Assumes $100,000 per utility.</w:t>
      </w:r>
    </w:p>
  </w:footnote>
  <w:footnote w:id="5">
    <w:p w:rsidR="00592E75" w:rsidRDefault="00592E75" w:rsidP="0092757B">
      <w:pPr>
        <w:pStyle w:val="FootnoteText"/>
      </w:pPr>
      <w:r>
        <w:rPr>
          <w:rStyle w:val="FootnoteReference"/>
        </w:rPr>
        <w:footnoteRef/>
      </w:r>
      <w:r w:rsidR="0092757B">
        <w:t xml:space="preserve"> </w:t>
      </w:r>
      <w:r w:rsidRPr="0005054E">
        <w:t>Based upon fee level of 0.50% applied to issuance amounts.</w:t>
      </w:r>
    </w:p>
  </w:footnote>
  <w:footnote w:id="6">
    <w:p w:rsidR="0092757B" w:rsidRDefault="00592E75" w:rsidP="0092757B">
      <w:pPr>
        <w:pStyle w:val="FootnoteText"/>
      </w:pPr>
      <w:r>
        <w:rPr>
          <w:rStyle w:val="FootnoteReference"/>
        </w:rPr>
        <w:footnoteRef/>
      </w:r>
      <w:r w:rsidR="0092757B">
        <w:t xml:space="preserve"> </w:t>
      </w:r>
      <w:r w:rsidRPr="0005054E">
        <w:t xml:space="preserve">Unforeseen expenses, if any, will be descried in the Final Financing Order following the issuance of the Phase-in </w:t>
      </w:r>
    </w:p>
    <w:p w:rsidR="00592E75" w:rsidRDefault="0092757B" w:rsidP="0092757B">
      <w:pPr>
        <w:pStyle w:val="FootnoteText"/>
      </w:pPr>
      <w:r>
        <w:t xml:space="preserve">   </w:t>
      </w:r>
      <w:r w:rsidR="00592E75" w:rsidRPr="0005054E">
        <w:t>Recovery Bonds.</w:t>
      </w:r>
    </w:p>
  </w:footnote>
  <w:footnote w:id="7">
    <w:p w:rsidR="00592E75" w:rsidRDefault="00592E75" w:rsidP="0092757B">
      <w:pPr>
        <w:pStyle w:val="FootnoteText"/>
      </w:pPr>
      <w:r>
        <w:rPr>
          <w:rStyle w:val="FootnoteReference"/>
        </w:rPr>
        <w:footnoteRef/>
      </w:r>
      <w:r w:rsidR="0092757B">
        <w:t xml:space="preserve"> </w:t>
      </w:r>
      <w:r w:rsidRPr="0005054E">
        <w:t xml:space="preserve">Will vary depending upon market conditions and timing </w:t>
      </w:r>
      <w:r>
        <w:t xml:space="preserve">method </w:t>
      </w:r>
      <w:r w:rsidRPr="0005054E">
        <w:t>of debt retirement.</w:t>
      </w:r>
    </w:p>
  </w:footnote>
  <w:footnote w:id="8">
    <w:p w:rsidR="0092757B" w:rsidRDefault="00592E75" w:rsidP="0092757B">
      <w:pPr>
        <w:pStyle w:val="FootnoteText"/>
      </w:pPr>
      <w:r>
        <w:rPr>
          <w:rStyle w:val="FootnoteReference"/>
        </w:rPr>
        <w:footnoteRef/>
      </w:r>
      <w:r w:rsidR="0092757B">
        <w:t xml:space="preserve"> </w:t>
      </w:r>
      <w:r w:rsidRPr="00536C13">
        <w:t xml:space="preserve">Ongoing financing costs expected to be allocated rateably based upon issuance amount assuming a SEC-registered </w:t>
      </w:r>
    </w:p>
    <w:p w:rsidR="00592E75" w:rsidRPr="00536C13" w:rsidRDefault="0092757B" w:rsidP="0092757B">
      <w:pPr>
        <w:pStyle w:val="FootnoteText"/>
      </w:pPr>
      <w:r>
        <w:t xml:space="preserve">  </w:t>
      </w:r>
      <w:r w:rsidR="00592E75" w:rsidRPr="00536C13">
        <w:t>single combined offering.</w:t>
      </w:r>
    </w:p>
  </w:footnote>
  <w:footnote w:id="9">
    <w:p w:rsidR="00592E75" w:rsidRDefault="00592E75" w:rsidP="0092757B">
      <w:pPr>
        <w:pStyle w:val="FootnoteText"/>
      </w:pPr>
      <w:r>
        <w:rPr>
          <w:rStyle w:val="FootnoteReference"/>
        </w:rPr>
        <w:footnoteRef/>
      </w:r>
      <w:r w:rsidR="0092757B">
        <w:t xml:space="preserve"> </w:t>
      </w:r>
      <w:r w:rsidRPr="0005054E">
        <w:t>Assumes each Applicant acts as servicer and earns annu</w:t>
      </w:r>
      <w:r>
        <w:t>al</w:t>
      </w:r>
      <w:r w:rsidRPr="0005054E">
        <w:t xml:space="preserve"> servicing fees equal to 0.10% of issuance amount.</w:t>
      </w:r>
    </w:p>
  </w:footnote>
  <w:footnote w:id="10">
    <w:p w:rsidR="00592E75" w:rsidRDefault="00592E75" w:rsidP="0092757B">
      <w:pPr>
        <w:pStyle w:val="FootnoteText"/>
      </w:pPr>
      <w:r>
        <w:rPr>
          <w:rStyle w:val="FootnoteReference"/>
        </w:rPr>
        <w:footnoteRef/>
      </w:r>
      <w:r w:rsidR="0092757B">
        <w:t xml:space="preserve"> </w:t>
      </w:r>
      <w:r w:rsidRPr="0005054E">
        <w:t xml:space="preserve"> Based upon current scheduled fee levels.</w:t>
      </w:r>
    </w:p>
  </w:footnote>
  <w:footnote w:id="11">
    <w:p w:rsidR="0092757B" w:rsidRDefault="00592E75" w:rsidP="0092757B">
      <w:pPr>
        <w:pStyle w:val="FootnoteText"/>
      </w:pPr>
      <w:r>
        <w:rPr>
          <w:rStyle w:val="FootnoteReference"/>
        </w:rPr>
        <w:footnoteRef/>
      </w:r>
      <w:r w:rsidR="0092757B">
        <w:t xml:space="preserve"> </w:t>
      </w:r>
      <w:r w:rsidRPr="0005054E">
        <w:t xml:space="preserve">Assumes each Applicant funds reserve </w:t>
      </w:r>
      <w:r>
        <w:t>account</w:t>
      </w:r>
      <w:r w:rsidRPr="0005054E">
        <w:t xml:space="preserve"> equal to 0.50% of issuance amount and earns an annual rate o</w:t>
      </w:r>
      <w:r>
        <w:t>f</w:t>
      </w:r>
      <w:r w:rsidRPr="0005054E">
        <w:t xml:space="preserve"> </w:t>
      </w:r>
    </w:p>
    <w:p w:rsidR="00592E75" w:rsidRDefault="0092757B" w:rsidP="0092757B">
      <w:pPr>
        <w:pStyle w:val="FootnoteText"/>
      </w:pPr>
      <w:r>
        <w:t xml:space="preserve">   </w:t>
      </w:r>
      <w:r w:rsidR="00592E75" w:rsidRPr="0005054E">
        <w:t>return of 6.85% thereon.</w:t>
      </w:r>
    </w:p>
  </w:footnote>
  <w:footnote w:id="12">
    <w:p w:rsidR="00592E75" w:rsidRDefault="00592E75" w:rsidP="0092757B">
      <w:pPr>
        <w:pStyle w:val="FootnoteText"/>
      </w:pPr>
      <w:r>
        <w:rPr>
          <w:rStyle w:val="FootnoteReference"/>
        </w:rPr>
        <w:footnoteRef/>
      </w:r>
      <w:r w:rsidR="0092757B">
        <w:t xml:space="preserve"> </w:t>
      </w:r>
      <w:r w:rsidRPr="0005054E">
        <w:t xml:space="preserve">Assumes each </w:t>
      </w:r>
      <w:r>
        <w:t xml:space="preserve">securitization </w:t>
      </w:r>
      <w:r w:rsidRPr="0005054E">
        <w:t>SPE is required to pay a 0.8% annual tax on amounts funded in capital account.</w:t>
      </w:r>
    </w:p>
  </w:footnote>
  <w:footnote w:id="13">
    <w:p w:rsidR="00592E75" w:rsidRDefault="00592E75" w:rsidP="0092757B">
      <w:pPr>
        <w:pStyle w:val="FootnoteText"/>
      </w:pPr>
      <w:r>
        <w:rPr>
          <w:rStyle w:val="FootnoteReference"/>
        </w:rPr>
        <w:footnoteRef/>
      </w:r>
      <w:r w:rsidR="0092757B">
        <w:t xml:space="preserve"> </w:t>
      </w:r>
      <w:r w:rsidRPr="0005054E">
        <w:rPr>
          <w:vertAlign w:val="superscript"/>
        </w:rPr>
        <w:t xml:space="preserve"> </w:t>
      </w:r>
      <w:r w:rsidRPr="0005054E">
        <w:t>From Attachment 2, Schedule A, of the Staff Comments and Recommendations.</w:t>
      </w:r>
    </w:p>
  </w:footnote>
  <w:footnote w:id="14">
    <w:p w:rsidR="00592E75" w:rsidRDefault="00592E75" w:rsidP="0092757B">
      <w:pPr>
        <w:pStyle w:val="FootnoteText"/>
      </w:pPr>
      <w:r>
        <w:rPr>
          <w:rStyle w:val="FootnoteReference"/>
        </w:rPr>
        <w:footnoteRef/>
      </w:r>
      <w:r w:rsidR="0092757B">
        <w:t xml:space="preserve"> </w:t>
      </w:r>
      <w:r w:rsidRPr="0005054E">
        <w:t>From Attachment 2, Schedule B, of the Staff Comments and Recommendations.</w:t>
      </w:r>
    </w:p>
  </w:footnote>
  <w:footnote w:id="15">
    <w:p w:rsidR="00592E75" w:rsidRDefault="00592E75" w:rsidP="0092757B">
      <w:pPr>
        <w:pStyle w:val="FootnoteText"/>
      </w:pPr>
      <w:r>
        <w:rPr>
          <w:rStyle w:val="FootnoteReference"/>
        </w:rPr>
        <w:footnoteRef/>
      </w:r>
      <w:r w:rsidR="0092757B">
        <w:t xml:space="preserve"> </w:t>
      </w:r>
      <w:r w:rsidRPr="0005054E">
        <w:t>Sum of PIR Bond payments and ongoing costs</w:t>
      </w:r>
    </w:p>
  </w:footnote>
  <w:footnote w:id="16">
    <w:p w:rsidR="00592E75" w:rsidRDefault="00592E75" w:rsidP="0092757B">
      <w:pPr>
        <w:pStyle w:val="FootnoteText"/>
      </w:pPr>
      <w:r>
        <w:rPr>
          <w:rStyle w:val="FootnoteReference"/>
        </w:rPr>
        <w:footnoteRef/>
      </w:r>
      <w:r w:rsidR="0092757B">
        <w:t xml:space="preserve"> </w:t>
      </w:r>
      <w:r w:rsidRPr="0005054E">
        <w:t>The discount rate used is the weighted average effective annual interest rate of the PIR bonds.</w:t>
      </w:r>
    </w:p>
    <w:p w:rsidR="00592E75" w:rsidRDefault="00592E75" w:rsidP="0092757B">
      <w:pPr>
        <w:pStyle w:val="FootnoteText"/>
      </w:pPr>
    </w:p>
  </w:footnote>
  <w:footnote w:id="17">
    <w:p w:rsidR="00592E75" w:rsidRDefault="00592E75" w:rsidP="0092757B">
      <w:pPr>
        <w:pStyle w:val="FootnoteText"/>
      </w:pPr>
      <w:r>
        <w:rPr>
          <w:rStyle w:val="FootnoteReference"/>
        </w:rPr>
        <w:footnoteRef/>
      </w:r>
      <w:r>
        <w:t xml:space="preserve"> </w:t>
      </w:r>
      <w:r w:rsidRPr="0005054E">
        <w:t>Calculated in accordance with the methodology used in the Joint Application</w:t>
      </w:r>
      <w:r>
        <w:t>.</w:t>
      </w:r>
    </w:p>
  </w:footnote>
  <w:footnote w:id="18">
    <w:p w:rsidR="0092757B" w:rsidRDefault="00592E75" w:rsidP="0092757B">
      <w:pPr>
        <w:pStyle w:val="FootnoteText"/>
      </w:pPr>
      <w:r>
        <w:rPr>
          <w:rStyle w:val="FootnoteReference"/>
        </w:rPr>
        <w:footnoteRef/>
      </w:r>
      <w:r>
        <w:t xml:space="preserve"> </w:t>
      </w:r>
      <w:r w:rsidRPr="0005054E">
        <w:t>Carrying Costs</w:t>
      </w:r>
      <w:r w:rsidRPr="0005054E">
        <w:rPr>
          <w:b/>
          <w:vertAlign w:val="superscript"/>
        </w:rPr>
        <w:t xml:space="preserve"> </w:t>
      </w:r>
      <w:r w:rsidRPr="0005054E">
        <w:t>at 6.85% and the ____the term of ___ years.  The discount rate use</w:t>
      </w:r>
      <w:r w:rsidR="0092757B">
        <w:t xml:space="preserve">d is weighted average effective </w:t>
      </w:r>
    </w:p>
    <w:p w:rsidR="00592E75" w:rsidRDefault="0092757B" w:rsidP="0092757B">
      <w:pPr>
        <w:pStyle w:val="FootnoteText"/>
      </w:pPr>
      <w:r>
        <w:t xml:space="preserve">  annual</w:t>
      </w:r>
      <w:r w:rsidR="00592E75" w:rsidRPr="0005054E">
        <w:t xml:space="preserve"> interest rate of the PIR Bonds of ___%.</w:t>
      </w:r>
    </w:p>
  </w:footnote>
  <w:footnote w:id="19">
    <w:p w:rsidR="00592E75" w:rsidRDefault="00592E75" w:rsidP="0092757B">
      <w:pPr>
        <w:pStyle w:val="FootnoteText"/>
      </w:pPr>
      <w:r>
        <w:rPr>
          <w:rStyle w:val="FootnoteReference"/>
        </w:rPr>
        <w:footnoteRef/>
      </w:r>
      <w:r>
        <w:t xml:space="preserve"> </w:t>
      </w:r>
      <w:r w:rsidRPr="0005054E">
        <w:rPr>
          <w:vertAlign w:val="superscript"/>
        </w:rPr>
        <w:t xml:space="preserve"> </w:t>
      </w:r>
      <w:r w:rsidRPr="0005054E">
        <w:t>From Attachment 2, Schedule C</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E75" w:rsidRDefault="00592E75" w:rsidP="003B12DD">
    <w:pPr>
      <w:pStyle w:val="Header"/>
      <w:jc w:val="center"/>
      <w:rPr>
        <w:b/>
        <w:color w:val="FF0000"/>
      </w:rPr>
    </w:pPr>
    <w:r>
      <w:rPr>
        <w:b/>
        <w:color w:val="FF0000"/>
      </w:rPr>
      <w:t xml:space="preserve">DRAFT - </w:t>
    </w:r>
    <w:r>
      <w:rPr>
        <w:b/>
        <w:color w:val="FF0000"/>
      </w:rPr>
      <w:fldChar w:fldCharType="begin"/>
    </w:r>
    <w:r>
      <w:rPr>
        <w:b/>
        <w:color w:val="FF0000"/>
      </w:rPr>
      <w:instrText xml:space="preserve"> DATE \@ "M/d/yyyy" </w:instrText>
    </w:r>
    <w:r>
      <w:rPr>
        <w:b/>
        <w:color w:val="FF0000"/>
      </w:rPr>
      <w:fldChar w:fldCharType="separate"/>
    </w:r>
    <w:r w:rsidR="00F6072A">
      <w:rPr>
        <w:b/>
        <w:noProof/>
        <w:color w:val="FF0000"/>
      </w:rPr>
      <w:t>6/25/2012</w:t>
    </w:r>
    <w:r>
      <w:rPr>
        <w:b/>
        <w:color w:val="FF0000"/>
      </w:rPr>
      <w:fldChar w:fldCharType="end"/>
    </w:r>
    <w:r>
      <w:rPr>
        <w:b/>
        <w:color w:val="FF0000"/>
      </w:rPr>
      <w:t xml:space="preserve"> - </w:t>
    </w:r>
    <w:r>
      <w:rPr>
        <w:b/>
        <w:color w:val="FF0000"/>
      </w:rPr>
      <w:fldChar w:fldCharType="begin"/>
    </w:r>
    <w:r>
      <w:rPr>
        <w:b/>
        <w:color w:val="FF0000"/>
      </w:rPr>
      <w:instrText xml:space="preserve"> TIME \@ "h:mm:ss am/pm" </w:instrText>
    </w:r>
    <w:r>
      <w:rPr>
        <w:b/>
        <w:color w:val="FF0000"/>
      </w:rPr>
      <w:fldChar w:fldCharType="separate"/>
    </w:r>
    <w:r w:rsidR="00F6072A">
      <w:rPr>
        <w:b/>
        <w:noProof/>
        <w:color w:val="FF0000"/>
      </w:rPr>
      <w:t>2:59:11 PM</w:t>
    </w:r>
    <w:r>
      <w:rPr>
        <w:b/>
        <w:color w:val="FF0000"/>
      </w:rPr>
      <w:fldChar w:fldCharType="end"/>
    </w:r>
  </w:p>
  <w:p w:rsidR="00592E75" w:rsidRPr="003B12DD" w:rsidRDefault="00592E75" w:rsidP="003B12DD">
    <w:pPr>
      <w:pStyle w:val="Header"/>
      <w:jc w:val="center"/>
      <w:rPr>
        <w:b/>
        <w:color w:val="FF0000"/>
      </w:rPr>
    </w:pPr>
    <w:r w:rsidRPr="003B12DD">
      <w:rPr>
        <w:b/>
        <w:color w:val="FF0000"/>
      </w:rPr>
      <w:fldChar w:fldCharType="begin"/>
    </w:r>
    <w:r w:rsidRPr="003B12DD">
      <w:rPr>
        <w:b/>
        <w:color w:val="FF0000"/>
      </w:rPr>
      <w:instrText xml:space="preserve"> FILENAME \p </w:instrText>
    </w:r>
    <w:r w:rsidRPr="003B12DD">
      <w:rPr>
        <w:b/>
        <w:color w:val="FF0000"/>
      </w:rPr>
      <w:fldChar w:fldCharType="separate"/>
    </w:r>
    <w:r w:rsidR="00F6072A">
      <w:rPr>
        <w:b/>
        <w:noProof/>
        <w:color w:val="FF0000"/>
      </w:rPr>
      <w:t>\\puc\shares\Departments\Attorney General\Attorneys\McNamee\Comm. Cases\electric cases\12-1465-EL-ATS FirstEnergy\Comments 062512.docx</w:t>
    </w:r>
    <w:r w:rsidRPr="003B12DD">
      <w:rPr>
        <w:b/>
        <w:color w:val="FF0000"/>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E75" w:rsidRPr="00FD759A" w:rsidRDefault="00592E75" w:rsidP="00FD759A">
    <w:pPr>
      <w:pStyle w:val="Header"/>
      <w:jc w:val="right"/>
      <w:rPr>
        <w:sz w:val="24"/>
        <w:szCs w:val="24"/>
      </w:rPr>
    </w:pPr>
    <w:r w:rsidRPr="00FD759A">
      <w:rPr>
        <w:sz w:val="24"/>
        <w:szCs w:val="24"/>
      </w:rPr>
      <w:t>Case No. 12-1465-EL-ATS</w:t>
    </w:r>
  </w:p>
  <w:p w:rsidR="00592E75" w:rsidRPr="00FD759A" w:rsidRDefault="00592E75" w:rsidP="00FD759A">
    <w:pPr>
      <w:pStyle w:val="Header"/>
      <w:jc w:val="right"/>
      <w:rPr>
        <w:sz w:val="24"/>
        <w:szCs w:val="24"/>
      </w:rPr>
    </w:pPr>
    <w:r w:rsidRPr="00FD759A">
      <w:rPr>
        <w:sz w:val="24"/>
        <w:szCs w:val="24"/>
      </w:rPr>
      <w:t>Staff Exhibits</w:t>
    </w:r>
  </w:p>
  <w:p w:rsidR="00592E75" w:rsidRPr="00FD759A" w:rsidRDefault="00592E75" w:rsidP="00FD759A">
    <w:pPr>
      <w:pStyle w:val="Header"/>
      <w:jc w:val="right"/>
      <w:rPr>
        <w:sz w:val="24"/>
        <w:szCs w:val="24"/>
      </w:rPr>
    </w:pPr>
    <w:r w:rsidRPr="00FD759A">
      <w:rPr>
        <w:sz w:val="24"/>
        <w:szCs w:val="24"/>
      </w:rPr>
      <w:t xml:space="preserve">Page </w:t>
    </w:r>
    <w:r>
      <w:rPr>
        <w:sz w:val="24"/>
        <w:szCs w:val="24"/>
      </w:rPr>
      <w:t>4</w:t>
    </w:r>
    <w:r w:rsidRPr="00FD759A">
      <w:rPr>
        <w:sz w:val="24"/>
        <w:szCs w:val="24"/>
      </w:rPr>
      <w:t xml:space="preserve"> of 12</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E75" w:rsidRPr="00FD759A" w:rsidRDefault="00592E75" w:rsidP="003C048B">
    <w:pPr>
      <w:pStyle w:val="Header"/>
      <w:jc w:val="right"/>
      <w:rPr>
        <w:sz w:val="24"/>
        <w:szCs w:val="24"/>
      </w:rPr>
    </w:pPr>
    <w:r w:rsidRPr="00FD759A">
      <w:rPr>
        <w:sz w:val="24"/>
        <w:szCs w:val="24"/>
      </w:rPr>
      <w:t>Case No. 12-1465-EL-ATS</w:t>
    </w:r>
  </w:p>
  <w:p w:rsidR="00592E75" w:rsidRPr="00FD759A" w:rsidRDefault="00592E75" w:rsidP="003C048B">
    <w:pPr>
      <w:pStyle w:val="Header"/>
      <w:jc w:val="right"/>
      <w:rPr>
        <w:sz w:val="24"/>
        <w:szCs w:val="24"/>
      </w:rPr>
    </w:pPr>
    <w:r w:rsidRPr="00FD759A">
      <w:rPr>
        <w:sz w:val="24"/>
        <w:szCs w:val="24"/>
      </w:rPr>
      <w:t>Staff Exhibits</w:t>
    </w:r>
  </w:p>
  <w:p w:rsidR="00592E75" w:rsidRPr="00FD759A" w:rsidRDefault="00592E75" w:rsidP="003C048B">
    <w:pPr>
      <w:pStyle w:val="Header"/>
      <w:jc w:val="right"/>
      <w:rPr>
        <w:sz w:val="24"/>
        <w:szCs w:val="24"/>
      </w:rPr>
    </w:pPr>
    <w:r w:rsidRPr="00FD759A">
      <w:rPr>
        <w:sz w:val="24"/>
        <w:szCs w:val="24"/>
      </w:rPr>
      <w:t xml:space="preserve">Page </w:t>
    </w:r>
    <w:r>
      <w:rPr>
        <w:sz w:val="24"/>
        <w:szCs w:val="24"/>
      </w:rPr>
      <w:t>5</w:t>
    </w:r>
    <w:r w:rsidRPr="00FD759A">
      <w:rPr>
        <w:sz w:val="24"/>
        <w:szCs w:val="24"/>
      </w:rPr>
      <w:t xml:space="preserve"> of 12</w:t>
    </w:r>
  </w:p>
  <w:p w:rsidR="00592E75" w:rsidRPr="003C048B" w:rsidRDefault="00592E75" w:rsidP="003C048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E75" w:rsidRPr="00536C13" w:rsidRDefault="00592E75" w:rsidP="00536C1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E75" w:rsidRPr="00FD759A" w:rsidRDefault="00592E75" w:rsidP="008669CD">
    <w:pPr>
      <w:pStyle w:val="Header"/>
      <w:jc w:val="right"/>
      <w:rPr>
        <w:sz w:val="24"/>
        <w:szCs w:val="24"/>
      </w:rPr>
    </w:pPr>
    <w:r w:rsidRPr="00FD759A">
      <w:rPr>
        <w:sz w:val="24"/>
        <w:szCs w:val="24"/>
      </w:rPr>
      <w:t>Case No. 12-1465-EL-ATS</w:t>
    </w:r>
  </w:p>
  <w:p w:rsidR="00592E75" w:rsidRPr="00FD759A" w:rsidRDefault="00592E75" w:rsidP="008669CD">
    <w:pPr>
      <w:pStyle w:val="Header"/>
      <w:jc w:val="right"/>
      <w:rPr>
        <w:sz w:val="24"/>
        <w:szCs w:val="24"/>
      </w:rPr>
    </w:pPr>
    <w:r w:rsidRPr="00FD759A">
      <w:rPr>
        <w:sz w:val="24"/>
        <w:szCs w:val="24"/>
      </w:rPr>
      <w:t>Staff Exhibits</w:t>
    </w:r>
  </w:p>
  <w:p w:rsidR="00592E75" w:rsidRPr="00FD759A" w:rsidRDefault="00592E75" w:rsidP="008669CD">
    <w:pPr>
      <w:pStyle w:val="Header"/>
      <w:jc w:val="right"/>
      <w:rPr>
        <w:sz w:val="24"/>
        <w:szCs w:val="24"/>
      </w:rPr>
    </w:pPr>
    <w:r w:rsidRPr="00FD759A">
      <w:rPr>
        <w:sz w:val="24"/>
        <w:szCs w:val="24"/>
      </w:rPr>
      <w:t xml:space="preserve">Page </w:t>
    </w:r>
    <w:r>
      <w:rPr>
        <w:sz w:val="24"/>
        <w:szCs w:val="24"/>
      </w:rPr>
      <w:t>6</w:t>
    </w:r>
    <w:r w:rsidRPr="00FD759A">
      <w:rPr>
        <w:sz w:val="24"/>
        <w:szCs w:val="24"/>
      </w:rPr>
      <w:t xml:space="preserve"> of 12</w:t>
    </w:r>
  </w:p>
  <w:p w:rsidR="00592E75" w:rsidRPr="008669CD" w:rsidRDefault="00592E75" w:rsidP="008669CD">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E75" w:rsidRPr="00FD759A" w:rsidRDefault="00592E75" w:rsidP="008669CD">
    <w:pPr>
      <w:pStyle w:val="Header"/>
      <w:jc w:val="right"/>
      <w:rPr>
        <w:sz w:val="24"/>
        <w:szCs w:val="24"/>
      </w:rPr>
    </w:pPr>
    <w:r w:rsidRPr="00FD759A">
      <w:rPr>
        <w:sz w:val="24"/>
        <w:szCs w:val="24"/>
      </w:rPr>
      <w:t>Case No. 12-1465-EL-ATS</w:t>
    </w:r>
  </w:p>
  <w:p w:rsidR="00592E75" w:rsidRPr="00FD759A" w:rsidRDefault="00592E75" w:rsidP="008669CD">
    <w:pPr>
      <w:pStyle w:val="Header"/>
      <w:jc w:val="right"/>
      <w:rPr>
        <w:sz w:val="24"/>
        <w:szCs w:val="24"/>
      </w:rPr>
    </w:pPr>
    <w:r w:rsidRPr="00FD759A">
      <w:rPr>
        <w:sz w:val="24"/>
        <w:szCs w:val="24"/>
      </w:rPr>
      <w:t>Staff Exhibits</w:t>
    </w:r>
  </w:p>
  <w:p w:rsidR="00592E75" w:rsidRPr="008669CD" w:rsidRDefault="00592E75" w:rsidP="008669CD">
    <w:pPr>
      <w:pStyle w:val="Header"/>
      <w:jc w:val="right"/>
      <w:rPr>
        <w:sz w:val="24"/>
        <w:szCs w:val="24"/>
      </w:rPr>
    </w:pPr>
    <w:r w:rsidRPr="00FD759A">
      <w:rPr>
        <w:sz w:val="24"/>
        <w:szCs w:val="24"/>
      </w:rPr>
      <w:t xml:space="preserve">Page </w:t>
    </w:r>
    <w:r>
      <w:rPr>
        <w:sz w:val="24"/>
        <w:szCs w:val="24"/>
      </w:rPr>
      <w:t>7</w:t>
    </w:r>
    <w:r w:rsidRPr="00FD759A">
      <w:rPr>
        <w:sz w:val="24"/>
        <w:szCs w:val="24"/>
      </w:rPr>
      <w:t xml:space="preserve"> of 12</w:t>
    </w:r>
  </w:p>
  <w:p w:rsidR="00592E75" w:rsidRPr="008669CD" w:rsidRDefault="00592E75" w:rsidP="008669CD">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E75" w:rsidRPr="00536C13" w:rsidRDefault="00592E75" w:rsidP="00536C13">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E75" w:rsidRPr="00FD759A" w:rsidRDefault="00592E75" w:rsidP="008669CD">
    <w:pPr>
      <w:pStyle w:val="Header"/>
      <w:jc w:val="right"/>
      <w:rPr>
        <w:sz w:val="24"/>
        <w:szCs w:val="24"/>
      </w:rPr>
    </w:pPr>
    <w:r w:rsidRPr="00FD759A">
      <w:rPr>
        <w:sz w:val="24"/>
        <w:szCs w:val="24"/>
      </w:rPr>
      <w:t>Case No. 12-1465-EL-ATS</w:t>
    </w:r>
  </w:p>
  <w:p w:rsidR="00592E75" w:rsidRPr="00FD759A" w:rsidRDefault="00592E75" w:rsidP="008669CD">
    <w:pPr>
      <w:pStyle w:val="Header"/>
      <w:jc w:val="right"/>
      <w:rPr>
        <w:sz w:val="24"/>
        <w:szCs w:val="24"/>
      </w:rPr>
    </w:pPr>
    <w:r w:rsidRPr="00FD759A">
      <w:rPr>
        <w:sz w:val="24"/>
        <w:szCs w:val="24"/>
      </w:rPr>
      <w:t>Staff Exhibits</w:t>
    </w:r>
  </w:p>
  <w:p w:rsidR="00592E75" w:rsidRPr="00FD759A" w:rsidRDefault="00592E75" w:rsidP="008669CD">
    <w:pPr>
      <w:pStyle w:val="Header"/>
      <w:jc w:val="right"/>
      <w:rPr>
        <w:sz w:val="24"/>
        <w:szCs w:val="24"/>
      </w:rPr>
    </w:pPr>
    <w:r w:rsidRPr="00FD759A">
      <w:rPr>
        <w:sz w:val="24"/>
        <w:szCs w:val="24"/>
      </w:rPr>
      <w:t xml:space="preserve">Page </w:t>
    </w:r>
    <w:r>
      <w:rPr>
        <w:sz w:val="24"/>
        <w:szCs w:val="24"/>
      </w:rPr>
      <w:t>8</w:t>
    </w:r>
    <w:r w:rsidRPr="00FD759A">
      <w:rPr>
        <w:sz w:val="24"/>
        <w:szCs w:val="24"/>
      </w:rPr>
      <w:t xml:space="preserve"> of 12</w:t>
    </w:r>
  </w:p>
  <w:p w:rsidR="00592E75" w:rsidRPr="008669CD" w:rsidRDefault="00592E75" w:rsidP="008669CD">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E75" w:rsidRDefault="00592E75" w:rsidP="0005054E">
    <w:pPr>
      <w:pStyle w:val="Header"/>
      <w:jc w:val="center"/>
      <w:rPr>
        <w:b/>
        <w:color w:val="FF0000"/>
      </w:rPr>
    </w:pPr>
    <w:r w:rsidRPr="000D039F">
      <w:rPr>
        <w:b/>
        <w:color w:val="FF0000"/>
      </w:rPr>
      <w:t xml:space="preserve">DRAFT - </w:t>
    </w:r>
    <w:r w:rsidRPr="000D039F">
      <w:rPr>
        <w:b/>
        <w:color w:val="FF0000"/>
      </w:rPr>
      <w:fldChar w:fldCharType="begin"/>
    </w:r>
    <w:r w:rsidRPr="000D039F">
      <w:rPr>
        <w:b/>
        <w:color w:val="FF0000"/>
      </w:rPr>
      <w:instrText xml:space="preserve"> DATE \@ "M/d/yyyy h:mm am/pm" </w:instrText>
    </w:r>
    <w:r w:rsidRPr="000D039F">
      <w:rPr>
        <w:b/>
        <w:color w:val="FF0000"/>
      </w:rPr>
      <w:fldChar w:fldCharType="separate"/>
    </w:r>
    <w:r w:rsidR="00F6072A">
      <w:rPr>
        <w:b/>
        <w:noProof/>
        <w:color w:val="FF0000"/>
      </w:rPr>
      <w:t>6/25/2012 2:59 PM</w:t>
    </w:r>
    <w:r w:rsidRPr="000D039F">
      <w:rPr>
        <w:b/>
        <w:color w:val="FF0000"/>
      </w:rPr>
      <w:fldChar w:fldCharType="end"/>
    </w:r>
    <w:r w:rsidRPr="000D039F">
      <w:rPr>
        <w:b/>
        <w:color w:val="FF0000"/>
      </w:rPr>
      <w:t xml:space="preserve"> </w:t>
    </w:r>
  </w:p>
  <w:p w:rsidR="00592E75" w:rsidRPr="0005054E" w:rsidRDefault="00592E75" w:rsidP="0005054E">
    <w:pPr>
      <w:pStyle w:val="Header"/>
      <w:jc w:val="center"/>
      <w:rPr>
        <w:b/>
        <w:color w:val="FF0000"/>
      </w:rPr>
    </w:pPr>
    <w:r w:rsidRPr="0005054E">
      <w:rPr>
        <w:b/>
        <w:color w:val="FF0000"/>
      </w:rPr>
      <w:fldChar w:fldCharType="begin"/>
    </w:r>
    <w:r w:rsidRPr="0005054E">
      <w:rPr>
        <w:b/>
        <w:color w:val="FF0000"/>
      </w:rPr>
      <w:instrText xml:space="preserve"> FILENAME  \* Lower \p  \* MERGEFORMAT </w:instrText>
    </w:r>
    <w:r w:rsidRPr="0005054E">
      <w:rPr>
        <w:b/>
        <w:color w:val="FF0000"/>
      </w:rPr>
      <w:fldChar w:fldCharType="separate"/>
    </w:r>
    <w:r w:rsidR="00F6072A">
      <w:rPr>
        <w:b/>
        <w:noProof/>
        <w:color w:val="FF0000"/>
      </w:rPr>
      <w:t>\\puc\shares\departments\attorney general\attorneys\mcnamee\comm. cases\electric cases\12-1465-el-ats firstenergy\comments 062512.docx</w:t>
    </w:r>
    <w:r w:rsidRPr="0005054E">
      <w:rPr>
        <w:b/>
        <w:noProof/>
        <w:color w:val="FF0000"/>
      </w:rPr>
      <w:fldChar w:fldCharType="end"/>
    </w:r>
    <w:r w:rsidRPr="0005054E">
      <w:rPr>
        <w:b/>
        <w:color w:val="FF0000"/>
      </w:rPr>
      <w:t xml:space="preserve"> </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E75" w:rsidRPr="00FD759A" w:rsidRDefault="00592E75" w:rsidP="008669CD">
    <w:pPr>
      <w:pStyle w:val="Header"/>
      <w:jc w:val="right"/>
      <w:rPr>
        <w:sz w:val="24"/>
        <w:szCs w:val="24"/>
      </w:rPr>
    </w:pPr>
    <w:r w:rsidRPr="00FD759A">
      <w:rPr>
        <w:sz w:val="24"/>
        <w:szCs w:val="24"/>
      </w:rPr>
      <w:t>Case No. 12-1465-EL-ATS</w:t>
    </w:r>
  </w:p>
  <w:p w:rsidR="00592E75" w:rsidRPr="00FD759A" w:rsidRDefault="00592E75" w:rsidP="008669CD">
    <w:pPr>
      <w:pStyle w:val="Header"/>
      <w:jc w:val="right"/>
      <w:rPr>
        <w:sz w:val="24"/>
        <w:szCs w:val="24"/>
      </w:rPr>
    </w:pPr>
    <w:r w:rsidRPr="00FD759A">
      <w:rPr>
        <w:sz w:val="24"/>
        <w:szCs w:val="24"/>
      </w:rPr>
      <w:t>Staff Exhibits</w:t>
    </w:r>
  </w:p>
  <w:p w:rsidR="00592E75" w:rsidRPr="00FD759A" w:rsidRDefault="00592E75" w:rsidP="008669CD">
    <w:pPr>
      <w:pStyle w:val="Header"/>
      <w:jc w:val="right"/>
      <w:rPr>
        <w:sz w:val="24"/>
        <w:szCs w:val="24"/>
      </w:rPr>
    </w:pPr>
    <w:r w:rsidRPr="00FD759A">
      <w:rPr>
        <w:sz w:val="24"/>
        <w:szCs w:val="24"/>
      </w:rPr>
      <w:t xml:space="preserve">Page </w:t>
    </w:r>
    <w:r>
      <w:rPr>
        <w:sz w:val="24"/>
        <w:szCs w:val="24"/>
      </w:rPr>
      <w:t>9</w:t>
    </w:r>
    <w:r w:rsidRPr="00FD759A">
      <w:rPr>
        <w:sz w:val="24"/>
        <w:szCs w:val="24"/>
      </w:rPr>
      <w:t xml:space="preserve"> of 12</w:t>
    </w:r>
  </w:p>
  <w:p w:rsidR="00592E75" w:rsidRPr="008669CD" w:rsidRDefault="00592E75" w:rsidP="008669CD">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E75" w:rsidRDefault="00592E75" w:rsidP="0005054E">
    <w:pPr>
      <w:pStyle w:val="Header"/>
      <w:jc w:val="center"/>
      <w:rPr>
        <w:b/>
        <w:color w:val="FF0000"/>
      </w:rPr>
    </w:pPr>
    <w:r w:rsidRPr="000D039F">
      <w:rPr>
        <w:b/>
        <w:color w:val="FF0000"/>
      </w:rPr>
      <w:t xml:space="preserve">DRAFT - </w:t>
    </w:r>
    <w:r w:rsidRPr="000D039F">
      <w:rPr>
        <w:b/>
        <w:color w:val="FF0000"/>
      </w:rPr>
      <w:fldChar w:fldCharType="begin"/>
    </w:r>
    <w:r w:rsidRPr="000D039F">
      <w:rPr>
        <w:b/>
        <w:color w:val="FF0000"/>
      </w:rPr>
      <w:instrText xml:space="preserve"> DATE \@ "M/d/yyyy h:mm am/pm" </w:instrText>
    </w:r>
    <w:r w:rsidRPr="000D039F">
      <w:rPr>
        <w:b/>
        <w:color w:val="FF0000"/>
      </w:rPr>
      <w:fldChar w:fldCharType="separate"/>
    </w:r>
    <w:r w:rsidR="00F6072A">
      <w:rPr>
        <w:b/>
        <w:noProof/>
        <w:color w:val="FF0000"/>
      </w:rPr>
      <w:t>6/25/2012 2:59 PM</w:t>
    </w:r>
    <w:r w:rsidRPr="000D039F">
      <w:rPr>
        <w:b/>
        <w:color w:val="FF0000"/>
      </w:rPr>
      <w:fldChar w:fldCharType="end"/>
    </w:r>
    <w:r w:rsidRPr="000D039F">
      <w:rPr>
        <w:b/>
        <w:color w:val="FF0000"/>
      </w:rPr>
      <w:t xml:space="preserve"> </w:t>
    </w:r>
  </w:p>
  <w:p w:rsidR="00592E75" w:rsidRDefault="00592E75" w:rsidP="0005054E">
    <w:pPr>
      <w:pStyle w:val="Header"/>
      <w:jc w:val="center"/>
      <w:rPr>
        <w:b/>
        <w:color w:val="FF0000"/>
      </w:rPr>
    </w:pPr>
    <w:r w:rsidRPr="0005054E">
      <w:rPr>
        <w:b/>
        <w:color w:val="FF0000"/>
      </w:rPr>
      <w:fldChar w:fldCharType="begin"/>
    </w:r>
    <w:r w:rsidRPr="0005054E">
      <w:rPr>
        <w:b/>
        <w:color w:val="FF0000"/>
      </w:rPr>
      <w:instrText xml:space="preserve"> FILENAME  \* Lower \p  \* MERGEFORMAT </w:instrText>
    </w:r>
    <w:r w:rsidRPr="0005054E">
      <w:rPr>
        <w:b/>
        <w:color w:val="FF0000"/>
      </w:rPr>
      <w:fldChar w:fldCharType="separate"/>
    </w:r>
    <w:r w:rsidR="00F6072A">
      <w:rPr>
        <w:b/>
        <w:noProof/>
        <w:color w:val="FF0000"/>
      </w:rPr>
      <w:t>\\puc\shares\departments\attorney general\attorneys\mcnamee\comm. cases\electric cases\12-1465-el-ats firstenergy\comments 062512.docx</w:t>
    </w:r>
    <w:r w:rsidRPr="0005054E">
      <w:rPr>
        <w:b/>
        <w:noProof/>
        <w:color w:val="FF0000"/>
      </w:rPr>
      <w:fldChar w:fldCharType="end"/>
    </w:r>
    <w:r w:rsidRPr="0005054E">
      <w:rPr>
        <w:b/>
        <w:color w:val="FF0000"/>
      </w:rPr>
      <w:t xml:space="preserve"> </w:t>
    </w:r>
  </w:p>
  <w:p w:rsidR="00592E75" w:rsidRPr="007C4D6B" w:rsidRDefault="00592E75" w:rsidP="007C4D6B">
    <w:pPr>
      <w:pStyle w:val="Header"/>
      <w:jc w:val="right"/>
      <w:rPr>
        <w:b/>
        <w:sz w:val="28"/>
        <w:szCs w:val="28"/>
        <w:u w:val="single"/>
      </w:rPr>
    </w:pPr>
    <w:r>
      <w:rPr>
        <w:b/>
        <w:sz w:val="28"/>
        <w:szCs w:val="28"/>
        <w:u w:val="single"/>
      </w:rPr>
      <w:t>ATTACHMENT 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E75" w:rsidRDefault="00592E75" w:rsidP="00FD759A">
    <w:pPr>
      <w:pStyle w:val="Header"/>
      <w:jc w:val="center"/>
      <w:rPr>
        <w:b/>
        <w:sz w:val="28"/>
        <w:szCs w:val="28"/>
      </w:rPr>
    </w:pPr>
    <w:r>
      <w:rPr>
        <w:b/>
        <w:sz w:val="28"/>
        <w:szCs w:val="28"/>
      </w:rPr>
      <w:t>TABLE OF CONTENTS (cont’d)</w:t>
    </w:r>
  </w:p>
  <w:p w:rsidR="00592E75" w:rsidRDefault="00592E75" w:rsidP="00FD759A">
    <w:pPr>
      <w:pStyle w:val="Header"/>
      <w:jc w:val="right"/>
      <w:rPr>
        <w:b/>
        <w:sz w:val="28"/>
        <w:szCs w:val="28"/>
      </w:rPr>
    </w:pPr>
    <w:r>
      <w:rPr>
        <w:b/>
        <w:sz w:val="28"/>
        <w:szCs w:val="28"/>
      </w:rPr>
      <w:t>Page</w:t>
    </w:r>
  </w:p>
  <w:p w:rsidR="00592E75" w:rsidRPr="00FD759A" w:rsidRDefault="00592E75" w:rsidP="00FD759A">
    <w:pPr>
      <w:pStyle w:val="Header"/>
      <w:jc w:val="right"/>
      <w:rPr>
        <w:b/>
        <w:sz w:val="28"/>
        <w:szCs w:val="28"/>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E75" w:rsidRPr="00FD759A" w:rsidRDefault="00592E75" w:rsidP="008669CD">
    <w:pPr>
      <w:pStyle w:val="Header"/>
      <w:jc w:val="right"/>
      <w:rPr>
        <w:sz w:val="24"/>
        <w:szCs w:val="24"/>
      </w:rPr>
    </w:pPr>
    <w:r w:rsidRPr="00FD759A">
      <w:rPr>
        <w:sz w:val="24"/>
        <w:szCs w:val="24"/>
      </w:rPr>
      <w:t>Case No. 12-1465-EL-ATS</w:t>
    </w:r>
  </w:p>
  <w:p w:rsidR="00592E75" w:rsidRPr="00FD759A" w:rsidRDefault="00592E75" w:rsidP="008669CD">
    <w:pPr>
      <w:pStyle w:val="Header"/>
      <w:jc w:val="right"/>
      <w:rPr>
        <w:sz w:val="24"/>
        <w:szCs w:val="24"/>
      </w:rPr>
    </w:pPr>
    <w:r w:rsidRPr="00FD759A">
      <w:rPr>
        <w:sz w:val="24"/>
        <w:szCs w:val="24"/>
      </w:rPr>
      <w:t>Staff Exhibits</w:t>
    </w:r>
  </w:p>
  <w:p w:rsidR="00592E75" w:rsidRPr="00FD759A" w:rsidRDefault="00592E75" w:rsidP="008669CD">
    <w:pPr>
      <w:pStyle w:val="Header"/>
      <w:jc w:val="right"/>
      <w:rPr>
        <w:sz w:val="24"/>
        <w:szCs w:val="24"/>
      </w:rPr>
    </w:pPr>
    <w:r w:rsidRPr="00FD759A">
      <w:rPr>
        <w:sz w:val="24"/>
        <w:szCs w:val="24"/>
      </w:rPr>
      <w:t xml:space="preserve">Page </w:t>
    </w:r>
    <w:r>
      <w:rPr>
        <w:sz w:val="24"/>
        <w:szCs w:val="24"/>
      </w:rPr>
      <w:t>10</w:t>
    </w:r>
    <w:r w:rsidRPr="00FD759A">
      <w:rPr>
        <w:sz w:val="24"/>
        <w:szCs w:val="24"/>
      </w:rPr>
      <w:t xml:space="preserve"> of 12</w:t>
    </w:r>
  </w:p>
  <w:p w:rsidR="00592E75" w:rsidRPr="008669CD" w:rsidRDefault="00592E75" w:rsidP="008669CD">
    <w:pPr>
      <w:pStyle w:val="Header"/>
    </w:pPr>
  </w:p>
  <w:p w:rsidR="00592E75" w:rsidRPr="008669CD" w:rsidRDefault="00592E75" w:rsidP="008669CD">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E75" w:rsidRPr="007C4D6B" w:rsidRDefault="00592E75" w:rsidP="007C4D6B">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E75" w:rsidRPr="00FD759A" w:rsidRDefault="00592E75" w:rsidP="008669CD">
    <w:pPr>
      <w:pStyle w:val="Header"/>
      <w:jc w:val="right"/>
      <w:rPr>
        <w:sz w:val="24"/>
        <w:szCs w:val="24"/>
      </w:rPr>
    </w:pPr>
    <w:r w:rsidRPr="00FD759A">
      <w:rPr>
        <w:sz w:val="24"/>
        <w:szCs w:val="24"/>
      </w:rPr>
      <w:t>Case No. 12-1465-EL-ATS</w:t>
    </w:r>
  </w:p>
  <w:p w:rsidR="00592E75" w:rsidRPr="00FD759A" w:rsidRDefault="00592E75" w:rsidP="008669CD">
    <w:pPr>
      <w:pStyle w:val="Header"/>
      <w:jc w:val="right"/>
      <w:rPr>
        <w:sz w:val="24"/>
        <w:szCs w:val="24"/>
      </w:rPr>
    </w:pPr>
    <w:r w:rsidRPr="00FD759A">
      <w:rPr>
        <w:sz w:val="24"/>
        <w:szCs w:val="24"/>
      </w:rPr>
      <w:t>Staff Exhibits</w:t>
    </w:r>
  </w:p>
  <w:p w:rsidR="00592E75" w:rsidRPr="00FD759A" w:rsidRDefault="00592E75" w:rsidP="008669CD">
    <w:pPr>
      <w:pStyle w:val="Header"/>
      <w:jc w:val="right"/>
      <w:rPr>
        <w:sz w:val="24"/>
        <w:szCs w:val="24"/>
      </w:rPr>
    </w:pPr>
    <w:r w:rsidRPr="00FD759A">
      <w:rPr>
        <w:sz w:val="24"/>
        <w:szCs w:val="24"/>
      </w:rPr>
      <w:t xml:space="preserve">Page </w:t>
    </w:r>
    <w:r>
      <w:rPr>
        <w:sz w:val="24"/>
        <w:szCs w:val="24"/>
      </w:rPr>
      <w:t>11</w:t>
    </w:r>
    <w:r w:rsidRPr="00FD759A">
      <w:rPr>
        <w:sz w:val="24"/>
        <w:szCs w:val="24"/>
      </w:rPr>
      <w:t xml:space="preserve"> of 12</w:t>
    </w:r>
  </w:p>
  <w:p w:rsidR="00592E75" w:rsidRPr="008669CD" w:rsidRDefault="00592E75" w:rsidP="008669CD">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E75" w:rsidRPr="00FD759A" w:rsidRDefault="00592E75" w:rsidP="008669CD">
    <w:pPr>
      <w:pStyle w:val="Header"/>
      <w:jc w:val="right"/>
      <w:rPr>
        <w:sz w:val="24"/>
        <w:szCs w:val="24"/>
      </w:rPr>
    </w:pPr>
    <w:r w:rsidRPr="00FD759A">
      <w:rPr>
        <w:sz w:val="24"/>
        <w:szCs w:val="24"/>
      </w:rPr>
      <w:t>Case No. 12-1465-EL-ATS</w:t>
    </w:r>
  </w:p>
  <w:p w:rsidR="00592E75" w:rsidRPr="00FD759A" w:rsidRDefault="00592E75" w:rsidP="008669CD">
    <w:pPr>
      <w:pStyle w:val="Header"/>
      <w:jc w:val="right"/>
      <w:rPr>
        <w:sz w:val="24"/>
        <w:szCs w:val="24"/>
      </w:rPr>
    </w:pPr>
    <w:r w:rsidRPr="00FD759A">
      <w:rPr>
        <w:sz w:val="24"/>
        <w:szCs w:val="24"/>
      </w:rPr>
      <w:t>Staff Exhibits</w:t>
    </w:r>
  </w:p>
  <w:p w:rsidR="00592E75" w:rsidRPr="00FD759A" w:rsidRDefault="00592E75" w:rsidP="008669CD">
    <w:pPr>
      <w:pStyle w:val="Header"/>
      <w:jc w:val="right"/>
      <w:rPr>
        <w:sz w:val="24"/>
        <w:szCs w:val="24"/>
      </w:rPr>
    </w:pPr>
    <w:r w:rsidRPr="00FD759A">
      <w:rPr>
        <w:sz w:val="24"/>
        <w:szCs w:val="24"/>
      </w:rPr>
      <w:t xml:space="preserve">Page </w:t>
    </w:r>
    <w:r>
      <w:rPr>
        <w:sz w:val="24"/>
        <w:szCs w:val="24"/>
      </w:rPr>
      <w:t>12</w:t>
    </w:r>
    <w:r w:rsidRPr="00FD759A">
      <w:rPr>
        <w:sz w:val="24"/>
        <w:szCs w:val="24"/>
      </w:rPr>
      <w:t xml:space="preserve"> of 12</w:t>
    </w:r>
  </w:p>
  <w:p w:rsidR="00592E75" w:rsidRPr="008669CD" w:rsidRDefault="00592E75" w:rsidP="008669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E75" w:rsidRDefault="00592E75" w:rsidP="003B12DD">
    <w:pPr>
      <w:pStyle w:val="Header"/>
      <w:jc w:val="center"/>
      <w:rPr>
        <w:b/>
        <w:sz w:val="28"/>
        <w:szCs w:val="28"/>
      </w:rPr>
    </w:pPr>
    <w:r>
      <w:rPr>
        <w:b/>
        <w:sz w:val="28"/>
        <w:szCs w:val="28"/>
      </w:rPr>
      <w:t>TABLE OF CONTENTS</w:t>
    </w:r>
  </w:p>
  <w:p w:rsidR="00592E75" w:rsidRDefault="00592E75" w:rsidP="00C95499">
    <w:pPr>
      <w:pStyle w:val="Header"/>
      <w:jc w:val="right"/>
      <w:rPr>
        <w:b/>
        <w:sz w:val="28"/>
        <w:szCs w:val="28"/>
      </w:rPr>
    </w:pPr>
    <w:r>
      <w:rPr>
        <w:b/>
        <w:sz w:val="28"/>
        <w:szCs w:val="28"/>
      </w:rPr>
      <w:t>Page</w:t>
    </w:r>
  </w:p>
  <w:p w:rsidR="00592E75" w:rsidRPr="00C95499" w:rsidRDefault="00592E75" w:rsidP="00C95499">
    <w:pPr>
      <w:pStyle w:val="Header"/>
      <w:jc w:val="right"/>
      <w:rPr>
        <w:b/>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E75" w:rsidRPr="00FD759A" w:rsidRDefault="00592E75" w:rsidP="00FD759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E75" w:rsidRPr="00FD759A" w:rsidRDefault="00592E75" w:rsidP="00FD759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E75" w:rsidRPr="00536C13" w:rsidRDefault="00592E75" w:rsidP="00536C1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E75" w:rsidRPr="00FD759A" w:rsidRDefault="00592E75" w:rsidP="00FD759A">
    <w:pPr>
      <w:pStyle w:val="Header"/>
      <w:jc w:val="right"/>
      <w:rPr>
        <w:sz w:val="24"/>
        <w:szCs w:val="24"/>
      </w:rPr>
    </w:pPr>
    <w:r w:rsidRPr="00FD759A">
      <w:rPr>
        <w:sz w:val="24"/>
        <w:szCs w:val="24"/>
      </w:rPr>
      <w:t>Case No. 12-1465-EL-ATS</w:t>
    </w:r>
  </w:p>
  <w:p w:rsidR="00592E75" w:rsidRPr="00FD759A" w:rsidRDefault="00592E75" w:rsidP="00FD759A">
    <w:pPr>
      <w:pStyle w:val="Header"/>
      <w:jc w:val="right"/>
      <w:rPr>
        <w:sz w:val="24"/>
        <w:szCs w:val="24"/>
      </w:rPr>
    </w:pPr>
    <w:r w:rsidRPr="00FD759A">
      <w:rPr>
        <w:sz w:val="24"/>
        <w:szCs w:val="24"/>
      </w:rPr>
      <w:t>Staff Exhibits</w:t>
    </w:r>
  </w:p>
  <w:p w:rsidR="00592E75" w:rsidRPr="00FD759A" w:rsidRDefault="00592E75" w:rsidP="00FD759A">
    <w:pPr>
      <w:pStyle w:val="Header"/>
      <w:jc w:val="right"/>
      <w:rPr>
        <w:sz w:val="24"/>
        <w:szCs w:val="24"/>
      </w:rPr>
    </w:pPr>
    <w:r w:rsidRPr="00FD759A">
      <w:rPr>
        <w:sz w:val="24"/>
        <w:szCs w:val="24"/>
      </w:rPr>
      <w:t>Page 1 of 12</w:t>
    </w:r>
  </w:p>
  <w:p w:rsidR="00592E75" w:rsidRPr="00FD759A" w:rsidRDefault="00592E75" w:rsidP="00FD759A">
    <w:pPr>
      <w:pStyle w:val="Header"/>
      <w:jc w:val="center"/>
      <w:rPr>
        <w:b/>
        <w:sz w:val="26"/>
        <w:szCs w:val="26"/>
        <w:u w:val="single"/>
      </w:rPr>
    </w:pPr>
    <w:r w:rsidRPr="00FD759A">
      <w:rPr>
        <w:b/>
        <w:sz w:val="26"/>
        <w:szCs w:val="26"/>
        <w:u w:val="single"/>
      </w:rPr>
      <w:t>ATTACHMENT 1</w:t>
    </w:r>
  </w:p>
  <w:p w:rsidR="00592E75" w:rsidRPr="00FD759A" w:rsidRDefault="00592E75" w:rsidP="00FD759A">
    <w:pPr>
      <w:pStyle w:val="Header"/>
      <w:jc w:val="center"/>
      <w:rPr>
        <w:b/>
        <w:sz w:val="26"/>
        <w:szCs w:val="26"/>
        <w:u w:val="single"/>
      </w:rPr>
    </w:pPr>
    <w:r w:rsidRPr="00FD759A">
      <w:rPr>
        <w:b/>
        <w:sz w:val="26"/>
        <w:szCs w:val="26"/>
        <w:u w:val="single"/>
      </w:rPr>
      <w:t>FORM OF ISSUANCE ADVICE LETTER</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E75" w:rsidRPr="00FD759A" w:rsidRDefault="00592E75" w:rsidP="00FD759A">
    <w:pPr>
      <w:pStyle w:val="Header"/>
      <w:jc w:val="right"/>
      <w:rPr>
        <w:sz w:val="24"/>
        <w:szCs w:val="24"/>
      </w:rPr>
    </w:pPr>
    <w:r w:rsidRPr="00FD759A">
      <w:rPr>
        <w:sz w:val="24"/>
        <w:szCs w:val="24"/>
      </w:rPr>
      <w:t>Case No. 12-1465-EL-ATS</w:t>
    </w:r>
  </w:p>
  <w:p w:rsidR="00592E75" w:rsidRPr="00FD759A" w:rsidRDefault="00592E75" w:rsidP="00FD759A">
    <w:pPr>
      <w:pStyle w:val="Header"/>
      <w:jc w:val="right"/>
      <w:rPr>
        <w:sz w:val="24"/>
        <w:szCs w:val="24"/>
      </w:rPr>
    </w:pPr>
    <w:r w:rsidRPr="00FD759A">
      <w:rPr>
        <w:sz w:val="24"/>
        <w:szCs w:val="24"/>
      </w:rPr>
      <w:t>Staff Exhibits</w:t>
    </w:r>
  </w:p>
  <w:p w:rsidR="00592E75" w:rsidRDefault="00592E75" w:rsidP="00FD759A">
    <w:pPr>
      <w:pStyle w:val="Header"/>
      <w:jc w:val="right"/>
      <w:rPr>
        <w:sz w:val="24"/>
        <w:szCs w:val="24"/>
      </w:rPr>
    </w:pPr>
    <w:r w:rsidRPr="00FD759A">
      <w:rPr>
        <w:sz w:val="24"/>
        <w:szCs w:val="24"/>
      </w:rPr>
      <w:t xml:space="preserve">Page </w:t>
    </w:r>
    <w:r>
      <w:rPr>
        <w:sz w:val="24"/>
        <w:szCs w:val="24"/>
      </w:rPr>
      <w:t>2</w:t>
    </w:r>
    <w:r w:rsidRPr="00FD759A">
      <w:rPr>
        <w:sz w:val="24"/>
        <w:szCs w:val="24"/>
      </w:rPr>
      <w:t xml:space="preserve"> of 12</w:t>
    </w:r>
  </w:p>
  <w:p w:rsidR="00592E75" w:rsidRPr="00FD759A" w:rsidRDefault="00592E75" w:rsidP="00FD759A">
    <w:pPr>
      <w:pStyle w:val="Header"/>
      <w:jc w:val="right"/>
      <w:rPr>
        <w:sz w:val="24"/>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E75" w:rsidRPr="00FD759A" w:rsidRDefault="00592E75" w:rsidP="00FD759A">
    <w:pPr>
      <w:pStyle w:val="Header"/>
      <w:jc w:val="right"/>
      <w:rPr>
        <w:sz w:val="24"/>
        <w:szCs w:val="24"/>
      </w:rPr>
    </w:pPr>
    <w:r w:rsidRPr="00FD759A">
      <w:rPr>
        <w:sz w:val="24"/>
        <w:szCs w:val="24"/>
      </w:rPr>
      <w:t>Case No. 12-1465-EL-ATS</w:t>
    </w:r>
  </w:p>
  <w:p w:rsidR="00592E75" w:rsidRPr="00FD759A" w:rsidRDefault="00592E75" w:rsidP="00FD759A">
    <w:pPr>
      <w:pStyle w:val="Header"/>
      <w:jc w:val="right"/>
      <w:rPr>
        <w:sz w:val="24"/>
        <w:szCs w:val="24"/>
      </w:rPr>
    </w:pPr>
    <w:r w:rsidRPr="00FD759A">
      <w:rPr>
        <w:sz w:val="24"/>
        <w:szCs w:val="24"/>
      </w:rPr>
      <w:t>Staff Exhibits</w:t>
    </w:r>
  </w:p>
  <w:p w:rsidR="00592E75" w:rsidRPr="00FD759A" w:rsidRDefault="00592E75" w:rsidP="00FD759A">
    <w:pPr>
      <w:pStyle w:val="Header"/>
      <w:jc w:val="right"/>
      <w:rPr>
        <w:sz w:val="24"/>
        <w:szCs w:val="24"/>
      </w:rPr>
    </w:pPr>
    <w:r w:rsidRPr="00FD759A">
      <w:rPr>
        <w:sz w:val="24"/>
        <w:szCs w:val="24"/>
      </w:rPr>
      <w:t xml:space="preserve">Page </w:t>
    </w:r>
    <w:r>
      <w:rPr>
        <w:sz w:val="24"/>
        <w:szCs w:val="24"/>
      </w:rPr>
      <w:t>3</w:t>
    </w:r>
    <w:r w:rsidRPr="00FD759A">
      <w:rPr>
        <w:sz w:val="24"/>
        <w:szCs w:val="24"/>
      </w:rPr>
      <w:t xml:space="preserve"> of 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2649"/>
    <w:multiLevelType w:val="hybridMultilevel"/>
    <w:tmpl w:val="257C6758"/>
    <w:lvl w:ilvl="0" w:tplc="5A7A7F6E">
      <w:start w:val="8"/>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2BD4ADB"/>
    <w:multiLevelType w:val="hybridMultilevel"/>
    <w:tmpl w:val="11AAE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096FDE"/>
    <w:multiLevelType w:val="hybridMultilevel"/>
    <w:tmpl w:val="80629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F55E0E"/>
    <w:multiLevelType w:val="hybridMultilevel"/>
    <w:tmpl w:val="E522DE52"/>
    <w:lvl w:ilvl="0" w:tplc="E5080022">
      <w:start w:val="1"/>
      <w:numFmt w:val="upperLetter"/>
      <w:lvlText w:val="%1."/>
      <w:lvlJc w:val="left"/>
      <w:pPr>
        <w:ind w:left="720" w:hanging="360"/>
      </w:pPr>
      <w:rPr>
        <w:rFonts w:cs="Calibri-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1C7D2D"/>
    <w:multiLevelType w:val="hybridMultilevel"/>
    <w:tmpl w:val="D4CC52B0"/>
    <w:lvl w:ilvl="0" w:tplc="0409000F">
      <w:start w:val="1"/>
      <w:numFmt w:val="decimal"/>
      <w:lvlText w:val="%1."/>
      <w:lvlJc w:val="left"/>
      <w:pPr>
        <w:ind w:left="135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7E97A0B"/>
    <w:multiLevelType w:val="hybridMultilevel"/>
    <w:tmpl w:val="7040A612"/>
    <w:lvl w:ilvl="0" w:tplc="9FB8FC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C8846A6"/>
    <w:multiLevelType w:val="hybridMultilevel"/>
    <w:tmpl w:val="3D0E962A"/>
    <w:lvl w:ilvl="0" w:tplc="4A52BA4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B232C4"/>
    <w:multiLevelType w:val="hybridMultilevel"/>
    <w:tmpl w:val="F8CC50AC"/>
    <w:lvl w:ilvl="0" w:tplc="EFE849F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03C4DFD"/>
    <w:multiLevelType w:val="hybridMultilevel"/>
    <w:tmpl w:val="770A21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851229"/>
    <w:multiLevelType w:val="hybridMultilevel"/>
    <w:tmpl w:val="BD2E3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A1C2726"/>
    <w:multiLevelType w:val="hybridMultilevel"/>
    <w:tmpl w:val="41826F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BD2419E"/>
    <w:multiLevelType w:val="hybridMultilevel"/>
    <w:tmpl w:val="610687A6"/>
    <w:lvl w:ilvl="0" w:tplc="CC906E20">
      <w:start w:val="7"/>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31A666E0"/>
    <w:multiLevelType w:val="hybridMultilevel"/>
    <w:tmpl w:val="F2902744"/>
    <w:lvl w:ilvl="0" w:tplc="B0DA359A">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B41B6A"/>
    <w:multiLevelType w:val="hybridMultilevel"/>
    <w:tmpl w:val="3D0E962A"/>
    <w:lvl w:ilvl="0" w:tplc="4A52BA4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A2201C"/>
    <w:multiLevelType w:val="hybridMultilevel"/>
    <w:tmpl w:val="16EA6080"/>
    <w:lvl w:ilvl="0" w:tplc="4A52BA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81711F"/>
    <w:multiLevelType w:val="hybridMultilevel"/>
    <w:tmpl w:val="A6C8E54A"/>
    <w:lvl w:ilvl="0" w:tplc="0374B0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441C68"/>
    <w:multiLevelType w:val="hybridMultilevel"/>
    <w:tmpl w:val="F45C2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6175A3"/>
    <w:multiLevelType w:val="hybridMultilevel"/>
    <w:tmpl w:val="9640C224"/>
    <w:lvl w:ilvl="0" w:tplc="711240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0B7AB4"/>
    <w:multiLevelType w:val="hybridMultilevel"/>
    <w:tmpl w:val="89A27D1A"/>
    <w:lvl w:ilvl="0" w:tplc="B4FE21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0C53E6"/>
    <w:multiLevelType w:val="hybridMultilevel"/>
    <w:tmpl w:val="EDB26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21459F"/>
    <w:multiLevelType w:val="hybridMultilevel"/>
    <w:tmpl w:val="F3E8C384"/>
    <w:lvl w:ilvl="0" w:tplc="20FEF5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D7A1418"/>
    <w:multiLevelType w:val="hybridMultilevel"/>
    <w:tmpl w:val="0D3E42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nsid w:val="4D950D03"/>
    <w:multiLevelType w:val="hybridMultilevel"/>
    <w:tmpl w:val="4BCAF6D4"/>
    <w:lvl w:ilvl="0" w:tplc="E5080022">
      <w:start w:val="1"/>
      <w:numFmt w:val="upperLetter"/>
      <w:lvlText w:val="%1."/>
      <w:lvlJc w:val="left"/>
      <w:pPr>
        <w:ind w:left="720" w:hanging="360"/>
      </w:pPr>
      <w:rPr>
        <w:rFonts w:cs="Calibri-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DE0D3F"/>
    <w:multiLevelType w:val="hybridMultilevel"/>
    <w:tmpl w:val="F0CC5B84"/>
    <w:lvl w:ilvl="0" w:tplc="285CBCF0">
      <w:start w:val="1"/>
      <w:numFmt w:val="upperLetter"/>
      <w:lvlText w:val="%1."/>
      <w:lvlJc w:val="left"/>
      <w:pPr>
        <w:ind w:left="1080" w:hanging="360"/>
      </w:pPr>
      <w:rPr>
        <w:rFonts w:cs="Calibri-Bold"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28D2C0F"/>
    <w:multiLevelType w:val="hybridMultilevel"/>
    <w:tmpl w:val="4A74D22A"/>
    <w:lvl w:ilvl="0" w:tplc="49CC6D38">
      <w:start w:val="1"/>
      <w:numFmt w:val="decimal"/>
      <w:lvlText w:val="%1)"/>
      <w:lvlJc w:val="left"/>
      <w:pPr>
        <w:ind w:left="720" w:hanging="360"/>
      </w:pPr>
      <w:rPr>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400637"/>
    <w:multiLevelType w:val="hybridMultilevel"/>
    <w:tmpl w:val="83BA1954"/>
    <w:lvl w:ilvl="0" w:tplc="4A52BA4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0A21E3"/>
    <w:multiLevelType w:val="hybridMultilevel"/>
    <w:tmpl w:val="75DAA7DC"/>
    <w:lvl w:ilvl="0" w:tplc="E5080022">
      <w:start w:val="1"/>
      <w:numFmt w:val="upperLetter"/>
      <w:lvlText w:val="%1."/>
      <w:lvlJc w:val="left"/>
      <w:pPr>
        <w:ind w:left="720" w:hanging="360"/>
      </w:pPr>
      <w:rPr>
        <w:rFonts w:cs="Calibri-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FF25B6"/>
    <w:multiLevelType w:val="hybridMultilevel"/>
    <w:tmpl w:val="D4CC52B0"/>
    <w:lvl w:ilvl="0" w:tplc="0409000F">
      <w:start w:val="1"/>
      <w:numFmt w:val="decimal"/>
      <w:lvlText w:val="%1."/>
      <w:lvlJc w:val="left"/>
      <w:pPr>
        <w:ind w:left="99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B7C7F54"/>
    <w:multiLevelType w:val="hybridMultilevel"/>
    <w:tmpl w:val="79DA0366"/>
    <w:lvl w:ilvl="0" w:tplc="1BAE4F88">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422876"/>
    <w:multiLevelType w:val="hybridMultilevel"/>
    <w:tmpl w:val="9202DE2E"/>
    <w:lvl w:ilvl="0" w:tplc="E5080022">
      <w:start w:val="1"/>
      <w:numFmt w:val="upperLetter"/>
      <w:lvlText w:val="%1."/>
      <w:lvlJc w:val="left"/>
      <w:pPr>
        <w:ind w:left="720" w:hanging="360"/>
      </w:pPr>
      <w:rPr>
        <w:rFonts w:cs="Calibri-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951449"/>
    <w:multiLevelType w:val="hybridMultilevel"/>
    <w:tmpl w:val="036A4EA6"/>
    <w:lvl w:ilvl="0" w:tplc="9FB8FC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31F785C"/>
    <w:multiLevelType w:val="hybridMultilevel"/>
    <w:tmpl w:val="CB78366C"/>
    <w:lvl w:ilvl="0" w:tplc="E5080022">
      <w:start w:val="1"/>
      <w:numFmt w:val="upperLetter"/>
      <w:lvlText w:val="%1."/>
      <w:lvlJc w:val="left"/>
      <w:pPr>
        <w:ind w:left="720" w:hanging="360"/>
      </w:pPr>
      <w:rPr>
        <w:rFonts w:cs="Calibri-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381DED"/>
    <w:multiLevelType w:val="hybridMultilevel"/>
    <w:tmpl w:val="34167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AD0525"/>
    <w:multiLevelType w:val="hybridMultilevel"/>
    <w:tmpl w:val="60144AE4"/>
    <w:lvl w:ilvl="0" w:tplc="D3701192">
      <w:start w:val="1"/>
      <w:numFmt w:val="decimal"/>
      <w:lvlText w:val="(%1)"/>
      <w:lvlJc w:val="left"/>
      <w:pPr>
        <w:ind w:left="720" w:hanging="360"/>
      </w:pPr>
      <w:rPr>
        <w:rFonts w:ascii="Times New Roman" w:hAnsi="Times New Roman" w:cs="Times New Roman"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C31F3F"/>
    <w:multiLevelType w:val="hybridMultilevel"/>
    <w:tmpl w:val="8F6EF82C"/>
    <w:lvl w:ilvl="0" w:tplc="4A52BA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77168F"/>
    <w:multiLevelType w:val="hybridMultilevel"/>
    <w:tmpl w:val="27DEB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FF48D1"/>
    <w:multiLevelType w:val="hybridMultilevel"/>
    <w:tmpl w:val="D29EB3B6"/>
    <w:lvl w:ilvl="0" w:tplc="5822664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A2464C"/>
    <w:multiLevelType w:val="hybridMultilevel"/>
    <w:tmpl w:val="13782030"/>
    <w:lvl w:ilvl="0" w:tplc="CC9648B8">
      <w:start w:val="1"/>
      <w:numFmt w:val="upperRoman"/>
      <w:lvlText w:val="%1."/>
      <w:lvlJc w:val="left"/>
      <w:pPr>
        <w:ind w:left="1080" w:hanging="720"/>
      </w:pPr>
      <w:rPr>
        <w:rFonts w:cs="Calibri-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09317A"/>
    <w:multiLevelType w:val="hybridMultilevel"/>
    <w:tmpl w:val="0A804952"/>
    <w:lvl w:ilvl="0" w:tplc="732CDDF0">
      <w:start w:val="9"/>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9">
    <w:nsid w:val="712E3AD0"/>
    <w:multiLevelType w:val="hybridMultilevel"/>
    <w:tmpl w:val="1F72CFFA"/>
    <w:lvl w:ilvl="0" w:tplc="FA1CA43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519133B"/>
    <w:multiLevelType w:val="hybridMultilevel"/>
    <w:tmpl w:val="FD96E6E6"/>
    <w:lvl w:ilvl="0" w:tplc="54DA939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AB2793"/>
    <w:multiLevelType w:val="hybridMultilevel"/>
    <w:tmpl w:val="08342470"/>
    <w:lvl w:ilvl="0" w:tplc="599293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1B57B8"/>
    <w:multiLevelType w:val="hybridMultilevel"/>
    <w:tmpl w:val="2A4038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976B0F"/>
    <w:multiLevelType w:val="hybridMultilevel"/>
    <w:tmpl w:val="4A564F5A"/>
    <w:lvl w:ilvl="0" w:tplc="91C471F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C91205E"/>
    <w:multiLevelType w:val="hybridMultilevel"/>
    <w:tmpl w:val="83BA1954"/>
    <w:lvl w:ilvl="0" w:tplc="4A52BA4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1D3CAF"/>
    <w:multiLevelType w:val="hybridMultilevel"/>
    <w:tmpl w:val="7D1AE51C"/>
    <w:lvl w:ilvl="0" w:tplc="E5080022">
      <w:start w:val="1"/>
      <w:numFmt w:val="upperLetter"/>
      <w:lvlText w:val="%1."/>
      <w:lvlJc w:val="left"/>
      <w:pPr>
        <w:ind w:left="720" w:hanging="360"/>
      </w:pPr>
      <w:rPr>
        <w:rFonts w:cs="Calibri-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4"/>
  </w:num>
  <w:num w:numId="4">
    <w:abstractNumId w:val="27"/>
  </w:num>
  <w:num w:numId="5">
    <w:abstractNumId w:val="8"/>
  </w:num>
  <w:num w:numId="6">
    <w:abstractNumId w:val="24"/>
  </w:num>
  <w:num w:numId="7">
    <w:abstractNumId w:val="13"/>
  </w:num>
  <w:num w:numId="8">
    <w:abstractNumId w:val="28"/>
  </w:num>
  <w:num w:numId="9">
    <w:abstractNumId w:val="18"/>
  </w:num>
  <w:num w:numId="10">
    <w:abstractNumId w:val="33"/>
  </w:num>
  <w:num w:numId="11">
    <w:abstractNumId w:val="7"/>
  </w:num>
  <w:num w:numId="12">
    <w:abstractNumId w:val="36"/>
  </w:num>
  <w:num w:numId="13">
    <w:abstractNumId w:val="44"/>
  </w:num>
  <w:num w:numId="14">
    <w:abstractNumId w:val="34"/>
  </w:num>
  <w:num w:numId="15">
    <w:abstractNumId w:val="25"/>
  </w:num>
  <w:num w:numId="16">
    <w:abstractNumId w:val="14"/>
  </w:num>
  <w:num w:numId="17">
    <w:abstractNumId w:val="6"/>
  </w:num>
  <w:num w:numId="18">
    <w:abstractNumId w:val="40"/>
  </w:num>
  <w:num w:numId="19">
    <w:abstractNumId w:val="11"/>
  </w:num>
  <w:num w:numId="20">
    <w:abstractNumId w:val="0"/>
  </w:num>
  <w:num w:numId="21">
    <w:abstractNumId w:val="38"/>
  </w:num>
  <w:num w:numId="22">
    <w:abstractNumId w:val="35"/>
  </w:num>
  <w:num w:numId="23">
    <w:abstractNumId w:val="19"/>
  </w:num>
  <w:num w:numId="24">
    <w:abstractNumId w:val="39"/>
  </w:num>
  <w:num w:numId="25">
    <w:abstractNumId w:val="15"/>
  </w:num>
  <w:num w:numId="26">
    <w:abstractNumId w:val="42"/>
  </w:num>
  <w:num w:numId="27">
    <w:abstractNumId w:val="30"/>
  </w:num>
  <w:num w:numId="28">
    <w:abstractNumId w:val="17"/>
  </w:num>
  <w:num w:numId="29">
    <w:abstractNumId w:val="32"/>
  </w:num>
  <w:num w:numId="30">
    <w:abstractNumId w:val="21"/>
  </w:num>
  <w:num w:numId="31">
    <w:abstractNumId w:val="41"/>
  </w:num>
  <w:num w:numId="32">
    <w:abstractNumId w:val="20"/>
  </w:num>
  <w:num w:numId="33">
    <w:abstractNumId w:val="16"/>
  </w:num>
  <w:num w:numId="34">
    <w:abstractNumId w:val="5"/>
  </w:num>
  <w:num w:numId="35">
    <w:abstractNumId w:val="37"/>
  </w:num>
  <w:num w:numId="36">
    <w:abstractNumId w:val="23"/>
  </w:num>
  <w:num w:numId="37">
    <w:abstractNumId w:val="3"/>
  </w:num>
  <w:num w:numId="38">
    <w:abstractNumId w:val="10"/>
  </w:num>
  <w:num w:numId="39">
    <w:abstractNumId w:val="2"/>
  </w:num>
  <w:num w:numId="40">
    <w:abstractNumId w:val="29"/>
  </w:num>
  <w:num w:numId="41">
    <w:abstractNumId w:val="31"/>
  </w:num>
  <w:num w:numId="42">
    <w:abstractNumId w:val="26"/>
  </w:num>
  <w:num w:numId="43">
    <w:abstractNumId w:val="45"/>
  </w:num>
  <w:num w:numId="44">
    <w:abstractNumId w:val="22"/>
  </w:num>
  <w:num w:numId="45">
    <w:abstractNumId w:val="43"/>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isplayVerticalDrawingGridEvery w:val="2"/>
  <w:characterSpacingControl w:val="doNotCompress"/>
  <w:hdrShapeDefaults>
    <o:shapedefaults v:ext="edit" spidmax="6145"/>
  </w:hdrShapeDefaults>
  <w:footnotePr>
    <w:numRestart w:val="eachSec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5711"/>
    <w:rsid w:val="0000004B"/>
    <w:rsid w:val="0000052E"/>
    <w:rsid w:val="000007BF"/>
    <w:rsid w:val="00000D4C"/>
    <w:rsid w:val="0000112F"/>
    <w:rsid w:val="000018A2"/>
    <w:rsid w:val="00001B69"/>
    <w:rsid w:val="00001FF4"/>
    <w:rsid w:val="00002508"/>
    <w:rsid w:val="0000257D"/>
    <w:rsid w:val="00002779"/>
    <w:rsid w:val="000028B6"/>
    <w:rsid w:val="0000334F"/>
    <w:rsid w:val="0000378A"/>
    <w:rsid w:val="00003816"/>
    <w:rsid w:val="00003DDE"/>
    <w:rsid w:val="00003DF7"/>
    <w:rsid w:val="0000471E"/>
    <w:rsid w:val="00005932"/>
    <w:rsid w:val="00005983"/>
    <w:rsid w:val="0000598A"/>
    <w:rsid w:val="000063A0"/>
    <w:rsid w:val="00006929"/>
    <w:rsid w:val="00006CA5"/>
    <w:rsid w:val="000072B6"/>
    <w:rsid w:val="00007967"/>
    <w:rsid w:val="000100CC"/>
    <w:rsid w:val="000102E1"/>
    <w:rsid w:val="0001053B"/>
    <w:rsid w:val="00011169"/>
    <w:rsid w:val="0001278C"/>
    <w:rsid w:val="0001282B"/>
    <w:rsid w:val="00012FA7"/>
    <w:rsid w:val="00013BA9"/>
    <w:rsid w:val="00014470"/>
    <w:rsid w:val="0001485D"/>
    <w:rsid w:val="00014AA5"/>
    <w:rsid w:val="00014AB7"/>
    <w:rsid w:val="00014E4F"/>
    <w:rsid w:val="0001509B"/>
    <w:rsid w:val="00015561"/>
    <w:rsid w:val="000158AD"/>
    <w:rsid w:val="00015AA3"/>
    <w:rsid w:val="00015FD3"/>
    <w:rsid w:val="00016760"/>
    <w:rsid w:val="000168EC"/>
    <w:rsid w:val="00016F0B"/>
    <w:rsid w:val="00016F51"/>
    <w:rsid w:val="0001726D"/>
    <w:rsid w:val="00017C7D"/>
    <w:rsid w:val="00017E69"/>
    <w:rsid w:val="00020911"/>
    <w:rsid w:val="000210FA"/>
    <w:rsid w:val="0002116E"/>
    <w:rsid w:val="0002165B"/>
    <w:rsid w:val="00021B66"/>
    <w:rsid w:val="00022FE2"/>
    <w:rsid w:val="000233CC"/>
    <w:rsid w:val="00023468"/>
    <w:rsid w:val="00023CB6"/>
    <w:rsid w:val="00024063"/>
    <w:rsid w:val="000242AC"/>
    <w:rsid w:val="000242FB"/>
    <w:rsid w:val="000243E6"/>
    <w:rsid w:val="00024404"/>
    <w:rsid w:val="0002440B"/>
    <w:rsid w:val="00024852"/>
    <w:rsid w:val="000248B1"/>
    <w:rsid w:val="00024F3F"/>
    <w:rsid w:val="0002529F"/>
    <w:rsid w:val="00025A17"/>
    <w:rsid w:val="00025A18"/>
    <w:rsid w:val="00025E9C"/>
    <w:rsid w:val="00026B8B"/>
    <w:rsid w:val="000272E7"/>
    <w:rsid w:val="000276B0"/>
    <w:rsid w:val="00027830"/>
    <w:rsid w:val="00030484"/>
    <w:rsid w:val="00030496"/>
    <w:rsid w:val="00030BF0"/>
    <w:rsid w:val="00031495"/>
    <w:rsid w:val="0003150D"/>
    <w:rsid w:val="00032BB7"/>
    <w:rsid w:val="00032BE8"/>
    <w:rsid w:val="00032EB9"/>
    <w:rsid w:val="0003379D"/>
    <w:rsid w:val="00033DA4"/>
    <w:rsid w:val="00035E70"/>
    <w:rsid w:val="00036582"/>
    <w:rsid w:val="00036E40"/>
    <w:rsid w:val="00036E8F"/>
    <w:rsid w:val="00036F65"/>
    <w:rsid w:val="0003739B"/>
    <w:rsid w:val="0003745E"/>
    <w:rsid w:val="0003772B"/>
    <w:rsid w:val="00040197"/>
    <w:rsid w:val="00040428"/>
    <w:rsid w:val="000404ED"/>
    <w:rsid w:val="00040D38"/>
    <w:rsid w:val="00041996"/>
    <w:rsid w:val="00041E34"/>
    <w:rsid w:val="00041F64"/>
    <w:rsid w:val="0004228B"/>
    <w:rsid w:val="00042783"/>
    <w:rsid w:val="000428E0"/>
    <w:rsid w:val="00042E9F"/>
    <w:rsid w:val="00043027"/>
    <w:rsid w:val="000432DE"/>
    <w:rsid w:val="00043531"/>
    <w:rsid w:val="000435A1"/>
    <w:rsid w:val="00043C56"/>
    <w:rsid w:val="000441CE"/>
    <w:rsid w:val="000449BB"/>
    <w:rsid w:val="00044C55"/>
    <w:rsid w:val="00045658"/>
    <w:rsid w:val="00045C5F"/>
    <w:rsid w:val="00046D07"/>
    <w:rsid w:val="000475D8"/>
    <w:rsid w:val="0004772F"/>
    <w:rsid w:val="000479EC"/>
    <w:rsid w:val="00047A5F"/>
    <w:rsid w:val="00047A73"/>
    <w:rsid w:val="0005054E"/>
    <w:rsid w:val="0005119D"/>
    <w:rsid w:val="000512B2"/>
    <w:rsid w:val="0005178A"/>
    <w:rsid w:val="00052455"/>
    <w:rsid w:val="00052532"/>
    <w:rsid w:val="00052D81"/>
    <w:rsid w:val="0005338E"/>
    <w:rsid w:val="000534B5"/>
    <w:rsid w:val="00053737"/>
    <w:rsid w:val="00053FDD"/>
    <w:rsid w:val="000547B3"/>
    <w:rsid w:val="00054903"/>
    <w:rsid w:val="00054A1E"/>
    <w:rsid w:val="00054E4B"/>
    <w:rsid w:val="00055316"/>
    <w:rsid w:val="00055A53"/>
    <w:rsid w:val="00055C96"/>
    <w:rsid w:val="00055D80"/>
    <w:rsid w:val="00056561"/>
    <w:rsid w:val="00056D76"/>
    <w:rsid w:val="000572BC"/>
    <w:rsid w:val="000572FB"/>
    <w:rsid w:val="000577B8"/>
    <w:rsid w:val="000578E2"/>
    <w:rsid w:val="00057EE6"/>
    <w:rsid w:val="000600C1"/>
    <w:rsid w:val="000600C4"/>
    <w:rsid w:val="000600E5"/>
    <w:rsid w:val="000609A3"/>
    <w:rsid w:val="00060A34"/>
    <w:rsid w:val="00060B26"/>
    <w:rsid w:val="00060B97"/>
    <w:rsid w:val="00061116"/>
    <w:rsid w:val="00061403"/>
    <w:rsid w:val="000616D4"/>
    <w:rsid w:val="00061985"/>
    <w:rsid w:val="00061B4D"/>
    <w:rsid w:val="0006230F"/>
    <w:rsid w:val="0006236E"/>
    <w:rsid w:val="00062838"/>
    <w:rsid w:val="00062922"/>
    <w:rsid w:val="00062B35"/>
    <w:rsid w:val="00062F19"/>
    <w:rsid w:val="0006348B"/>
    <w:rsid w:val="00063B9C"/>
    <w:rsid w:val="00063D48"/>
    <w:rsid w:val="00063E72"/>
    <w:rsid w:val="00064B28"/>
    <w:rsid w:val="000650ED"/>
    <w:rsid w:val="0006523F"/>
    <w:rsid w:val="0006587B"/>
    <w:rsid w:val="000660B3"/>
    <w:rsid w:val="00066B9B"/>
    <w:rsid w:val="00067454"/>
    <w:rsid w:val="0006748E"/>
    <w:rsid w:val="00067670"/>
    <w:rsid w:val="0007021F"/>
    <w:rsid w:val="0007065E"/>
    <w:rsid w:val="0007085C"/>
    <w:rsid w:val="00070CE5"/>
    <w:rsid w:val="00070EBD"/>
    <w:rsid w:val="000712D5"/>
    <w:rsid w:val="000714A7"/>
    <w:rsid w:val="00072FC5"/>
    <w:rsid w:val="00073843"/>
    <w:rsid w:val="00073AD1"/>
    <w:rsid w:val="00073ADB"/>
    <w:rsid w:val="00074F17"/>
    <w:rsid w:val="000751ED"/>
    <w:rsid w:val="000753F8"/>
    <w:rsid w:val="00075649"/>
    <w:rsid w:val="000757CC"/>
    <w:rsid w:val="000759D8"/>
    <w:rsid w:val="000763C7"/>
    <w:rsid w:val="00076A08"/>
    <w:rsid w:val="00076ED9"/>
    <w:rsid w:val="00080488"/>
    <w:rsid w:val="0008110F"/>
    <w:rsid w:val="0008127E"/>
    <w:rsid w:val="00081594"/>
    <w:rsid w:val="000817E2"/>
    <w:rsid w:val="00082210"/>
    <w:rsid w:val="000823F4"/>
    <w:rsid w:val="00082A10"/>
    <w:rsid w:val="00082A26"/>
    <w:rsid w:val="0008354D"/>
    <w:rsid w:val="0008393D"/>
    <w:rsid w:val="00083FB0"/>
    <w:rsid w:val="00083FD5"/>
    <w:rsid w:val="000840D0"/>
    <w:rsid w:val="00084664"/>
    <w:rsid w:val="00084B88"/>
    <w:rsid w:val="00084D3A"/>
    <w:rsid w:val="00084D72"/>
    <w:rsid w:val="00084FF9"/>
    <w:rsid w:val="000852C4"/>
    <w:rsid w:val="000867AB"/>
    <w:rsid w:val="00087012"/>
    <w:rsid w:val="00087138"/>
    <w:rsid w:val="000874A8"/>
    <w:rsid w:val="00087AC3"/>
    <w:rsid w:val="0009037A"/>
    <w:rsid w:val="000904BB"/>
    <w:rsid w:val="00090853"/>
    <w:rsid w:val="000909B1"/>
    <w:rsid w:val="00090AF6"/>
    <w:rsid w:val="00090B27"/>
    <w:rsid w:val="000912DD"/>
    <w:rsid w:val="00091346"/>
    <w:rsid w:val="00092390"/>
    <w:rsid w:val="00092585"/>
    <w:rsid w:val="00092789"/>
    <w:rsid w:val="0009292E"/>
    <w:rsid w:val="00092B97"/>
    <w:rsid w:val="00092D51"/>
    <w:rsid w:val="00092FE8"/>
    <w:rsid w:val="00093EE6"/>
    <w:rsid w:val="00094437"/>
    <w:rsid w:val="000945A2"/>
    <w:rsid w:val="0009468E"/>
    <w:rsid w:val="000956F1"/>
    <w:rsid w:val="000957BC"/>
    <w:rsid w:val="000961F6"/>
    <w:rsid w:val="000962D0"/>
    <w:rsid w:val="000963CA"/>
    <w:rsid w:val="00096FE4"/>
    <w:rsid w:val="00097C21"/>
    <w:rsid w:val="00097CF3"/>
    <w:rsid w:val="00097E05"/>
    <w:rsid w:val="00097F85"/>
    <w:rsid w:val="000A002B"/>
    <w:rsid w:val="000A0399"/>
    <w:rsid w:val="000A0846"/>
    <w:rsid w:val="000A0E34"/>
    <w:rsid w:val="000A1231"/>
    <w:rsid w:val="000A136B"/>
    <w:rsid w:val="000A13D8"/>
    <w:rsid w:val="000A1418"/>
    <w:rsid w:val="000A18E4"/>
    <w:rsid w:val="000A1BBB"/>
    <w:rsid w:val="000A1FE4"/>
    <w:rsid w:val="000A3294"/>
    <w:rsid w:val="000A33FF"/>
    <w:rsid w:val="000A34BB"/>
    <w:rsid w:val="000A39EC"/>
    <w:rsid w:val="000A3F36"/>
    <w:rsid w:val="000A3FF2"/>
    <w:rsid w:val="000A42C7"/>
    <w:rsid w:val="000A48FA"/>
    <w:rsid w:val="000A4B5F"/>
    <w:rsid w:val="000A4F56"/>
    <w:rsid w:val="000A5C8D"/>
    <w:rsid w:val="000A65C5"/>
    <w:rsid w:val="000A7458"/>
    <w:rsid w:val="000A75C6"/>
    <w:rsid w:val="000A7A4B"/>
    <w:rsid w:val="000A7E0E"/>
    <w:rsid w:val="000A7EA6"/>
    <w:rsid w:val="000B016B"/>
    <w:rsid w:val="000B08E1"/>
    <w:rsid w:val="000B0933"/>
    <w:rsid w:val="000B12D9"/>
    <w:rsid w:val="000B1F8C"/>
    <w:rsid w:val="000B2BC9"/>
    <w:rsid w:val="000B3D67"/>
    <w:rsid w:val="000B3ED4"/>
    <w:rsid w:val="000B45A9"/>
    <w:rsid w:val="000B51D4"/>
    <w:rsid w:val="000B5351"/>
    <w:rsid w:val="000B539F"/>
    <w:rsid w:val="000B5509"/>
    <w:rsid w:val="000B55E4"/>
    <w:rsid w:val="000B56C8"/>
    <w:rsid w:val="000B5A11"/>
    <w:rsid w:val="000B622C"/>
    <w:rsid w:val="000B64F2"/>
    <w:rsid w:val="000B77F8"/>
    <w:rsid w:val="000B799D"/>
    <w:rsid w:val="000B7ACA"/>
    <w:rsid w:val="000C041D"/>
    <w:rsid w:val="000C07C7"/>
    <w:rsid w:val="000C1044"/>
    <w:rsid w:val="000C1A63"/>
    <w:rsid w:val="000C21C7"/>
    <w:rsid w:val="000C2400"/>
    <w:rsid w:val="000C2ADB"/>
    <w:rsid w:val="000C3AB5"/>
    <w:rsid w:val="000C3AC6"/>
    <w:rsid w:val="000C3C65"/>
    <w:rsid w:val="000C4554"/>
    <w:rsid w:val="000C45EC"/>
    <w:rsid w:val="000C4B34"/>
    <w:rsid w:val="000C4BC0"/>
    <w:rsid w:val="000C60E1"/>
    <w:rsid w:val="000C6673"/>
    <w:rsid w:val="000C66E7"/>
    <w:rsid w:val="000C6F71"/>
    <w:rsid w:val="000C6F86"/>
    <w:rsid w:val="000C70C1"/>
    <w:rsid w:val="000C715D"/>
    <w:rsid w:val="000C73B5"/>
    <w:rsid w:val="000C78F1"/>
    <w:rsid w:val="000D0355"/>
    <w:rsid w:val="000D039F"/>
    <w:rsid w:val="000D0D4D"/>
    <w:rsid w:val="000D19C3"/>
    <w:rsid w:val="000D1C6A"/>
    <w:rsid w:val="000D1F89"/>
    <w:rsid w:val="000D20DF"/>
    <w:rsid w:val="000D2DF9"/>
    <w:rsid w:val="000D3617"/>
    <w:rsid w:val="000D364C"/>
    <w:rsid w:val="000D3BD5"/>
    <w:rsid w:val="000D452B"/>
    <w:rsid w:val="000D5461"/>
    <w:rsid w:val="000D6339"/>
    <w:rsid w:val="000D651A"/>
    <w:rsid w:val="000D664F"/>
    <w:rsid w:val="000D6B4A"/>
    <w:rsid w:val="000D6C94"/>
    <w:rsid w:val="000D7094"/>
    <w:rsid w:val="000D732F"/>
    <w:rsid w:val="000D7696"/>
    <w:rsid w:val="000D77A1"/>
    <w:rsid w:val="000D7ABF"/>
    <w:rsid w:val="000E019B"/>
    <w:rsid w:val="000E0203"/>
    <w:rsid w:val="000E0248"/>
    <w:rsid w:val="000E0874"/>
    <w:rsid w:val="000E0CFE"/>
    <w:rsid w:val="000E0EF9"/>
    <w:rsid w:val="000E0F4A"/>
    <w:rsid w:val="000E10A0"/>
    <w:rsid w:val="000E1136"/>
    <w:rsid w:val="000E167A"/>
    <w:rsid w:val="000E1B82"/>
    <w:rsid w:val="000E1E4D"/>
    <w:rsid w:val="000E27A3"/>
    <w:rsid w:val="000E2F0A"/>
    <w:rsid w:val="000E384D"/>
    <w:rsid w:val="000E44B6"/>
    <w:rsid w:val="000E4692"/>
    <w:rsid w:val="000E5086"/>
    <w:rsid w:val="000E54C9"/>
    <w:rsid w:val="000E5543"/>
    <w:rsid w:val="000E5569"/>
    <w:rsid w:val="000E5B4B"/>
    <w:rsid w:val="000E5F0A"/>
    <w:rsid w:val="000E68A7"/>
    <w:rsid w:val="000E69C3"/>
    <w:rsid w:val="000E7257"/>
    <w:rsid w:val="000E7928"/>
    <w:rsid w:val="000E7F36"/>
    <w:rsid w:val="000F0A35"/>
    <w:rsid w:val="000F151C"/>
    <w:rsid w:val="000F1926"/>
    <w:rsid w:val="000F1D7D"/>
    <w:rsid w:val="000F20E4"/>
    <w:rsid w:val="000F2229"/>
    <w:rsid w:val="000F2412"/>
    <w:rsid w:val="000F28AF"/>
    <w:rsid w:val="000F2F1D"/>
    <w:rsid w:val="000F3006"/>
    <w:rsid w:val="000F32B0"/>
    <w:rsid w:val="000F3445"/>
    <w:rsid w:val="000F3B23"/>
    <w:rsid w:val="000F3EC9"/>
    <w:rsid w:val="000F42B3"/>
    <w:rsid w:val="000F48C3"/>
    <w:rsid w:val="000F4A3A"/>
    <w:rsid w:val="000F4B8F"/>
    <w:rsid w:val="000F4E6C"/>
    <w:rsid w:val="000F5448"/>
    <w:rsid w:val="000F64EB"/>
    <w:rsid w:val="000F6752"/>
    <w:rsid w:val="000F6DC9"/>
    <w:rsid w:val="000F7031"/>
    <w:rsid w:val="000F78F0"/>
    <w:rsid w:val="000F7A86"/>
    <w:rsid w:val="00100BF5"/>
    <w:rsid w:val="00100C27"/>
    <w:rsid w:val="00100C2B"/>
    <w:rsid w:val="00100D5B"/>
    <w:rsid w:val="00100E5E"/>
    <w:rsid w:val="00100F1B"/>
    <w:rsid w:val="001017BF"/>
    <w:rsid w:val="00101999"/>
    <w:rsid w:val="00101CCE"/>
    <w:rsid w:val="00101D23"/>
    <w:rsid w:val="00102029"/>
    <w:rsid w:val="001021BF"/>
    <w:rsid w:val="00102CC9"/>
    <w:rsid w:val="00102F6C"/>
    <w:rsid w:val="0010331E"/>
    <w:rsid w:val="001034B3"/>
    <w:rsid w:val="001036BA"/>
    <w:rsid w:val="00103974"/>
    <w:rsid w:val="00104DC9"/>
    <w:rsid w:val="00104F04"/>
    <w:rsid w:val="00104F51"/>
    <w:rsid w:val="00105334"/>
    <w:rsid w:val="00105459"/>
    <w:rsid w:val="00106026"/>
    <w:rsid w:val="0010642A"/>
    <w:rsid w:val="001065D4"/>
    <w:rsid w:val="00106DF9"/>
    <w:rsid w:val="0010727E"/>
    <w:rsid w:val="00107D0B"/>
    <w:rsid w:val="00110EC1"/>
    <w:rsid w:val="0011138C"/>
    <w:rsid w:val="00111505"/>
    <w:rsid w:val="00111788"/>
    <w:rsid w:val="00111A82"/>
    <w:rsid w:val="001121B5"/>
    <w:rsid w:val="001129FD"/>
    <w:rsid w:val="00112D53"/>
    <w:rsid w:val="001135A7"/>
    <w:rsid w:val="00113B72"/>
    <w:rsid w:val="00113FFF"/>
    <w:rsid w:val="00114352"/>
    <w:rsid w:val="00114A8E"/>
    <w:rsid w:val="00114AD9"/>
    <w:rsid w:val="00115341"/>
    <w:rsid w:val="001155B9"/>
    <w:rsid w:val="00115B30"/>
    <w:rsid w:val="00115F93"/>
    <w:rsid w:val="0011607F"/>
    <w:rsid w:val="001161A7"/>
    <w:rsid w:val="0011632E"/>
    <w:rsid w:val="001164BD"/>
    <w:rsid w:val="00116762"/>
    <w:rsid w:val="001167C9"/>
    <w:rsid w:val="00117C1F"/>
    <w:rsid w:val="001204A3"/>
    <w:rsid w:val="001209A3"/>
    <w:rsid w:val="00120DE2"/>
    <w:rsid w:val="00120E12"/>
    <w:rsid w:val="00120F03"/>
    <w:rsid w:val="001216E1"/>
    <w:rsid w:val="00121B21"/>
    <w:rsid w:val="001222D8"/>
    <w:rsid w:val="00122C33"/>
    <w:rsid w:val="00122ECA"/>
    <w:rsid w:val="00123562"/>
    <w:rsid w:val="00123647"/>
    <w:rsid w:val="001236A1"/>
    <w:rsid w:val="001239B8"/>
    <w:rsid w:val="00123AE0"/>
    <w:rsid w:val="00123C69"/>
    <w:rsid w:val="00124193"/>
    <w:rsid w:val="001241FC"/>
    <w:rsid w:val="001242C9"/>
    <w:rsid w:val="001244AA"/>
    <w:rsid w:val="00124B43"/>
    <w:rsid w:val="00124F7F"/>
    <w:rsid w:val="00125271"/>
    <w:rsid w:val="00125360"/>
    <w:rsid w:val="0012577F"/>
    <w:rsid w:val="00125BEC"/>
    <w:rsid w:val="0012658C"/>
    <w:rsid w:val="001275FB"/>
    <w:rsid w:val="00127D0E"/>
    <w:rsid w:val="00130423"/>
    <w:rsid w:val="0013063F"/>
    <w:rsid w:val="0013099D"/>
    <w:rsid w:val="00130AFA"/>
    <w:rsid w:val="0013111B"/>
    <w:rsid w:val="0013115F"/>
    <w:rsid w:val="0013140C"/>
    <w:rsid w:val="001318AA"/>
    <w:rsid w:val="00131A50"/>
    <w:rsid w:val="00131A6B"/>
    <w:rsid w:val="00131ABF"/>
    <w:rsid w:val="00132557"/>
    <w:rsid w:val="00132BE3"/>
    <w:rsid w:val="0013306C"/>
    <w:rsid w:val="0013329A"/>
    <w:rsid w:val="00133794"/>
    <w:rsid w:val="0013398B"/>
    <w:rsid w:val="00133C42"/>
    <w:rsid w:val="00133E58"/>
    <w:rsid w:val="001355ED"/>
    <w:rsid w:val="00135B08"/>
    <w:rsid w:val="00135B83"/>
    <w:rsid w:val="001362CC"/>
    <w:rsid w:val="0013654C"/>
    <w:rsid w:val="00136C13"/>
    <w:rsid w:val="00136E07"/>
    <w:rsid w:val="00137391"/>
    <w:rsid w:val="00137860"/>
    <w:rsid w:val="001378A9"/>
    <w:rsid w:val="00140AC2"/>
    <w:rsid w:val="00141332"/>
    <w:rsid w:val="0014180B"/>
    <w:rsid w:val="00141FA8"/>
    <w:rsid w:val="001424BB"/>
    <w:rsid w:val="001426C6"/>
    <w:rsid w:val="00142A47"/>
    <w:rsid w:val="00142AF5"/>
    <w:rsid w:val="00142B4C"/>
    <w:rsid w:val="00142D8F"/>
    <w:rsid w:val="00143048"/>
    <w:rsid w:val="001430CB"/>
    <w:rsid w:val="00143119"/>
    <w:rsid w:val="0014332E"/>
    <w:rsid w:val="001434B6"/>
    <w:rsid w:val="001438E0"/>
    <w:rsid w:val="00143AF8"/>
    <w:rsid w:val="00143B3B"/>
    <w:rsid w:val="00143B6D"/>
    <w:rsid w:val="00143DD8"/>
    <w:rsid w:val="00144412"/>
    <w:rsid w:val="00144513"/>
    <w:rsid w:val="00144561"/>
    <w:rsid w:val="00144768"/>
    <w:rsid w:val="001447FC"/>
    <w:rsid w:val="00144DE7"/>
    <w:rsid w:val="00144E48"/>
    <w:rsid w:val="00144E61"/>
    <w:rsid w:val="0014528C"/>
    <w:rsid w:val="00145D22"/>
    <w:rsid w:val="00145DC6"/>
    <w:rsid w:val="00146422"/>
    <w:rsid w:val="00146484"/>
    <w:rsid w:val="001468D7"/>
    <w:rsid w:val="00146AD0"/>
    <w:rsid w:val="00146C34"/>
    <w:rsid w:val="00146F25"/>
    <w:rsid w:val="0014715C"/>
    <w:rsid w:val="001476E6"/>
    <w:rsid w:val="0014797F"/>
    <w:rsid w:val="00147C91"/>
    <w:rsid w:val="001500B6"/>
    <w:rsid w:val="00150B32"/>
    <w:rsid w:val="0015109E"/>
    <w:rsid w:val="00151CF6"/>
    <w:rsid w:val="00151F87"/>
    <w:rsid w:val="001529D5"/>
    <w:rsid w:val="00152A4F"/>
    <w:rsid w:val="00152CD1"/>
    <w:rsid w:val="00152D0C"/>
    <w:rsid w:val="00152E77"/>
    <w:rsid w:val="00153181"/>
    <w:rsid w:val="001533A5"/>
    <w:rsid w:val="0015362A"/>
    <w:rsid w:val="00153675"/>
    <w:rsid w:val="00153898"/>
    <w:rsid w:val="00153CB2"/>
    <w:rsid w:val="00153F1C"/>
    <w:rsid w:val="00154186"/>
    <w:rsid w:val="001548F1"/>
    <w:rsid w:val="0015490F"/>
    <w:rsid w:val="001549AC"/>
    <w:rsid w:val="00154BF1"/>
    <w:rsid w:val="00154E85"/>
    <w:rsid w:val="00154F9E"/>
    <w:rsid w:val="001551E8"/>
    <w:rsid w:val="0015571B"/>
    <w:rsid w:val="00155A1B"/>
    <w:rsid w:val="00155A8A"/>
    <w:rsid w:val="00156475"/>
    <w:rsid w:val="001572D5"/>
    <w:rsid w:val="00157C78"/>
    <w:rsid w:val="00157CB5"/>
    <w:rsid w:val="00157DD8"/>
    <w:rsid w:val="0016026D"/>
    <w:rsid w:val="00160A72"/>
    <w:rsid w:val="00160FA7"/>
    <w:rsid w:val="00160FDE"/>
    <w:rsid w:val="00161205"/>
    <w:rsid w:val="0016171B"/>
    <w:rsid w:val="00161995"/>
    <w:rsid w:val="001628C0"/>
    <w:rsid w:val="001630A5"/>
    <w:rsid w:val="0016335D"/>
    <w:rsid w:val="001633F0"/>
    <w:rsid w:val="001636E0"/>
    <w:rsid w:val="001642AE"/>
    <w:rsid w:val="00164304"/>
    <w:rsid w:val="001645DD"/>
    <w:rsid w:val="0016490B"/>
    <w:rsid w:val="00164E53"/>
    <w:rsid w:val="00165049"/>
    <w:rsid w:val="0016550F"/>
    <w:rsid w:val="0016560B"/>
    <w:rsid w:val="00165BE9"/>
    <w:rsid w:val="001660F8"/>
    <w:rsid w:val="0016613A"/>
    <w:rsid w:val="001663AE"/>
    <w:rsid w:val="0016677C"/>
    <w:rsid w:val="00166A0E"/>
    <w:rsid w:val="00167C18"/>
    <w:rsid w:val="00167CF2"/>
    <w:rsid w:val="0017018E"/>
    <w:rsid w:val="001702EC"/>
    <w:rsid w:val="001705C4"/>
    <w:rsid w:val="00170B0B"/>
    <w:rsid w:val="00170C2E"/>
    <w:rsid w:val="00170D25"/>
    <w:rsid w:val="00170F94"/>
    <w:rsid w:val="00171E9F"/>
    <w:rsid w:val="00171EE8"/>
    <w:rsid w:val="001720EF"/>
    <w:rsid w:val="001721FC"/>
    <w:rsid w:val="001723B6"/>
    <w:rsid w:val="00173DF6"/>
    <w:rsid w:val="00173E89"/>
    <w:rsid w:val="00173F29"/>
    <w:rsid w:val="0017432D"/>
    <w:rsid w:val="00174B04"/>
    <w:rsid w:val="00174F97"/>
    <w:rsid w:val="00175526"/>
    <w:rsid w:val="00175557"/>
    <w:rsid w:val="00176015"/>
    <w:rsid w:val="00176062"/>
    <w:rsid w:val="00176181"/>
    <w:rsid w:val="00176270"/>
    <w:rsid w:val="00176F1A"/>
    <w:rsid w:val="00177C54"/>
    <w:rsid w:val="00177CF5"/>
    <w:rsid w:val="00180891"/>
    <w:rsid w:val="0018089B"/>
    <w:rsid w:val="00180932"/>
    <w:rsid w:val="00180C2B"/>
    <w:rsid w:val="001814B9"/>
    <w:rsid w:val="00181608"/>
    <w:rsid w:val="001823B7"/>
    <w:rsid w:val="001824F4"/>
    <w:rsid w:val="00183297"/>
    <w:rsid w:val="0018342D"/>
    <w:rsid w:val="0018557E"/>
    <w:rsid w:val="00185629"/>
    <w:rsid w:val="001857D3"/>
    <w:rsid w:val="00185ABE"/>
    <w:rsid w:val="00185E49"/>
    <w:rsid w:val="0018610D"/>
    <w:rsid w:val="0018676D"/>
    <w:rsid w:val="00186A9A"/>
    <w:rsid w:val="00186B18"/>
    <w:rsid w:val="00187616"/>
    <w:rsid w:val="001878F4"/>
    <w:rsid w:val="00190038"/>
    <w:rsid w:val="00190043"/>
    <w:rsid w:val="001901C6"/>
    <w:rsid w:val="001901FD"/>
    <w:rsid w:val="00190E01"/>
    <w:rsid w:val="00190ED4"/>
    <w:rsid w:val="00190F20"/>
    <w:rsid w:val="0019138C"/>
    <w:rsid w:val="00191469"/>
    <w:rsid w:val="0019151A"/>
    <w:rsid w:val="00191B5A"/>
    <w:rsid w:val="0019200F"/>
    <w:rsid w:val="0019222D"/>
    <w:rsid w:val="001925A6"/>
    <w:rsid w:val="00192A82"/>
    <w:rsid w:val="00193109"/>
    <w:rsid w:val="0019328F"/>
    <w:rsid w:val="0019403F"/>
    <w:rsid w:val="00194E74"/>
    <w:rsid w:val="0019573D"/>
    <w:rsid w:val="0019586F"/>
    <w:rsid w:val="001958B3"/>
    <w:rsid w:val="00195979"/>
    <w:rsid w:val="00196064"/>
    <w:rsid w:val="001960A2"/>
    <w:rsid w:val="00196131"/>
    <w:rsid w:val="0019616A"/>
    <w:rsid w:val="00196262"/>
    <w:rsid w:val="00196C19"/>
    <w:rsid w:val="001A0252"/>
    <w:rsid w:val="001A0674"/>
    <w:rsid w:val="001A0696"/>
    <w:rsid w:val="001A093A"/>
    <w:rsid w:val="001A0D9B"/>
    <w:rsid w:val="001A107F"/>
    <w:rsid w:val="001A122E"/>
    <w:rsid w:val="001A18F2"/>
    <w:rsid w:val="001A1F54"/>
    <w:rsid w:val="001A217A"/>
    <w:rsid w:val="001A249F"/>
    <w:rsid w:val="001A2649"/>
    <w:rsid w:val="001A2F87"/>
    <w:rsid w:val="001A315A"/>
    <w:rsid w:val="001A3711"/>
    <w:rsid w:val="001A3915"/>
    <w:rsid w:val="001A4EA7"/>
    <w:rsid w:val="001A565C"/>
    <w:rsid w:val="001A5C2F"/>
    <w:rsid w:val="001A6220"/>
    <w:rsid w:val="001A63DD"/>
    <w:rsid w:val="001A672D"/>
    <w:rsid w:val="001A6930"/>
    <w:rsid w:val="001A71E0"/>
    <w:rsid w:val="001A76BD"/>
    <w:rsid w:val="001A79B3"/>
    <w:rsid w:val="001A7B3D"/>
    <w:rsid w:val="001B09D4"/>
    <w:rsid w:val="001B0DCA"/>
    <w:rsid w:val="001B1B9A"/>
    <w:rsid w:val="001B1DA8"/>
    <w:rsid w:val="001B1DAB"/>
    <w:rsid w:val="001B1DAE"/>
    <w:rsid w:val="001B1DF0"/>
    <w:rsid w:val="001B247F"/>
    <w:rsid w:val="001B2872"/>
    <w:rsid w:val="001B28A1"/>
    <w:rsid w:val="001B2A80"/>
    <w:rsid w:val="001B319C"/>
    <w:rsid w:val="001B483E"/>
    <w:rsid w:val="001B4E60"/>
    <w:rsid w:val="001B4EF8"/>
    <w:rsid w:val="001B5823"/>
    <w:rsid w:val="001B5C74"/>
    <w:rsid w:val="001B5F46"/>
    <w:rsid w:val="001B6996"/>
    <w:rsid w:val="001B6A71"/>
    <w:rsid w:val="001B6B4B"/>
    <w:rsid w:val="001B6D67"/>
    <w:rsid w:val="001B7278"/>
    <w:rsid w:val="001B74E1"/>
    <w:rsid w:val="001B75E3"/>
    <w:rsid w:val="001C0923"/>
    <w:rsid w:val="001C0E25"/>
    <w:rsid w:val="001C17FC"/>
    <w:rsid w:val="001C180E"/>
    <w:rsid w:val="001C19D2"/>
    <w:rsid w:val="001C1CEE"/>
    <w:rsid w:val="001C1CF5"/>
    <w:rsid w:val="001C1E77"/>
    <w:rsid w:val="001C2693"/>
    <w:rsid w:val="001C2A44"/>
    <w:rsid w:val="001C354E"/>
    <w:rsid w:val="001C3647"/>
    <w:rsid w:val="001C38CA"/>
    <w:rsid w:val="001C3C91"/>
    <w:rsid w:val="001C4C0B"/>
    <w:rsid w:val="001C5762"/>
    <w:rsid w:val="001C5EB8"/>
    <w:rsid w:val="001C5EBA"/>
    <w:rsid w:val="001C6B00"/>
    <w:rsid w:val="001C6EC1"/>
    <w:rsid w:val="001C762C"/>
    <w:rsid w:val="001C7DD1"/>
    <w:rsid w:val="001D000F"/>
    <w:rsid w:val="001D022A"/>
    <w:rsid w:val="001D022D"/>
    <w:rsid w:val="001D02C1"/>
    <w:rsid w:val="001D1598"/>
    <w:rsid w:val="001D19C5"/>
    <w:rsid w:val="001D1A32"/>
    <w:rsid w:val="001D1A86"/>
    <w:rsid w:val="001D1F51"/>
    <w:rsid w:val="001D26EC"/>
    <w:rsid w:val="001D2E4F"/>
    <w:rsid w:val="001D374D"/>
    <w:rsid w:val="001D3AAF"/>
    <w:rsid w:val="001D3F19"/>
    <w:rsid w:val="001D4599"/>
    <w:rsid w:val="001D5727"/>
    <w:rsid w:val="001D609D"/>
    <w:rsid w:val="001D61B9"/>
    <w:rsid w:val="001D6A9E"/>
    <w:rsid w:val="001D6EC5"/>
    <w:rsid w:val="001D7B2A"/>
    <w:rsid w:val="001D7FB5"/>
    <w:rsid w:val="001E05D9"/>
    <w:rsid w:val="001E1284"/>
    <w:rsid w:val="001E2056"/>
    <w:rsid w:val="001E20CE"/>
    <w:rsid w:val="001E2F28"/>
    <w:rsid w:val="001E380B"/>
    <w:rsid w:val="001E42D2"/>
    <w:rsid w:val="001E4600"/>
    <w:rsid w:val="001E4611"/>
    <w:rsid w:val="001E4C3A"/>
    <w:rsid w:val="001E4C73"/>
    <w:rsid w:val="001E4C79"/>
    <w:rsid w:val="001E4FE7"/>
    <w:rsid w:val="001E504D"/>
    <w:rsid w:val="001E511C"/>
    <w:rsid w:val="001E5DBD"/>
    <w:rsid w:val="001E6C8C"/>
    <w:rsid w:val="001E6D22"/>
    <w:rsid w:val="001E6D6D"/>
    <w:rsid w:val="001E7236"/>
    <w:rsid w:val="001E7500"/>
    <w:rsid w:val="001E7552"/>
    <w:rsid w:val="001E7637"/>
    <w:rsid w:val="001E7812"/>
    <w:rsid w:val="001E7E41"/>
    <w:rsid w:val="001F0206"/>
    <w:rsid w:val="001F0208"/>
    <w:rsid w:val="001F0257"/>
    <w:rsid w:val="001F0977"/>
    <w:rsid w:val="001F0C65"/>
    <w:rsid w:val="001F0FE5"/>
    <w:rsid w:val="001F1407"/>
    <w:rsid w:val="001F1518"/>
    <w:rsid w:val="001F1B4B"/>
    <w:rsid w:val="001F1E17"/>
    <w:rsid w:val="001F1E61"/>
    <w:rsid w:val="001F2B60"/>
    <w:rsid w:val="001F36D8"/>
    <w:rsid w:val="001F3956"/>
    <w:rsid w:val="001F3FD3"/>
    <w:rsid w:val="001F4006"/>
    <w:rsid w:val="001F49E2"/>
    <w:rsid w:val="001F5451"/>
    <w:rsid w:val="001F5727"/>
    <w:rsid w:val="001F5949"/>
    <w:rsid w:val="001F5E8F"/>
    <w:rsid w:val="001F5EAE"/>
    <w:rsid w:val="001F62B6"/>
    <w:rsid w:val="001F62DB"/>
    <w:rsid w:val="001F6500"/>
    <w:rsid w:val="001F66EB"/>
    <w:rsid w:val="001F693A"/>
    <w:rsid w:val="001F69E8"/>
    <w:rsid w:val="002002A9"/>
    <w:rsid w:val="002003F2"/>
    <w:rsid w:val="0020046C"/>
    <w:rsid w:val="002009BB"/>
    <w:rsid w:val="00200A0A"/>
    <w:rsid w:val="00200A7A"/>
    <w:rsid w:val="00200E71"/>
    <w:rsid w:val="002010D6"/>
    <w:rsid w:val="00201388"/>
    <w:rsid w:val="00201796"/>
    <w:rsid w:val="00201973"/>
    <w:rsid w:val="00202280"/>
    <w:rsid w:val="00202653"/>
    <w:rsid w:val="002033AC"/>
    <w:rsid w:val="00203A48"/>
    <w:rsid w:val="002042F2"/>
    <w:rsid w:val="00204C00"/>
    <w:rsid w:val="00205B52"/>
    <w:rsid w:val="00206074"/>
    <w:rsid w:val="0020634D"/>
    <w:rsid w:val="00206629"/>
    <w:rsid w:val="00206691"/>
    <w:rsid w:val="002067E6"/>
    <w:rsid w:val="00207398"/>
    <w:rsid w:val="002077C1"/>
    <w:rsid w:val="00207A8D"/>
    <w:rsid w:val="00207B1D"/>
    <w:rsid w:val="00210350"/>
    <w:rsid w:val="002108D5"/>
    <w:rsid w:val="00210965"/>
    <w:rsid w:val="00210BB1"/>
    <w:rsid w:val="00210DF5"/>
    <w:rsid w:val="002110CB"/>
    <w:rsid w:val="002113A7"/>
    <w:rsid w:val="00211883"/>
    <w:rsid w:val="00212C3E"/>
    <w:rsid w:val="002132E9"/>
    <w:rsid w:val="002135DB"/>
    <w:rsid w:val="0021370C"/>
    <w:rsid w:val="00213828"/>
    <w:rsid w:val="002139CE"/>
    <w:rsid w:val="00214249"/>
    <w:rsid w:val="00214C39"/>
    <w:rsid w:val="00214CCB"/>
    <w:rsid w:val="00214EDE"/>
    <w:rsid w:val="00215157"/>
    <w:rsid w:val="00215642"/>
    <w:rsid w:val="002158E9"/>
    <w:rsid w:val="00215BCC"/>
    <w:rsid w:val="00215EE1"/>
    <w:rsid w:val="0021665A"/>
    <w:rsid w:val="002168A2"/>
    <w:rsid w:val="00216C1F"/>
    <w:rsid w:val="002171BE"/>
    <w:rsid w:val="002174BF"/>
    <w:rsid w:val="00217B71"/>
    <w:rsid w:val="00220204"/>
    <w:rsid w:val="00220347"/>
    <w:rsid w:val="0022058A"/>
    <w:rsid w:val="00220806"/>
    <w:rsid w:val="00220AC6"/>
    <w:rsid w:val="00220AFF"/>
    <w:rsid w:val="002211C9"/>
    <w:rsid w:val="002211D4"/>
    <w:rsid w:val="002211EF"/>
    <w:rsid w:val="0022131D"/>
    <w:rsid w:val="00221496"/>
    <w:rsid w:val="00221E8C"/>
    <w:rsid w:val="00222015"/>
    <w:rsid w:val="0022238F"/>
    <w:rsid w:val="00222396"/>
    <w:rsid w:val="00222CD6"/>
    <w:rsid w:val="00222FFA"/>
    <w:rsid w:val="0022367A"/>
    <w:rsid w:val="00223B5A"/>
    <w:rsid w:val="00223CAB"/>
    <w:rsid w:val="00224278"/>
    <w:rsid w:val="002242CE"/>
    <w:rsid w:val="0022446F"/>
    <w:rsid w:val="00224752"/>
    <w:rsid w:val="00224B1B"/>
    <w:rsid w:val="00224D63"/>
    <w:rsid w:val="00224F91"/>
    <w:rsid w:val="00225639"/>
    <w:rsid w:val="002256A6"/>
    <w:rsid w:val="002257D1"/>
    <w:rsid w:val="002258ED"/>
    <w:rsid w:val="0022608F"/>
    <w:rsid w:val="002269BF"/>
    <w:rsid w:val="0023054F"/>
    <w:rsid w:val="002306D2"/>
    <w:rsid w:val="00230E40"/>
    <w:rsid w:val="00231522"/>
    <w:rsid w:val="002315E7"/>
    <w:rsid w:val="00231951"/>
    <w:rsid w:val="00231D72"/>
    <w:rsid w:val="00231EEA"/>
    <w:rsid w:val="00232319"/>
    <w:rsid w:val="00232546"/>
    <w:rsid w:val="002336BC"/>
    <w:rsid w:val="00233735"/>
    <w:rsid w:val="002345EC"/>
    <w:rsid w:val="002346B8"/>
    <w:rsid w:val="00235062"/>
    <w:rsid w:val="002356F8"/>
    <w:rsid w:val="00235E18"/>
    <w:rsid w:val="00236002"/>
    <w:rsid w:val="002366E7"/>
    <w:rsid w:val="002370A3"/>
    <w:rsid w:val="00237223"/>
    <w:rsid w:val="002374CB"/>
    <w:rsid w:val="0023773E"/>
    <w:rsid w:val="00237823"/>
    <w:rsid w:val="00237B31"/>
    <w:rsid w:val="00237CA1"/>
    <w:rsid w:val="00237D7D"/>
    <w:rsid w:val="00237FF9"/>
    <w:rsid w:val="002404E5"/>
    <w:rsid w:val="00240510"/>
    <w:rsid w:val="002405F3"/>
    <w:rsid w:val="002408DD"/>
    <w:rsid w:val="00240E66"/>
    <w:rsid w:val="00241DC7"/>
    <w:rsid w:val="0024263C"/>
    <w:rsid w:val="00242657"/>
    <w:rsid w:val="00242A8D"/>
    <w:rsid w:val="002439E3"/>
    <w:rsid w:val="00244228"/>
    <w:rsid w:val="00244567"/>
    <w:rsid w:val="00244863"/>
    <w:rsid w:val="00244A55"/>
    <w:rsid w:val="00244CA7"/>
    <w:rsid w:val="00245210"/>
    <w:rsid w:val="002453B6"/>
    <w:rsid w:val="00245700"/>
    <w:rsid w:val="002458EB"/>
    <w:rsid w:val="00245992"/>
    <w:rsid w:val="00245A03"/>
    <w:rsid w:val="00245C52"/>
    <w:rsid w:val="002463DF"/>
    <w:rsid w:val="00246AB1"/>
    <w:rsid w:val="00246FF0"/>
    <w:rsid w:val="00247272"/>
    <w:rsid w:val="00247635"/>
    <w:rsid w:val="0024783A"/>
    <w:rsid w:val="00247CEE"/>
    <w:rsid w:val="00247E68"/>
    <w:rsid w:val="002502AA"/>
    <w:rsid w:val="00250787"/>
    <w:rsid w:val="00250A8D"/>
    <w:rsid w:val="00250AE9"/>
    <w:rsid w:val="002512F2"/>
    <w:rsid w:val="002522CE"/>
    <w:rsid w:val="00252393"/>
    <w:rsid w:val="002523DE"/>
    <w:rsid w:val="002526BE"/>
    <w:rsid w:val="00253538"/>
    <w:rsid w:val="002545A6"/>
    <w:rsid w:val="0025556F"/>
    <w:rsid w:val="002555FE"/>
    <w:rsid w:val="00255950"/>
    <w:rsid w:val="00255CF2"/>
    <w:rsid w:val="00256388"/>
    <w:rsid w:val="00257469"/>
    <w:rsid w:val="00257543"/>
    <w:rsid w:val="00257555"/>
    <w:rsid w:val="0025786B"/>
    <w:rsid w:val="00257895"/>
    <w:rsid w:val="00257EDF"/>
    <w:rsid w:val="002605C1"/>
    <w:rsid w:val="00260FCD"/>
    <w:rsid w:val="00261049"/>
    <w:rsid w:val="00261A03"/>
    <w:rsid w:val="00261AE2"/>
    <w:rsid w:val="00261B96"/>
    <w:rsid w:val="00262526"/>
    <w:rsid w:val="00262CB7"/>
    <w:rsid w:val="00262E5C"/>
    <w:rsid w:val="00263D73"/>
    <w:rsid w:val="00264377"/>
    <w:rsid w:val="002643CC"/>
    <w:rsid w:val="00264938"/>
    <w:rsid w:val="00264C74"/>
    <w:rsid w:val="00264EBB"/>
    <w:rsid w:val="002651F3"/>
    <w:rsid w:val="0026566D"/>
    <w:rsid w:val="0026568C"/>
    <w:rsid w:val="002656EE"/>
    <w:rsid w:val="00265D1F"/>
    <w:rsid w:val="0026689B"/>
    <w:rsid w:val="00266C6B"/>
    <w:rsid w:val="00266DC7"/>
    <w:rsid w:val="00266FD5"/>
    <w:rsid w:val="002679B7"/>
    <w:rsid w:val="00270B9F"/>
    <w:rsid w:val="00270FF6"/>
    <w:rsid w:val="0027104A"/>
    <w:rsid w:val="002715D1"/>
    <w:rsid w:val="00271AF8"/>
    <w:rsid w:val="00271C94"/>
    <w:rsid w:val="00272790"/>
    <w:rsid w:val="002727E8"/>
    <w:rsid w:val="00272A86"/>
    <w:rsid w:val="00272C7A"/>
    <w:rsid w:val="00272FBF"/>
    <w:rsid w:val="002731FA"/>
    <w:rsid w:val="002733C8"/>
    <w:rsid w:val="00273545"/>
    <w:rsid w:val="00273626"/>
    <w:rsid w:val="00273D3C"/>
    <w:rsid w:val="00274547"/>
    <w:rsid w:val="002749E7"/>
    <w:rsid w:val="00275F0C"/>
    <w:rsid w:val="0027600E"/>
    <w:rsid w:val="00276820"/>
    <w:rsid w:val="002769EC"/>
    <w:rsid w:val="00277273"/>
    <w:rsid w:val="00277BA7"/>
    <w:rsid w:val="00280041"/>
    <w:rsid w:val="00280335"/>
    <w:rsid w:val="002805AA"/>
    <w:rsid w:val="00280D96"/>
    <w:rsid w:val="002813D8"/>
    <w:rsid w:val="00281532"/>
    <w:rsid w:val="00281A17"/>
    <w:rsid w:val="00281F3C"/>
    <w:rsid w:val="00282450"/>
    <w:rsid w:val="00282D8D"/>
    <w:rsid w:val="00283007"/>
    <w:rsid w:val="00284178"/>
    <w:rsid w:val="00284D93"/>
    <w:rsid w:val="0028525B"/>
    <w:rsid w:val="002852AA"/>
    <w:rsid w:val="0028578B"/>
    <w:rsid w:val="00285A06"/>
    <w:rsid w:val="002860FA"/>
    <w:rsid w:val="00286AB0"/>
    <w:rsid w:val="00286CB2"/>
    <w:rsid w:val="00286CD1"/>
    <w:rsid w:val="0028726D"/>
    <w:rsid w:val="0028743E"/>
    <w:rsid w:val="00287DD1"/>
    <w:rsid w:val="002901C3"/>
    <w:rsid w:val="00290A79"/>
    <w:rsid w:val="00290A85"/>
    <w:rsid w:val="00290AAE"/>
    <w:rsid w:val="00290BC2"/>
    <w:rsid w:val="00290F38"/>
    <w:rsid w:val="0029125D"/>
    <w:rsid w:val="002917FF"/>
    <w:rsid w:val="002919D3"/>
    <w:rsid w:val="00291F8D"/>
    <w:rsid w:val="00292283"/>
    <w:rsid w:val="00292444"/>
    <w:rsid w:val="00292AE6"/>
    <w:rsid w:val="00292DDE"/>
    <w:rsid w:val="00292ECC"/>
    <w:rsid w:val="00293223"/>
    <w:rsid w:val="00293299"/>
    <w:rsid w:val="00293ECA"/>
    <w:rsid w:val="00294355"/>
    <w:rsid w:val="0029465A"/>
    <w:rsid w:val="00294899"/>
    <w:rsid w:val="002948C1"/>
    <w:rsid w:val="00294948"/>
    <w:rsid w:val="00296161"/>
    <w:rsid w:val="002962E5"/>
    <w:rsid w:val="00296336"/>
    <w:rsid w:val="0029638D"/>
    <w:rsid w:val="002965E1"/>
    <w:rsid w:val="00296884"/>
    <w:rsid w:val="00297277"/>
    <w:rsid w:val="0029743D"/>
    <w:rsid w:val="002977DB"/>
    <w:rsid w:val="00297B2B"/>
    <w:rsid w:val="002A01CB"/>
    <w:rsid w:val="002A12B4"/>
    <w:rsid w:val="002A13CF"/>
    <w:rsid w:val="002A1517"/>
    <w:rsid w:val="002A2046"/>
    <w:rsid w:val="002A263E"/>
    <w:rsid w:val="002A2F15"/>
    <w:rsid w:val="002A35F3"/>
    <w:rsid w:val="002A36E4"/>
    <w:rsid w:val="002A372D"/>
    <w:rsid w:val="002A3B8C"/>
    <w:rsid w:val="002A3BA7"/>
    <w:rsid w:val="002A468C"/>
    <w:rsid w:val="002A4A19"/>
    <w:rsid w:val="002A4B5B"/>
    <w:rsid w:val="002A50FA"/>
    <w:rsid w:val="002A530D"/>
    <w:rsid w:val="002A724F"/>
    <w:rsid w:val="002A7C16"/>
    <w:rsid w:val="002A7F53"/>
    <w:rsid w:val="002B0366"/>
    <w:rsid w:val="002B06EF"/>
    <w:rsid w:val="002B0C52"/>
    <w:rsid w:val="002B1133"/>
    <w:rsid w:val="002B1615"/>
    <w:rsid w:val="002B2579"/>
    <w:rsid w:val="002B28A9"/>
    <w:rsid w:val="002B29AC"/>
    <w:rsid w:val="002B2DBB"/>
    <w:rsid w:val="002B300F"/>
    <w:rsid w:val="002B3125"/>
    <w:rsid w:val="002B312C"/>
    <w:rsid w:val="002B32E9"/>
    <w:rsid w:val="002B3472"/>
    <w:rsid w:val="002B4062"/>
    <w:rsid w:val="002B40AD"/>
    <w:rsid w:val="002B41B7"/>
    <w:rsid w:val="002B437A"/>
    <w:rsid w:val="002B4AA6"/>
    <w:rsid w:val="002B574B"/>
    <w:rsid w:val="002B645E"/>
    <w:rsid w:val="002B6C02"/>
    <w:rsid w:val="002B6D88"/>
    <w:rsid w:val="002B7A3B"/>
    <w:rsid w:val="002B7B3D"/>
    <w:rsid w:val="002C0152"/>
    <w:rsid w:val="002C03C7"/>
    <w:rsid w:val="002C0556"/>
    <w:rsid w:val="002C180F"/>
    <w:rsid w:val="002C1935"/>
    <w:rsid w:val="002C1B54"/>
    <w:rsid w:val="002C1C34"/>
    <w:rsid w:val="002C2913"/>
    <w:rsid w:val="002C2B14"/>
    <w:rsid w:val="002C2FB2"/>
    <w:rsid w:val="002C3055"/>
    <w:rsid w:val="002C37E6"/>
    <w:rsid w:val="002C3852"/>
    <w:rsid w:val="002C38BE"/>
    <w:rsid w:val="002C3BBD"/>
    <w:rsid w:val="002C4351"/>
    <w:rsid w:val="002C4547"/>
    <w:rsid w:val="002C4808"/>
    <w:rsid w:val="002C519D"/>
    <w:rsid w:val="002C529F"/>
    <w:rsid w:val="002C5504"/>
    <w:rsid w:val="002C58E2"/>
    <w:rsid w:val="002C648C"/>
    <w:rsid w:val="002C655C"/>
    <w:rsid w:val="002C6B94"/>
    <w:rsid w:val="002C6D1D"/>
    <w:rsid w:val="002C7B0E"/>
    <w:rsid w:val="002C7CBD"/>
    <w:rsid w:val="002D0025"/>
    <w:rsid w:val="002D027A"/>
    <w:rsid w:val="002D0431"/>
    <w:rsid w:val="002D09A7"/>
    <w:rsid w:val="002D11C6"/>
    <w:rsid w:val="002D17A0"/>
    <w:rsid w:val="002D1A2F"/>
    <w:rsid w:val="002D23B2"/>
    <w:rsid w:val="002D245A"/>
    <w:rsid w:val="002D24A9"/>
    <w:rsid w:val="002D2B4E"/>
    <w:rsid w:val="002D2E9B"/>
    <w:rsid w:val="002D33E9"/>
    <w:rsid w:val="002D35A3"/>
    <w:rsid w:val="002D3BA2"/>
    <w:rsid w:val="002D4354"/>
    <w:rsid w:val="002D4410"/>
    <w:rsid w:val="002D45AB"/>
    <w:rsid w:val="002D4965"/>
    <w:rsid w:val="002D498A"/>
    <w:rsid w:val="002D4D6F"/>
    <w:rsid w:val="002D4D92"/>
    <w:rsid w:val="002D4DB1"/>
    <w:rsid w:val="002D506F"/>
    <w:rsid w:val="002D515E"/>
    <w:rsid w:val="002D5169"/>
    <w:rsid w:val="002D51AF"/>
    <w:rsid w:val="002D58A5"/>
    <w:rsid w:val="002D5AC9"/>
    <w:rsid w:val="002D614E"/>
    <w:rsid w:val="002D6241"/>
    <w:rsid w:val="002D67A0"/>
    <w:rsid w:val="002D68F5"/>
    <w:rsid w:val="002D6FE3"/>
    <w:rsid w:val="002D7385"/>
    <w:rsid w:val="002D74CF"/>
    <w:rsid w:val="002D754D"/>
    <w:rsid w:val="002D77B2"/>
    <w:rsid w:val="002D7E3B"/>
    <w:rsid w:val="002D7EDD"/>
    <w:rsid w:val="002E045A"/>
    <w:rsid w:val="002E0A9B"/>
    <w:rsid w:val="002E0F8A"/>
    <w:rsid w:val="002E287B"/>
    <w:rsid w:val="002E3CF1"/>
    <w:rsid w:val="002E3F45"/>
    <w:rsid w:val="002E474F"/>
    <w:rsid w:val="002E48DD"/>
    <w:rsid w:val="002E49B5"/>
    <w:rsid w:val="002E4CBF"/>
    <w:rsid w:val="002E535C"/>
    <w:rsid w:val="002E5D24"/>
    <w:rsid w:val="002E6503"/>
    <w:rsid w:val="002E6965"/>
    <w:rsid w:val="002E6A52"/>
    <w:rsid w:val="002E6E34"/>
    <w:rsid w:val="002E7050"/>
    <w:rsid w:val="002E730B"/>
    <w:rsid w:val="002E734B"/>
    <w:rsid w:val="002E7910"/>
    <w:rsid w:val="002E7BC9"/>
    <w:rsid w:val="002E7C77"/>
    <w:rsid w:val="002F04B1"/>
    <w:rsid w:val="002F05B1"/>
    <w:rsid w:val="002F1162"/>
    <w:rsid w:val="002F1536"/>
    <w:rsid w:val="002F15F9"/>
    <w:rsid w:val="002F166A"/>
    <w:rsid w:val="002F1B22"/>
    <w:rsid w:val="002F1B98"/>
    <w:rsid w:val="002F1BEF"/>
    <w:rsid w:val="002F1F5A"/>
    <w:rsid w:val="002F2372"/>
    <w:rsid w:val="002F2784"/>
    <w:rsid w:val="002F299A"/>
    <w:rsid w:val="002F2F0C"/>
    <w:rsid w:val="002F2FA9"/>
    <w:rsid w:val="002F31D1"/>
    <w:rsid w:val="002F347E"/>
    <w:rsid w:val="002F3569"/>
    <w:rsid w:val="002F35C2"/>
    <w:rsid w:val="002F391F"/>
    <w:rsid w:val="002F3EF7"/>
    <w:rsid w:val="002F40BB"/>
    <w:rsid w:val="002F4369"/>
    <w:rsid w:val="002F4474"/>
    <w:rsid w:val="002F44E5"/>
    <w:rsid w:val="002F52B0"/>
    <w:rsid w:val="002F55BC"/>
    <w:rsid w:val="002F56AA"/>
    <w:rsid w:val="002F6271"/>
    <w:rsid w:val="002F64EF"/>
    <w:rsid w:val="002F72D7"/>
    <w:rsid w:val="002F767E"/>
    <w:rsid w:val="002F7A7E"/>
    <w:rsid w:val="003003EF"/>
    <w:rsid w:val="00300835"/>
    <w:rsid w:val="00300C39"/>
    <w:rsid w:val="00300DED"/>
    <w:rsid w:val="0030125A"/>
    <w:rsid w:val="003014ED"/>
    <w:rsid w:val="00301541"/>
    <w:rsid w:val="00302116"/>
    <w:rsid w:val="00302311"/>
    <w:rsid w:val="003027F3"/>
    <w:rsid w:val="00302A5E"/>
    <w:rsid w:val="00302BB8"/>
    <w:rsid w:val="00302D79"/>
    <w:rsid w:val="0030320B"/>
    <w:rsid w:val="003036AA"/>
    <w:rsid w:val="003037AC"/>
    <w:rsid w:val="0030468C"/>
    <w:rsid w:val="0030470D"/>
    <w:rsid w:val="0030477A"/>
    <w:rsid w:val="00304BFC"/>
    <w:rsid w:val="00304C3F"/>
    <w:rsid w:val="003050F8"/>
    <w:rsid w:val="00305AB0"/>
    <w:rsid w:val="00305E85"/>
    <w:rsid w:val="00305FB5"/>
    <w:rsid w:val="00306797"/>
    <w:rsid w:val="0030697E"/>
    <w:rsid w:val="00307768"/>
    <w:rsid w:val="00307F26"/>
    <w:rsid w:val="0031017F"/>
    <w:rsid w:val="00310674"/>
    <w:rsid w:val="00310907"/>
    <w:rsid w:val="00310A28"/>
    <w:rsid w:val="00311230"/>
    <w:rsid w:val="0031187C"/>
    <w:rsid w:val="00311953"/>
    <w:rsid w:val="00311F2A"/>
    <w:rsid w:val="0031233A"/>
    <w:rsid w:val="0031279E"/>
    <w:rsid w:val="00312E42"/>
    <w:rsid w:val="0031331C"/>
    <w:rsid w:val="00313A9E"/>
    <w:rsid w:val="00313F4F"/>
    <w:rsid w:val="003140CA"/>
    <w:rsid w:val="0031457C"/>
    <w:rsid w:val="00314677"/>
    <w:rsid w:val="00314CEA"/>
    <w:rsid w:val="00314D09"/>
    <w:rsid w:val="00315172"/>
    <w:rsid w:val="003167C7"/>
    <w:rsid w:val="003170D5"/>
    <w:rsid w:val="00317A85"/>
    <w:rsid w:val="00317AC3"/>
    <w:rsid w:val="00317B28"/>
    <w:rsid w:val="00317D4B"/>
    <w:rsid w:val="00317F10"/>
    <w:rsid w:val="003204E8"/>
    <w:rsid w:val="003206CC"/>
    <w:rsid w:val="003206CE"/>
    <w:rsid w:val="00320858"/>
    <w:rsid w:val="00320AFF"/>
    <w:rsid w:val="00321121"/>
    <w:rsid w:val="00321453"/>
    <w:rsid w:val="0032149C"/>
    <w:rsid w:val="003216EE"/>
    <w:rsid w:val="00321A06"/>
    <w:rsid w:val="00321E14"/>
    <w:rsid w:val="00322351"/>
    <w:rsid w:val="00322A7E"/>
    <w:rsid w:val="00322F45"/>
    <w:rsid w:val="0032339D"/>
    <w:rsid w:val="003236DA"/>
    <w:rsid w:val="00323792"/>
    <w:rsid w:val="00323CBA"/>
    <w:rsid w:val="00323F89"/>
    <w:rsid w:val="003244B8"/>
    <w:rsid w:val="00325167"/>
    <w:rsid w:val="00325D90"/>
    <w:rsid w:val="00326145"/>
    <w:rsid w:val="0032645A"/>
    <w:rsid w:val="003267EE"/>
    <w:rsid w:val="00326D8D"/>
    <w:rsid w:val="00327AAF"/>
    <w:rsid w:val="00330121"/>
    <w:rsid w:val="00330740"/>
    <w:rsid w:val="00330A41"/>
    <w:rsid w:val="00330F58"/>
    <w:rsid w:val="003314E3"/>
    <w:rsid w:val="00331B5A"/>
    <w:rsid w:val="00331C5B"/>
    <w:rsid w:val="00331E18"/>
    <w:rsid w:val="00332967"/>
    <w:rsid w:val="0033379C"/>
    <w:rsid w:val="003339FE"/>
    <w:rsid w:val="00333B28"/>
    <w:rsid w:val="00333C78"/>
    <w:rsid w:val="00333F48"/>
    <w:rsid w:val="00333F5C"/>
    <w:rsid w:val="0033439C"/>
    <w:rsid w:val="00334883"/>
    <w:rsid w:val="00334899"/>
    <w:rsid w:val="003349EA"/>
    <w:rsid w:val="00334C03"/>
    <w:rsid w:val="00334E3B"/>
    <w:rsid w:val="003357D1"/>
    <w:rsid w:val="00335C07"/>
    <w:rsid w:val="003360D8"/>
    <w:rsid w:val="0033611C"/>
    <w:rsid w:val="003362DA"/>
    <w:rsid w:val="003364FF"/>
    <w:rsid w:val="003368C0"/>
    <w:rsid w:val="0033709E"/>
    <w:rsid w:val="003370C2"/>
    <w:rsid w:val="00337141"/>
    <w:rsid w:val="00337E5D"/>
    <w:rsid w:val="00337F28"/>
    <w:rsid w:val="003401A3"/>
    <w:rsid w:val="00341176"/>
    <w:rsid w:val="00341177"/>
    <w:rsid w:val="003411B4"/>
    <w:rsid w:val="00341299"/>
    <w:rsid w:val="00341570"/>
    <w:rsid w:val="00341BB6"/>
    <w:rsid w:val="00342274"/>
    <w:rsid w:val="0034274E"/>
    <w:rsid w:val="00342964"/>
    <w:rsid w:val="003429DA"/>
    <w:rsid w:val="0034333E"/>
    <w:rsid w:val="003434B8"/>
    <w:rsid w:val="00344525"/>
    <w:rsid w:val="00344702"/>
    <w:rsid w:val="00344C2E"/>
    <w:rsid w:val="003455E4"/>
    <w:rsid w:val="00345CBF"/>
    <w:rsid w:val="00346071"/>
    <w:rsid w:val="00346927"/>
    <w:rsid w:val="00346FC0"/>
    <w:rsid w:val="00347190"/>
    <w:rsid w:val="003478E8"/>
    <w:rsid w:val="003479FE"/>
    <w:rsid w:val="00347B63"/>
    <w:rsid w:val="00347E26"/>
    <w:rsid w:val="00350A47"/>
    <w:rsid w:val="00350C27"/>
    <w:rsid w:val="00350E1C"/>
    <w:rsid w:val="00350E24"/>
    <w:rsid w:val="00351536"/>
    <w:rsid w:val="00351642"/>
    <w:rsid w:val="00351A77"/>
    <w:rsid w:val="00351B0B"/>
    <w:rsid w:val="003520EE"/>
    <w:rsid w:val="003521FB"/>
    <w:rsid w:val="003526A3"/>
    <w:rsid w:val="0035272D"/>
    <w:rsid w:val="0035276D"/>
    <w:rsid w:val="00352F7F"/>
    <w:rsid w:val="0035368A"/>
    <w:rsid w:val="003540F8"/>
    <w:rsid w:val="003545FB"/>
    <w:rsid w:val="003552A3"/>
    <w:rsid w:val="00355A68"/>
    <w:rsid w:val="00355DE1"/>
    <w:rsid w:val="0035600B"/>
    <w:rsid w:val="003560D6"/>
    <w:rsid w:val="003561BC"/>
    <w:rsid w:val="00356272"/>
    <w:rsid w:val="003566FB"/>
    <w:rsid w:val="00356BCE"/>
    <w:rsid w:val="00356F76"/>
    <w:rsid w:val="00357321"/>
    <w:rsid w:val="00360861"/>
    <w:rsid w:val="0036096A"/>
    <w:rsid w:val="00360A58"/>
    <w:rsid w:val="00361668"/>
    <w:rsid w:val="003618C5"/>
    <w:rsid w:val="00362213"/>
    <w:rsid w:val="003624A5"/>
    <w:rsid w:val="00363841"/>
    <w:rsid w:val="00363A2E"/>
    <w:rsid w:val="003640D4"/>
    <w:rsid w:val="003650F1"/>
    <w:rsid w:val="0036537A"/>
    <w:rsid w:val="00365C34"/>
    <w:rsid w:val="003661E7"/>
    <w:rsid w:val="00366A06"/>
    <w:rsid w:val="00366BF8"/>
    <w:rsid w:val="0036708C"/>
    <w:rsid w:val="0036711E"/>
    <w:rsid w:val="003673CE"/>
    <w:rsid w:val="003702B8"/>
    <w:rsid w:val="00370DFD"/>
    <w:rsid w:val="00370E04"/>
    <w:rsid w:val="00370F4B"/>
    <w:rsid w:val="0037115B"/>
    <w:rsid w:val="00371D2A"/>
    <w:rsid w:val="00372423"/>
    <w:rsid w:val="003724A1"/>
    <w:rsid w:val="00372F03"/>
    <w:rsid w:val="0037309E"/>
    <w:rsid w:val="00373676"/>
    <w:rsid w:val="00373ACC"/>
    <w:rsid w:val="00373DD4"/>
    <w:rsid w:val="00374586"/>
    <w:rsid w:val="00374B35"/>
    <w:rsid w:val="0037500F"/>
    <w:rsid w:val="00375252"/>
    <w:rsid w:val="0037580E"/>
    <w:rsid w:val="003758B9"/>
    <w:rsid w:val="0037593E"/>
    <w:rsid w:val="00375C19"/>
    <w:rsid w:val="00375C6F"/>
    <w:rsid w:val="00376326"/>
    <w:rsid w:val="003769A3"/>
    <w:rsid w:val="0037773A"/>
    <w:rsid w:val="0038002C"/>
    <w:rsid w:val="003801E9"/>
    <w:rsid w:val="0038148A"/>
    <w:rsid w:val="00381946"/>
    <w:rsid w:val="00382034"/>
    <w:rsid w:val="0038243B"/>
    <w:rsid w:val="003827E6"/>
    <w:rsid w:val="00382A73"/>
    <w:rsid w:val="0038341A"/>
    <w:rsid w:val="00383848"/>
    <w:rsid w:val="0038386D"/>
    <w:rsid w:val="00383AD9"/>
    <w:rsid w:val="00383DF7"/>
    <w:rsid w:val="00384998"/>
    <w:rsid w:val="003853EB"/>
    <w:rsid w:val="0038598A"/>
    <w:rsid w:val="00385C57"/>
    <w:rsid w:val="00385D44"/>
    <w:rsid w:val="00385EF6"/>
    <w:rsid w:val="0038692E"/>
    <w:rsid w:val="00386AC6"/>
    <w:rsid w:val="003877E7"/>
    <w:rsid w:val="00387DD3"/>
    <w:rsid w:val="00387F57"/>
    <w:rsid w:val="00390992"/>
    <w:rsid w:val="00390AA6"/>
    <w:rsid w:val="00390B55"/>
    <w:rsid w:val="003910B8"/>
    <w:rsid w:val="0039123B"/>
    <w:rsid w:val="00391382"/>
    <w:rsid w:val="00391723"/>
    <w:rsid w:val="00391933"/>
    <w:rsid w:val="00391AE6"/>
    <w:rsid w:val="00392405"/>
    <w:rsid w:val="00393371"/>
    <w:rsid w:val="003934E5"/>
    <w:rsid w:val="003937AE"/>
    <w:rsid w:val="00393E1A"/>
    <w:rsid w:val="00394204"/>
    <w:rsid w:val="003951E0"/>
    <w:rsid w:val="00395386"/>
    <w:rsid w:val="003959D6"/>
    <w:rsid w:val="00395C9A"/>
    <w:rsid w:val="00395E88"/>
    <w:rsid w:val="00395FCF"/>
    <w:rsid w:val="00396E3E"/>
    <w:rsid w:val="00397BE9"/>
    <w:rsid w:val="003A06C9"/>
    <w:rsid w:val="003A12B0"/>
    <w:rsid w:val="003A1462"/>
    <w:rsid w:val="003A1BDD"/>
    <w:rsid w:val="003A21BD"/>
    <w:rsid w:val="003A2212"/>
    <w:rsid w:val="003A2231"/>
    <w:rsid w:val="003A3143"/>
    <w:rsid w:val="003A34FE"/>
    <w:rsid w:val="003A3FCB"/>
    <w:rsid w:val="003A4153"/>
    <w:rsid w:val="003A4E60"/>
    <w:rsid w:val="003A4F8B"/>
    <w:rsid w:val="003A572B"/>
    <w:rsid w:val="003A6170"/>
    <w:rsid w:val="003A61A6"/>
    <w:rsid w:val="003A6315"/>
    <w:rsid w:val="003A65A1"/>
    <w:rsid w:val="003A6629"/>
    <w:rsid w:val="003A66A3"/>
    <w:rsid w:val="003A6C57"/>
    <w:rsid w:val="003A70AD"/>
    <w:rsid w:val="003A74C3"/>
    <w:rsid w:val="003A754E"/>
    <w:rsid w:val="003B070B"/>
    <w:rsid w:val="003B0798"/>
    <w:rsid w:val="003B08E5"/>
    <w:rsid w:val="003B09C3"/>
    <w:rsid w:val="003B0EF9"/>
    <w:rsid w:val="003B12DD"/>
    <w:rsid w:val="003B188D"/>
    <w:rsid w:val="003B18D3"/>
    <w:rsid w:val="003B209C"/>
    <w:rsid w:val="003B3467"/>
    <w:rsid w:val="003B36CC"/>
    <w:rsid w:val="003B3741"/>
    <w:rsid w:val="003B3ABE"/>
    <w:rsid w:val="003B3BCE"/>
    <w:rsid w:val="003B3FEF"/>
    <w:rsid w:val="003B467C"/>
    <w:rsid w:val="003B4C84"/>
    <w:rsid w:val="003B4EA7"/>
    <w:rsid w:val="003B59A3"/>
    <w:rsid w:val="003B5D6B"/>
    <w:rsid w:val="003B7171"/>
    <w:rsid w:val="003B7542"/>
    <w:rsid w:val="003B77AF"/>
    <w:rsid w:val="003B77D4"/>
    <w:rsid w:val="003B7B4E"/>
    <w:rsid w:val="003B7DA0"/>
    <w:rsid w:val="003B7FD7"/>
    <w:rsid w:val="003C048B"/>
    <w:rsid w:val="003C04F0"/>
    <w:rsid w:val="003C09E3"/>
    <w:rsid w:val="003C0B1F"/>
    <w:rsid w:val="003C0F77"/>
    <w:rsid w:val="003C14C4"/>
    <w:rsid w:val="003C185B"/>
    <w:rsid w:val="003C1B83"/>
    <w:rsid w:val="003C2632"/>
    <w:rsid w:val="003C342A"/>
    <w:rsid w:val="003C342D"/>
    <w:rsid w:val="003C3C3F"/>
    <w:rsid w:val="003C3ED0"/>
    <w:rsid w:val="003C4812"/>
    <w:rsid w:val="003C4B90"/>
    <w:rsid w:val="003C4E7F"/>
    <w:rsid w:val="003C50EE"/>
    <w:rsid w:val="003C5B73"/>
    <w:rsid w:val="003C60F2"/>
    <w:rsid w:val="003C6154"/>
    <w:rsid w:val="003C665A"/>
    <w:rsid w:val="003C681E"/>
    <w:rsid w:val="003C6A4B"/>
    <w:rsid w:val="003C6BC6"/>
    <w:rsid w:val="003C7D4B"/>
    <w:rsid w:val="003D00BF"/>
    <w:rsid w:val="003D0117"/>
    <w:rsid w:val="003D0813"/>
    <w:rsid w:val="003D1285"/>
    <w:rsid w:val="003D1758"/>
    <w:rsid w:val="003D20C6"/>
    <w:rsid w:val="003D211C"/>
    <w:rsid w:val="003D2146"/>
    <w:rsid w:val="003D2492"/>
    <w:rsid w:val="003D2676"/>
    <w:rsid w:val="003D28B8"/>
    <w:rsid w:val="003D3B82"/>
    <w:rsid w:val="003D42ED"/>
    <w:rsid w:val="003D437A"/>
    <w:rsid w:val="003D47EC"/>
    <w:rsid w:val="003D4C9E"/>
    <w:rsid w:val="003D4E5B"/>
    <w:rsid w:val="003D4E6A"/>
    <w:rsid w:val="003D55E5"/>
    <w:rsid w:val="003D74E0"/>
    <w:rsid w:val="003D7ADC"/>
    <w:rsid w:val="003E07E5"/>
    <w:rsid w:val="003E0D95"/>
    <w:rsid w:val="003E19DA"/>
    <w:rsid w:val="003E252B"/>
    <w:rsid w:val="003E2E6C"/>
    <w:rsid w:val="003E314E"/>
    <w:rsid w:val="003E345F"/>
    <w:rsid w:val="003E3701"/>
    <w:rsid w:val="003E4C0F"/>
    <w:rsid w:val="003E4DD4"/>
    <w:rsid w:val="003E4E82"/>
    <w:rsid w:val="003E5077"/>
    <w:rsid w:val="003E5390"/>
    <w:rsid w:val="003E59D8"/>
    <w:rsid w:val="003E5B53"/>
    <w:rsid w:val="003E5C36"/>
    <w:rsid w:val="003E5D2C"/>
    <w:rsid w:val="003E623C"/>
    <w:rsid w:val="003E680C"/>
    <w:rsid w:val="003E680D"/>
    <w:rsid w:val="003E6CEA"/>
    <w:rsid w:val="003E6FC9"/>
    <w:rsid w:val="003E740E"/>
    <w:rsid w:val="003E79B8"/>
    <w:rsid w:val="003E7C3C"/>
    <w:rsid w:val="003E7CBA"/>
    <w:rsid w:val="003E7E59"/>
    <w:rsid w:val="003F0127"/>
    <w:rsid w:val="003F08B4"/>
    <w:rsid w:val="003F0B5E"/>
    <w:rsid w:val="003F0BFA"/>
    <w:rsid w:val="003F15E0"/>
    <w:rsid w:val="003F1C9F"/>
    <w:rsid w:val="003F1D6A"/>
    <w:rsid w:val="003F220B"/>
    <w:rsid w:val="003F23D6"/>
    <w:rsid w:val="003F2814"/>
    <w:rsid w:val="003F28FD"/>
    <w:rsid w:val="003F2D8C"/>
    <w:rsid w:val="003F2FB1"/>
    <w:rsid w:val="003F403E"/>
    <w:rsid w:val="003F4FBA"/>
    <w:rsid w:val="003F5487"/>
    <w:rsid w:val="003F5E39"/>
    <w:rsid w:val="003F5EDC"/>
    <w:rsid w:val="003F6490"/>
    <w:rsid w:val="003F651F"/>
    <w:rsid w:val="003F69F7"/>
    <w:rsid w:val="003F6D39"/>
    <w:rsid w:val="003F7353"/>
    <w:rsid w:val="003F76FF"/>
    <w:rsid w:val="003F789F"/>
    <w:rsid w:val="003F7F0B"/>
    <w:rsid w:val="00400D2D"/>
    <w:rsid w:val="00401019"/>
    <w:rsid w:val="00401AD4"/>
    <w:rsid w:val="004026DC"/>
    <w:rsid w:val="00402706"/>
    <w:rsid w:val="00402A23"/>
    <w:rsid w:val="00402D2A"/>
    <w:rsid w:val="00403179"/>
    <w:rsid w:val="0040328E"/>
    <w:rsid w:val="004035CD"/>
    <w:rsid w:val="004036F2"/>
    <w:rsid w:val="00403859"/>
    <w:rsid w:val="00403E50"/>
    <w:rsid w:val="00404106"/>
    <w:rsid w:val="00404201"/>
    <w:rsid w:val="00404498"/>
    <w:rsid w:val="00404DA4"/>
    <w:rsid w:val="00404F8B"/>
    <w:rsid w:val="0040510B"/>
    <w:rsid w:val="00405925"/>
    <w:rsid w:val="00405F92"/>
    <w:rsid w:val="00406088"/>
    <w:rsid w:val="00406D62"/>
    <w:rsid w:val="00407F6F"/>
    <w:rsid w:val="00410C5C"/>
    <w:rsid w:val="00410E7E"/>
    <w:rsid w:val="00410EB9"/>
    <w:rsid w:val="004118F9"/>
    <w:rsid w:val="00411B7C"/>
    <w:rsid w:val="004123D6"/>
    <w:rsid w:val="004123D7"/>
    <w:rsid w:val="004124A6"/>
    <w:rsid w:val="004127AF"/>
    <w:rsid w:val="004135CB"/>
    <w:rsid w:val="00413C67"/>
    <w:rsid w:val="00414D05"/>
    <w:rsid w:val="00415838"/>
    <w:rsid w:val="00415E56"/>
    <w:rsid w:val="00416BB3"/>
    <w:rsid w:val="00416C21"/>
    <w:rsid w:val="00416E0B"/>
    <w:rsid w:val="004175DB"/>
    <w:rsid w:val="00417A2C"/>
    <w:rsid w:val="00417E33"/>
    <w:rsid w:val="00420596"/>
    <w:rsid w:val="00420A72"/>
    <w:rsid w:val="00421C15"/>
    <w:rsid w:val="00422F4B"/>
    <w:rsid w:val="00423006"/>
    <w:rsid w:val="00423067"/>
    <w:rsid w:val="00423296"/>
    <w:rsid w:val="00423D6B"/>
    <w:rsid w:val="00424C2A"/>
    <w:rsid w:val="00424D2E"/>
    <w:rsid w:val="00424F51"/>
    <w:rsid w:val="004251AC"/>
    <w:rsid w:val="0042554A"/>
    <w:rsid w:val="00425F5C"/>
    <w:rsid w:val="00426DDA"/>
    <w:rsid w:val="00427296"/>
    <w:rsid w:val="00427BC8"/>
    <w:rsid w:val="00430204"/>
    <w:rsid w:val="004302C1"/>
    <w:rsid w:val="00430537"/>
    <w:rsid w:val="00430A3C"/>
    <w:rsid w:val="00430D47"/>
    <w:rsid w:val="0043140B"/>
    <w:rsid w:val="0043202A"/>
    <w:rsid w:val="00432C9D"/>
    <w:rsid w:val="00433034"/>
    <w:rsid w:val="004331A1"/>
    <w:rsid w:val="00433EE0"/>
    <w:rsid w:val="00434416"/>
    <w:rsid w:val="004346FE"/>
    <w:rsid w:val="00434772"/>
    <w:rsid w:val="0043487C"/>
    <w:rsid w:val="004348A7"/>
    <w:rsid w:val="00435539"/>
    <w:rsid w:val="00435A62"/>
    <w:rsid w:val="00435BB8"/>
    <w:rsid w:val="00436F7A"/>
    <w:rsid w:val="00437151"/>
    <w:rsid w:val="004373B6"/>
    <w:rsid w:val="00437509"/>
    <w:rsid w:val="00437965"/>
    <w:rsid w:val="0044062A"/>
    <w:rsid w:val="00440667"/>
    <w:rsid w:val="00440803"/>
    <w:rsid w:val="0044124D"/>
    <w:rsid w:val="0044151D"/>
    <w:rsid w:val="00441CB3"/>
    <w:rsid w:val="004421F5"/>
    <w:rsid w:val="004424DD"/>
    <w:rsid w:val="00442B8B"/>
    <w:rsid w:val="00442B98"/>
    <w:rsid w:val="00442BD5"/>
    <w:rsid w:val="00442D6B"/>
    <w:rsid w:val="0044340C"/>
    <w:rsid w:val="00443AF2"/>
    <w:rsid w:val="0044436A"/>
    <w:rsid w:val="00444858"/>
    <w:rsid w:val="00444B95"/>
    <w:rsid w:val="00444BD1"/>
    <w:rsid w:val="00444DD1"/>
    <w:rsid w:val="0044530A"/>
    <w:rsid w:val="0044583F"/>
    <w:rsid w:val="00445BD5"/>
    <w:rsid w:val="00445F3B"/>
    <w:rsid w:val="00447045"/>
    <w:rsid w:val="00447289"/>
    <w:rsid w:val="00447B2A"/>
    <w:rsid w:val="0045014F"/>
    <w:rsid w:val="0045029F"/>
    <w:rsid w:val="004506D1"/>
    <w:rsid w:val="00450D70"/>
    <w:rsid w:val="00451533"/>
    <w:rsid w:val="00451B69"/>
    <w:rsid w:val="004521AE"/>
    <w:rsid w:val="004522FA"/>
    <w:rsid w:val="004529C6"/>
    <w:rsid w:val="00452BBE"/>
    <w:rsid w:val="00452ECD"/>
    <w:rsid w:val="00453134"/>
    <w:rsid w:val="004538B1"/>
    <w:rsid w:val="00453932"/>
    <w:rsid w:val="00453E54"/>
    <w:rsid w:val="004545DA"/>
    <w:rsid w:val="00454B2C"/>
    <w:rsid w:val="00454B47"/>
    <w:rsid w:val="00454E0F"/>
    <w:rsid w:val="00455025"/>
    <w:rsid w:val="0045526C"/>
    <w:rsid w:val="004552C7"/>
    <w:rsid w:val="0045546B"/>
    <w:rsid w:val="00455635"/>
    <w:rsid w:val="0045564C"/>
    <w:rsid w:val="00455881"/>
    <w:rsid w:val="00455ADB"/>
    <w:rsid w:val="00456269"/>
    <w:rsid w:val="004563E8"/>
    <w:rsid w:val="004569D9"/>
    <w:rsid w:val="00457020"/>
    <w:rsid w:val="00457950"/>
    <w:rsid w:val="00457988"/>
    <w:rsid w:val="00460070"/>
    <w:rsid w:val="00460087"/>
    <w:rsid w:val="00460B41"/>
    <w:rsid w:val="00460CB1"/>
    <w:rsid w:val="004617DC"/>
    <w:rsid w:val="00461968"/>
    <w:rsid w:val="00461B0B"/>
    <w:rsid w:val="00462883"/>
    <w:rsid w:val="00462B4F"/>
    <w:rsid w:val="00462DD5"/>
    <w:rsid w:val="004633A0"/>
    <w:rsid w:val="00463B89"/>
    <w:rsid w:val="00464059"/>
    <w:rsid w:val="0046409F"/>
    <w:rsid w:val="004647BC"/>
    <w:rsid w:val="00464A5B"/>
    <w:rsid w:val="00464D5B"/>
    <w:rsid w:val="00464F86"/>
    <w:rsid w:val="00465187"/>
    <w:rsid w:val="00465854"/>
    <w:rsid w:val="00465A7C"/>
    <w:rsid w:val="00465FF5"/>
    <w:rsid w:val="00466190"/>
    <w:rsid w:val="004673D7"/>
    <w:rsid w:val="00467BF6"/>
    <w:rsid w:val="00467C92"/>
    <w:rsid w:val="00467F20"/>
    <w:rsid w:val="00470214"/>
    <w:rsid w:val="00470A02"/>
    <w:rsid w:val="00470DE9"/>
    <w:rsid w:val="00470FD2"/>
    <w:rsid w:val="00470FD3"/>
    <w:rsid w:val="0047140F"/>
    <w:rsid w:val="00471483"/>
    <w:rsid w:val="004716DB"/>
    <w:rsid w:val="00471FF4"/>
    <w:rsid w:val="004726F6"/>
    <w:rsid w:val="00472E06"/>
    <w:rsid w:val="0047316C"/>
    <w:rsid w:val="004733BC"/>
    <w:rsid w:val="00473D18"/>
    <w:rsid w:val="004742C5"/>
    <w:rsid w:val="004745C5"/>
    <w:rsid w:val="00474743"/>
    <w:rsid w:val="00474F66"/>
    <w:rsid w:val="004758F6"/>
    <w:rsid w:val="00475A63"/>
    <w:rsid w:val="00476318"/>
    <w:rsid w:val="00476520"/>
    <w:rsid w:val="004768BF"/>
    <w:rsid w:val="00476CB8"/>
    <w:rsid w:val="00476F18"/>
    <w:rsid w:val="004774AF"/>
    <w:rsid w:val="004777FC"/>
    <w:rsid w:val="00477B07"/>
    <w:rsid w:val="00477D94"/>
    <w:rsid w:val="00477F60"/>
    <w:rsid w:val="00477FA5"/>
    <w:rsid w:val="00480078"/>
    <w:rsid w:val="00480ED1"/>
    <w:rsid w:val="00480EF4"/>
    <w:rsid w:val="0048101B"/>
    <w:rsid w:val="0048135F"/>
    <w:rsid w:val="00481DCB"/>
    <w:rsid w:val="00481E81"/>
    <w:rsid w:val="0048215F"/>
    <w:rsid w:val="00482538"/>
    <w:rsid w:val="004825DF"/>
    <w:rsid w:val="00482D48"/>
    <w:rsid w:val="00482E3C"/>
    <w:rsid w:val="00482F4A"/>
    <w:rsid w:val="0048314E"/>
    <w:rsid w:val="004832E5"/>
    <w:rsid w:val="00484A09"/>
    <w:rsid w:val="00484A79"/>
    <w:rsid w:val="0048524C"/>
    <w:rsid w:val="004856A5"/>
    <w:rsid w:val="00485792"/>
    <w:rsid w:val="00485EA6"/>
    <w:rsid w:val="004869EF"/>
    <w:rsid w:val="00486E8B"/>
    <w:rsid w:val="00486EF8"/>
    <w:rsid w:val="00487343"/>
    <w:rsid w:val="00487EAF"/>
    <w:rsid w:val="0049062F"/>
    <w:rsid w:val="00490721"/>
    <w:rsid w:val="00490877"/>
    <w:rsid w:val="00490B0F"/>
    <w:rsid w:val="004910B4"/>
    <w:rsid w:val="00491639"/>
    <w:rsid w:val="004917D9"/>
    <w:rsid w:val="0049190B"/>
    <w:rsid w:val="00491C2D"/>
    <w:rsid w:val="00491F9A"/>
    <w:rsid w:val="004920BC"/>
    <w:rsid w:val="004926C2"/>
    <w:rsid w:val="00493431"/>
    <w:rsid w:val="004934BA"/>
    <w:rsid w:val="004939F6"/>
    <w:rsid w:val="00493B82"/>
    <w:rsid w:val="00494DD9"/>
    <w:rsid w:val="00495961"/>
    <w:rsid w:val="00495B9B"/>
    <w:rsid w:val="00495F3F"/>
    <w:rsid w:val="004960D1"/>
    <w:rsid w:val="00496423"/>
    <w:rsid w:val="00496C1C"/>
    <w:rsid w:val="00496F98"/>
    <w:rsid w:val="0049728E"/>
    <w:rsid w:val="00497CCE"/>
    <w:rsid w:val="004A0129"/>
    <w:rsid w:val="004A0ED3"/>
    <w:rsid w:val="004A16B7"/>
    <w:rsid w:val="004A1972"/>
    <w:rsid w:val="004A2331"/>
    <w:rsid w:val="004A331A"/>
    <w:rsid w:val="004A33CF"/>
    <w:rsid w:val="004A3672"/>
    <w:rsid w:val="004A4301"/>
    <w:rsid w:val="004A4D35"/>
    <w:rsid w:val="004A59C0"/>
    <w:rsid w:val="004A5C4D"/>
    <w:rsid w:val="004A6F5E"/>
    <w:rsid w:val="004A7B9E"/>
    <w:rsid w:val="004A7E48"/>
    <w:rsid w:val="004B020D"/>
    <w:rsid w:val="004B0627"/>
    <w:rsid w:val="004B0810"/>
    <w:rsid w:val="004B0AA9"/>
    <w:rsid w:val="004B0BB7"/>
    <w:rsid w:val="004B1361"/>
    <w:rsid w:val="004B1557"/>
    <w:rsid w:val="004B1589"/>
    <w:rsid w:val="004B17CB"/>
    <w:rsid w:val="004B18C0"/>
    <w:rsid w:val="004B19C9"/>
    <w:rsid w:val="004B1BA1"/>
    <w:rsid w:val="004B1C3F"/>
    <w:rsid w:val="004B2069"/>
    <w:rsid w:val="004B21F7"/>
    <w:rsid w:val="004B25F0"/>
    <w:rsid w:val="004B2F61"/>
    <w:rsid w:val="004B3210"/>
    <w:rsid w:val="004B32B3"/>
    <w:rsid w:val="004B341D"/>
    <w:rsid w:val="004B3461"/>
    <w:rsid w:val="004B35A6"/>
    <w:rsid w:val="004B392B"/>
    <w:rsid w:val="004B44CC"/>
    <w:rsid w:val="004B4EB2"/>
    <w:rsid w:val="004B53B2"/>
    <w:rsid w:val="004B569F"/>
    <w:rsid w:val="004B5A97"/>
    <w:rsid w:val="004B6174"/>
    <w:rsid w:val="004B626F"/>
    <w:rsid w:val="004B6358"/>
    <w:rsid w:val="004B6E9B"/>
    <w:rsid w:val="004B7308"/>
    <w:rsid w:val="004B7359"/>
    <w:rsid w:val="004B73F8"/>
    <w:rsid w:val="004B76A0"/>
    <w:rsid w:val="004B77B3"/>
    <w:rsid w:val="004C08AD"/>
    <w:rsid w:val="004C09D8"/>
    <w:rsid w:val="004C0F72"/>
    <w:rsid w:val="004C115D"/>
    <w:rsid w:val="004C11F4"/>
    <w:rsid w:val="004C1317"/>
    <w:rsid w:val="004C196B"/>
    <w:rsid w:val="004C1DCD"/>
    <w:rsid w:val="004C22BF"/>
    <w:rsid w:val="004C3037"/>
    <w:rsid w:val="004C3064"/>
    <w:rsid w:val="004C3E18"/>
    <w:rsid w:val="004C3F5C"/>
    <w:rsid w:val="004C441B"/>
    <w:rsid w:val="004C44E1"/>
    <w:rsid w:val="004C4578"/>
    <w:rsid w:val="004C4827"/>
    <w:rsid w:val="004C4868"/>
    <w:rsid w:val="004C4A57"/>
    <w:rsid w:val="004C5741"/>
    <w:rsid w:val="004C578A"/>
    <w:rsid w:val="004C616C"/>
    <w:rsid w:val="004C6398"/>
    <w:rsid w:val="004C63AD"/>
    <w:rsid w:val="004C6932"/>
    <w:rsid w:val="004C6E58"/>
    <w:rsid w:val="004C7074"/>
    <w:rsid w:val="004C78B2"/>
    <w:rsid w:val="004C7AB2"/>
    <w:rsid w:val="004C7EAD"/>
    <w:rsid w:val="004C7EF4"/>
    <w:rsid w:val="004C7FF7"/>
    <w:rsid w:val="004D0ED5"/>
    <w:rsid w:val="004D10B8"/>
    <w:rsid w:val="004D1821"/>
    <w:rsid w:val="004D1F0E"/>
    <w:rsid w:val="004D2E00"/>
    <w:rsid w:val="004D300F"/>
    <w:rsid w:val="004D354B"/>
    <w:rsid w:val="004D3B3F"/>
    <w:rsid w:val="004D41BC"/>
    <w:rsid w:val="004D44BA"/>
    <w:rsid w:val="004D44BC"/>
    <w:rsid w:val="004D4781"/>
    <w:rsid w:val="004D4872"/>
    <w:rsid w:val="004D4E92"/>
    <w:rsid w:val="004D54A2"/>
    <w:rsid w:val="004D56AA"/>
    <w:rsid w:val="004D581B"/>
    <w:rsid w:val="004D63ED"/>
    <w:rsid w:val="004D6E71"/>
    <w:rsid w:val="004D6F16"/>
    <w:rsid w:val="004D7F21"/>
    <w:rsid w:val="004E01EA"/>
    <w:rsid w:val="004E03F2"/>
    <w:rsid w:val="004E081F"/>
    <w:rsid w:val="004E0ADA"/>
    <w:rsid w:val="004E121C"/>
    <w:rsid w:val="004E14D6"/>
    <w:rsid w:val="004E1581"/>
    <w:rsid w:val="004E1694"/>
    <w:rsid w:val="004E1ACF"/>
    <w:rsid w:val="004E1E46"/>
    <w:rsid w:val="004E1F3B"/>
    <w:rsid w:val="004E2457"/>
    <w:rsid w:val="004E29BB"/>
    <w:rsid w:val="004E29C0"/>
    <w:rsid w:val="004E4041"/>
    <w:rsid w:val="004E44AF"/>
    <w:rsid w:val="004E4A5F"/>
    <w:rsid w:val="004E52E0"/>
    <w:rsid w:val="004E570A"/>
    <w:rsid w:val="004E5762"/>
    <w:rsid w:val="004E5DE4"/>
    <w:rsid w:val="004E63E9"/>
    <w:rsid w:val="004E6875"/>
    <w:rsid w:val="004E6CCE"/>
    <w:rsid w:val="004E6E40"/>
    <w:rsid w:val="004E71F7"/>
    <w:rsid w:val="004E79C4"/>
    <w:rsid w:val="004E7E4B"/>
    <w:rsid w:val="004E7F41"/>
    <w:rsid w:val="004F0A8A"/>
    <w:rsid w:val="004F0D12"/>
    <w:rsid w:val="004F0E49"/>
    <w:rsid w:val="004F1504"/>
    <w:rsid w:val="004F1DB5"/>
    <w:rsid w:val="004F2006"/>
    <w:rsid w:val="004F234E"/>
    <w:rsid w:val="004F265A"/>
    <w:rsid w:val="004F268A"/>
    <w:rsid w:val="004F2AA4"/>
    <w:rsid w:val="004F2C0C"/>
    <w:rsid w:val="004F3244"/>
    <w:rsid w:val="004F32FB"/>
    <w:rsid w:val="004F394A"/>
    <w:rsid w:val="004F45B6"/>
    <w:rsid w:val="004F4DF2"/>
    <w:rsid w:val="004F4FAB"/>
    <w:rsid w:val="004F520E"/>
    <w:rsid w:val="004F5331"/>
    <w:rsid w:val="004F5C6E"/>
    <w:rsid w:val="004F6703"/>
    <w:rsid w:val="004F78B5"/>
    <w:rsid w:val="004F7B50"/>
    <w:rsid w:val="0050011B"/>
    <w:rsid w:val="005001D8"/>
    <w:rsid w:val="0050096E"/>
    <w:rsid w:val="00501558"/>
    <w:rsid w:val="00501C70"/>
    <w:rsid w:val="0050232A"/>
    <w:rsid w:val="005025C5"/>
    <w:rsid w:val="005029F8"/>
    <w:rsid w:val="005033D3"/>
    <w:rsid w:val="005034AE"/>
    <w:rsid w:val="005037B7"/>
    <w:rsid w:val="00504EA5"/>
    <w:rsid w:val="005058D0"/>
    <w:rsid w:val="00505ABD"/>
    <w:rsid w:val="00505C57"/>
    <w:rsid w:val="00505D6D"/>
    <w:rsid w:val="00506382"/>
    <w:rsid w:val="00506D16"/>
    <w:rsid w:val="00506E25"/>
    <w:rsid w:val="00507895"/>
    <w:rsid w:val="00507FDD"/>
    <w:rsid w:val="0051025D"/>
    <w:rsid w:val="00510311"/>
    <w:rsid w:val="00510763"/>
    <w:rsid w:val="00510D1D"/>
    <w:rsid w:val="00510F1E"/>
    <w:rsid w:val="005110A7"/>
    <w:rsid w:val="005111C5"/>
    <w:rsid w:val="00511681"/>
    <w:rsid w:val="0051178B"/>
    <w:rsid w:val="00511842"/>
    <w:rsid w:val="00511E41"/>
    <w:rsid w:val="00511ED2"/>
    <w:rsid w:val="00511FB0"/>
    <w:rsid w:val="0051261E"/>
    <w:rsid w:val="00512811"/>
    <w:rsid w:val="00512ACB"/>
    <w:rsid w:val="00513501"/>
    <w:rsid w:val="00513A28"/>
    <w:rsid w:val="0051467B"/>
    <w:rsid w:val="005153BB"/>
    <w:rsid w:val="005154D6"/>
    <w:rsid w:val="005159FD"/>
    <w:rsid w:val="0051639C"/>
    <w:rsid w:val="00516448"/>
    <w:rsid w:val="00516470"/>
    <w:rsid w:val="00516726"/>
    <w:rsid w:val="00516B59"/>
    <w:rsid w:val="00516D8B"/>
    <w:rsid w:val="0051726D"/>
    <w:rsid w:val="005172AA"/>
    <w:rsid w:val="005173D5"/>
    <w:rsid w:val="00517EB6"/>
    <w:rsid w:val="0052001E"/>
    <w:rsid w:val="005214AA"/>
    <w:rsid w:val="00521575"/>
    <w:rsid w:val="00521CB9"/>
    <w:rsid w:val="00521D6C"/>
    <w:rsid w:val="0052279E"/>
    <w:rsid w:val="00523280"/>
    <w:rsid w:val="005234B0"/>
    <w:rsid w:val="00523747"/>
    <w:rsid w:val="0052392D"/>
    <w:rsid w:val="00523D48"/>
    <w:rsid w:val="0052414A"/>
    <w:rsid w:val="00524301"/>
    <w:rsid w:val="005248D0"/>
    <w:rsid w:val="00524A14"/>
    <w:rsid w:val="00524B96"/>
    <w:rsid w:val="0052549C"/>
    <w:rsid w:val="0052565B"/>
    <w:rsid w:val="005256C0"/>
    <w:rsid w:val="005258BB"/>
    <w:rsid w:val="00525913"/>
    <w:rsid w:val="00525B08"/>
    <w:rsid w:val="00525B99"/>
    <w:rsid w:val="00525ED3"/>
    <w:rsid w:val="005260D6"/>
    <w:rsid w:val="00526206"/>
    <w:rsid w:val="00526250"/>
    <w:rsid w:val="00526300"/>
    <w:rsid w:val="0052646B"/>
    <w:rsid w:val="005265E4"/>
    <w:rsid w:val="00526817"/>
    <w:rsid w:val="00526B19"/>
    <w:rsid w:val="00526B44"/>
    <w:rsid w:val="0052702D"/>
    <w:rsid w:val="005273C6"/>
    <w:rsid w:val="005273E4"/>
    <w:rsid w:val="005275AD"/>
    <w:rsid w:val="0053022E"/>
    <w:rsid w:val="00530581"/>
    <w:rsid w:val="00530B0D"/>
    <w:rsid w:val="00530E2F"/>
    <w:rsid w:val="005310DF"/>
    <w:rsid w:val="00531414"/>
    <w:rsid w:val="00531EF4"/>
    <w:rsid w:val="00531F4F"/>
    <w:rsid w:val="005324F0"/>
    <w:rsid w:val="005325BA"/>
    <w:rsid w:val="00532B8D"/>
    <w:rsid w:val="00532DF5"/>
    <w:rsid w:val="00532EA9"/>
    <w:rsid w:val="005335E2"/>
    <w:rsid w:val="00533AF4"/>
    <w:rsid w:val="00533C7E"/>
    <w:rsid w:val="00533F87"/>
    <w:rsid w:val="005341DB"/>
    <w:rsid w:val="00534492"/>
    <w:rsid w:val="005347BD"/>
    <w:rsid w:val="00534BEF"/>
    <w:rsid w:val="00534D80"/>
    <w:rsid w:val="00535227"/>
    <w:rsid w:val="005352E5"/>
    <w:rsid w:val="00535355"/>
    <w:rsid w:val="00535517"/>
    <w:rsid w:val="00535802"/>
    <w:rsid w:val="0053580A"/>
    <w:rsid w:val="005358C2"/>
    <w:rsid w:val="00535960"/>
    <w:rsid w:val="005363F9"/>
    <w:rsid w:val="005364A3"/>
    <w:rsid w:val="0053652C"/>
    <w:rsid w:val="0053655A"/>
    <w:rsid w:val="00536726"/>
    <w:rsid w:val="00536777"/>
    <w:rsid w:val="00536C13"/>
    <w:rsid w:val="00536E7C"/>
    <w:rsid w:val="005371B1"/>
    <w:rsid w:val="00537710"/>
    <w:rsid w:val="00540113"/>
    <w:rsid w:val="00540858"/>
    <w:rsid w:val="00540AA6"/>
    <w:rsid w:val="00540FE2"/>
    <w:rsid w:val="00541FFF"/>
    <w:rsid w:val="005423A9"/>
    <w:rsid w:val="00542402"/>
    <w:rsid w:val="005425D8"/>
    <w:rsid w:val="00542639"/>
    <w:rsid w:val="005429D5"/>
    <w:rsid w:val="00543819"/>
    <w:rsid w:val="00543D88"/>
    <w:rsid w:val="00544135"/>
    <w:rsid w:val="0054425C"/>
    <w:rsid w:val="00544FCE"/>
    <w:rsid w:val="0054535E"/>
    <w:rsid w:val="00545CB6"/>
    <w:rsid w:val="00545DEE"/>
    <w:rsid w:val="00545E5A"/>
    <w:rsid w:val="00545F54"/>
    <w:rsid w:val="00546847"/>
    <w:rsid w:val="00547252"/>
    <w:rsid w:val="005476EA"/>
    <w:rsid w:val="00550168"/>
    <w:rsid w:val="00550171"/>
    <w:rsid w:val="00550541"/>
    <w:rsid w:val="00550B14"/>
    <w:rsid w:val="00550B2A"/>
    <w:rsid w:val="00550BEC"/>
    <w:rsid w:val="00550D06"/>
    <w:rsid w:val="00551492"/>
    <w:rsid w:val="00551D54"/>
    <w:rsid w:val="00551F2A"/>
    <w:rsid w:val="00552142"/>
    <w:rsid w:val="0055264C"/>
    <w:rsid w:val="00552726"/>
    <w:rsid w:val="0055274C"/>
    <w:rsid w:val="00552BFE"/>
    <w:rsid w:val="005534F6"/>
    <w:rsid w:val="005538D8"/>
    <w:rsid w:val="00553963"/>
    <w:rsid w:val="00553D1E"/>
    <w:rsid w:val="005545B1"/>
    <w:rsid w:val="0055489F"/>
    <w:rsid w:val="0055497C"/>
    <w:rsid w:val="00554F68"/>
    <w:rsid w:val="005554B4"/>
    <w:rsid w:val="005555DC"/>
    <w:rsid w:val="00555A78"/>
    <w:rsid w:val="00555D82"/>
    <w:rsid w:val="00555ED1"/>
    <w:rsid w:val="00555F2D"/>
    <w:rsid w:val="00557110"/>
    <w:rsid w:val="005572B3"/>
    <w:rsid w:val="005573E5"/>
    <w:rsid w:val="00557426"/>
    <w:rsid w:val="00557813"/>
    <w:rsid w:val="00557828"/>
    <w:rsid w:val="00557949"/>
    <w:rsid w:val="005603AE"/>
    <w:rsid w:val="005605E8"/>
    <w:rsid w:val="00560959"/>
    <w:rsid w:val="00560BCE"/>
    <w:rsid w:val="00560CA5"/>
    <w:rsid w:val="00560D7C"/>
    <w:rsid w:val="0056142F"/>
    <w:rsid w:val="00561F7E"/>
    <w:rsid w:val="00562525"/>
    <w:rsid w:val="00562CB5"/>
    <w:rsid w:val="00562D19"/>
    <w:rsid w:val="00563105"/>
    <w:rsid w:val="005633A2"/>
    <w:rsid w:val="005634A3"/>
    <w:rsid w:val="005638AB"/>
    <w:rsid w:val="00563A17"/>
    <w:rsid w:val="00565338"/>
    <w:rsid w:val="00565759"/>
    <w:rsid w:val="00565856"/>
    <w:rsid w:val="00565E12"/>
    <w:rsid w:val="0056628F"/>
    <w:rsid w:val="00566CE8"/>
    <w:rsid w:val="00566D26"/>
    <w:rsid w:val="005671B1"/>
    <w:rsid w:val="00567231"/>
    <w:rsid w:val="005674A4"/>
    <w:rsid w:val="005677BE"/>
    <w:rsid w:val="00567A2A"/>
    <w:rsid w:val="00570E64"/>
    <w:rsid w:val="00570F8A"/>
    <w:rsid w:val="005710ED"/>
    <w:rsid w:val="00571ACF"/>
    <w:rsid w:val="00571F02"/>
    <w:rsid w:val="00572170"/>
    <w:rsid w:val="005723FE"/>
    <w:rsid w:val="005724AA"/>
    <w:rsid w:val="005726E3"/>
    <w:rsid w:val="005728A3"/>
    <w:rsid w:val="00573345"/>
    <w:rsid w:val="0057377A"/>
    <w:rsid w:val="00573817"/>
    <w:rsid w:val="005739B5"/>
    <w:rsid w:val="00573F00"/>
    <w:rsid w:val="00574144"/>
    <w:rsid w:val="0057464F"/>
    <w:rsid w:val="00574911"/>
    <w:rsid w:val="00574C81"/>
    <w:rsid w:val="00574EF0"/>
    <w:rsid w:val="0057564E"/>
    <w:rsid w:val="005756C0"/>
    <w:rsid w:val="00575AB4"/>
    <w:rsid w:val="00575B3F"/>
    <w:rsid w:val="00575E34"/>
    <w:rsid w:val="00575FBF"/>
    <w:rsid w:val="00576266"/>
    <w:rsid w:val="00576533"/>
    <w:rsid w:val="005766EC"/>
    <w:rsid w:val="00576F02"/>
    <w:rsid w:val="0057708B"/>
    <w:rsid w:val="0057758F"/>
    <w:rsid w:val="00577809"/>
    <w:rsid w:val="00577DE1"/>
    <w:rsid w:val="00580050"/>
    <w:rsid w:val="005806C0"/>
    <w:rsid w:val="00580F8C"/>
    <w:rsid w:val="0058103E"/>
    <w:rsid w:val="00581C69"/>
    <w:rsid w:val="005822E7"/>
    <w:rsid w:val="00582547"/>
    <w:rsid w:val="00582570"/>
    <w:rsid w:val="00583461"/>
    <w:rsid w:val="005834FE"/>
    <w:rsid w:val="00583990"/>
    <w:rsid w:val="005846F3"/>
    <w:rsid w:val="00584D60"/>
    <w:rsid w:val="00586111"/>
    <w:rsid w:val="005862D7"/>
    <w:rsid w:val="005864B0"/>
    <w:rsid w:val="00586D58"/>
    <w:rsid w:val="00587373"/>
    <w:rsid w:val="0058747F"/>
    <w:rsid w:val="005876A9"/>
    <w:rsid w:val="00587A99"/>
    <w:rsid w:val="00587C63"/>
    <w:rsid w:val="00587CBD"/>
    <w:rsid w:val="00587D9C"/>
    <w:rsid w:val="00587DAD"/>
    <w:rsid w:val="00590192"/>
    <w:rsid w:val="00590311"/>
    <w:rsid w:val="00590387"/>
    <w:rsid w:val="005904F9"/>
    <w:rsid w:val="00590E8B"/>
    <w:rsid w:val="00591209"/>
    <w:rsid w:val="0059189D"/>
    <w:rsid w:val="00591EC4"/>
    <w:rsid w:val="00592082"/>
    <w:rsid w:val="005921F7"/>
    <w:rsid w:val="005924E6"/>
    <w:rsid w:val="0059275A"/>
    <w:rsid w:val="00592E75"/>
    <w:rsid w:val="00593CDA"/>
    <w:rsid w:val="00593EB5"/>
    <w:rsid w:val="00594289"/>
    <w:rsid w:val="00594A83"/>
    <w:rsid w:val="00595007"/>
    <w:rsid w:val="00595792"/>
    <w:rsid w:val="00595B62"/>
    <w:rsid w:val="00595FDE"/>
    <w:rsid w:val="00596057"/>
    <w:rsid w:val="00596570"/>
    <w:rsid w:val="005965E8"/>
    <w:rsid w:val="00596725"/>
    <w:rsid w:val="00597090"/>
    <w:rsid w:val="00597A59"/>
    <w:rsid w:val="00597AAE"/>
    <w:rsid w:val="00597CED"/>
    <w:rsid w:val="00597D89"/>
    <w:rsid w:val="00597E10"/>
    <w:rsid w:val="005A0356"/>
    <w:rsid w:val="005A0A1F"/>
    <w:rsid w:val="005A0A4E"/>
    <w:rsid w:val="005A0D58"/>
    <w:rsid w:val="005A0EE0"/>
    <w:rsid w:val="005A18F9"/>
    <w:rsid w:val="005A1EBB"/>
    <w:rsid w:val="005A21C8"/>
    <w:rsid w:val="005A21DC"/>
    <w:rsid w:val="005A24A0"/>
    <w:rsid w:val="005A278D"/>
    <w:rsid w:val="005A2809"/>
    <w:rsid w:val="005A3123"/>
    <w:rsid w:val="005A340F"/>
    <w:rsid w:val="005A3430"/>
    <w:rsid w:val="005A3617"/>
    <w:rsid w:val="005A3DF6"/>
    <w:rsid w:val="005A4945"/>
    <w:rsid w:val="005A4EA3"/>
    <w:rsid w:val="005A5050"/>
    <w:rsid w:val="005A533B"/>
    <w:rsid w:val="005A5392"/>
    <w:rsid w:val="005A5548"/>
    <w:rsid w:val="005A59B1"/>
    <w:rsid w:val="005A5A19"/>
    <w:rsid w:val="005A5C4B"/>
    <w:rsid w:val="005A5E34"/>
    <w:rsid w:val="005A623C"/>
    <w:rsid w:val="005A64D3"/>
    <w:rsid w:val="005A67C0"/>
    <w:rsid w:val="005A6C16"/>
    <w:rsid w:val="005A6F8D"/>
    <w:rsid w:val="005A712F"/>
    <w:rsid w:val="005A78D1"/>
    <w:rsid w:val="005A7B44"/>
    <w:rsid w:val="005A7C0F"/>
    <w:rsid w:val="005A7C73"/>
    <w:rsid w:val="005A7E0E"/>
    <w:rsid w:val="005B0A0B"/>
    <w:rsid w:val="005B0FB0"/>
    <w:rsid w:val="005B111B"/>
    <w:rsid w:val="005B1335"/>
    <w:rsid w:val="005B17BE"/>
    <w:rsid w:val="005B1C31"/>
    <w:rsid w:val="005B20D6"/>
    <w:rsid w:val="005B229B"/>
    <w:rsid w:val="005B236D"/>
    <w:rsid w:val="005B2701"/>
    <w:rsid w:val="005B2FD0"/>
    <w:rsid w:val="005B3850"/>
    <w:rsid w:val="005B440F"/>
    <w:rsid w:val="005B44E6"/>
    <w:rsid w:val="005B45C4"/>
    <w:rsid w:val="005B4630"/>
    <w:rsid w:val="005B515A"/>
    <w:rsid w:val="005B5600"/>
    <w:rsid w:val="005B6AA7"/>
    <w:rsid w:val="005B7359"/>
    <w:rsid w:val="005C00E1"/>
    <w:rsid w:val="005C06DD"/>
    <w:rsid w:val="005C076C"/>
    <w:rsid w:val="005C08D6"/>
    <w:rsid w:val="005C0A0B"/>
    <w:rsid w:val="005C0BB1"/>
    <w:rsid w:val="005C0DD9"/>
    <w:rsid w:val="005C0FE0"/>
    <w:rsid w:val="005C1168"/>
    <w:rsid w:val="005C1759"/>
    <w:rsid w:val="005C188B"/>
    <w:rsid w:val="005C1F16"/>
    <w:rsid w:val="005C26B6"/>
    <w:rsid w:val="005C33AF"/>
    <w:rsid w:val="005C37B2"/>
    <w:rsid w:val="005C3BB6"/>
    <w:rsid w:val="005C3C7A"/>
    <w:rsid w:val="005C4244"/>
    <w:rsid w:val="005C442D"/>
    <w:rsid w:val="005C460F"/>
    <w:rsid w:val="005C4B3A"/>
    <w:rsid w:val="005C4DBC"/>
    <w:rsid w:val="005C5398"/>
    <w:rsid w:val="005C5FB4"/>
    <w:rsid w:val="005C6C72"/>
    <w:rsid w:val="005C6D4F"/>
    <w:rsid w:val="005C740D"/>
    <w:rsid w:val="005C76C2"/>
    <w:rsid w:val="005C7DAD"/>
    <w:rsid w:val="005D0D96"/>
    <w:rsid w:val="005D13F0"/>
    <w:rsid w:val="005D14D7"/>
    <w:rsid w:val="005D1540"/>
    <w:rsid w:val="005D1A1E"/>
    <w:rsid w:val="005D1B38"/>
    <w:rsid w:val="005D20D3"/>
    <w:rsid w:val="005D277B"/>
    <w:rsid w:val="005D28F1"/>
    <w:rsid w:val="005D3115"/>
    <w:rsid w:val="005D3376"/>
    <w:rsid w:val="005D33AA"/>
    <w:rsid w:val="005D36BA"/>
    <w:rsid w:val="005D386E"/>
    <w:rsid w:val="005D3A22"/>
    <w:rsid w:val="005D3E7E"/>
    <w:rsid w:val="005D3EC5"/>
    <w:rsid w:val="005D46A3"/>
    <w:rsid w:val="005D4861"/>
    <w:rsid w:val="005D4B59"/>
    <w:rsid w:val="005D5920"/>
    <w:rsid w:val="005D5AD6"/>
    <w:rsid w:val="005D5C93"/>
    <w:rsid w:val="005D687B"/>
    <w:rsid w:val="005D69AC"/>
    <w:rsid w:val="005D6ABE"/>
    <w:rsid w:val="005D6E6D"/>
    <w:rsid w:val="005D708B"/>
    <w:rsid w:val="005D73C4"/>
    <w:rsid w:val="005D76D0"/>
    <w:rsid w:val="005D7A7D"/>
    <w:rsid w:val="005D7D33"/>
    <w:rsid w:val="005D7EEA"/>
    <w:rsid w:val="005E08B4"/>
    <w:rsid w:val="005E09C6"/>
    <w:rsid w:val="005E0E64"/>
    <w:rsid w:val="005E13FD"/>
    <w:rsid w:val="005E198E"/>
    <w:rsid w:val="005E1B84"/>
    <w:rsid w:val="005E1E40"/>
    <w:rsid w:val="005E2474"/>
    <w:rsid w:val="005E4009"/>
    <w:rsid w:val="005E42F5"/>
    <w:rsid w:val="005E48E9"/>
    <w:rsid w:val="005E4FCD"/>
    <w:rsid w:val="005E5EE7"/>
    <w:rsid w:val="005E5FFB"/>
    <w:rsid w:val="005E6763"/>
    <w:rsid w:val="005E6F6B"/>
    <w:rsid w:val="005E72BB"/>
    <w:rsid w:val="005E79D8"/>
    <w:rsid w:val="005E7D9A"/>
    <w:rsid w:val="005F00FB"/>
    <w:rsid w:val="005F0D94"/>
    <w:rsid w:val="005F0E94"/>
    <w:rsid w:val="005F1518"/>
    <w:rsid w:val="005F1585"/>
    <w:rsid w:val="005F15EF"/>
    <w:rsid w:val="005F1959"/>
    <w:rsid w:val="005F24F1"/>
    <w:rsid w:val="005F27AD"/>
    <w:rsid w:val="005F2FBE"/>
    <w:rsid w:val="005F32B7"/>
    <w:rsid w:val="005F32EB"/>
    <w:rsid w:val="005F35D8"/>
    <w:rsid w:val="005F3622"/>
    <w:rsid w:val="005F391E"/>
    <w:rsid w:val="005F3AA4"/>
    <w:rsid w:val="005F3BE3"/>
    <w:rsid w:val="005F3FC7"/>
    <w:rsid w:val="005F4660"/>
    <w:rsid w:val="005F471C"/>
    <w:rsid w:val="005F4734"/>
    <w:rsid w:val="005F493E"/>
    <w:rsid w:val="005F4D2D"/>
    <w:rsid w:val="005F4D67"/>
    <w:rsid w:val="005F4F8E"/>
    <w:rsid w:val="005F5286"/>
    <w:rsid w:val="005F5CD9"/>
    <w:rsid w:val="005F6120"/>
    <w:rsid w:val="005F674A"/>
    <w:rsid w:val="005F6B21"/>
    <w:rsid w:val="005F6C7C"/>
    <w:rsid w:val="005F7316"/>
    <w:rsid w:val="005F75A4"/>
    <w:rsid w:val="005F75AF"/>
    <w:rsid w:val="005F7988"/>
    <w:rsid w:val="005F7A1C"/>
    <w:rsid w:val="005F7B51"/>
    <w:rsid w:val="005F7C8C"/>
    <w:rsid w:val="005F7DFB"/>
    <w:rsid w:val="005F7E29"/>
    <w:rsid w:val="0060001A"/>
    <w:rsid w:val="0060004C"/>
    <w:rsid w:val="0060010C"/>
    <w:rsid w:val="0060049E"/>
    <w:rsid w:val="00600742"/>
    <w:rsid w:val="0060074B"/>
    <w:rsid w:val="00600E81"/>
    <w:rsid w:val="0060130B"/>
    <w:rsid w:val="00601662"/>
    <w:rsid w:val="00601894"/>
    <w:rsid w:val="00601AAE"/>
    <w:rsid w:val="00602381"/>
    <w:rsid w:val="00602843"/>
    <w:rsid w:val="006029B9"/>
    <w:rsid w:val="00602C4C"/>
    <w:rsid w:val="00602F47"/>
    <w:rsid w:val="006032B4"/>
    <w:rsid w:val="00603F26"/>
    <w:rsid w:val="00604E51"/>
    <w:rsid w:val="006051B9"/>
    <w:rsid w:val="006066D7"/>
    <w:rsid w:val="006073C9"/>
    <w:rsid w:val="006075FD"/>
    <w:rsid w:val="00607928"/>
    <w:rsid w:val="00607979"/>
    <w:rsid w:val="00607AFA"/>
    <w:rsid w:val="00607D9E"/>
    <w:rsid w:val="00607F6B"/>
    <w:rsid w:val="00610A73"/>
    <w:rsid w:val="00610A74"/>
    <w:rsid w:val="00610EF3"/>
    <w:rsid w:val="0061103F"/>
    <w:rsid w:val="006119D9"/>
    <w:rsid w:val="00611F34"/>
    <w:rsid w:val="006121CF"/>
    <w:rsid w:val="0061252F"/>
    <w:rsid w:val="00612A95"/>
    <w:rsid w:val="00612D16"/>
    <w:rsid w:val="00613023"/>
    <w:rsid w:val="00613EF0"/>
    <w:rsid w:val="006145D7"/>
    <w:rsid w:val="00614843"/>
    <w:rsid w:val="00614972"/>
    <w:rsid w:val="00614C5C"/>
    <w:rsid w:val="006150FC"/>
    <w:rsid w:val="006155FC"/>
    <w:rsid w:val="00616DA2"/>
    <w:rsid w:val="00616F3C"/>
    <w:rsid w:val="00617B6B"/>
    <w:rsid w:val="00617F39"/>
    <w:rsid w:val="00620FAF"/>
    <w:rsid w:val="006212C0"/>
    <w:rsid w:val="00621794"/>
    <w:rsid w:val="006218E7"/>
    <w:rsid w:val="006218EA"/>
    <w:rsid w:val="00621985"/>
    <w:rsid w:val="00622179"/>
    <w:rsid w:val="006221E7"/>
    <w:rsid w:val="006224BB"/>
    <w:rsid w:val="00622D11"/>
    <w:rsid w:val="006234A8"/>
    <w:rsid w:val="006235C3"/>
    <w:rsid w:val="006236B3"/>
    <w:rsid w:val="0062375E"/>
    <w:rsid w:val="00623AA8"/>
    <w:rsid w:val="00623F15"/>
    <w:rsid w:val="00624A5E"/>
    <w:rsid w:val="00624C37"/>
    <w:rsid w:val="00625B87"/>
    <w:rsid w:val="0062600D"/>
    <w:rsid w:val="00626166"/>
    <w:rsid w:val="00626390"/>
    <w:rsid w:val="0062649A"/>
    <w:rsid w:val="0062660E"/>
    <w:rsid w:val="00626CFC"/>
    <w:rsid w:val="00626E46"/>
    <w:rsid w:val="006270E6"/>
    <w:rsid w:val="006276A6"/>
    <w:rsid w:val="00627BE3"/>
    <w:rsid w:val="00630123"/>
    <w:rsid w:val="006306CA"/>
    <w:rsid w:val="00630D15"/>
    <w:rsid w:val="00631E2C"/>
    <w:rsid w:val="00631EA5"/>
    <w:rsid w:val="006322C7"/>
    <w:rsid w:val="0063269F"/>
    <w:rsid w:val="00632CDB"/>
    <w:rsid w:val="00633BEF"/>
    <w:rsid w:val="00634490"/>
    <w:rsid w:val="00634A9B"/>
    <w:rsid w:val="00634B0D"/>
    <w:rsid w:val="00635810"/>
    <w:rsid w:val="00635D24"/>
    <w:rsid w:val="00636036"/>
    <w:rsid w:val="00636121"/>
    <w:rsid w:val="0063617D"/>
    <w:rsid w:val="0063622F"/>
    <w:rsid w:val="00636252"/>
    <w:rsid w:val="0063626E"/>
    <w:rsid w:val="006366D2"/>
    <w:rsid w:val="00636AA7"/>
    <w:rsid w:val="0063799E"/>
    <w:rsid w:val="00637B60"/>
    <w:rsid w:val="00637CAF"/>
    <w:rsid w:val="00637ED9"/>
    <w:rsid w:val="006401F3"/>
    <w:rsid w:val="00640B32"/>
    <w:rsid w:val="0064134C"/>
    <w:rsid w:val="00641410"/>
    <w:rsid w:val="006417D3"/>
    <w:rsid w:val="00641882"/>
    <w:rsid w:val="00641AB0"/>
    <w:rsid w:val="00641F4F"/>
    <w:rsid w:val="006425D6"/>
    <w:rsid w:val="006426D7"/>
    <w:rsid w:val="00642C50"/>
    <w:rsid w:val="00643E17"/>
    <w:rsid w:val="00643E67"/>
    <w:rsid w:val="00644012"/>
    <w:rsid w:val="0064436A"/>
    <w:rsid w:val="00644494"/>
    <w:rsid w:val="00644639"/>
    <w:rsid w:val="006448A7"/>
    <w:rsid w:val="00644AE7"/>
    <w:rsid w:val="00644CBA"/>
    <w:rsid w:val="00645CC6"/>
    <w:rsid w:val="00645E4C"/>
    <w:rsid w:val="00646137"/>
    <w:rsid w:val="0064630D"/>
    <w:rsid w:val="00647171"/>
    <w:rsid w:val="006475D4"/>
    <w:rsid w:val="00647643"/>
    <w:rsid w:val="006476E3"/>
    <w:rsid w:val="00647A3F"/>
    <w:rsid w:val="0065014F"/>
    <w:rsid w:val="00650D85"/>
    <w:rsid w:val="006510CA"/>
    <w:rsid w:val="00651150"/>
    <w:rsid w:val="00651471"/>
    <w:rsid w:val="00651534"/>
    <w:rsid w:val="006516B7"/>
    <w:rsid w:val="00651E02"/>
    <w:rsid w:val="00652447"/>
    <w:rsid w:val="006526AE"/>
    <w:rsid w:val="006527D4"/>
    <w:rsid w:val="00652834"/>
    <w:rsid w:val="00652AE9"/>
    <w:rsid w:val="00652D94"/>
    <w:rsid w:val="006533E7"/>
    <w:rsid w:val="006535EE"/>
    <w:rsid w:val="00653F62"/>
    <w:rsid w:val="006541CB"/>
    <w:rsid w:val="00654E6E"/>
    <w:rsid w:val="00654F33"/>
    <w:rsid w:val="00654F75"/>
    <w:rsid w:val="006558DD"/>
    <w:rsid w:val="00655B3D"/>
    <w:rsid w:val="00656161"/>
    <w:rsid w:val="0065627D"/>
    <w:rsid w:val="006562E2"/>
    <w:rsid w:val="006563F6"/>
    <w:rsid w:val="00656B37"/>
    <w:rsid w:val="0065726A"/>
    <w:rsid w:val="00657A00"/>
    <w:rsid w:val="00660256"/>
    <w:rsid w:val="006603BF"/>
    <w:rsid w:val="00660AF9"/>
    <w:rsid w:val="00660BFF"/>
    <w:rsid w:val="006616F5"/>
    <w:rsid w:val="00661CFE"/>
    <w:rsid w:val="006622A0"/>
    <w:rsid w:val="0066279A"/>
    <w:rsid w:val="00662883"/>
    <w:rsid w:val="006629B0"/>
    <w:rsid w:val="00662DB6"/>
    <w:rsid w:val="0066366B"/>
    <w:rsid w:val="00663D47"/>
    <w:rsid w:val="00663D6A"/>
    <w:rsid w:val="00664253"/>
    <w:rsid w:val="00664374"/>
    <w:rsid w:val="00664409"/>
    <w:rsid w:val="0066454E"/>
    <w:rsid w:val="00664FDB"/>
    <w:rsid w:val="00665791"/>
    <w:rsid w:val="00665CEE"/>
    <w:rsid w:val="00666A18"/>
    <w:rsid w:val="00666E8D"/>
    <w:rsid w:val="006702D3"/>
    <w:rsid w:val="0067059F"/>
    <w:rsid w:val="006707A0"/>
    <w:rsid w:val="00670C48"/>
    <w:rsid w:val="00670FB5"/>
    <w:rsid w:val="00671113"/>
    <w:rsid w:val="006719C1"/>
    <w:rsid w:val="00671A50"/>
    <w:rsid w:val="006722FA"/>
    <w:rsid w:val="00672774"/>
    <w:rsid w:val="00672D49"/>
    <w:rsid w:val="00672DBC"/>
    <w:rsid w:val="00672E7A"/>
    <w:rsid w:val="00672EE3"/>
    <w:rsid w:val="00672F9C"/>
    <w:rsid w:val="006730B7"/>
    <w:rsid w:val="00673693"/>
    <w:rsid w:val="00673747"/>
    <w:rsid w:val="0067382E"/>
    <w:rsid w:val="00673E6D"/>
    <w:rsid w:val="00673F55"/>
    <w:rsid w:val="006746BA"/>
    <w:rsid w:val="00674CEE"/>
    <w:rsid w:val="00674D7D"/>
    <w:rsid w:val="006753E1"/>
    <w:rsid w:val="00675631"/>
    <w:rsid w:val="006756E1"/>
    <w:rsid w:val="00675CC4"/>
    <w:rsid w:val="00676159"/>
    <w:rsid w:val="006765AA"/>
    <w:rsid w:val="006767DA"/>
    <w:rsid w:val="006767F7"/>
    <w:rsid w:val="00676B14"/>
    <w:rsid w:val="006771A6"/>
    <w:rsid w:val="00677395"/>
    <w:rsid w:val="00677E44"/>
    <w:rsid w:val="00680237"/>
    <w:rsid w:val="0068049D"/>
    <w:rsid w:val="00681084"/>
    <w:rsid w:val="006810C7"/>
    <w:rsid w:val="00681E84"/>
    <w:rsid w:val="00682326"/>
    <w:rsid w:val="006826C4"/>
    <w:rsid w:val="006829CF"/>
    <w:rsid w:val="00682B55"/>
    <w:rsid w:val="00682B9F"/>
    <w:rsid w:val="00682C2E"/>
    <w:rsid w:val="00682C72"/>
    <w:rsid w:val="00682F84"/>
    <w:rsid w:val="0068319E"/>
    <w:rsid w:val="00683257"/>
    <w:rsid w:val="00683643"/>
    <w:rsid w:val="006836C7"/>
    <w:rsid w:val="0068441B"/>
    <w:rsid w:val="006848E5"/>
    <w:rsid w:val="00684BC3"/>
    <w:rsid w:val="00684DAC"/>
    <w:rsid w:val="00685799"/>
    <w:rsid w:val="00685E9A"/>
    <w:rsid w:val="00685EE4"/>
    <w:rsid w:val="00685F17"/>
    <w:rsid w:val="00685F67"/>
    <w:rsid w:val="00686070"/>
    <w:rsid w:val="00686B51"/>
    <w:rsid w:val="00687372"/>
    <w:rsid w:val="00687427"/>
    <w:rsid w:val="0068779E"/>
    <w:rsid w:val="00687F2C"/>
    <w:rsid w:val="006900A5"/>
    <w:rsid w:val="00690145"/>
    <w:rsid w:val="006903C5"/>
    <w:rsid w:val="0069129C"/>
    <w:rsid w:val="006917A0"/>
    <w:rsid w:val="00691A45"/>
    <w:rsid w:val="00691BB0"/>
    <w:rsid w:val="00691C89"/>
    <w:rsid w:val="00691D52"/>
    <w:rsid w:val="00691DEE"/>
    <w:rsid w:val="00692F3E"/>
    <w:rsid w:val="00693220"/>
    <w:rsid w:val="006932C7"/>
    <w:rsid w:val="006932D4"/>
    <w:rsid w:val="006936F5"/>
    <w:rsid w:val="00693AD0"/>
    <w:rsid w:val="00693E8E"/>
    <w:rsid w:val="006946C4"/>
    <w:rsid w:val="0069471C"/>
    <w:rsid w:val="0069485A"/>
    <w:rsid w:val="00694999"/>
    <w:rsid w:val="00694E56"/>
    <w:rsid w:val="00694F08"/>
    <w:rsid w:val="0069518B"/>
    <w:rsid w:val="00696842"/>
    <w:rsid w:val="00696970"/>
    <w:rsid w:val="00696E0E"/>
    <w:rsid w:val="00696F67"/>
    <w:rsid w:val="00697290"/>
    <w:rsid w:val="00697C5B"/>
    <w:rsid w:val="006A06F0"/>
    <w:rsid w:val="006A0E3C"/>
    <w:rsid w:val="006A1028"/>
    <w:rsid w:val="006A12AC"/>
    <w:rsid w:val="006A244D"/>
    <w:rsid w:val="006A24A7"/>
    <w:rsid w:val="006A26AE"/>
    <w:rsid w:val="006A27D1"/>
    <w:rsid w:val="006A2D37"/>
    <w:rsid w:val="006A31DD"/>
    <w:rsid w:val="006A3407"/>
    <w:rsid w:val="006A3730"/>
    <w:rsid w:val="006A3AAC"/>
    <w:rsid w:val="006A3CB4"/>
    <w:rsid w:val="006A4DFF"/>
    <w:rsid w:val="006A5041"/>
    <w:rsid w:val="006A525D"/>
    <w:rsid w:val="006A640C"/>
    <w:rsid w:val="006A6562"/>
    <w:rsid w:val="006A6744"/>
    <w:rsid w:val="006A68FD"/>
    <w:rsid w:val="006A6D49"/>
    <w:rsid w:val="006A71A1"/>
    <w:rsid w:val="006A7F73"/>
    <w:rsid w:val="006B0C8E"/>
    <w:rsid w:val="006B137E"/>
    <w:rsid w:val="006B1700"/>
    <w:rsid w:val="006B1E71"/>
    <w:rsid w:val="006B2A48"/>
    <w:rsid w:val="006B2D18"/>
    <w:rsid w:val="006B2DA2"/>
    <w:rsid w:val="006B3A68"/>
    <w:rsid w:val="006B3C85"/>
    <w:rsid w:val="006B3CB5"/>
    <w:rsid w:val="006B4145"/>
    <w:rsid w:val="006B44DD"/>
    <w:rsid w:val="006B46B4"/>
    <w:rsid w:val="006B47A3"/>
    <w:rsid w:val="006B51DB"/>
    <w:rsid w:val="006B578B"/>
    <w:rsid w:val="006B5BF8"/>
    <w:rsid w:val="006B658D"/>
    <w:rsid w:val="006B665E"/>
    <w:rsid w:val="006B6954"/>
    <w:rsid w:val="006B6E41"/>
    <w:rsid w:val="006B6F42"/>
    <w:rsid w:val="006B758F"/>
    <w:rsid w:val="006C083D"/>
    <w:rsid w:val="006C09A3"/>
    <w:rsid w:val="006C0C80"/>
    <w:rsid w:val="006C1393"/>
    <w:rsid w:val="006C1714"/>
    <w:rsid w:val="006C1F42"/>
    <w:rsid w:val="006C1F63"/>
    <w:rsid w:val="006C2495"/>
    <w:rsid w:val="006C2A0F"/>
    <w:rsid w:val="006C2D20"/>
    <w:rsid w:val="006C3633"/>
    <w:rsid w:val="006C3C0A"/>
    <w:rsid w:val="006C3CFA"/>
    <w:rsid w:val="006C3F23"/>
    <w:rsid w:val="006C4036"/>
    <w:rsid w:val="006C4500"/>
    <w:rsid w:val="006C4880"/>
    <w:rsid w:val="006C49CE"/>
    <w:rsid w:val="006C49E4"/>
    <w:rsid w:val="006C4BB1"/>
    <w:rsid w:val="006C55D2"/>
    <w:rsid w:val="006C5C0A"/>
    <w:rsid w:val="006C5C2F"/>
    <w:rsid w:val="006C75C0"/>
    <w:rsid w:val="006C7BFF"/>
    <w:rsid w:val="006C7E2E"/>
    <w:rsid w:val="006C7FA7"/>
    <w:rsid w:val="006D0F47"/>
    <w:rsid w:val="006D162A"/>
    <w:rsid w:val="006D17A1"/>
    <w:rsid w:val="006D1810"/>
    <w:rsid w:val="006D27C6"/>
    <w:rsid w:val="006D2947"/>
    <w:rsid w:val="006D2BAF"/>
    <w:rsid w:val="006D35D9"/>
    <w:rsid w:val="006D3DA0"/>
    <w:rsid w:val="006D43D5"/>
    <w:rsid w:val="006D494C"/>
    <w:rsid w:val="006D4FF0"/>
    <w:rsid w:val="006D57C7"/>
    <w:rsid w:val="006D5871"/>
    <w:rsid w:val="006D5B51"/>
    <w:rsid w:val="006D5D45"/>
    <w:rsid w:val="006D5F61"/>
    <w:rsid w:val="006D638B"/>
    <w:rsid w:val="006D6A15"/>
    <w:rsid w:val="006D7479"/>
    <w:rsid w:val="006D763B"/>
    <w:rsid w:val="006E0237"/>
    <w:rsid w:val="006E09A7"/>
    <w:rsid w:val="006E0E84"/>
    <w:rsid w:val="006E13C8"/>
    <w:rsid w:val="006E169C"/>
    <w:rsid w:val="006E2C3E"/>
    <w:rsid w:val="006E2EF8"/>
    <w:rsid w:val="006E32D1"/>
    <w:rsid w:val="006E3A96"/>
    <w:rsid w:val="006E3F3D"/>
    <w:rsid w:val="006E456C"/>
    <w:rsid w:val="006E46E4"/>
    <w:rsid w:val="006E489A"/>
    <w:rsid w:val="006E4AA0"/>
    <w:rsid w:val="006E4E81"/>
    <w:rsid w:val="006E4EFE"/>
    <w:rsid w:val="006E524E"/>
    <w:rsid w:val="006E56BF"/>
    <w:rsid w:val="006E5822"/>
    <w:rsid w:val="006E5A91"/>
    <w:rsid w:val="006E6643"/>
    <w:rsid w:val="006E6D8E"/>
    <w:rsid w:val="006E6E47"/>
    <w:rsid w:val="006E7B71"/>
    <w:rsid w:val="006F0C0F"/>
    <w:rsid w:val="006F1806"/>
    <w:rsid w:val="006F1F0D"/>
    <w:rsid w:val="006F2150"/>
    <w:rsid w:val="006F2185"/>
    <w:rsid w:val="006F2478"/>
    <w:rsid w:val="006F2ACB"/>
    <w:rsid w:val="006F3104"/>
    <w:rsid w:val="006F3171"/>
    <w:rsid w:val="006F3373"/>
    <w:rsid w:val="006F3BF1"/>
    <w:rsid w:val="006F419A"/>
    <w:rsid w:val="006F5BC4"/>
    <w:rsid w:val="006F5F3B"/>
    <w:rsid w:val="006F64AD"/>
    <w:rsid w:val="006F6C3A"/>
    <w:rsid w:val="006F6C83"/>
    <w:rsid w:val="006F6D49"/>
    <w:rsid w:val="006F72F9"/>
    <w:rsid w:val="006F73D4"/>
    <w:rsid w:val="006F7592"/>
    <w:rsid w:val="006F7B74"/>
    <w:rsid w:val="006F7D8A"/>
    <w:rsid w:val="006F7F32"/>
    <w:rsid w:val="00700093"/>
    <w:rsid w:val="00700282"/>
    <w:rsid w:val="0070068C"/>
    <w:rsid w:val="0070089C"/>
    <w:rsid w:val="007018FC"/>
    <w:rsid w:val="00701929"/>
    <w:rsid w:val="00701948"/>
    <w:rsid w:val="00701D50"/>
    <w:rsid w:val="0070229A"/>
    <w:rsid w:val="00702C26"/>
    <w:rsid w:val="00702FDE"/>
    <w:rsid w:val="007030D0"/>
    <w:rsid w:val="007032BB"/>
    <w:rsid w:val="00703BEA"/>
    <w:rsid w:val="00703D7D"/>
    <w:rsid w:val="00703DB1"/>
    <w:rsid w:val="00703F2A"/>
    <w:rsid w:val="00704E49"/>
    <w:rsid w:val="007051FB"/>
    <w:rsid w:val="00705458"/>
    <w:rsid w:val="00705517"/>
    <w:rsid w:val="007056B0"/>
    <w:rsid w:val="0070573C"/>
    <w:rsid w:val="00705F6B"/>
    <w:rsid w:val="00706540"/>
    <w:rsid w:val="007069E2"/>
    <w:rsid w:val="00706A5E"/>
    <w:rsid w:val="00706E74"/>
    <w:rsid w:val="007076EC"/>
    <w:rsid w:val="0070771B"/>
    <w:rsid w:val="0070796D"/>
    <w:rsid w:val="007108D3"/>
    <w:rsid w:val="0071098A"/>
    <w:rsid w:val="007109FB"/>
    <w:rsid w:val="00710B97"/>
    <w:rsid w:val="007112A1"/>
    <w:rsid w:val="0071256C"/>
    <w:rsid w:val="007126F0"/>
    <w:rsid w:val="007129D5"/>
    <w:rsid w:val="00712B7D"/>
    <w:rsid w:val="007130B8"/>
    <w:rsid w:val="00713D54"/>
    <w:rsid w:val="007145A9"/>
    <w:rsid w:val="00714CD4"/>
    <w:rsid w:val="00714F4F"/>
    <w:rsid w:val="0071570F"/>
    <w:rsid w:val="00715D38"/>
    <w:rsid w:val="00716DA7"/>
    <w:rsid w:val="00716DE1"/>
    <w:rsid w:val="0071706D"/>
    <w:rsid w:val="0071737C"/>
    <w:rsid w:val="0071743F"/>
    <w:rsid w:val="007178F8"/>
    <w:rsid w:val="00717B02"/>
    <w:rsid w:val="0072009E"/>
    <w:rsid w:val="0072010E"/>
    <w:rsid w:val="0072063E"/>
    <w:rsid w:val="0072068C"/>
    <w:rsid w:val="0072077D"/>
    <w:rsid w:val="00720995"/>
    <w:rsid w:val="00721394"/>
    <w:rsid w:val="0072187B"/>
    <w:rsid w:val="00721E1F"/>
    <w:rsid w:val="00721F2D"/>
    <w:rsid w:val="007220F6"/>
    <w:rsid w:val="0072241D"/>
    <w:rsid w:val="007225CF"/>
    <w:rsid w:val="00722E09"/>
    <w:rsid w:val="00722EA3"/>
    <w:rsid w:val="007233B9"/>
    <w:rsid w:val="007235E4"/>
    <w:rsid w:val="00723AA1"/>
    <w:rsid w:val="00724651"/>
    <w:rsid w:val="00725017"/>
    <w:rsid w:val="00725835"/>
    <w:rsid w:val="00725868"/>
    <w:rsid w:val="00725974"/>
    <w:rsid w:val="00725A26"/>
    <w:rsid w:val="007261AB"/>
    <w:rsid w:val="007261C8"/>
    <w:rsid w:val="007263CC"/>
    <w:rsid w:val="007265E6"/>
    <w:rsid w:val="00726C91"/>
    <w:rsid w:val="00726EC0"/>
    <w:rsid w:val="0072737C"/>
    <w:rsid w:val="00727B17"/>
    <w:rsid w:val="00727B97"/>
    <w:rsid w:val="00727D1A"/>
    <w:rsid w:val="00727E86"/>
    <w:rsid w:val="00730597"/>
    <w:rsid w:val="0073080A"/>
    <w:rsid w:val="00730BC8"/>
    <w:rsid w:val="00730C1B"/>
    <w:rsid w:val="00730C8E"/>
    <w:rsid w:val="00731BF8"/>
    <w:rsid w:val="00732182"/>
    <w:rsid w:val="007321C1"/>
    <w:rsid w:val="007328EA"/>
    <w:rsid w:val="007330AD"/>
    <w:rsid w:val="007337CE"/>
    <w:rsid w:val="00733AA2"/>
    <w:rsid w:val="007343EC"/>
    <w:rsid w:val="00734917"/>
    <w:rsid w:val="00734ACF"/>
    <w:rsid w:val="00734ED0"/>
    <w:rsid w:val="007351E6"/>
    <w:rsid w:val="007352F7"/>
    <w:rsid w:val="00735719"/>
    <w:rsid w:val="00735935"/>
    <w:rsid w:val="00735E5C"/>
    <w:rsid w:val="007361E3"/>
    <w:rsid w:val="007368F7"/>
    <w:rsid w:val="0073691E"/>
    <w:rsid w:val="0073781B"/>
    <w:rsid w:val="00737F4E"/>
    <w:rsid w:val="0074073D"/>
    <w:rsid w:val="00740B1C"/>
    <w:rsid w:val="00740C2F"/>
    <w:rsid w:val="007410FD"/>
    <w:rsid w:val="007412E6"/>
    <w:rsid w:val="0074134B"/>
    <w:rsid w:val="0074138D"/>
    <w:rsid w:val="007416EF"/>
    <w:rsid w:val="007417B6"/>
    <w:rsid w:val="00741888"/>
    <w:rsid w:val="00741E77"/>
    <w:rsid w:val="00742DED"/>
    <w:rsid w:val="00742EC7"/>
    <w:rsid w:val="00743456"/>
    <w:rsid w:val="007434BF"/>
    <w:rsid w:val="007436B8"/>
    <w:rsid w:val="007441E6"/>
    <w:rsid w:val="007442AA"/>
    <w:rsid w:val="00744BF7"/>
    <w:rsid w:val="00744F78"/>
    <w:rsid w:val="0074509E"/>
    <w:rsid w:val="00745354"/>
    <w:rsid w:val="007457AA"/>
    <w:rsid w:val="007462DD"/>
    <w:rsid w:val="0074673B"/>
    <w:rsid w:val="00746926"/>
    <w:rsid w:val="00746D3C"/>
    <w:rsid w:val="007477AA"/>
    <w:rsid w:val="00747884"/>
    <w:rsid w:val="00747BEB"/>
    <w:rsid w:val="00750AB6"/>
    <w:rsid w:val="007511EB"/>
    <w:rsid w:val="0075254D"/>
    <w:rsid w:val="00752613"/>
    <w:rsid w:val="0075265D"/>
    <w:rsid w:val="007528BA"/>
    <w:rsid w:val="0075304E"/>
    <w:rsid w:val="00753415"/>
    <w:rsid w:val="00753918"/>
    <w:rsid w:val="00754634"/>
    <w:rsid w:val="00754871"/>
    <w:rsid w:val="00754A65"/>
    <w:rsid w:val="00754B65"/>
    <w:rsid w:val="00754D80"/>
    <w:rsid w:val="00754E10"/>
    <w:rsid w:val="00755053"/>
    <w:rsid w:val="00755136"/>
    <w:rsid w:val="007554DA"/>
    <w:rsid w:val="00755510"/>
    <w:rsid w:val="007555DC"/>
    <w:rsid w:val="00755617"/>
    <w:rsid w:val="007561DC"/>
    <w:rsid w:val="0075658C"/>
    <w:rsid w:val="007567E7"/>
    <w:rsid w:val="007568C0"/>
    <w:rsid w:val="00757111"/>
    <w:rsid w:val="007571B3"/>
    <w:rsid w:val="007574ED"/>
    <w:rsid w:val="00757BA5"/>
    <w:rsid w:val="00757FBC"/>
    <w:rsid w:val="00760B29"/>
    <w:rsid w:val="00760D47"/>
    <w:rsid w:val="00760E12"/>
    <w:rsid w:val="0076198D"/>
    <w:rsid w:val="00761AB1"/>
    <w:rsid w:val="00761F82"/>
    <w:rsid w:val="0076261E"/>
    <w:rsid w:val="00762748"/>
    <w:rsid w:val="007628FC"/>
    <w:rsid w:val="0076372A"/>
    <w:rsid w:val="00763D90"/>
    <w:rsid w:val="00764057"/>
    <w:rsid w:val="00764251"/>
    <w:rsid w:val="00764C25"/>
    <w:rsid w:val="00764E70"/>
    <w:rsid w:val="0076505D"/>
    <w:rsid w:val="0076515B"/>
    <w:rsid w:val="00765439"/>
    <w:rsid w:val="00765646"/>
    <w:rsid w:val="00766441"/>
    <w:rsid w:val="00766CDF"/>
    <w:rsid w:val="00767051"/>
    <w:rsid w:val="00767C60"/>
    <w:rsid w:val="00767CEF"/>
    <w:rsid w:val="0077008B"/>
    <w:rsid w:val="007700BE"/>
    <w:rsid w:val="00770A1D"/>
    <w:rsid w:val="00771084"/>
    <w:rsid w:val="0077123A"/>
    <w:rsid w:val="00771666"/>
    <w:rsid w:val="00771847"/>
    <w:rsid w:val="0077195E"/>
    <w:rsid w:val="00771D2F"/>
    <w:rsid w:val="00772992"/>
    <w:rsid w:val="00772EE4"/>
    <w:rsid w:val="007733C3"/>
    <w:rsid w:val="0077353D"/>
    <w:rsid w:val="00773C89"/>
    <w:rsid w:val="00773D29"/>
    <w:rsid w:val="007740FE"/>
    <w:rsid w:val="00774261"/>
    <w:rsid w:val="0077435D"/>
    <w:rsid w:val="007757F5"/>
    <w:rsid w:val="00775ACA"/>
    <w:rsid w:val="00775BBE"/>
    <w:rsid w:val="00775DCA"/>
    <w:rsid w:val="00776780"/>
    <w:rsid w:val="00776A19"/>
    <w:rsid w:val="00776EA9"/>
    <w:rsid w:val="007775C9"/>
    <w:rsid w:val="00780EF8"/>
    <w:rsid w:val="00781916"/>
    <w:rsid w:val="00781A35"/>
    <w:rsid w:val="00781F71"/>
    <w:rsid w:val="007822BB"/>
    <w:rsid w:val="0078289A"/>
    <w:rsid w:val="007828C5"/>
    <w:rsid w:val="00782C06"/>
    <w:rsid w:val="00782D78"/>
    <w:rsid w:val="0078531D"/>
    <w:rsid w:val="00785EB1"/>
    <w:rsid w:val="007860D6"/>
    <w:rsid w:val="0078619D"/>
    <w:rsid w:val="00786EE6"/>
    <w:rsid w:val="007876E6"/>
    <w:rsid w:val="00790221"/>
    <w:rsid w:val="00790358"/>
    <w:rsid w:val="00790BBA"/>
    <w:rsid w:val="007917E0"/>
    <w:rsid w:val="007918D7"/>
    <w:rsid w:val="007918F2"/>
    <w:rsid w:val="00791928"/>
    <w:rsid w:val="00791B6F"/>
    <w:rsid w:val="00791E95"/>
    <w:rsid w:val="007920F3"/>
    <w:rsid w:val="0079210A"/>
    <w:rsid w:val="00792249"/>
    <w:rsid w:val="0079236E"/>
    <w:rsid w:val="00792719"/>
    <w:rsid w:val="0079296A"/>
    <w:rsid w:val="007945F8"/>
    <w:rsid w:val="007945FC"/>
    <w:rsid w:val="0079460B"/>
    <w:rsid w:val="00794A2A"/>
    <w:rsid w:val="00794C4E"/>
    <w:rsid w:val="007957F5"/>
    <w:rsid w:val="00795D4B"/>
    <w:rsid w:val="00795EB8"/>
    <w:rsid w:val="00796576"/>
    <w:rsid w:val="00796B28"/>
    <w:rsid w:val="00797330"/>
    <w:rsid w:val="00797714"/>
    <w:rsid w:val="00797946"/>
    <w:rsid w:val="007A09D7"/>
    <w:rsid w:val="007A0BE9"/>
    <w:rsid w:val="007A0D20"/>
    <w:rsid w:val="007A0E21"/>
    <w:rsid w:val="007A13E1"/>
    <w:rsid w:val="007A19B9"/>
    <w:rsid w:val="007A1B5B"/>
    <w:rsid w:val="007A1FF0"/>
    <w:rsid w:val="007A23CD"/>
    <w:rsid w:val="007A2657"/>
    <w:rsid w:val="007A2817"/>
    <w:rsid w:val="007A2B5F"/>
    <w:rsid w:val="007A2F65"/>
    <w:rsid w:val="007A3754"/>
    <w:rsid w:val="007A3FAF"/>
    <w:rsid w:val="007A3FF9"/>
    <w:rsid w:val="007A430D"/>
    <w:rsid w:val="007A47DD"/>
    <w:rsid w:val="007A4C22"/>
    <w:rsid w:val="007A575D"/>
    <w:rsid w:val="007A5898"/>
    <w:rsid w:val="007A5AB6"/>
    <w:rsid w:val="007A5E10"/>
    <w:rsid w:val="007A5E7F"/>
    <w:rsid w:val="007A610A"/>
    <w:rsid w:val="007A6210"/>
    <w:rsid w:val="007A62AE"/>
    <w:rsid w:val="007A6A30"/>
    <w:rsid w:val="007A6E78"/>
    <w:rsid w:val="007A708C"/>
    <w:rsid w:val="007A74D3"/>
    <w:rsid w:val="007A79D6"/>
    <w:rsid w:val="007B04F5"/>
    <w:rsid w:val="007B053D"/>
    <w:rsid w:val="007B0BB9"/>
    <w:rsid w:val="007B11E6"/>
    <w:rsid w:val="007B134B"/>
    <w:rsid w:val="007B13B2"/>
    <w:rsid w:val="007B17AA"/>
    <w:rsid w:val="007B21A9"/>
    <w:rsid w:val="007B24DD"/>
    <w:rsid w:val="007B2B41"/>
    <w:rsid w:val="007B2F97"/>
    <w:rsid w:val="007B334A"/>
    <w:rsid w:val="007B3A8C"/>
    <w:rsid w:val="007B3C34"/>
    <w:rsid w:val="007B457A"/>
    <w:rsid w:val="007B4AA7"/>
    <w:rsid w:val="007B4AE0"/>
    <w:rsid w:val="007B4CD0"/>
    <w:rsid w:val="007B5224"/>
    <w:rsid w:val="007B52D7"/>
    <w:rsid w:val="007B564B"/>
    <w:rsid w:val="007B5A8C"/>
    <w:rsid w:val="007B5C21"/>
    <w:rsid w:val="007B65DC"/>
    <w:rsid w:val="007C0375"/>
    <w:rsid w:val="007C0C01"/>
    <w:rsid w:val="007C0DB7"/>
    <w:rsid w:val="007C1053"/>
    <w:rsid w:val="007C195D"/>
    <w:rsid w:val="007C1AA9"/>
    <w:rsid w:val="007C1FD4"/>
    <w:rsid w:val="007C2047"/>
    <w:rsid w:val="007C2A5F"/>
    <w:rsid w:val="007C4917"/>
    <w:rsid w:val="007C4D6B"/>
    <w:rsid w:val="007C532D"/>
    <w:rsid w:val="007C5422"/>
    <w:rsid w:val="007C59D2"/>
    <w:rsid w:val="007C5B6C"/>
    <w:rsid w:val="007C5EB5"/>
    <w:rsid w:val="007C660E"/>
    <w:rsid w:val="007C6786"/>
    <w:rsid w:val="007C69E9"/>
    <w:rsid w:val="007C6CA1"/>
    <w:rsid w:val="007C6F90"/>
    <w:rsid w:val="007C7325"/>
    <w:rsid w:val="007C7350"/>
    <w:rsid w:val="007C754D"/>
    <w:rsid w:val="007C7551"/>
    <w:rsid w:val="007C7CF8"/>
    <w:rsid w:val="007C7FCD"/>
    <w:rsid w:val="007D00DE"/>
    <w:rsid w:val="007D01AE"/>
    <w:rsid w:val="007D05F4"/>
    <w:rsid w:val="007D089C"/>
    <w:rsid w:val="007D090E"/>
    <w:rsid w:val="007D0D9D"/>
    <w:rsid w:val="007D1510"/>
    <w:rsid w:val="007D1768"/>
    <w:rsid w:val="007D19B4"/>
    <w:rsid w:val="007D1A9A"/>
    <w:rsid w:val="007D1AF6"/>
    <w:rsid w:val="007D1D8D"/>
    <w:rsid w:val="007D26AE"/>
    <w:rsid w:val="007D2CD7"/>
    <w:rsid w:val="007D30FB"/>
    <w:rsid w:val="007D3105"/>
    <w:rsid w:val="007D31A6"/>
    <w:rsid w:val="007D375C"/>
    <w:rsid w:val="007D3C9A"/>
    <w:rsid w:val="007D4399"/>
    <w:rsid w:val="007D4740"/>
    <w:rsid w:val="007D4B23"/>
    <w:rsid w:val="007D4BF1"/>
    <w:rsid w:val="007D4F4B"/>
    <w:rsid w:val="007D5181"/>
    <w:rsid w:val="007D5904"/>
    <w:rsid w:val="007D66D7"/>
    <w:rsid w:val="007D6BEA"/>
    <w:rsid w:val="007D6EAD"/>
    <w:rsid w:val="007D6F96"/>
    <w:rsid w:val="007D7190"/>
    <w:rsid w:val="007D77E3"/>
    <w:rsid w:val="007D7D20"/>
    <w:rsid w:val="007D7EBC"/>
    <w:rsid w:val="007D7F1F"/>
    <w:rsid w:val="007E0198"/>
    <w:rsid w:val="007E0D3B"/>
    <w:rsid w:val="007E12F0"/>
    <w:rsid w:val="007E1DA1"/>
    <w:rsid w:val="007E2231"/>
    <w:rsid w:val="007E2916"/>
    <w:rsid w:val="007E32F1"/>
    <w:rsid w:val="007E3A80"/>
    <w:rsid w:val="007E559B"/>
    <w:rsid w:val="007E58D1"/>
    <w:rsid w:val="007E65E2"/>
    <w:rsid w:val="007E6601"/>
    <w:rsid w:val="007E6616"/>
    <w:rsid w:val="007E6E0E"/>
    <w:rsid w:val="007E75F4"/>
    <w:rsid w:val="007E7763"/>
    <w:rsid w:val="007E7987"/>
    <w:rsid w:val="007E7F1C"/>
    <w:rsid w:val="007F0076"/>
    <w:rsid w:val="007F0824"/>
    <w:rsid w:val="007F17E5"/>
    <w:rsid w:val="007F1A36"/>
    <w:rsid w:val="007F1E21"/>
    <w:rsid w:val="007F1FB2"/>
    <w:rsid w:val="007F2512"/>
    <w:rsid w:val="007F2FF3"/>
    <w:rsid w:val="007F30C2"/>
    <w:rsid w:val="007F32B3"/>
    <w:rsid w:val="007F353E"/>
    <w:rsid w:val="007F3B50"/>
    <w:rsid w:val="007F5520"/>
    <w:rsid w:val="007F5BD6"/>
    <w:rsid w:val="007F633C"/>
    <w:rsid w:val="007F7C13"/>
    <w:rsid w:val="008003B2"/>
    <w:rsid w:val="008003EA"/>
    <w:rsid w:val="00800EE2"/>
    <w:rsid w:val="008015AB"/>
    <w:rsid w:val="00801BC9"/>
    <w:rsid w:val="00801D1C"/>
    <w:rsid w:val="00801F29"/>
    <w:rsid w:val="00802703"/>
    <w:rsid w:val="0080293D"/>
    <w:rsid w:val="00802B37"/>
    <w:rsid w:val="008033A6"/>
    <w:rsid w:val="008038CA"/>
    <w:rsid w:val="0080391E"/>
    <w:rsid w:val="00803E34"/>
    <w:rsid w:val="008043F8"/>
    <w:rsid w:val="00804687"/>
    <w:rsid w:val="00804B5E"/>
    <w:rsid w:val="00804EEB"/>
    <w:rsid w:val="00805076"/>
    <w:rsid w:val="00805D08"/>
    <w:rsid w:val="00805D2D"/>
    <w:rsid w:val="00805D34"/>
    <w:rsid w:val="00805F2C"/>
    <w:rsid w:val="00806AD4"/>
    <w:rsid w:val="00806AE5"/>
    <w:rsid w:val="00806C06"/>
    <w:rsid w:val="00806EB2"/>
    <w:rsid w:val="00807276"/>
    <w:rsid w:val="00807924"/>
    <w:rsid w:val="00807B57"/>
    <w:rsid w:val="00807D1D"/>
    <w:rsid w:val="00807FBB"/>
    <w:rsid w:val="00810523"/>
    <w:rsid w:val="008107D9"/>
    <w:rsid w:val="0081081F"/>
    <w:rsid w:val="008108D6"/>
    <w:rsid w:val="00810F76"/>
    <w:rsid w:val="0081137C"/>
    <w:rsid w:val="00811FB0"/>
    <w:rsid w:val="00812137"/>
    <w:rsid w:val="00812159"/>
    <w:rsid w:val="00812216"/>
    <w:rsid w:val="00812773"/>
    <w:rsid w:val="00813079"/>
    <w:rsid w:val="00814128"/>
    <w:rsid w:val="008150D9"/>
    <w:rsid w:val="00815BC0"/>
    <w:rsid w:val="00815D1C"/>
    <w:rsid w:val="00815F08"/>
    <w:rsid w:val="00815F0C"/>
    <w:rsid w:val="00815F7D"/>
    <w:rsid w:val="008163B6"/>
    <w:rsid w:val="00816414"/>
    <w:rsid w:val="008167F1"/>
    <w:rsid w:val="00817AB6"/>
    <w:rsid w:val="00817C40"/>
    <w:rsid w:val="00817D1C"/>
    <w:rsid w:val="0082019B"/>
    <w:rsid w:val="0082066A"/>
    <w:rsid w:val="0082083D"/>
    <w:rsid w:val="00820E46"/>
    <w:rsid w:val="008217C3"/>
    <w:rsid w:val="00821CAC"/>
    <w:rsid w:val="00821DC3"/>
    <w:rsid w:val="00822184"/>
    <w:rsid w:val="00822370"/>
    <w:rsid w:val="008225B1"/>
    <w:rsid w:val="00822C27"/>
    <w:rsid w:val="00822DEA"/>
    <w:rsid w:val="00822EFC"/>
    <w:rsid w:val="00822F23"/>
    <w:rsid w:val="00823047"/>
    <w:rsid w:val="0082360E"/>
    <w:rsid w:val="00823B6B"/>
    <w:rsid w:val="00823E5A"/>
    <w:rsid w:val="008253A3"/>
    <w:rsid w:val="00825767"/>
    <w:rsid w:val="0082582D"/>
    <w:rsid w:val="00825F17"/>
    <w:rsid w:val="0082643F"/>
    <w:rsid w:val="00826873"/>
    <w:rsid w:val="0082733E"/>
    <w:rsid w:val="00827B86"/>
    <w:rsid w:val="00827D56"/>
    <w:rsid w:val="00830978"/>
    <w:rsid w:val="00830B8D"/>
    <w:rsid w:val="008317BF"/>
    <w:rsid w:val="00831A4D"/>
    <w:rsid w:val="00831C75"/>
    <w:rsid w:val="00831E13"/>
    <w:rsid w:val="00831F9A"/>
    <w:rsid w:val="00832046"/>
    <w:rsid w:val="00832A3C"/>
    <w:rsid w:val="00832D16"/>
    <w:rsid w:val="008333A5"/>
    <w:rsid w:val="008335CE"/>
    <w:rsid w:val="00833C03"/>
    <w:rsid w:val="00834299"/>
    <w:rsid w:val="008346E8"/>
    <w:rsid w:val="00834943"/>
    <w:rsid w:val="00834C3A"/>
    <w:rsid w:val="00834CAB"/>
    <w:rsid w:val="0083500B"/>
    <w:rsid w:val="0083648A"/>
    <w:rsid w:val="008374DB"/>
    <w:rsid w:val="008375BD"/>
    <w:rsid w:val="008378FB"/>
    <w:rsid w:val="00837CA7"/>
    <w:rsid w:val="00840121"/>
    <w:rsid w:val="00840C4A"/>
    <w:rsid w:val="00840E40"/>
    <w:rsid w:val="008411E4"/>
    <w:rsid w:val="00841736"/>
    <w:rsid w:val="00842511"/>
    <w:rsid w:val="00844038"/>
    <w:rsid w:val="00844E93"/>
    <w:rsid w:val="00844EB3"/>
    <w:rsid w:val="00845976"/>
    <w:rsid w:val="00846022"/>
    <w:rsid w:val="00846187"/>
    <w:rsid w:val="008463D3"/>
    <w:rsid w:val="00846821"/>
    <w:rsid w:val="00847244"/>
    <w:rsid w:val="00847556"/>
    <w:rsid w:val="00847B72"/>
    <w:rsid w:val="00847E96"/>
    <w:rsid w:val="0085040A"/>
    <w:rsid w:val="0085041F"/>
    <w:rsid w:val="00850CCE"/>
    <w:rsid w:val="00851215"/>
    <w:rsid w:val="0085121B"/>
    <w:rsid w:val="00851345"/>
    <w:rsid w:val="00851654"/>
    <w:rsid w:val="0085238E"/>
    <w:rsid w:val="008525C2"/>
    <w:rsid w:val="00852B14"/>
    <w:rsid w:val="008530BF"/>
    <w:rsid w:val="0085339E"/>
    <w:rsid w:val="008533A7"/>
    <w:rsid w:val="00853D03"/>
    <w:rsid w:val="00854826"/>
    <w:rsid w:val="00854D9E"/>
    <w:rsid w:val="00855503"/>
    <w:rsid w:val="0085658C"/>
    <w:rsid w:val="0085677C"/>
    <w:rsid w:val="00856BB2"/>
    <w:rsid w:val="00856C73"/>
    <w:rsid w:val="008578A6"/>
    <w:rsid w:val="00857AB2"/>
    <w:rsid w:val="00857CFE"/>
    <w:rsid w:val="00860030"/>
    <w:rsid w:val="008600A6"/>
    <w:rsid w:val="008607D3"/>
    <w:rsid w:val="00860B7B"/>
    <w:rsid w:val="00860C9D"/>
    <w:rsid w:val="00860E17"/>
    <w:rsid w:val="00861384"/>
    <w:rsid w:val="00861390"/>
    <w:rsid w:val="00861AE0"/>
    <w:rsid w:val="00861B0B"/>
    <w:rsid w:val="00861D92"/>
    <w:rsid w:val="008626F0"/>
    <w:rsid w:val="00862867"/>
    <w:rsid w:val="00862EE8"/>
    <w:rsid w:val="008637F7"/>
    <w:rsid w:val="0086384E"/>
    <w:rsid w:val="0086402C"/>
    <w:rsid w:val="00864471"/>
    <w:rsid w:val="0086452D"/>
    <w:rsid w:val="0086482D"/>
    <w:rsid w:val="0086495E"/>
    <w:rsid w:val="00864C99"/>
    <w:rsid w:val="00864E08"/>
    <w:rsid w:val="00864EDF"/>
    <w:rsid w:val="00865267"/>
    <w:rsid w:val="008654BC"/>
    <w:rsid w:val="00865CA2"/>
    <w:rsid w:val="00865CBD"/>
    <w:rsid w:val="0086693B"/>
    <w:rsid w:val="008669CD"/>
    <w:rsid w:val="00866BC0"/>
    <w:rsid w:val="00867D49"/>
    <w:rsid w:val="00867F5F"/>
    <w:rsid w:val="008701AF"/>
    <w:rsid w:val="008708D8"/>
    <w:rsid w:val="008709CB"/>
    <w:rsid w:val="00870E6E"/>
    <w:rsid w:val="00871492"/>
    <w:rsid w:val="00871508"/>
    <w:rsid w:val="008719C9"/>
    <w:rsid w:val="00872094"/>
    <w:rsid w:val="00872471"/>
    <w:rsid w:val="008725A0"/>
    <w:rsid w:val="00872623"/>
    <w:rsid w:val="00872649"/>
    <w:rsid w:val="00872D5C"/>
    <w:rsid w:val="00872DB6"/>
    <w:rsid w:val="00873132"/>
    <w:rsid w:val="0087365B"/>
    <w:rsid w:val="008737DD"/>
    <w:rsid w:val="00873907"/>
    <w:rsid w:val="008745FB"/>
    <w:rsid w:val="00874DD2"/>
    <w:rsid w:val="00875776"/>
    <w:rsid w:val="0087589C"/>
    <w:rsid w:val="008758A3"/>
    <w:rsid w:val="00875BA9"/>
    <w:rsid w:val="00875EAA"/>
    <w:rsid w:val="00876214"/>
    <w:rsid w:val="00876539"/>
    <w:rsid w:val="00876AC6"/>
    <w:rsid w:val="00876EDB"/>
    <w:rsid w:val="008775C8"/>
    <w:rsid w:val="0087763E"/>
    <w:rsid w:val="0087793B"/>
    <w:rsid w:val="00877DF9"/>
    <w:rsid w:val="008803C7"/>
    <w:rsid w:val="008805BA"/>
    <w:rsid w:val="0088073C"/>
    <w:rsid w:val="0088088D"/>
    <w:rsid w:val="0088142E"/>
    <w:rsid w:val="00881B81"/>
    <w:rsid w:val="00882754"/>
    <w:rsid w:val="0088302C"/>
    <w:rsid w:val="00883FDB"/>
    <w:rsid w:val="00883FE5"/>
    <w:rsid w:val="0088453B"/>
    <w:rsid w:val="00884718"/>
    <w:rsid w:val="00884A00"/>
    <w:rsid w:val="00885C3D"/>
    <w:rsid w:val="00885CC6"/>
    <w:rsid w:val="00886397"/>
    <w:rsid w:val="008866FC"/>
    <w:rsid w:val="00886771"/>
    <w:rsid w:val="00886A74"/>
    <w:rsid w:val="00886B10"/>
    <w:rsid w:val="00886F73"/>
    <w:rsid w:val="00887216"/>
    <w:rsid w:val="00887290"/>
    <w:rsid w:val="008900AB"/>
    <w:rsid w:val="008900DA"/>
    <w:rsid w:val="00890411"/>
    <w:rsid w:val="0089072E"/>
    <w:rsid w:val="00890B3E"/>
    <w:rsid w:val="00890D24"/>
    <w:rsid w:val="008913E5"/>
    <w:rsid w:val="0089172A"/>
    <w:rsid w:val="008919B6"/>
    <w:rsid w:val="008919FD"/>
    <w:rsid w:val="00891A44"/>
    <w:rsid w:val="00891B20"/>
    <w:rsid w:val="00893179"/>
    <w:rsid w:val="0089325B"/>
    <w:rsid w:val="00893291"/>
    <w:rsid w:val="008935BB"/>
    <w:rsid w:val="008939AA"/>
    <w:rsid w:val="00893B0B"/>
    <w:rsid w:val="00894998"/>
    <w:rsid w:val="00895406"/>
    <w:rsid w:val="00895946"/>
    <w:rsid w:val="00895AF8"/>
    <w:rsid w:val="00895D43"/>
    <w:rsid w:val="0089621B"/>
    <w:rsid w:val="00896CF4"/>
    <w:rsid w:val="0089700D"/>
    <w:rsid w:val="00897F8D"/>
    <w:rsid w:val="008A0D37"/>
    <w:rsid w:val="008A0DF0"/>
    <w:rsid w:val="008A0F29"/>
    <w:rsid w:val="008A16C9"/>
    <w:rsid w:val="008A1B6B"/>
    <w:rsid w:val="008A2783"/>
    <w:rsid w:val="008A2864"/>
    <w:rsid w:val="008A2B11"/>
    <w:rsid w:val="008A34F6"/>
    <w:rsid w:val="008A37A4"/>
    <w:rsid w:val="008A3EA6"/>
    <w:rsid w:val="008A433C"/>
    <w:rsid w:val="008A45A0"/>
    <w:rsid w:val="008A471B"/>
    <w:rsid w:val="008A4DEE"/>
    <w:rsid w:val="008A53AD"/>
    <w:rsid w:val="008A5692"/>
    <w:rsid w:val="008A5AFA"/>
    <w:rsid w:val="008A5D4A"/>
    <w:rsid w:val="008A5E0A"/>
    <w:rsid w:val="008A64B3"/>
    <w:rsid w:val="008A6B24"/>
    <w:rsid w:val="008A75F5"/>
    <w:rsid w:val="008A7632"/>
    <w:rsid w:val="008A7A11"/>
    <w:rsid w:val="008B0473"/>
    <w:rsid w:val="008B04D0"/>
    <w:rsid w:val="008B058D"/>
    <w:rsid w:val="008B06B3"/>
    <w:rsid w:val="008B0A9E"/>
    <w:rsid w:val="008B0C08"/>
    <w:rsid w:val="008B1223"/>
    <w:rsid w:val="008B1F3F"/>
    <w:rsid w:val="008B21FC"/>
    <w:rsid w:val="008B2962"/>
    <w:rsid w:val="008B2A96"/>
    <w:rsid w:val="008B2BB8"/>
    <w:rsid w:val="008B2D89"/>
    <w:rsid w:val="008B346A"/>
    <w:rsid w:val="008B38EB"/>
    <w:rsid w:val="008B3B97"/>
    <w:rsid w:val="008B3F37"/>
    <w:rsid w:val="008B40FE"/>
    <w:rsid w:val="008B4121"/>
    <w:rsid w:val="008B462B"/>
    <w:rsid w:val="008B480D"/>
    <w:rsid w:val="008B4B17"/>
    <w:rsid w:val="008B4CF6"/>
    <w:rsid w:val="008B4EFA"/>
    <w:rsid w:val="008B4F41"/>
    <w:rsid w:val="008B54DD"/>
    <w:rsid w:val="008B56DC"/>
    <w:rsid w:val="008B5D02"/>
    <w:rsid w:val="008B5DBF"/>
    <w:rsid w:val="008B60BF"/>
    <w:rsid w:val="008B61A3"/>
    <w:rsid w:val="008B6793"/>
    <w:rsid w:val="008B69B8"/>
    <w:rsid w:val="008B74EB"/>
    <w:rsid w:val="008B7A17"/>
    <w:rsid w:val="008B7D8D"/>
    <w:rsid w:val="008C04DB"/>
    <w:rsid w:val="008C054A"/>
    <w:rsid w:val="008C0F1A"/>
    <w:rsid w:val="008C1204"/>
    <w:rsid w:val="008C14F1"/>
    <w:rsid w:val="008C2371"/>
    <w:rsid w:val="008C2546"/>
    <w:rsid w:val="008C2815"/>
    <w:rsid w:val="008C2895"/>
    <w:rsid w:val="008C2A10"/>
    <w:rsid w:val="008C2D7F"/>
    <w:rsid w:val="008C3379"/>
    <w:rsid w:val="008C3F08"/>
    <w:rsid w:val="008C4D44"/>
    <w:rsid w:val="008C5681"/>
    <w:rsid w:val="008C5D3B"/>
    <w:rsid w:val="008C65D1"/>
    <w:rsid w:val="008C6B43"/>
    <w:rsid w:val="008C6DB4"/>
    <w:rsid w:val="008C7AD5"/>
    <w:rsid w:val="008D08C3"/>
    <w:rsid w:val="008D1378"/>
    <w:rsid w:val="008D156C"/>
    <w:rsid w:val="008D175E"/>
    <w:rsid w:val="008D177D"/>
    <w:rsid w:val="008D1EAD"/>
    <w:rsid w:val="008D2677"/>
    <w:rsid w:val="008D26F3"/>
    <w:rsid w:val="008D270F"/>
    <w:rsid w:val="008D3349"/>
    <w:rsid w:val="008D3FBB"/>
    <w:rsid w:val="008D4318"/>
    <w:rsid w:val="008D4727"/>
    <w:rsid w:val="008D4940"/>
    <w:rsid w:val="008D4D25"/>
    <w:rsid w:val="008D4FFB"/>
    <w:rsid w:val="008D5C5D"/>
    <w:rsid w:val="008D701F"/>
    <w:rsid w:val="008D7CBA"/>
    <w:rsid w:val="008E183C"/>
    <w:rsid w:val="008E1984"/>
    <w:rsid w:val="008E1B21"/>
    <w:rsid w:val="008E1EB2"/>
    <w:rsid w:val="008E2020"/>
    <w:rsid w:val="008E222E"/>
    <w:rsid w:val="008E31B0"/>
    <w:rsid w:val="008E3570"/>
    <w:rsid w:val="008E3972"/>
    <w:rsid w:val="008E3A7C"/>
    <w:rsid w:val="008E3F6B"/>
    <w:rsid w:val="008E46A4"/>
    <w:rsid w:val="008E47F8"/>
    <w:rsid w:val="008E5417"/>
    <w:rsid w:val="008E5973"/>
    <w:rsid w:val="008E5B7E"/>
    <w:rsid w:val="008E5BC2"/>
    <w:rsid w:val="008E66B8"/>
    <w:rsid w:val="008E677D"/>
    <w:rsid w:val="008E6A48"/>
    <w:rsid w:val="008E6A84"/>
    <w:rsid w:val="008E6B7F"/>
    <w:rsid w:val="008E6D28"/>
    <w:rsid w:val="008E763D"/>
    <w:rsid w:val="008E795E"/>
    <w:rsid w:val="008E7979"/>
    <w:rsid w:val="008E7A3F"/>
    <w:rsid w:val="008F141E"/>
    <w:rsid w:val="008F14A2"/>
    <w:rsid w:val="008F14B6"/>
    <w:rsid w:val="008F1615"/>
    <w:rsid w:val="008F1B13"/>
    <w:rsid w:val="008F1D5F"/>
    <w:rsid w:val="008F22A3"/>
    <w:rsid w:val="008F2576"/>
    <w:rsid w:val="008F41B2"/>
    <w:rsid w:val="008F4A87"/>
    <w:rsid w:val="008F4C02"/>
    <w:rsid w:val="008F5955"/>
    <w:rsid w:val="008F5AFC"/>
    <w:rsid w:val="008F66FB"/>
    <w:rsid w:val="008F676E"/>
    <w:rsid w:val="008F693F"/>
    <w:rsid w:val="008F6C7D"/>
    <w:rsid w:val="008F6EB6"/>
    <w:rsid w:val="008F6ED6"/>
    <w:rsid w:val="008F7627"/>
    <w:rsid w:val="0090039F"/>
    <w:rsid w:val="00900B11"/>
    <w:rsid w:val="00900F72"/>
    <w:rsid w:val="00901548"/>
    <w:rsid w:val="00901786"/>
    <w:rsid w:val="00901A0B"/>
    <w:rsid w:val="00901A88"/>
    <w:rsid w:val="00901C20"/>
    <w:rsid w:val="00901EE5"/>
    <w:rsid w:val="00902070"/>
    <w:rsid w:val="009024B0"/>
    <w:rsid w:val="009025C5"/>
    <w:rsid w:val="00902AA1"/>
    <w:rsid w:val="009030CE"/>
    <w:rsid w:val="009032CF"/>
    <w:rsid w:val="009032EA"/>
    <w:rsid w:val="009034D3"/>
    <w:rsid w:val="0090366B"/>
    <w:rsid w:val="009038D6"/>
    <w:rsid w:val="00904F3E"/>
    <w:rsid w:val="009055B2"/>
    <w:rsid w:val="009056A7"/>
    <w:rsid w:val="00905899"/>
    <w:rsid w:val="00905E5B"/>
    <w:rsid w:val="00906804"/>
    <w:rsid w:val="00906897"/>
    <w:rsid w:val="009068CA"/>
    <w:rsid w:val="0090699F"/>
    <w:rsid w:val="00906AC5"/>
    <w:rsid w:val="00906BD9"/>
    <w:rsid w:val="00906C92"/>
    <w:rsid w:val="00906D09"/>
    <w:rsid w:val="00906EDD"/>
    <w:rsid w:val="00907D46"/>
    <w:rsid w:val="0091024B"/>
    <w:rsid w:val="00910949"/>
    <w:rsid w:val="00912286"/>
    <w:rsid w:val="009124C2"/>
    <w:rsid w:val="00912D51"/>
    <w:rsid w:val="00912D82"/>
    <w:rsid w:val="00913387"/>
    <w:rsid w:val="0091398B"/>
    <w:rsid w:val="009146EF"/>
    <w:rsid w:val="00915813"/>
    <w:rsid w:val="00915BD0"/>
    <w:rsid w:val="0091653B"/>
    <w:rsid w:val="00916B2C"/>
    <w:rsid w:val="00916CDE"/>
    <w:rsid w:val="00916D94"/>
    <w:rsid w:val="00917242"/>
    <w:rsid w:val="00917CBA"/>
    <w:rsid w:val="00917DD9"/>
    <w:rsid w:val="0092012C"/>
    <w:rsid w:val="00920223"/>
    <w:rsid w:val="00920679"/>
    <w:rsid w:val="009207C8"/>
    <w:rsid w:val="0092094D"/>
    <w:rsid w:val="00920B01"/>
    <w:rsid w:val="009210C5"/>
    <w:rsid w:val="009216ED"/>
    <w:rsid w:val="00921CAE"/>
    <w:rsid w:val="00922D96"/>
    <w:rsid w:val="00922DEF"/>
    <w:rsid w:val="00923101"/>
    <w:rsid w:val="0092327D"/>
    <w:rsid w:val="00923294"/>
    <w:rsid w:val="009240B8"/>
    <w:rsid w:val="009244B4"/>
    <w:rsid w:val="009246F2"/>
    <w:rsid w:val="009247B6"/>
    <w:rsid w:val="00924C0B"/>
    <w:rsid w:val="00924E61"/>
    <w:rsid w:val="00924E65"/>
    <w:rsid w:val="00924F81"/>
    <w:rsid w:val="00925485"/>
    <w:rsid w:val="00925552"/>
    <w:rsid w:val="009258DE"/>
    <w:rsid w:val="00925B68"/>
    <w:rsid w:val="00925D5E"/>
    <w:rsid w:val="00925E28"/>
    <w:rsid w:val="0092632A"/>
    <w:rsid w:val="009263CF"/>
    <w:rsid w:val="00926B28"/>
    <w:rsid w:val="00927178"/>
    <w:rsid w:val="009272B1"/>
    <w:rsid w:val="0092757B"/>
    <w:rsid w:val="00927924"/>
    <w:rsid w:val="00927BFD"/>
    <w:rsid w:val="00931810"/>
    <w:rsid w:val="00931988"/>
    <w:rsid w:val="00932376"/>
    <w:rsid w:val="00932448"/>
    <w:rsid w:val="00932737"/>
    <w:rsid w:val="00932B4B"/>
    <w:rsid w:val="00932DE4"/>
    <w:rsid w:val="00932F89"/>
    <w:rsid w:val="009336E7"/>
    <w:rsid w:val="00933905"/>
    <w:rsid w:val="0093404F"/>
    <w:rsid w:val="009342C9"/>
    <w:rsid w:val="00934633"/>
    <w:rsid w:val="00934A3D"/>
    <w:rsid w:val="00934B92"/>
    <w:rsid w:val="00935122"/>
    <w:rsid w:val="009358A2"/>
    <w:rsid w:val="00935B9E"/>
    <w:rsid w:val="00935C59"/>
    <w:rsid w:val="00936351"/>
    <w:rsid w:val="0093681C"/>
    <w:rsid w:val="00936984"/>
    <w:rsid w:val="00936E47"/>
    <w:rsid w:val="0093715B"/>
    <w:rsid w:val="009371B9"/>
    <w:rsid w:val="0093782B"/>
    <w:rsid w:val="00937D8A"/>
    <w:rsid w:val="00940C4D"/>
    <w:rsid w:val="00940CB4"/>
    <w:rsid w:val="0094148B"/>
    <w:rsid w:val="0094176B"/>
    <w:rsid w:val="009417CC"/>
    <w:rsid w:val="009418B5"/>
    <w:rsid w:val="0094221E"/>
    <w:rsid w:val="009423C5"/>
    <w:rsid w:val="00942540"/>
    <w:rsid w:val="00942EB1"/>
    <w:rsid w:val="00943027"/>
    <w:rsid w:val="0094316D"/>
    <w:rsid w:val="00943C2E"/>
    <w:rsid w:val="0094445F"/>
    <w:rsid w:val="00944CBC"/>
    <w:rsid w:val="00945925"/>
    <w:rsid w:val="009459BA"/>
    <w:rsid w:val="00945D1E"/>
    <w:rsid w:val="009461E5"/>
    <w:rsid w:val="00947314"/>
    <w:rsid w:val="00947609"/>
    <w:rsid w:val="009476B1"/>
    <w:rsid w:val="00947FF7"/>
    <w:rsid w:val="0095040C"/>
    <w:rsid w:val="00950A10"/>
    <w:rsid w:val="00950A9A"/>
    <w:rsid w:val="00950B92"/>
    <w:rsid w:val="00950BA6"/>
    <w:rsid w:val="00950C10"/>
    <w:rsid w:val="009511D6"/>
    <w:rsid w:val="00951D33"/>
    <w:rsid w:val="00952B58"/>
    <w:rsid w:val="00952C27"/>
    <w:rsid w:val="00954423"/>
    <w:rsid w:val="009545DF"/>
    <w:rsid w:val="00954B9C"/>
    <w:rsid w:val="009552D6"/>
    <w:rsid w:val="009553F3"/>
    <w:rsid w:val="009553FB"/>
    <w:rsid w:val="00955956"/>
    <w:rsid w:val="0095598A"/>
    <w:rsid w:val="00955BB2"/>
    <w:rsid w:val="00955C34"/>
    <w:rsid w:val="00955E20"/>
    <w:rsid w:val="009562C6"/>
    <w:rsid w:val="009568C8"/>
    <w:rsid w:val="00956960"/>
    <w:rsid w:val="00956EFD"/>
    <w:rsid w:val="009570B1"/>
    <w:rsid w:val="009574EC"/>
    <w:rsid w:val="0095752D"/>
    <w:rsid w:val="0096012F"/>
    <w:rsid w:val="00960834"/>
    <w:rsid w:val="009609C9"/>
    <w:rsid w:val="00960BF0"/>
    <w:rsid w:val="0096154E"/>
    <w:rsid w:val="00961AD1"/>
    <w:rsid w:val="00962155"/>
    <w:rsid w:val="00962BEA"/>
    <w:rsid w:val="0096370C"/>
    <w:rsid w:val="00963C43"/>
    <w:rsid w:val="0096408C"/>
    <w:rsid w:val="00964097"/>
    <w:rsid w:val="009642B9"/>
    <w:rsid w:val="0096473F"/>
    <w:rsid w:val="00964959"/>
    <w:rsid w:val="00964A73"/>
    <w:rsid w:val="00964E85"/>
    <w:rsid w:val="00965206"/>
    <w:rsid w:val="0096533A"/>
    <w:rsid w:val="00965592"/>
    <w:rsid w:val="00965ED8"/>
    <w:rsid w:val="009667CA"/>
    <w:rsid w:val="00966CF9"/>
    <w:rsid w:val="00967217"/>
    <w:rsid w:val="009672CF"/>
    <w:rsid w:val="00967A6B"/>
    <w:rsid w:val="00967ACE"/>
    <w:rsid w:val="00967F20"/>
    <w:rsid w:val="0097022C"/>
    <w:rsid w:val="0097077E"/>
    <w:rsid w:val="00970D42"/>
    <w:rsid w:val="00970F9A"/>
    <w:rsid w:val="009710DF"/>
    <w:rsid w:val="0097122A"/>
    <w:rsid w:val="00971CAF"/>
    <w:rsid w:val="00971F52"/>
    <w:rsid w:val="009720D9"/>
    <w:rsid w:val="009721C9"/>
    <w:rsid w:val="00972724"/>
    <w:rsid w:val="00972B9F"/>
    <w:rsid w:val="00972D77"/>
    <w:rsid w:val="00972EF1"/>
    <w:rsid w:val="009736A3"/>
    <w:rsid w:val="0097380E"/>
    <w:rsid w:val="00973B1E"/>
    <w:rsid w:val="00973D6E"/>
    <w:rsid w:val="00974101"/>
    <w:rsid w:val="009744C5"/>
    <w:rsid w:val="009748C6"/>
    <w:rsid w:val="00974A9F"/>
    <w:rsid w:val="00975695"/>
    <w:rsid w:val="00975F55"/>
    <w:rsid w:val="00976228"/>
    <w:rsid w:val="00976DDE"/>
    <w:rsid w:val="0097751E"/>
    <w:rsid w:val="00977E96"/>
    <w:rsid w:val="00977EB1"/>
    <w:rsid w:val="00977F01"/>
    <w:rsid w:val="009810E8"/>
    <w:rsid w:val="009812AF"/>
    <w:rsid w:val="00981551"/>
    <w:rsid w:val="00981587"/>
    <w:rsid w:val="009816D4"/>
    <w:rsid w:val="009816EC"/>
    <w:rsid w:val="00981AAA"/>
    <w:rsid w:val="00982E80"/>
    <w:rsid w:val="0098342E"/>
    <w:rsid w:val="009834D9"/>
    <w:rsid w:val="009841CA"/>
    <w:rsid w:val="009844DE"/>
    <w:rsid w:val="00984851"/>
    <w:rsid w:val="0098533D"/>
    <w:rsid w:val="00985986"/>
    <w:rsid w:val="00985E02"/>
    <w:rsid w:val="00985F74"/>
    <w:rsid w:val="0098701C"/>
    <w:rsid w:val="00987C9C"/>
    <w:rsid w:val="00987E6A"/>
    <w:rsid w:val="00987F4E"/>
    <w:rsid w:val="009902BB"/>
    <w:rsid w:val="00990A8D"/>
    <w:rsid w:val="00990C61"/>
    <w:rsid w:val="00990E67"/>
    <w:rsid w:val="00991174"/>
    <w:rsid w:val="00991C46"/>
    <w:rsid w:val="00991C48"/>
    <w:rsid w:val="009922A9"/>
    <w:rsid w:val="00994C59"/>
    <w:rsid w:val="00994D50"/>
    <w:rsid w:val="00995053"/>
    <w:rsid w:val="009953B5"/>
    <w:rsid w:val="009954D0"/>
    <w:rsid w:val="00995C07"/>
    <w:rsid w:val="009962AC"/>
    <w:rsid w:val="0099671B"/>
    <w:rsid w:val="00996D8E"/>
    <w:rsid w:val="009A0432"/>
    <w:rsid w:val="009A0802"/>
    <w:rsid w:val="009A0A22"/>
    <w:rsid w:val="009A0B98"/>
    <w:rsid w:val="009A0E24"/>
    <w:rsid w:val="009A122A"/>
    <w:rsid w:val="009A162A"/>
    <w:rsid w:val="009A2B10"/>
    <w:rsid w:val="009A3436"/>
    <w:rsid w:val="009A39BA"/>
    <w:rsid w:val="009A3B25"/>
    <w:rsid w:val="009A3C8A"/>
    <w:rsid w:val="009A4ABE"/>
    <w:rsid w:val="009A5C9F"/>
    <w:rsid w:val="009A5CF9"/>
    <w:rsid w:val="009A6450"/>
    <w:rsid w:val="009A6903"/>
    <w:rsid w:val="009A6A14"/>
    <w:rsid w:val="009A7408"/>
    <w:rsid w:val="009A7686"/>
    <w:rsid w:val="009A7697"/>
    <w:rsid w:val="009A77D4"/>
    <w:rsid w:val="009B0848"/>
    <w:rsid w:val="009B0BEB"/>
    <w:rsid w:val="009B10AC"/>
    <w:rsid w:val="009B111A"/>
    <w:rsid w:val="009B1401"/>
    <w:rsid w:val="009B1F93"/>
    <w:rsid w:val="009B2229"/>
    <w:rsid w:val="009B2805"/>
    <w:rsid w:val="009B2C9F"/>
    <w:rsid w:val="009B2E00"/>
    <w:rsid w:val="009B3132"/>
    <w:rsid w:val="009B386F"/>
    <w:rsid w:val="009B3A56"/>
    <w:rsid w:val="009B3AC5"/>
    <w:rsid w:val="009B3F80"/>
    <w:rsid w:val="009B4085"/>
    <w:rsid w:val="009B4339"/>
    <w:rsid w:val="009B437C"/>
    <w:rsid w:val="009B4868"/>
    <w:rsid w:val="009B4A32"/>
    <w:rsid w:val="009B4D4C"/>
    <w:rsid w:val="009B5282"/>
    <w:rsid w:val="009B52DA"/>
    <w:rsid w:val="009B61CC"/>
    <w:rsid w:val="009B624D"/>
    <w:rsid w:val="009B65ED"/>
    <w:rsid w:val="009B678B"/>
    <w:rsid w:val="009B6B63"/>
    <w:rsid w:val="009B75D7"/>
    <w:rsid w:val="009B789C"/>
    <w:rsid w:val="009B7A9F"/>
    <w:rsid w:val="009B7AB0"/>
    <w:rsid w:val="009B7CF7"/>
    <w:rsid w:val="009C0025"/>
    <w:rsid w:val="009C02A2"/>
    <w:rsid w:val="009C03FC"/>
    <w:rsid w:val="009C057E"/>
    <w:rsid w:val="009C07D8"/>
    <w:rsid w:val="009C0DE2"/>
    <w:rsid w:val="009C1F9E"/>
    <w:rsid w:val="009C214D"/>
    <w:rsid w:val="009C2E68"/>
    <w:rsid w:val="009C2EA5"/>
    <w:rsid w:val="009C31BB"/>
    <w:rsid w:val="009C3D14"/>
    <w:rsid w:val="009C3D1F"/>
    <w:rsid w:val="009C44B3"/>
    <w:rsid w:val="009C45A6"/>
    <w:rsid w:val="009C4C88"/>
    <w:rsid w:val="009C51AF"/>
    <w:rsid w:val="009C52E8"/>
    <w:rsid w:val="009C55ED"/>
    <w:rsid w:val="009C6119"/>
    <w:rsid w:val="009C643E"/>
    <w:rsid w:val="009C64F8"/>
    <w:rsid w:val="009C6A2B"/>
    <w:rsid w:val="009C6FBE"/>
    <w:rsid w:val="009C706B"/>
    <w:rsid w:val="009C71B1"/>
    <w:rsid w:val="009C72C3"/>
    <w:rsid w:val="009C7E95"/>
    <w:rsid w:val="009C7F82"/>
    <w:rsid w:val="009D01AD"/>
    <w:rsid w:val="009D0E5D"/>
    <w:rsid w:val="009D123A"/>
    <w:rsid w:val="009D1897"/>
    <w:rsid w:val="009D19CD"/>
    <w:rsid w:val="009D29BC"/>
    <w:rsid w:val="009D35B9"/>
    <w:rsid w:val="009D371A"/>
    <w:rsid w:val="009D3875"/>
    <w:rsid w:val="009D3B4D"/>
    <w:rsid w:val="009D3BA0"/>
    <w:rsid w:val="009D4218"/>
    <w:rsid w:val="009D424E"/>
    <w:rsid w:val="009D4915"/>
    <w:rsid w:val="009D4BFF"/>
    <w:rsid w:val="009D4C3B"/>
    <w:rsid w:val="009D4E82"/>
    <w:rsid w:val="009D5488"/>
    <w:rsid w:val="009D60EE"/>
    <w:rsid w:val="009D6362"/>
    <w:rsid w:val="009D6382"/>
    <w:rsid w:val="009D639E"/>
    <w:rsid w:val="009D691F"/>
    <w:rsid w:val="009D69A3"/>
    <w:rsid w:val="009D69B0"/>
    <w:rsid w:val="009D6B42"/>
    <w:rsid w:val="009D6BC0"/>
    <w:rsid w:val="009D6C8B"/>
    <w:rsid w:val="009D6CA1"/>
    <w:rsid w:val="009D6DD0"/>
    <w:rsid w:val="009D733C"/>
    <w:rsid w:val="009D7BE5"/>
    <w:rsid w:val="009D7E8F"/>
    <w:rsid w:val="009E0001"/>
    <w:rsid w:val="009E008D"/>
    <w:rsid w:val="009E0605"/>
    <w:rsid w:val="009E070A"/>
    <w:rsid w:val="009E0B29"/>
    <w:rsid w:val="009E0FA2"/>
    <w:rsid w:val="009E1328"/>
    <w:rsid w:val="009E17C5"/>
    <w:rsid w:val="009E18B5"/>
    <w:rsid w:val="009E18F8"/>
    <w:rsid w:val="009E29DC"/>
    <w:rsid w:val="009E36A1"/>
    <w:rsid w:val="009E39F8"/>
    <w:rsid w:val="009E3D0A"/>
    <w:rsid w:val="009E3D82"/>
    <w:rsid w:val="009E3DE2"/>
    <w:rsid w:val="009E3FA7"/>
    <w:rsid w:val="009E3FF6"/>
    <w:rsid w:val="009E4395"/>
    <w:rsid w:val="009E45D1"/>
    <w:rsid w:val="009E4E96"/>
    <w:rsid w:val="009E5075"/>
    <w:rsid w:val="009E53B4"/>
    <w:rsid w:val="009E5CDE"/>
    <w:rsid w:val="009E5EE4"/>
    <w:rsid w:val="009E6B19"/>
    <w:rsid w:val="009E7115"/>
    <w:rsid w:val="009E7138"/>
    <w:rsid w:val="009E7141"/>
    <w:rsid w:val="009E77B5"/>
    <w:rsid w:val="009E7A2B"/>
    <w:rsid w:val="009E7C22"/>
    <w:rsid w:val="009F00DC"/>
    <w:rsid w:val="009F044B"/>
    <w:rsid w:val="009F05FF"/>
    <w:rsid w:val="009F0B74"/>
    <w:rsid w:val="009F0D1E"/>
    <w:rsid w:val="009F0E77"/>
    <w:rsid w:val="009F121C"/>
    <w:rsid w:val="009F129B"/>
    <w:rsid w:val="009F12EC"/>
    <w:rsid w:val="009F1368"/>
    <w:rsid w:val="009F1941"/>
    <w:rsid w:val="009F23E5"/>
    <w:rsid w:val="009F2488"/>
    <w:rsid w:val="009F251D"/>
    <w:rsid w:val="009F2DF9"/>
    <w:rsid w:val="009F3017"/>
    <w:rsid w:val="009F3FC8"/>
    <w:rsid w:val="009F4361"/>
    <w:rsid w:val="009F4A83"/>
    <w:rsid w:val="009F4A95"/>
    <w:rsid w:val="009F4AAF"/>
    <w:rsid w:val="009F4C0D"/>
    <w:rsid w:val="009F4E61"/>
    <w:rsid w:val="009F6390"/>
    <w:rsid w:val="009F69D9"/>
    <w:rsid w:val="009F6E45"/>
    <w:rsid w:val="00A001BD"/>
    <w:rsid w:val="00A0068A"/>
    <w:rsid w:val="00A00BCD"/>
    <w:rsid w:val="00A00CD6"/>
    <w:rsid w:val="00A00E15"/>
    <w:rsid w:val="00A024B9"/>
    <w:rsid w:val="00A02858"/>
    <w:rsid w:val="00A02B5A"/>
    <w:rsid w:val="00A02B6D"/>
    <w:rsid w:val="00A02F50"/>
    <w:rsid w:val="00A03494"/>
    <w:rsid w:val="00A03630"/>
    <w:rsid w:val="00A03947"/>
    <w:rsid w:val="00A03BE5"/>
    <w:rsid w:val="00A03C27"/>
    <w:rsid w:val="00A04868"/>
    <w:rsid w:val="00A04A6A"/>
    <w:rsid w:val="00A04C6F"/>
    <w:rsid w:val="00A04F0B"/>
    <w:rsid w:val="00A05E0C"/>
    <w:rsid w:val="00A0691A"/>
    <w:rsid w:val="00A06DB9"/>
    <w:rsid w:val="00A06F4B"/>
    <w:rsid w:val="00A071A0"/>
    <w:rsid w:val="00A072EF"/>
    <w:rsid w:val="00A073B5"/>
    <w:rsid w:val="00A075CA"/>
    <w:rsid w:val="00A076DB"/>
    <w:rsid w:val="00A10450"/>
    <w:rsid w:val="00A106C3"/>
    <w:rsid w:val="00A10C14"/>
    <w:rsid w:val="00A11369"/>
    <w:rsid w:val="00A1149A"/>
    <w:rsid w:val="00A1175F"/>
    <w:rsid w:val="00A11976"/>
    <w:rsid w:val="00A11F33"/>
    <w:rsid w:val="00A120C0"/>
    <w:rsid w:val="00A127C5"/>
    <w:rsid w:val="00A129EC"/>
    <w:rsid w:val="00A12C56"/>
    <w:rsid w:val="00A12E91"/>
    <w:rsid w:val="00A12F01"/>
    <w:rsid w:val="00A12FAB"/>
    <w:rsid w:val="00A130A8"/>
    <w:rsid w:val="00A136BB"/>
    <w:rsid w:val="00A137C9"/>
    <w:rsid w:val="00A139A1"/>
    <w:rsid w:val="00A13B72"/>
    <w:rsid w:val="00A13E25"/>
    <w:rsid w:val="00A13E7C"/>
    <w:rsid w:val="00A1528A"/>
    <w:rsid w:val="00A15F6D"/>
    <w:rsid w:val="00A16054"/>
    <w:rsid w:val="00A1655C"/>
    <w:rsid w:val="00A16637"/>
    <w:rsid w:val="00A16D54"/>
    <w:rsid w:val="00A170B8"/>
    <w:rsid w:val="00A1753C"/>
    <w:rsid w:val="00A17879"/>
    <w:rsid w:val="00A17A47"/>
    <w:rsid w:val="00A17C6B"/>
    <w:rsid w:val="00A20029"/>
    <w:rsid w:val="00A20153"/>
    <w:rsid w:val="00A21789"/>
    <w:rsid w:val="00A21930"/>
    <w:rsid w:val="00A219B0"/>
    <w:rsid w:val="00A21ABB"/>
    <w:rsid w:val="00A223BC"/>
    <w:rsid w:val="00A22687"/>
    <w:rsid w:val="00A22995"/>
    <w:rsid w:val="00A22A3B"/>
    <w:rsid w:val="00A22A86"/>
    <w:rsid w:val="00A22F46"/>
    <w:rsid w:val="00A23ABE"/>
    <w:rsid w:val="00A251A0"/>
    <w:rsid w:val="00A251BF"/>
    <w:rsid w:val="00A251D1"/>
    <w:rsid w:val="00A25226"/>
    <w:rsid w:val="00A254E3"/>
    <w:rsid w:val="00A2629D"/>
    <w:rsid w:val="00A26377"/>
    <w:rsid w:val="00A266FE"/>
    <w:rsid w:val="00A26E59"/>
    <w:rsid w:val="00A276DF"/>
    <w:rsid w:val="00A27BDE"/>
    <w:rsid w:val="00A30186"/>
    <w:rsid w:val="00A310A4"/>
    <w:rsid w:val="00A3150C"/>
    <w:rsid w:val="00A31DD9"/>
    <w:rsid w:val="00A31DDA"/>
    <w:rsid w:val="00A31F63"/>
    <w:rsid w:val="00A322E5"/>
    <w:rsid w:val="00A32557"/>
    <w:rsid w:val="00A32914"/>
    <w:rsid w:val="00A32A39"/>
    <w:rsid w:val="00A32AD8"/>
    <w:rsid w:val="00A3342C"/>
    <w:rsid w:val="00A3431A"/>
    <w:rsid w:val="00A3450A"/>
    <w:rsid w:val="00A34C15"/>
    <w:rsid w:val="00A34FA7"/>
    <w:rsid w:val="00A353AA"/>
    <w:rsid w:val="00A35930"/>
    <w:rsid w:val="00A36ECD"/>
    <w:rsid w:val="00A36EE0"/>
    <w:rsid w:val="00A36F04"/>
    <w:rsid w:val="00A370B8"/>
    <w:rsid w:val="00A3749F"/>
    <w:rsid w:val="00A37B99"/>
    <w:rsid w:val="00A37D8C"/>
    <w:rsid w:val="00A408EF"/>
    <w:rsid w:val="00A412C3"/>
    <w:rsid w:val="00A41774"/>
    <w:rsid w:val="00A41C2E"/>
    <w:rsid w:val="00A41CC6"/>
    <w:rsid w:val="00A424C2"/>
    <w:rsid w:val="00A428BD"/>
    <w:rsid w:val="00A42C87"/>
    <w:rsid w:val="00A4319A"/>
    <w:rsid w:val="00A43375"/>
    <w:rsid w:val="00A44073"/>
    <w:rsid w:val="00A4427E"/>
    <w:rsid w:val="00A44465"/>
    <w:rsid w:val="00A44718"/>
    <w:rsid w:val="00A45367"/>
    <w:rsid w:val="00A458BB"/>
    <w:rsid w:val="00A45CD6"/>
    <w:rsid w:val="00A45F47"/>
    <w:rsid w:val="00A46551"/>
    <w:rsid w:val="00A46998"/>
    <w:rsid w:val="00A47689"/>
    <w:rsid w:val="00A4785C"/>
    <w:rsid w:val="00A47B34"/>
    <w:rsid w:val="00A47B9B"/>
    <w:rsid w:val="00A5037A"/>
    <w:rsid w:val="00A50689"/>
    <w:rsid w:val="00A506FD"/>
    <w:rsid w:val="00A5085A"/>
    <w:rsid w:val="00A509C0"/>
    <w:rsid w:val="00A50A9B"/>
    <w:rsid w:val="00A50C40"/>
    <w:rsid w:val="00A50DDC"/>
    <w:rsid w:val="00A5199F"/>
    <w:rsid w:val="00A51A40"/>
    <w:rsid w:val="00A52571"/>
    <w:rsid w:val="00A536E2"/>
    <w:rsid w:val="00A53A19"/>
    <w:rsid w:val="00A54224"/>
    <w:rsid w:val="00A54730"/>
    <w:rsid w:val="00A55227"/>
    <w:rsid w:val="00A55E8A"/>
    <w:rsid w:val="00A560CB"/>
    <w:rsid w:val="00A5648B"/>
    <w:rsid w:val="00A56849"/>
    <w:rsid w:val="00A569B2"/>
    <w:rsid w:val="00A5783B"/>
    <w:rsid w:val="00A579BE"/>
    <w:rsid w:val="00A57DEA"/>
    <w:rsid w:val="00A60137"/>
    <w:rsid w:val="00A60308"/>
    <w:rsid w:val="00A60E87"/>
    <w:rsid w:val="00A61677"/>
    <w:rsid w:val="00A6170D"/>
    <w:rsid w:val="00A6177D"/>
    <w:rsid w:val="00A61DB9"/>
    <w:rsid w:val="00A62573"/>
    <w:rsid w:val="00A625AA"/>
    <w:rsid w:val="00A62729"/>
    <w:rsid w:val="00A629DC"/>
    <w:rsid w:val="00A629FA"/>
    <w:rsid w:val="00A62AA1"/>
    <w:rsid w:val="00A63113"/>
    <w:rsid w:val="00A63CD9"/>
    <w:rsid w:val="00A63E97"/>
    <w:rsid w:val="00A64BD8"/>
    <w:rsid w:val="00A64C03"/>
    <w:rsid w:val="00A65210"/>
    <w:rsid w:val="00A653E5"/>
    <w:rsid w:val="00A66A8B"/>
    <w:rsid w:val="00A66A8F"/>
    <w:rsid w:val="00A67C73"/>
    <w:rsid w:val="00A67CC1"/>
    <w:rsid w:val="00A67E18"/>
    <w:rsid w:val="00A7000C"/>
    <w:rsid w:val="00A700F6"/>
    <w:rsid w:val="00A70814"/>
    <w:rsid w:val="00A70E0E"/>
    <w:rsid w:val="00A710AE"/>
    <w:rsid w:val="00A711DD"/>
    <w:rsid w:val="00A71396"/>
    <w:rsid w:val="00A71692"/>
    <w:rsid w:val="00A71BBF"/>
    <w:rsid w:val="00A71ED4"/>
    <w:rsid w:val="00A72174"/>
    <w:rsid w:val="00A727E9"/>
    <w:rsid w:val="00A729C0"/>
    <w:rsid w:val="00A73257"/>
    <w:rsid w:val="00A7346B"/>
    <w:rsid w:val="00A73578"/>
    <w:rsid w:val="00A73BD6"/>
    <w:rsid w:val="00A74299"/>
    <w:rsid w:val="00A74395"/>
    <w:rsid w:val="00A7450A"/>
    <w:rsid w:val="00A74D81"/>
    <w:rsid w:val="00A75194"/>
    <w:rsid w:val="00A75405"/>
    <w:rsid w:val="00A766A9"/>
    <w:rsid w:val="00A7692C"/>
    <w:rsid w:val="00A76EF2"/>
    <w:rsid w:val="00A7716A"/>
    <w:rsid w:val="00A77447"/>
    <w:rsid w:val="00A77828"/>
    <w:rsid w:val="00A77C9B"/>
    <w:rsid w:val="00A77CCD"/>
    <w:rsid w:val="00A77DF7"/>
    <w:rsid w:val="00A80907"/>
    <w:rsid w:val="00A80A46"/>
    <w:rsid w:val="00A80B8B"/>
    <w:rsid w:val="00A80C90"/>
    <w:rsid w:val="00A81217"/>
    <w:rsid w:val="00A813F4"/>
    <w:rsid w:val="00A81440"/>
    <w:rsid w:val="00A81847"/>
    <w:rsid w:val="00A81C73"/>
    <w:rsid w:val="00A81CDF"/>
    <w:rsid w:val="00A81E93"/>
    <w:rsid w:val="00A8240A"/>
    <w:rsid w:val="00A8283D"/>
    <w:rsid w:val="00A829A2"/>
    <w:rsid w:val="00A83335"/>
    <w:rsid w:val="00A8368A"/>
    <w:rsid w:val="00A83ED8"/>
    <w:rsid w:val="00A845FA"/>
    <w:rsid w:val="00A847B1"/>
    <w:rsid w:val="00A84ABD"/>
    <w:rsid w:val="00A85850"/>
    <w:rsid w:val="00A85EF6"/>
    <w:rsid w:val="00A86681"/>
    <w:rsid w:val="00A86B72"/>
    <w:rsid w:val="00A871EB"/>
    <w:rsid w:val="00A873A6"/>
    <w:rsid w:val="00A875E6"/>
    <w:rsid w:val="00A87762"/>
    <w:rsid w:val="00A87763"/>
    <w:rsid w:val="00A87832"/>
    <w:rsid w:val="00A9018A"/>
    <w:rsid w:val="00A903DA"/>
    <w:rsid w:val="00A90608"/>
    <w:rsid w:val="00A906FC"/>
    <w:rsid w:val="00A906FE"/>
    <w:rsid w:val="00A909DE"/>
    <w:rsid w:val="00A90A27"/>
    <w:rsid w:val="00A92B41"/>
    <w:rsid w:val="00A92ED4"/>
    <w:rsid w:val="00A9355C"/>
    <w:rsid w:val="00A94536"/>
    <w:rsid w:val="00A94579"/>
    <w:rsid w:val="00A945EF"/>
    <w:rsid w:val="00A946E6"/>
    <w:rsid w:val="00A9514C"/>
    <w:rsid w:val="00A953D8"/>
    <w:rsid w:val="00A95C19"/>
    <w:rsid w:val="00A96BFF"/>
    <w:rsid w:val="00A97632"/>
    <w:rsid w:val="00AA01E3"/>
    <w:rsid w:val="00AA09F5"/>
    <w:rsid w:val="00AA1052"/>
    <w:rsid w:val="00AA172C"/>
    <w:rsid w:val="00AA1DED"/>
    <w:rsid w:val="00AA2089"/>
    <w:rsid w:val="00AA2627"/>
    <w:rsid w:val="00AA2926"/>
    <w:rsid w:val="00AA29B6"/>
    <w:rsid w:val="00AA2A19"/>
    <w:rsid w:val="00AA2A47"/>
    <w:rsid w:val="00AA2AAC"/>
    <w:rsid w:val="00AA2E90"/>
    <w:rsid w:val="00AA306C"/>
    <w:rsid w:val="00AA30FE"/>
    <w:rsid w:val="00AA345C"/>
    <w:rsid w:val="00AA3871"/>
    <w:rsid w:val="00AA46CA"/>
    <w:rsid w:val="00AA4996"/>
    <w:rsid w:val="00AA500A"/>
    <w:rsid w:val="00AA5029"/>
    <w:rsid w:val="00AA51AC"/>
    <w:rsid w:val="00AA5D6E"/>
    <w:rsid w:val="00AA606D"/>
    <w:rsid w:val="00AA6735"/>
    <w:rsid w:val="00AA699F"/>
    <w:rsid w:val="00AA6BD6"/>
    <w:rsid w:val="00AA70FF"/>
    <w:rsid w:val="00AA72F0"/>
    <w:rsid w:val="00AB039D"/>
    <w:rsid w:val="00AB0541"/>
    <w:rsid w:val="00AB06AE"/>
    <w:rsid w:val="00AB095C"/>
    <w:rsid w:val="00AB0E70"/>
    <w:rsid w:val="00AB104F"/>
    <w:rsid w:val="00AB1086"/>
    <w:rsid w:val="00AB126F"/>
    <w:rsid w:val="00AB1C5E"/>
    <w:rsid w:val="00AB22AC"/>
    <w:rsid w:val="00AB22FA"/>
    <w:rsid w:val="00AB255D"/>
    <w:rsid w:val="00AB2B0D"/>
    <w:rsid w:val="00AB2CC7"/>
    <w:rsid w:val="00AB2FD1"/>
    <w:rsid w:val="00AB311D"/>
    <w:rsid w:val="00AB33AA"/>
    <w:rsid w:val="00AB38B1"/>
    <w:rsid w:val="00AB39C6"/>
    <w:rsid w:val="00AB3FA6"/>
    <w:rsid w:val="00AB4060"/>
    <w:rsid w:val="00AB47FD"/>
    <w:rsid w:val="00AB4E00"/>
    <w:rsid w:val="00AB4FB7"/>
    <w:rsid w:val="00AB5A9D"/>
    <w:rsid w:val="00AB68BE"/>
    <w:rsid w:val="00AB6BFB"/>
    <w:rsid w:val="00AB6D6C"/>
    <w:rsid w:val="00AB761B"/>
    <w:rsid w:val="00AB7C97"/>
    <w:rsid w:val="00AB7CD2"/>
    <w:rsid w:val="00AC10CA"/>
    <w:rsid w:val="00AC1536"/>
    <w:rsid w:val="00AC174D"/>
    <w:rsid w:val="00AC18DB"/>
    <w:rsid w:val="00AC18F7"/>
    <w:rsid w:val="00AC214D"/>
    <w:rsid w:val="00AC2209"/>
    <w:rsid w:val="00AC22E7"/>
    <w:rsid w:val="00AC2E0A"/>
    <w:rsid w:val="00AC32AB"/>
    <w:rsid w:val="00AC348F"/>
    <w:rsid w:val="00AC3873"/>
    <w:rsid w:val="00AC3BD4"/>
    <w:rsid w:val="00AC3C81"/>
    <w:rsid w:val="00AC49B0"/>
    <w:rsid w:val="00AC5276"/>
    <w:rsid w:val="00AC5861"/>
    <w:rsid w:val="00AC5C0F"/>
    <w:rsid w:val="00AC601B"/>
    <w:rsid w:val="00AC6284"/>
    <w:rsid w:val="00AC6545"/>
    <w:rsid w:val="00AC69D2"/>
    <w:rsid w:val="00AC6E87"/>
    <w:rsid w:val="00AC713A"/>
    <w:rsid w:val="00AC738F"/>
    <w:rsid w:val="00AC7498"/>
    <w:rsid w:val="00AC7EE8"/>
    <w:rsid w:val="00AD09DF"/>
    <w:rsid w:val="00AD1707"/>
    <w:rsid w:val="00AD1B05"/>
    <w:rsid w:val="00AD1F3E"/>
    <w:rsid w:val="00AD2008"/>
    <w:rsid w:val="00AD23E4"/>
    <w:rsid w:val="00AD2759"/>
    <w:rsid w:val="00AD27B2"/>
    <w:rsid w:val="00AD2DC7"/>
    <w:rsid w:val="00AD3432"/>
    <w:rsid w:val="00AD3924"/>
    <w:rsid w:val="00AD3997"/>
    <w:rsid w:val="00AD3C95"/>
    <w:rsid w:val="00AD3CF7"/>
    <w:rsid w:val="00AD4005"/>
    <w:rsid w:val="00AD414B"/>
    <w:rsid w:val="00AD467B"/>
    <w:rsid w:val="00AD4933"/>
    <w:rsid w:val="00AD4A80"/>
    <w:rsid w:val="00AD4F16"/>
    <w:rsid w:val="00AD5191"/>
    <w:rsid w:val="00AD5600"/>
    <w:rsid w:val="00AD5BD0"/>
    <w:rsid w:val="00AD5CF7"/>
    <w:rsid w:val="00AD60A3"/>
    <w:rsid w:val="00AD77E2"/>
    <w:rsid w:val="00AD780C"/>
    <w:rsid w:val="00AE08EE"/>
    <w:rsid w:val="00AE0F02"/>
    <w:rsid w:val="00AE10EF"/>
    <w:rsid w:val="00AE1269"/>
    <w:rsid w:val="00AE1A4F"/>
    <w:rsid w:val="00AE1CDD"/>
    <w:rsid w:val="00AE1DB8"/>
    <w:rsid w:val="00AE2045"/>
    <w:rsid w:val="00AE29B2"/>
    <w:rsid w:val="00AE2F03"/>
    <w:rsid w:val="00AE3186"/>
    <w:rsid w:val="00AE32DE"/>
    <w:rsid w:val="00AE3492"/>
    <w:rsid w:val="00AE355A"/>
    <w:rsid w:val="00AE379F"/>
    <w:rsid w:val="00AE384D"/>
    <w:rsid w:val="00AE3ACD"/>
    <w:rsid w:val="00AE3FFF"/>
    <w:rsid w:val="00AE423E"/>
    <w:rsid w:val="00AE49DF"/>
    <w:rsid w:val="00AE4AB7"/>
    <w:rsid w:val="00AE4E6A"/>
    <w:rsid w:val="00AE5816"/>
    <w:rsid w:val="00AE5A9A"/>
    <w:rsid w:val="00AE6111"/>
    <w:rsid w:val="00AE6D23"/>
    <w:rsid w:val="00AE7132"/>
    <w:rsid w:val="00AE71A3"/>
    <w:rsid w:val="00AF019A"/>
    <w:rsid w:val="00AF0697"/>
    <w:rsid w:val="00AF0748"/>
    <w:rsid w:val="00AF0DAC"/>
    <w:rsid w:val="00AF0FBA"/>
    <w:rsid w:val="00AF1F62"/>
    <w:rsid w:val="00AF227B"/>
    <w:rsid w:val="00AF26BD"/>
    <w:rsid w:val="00AF277A"/>
    <w:rsid w:val="00AF2CC6"/>
    <w:rsid w:val="00AF3CBF"/>
    <w:rsid w:val="00AF4625"/>
    <w:rsid w:val="00AF4694"/>
    <w:rsid w:val="00AF4E19"/>
    <w:rsid w:val="00AF4E86"/>
    <w:rsid w:val="00AF513E"/>
    <w:rsid w:val="00AF54DA"/>
    <w:rsid w:val="00AF565E"/>
    <w:rsid w:val="00AF5747"/>
    <w:rsid w:val="00AF5A60"/>
    <w:rsid w:val="00AF5BE4"/>
    <w:rsid w:val="00AF5E98"/>
    <w:rsid w:val="00AF5F12"/>
    <w:rsid w:val="00AF63FD"/>
    <w:rsid w:val="00AF6531"/>
    <w:rsid w:val="00AF69DA"/>
    <w:rsid w:val="00AF6B43"/>
    <w:rsid w:val="00AF6FC5"/>
    <w:rsid w:val="00AF76FC"/>
    <w:rsid w:val="00AF77FD"/>
    <w:rsid w:val="00AF7977"/>
    <w:rsid w:val="00AF7A2D"/>
    <w:rsid w:val="00AF7EB0"/>
    <w:rsid w:val="00B00538"/>
    <w:rsid w:val="00B00AC7"/>
    <w:rsid w:val="00B00F0A"/>
    <w:rsid w:val="00B00F37"/>
    <w:rsid w:val="00B01372"/>
    <w:rsid w:val="00B01414"/>
    <w:rsid w:val="00B01731"/>
    <w:rsid w:val="00B019B0"/>
    <w:rsid w:val="00B01CF1"/>
    <w:rsid w:val="00B01D84"/>
    <w:rsid w:val="00B02561"/>
    <w:rsid w:val="00B034A5"/>
    <w:rsid w:val="00B037FF"/>
    <w:rsid w:val="00B03F7D"/>
    <w:rsid w:val="00B04073"/>
    <w:rsid w:val="00B041CC"/>
    <w:rsid w:val="00B0422D"/>
    <w:rsid w:val="00B04C43"/>
    <w:rsid w:val="00B05244"/>
    <w:rsid w:val="00B0577F"/>
    <w:rsid w:val="00B05C43"/>
    <w:rsid w:val="00B05F5B"/>
    <w:rsid w:val="00B062F5"/>
    <w:rsid w:val="00B06520"/>
    <w:rsid w:val="00B065C8"/>
    <w:rsid w:val="00B06DEC"/>
    <w:rsid w:val="00B06E19"/>
    <w:rsid w:val="00B06F6B"/>
    <w:rsid w:val="00B0751D"/>
    <w:rsid w:val="00B07A66"/>
    <w:rsid w:val="00B07CD9"/>
    <w:rsid w:val="00B102EB"/>
    <w:rsid w:val="00B10631"/>
    <w:rsid w:val="00B1076F"/>
    <w:rsid w:val="00B107AD"/>
    <w:rsid w:val="00B11DEA"/>
    <w:rsid w:val="00B11EE8"/>
    <w:rsid w:val="00B12044"/>
    <w:rsid w:val="00B1249A"/>
    <w:rsid w:val="00B128FA"/>
    <w:rsid w:val="00B12A8D"/>
    <w:rsid w:val="00B130E8"/>
    <w:rsid w:val="00B14095"/>
    <w:rsid w:val="00B142F8"/>
    <w:rsid w:val="00B14E90"/>
    <w:rsid w:val="00B15068"/>
    <w:rsid w:val="00B15278"/>
    <w:rsid w:val="00B15472"/>
    <w:rsid w:val="00B1556D"/>
    <w:rsid w:val="00B15B3B"/>
    <w:rsid w:val="00B16484"/>
    <w:rsid w:val="00B16844"/>
    <w:rsid w:val="00B17272"/>
    <w:rsid w:val="00B1735A"/>
    <w:rsid w:val="00B17478"/>
    <w:rsid w:val="00B17613"/>
    <w:rsid w:val="00B17A4F"/>
    <w:rsid w:val="00B2038E"/>
    <w:rsid w:val="00B218F2"/>
    <w:rsid w:val="00B21A4A"/>
    <w:rsid w:val="00B224ED"/>
    <w:rsid w:val="00B22FFB"/>
    <w:rsid w:val="00B23193"/>
    <w:rsid w:val="00B23502"/>
    <w:rsid w:val="00B235A9"/>
    <w:rsid w:val="00B23A79"/>
    <w:rsid w:val="00B23B62"/>
    <w:rsid w:val="00B23B67"/>
    <w:rsid w:val="00B24148"/>
    <w:rsid w:val="00B24208"/>
    <w:rsid w:val="00B24841"/>
    <w:rsid w:val="00B24A8F"/>
    <w:rsid w:val="00B24FF4"/>
    <w:rsid w:val="00B2614C"/>
    <w:rsid w:val="00B265C1"/>
    <w:rsid w:val="00B26B4A"/>
    <w:rsid w:val="00B26C27"/>
    <w:rsid w:val="00B27B22"/>
    <w:rsid w:val="00B300B6"/>
    <w:rsid w:val="00B30816"/>
    <w:rsid w:val="00B31693"/>
    <w:rsid w:val="00B31F02"/>
    <w:rsid w:val="00B32300"/>
    <w:rsid w:val="00B326DF"/>
    <w:rsid w:val="00B32ACE"/>
    <w:rsid w:val="00B335F8"/>
    <w:rsid w:val="00B33683"/>
    <w:rsid w:val="00B340B4"/>
    <w:rsid w:val="00B3440A"/>
    <w:rsid w:val="00B345DA"/>
    <w:rsid w:val="00B34607"/>
    <w:rsid w:val="00B34700"/>
    <w:rsid w:val="00B3517A"/>
    <w:rsid w:val="00B35B4F"/>
    <w:rsid w:val="00B36142"/>
    <w:rsid w:val="00B36DB0"/>
    <w:rsid w:val="00B36F30"/>
    <w:rsid w:val="00B37450"/>
    <w:rsid w:val="00B37929"/>
    <w:rsid w:val="00B37C70"/>
    <w:rsid w:val="00B37C95"/>
    <w:rsid w:val="00B409B0"/>
    <w:rsid w:val="00B41B4D"/>
    <w:rsid w:val="00B41C19"/>
    <w:rsid w:val="00B41DA3"/>
    <w:rsid w:val="00B41EFB"/>
    <w:rsid w:val="00B41FC4"/>
    <w:rsid w:val="00B4208A"/>
    <w:rsid w:val="00B42322"/>
    <w:rsid w:val="00B4253D"/>
    <w:rsid w:val="00B42CE8"/>
    <w:rsid w:val="00B4320B"/>
    <w:rsid w:val="00B43A89"/>
    <w:rsid w:val="00B440C3"/>
    <w:rsid w:val="00B442F6"/>
    <w:rsid w:val="00B444CC"/>
    <w:rsid w:val="00B44B54"/>
    <w:rsid w:val="00B44F00"/>
    <w:rsid w:val="00B44FE9"/>
    <w:rsid w:val="00B457E4"/>
    <w:rsid w:val="00B46C73"/>
    <w:rsid w:val="00B47101"/>
    <w:rsid w:val="00B478A1"/>
    <w:rsid w:val="00B501B5"/>
    <w:rsid w:val="00B5055A"/>
    <w:rsid w:val="00B507AA"/>
    <w:rsid w:val="00B509F3"/>
    <w:rsid w:val="00B50D01"/>
    <w:rsid w:val="00B50D53"/>
    <w:rsid w:val="00B50F98"/>
    <w:rsid w:val="00B51349"/>
    <w:rsid w:val="00B518D2"/>
    <w:rsid w:val="00B51BA3"/>
    <w:rsid w:val="00B51F7C"/>
    <w:rsid w:val="00B522A8"/>
    <w:rsid w:val="00B52477"/>
    <w:rsid w:val="00B52D28"/>
    <w:rsid w:val="00B530B1"/>
    <w:rsid w:val="00B533ED"/>
    <w:rsid w:val="00B53429"/>
    <w:rsid w:val="00B53861"/>
    <w:rsid w:val="00B53BF8"/>
    <w:rsid w:val="00B53C26"/>
    <w:rsid w:val="00B53E3C"/>
    <w:rsid w:val="00B53E42"/>
    <w:rsid w:val="00B54C9D"/>
    <w:rsid w:val="00B54D9F"/>
    <w:rsid w:val="00B55C70"/>
    <w:rsid w:val="00B56369"/>
    <w:rsid w:val="00B567A4"/>
    <w:rsid w:val="00B56D1F"/>
    <w:rsid w:val="00B56DD5"/>
    <w:rsid w:val="00B57245"/>
    <w:rsid w:val="00B572E4"/>
    <w:rsid w:val="00B5778A"/>
    <w:rsid w:val="00B57D41"/>
    <w:rsid w:val="00B6022C"/>
    <w:rsid w:val="00B60A80"/>
    <w:rsid w:val="00B61122"/>
    <w:rsid w:val="00B61C87"/>
    <w:rsid w:val="00B62047"/>
    <w:rsid w:val="00B62336"/>
    <w:rsid w:val="00B62732"/>
    <w:rsid w:val="00B62B81"/>
    <w:rsid w:val="00B62CCB"/>
    <w:rsid w:val="00B62D45"/>
    <w:rsid w:val="00B63335"/>
    <w:rsid w:val="00B63916"/>
    <w:rsid w:val="00B63B3B"/>
    <w:rsid w:val="00B63E79"/>
    <w:rsid w:val="00B6423B"/>
    <w:rsid w:val="00B6462E"/>
    <w:rsid w:val="00B64F14"/>
    <w:rsid w:val="00B6577F"/>
    <w:rsid w:val="00B65B2E"/>
    <w:rsid w:val="00B65DF5"/>
    <w:rsid w:val="00B662E3"/>
    <w:rsid w:val="00B6644D"/>
    <w:rsid w:val="00B668E5"/>
    <w:rsid w:val="00B66E43"/>
    <w:rsid w:val="00B66F77"/>
    <w:rsid w:val="00B671BF"/>
    <w:rsid w:val="00B6722F"/>
    <w:rsid w:val="00B676A6"/>
    <w:rsid w:val="00B676BB"/>
    <w:rsid w:val="00B67AA5"/>
    <w:rsid w:val="00B700A4"/>
    <w:rsid w:val="00B703B3"/>
    <w:rsid w:val="00B704CF"/>
    <w:rsid w:val="00B70B3A"/>
    <w:rsid w:val="00B714A1"/>
    <w:rsid w:val="00B71F3B"/>
    <w:rsid w:val="00B72275"/>
    <w:rsid w:val="00B73084"/>
    <w:rsid w:val="00B73336"/>
    <w:rsid w:val="00B73371"/>
    <w:rsid w:val="00B7342C"/>
    <w:rsid w:val="00B73812"/>
    <w:rsid w:val="00B73DF8"/>
    <w:rsid w:val="00B74179"/>
    <w:rsid w:val="00B74552"/>
    <w:rsid w:val="00B74859"/>
    <w:rsid w:val="00B74F45"/>
    <w:rsid w:val="00B7507A"/>
    <w:rsid w:val="00B75786"/>
    <w:rsid w:val="00B760F2"/>
    <w:rsid w:val="00B765C8"/>
    <w:rsid w:val="00B7696A"/>
    <w:rsid w:val="00B76BDB"/>
    <w:rsid w:val="00B76DE6"/>
    <w:rsid w:val="00B800CB"/>
    <w:rsid w:val="00B80143"/>
    <w:rsid w:val="00B80D14"/>
    <w:rsid w:val="00B80DC0"/>
    <w:rsid w:val="00B80E94"/>
    <w:rsid w:val="00B81781"/>
    <w:rsid w:val="00B81817"/>
    <w:rsid w:val="00B819A2"/>
    <w:rsid w:val="00B824CA"/>
    <w:rsid w:val="00B82589"/>
    <w:rsid w:val="00B825EE"/>
    <w:rsid w:val="00B82B1B"/>
    <w:rsid w:val="00B83A60"/>
    <w:rsid w:val="00B83B05"/>
    <w:rsid w:val="00B842CB"/>
    <w:rsid w:val="00B84D20"/>
    <w:rsid w:val="00B84D41"/>
    <w:rsid w:val="00B84F8A"/>
    <w:rsid w:val="00B8566F"/>
    <w:rsid w:val="00B86CBC"/>
    <w:rsid w:val="00B86E81"/>
    <w:rsid w:val="00B87085"/>
    <w:rsid w:val="00B87E0E"/>
    <w:rsid w:val="00B90A5E"/>
    <w:rsid w:val="00B9109F"/>
    <w:rsid w:val="00B91272"/>
    <w:rsid w:val="00B913AE"/>
    <w:rsid w:val="00B915BB"/>
    <w:rsid w:val="00B917E2"/>
    <w:rsid w:val="00B91A25"/>
    <w:rsid w:val="00B920DB"/>
    <w:rsid w:val="00B923FC"/>
    <w:rsid w:val="00B926F8"/>
    <w:rsid w:val="00B92A05"/>
    <w:rsid w:val="00B92D81"/>
    <w:rsid w:val="00B92F46"/>
    <w:rsid w:val="00B931C7"/>
    <w:rsid w:val="00B9392E"/>
    <w:rsid w:val="00B93B21"/>
    <w:rsid w:val="00B93B6D"/>
    <w:rsid w:val="00B94016"/>
    <w:rsid w:val="00B94018"/>
    <w:rsid w:val="00B94427"/>
    <w:rsid w:val="00B944F1"/>
    <w:rsid w:val="00B94577"/>
    <w:rsid w:val="00B94C6F"/>
    <w:rsid w:val="00B94F82"/>
    <w:rsid w:val="00B953F4"/>
    <w:rsid w:val="00B95A8C"/>
    <w:rsid w:val="00B95DF1"/>
    <w:rsid w:val="00B965A1"/>
    <w:rsid w:val="00B96CDF"/>
    <w:rsid w:val="00B96DDE"/>
    <w:rsid w:val="00B96F33"/>
    <w:rsid w:val="00B971FE"/>
    <w:rsid w:val="00B9730E"/>
    <w:rsid w:val="00B97421"/>
    <w:rsid w:val="00B97665"/>
    <w:rsid w:val="00B97FA4"/>
    <w:rsid w:val="00BA0275"/>
    <w:rsid w:val="00BA02E4"/>
    <w:rsid w:val="00BA0313"/>
    <w:rsid w:val="00BA0B52"/>
    <w:rsid w:val="00BA1074"/>
    <w:rsid w:val="00BA136C"/>
    <w:rsid w:val="00BA1567"/>
    <w:rsid w:val="00BA156D"/>
    <w:rsid w:val="00BA1C50"/>
    <w:rsid w:val="00BA2F80"/>
    <w:rsid w:val="00BA303F"/>
    <w:rsid w:val="00BA317F"/>
    <w:rsid w:val="00BA38CC"/>
    <w:rsid w:val="00BA3FDF"/>
    <w:rsid w:val="00BA48D9"/>
    <w:rsid w:val="00BA4E4F"/>
    <w:rsid w:val="00BA4F99"/>
    <w:rsid w:val="00BA503D"/>
    <w:rsid w:val="00BA52BA"/>
    <w:rsid w:val="00BA61D0"/>
    <w:rsid w:val="00BA7691"/>
    <w:rsid w:val="00BA76D7"/>
    <w:rsid w:val="00BB02FA"/>
    <w:rsid w:val="00BB082B"/>
    <w:rsid w:val="00BB0C20"/>
    <w:rsid w:val="00BB0F2C"/>
    <w:rsid w:val="00BB1212"/>
    <w:rsid w:val="00BB21EE"/>
    <w:rsid w:val="00BB2C11"/>
    <w:rsid w:val="00BB31A2"/>
    <w:rsid w:val="00BB31AC"/>
    <w:rsid w:val="00BB3EA7"/>
    <w:rsid w:val="00BB40BF"/>
    <w:rsid w:val="00BB4288"/>
    <w:rsid w:val="00BB4F1C"/>
    <w:rsid w:val="00BB50FA"/>
    <w:rsid w:val="00BB6919"/>
    <w:rsid w:val="00BB76BF"/>
    <w:rsid w:val="00BB7720"/>
    <w:rsid w:val="00BB7ABA"/>
    <w:rsid w:val="00BC0544"/>
    <w:rsid w:val="00BC0A24"/>
    <w:rsid w:val="00BC0BD5"/>
    <w:rsid w:val="00BC0C6D"/>
    <w:rsid w:val="00BC1125"/>
    <w:rsid w:val="00BC1C48"/>
    <w:rsid w:val="00BC1E5F"/>
    <w:rsid w:val="00BC1F3D"/>
    <w:rsid w:val="00BC2531"/>
    <w:rsid w:val="00BC2CED"/>
    <w:rsid w:val="00BC2D76"/>
    <w:rsid w:val="00BC2FD4"/>
    <w:rsid w:val="00BC331A"/>
    <w:rsid w:val="00BC353C"/>
    <w:rsid w:val="00BC362F"/>
    <w:rsid w:val="00BC3758"/>
    <w:rsid w:val="00BC381D"/>
    <w:rsid w:val="00BC3D72"/>
    <w:rsid w:val="00BC4129"/>
    <w:rsid w:val="00BC47FC"/>
    <w:rsid w:val="00BC49DB"/>
    <w:rsid w:val="00BC4E6E"/>
    <w:rsid w:val="00BC5312"/>
    <w:rsid w:val="00BC5B75"/>
    <w:rsid w:val="00BC5D31"/>
    <w:rsid w:val="00BC5D85"/>
    <w:rsid w:val="00BC637A"/>
    <w:rsid w:val="00BC694F"/>
    <w:rsid w:val="00BC715B"/>
    <w:rsid w:val="00BC7251"/>
    <w:rsid w:val="00BC7391"/>
    <w:rsid w:val="00BC74F9"/>
    <w:rsid w:val="00BC7CB4"/>
    <w:rsid w:val="00BC7EA6"/>
    <w:rsid w:val="00BC7EFC"/>
    <w:rsid w:val="00BD010F"/>
    <w:rsid w:val="00BD0DD5"/>
    <w:rsid w:val="00BD18A2"/>
    <w:rsid w:val="00BD1EF8"/>
    <w:rsid w:val="00BD21FB"/>
    <w:rsid w:val="00BD2730"/>
    <w:rsid w:val="00BD31AE"/>
    <w:rsid w:val="00BD31B8"/>
    <w:rsid w:val="00BD434C"/>
    <w:rsid w:val="00BD4EE6"/>
    <w:rsid w:val="00BD5603"/>
    <w:rsid w:val="00BD588C"/>
    <w:rsid w:val="00BD5DAD"/>
    <w:rsid w:val="00BD6E09"/>
    <w:rsid w:val="00BD7743"/>
    <w:rsid w:val="00BD7B38"/>
    <w:rsid w:val="00BE08C9"/>
    <w:rsid w:val="00BE1BD7"/>
    <w:rsid w:val="00BE29A6"/>
    <w:rsid w:val="00BE37D3"/>
    <w:rsid w:val="00BE41B4"/>
    <w:rsid w:val="00BE4487"/>
    <w:rsid w:val="00BE4DD2"/>
    <w:rsid w:val="00BE5545"/>
    <w:rsid w:val="00BE5ACF"/>
    <w:rsid w:val="00BE5D3B"/>
    <w:rsid w:val="00BE6BCE"/>
    <w:rsid w:val="00BE741A"/>
    <w:rsid w:val="00BE75CD"/>
    <w:rsid w:val="00BE79CF"/>
    <w:rsid w:val="00BF0786"/>
    <w:rsid w:val="00BF0931"/>
    <w:rsid w:val="00BF0E86"/>
    <w:rsid w:val="00BF0F58"/>
    <w:rsid w:val="00BF1564"/>
    <w:rsid w:val="00BF15C2"/>
    <w:rsid w:val="00BF1A4E"/>
    <w:rsid w:val="00BF1D02"/>
    <w:rsid w:val="00BF1DD1"/>
    <w:rsid w:val="00BF2839"/>
    <w:rsid w:val="00BF342A"/>
    <w:rsid w:val="00BF3976"/>
    <w:rsid w:val="00BF3B03"/>
    <w:rsid w:val="00BF3FE9"/>
    <w:rsid w:val="00BF452D"/>
    <w:rsid w:val="00BF48AD"/>
    <w:rsid w:val="00BF51CB"/>
    <w:rsid w:val="00BF5F12"/>
    <w:rsid w:val="00BF6528"/>
    <w:rsid w:val="00BF66CC"/>
    <w:rsid w:val="00BF6760"/>
    <w:rsid w:val="00BF6BB3"/>
    <w:rsid w:val="00BF6D97"/>
    <w:rsid w:val="00BF6DA1"/>
    <w:rsid w:val="00BF746F"/>
    <w:rsid w:val="00BF7BC1"/>
    <w:rsid w:val="00BF7DCA"/>
    <w:rsid w:val="00BF7E0F"/>
    <w:rsid w:val="00C0035A"/>
    <w:rsid w:val="00C00558"/>
    <w:rsid w:val="00C01BFA"/>
    <w:rsid w:val="00C01DCF"/>
    <w:rsid w:val="00C02714"/>
    <w:rsid w:val="00C0298F"/>
    <w:rsid w:val="00C02C02"/>
    <w:rsid w:val="00C03148"/>
    <w:rsid w:val="00C034A2"/>
    <w:rsid w:val="00C03CF5"/>
    <w:rsid w:val="00C03FCD"/>
    <w:rsid w:val="00C044B4"/>
    <w:rsid w:val="00C0468B"/>
    <w:rsid w:val="00C0484E"/>
    <w:rsid w:val="00C052A2"/>
    <w:rsid w:val="00C059E8"/>
    <w:rsid w:val="00C05B6C"/>
    <w:rsid w:val="00C05F7C"/>
    <w:rsid w:val="00C06954"/>
    <w:rsid w:val="00C0705A"/>
    <w:rsid w:val="00C073B7"/>
    <w:rsid w:val="00C07D8C"/>
    <w:rsid w:val="00C10F38"/>
    <w:rsid w:val="00C125BC"/>
    <w:rsid w:val="00C126B3"/>
    <w:rsid w:val="00C1270D"/>
    <w:rsid w:val="00C127BA"/>
    <w:rsid w:val="00C12B3C"/>
    <w:rsid w:val="00C132E2"/>
    <w:rsid w:val="00C133E0"/>
    <w:rsid w:val="00C13472"/>
    <w:rsid w:val="00C14292"/>
    <w:rsid w:val="00C14CCB"/>
    <w:rsid w:val="00C14FDF"/>
    <w:rsid w:val="00C1503A"/>
    <w:rsid w:val="00C15424"/>
    <w:rsid w:val="00C15536"/>
    <w:rsid w:val="00C157E9"/>
    <w:rsid w:val="00C15D56"/>
    <w:rsid w:val="00C15F07"/>
    <w:rsid w:val="00C1614A"/>
    <w:rsid w:val="00C16352"/>
    <w:rsid w:val="00C1653B"/>
    <w:rsid w:val="00C16979"/>
    <w:rsid w:val="00C16981"/>
    <w:rsid w:val="00C178F8"/>
    <w:rsid w:val="00C17BCF"/>
    <w:rsid w:val="00C20B00"/>
    <w:rsid w:val="00C20C42"/>
    <w:rsid w:val="00C21EE5"/>
    <w:rsid w:val="00C22E3A"/>
    <w:rsid w:val="00C23098"/>
    <w:rsid w:val="00C23BA1"/>
    <w:rsid w:val="00C23EB2"/>
    <w:rsid w:val="00C2419F"/>
    <w:rsid w:val="00C24916"/>
    <w:rsid w:val="00C249EB"/>
    <w:rsid w:val="00C24B66"/>
    <w:rsid w:val="00C24BE1"/>
    <w:rsid w:val="00C24CE6"/>
    <w:rsid w:val="00C254F3"/>
    <w:rsid w:val="00C257A9"/>
    <w:rsid w:val="00C2596A"/>
    <w:rsid w:val="00C25A5B"/>
    <w:rsid w:val="00C25B8D"/>
    <w:rsid w:val="00C2606E"/>
    <w:rsid w:val="00C26086"/>
    <w:rsid w:val="00C265CA"/>
    <w:rsid w:val="00C26E65"/>
    <w:rsid w:val="00C30668"/>
    <w:rsid w:val="00C30715"/>
    <w:rsid w:val="00C309DC"/>
    <w:rsid w:val="00C30B43"/>
    <w:rsid w:val="00C3115E"/>
    <w:rsid w:val="00C31F97"/>
    <w:rsid w:val="00C32D58"/>
    <w:rsid w:val="00C32DA0"/>
    <w:rsid w:val="00C33359"/>
    <w:rsid w:val="00C33397"/>
    <w:rsid w:val="00C334D8"/>
    <w:rsid w:val="00C3351E"/>
    <w:rsid w:val="00C338DE"/>
    <w:rsid w:val="00C33937"/>
    <w:rsid w:val="00C33E77"/>
    <w:rsid w:val="00C3446B"/>
    <w:rsid w:val="00C345A1"/>
    <w:rsid w:val="00C346AE"/>
    <w:rsid w:val="00C34C52"/>
    <w:rsid w:val="00C3589B"/>
    <w:rsid w:val="00C35FC9"/>
    <w:rsid w:val="00C36851"/>
    <w:rsid w:val="00C36A41"/>
    <w:rsid w:val="00C370E2"/>
    <w:rsid w:val="00C40F60"/>
    <w:rsid w:val="00C41181"/>
    <w:rsid w:val="00C411B8"/>
    <w:rsid w:val="00C41752"/>
    <w:rsid w:val="00C43284"/>
    <w:rsid w:val="00C4396B"/>
    <w:rsid w:val="00C43D03"/>
    <w:rsid w:val="00C43FF3"/>
    <w:rsid w:val="00C44099"/>
    <w:rsid w:val="00C44349"/>
    <w:rsid w:val="00C44BB6"/>
    <w:rsid w:val="00C44FE1"/>
    <w:rsid w:val="00C4582F"/>
    <w:rsid w:val="00C45ABC"/>
    <w:rsid w:val="00C45B1F"/>
    <w:rsid w:val="00C45E2D"/>
    <w:rsid w:val="00C46691"/>
    <w:rsid w:val="00C476CA"/>
    <w:rsid w:val="00C47819"/>
    <w:rsid w:val="00C5073A"/>
    <w:rsid w:val="00C50782"/>
    <w:rsid w:val="00C50799"/>
    <w:rsid w:val="00C50C3E"/>
    <w:rsid w:val="00C50F1C"/>
    <w:rsid w:val="00C5121B"/>
    <w:rsid w:val="00C51A83"/>
    <w:rsid w:val="00C52171"/>
    <w:rsid w:val="00C52782"/>
    <w:rsid w:val="00C52A6C"/>
    <w:rsid w:val="00C52D08"/>
    <w:rsid w:val="00C52D4F"/>
    <w:rsid w:val="00C53805"/>
    <w:rsid w:val="00C5486C"/>
    <w:rsid w:val="00C558D7"/>
    <w:rsid w:val="00C55E38"/>
    <w:rsid w:val="00C56277"/>
    <w:rsid w:val="00C56958"/>
    <w:rsid w:val="00C56C64"/>
    <w:rsid w:val="00C56E96"/>
    <w:rsid w:val="00C5732F"/>
    <w:rsid w:val="00C57754"/>
    <w:rsid w:val="00C5795A"/>
    <w:rsid w:val="00C57DFB"/>
    <w:rsid w:val="00C60071"/>
    <w:rsid w:val="00C605B3"/>
    <w:rsid w:val="00C608C2"/>
    <w:rsid w:val="00C61153"/>
    <w:rsid w:val="00C611D9"/>
    <w:rsid w:val="00C6127D"/>
    <w:rsid w:val="00C61612"/>
    <w:rsid w:val="00C61E28"/>
    <w:rsid w:val="00C620F4"/>
    <w:rsid w:val="00C62230"/>
    <w:rsid w:val="00C623E3"/>
    <w:rsid w:val="00C631CD"/>
    <w:rsid w:val="00C63536"/>
    <w:rsid w:val="00C6370A"/>
    <w:rsid w:val="00C637C0"/>
    <w:rsid w:val="00C641CB"/>
    <w:rsid w:val="00C644A3"/>
    <w:rsid w:val="00C64523"/>
    <w:rsid w:val="00C646F7"/>
    <w:rsid w:val="00C6485E"/>
    <w:rsid w:val="00C64CA4"/>
    <w:rsid w:val="00C6560E"/>
    <w:rsid w:val="00C66A58"/>
    <w:rsid w:val="00C66B17"/>
    <w:rsid w:val="00C66C11"/>
    <w:rsid w:val="00C678F2"/>
    <w:rsid w:val="00C70078"/>
    <w:rsid w:val="00C708A5"/>
    <w:rsid w:val="00C71D43"/>
    <w:rsid w:val="00C7229E"/>
    <w:rsid w:val="00C72506"/>
    <w:rsid w:val="00C725B0"/>
    <w:rsid w:val="00C729B3"/>
    <w:rsid w:val="00C72CCF"/>
    <w:rsid w:val="00C72DD2"/>
    <w:rsid w:val="00C732A1"/>
    <w:rsid w:val="00C733CB"/>
    <w:rsid w:val="00C73608"/>
    <w:rsid w:val="00C73A45"/>
    <w:rsid w:val="00C73F31"/>
    <w:rsid w:val="00C74664"/>
    <w:rsid w:val="00C7478C"/>
    <w:rsid w:val="00C74E25"/>
    <w:rsid w:val="00C7532A"/>
    <w:rsid w:val="00C75C75"/>
    <w:rsid w:val="00C75D56"/>
    <w:rsid w:val="00C7613C"/>
    <w:rsid w:val="00C761BE"/>
    <w:rsid w:val="00C76584"/>
    <w:rsid w:val="00C765D8"/>
    <w:rsid w:val="00C76F91"/>
    <w:rsid w:val="00C77693"/>
    <w:rsid w:val="00C778AA"/>
    <w:rsid w:val="00C800F6"/>
    <w:rsid w:val="00C802E8"/>
    <w:rsid w:val="00C80454"/>
    <w:rsid w:val="00C8052E"/>
    <w:rsid w:val="00C8226A"/>
    <w:rsid w:val="00C82EF1"/>
    <w:rsid w:val="00C832A4"/>
    <w:rsid w:val="00C833D6"/>
    <w:rsid w:val="00C83812"/>
    <w:rsid w:val="00C84077"/>
    <w:rsid w:val="00C84829"/>
    <w:rsid w:val="00C84C1D"/>
    <w:rsid w:val="00C8553F"/>
    <w:rsid w:val="00C85665"/>
    <w:rsid w:val="00C857E3"/>
    <w:rsid w:val="00C85CB1"/>
    <w:rsid w:val="00C85EF6"/>
    <w:rsid w:val="00C85F40"/>
    <w:rsid w:val="00C86732"/>
    <w:rsid w:val="00C86B3D"/>
    <w:rsid w:val="00C86D8A"/>
    <w:rsid w:val="00C905ED"/>
    <w:rsid w:val="00C90636"/>
    <w:rsid w:val="00C90698"/>
    <w:rsid w:val="00C907A6"/>
    <w:rsid w:val="00C909A5"/>
    <w:rsid w:val="00C90A96"/>
    <w:rsid w:val="00C911A5"/>
    <w:rsid w:val="00C91602"/>
    <w:rsid w:val="00C91607"/>
    <w:rsid w:val="00C9160E"/>
    <w:rsid w:val="00C91678"/>
    <w:rsid w:val="00C917CB"/>
    <w:rsid w:val="00C9181A"/>
    <w:rsid w:val="00C91C7D"/>
    <w:rsid w:val="00C921E1"/>
    <w:rsid w:val="00C92676"/>
    <w:rsid w:val="00C9339A"/>
    <w:rsid w:val="00C93488"/>
    <w:rsid w:val="00C934AF"/>
    <w:rsid w:val="00C93705"/>
    <w:rsid w:val="00C939EE"/>
    <w:rsid w:val="00C93D74"/>
    <w:rsid w:val="00C93E80"/>
    <w:rsid w:val="00C94170"/>
    <w:rsid w:val="00C94206"/>
    <w:rsid w:val="00C94209"/>
    <w:rsid w:val="00C94968"/>
    <w:rsid w:val="00C94C53"/>
    <w:rsid w:val="00C94EA3"/>
    <w:rsid w:val="00C9525A"/>
    <w:rsid w:val="00C95499"/>
    <w:rsid w:val="00C95623"/>
    <w:rsid w:val="00C95662"/>
    <w:rsid w:val="00C958CF"/>
    <w:rsid w:val="00C959C3"/>
    <w:rsid w:val="00C95BF9"/>
    <w:rsid w:val="00C96524"/>
    <w:rsid w:val="00C96810"/>
    <w:rsid w:val="00C969B3"/>
    <w:rsid w:val="00C96A7C"/>
    <w:rsid w:val="00C96D58"/>
    <w:rsid w:val="00C96E1A"/>
    <w:rsid w:val="00C97250"/>
    <w:rsid w:val="00C97610"/>
    <w:rsid w:val="00C97821"/>
    <w:rsid w:val="00C978F0"/>
    <w:rsid w:val="00CA0D04"/>
    <w:rsid w:val="00CA1054"/>
    <w:rsid w:val="00CA14A5"/>
    <w:rsid w:val="00CA1513"/>
    <w:rsid w:val="00CA185B"/>
    <w:rsid w:val="00CA1D18"/>
    <w:rsid w:val="00CA1D75"/>
    <w:rsid w:val="00CA2E50"/>
    <w:rsid w:val="00CA2F97"/>
    <w:rsid w:val="00CA319A"/>
    <w:rsid w:val="00CA31D8"/>
    <w:rsid w:val="00CA3B63"/>
    <w:rsid w:val="00CA514C"/>
    <w:rsid w:val="00CA51B2"/>
    <w:rsid w:val="00CA51E3"/>
    <w:rsid w:val="00CA5339"/>
    <w:rsid w:val="00CA55E2"/>
    <w:rsid w:val="00CA55FC"/>
    <w:rsid w:val="00CA5867"/>
    <w:rsid w:val="00CA5A31"/>
    <w:rsid w:val="00CA5F41"/>
    <w:rsid w:val="00CA7588"/>
    <w:rsid w:val="00CA79C3"/>
    <w:rsid w:val="00CA7A75"/>
    <w:rsid w:val="00CB0C0E"/>
    <w:rsid w:val="00CB0F11"/>
    <w:rsid w:val="00CB16B5"/>
    <w:rsid w:val="00CB1A98"/>
    <w:rsid w:val="00CB1B3A"/>
    <w:rsid w:val="00CB23EB"/>
    <w:rsid w:val="00CB2B1A"/>
    <w:rsid w:val="00CB30FA"/>
    <w:rsid w:val="00CB3237"/>
    <w:rsid w:val="00CB36CD"/>
    <w:rsid w:val="00CB3DD1"/>
    <w:rsid w:val="00CB4220"/>
    <w:rsid w:val="00CB4284"/>
    <w:rsid w:val="00CB4934"/>
    <w:rsid w:val="00CB4E87"/>
    <w:rsid w:val="00CB4F40"/>
    <w:rsid w:val="00CB5644"/>
    <w:rsid w:val="00CB56ED"/>
    <w:rsid w:val="00CB57D6"/>
    <w:rsid w:val="00CB58A9"/>
    <w:rsid w:val="00CB5D41"/>
    <w:rsid w:val="00CB65AF"/>
    <w:rsid w:val="00CB6D07"/>
    <w:rsid w:val="00CC009B"/>
    <w:rsid w:val="00CC07EF"/>
    <w:rsid w:val="00CC08C3"/>
    <w:rsid w:val="00CC0DCE"/>
    <w:rsid w:val="00CC0F56"/>
    <w:rsid w:val="00CC1343"/>
    <w:rsid w:val="00CC1675"/>
    <w:rsid w:val="00CC1949"/>
    <w:rsid w:val="00CC1DB6"/>
    <w:rsid w:val="00CC293F"/>
    <w:rsid w:val="00CC2AAF"/>
    <w:rsid w:val="00CC2AB9"/>
    <w:rsid w:val="00CC2BD8"/>
    <w:rsid w:val="00CC2D08"/>
    <w:rsid w:val="00CC2D98"/>
    <w:rsid w:val="00CC2F35"/>
    <w:rsid w:val="00CC43B6"/>
    <w:rsid w:val="00CC44A4"/>
    <w:rsid w:val="00CC4645"/>
    <w:rsid w:val="00CC5227"/>
    <w:rsid w:val="00CC5D4E"/>
    <w:rsid w:val="00CC5D9A"/>
    <w:rsid w:val="00CC5FC6"/>
    <w:rsid w:val="00CC6272"/>
    <w:rsid w:val="00CC64A6"/>
    <w:rsid w:val="00CC694F"/>
    <w:rsid w:val="00CC6BBF"/>
    <w:rsid w:val="00CC6C83"/>
    <w:rsid w:val="00CC7521"/>
    <w:rsid w:val="00CC7A45"/>
    <w:rsid w:val="00CC7D08"/>
    <w:rsid w:val="00CC7E24"/>
    <w:rsid w:val="00CD0058"/>
    <w:rsid w:val="00CD0221"/>
    <w:rsid w:val="00CD023A"/>
    <w:rsid w:val="00CD03E2"/>
    <w:rsid w:val="00CD080A"/>
    <w:rsid w:val="00CD0926"/>
    <w:rsid w:val="00CD1E19"/>
    <w:rsid w:val="00CD2011"/>
    <w:rsid w:val="00CD25F3"/>
    <w:rsid w:val="00CD26A6"/>
    <w:rsid w:val="00CD29BA"/>
    <w:rsid w:val="00CD2ECB"/>
    <w:rsid w:val="00CD3368"/>
    <w:rsid w:val="00CD3413"/>
    <w:rsid w:val="00CD38E7"/>
    <w:rsid w:val="00CD3CAF"/>
    <w:rsid w:val="00CD417E"/>
    <w:rsid w:val="00CD42B4"/>
    <w:rsid w:val="00CD4355"/>
    <w:rsid w:val="00CD4D6B"/>
    <w:rsid w:val="00CD4D75"/>
    <w:rsid w:val="00CD50C6"/>
    <w:rsid w:val="00CD53BC"/>
    <w:rsid w:val="00CD55A7"/>
    <w:rsid w:val="00CD5C8F"/>
    <w:rsid w:val="00CD5D67"/>
    <w:rsid w:val="00CD6725"/>
    <w:rsid w:val="00CD68D5"/>
    <w:rsid w:val="00CD68F2"/>
    <w:rsid w:val="00CD6A5A"/>
    <w:rsid w:val="00CD6E88"/>
    <w:rsid w:val="00CD7155"/>
    <w:rsid w:val="00CD7367"/>
    <w:rsid w:val="00CD745D"/>
    <w:rsid w:val="00CD7690"/>
    <w:rsid w:val="00CE015E"/>
    <w:rsid w:val="00CE0621"/>
    <w:rsid w:val="00CE1383"/>
    <w:rsid w:val="00CE1482"/>
    <w:rsid w:val="00CE170E"/>
    <w:rsid w:val="00CE1A57"/>
    <w:rsid w:val="00CE2AE1"/>
    <w:rsid w:val="00CE3343"/>
    <w:rsid w:val="00CE3B8C"/>
    <w:rsid w:val="00CE3C01"/>
    <w:rsid w:val="00CE4C0A"/>
    <w:rsid w:val="00CE5AE6"/>
    <w:rsid w:val="00CE5BBB"/>
    <w:rsid w:val="00CE5F76"/>
    <w:rsid w:val="00CE7062"/>
    <w:rsid w:val="00CE758D"/>
    <w:rsid w:val="00CE75B3"/>
    <w:rsid w:val="00CE7A20"/>
    <w:rsid w:val="00CE7A71"/>
    <w:rsid w:val="00CF0108"/>
    <w:rsid w:val="00CF012A"/>
    <w:rsid w:val="00CF0E94"/>
    <w:rsid w:val="00CF102D"/>
    <w:rsid w:val="00CF12E7"/>
    <w:rsid w:val="00CF1D12"/>
    <w:rsid w:val="00CF1F0A"/>
    <w:rsid w:val="00CF2697"/>
    <w:rsid w:val="00CF2B3B"/>
    <w:rsid w:val="00CF2D24"/>
    <w:rsid w:val="00CF2F92"/>
    <w:rsid w:val="00CF3282"/>
    <w:rsid w:val="00CF358C"/>
    <w:rsid w:val="00CF3D2D"/>
    <w:rsid w:val="00CF3FE2"/>
    <w:rsid w:val="00CF4007"/>
    <w:rsid w:val="00CF4158"/>
    <w:rsid w:val="00CF455B"/>
    <w:rsid w:val="00CF4AC4"/>
    <w:rsid w:val="00CF4D5C"/>
    <w:rsid w:val="00CF5189"/>
    <w:rsid w:val="00CF5409"/>
    <w:rsid w:val="00CF62EA"/>
    <w:rsid w:val="00CF67A4"/>
    <w:rsid w:val="00CF70B1"/>
    <w:rsid w:val="00CF7B7D"/>
    <w:rsid w:val="00CF7E85"/>
    <w:rsid w:val="00D00580"/>
    <w:rsid w:val="00D0165D"/>
    <w:rsid w:val="00D01738"/>
    <w:rsid w:val="00D01EC7"/>
    <w:rsid w:val="00D02190"/>
    <w:rsid w:val="00D0231B"/>
    <w:rsid w:val="00D023FB"/>
    <w:rsid w:val="00D02F96"/>
    <w:rsid w:val="00D033DC"/>
    <w:rsid w:val="00D03404"/>
    <w:rsid w:val="00D03F01"/>
    <w:rsid w:val="00D04D5F"/>
    <w:rsid w:val="00D05F7D"/>
    <w:rsid w:val="00D067B3"/>
    <w:rsid w:val="00D0693E"/>
    <w:rsid w:val="00D069A7"/>
    <w:rsid w:val="00D06B24"/>
    <w:rsid w:val="00D06F52"/>
    <w:rsid w:val="00D07082"/>
    <w:rsid w:val="00D07779"/>
    <w:rsid w:val="00D0785F"/>
    <w:rsid w:val="00D07AF9"/>
    <w:rsid w:val="00D07C27"/>
    <w:rsid w:val="00D10724"/>
    <w:rsid w:val="00D11241"/>
    <w:rsid w:val="00D11FA0"/>
    <w:rsid w:val="00D12678"/>
    <w:rsid w:val="00D12714"/>
    <w:rsid w:val="00D12847"/>
    <w:rsid w:val="00D129D2"/>
    <w:rsid w:val="00D1359A"/>
    <w:rsid w:val="00D13B6E"/>
    <w:rsid w:val="00D145E5"/>
    <w:rsid w:val="00D148B4"/>
    <w:rsid w:val="00D14FDD"/>
    <w:rsid w:val="00D15AC2"/>
    <w:rsid w:val="00D15C6E"/>
    <w:rsid w:val="00D15D0C"/>
    <w:rsid w:val="00D16189"/>
    <w:rsid w:val="00D164BE"/>
    <w:rsid w:val="00D165F1"/>
    <w:rsid w:val="00D1690D"/>
    <w:rsid w:val="00D16B1C"/>
    <w:rsid w:val="00D16C7F"/>
    <w:rsid w:val="00D17B1B"/>
    <w:rsid w:val="00D200CC"/>
    <w:rsid w:val="00D20356"/>
    <w:rsid w:val="00D20952"/>
    <w:rsid w:val="00D20ADC"/>
    <w:rsid w:val="00D20B05"/>
    <w:rsid w:val="00D20BF1"/>
    <w:rsid w:val="00D20BFF"/>
    <w:rsid w:val="00D20DD7"/>
    <w:rsid w:val="00D20E07"/>
    <w:rsid w:val="00D20F8A"/>
    <w:rsid w:val="00D218FB"/>
    <w:rsid w:val="00D21EE8"/>
    <w:rsid w:val="00D223EB"/>
    <w:rsid w:val="00D22700"/>
    <w:rsid w:val="00D2313B"/>
    <w:rsid w:val="00D23E8D"/>
    <w:rsid w:val="00D240A5"/>
    <w:rsid w:val="00D24564"/>
    <w:rsid w:val="00D245EE"/>
    <w:rsid w:val="00D24686"/>
    <w:rsid w:val="00D2474D"/>
    <w:rsid w:val="00D24FA2"/>
    <w:rsid w:val="00D2517C"/>
    <w:rsid w:val="00D255FA"/>
    <w:rsid w:val="00D25AAD"/>
    <w:rsid w:val="00D25CD3"/>
    <w:rsid w:val="00D2603D"/>
    <w:rsid w:val="00D26104"/>
    <w:rsid w:val="00D262DD"/>
    <w:rsid w:val="00D265C7"/>
    <w:rsid w:val="00D26A6F"/>
    <w:rsid w:val="00D26F5F"/>
    <w:rsid w:val="00D2703A"/>
    <w:rsid w:val="00D2721C"/>
    <w:rsid w:val="00D273FE"/>
    <w:rsid w:val="00D27B89"/>
    <w:rsid w:val="00D27E42"/>
    <w:rsid w:val="00D300C2"/>
    <w:rsid w:val="00D30320"/>
    <w:rsid w:val="00D30587"/>
    <w:rsid w:val="00D30975"/>
    <w:rsid w:val="00D309B7"/>
    <w:rsid w:val="00D31755"/>
    <w:rsid w:val="00D31989"/>
    <w:rsid w:val="00D31E9F"/>
    <w:rsid w:val="00D3266B"/>
    <w:rsid w:val="00D32814"/>
    <w:rsid w:val="00D329B0"/>
    <w:rsid w:val="00D329F6"/>
    <w:rsid w:val="00D32FBB"/>
    <w:rsid w:val="00D333B8"/>
    <w:rsid w:val="00D33854"/>
    <w:rsid w:val="00D340F0"/>
    <w:rsid w:val="00D34217"/>
    <w:rsid w:val="00D34488"/>
    <w:rsid w:val="00D34A65"/>
    <w:rsid w:val="00D34B20"/>
    <w:rsid w:val="00D35ACD"/>
    <w:rsid w:val="00D35BC9"/>
    <w:rsid w:val="00D3617C"/>
    <w:rsid w:val="00D369D9"/>
    <w:rsid w:val="00D36BD5"/>
    <w:rsid w:val="00D36ED1"/>
    <w:rsid w:val="00D37CA6"/>
    <w:rsid w:val="00D4004A"/>
    <w:rsid w:val="00D4076A"/>
    <w:rsid w:val="00D40D20"/>
    <w:rsid w:val="00D40DFC"/>
    <w:rsid w:val="00D41308"/>
    <w:rsid w:val="00D41552"/>
    <w:rsid w:val="00D41C12"/>
    <w:rsid w:val="00D421F2"/>
    <w:rsid w:val="00D42222"/>
    <w:rsid w:val="00D42DB0"/>
    <w:rsid w:val="00D43007"/>
    <w:rsid w:val="00D434BD"/>
    <w:rsid w:val="00D43DFA"/>
    <w:rsid w:val="00D44547"/>
    <w:rsid w:val="00D44D1F"/>
    <w:rsid w:val="00D44F5B"/>
    <w:rsid w:val="00D44FE8"/>
    <w:rsid w:val="00D451E2"/>
    <w:rsid w:val="00D452A5"/>
    <w:rsid w:val="00D453BA"/>
    <w:rsid w:val="00D4561B"/>
    <w:rsid w:val="00D45661"/>
    <w:rsid w:val="00D456C2"/>
    <w:rsid w:val="00D456C6"/>
    <w:rsid w:val="00D45D87"/>
    <w:rsid w:val="00D45F77"/>
    <w:rsid w:val="00D46748"/>
    <w:rsid w:val="00D46A9F"/>
    <w:rsid w:val="00D46D16"/>
    <w:rsid w:val="00D46EEA"/>
    <w:rsid w:val="00D47354"/>
    <w:rsid w:val="00D47792"/>
    <w:rsid w:val="00D47A92"/>
    <w:rsid w:val="00D47D3F"/>
    <w:rsid w:val="00D50653"/>
    <w:rsid w:val="00D50D24"/>
    <w:rsid w:val="00D51058"/>
    <w:rsid w:val="00D513C1"/>
    <w:rsid w:val="00D51CDD"/>
    <w:rsid w:val="00D51FE2"/>
    <w:rsid w:val="00D522CC"/>
    <w:rsid w:val="00D52865"/>
    <w:rsid w:val="00D5288B"/>
    <w:rsid w:val="00D52D4C"/>
    <w:rsid w:val="00D5349B"/>
    <w:rsid w:val="00D5357F"/>
    <w:rsid w:val="00D53736"/>
    <w:rsid w:val="00D53931"/>
    <w:rsid w:val="00D54124"/>
    <w:rsid w:val="00D54507"/>
    <w:rsid w:val="00D546FD"/>
    <w:rsid w:val="00D54923"/>
    <w:rsid w:val="00D54D7A"/>
    <w:rsid w:val="00D5649C"/>
    <w:rsid w:val="00D5653A"/>
    <w:rsid w:val="00D56AF0"/>
    <w:rsid w:val="00D56B75"/>
    <w:rsid w:val="00D56DAF"/>
    <w:rsid w:val="00D57024"/>
    <w:rsid w:val="00D5704E"/>
    <w:rsid w:val="00D57057"/>
    <w:rsid w:val="00D5762A"/>
    <w:rsid w:val="00D57999"/>
    <w:rsid w:val="00D57F43"/>
    <w:rsid w:val="00D6000E"/>
    <w:rsid w:val="00D6050C"/>
    <w:rsid w:val="00D60C04"/>
    <w:rsid w:val="00D613C8"/>
    <w:rsid w:val="00D624E9"/>
    <w:rsid w:val="00D62631"/>
    <w:rsid w:val="00D627DF"/>
    <w:rsid w:val="00D62E9F"/>
    <w:rsid w:val="00D631F5"/>
    <w:rsid w:val="00D63515"/>
    <w:rsid w:val="00D63A8D"/>
    <w:rsid w:val="00D63CE9"/>
    <w:rsid w:val="00D644D5"/>
    <w:rsid w:val="00D64A94"/>
    <w:rsid w:val="00D64B33"/>
    <w:rsid w:val="00D66228"/>
    <w:rsid w:val="00D66A78"/>
    <w:rsid w:val="00D66CFA"/>
    <w:rsid w:val="00D66F09"/>
    <w:rsid w:val="00D6726A"/>
    <w:rsid w:val="00D6733F"/>
    <w:rsid w:val="00D67531"/>
    <w:rsid w:val="00D6783E"/>
    <w:rsid w:val="00D678E1"/>
    <w:rsid w:val="00D67B15"/>
    <w:rsid w:val="00D67D1E"/>
    <w:rsid w:val="00D67DCD"/>
    <w:rsid w:val="00D67EE4"/>
    <w:rsid w:val="00D7041C"/>
    <w:rsid w:val="00D70929"/>
    <w:rsid w:val="00D70BF7"/>
    <w:rsid w:val="00D70EE1"/>
    <w:rsid w:val="00D7105A"/>
    <w:rsid w:val="00D71166"/>
    <w:rsid w:val="00D71490"/>
    <w:rsid w:val="00D719F2"/>
    <w:rsid w:val="00D719FE"/>
    <w:rsid w:val="00D71BDE"/>
    <w:rsid w:val="00D71DD8"/>
    <w:rsid w:val="00D73FAB"/>
    <w:rsid w:val="00D74591"/>
    <w:rsid w:val="00D74FB0"/>
    <w:rsid w:val="00D75484"/>
    <w:rsid w:val="00D76100"/>
    <w:rsid w:val="00D76AE4"/>
    <w:rsid w:val="00D76C89"/>
    <w:rsid w:val="00D772FC"/>
    <w:rsid w:val="00D80F00"/>
    <w:rsid w:val="00D81067"/>
    <w:rsid w:val="00D810F6"/>
    <w:rsid w:val="00D811B0"/>
    <w:rsid w:val="00D816C5"/>
    <w:rsid w:val="00D81973"/>
    <w:rsid w:val="00D81C00"/>
    <w:rsid w:val="00D81C5E"/>
    <w:rsid w:val="00D81C79"/>
    <w:rsid w:val="00D81D02"/>
    <w:rsid w:val="00D820E0"/>
    <w:rsid w:val="00D82108"/>
    <w:rsid w:val="00D8271C"/>
    <w:rsid w:val="00D827F1"/>
    <w:rsid w:val="00D82A78"/>
    <w:rsid w:val="00D8318B"/>
    <w:rsid w:val="00D832F7"/>
    <w:rsid w:val="00D83342"/>
    <w:rsid w:val="00D83883"/>
    <w:rsid w:val="00D83A01"/>
    <w:rsid w:val="00D83C56"/>
    <w:rsid w:val="00D83F5F"/>
    <w:rsid w:val="00D848A6"/>
    <w:rsid w:val="00D84C9E"/>
    <w:rsid w:val="00D84DA5"/>
    <w:rsid w:val="00D85915"/>
    <w:rsid w:val="00D85B0B"/>
    <w:rsid w:val="00D86E5F"/>
    <w:rsid w:val="00D86E9C"/>
    <w:rsid w:val="00D870A6"/>
    <w:rsid w:val="00D87197"/>
    <w:rsid w:val="00D8794C"/>
    <w:rsid w:val="00D87FB2"/>
    <w:rsid w:val="00D90633"/>
    <w:rsid w:val="00D90AC2"/>
    <w:rsid w:val="00D90FF3"/>
    <w:rsid w:val="00D9196F"/>
    <w:rsid w:val="00D921F6"/>
    <w:rsid w:val="00D92B5C"/>
    <w:rsid w:val="00D93A3D"/>
    <w:rsid w:val="00D94352"/>
    <w:rsid w:val="00D943EF"/>
    <w:rsid w:val="00D9441A"/>
    <w:rsid w:val="00D9454A"/>
    <w:rsid w:val="00D94A1B"/>
    <w:rsid w:val="00D952DD"/>
    <w:rsid w:val="00D95EB5"/>
    <w:rsid w:val="00D95EBC"/>
    <w:rsid w:val="00D96265"/>
    <w:rsid w:val="00D96782"/>
    <w:rsid w:val="00D96974"/>
    <w:rsid w:val="00D972C1"/>
    <w:rsid w:val="00D97C8B"/>
    <w:rsid w:val="00DA00A7"/>
    <w:rsid w:val="00DA074C"/>
    <w:rsid w:val="00DA083D"/>
    <w:rsid w:val="00DA0BE2"/>
    <w:rsid w:val="00DA1105"/>
    <w:rsid w:val="00DA1284"/>
    <w:rsid w:val="00DA1738"/>
    <w:rsid w:val="00DA19FA"/>
    <w:rsid w:val="00DA2673"/>
    <w:rsid w:val="00DA291F"/>
    <w:rsid w:val="00DA30B5"/>
    <w:rsid w:val="00DA338F"/>
    <w:rsid w:val="00DA3765"/>
    <w:rsid w:val="00DA3C02"/>
    <w:rsid w:val="00DA3DF5"/>
    <w:rsid w:val="00DA3EF1"/>
    <w:rsid w:val="00DA3F12"/>
    <w:rsid w:val="00DA4070"/>
    <w:rsid w:val="00DA40ED"/>
    <w:rsid w:val="00DA448C"/>
    <w:rsid w:val="00DA49F0"/>
    <w:rsid w:val="00DA4E62"/>
    <w:rsid w:val="00DA4E7A"/>
    <w:rsid w:val="00DA4F1D"/>
    <w:rsid w:val="00DA507E"/>
    <w:rsid w:val="00DA531D"/>
    <w:rsid w:val="00DA5640"/>
    <w:rsid w:val="00DA5905"/>
    <w:rsid w:val="00DA5953"/>
    <w:rsid w:val="00DA5B96"/>
    <w:rsid w:val="00DA5C19"/>
    <w:rsid w:val="00DA62BA"/>
    <w:rsid w:val="00DA6A59"/>
    <w:rsid w:val="00DA6B0F"/>
    <w:rsid w:val="00DA74BA"/>
    <w:rsid w:val="00DA7A0A"/>
    <w:rsid w:val="00DB077E"/>
    <w:rsid w:val="00DB15DB"/>
    <w:rsid w:val="00DB192E"/>
    <w:rsid w:val="00DB24B1"/>
    <w:rsid w:val="00DB33A4"/>
    <w:rsid w:val="00DB345B"/>
    <w:rsid w:val="00DB4E21"/>
    <w:rsid w:val="00DB5228"/>
    <w:rsid w:val="00DB5C61"/>
    <w:rsid w:val="00DB65CA"/>
    <w:rsid w:val="00DB719D"/>
    <w:rsid w:val="00DB7458"/>
    <w:rsid w:val="00DB78A1"/>
    <w:rsid w:val="00DB7EE7"/>
    <w:rsid w:val="00DC053C"/>
    <w:rsid w:val="00DC0645"/>
    <w:rsid w:val="00DC107F"/>
    <w:rsid w:val="00DC1B60"/>
    <w:rsid w:val="00DC1DE2"/>
    <w:rsid w:val="00DC22DF"/>
    <w:rsid w:val="00DC238D"/>
    <w:rsid w:val="00DC3B74"/>
    <w:rsid w:val="00DC5132"/>
    <w:rsid w:val="00DC526C"/>
    <w:rsid w:val="00DC54AE"/>
    <w:rsid w:val="00DC54D8"/>
    <w:rsid w:val="00DC5576"/>
    <w:rsid w:val="00DC5B41"/>
    <w:rsid w:val="00DC68C1"/>
    <w:rsid w:val="00DC6BB3"/>
    <w:rsid w:val="00DC733D"/>
    <w:rsid w:val="00DC7452"/>
    <w:rsid w:val="00DC797E"/>
    <w:rsid w:val="00DC7A63"/>
    <w:rsid w:val="00DC7CCD"/>
    <w:rsid w:val="00DD02C1"/>
    <w:rsid w:val="00DD03D1"/>
    <w:rsid w:val="00DD0AE5"/>
    <w:rsid w:val="00DD0B35"/>
    <w:rsid w:val="00DD21D4"/>
    <w:rsid w:val="00DD2908"/>
    <w:rsid w:val="00DD2B2D"/>
    <w:rsid w:val="00DD2D43"/>
    <w:rsid w:val="00DD338C"/>
    <w:rsid w:val="00DD3611"/>
    <w:rsid w:val="00DD39AE"/>
    <w:rsid w:val="00DD3DB9"/>
    <w:rsid w:val="00DD44C7"/>
    <w:rsid w:val="00DD4543"/>
    <w:rsid w:val="00DD4D54"/>
    <w:rsid w:val="00DD51CF"/>
    <w:rsid w:val="00DD5219"/>
    <w:rsid w:val="00DD541B"/>
    <w:rsid w:val="00DD5A86"/>
    <w:rsid w:val="00DD5B39"/>
    <w:rsid w:val="00DD6018"/>
    <w:rsid w:val="00DD624A"/>
    <w:rsid w:val="00DD6682"/>
    <w:rsid w:val="00DD6775"/>
    <w:rsid w:val="00DD683A"/>
    <w:rsid w:val="00DD69BB"/>
    <w:rsid w:val="00DD6CD6"/>
    <w:rsid w:val="00DD756D"/>
    <w:rsid w:val="00DD7576"/>
    <w:rsid w:val="00DE0768"/>
    <w:rsid w:val="00DE0924"/>
    <w:rsid w:val="00DE0A43"/>
    <w:rsid w:val="00DE0DE4"/>
    <w:rsid w:val="00DE149C"/>
    <w:rsid w:val="00DE1F0F"/>
    <w:rsid w:val="00DE2B1F"/>
    <w:rsid w:val="00DE2DD4"/>
    <w:rsid w:val="00DE314C"/>
    <w:rsid w:val="00DE3284"/>
    <w:rsid w:val="00DE3E32"/>
    <w:rsid w:val="00DE5405"/>
    <w:rsid w:val="00DE5FFF"/>
    <w:rsid w:val="00DE64BA"/>
    <w:rsid w:val="00DE6810"/>
    <w:rsid w:val="00DE685C"/>
    <w:rsid w:val="00DE6AC7"/>
    <w:rsid w:val="00DE6E3D"/>
    <w:rsid w:val="00DE6F5A"/>
    <w:rsid w:val="00DE7278"/>
    <w:rsid w:val="00DE794E"/>
    <w:rsid w:val="00DE7D5B"/>
    <w:rsid w:val="00DE7F46"/>
    <w:rsid w:val="00DE7F86"/>
    <w:rsid w:val="00DF1C4C"/>
    <w:rsid w:val="00DF259D"/>
    <w:rsid w:val="00DF28A3"/>
    <w:rsid w:val="00DF2AAA"/>
    <w:rsid w:val="00DF38B8"/>
    <w:rsid w:val="00DF393B"/>
    <w:rsid w:val="00DF3CFD"/>
    <w:rsid w:val="00DF3E2F"/>
    <w:rsid w:val="00DF3FD6"/>
    <w:rsid w:val="00DF42A2"/>
    <w:rsid w:val="00DF4533"/>
    <w:rsid w:val="00DF4571"/>
    <w:rsid w:val="00DF471E"/>
    <w:rsid w:val="00DF4759"/>
    <w:rsid w:val="00DF4F62"/>
    <w:rsid w:val="00DF5485"/>
    <w:rsid w:val="00DF592E"/>
    <w:rsid w:val="00DF5E1E"/>
    <w:rsid w:val="00DF6AAC"/>
    <w:rsid w:val="00DF6BAA"/>
    <w:rsid w:val="00DF76B9"/>
    <w:rsid w:val="00DF7DE3"/>
    <w:rsid w:val="00DF7EEC"/>
    <w:rsid w:val="00E0054C"/>
    <w:rsid w:val="00E00DAA"/>
    <w:rsid w:val="00E00F98"/>
    <w:rsid w:val="00E01377"/>
    <w:rsid w:val="00E013A8"/>
    <w:rsid w:val="00E01CCC"/>
    <w:rsid w:val="00E01E85"/>
    <w:rsid w:val="00E01F76"/>
    <w:rsid w:val="00E02403"/>
    <w:rsid w:val="00E02411"/>
    <w:rsid w:val="00E02B0B"/>
    <w:rsid w:val="00E0300B"/>
    <w:rsid w:val="00E03D07"/>
    <w:rsid w:val="00E0437D"/>
    <w:rsid w:val="00E04CE7"/>
    <w:rsid w:val="00E04D87"/>
    <w:rsid w:val="00E0513A"/>
    <w:rsid w:val="00E05442"/>
    <w:rsid w:val="00E05832"/>
    <w:rsid w:val="00E05DC8"/>
    <w:rsid w:val="00E05F74"/>
    <w:rsid w:val="00E067DB"/>
    <w:rsid w:val="00E06899"/>
    <w:rsid w:val="00E06C08"/>
    <w:rsid w:val="00E070E9"/>
    <w:rsid w:val="00E07C80"/>
    <w:rsid w:val="00E10163"/>
    <w:rsid w:val="00E10679"/>
    <w:rsid w:val="00E107A1"/>
    <w:rsid w:val="00E1084F"/>
    <w:rsid w:val="00E10E90"/>
    <w:rsid w:val="00E112D2"/>
    <w:rsid w:val="00E115FD"/>
    <w:rsid w:val="00E11893"/>
    <w:rsid w:val="00E119BF"/>
    <w:rsid w:val="00E11CD9"/>
    <w:rsid w:val="00E11EFB"/>
    <w:rsid w:val="00E11FAE"/>
    <w:rsid w:val="00E12436"/>
    <w:rsid w:val="00E126D6"/>
    <w:rsid w:val="00E12A23"/>
    <w:rsid w:val="00E12C1A"/>
    <w:rsid w:val="00E131CD"/>
    <w:rsid w:val="00E13D2E"/>
    <w:rsid w:val="00E13EED"/>
    <w:rsid w:val="00E14012"/>
    <w:rsid w:val="00E140EF"/>
    <w:rsid w:val="00E14657"/>
    <w:rsid w:val="00E14AC4"/>
    <w:rsid w:val="00E14DB8"/>
    <w:rsid w:val="00E14F5B"/>
    <w:rsid w:val="00E14FC5"/>
    <w:rsid w:val="00E15343"/>
    <w:rsid w:val="00E15815"/>
    <w:rsid w:val="00E15D57"/>
    <w:rsid w:val="00E15E95"/>
    <w:rsid w:val="00E164AD"/>
    <w:rsid w:val="00E16518"/>
    <w:rsid w:val="00E16736"/>
    <w:rsid w:val="00E169AD"/>
    <w:rsid w:val="00E17268"/>
    <w:rsid w:val="00E178CC"/>
    <w:rsid w:val="00E17E6D"/>
    <w:rsid w:val="00E17F17"/>
    <w:rsid w:val="00E17F5C"/>
    <w:rsid w:val="00E200BE"/>
    <w:rsid w:val="00E20ECA"/>
    <w:rsid w:val="00E21A68"/>
    <w:rsid w:val="00E21DA0"/>
    <w:rsid w:val="00E22047"/>
    <w:rsid w:val="00E224BB"/>
    <w:rsid w:val="00E22D5B"/>
    <w:rsid w:val="00E22FE8"/>
    <w:rsid w:val="00E23594"/>
    <w:rsid w:val="00E237A9"/>
    <w:rsid w:val="00E23A39"/>
    <w:rsid w:val="00E2424E"/>
    <w:rsid w:val="00E24CE1"/>
    <w:rsid w:val="00E2519E"/>
    <w:rsid w:val="00E2527A"/>
    <w:rsid w:val="00E2535B"/>
    <w:rsid w:val="00E256B9"/>
    <w:rsid w:val="00E25961"/>
    <w:rsid w:val="00E25AFA"/>
    <w:rsid w:val="00E25D94"/>
    <w:rsid w:val="00E25EDA"/>
    <w:rsid w:val="00E261E1"/>
    <w:rsid w:val="00E26313"/>
    <w:rsid w:val="00E26394"/>
    <w:rsid w:val="00E267CF"/>
    <w:rsid w:val="00E26897"/>
    <w:rsid w:val="00E27B02"/>
    <w:rsid w:val="00E30208"/>
    <w:rsid w:val="00E30AA6"/>
    <w:rsid w:val="00E32391"/>
    <w:rsid w:val="00E32882"/>
    <w:rsid w:val="00E32980"/>
    <w:rsid w:val="00E33658"/>
    <w:rsid w:val="00E33DCC"/>
    <w:rsid w:val="00E34634"/>
    <w:rsid w:val="00E34908"/>
    <w:rsid w:val="00E34B92"/>
    <w:rsid w:val="00E3536C"/>
    <w:rsid w:val="00E35CAD"/>
    <w:rsid w:val="00E35F8B"/>
    <w:rsid w:val="00E35FDF"/>
    <w:rsid w:val="00E3649E"/>
    <w:rsid w:val="00E36A4F"/>
    <w:rsid w:val="00E36EAD"/>
    <w:rsid w:val="00E37D7B"/>
    <w:rsid w:val="00E40632"/>
    <w:rsid w:val="00E40EBF"/>
    <w:rsid w:val="00E414CA"/>
    <w:rsid w:val="00E41AB9"/>
    <w:rsid w:val="00E42676"/>
    <w:rsid w:val="00E42A81"/>
    <w:rsid w:val="00E42BC7"/>
    <w:rsid w:val="00E43199"/>
    <w:rsid w:val="00E43337"/>
    <w:rsid w:val="00E43540"/>
    <w:rsid w:val="00E4395D"/>
    <w:rsid w:val="00E441AC"/>
    <w:rsid w:val="00E44259"/>
    <w:rsid w:val="00E4428D"/>
    <w:rsid w:val="00E444EE"/>
    <w:rsid w:val="00E44A21"/>
    <w:rsid w:val="00E45863"/>
    <w:rsid w:val="00E45A7D"/>
    <w:rsid w:val="00E45D4C"/>
    <w:rsid w:val="00E46117"/>
    <w:rsid w:val="00E4633D"/>
    <w:rsid w:val="00E46786"/>
    <w:rsid w:val="00E47B19"/>
    <w:rsid w:val="00E47EF4"/>
    <w:rsid w:val="00E47F0A"/>
    <w:rsid w:val="00E5183F"/>
    <w:rsid w:val="00E51A33"/>
    <w:rsid w:val="00E51B05"/>
    <w:rsid w:val="00E5246C"/>
    <w:rsid w:val="00E5303C"/>
    <w:rsid w:val="00E5318F"/>
    <w:rsid w:val="00E5359D"/>
    <w:rsid w:val="00E53673"/>
    <w:rsid w:val="00E53697"/>
    <w:rsid w:val="00E53909"/>
    <w:rsid w:val="00E54012"/>
    <w:rsid w:val="00E541A7"/>
    <w:rsid w:val="00E54337"/>
    <w:rsid w:val="00E548C2"/>
    <w:rsid w:val="00E54D88"/>
    <w:rsid w:val="00E54FFF"/>
    <w:rsid w:val="00E55073"/>
    <w:rsid w:val="00E55C08"/>
    <w:rsid w:val="00E55E0D"/>
    <w:rsid w:val="00E55F04"/>
    <w:rsid w:val="00E560A2"/>
    <w:rsid w:val="00E561A7"/>
    <w:rsid w:val="00E570F6"/>
    <w:rsid w:val="00E57498"/>
    <w:rsid w:val="00E5772D"/>
    <w:rsid w:val="00E57730"/>
    <w:rsid w:val="00E57957"/>
    <w:rsid w:val="00E601E1"/>
    <w:rsid w:val="00E60325"/>
    <w:rsid w:val="00E605E2"/>
    <w:rsid w:val="00E6076F"/>
    <w:rsid w:val="00E61010"/>
    <w:rsid w:val="00E615DA"/>
    <w:rsid w:val="00E617D1"/>
    <w:rsid w:val="00E62519"/>
    <w:rsid w:val="00E62F4B"/>
    <w:rsid w:val="00E63015"/>
    <w:rsid w:val="00E63060"/>
    <w:rsid w:val="00E631B9"/>
    <w:rsid w:val="00E63620"/>
    <w:rsid w:val="00E64500"/>
    <w:rsid w:val="00E64CF1"/>
    <w:rsid w:val="00E64CF5"/>
    <w:rsid w:val="00E65595"/>
    <w:rsid w:val="00E65B82"/>
    <w:rsid w:val="00E6630B"/>
    <w:rsid w:val="00E6630C"/>
    <w:rsid w:val="00E66417"/>
    <w:rsid w:val="00E664D9"/>
    <w:rsid w:val="00E66D5E"/>
    <w:rsid w:val="00E66F83"/>
    <w:rsid w:val="00E66FC7"/>
    <w:rsid w:val="00E67203"/>
    <w:rsid w:val="00E6769C"/>
    <w:rsid w:val="00E676B3"/>
    <w:rsid w:val="00E67A67"/>
    <w:rsid w:val="00E700AE"/>
    <w:rsid w:val="00E709F4"/>
    <w:rsid w:val="00E70CC3"/>
    <w:rsid w:val="00E70CC8"/>
    <w:rsid w:val="00E71390"/>
    <w:rsid w:val="00E71B9F"/>
    <w:rsid w:val="00E71EBC"/>
    <w:rsid w:val="00E72170"/>
    <w:rsid w:val="00E72514"/>
    <w:rsid w:val="00E727D8"/>
    <w:rsid w:val="00E72BE6"/>
    <w:rsid w:val="00E72C56"/>
    <w:rsid w:val="00E734C3"/>
    <w:rsid w:val="00E7380C"/>
    <w:rsid w:val="00E74209"/>
    <w:rsid w:val="00E74382"/>
    <w:rsid w:val="00E746D3"/>
    <w:rsid w:val="00E74C52"/>
    <w:rsid w:val="00E74E31"/>
    <w:rsid w:val="00E75016"/>
    <w:rsid w:val="00E7504D"/>
    <w:rsid w:val="00E7531D"/>
    <w:rsid w:val="00E7574F"/>
    <w:rsid w:val="00E757AE"/>
    <w:rsid w:val="00E75854"/>
    <w:rsid w:val="00E75983"/>
    <w:rsid w:val="00E759B3"/>
    <w:rsid w:val="00E759E4"/>
    <w:rsid w:val="00E7610C"/>
    <w:rsid w:val="00E764F2"/>
    <w:rsid w:val="00E7666F"/>
    <w:rsid w:val="00E77061"/>
    <w:rsid w:val="00E779C7"/>
    <w:rsid w:val="00E77A61"/>
    <w:rsid w:val="00E77F16"/>
    <w:rsid w:val="00E800EC"/>
    <w:rsid w:val="00E8018F"/>
    <w:rsid w:val="00E801C4"/>
    <w:rsid w:val="00E80FBC"/>
    <w:rsid w:val="00E81123"/>
    <w:rsid w:val="00E81874"/>
    <w:rsid w:val="00E81AD9"/>
    <w:rsid w:val="00E82410"/>
    <w:rsid w:val="00E82A9E"/>
    <w:rsid w:val="00E82D03"/>
    <w:rsid w:val="00E82DE8"/>
    <w:rsid w:val="00E83192"/>
    <w:rsid w:val="00E8341E"/>
    <w:rsid w:val="00E83DF5"/>
    <w:rsid w:val="00E83FF4"/>
    <w:rsid w:val="00E848E3"/>
    <w:rsid w:val="00E857C3"/>
    <w:rsid w:val="00E858CB"/>
    <w:rsid w:val="00E85E6A"/>
    <w:rsid w:val="00E85F5C"/>
    <w:rsid w:val="00E8604D"/>
    <w:rsid w:val="00E86C21"/>
    <w:rsid w:val="00E86E8C"/>
    <w:rsid w:val="00E87B00"/>
    <w:rsid w:val="00E87D65"/>
    <w:rsid w:val="00E87EFD"/>
    <w:rsid w:val="00E90169"/>
    <w:rsid w:val="00E9045D"/>
    <w:rsid w:val="00E90D87"/>
    <w:rsid w:val="00E90E96"/>
    <w:rsid w:val="00E91DC4"/>
    <w:rsid w:val="00E9246D"/>
    <w:rsid w:val="00E92955"/>
    <w:rsid w:val="00E9330D"/>
    <w:rsid w:val="00E933AB"/>
    <w:rsid w:val="00E93604"/>
    <w:rsid w:val="00E93A2D"/>
    <w:rsid w:val="00E93E2C"/>
    <w:rsid w:val="00E94190"/>
    <w:rsid w:val="00E94301"/>
    <w:rsid w:val="00E943D2"/>
    <w:rsid w:val="00E947D4"/>
    <w:rsid w:val="00E94CBC"/>
    <w:rsid w:val="00E94FF8"/>
    <w:rsid w:val="00E95049"/>
    <w:rsid w:val="00E955EF"/>
    <w:rsid w:val="00E9578D"/>
    <w:rsid w:val="00E95893"/>
    <w:rsid w:val="00E96435"/>
    <w:rsid w:val="00E96AE3"/>
    <w:rsid w:val="00E96DA3"/>
    <w:rsid w:val="00E974E6"/>
    <w:rsid w:val="00E97859"/>
    <w:rsid w:val="00E97CD6"/>
    <w:rsid w:val="00E97ED0"/>
    <w:rsid w:val="00EA0AFC"/>
    <w:rsid w:val="00EA0BC1"/>
    <w:rsid w:val="00EA0BDB"/>
    <w:rsid w:val="00EA0E17"/>
    <w:rsid w:val="00EA12D6"/>
    <w:rsid w:val="00EA14DD"/>
    <w:rsid w:val="00EA14DE"/>
    <w:rsid w:val="00EA206B"/>
    <w:rsid w:val="00EA2455"/>
    <w:rsid w:val="00EA2C82"/>
    <w:rsid w:val="00EA33F9"/>
    <w:rsid w:val="00EA3437"/>
    <w:rsid w:val="00EA3BF7"/>
    <w:rsid w:val="00EA3F53"/>
    <w:rsid w:val="00EA470F"/>
    <w:rsid w:val="00EA4D80"/>
    <w:rsid w:val="00EA4FFE"/>
    <w:rsid w:val="00EA502B"/>
    <w:rsid w:val="00EA5690"/>
    <w:rsid w:val="00EA58B4"/>
    <w:rsid w:val="00EA6247"/>
    <w:rsid w:val="00EA637C"/>
    <w:rsid w:val="00EA657C"/>
    <w:rsid w:val="00EA744A"/>
    <w:rsid w:val="00EA74E9"/>
    <w:rsid w:val="00EA7713"/>
    <w:rsid w:val="00EB001E"/>
    <w:rsid w:val="00EB0327"/>
    <w:rsid w:val="00EB05D8"/>
    <w:rsid w:val="00EB0644"/>
    <w:rsid w:val="00EB0B76"/>
    <w:rsid w:val="00EB0D0F"/>
    <w:rsid w:val="00EB120C"/>
    <w:rsid w:val="00EB187A"/>
    <w:rsid w:val="00EB2551"/>
    <w:rsid w:val="00EB2A0C"/>
    <w:rsid w:val="00EB2E69"/>
    <w:rsid w:val="00EB2E72"/>
    <w:rsid w:val="00EB2FBA"/>
    <w:rsid w:val="00EB361B"/>
    <w:rsid w:val="00EB3632"/>
    <w:rsid w:val="00EB3A14"/>
    <w:rsid w:val="00EB3B7F"/>
    <w:rsid w:val="00EB3E87"/>
    <w:rsid w:val="00EB3EF5"/>
    <w:rsid w:val="00EB41F8"/>
    <w:rsid w:val="00EB443E"/>
    <w:rsid w:val="00EB45A0"/>
    <w:rsid w:val="00EB4992"/>
    <w:rsid w:val="00EB4BB2"/>
    <w:rsid w:val="00EB4E60"/>
    <w:rsid w:val="00EB5278"/>
    <w:rsid w:val="00EB5875"/>
    <w:rsid w:val="00EB597A"/>
    <w:rsid w:val="00EB61FE"/>
    <w:rsid w:val="00EB64E2"/>
    <w:rsid w:val="00EB6547"/>
    <w:rsid w:val="00EB665C"/>
    <w:rsid w:val="00EB7063"/>
    <w:rsid w:val="00EB733C"/>
    <w:rsid w:val="00EB777A"/>
    <w:rsid w:val="00EB7837"/>
    <w:rsid w:val="00EB7F12"/>
    <w:rsid w:val="00EC0396"/>
    <w:rsid w:val="00EC040F"/>
    <w:rsid w:val="00EC0DBF"/>
    <w:rsid w:val="00EC1079"/>
    <w:rsid w:val="00EC173F"/>
    <w:rsid w:val="00EC17A9"/>
    <w:rsid w:val="00EC192D"/>
    <w:rsid w:val="00EC1A3C"/>
    <w:rsid w:val="00EC1BE3"/>
    <w:rsid w:val="00EC1D87"/>
    <w:rsid w:val="00EC27BB"/>
    <w:rsid w:val="00EC27C6"/>
    <w:rsid w:val="00EC28C2"/>
    <w:rsid w:val="00EC2B5C"/>
    <w:rsid w:val="00EC2DA7"/>
    <w:rsid w:val="00EC35EB"/>
    <w:rsid w:val="00EC363B"/>
    <w:rsid w:val="00EC3A62"/>
    <w:rsid w:val="00EC493D"/>
    <w:rsid w:val="00EC4A4D"/>
    <w:rsid w:val="00EC4C63"/>
    <w:rsid w:val="00EC5488"/>
    <w:rsid w:val="00EC54A4"/>
    <w:rsid w:val="00EC5E37"/>
    <w:rsid w:val="00EC5E87"/>
    <w:rsid w:val="00EC6092"/>
    <w:rsid w:val="00EC6166"/>
    <w:rsid w:val="00EC621A"/>
    <w:rsid w:val="00EC62D9"/>
    <w:rsid w:val="00EC65C6"/>
    <w:rsid w:val="00EC66A7"/>
    <w:rsid w:val="00EC6AA8"/>
    <w:rsid w:val="00EC6B1F"/>
    <w:rsid w:val="00EC70DA"/>
    <w:rsid w:val="00EC7276"/>
    <w:rsid w:val="00EC7667"/>
    <w:rsid w:val="00EC7852"/>
    <w:rsid w:val="00EC7F1A"/>
    <w:rsid w:val="00ED01B9"/>
    <w:rsid w:val="00ED0DC7"/>
    <w:rsid w:val="00ED108D"/>
    <w:rsid w:val="00ED1773"/>
    <w:rsid w:val="00ED1863"/>
    <w:rsid w:val="00ED1999"/>
    <w:rsid w:val="00ED211A"/>
    <w:rsid w:val="00ED2991"/>
    <w:rsid w:val="00ED2C3C"/>
    <w:rsid w:val="00ED2FD2"/>
    <w:rsid w:val="00ED2FD3"/>
    <w:rsid w:val="00ED3011"/>
    <w:rsid w:val="00ED31A7"/>
    <w:rsid w:val="00ED3A9F"/>
    <w:rsid w:val="00ED3FAA"/>
    <w:rsid w:val="00ED42E5"/>
    <w:rsid w:val="00ED4533"/>
    <w:rsid w:val="00ED4601"/>
    <w:rsid w:val="00ED4DB7"/>
    <w:rsid w:val="00ED4DE8"/>
    <w:rsid w:val="00ED4FD9"/>
    <w:rsid w:val="00ED5143"/>
    <w:rsid w:val="00ED5474"/>
    <w:rsid w:val="00ED5A76"/>
    <w:rsid w:val="00ED5B21"/>
    <w:rsid w:val="00ED5B8F"/>
    <w:rsid w:val="00ED6556"/>
    <w:rsid w:val="00ED6824"/>
    <w:rsid w:val="00ED6929"/>
    <w:rsid w:val="00ED6E5A"/>
    <w:rsid w:val="00ED7D74"/>
    <w:rsid w:val="00ED7DD0"/>
    <w:rsid w:val="00EE08F9"/>
    <w:rsid w:val="00EE0B7B"/>
    <w:rsid w:val="00EE0CF1"/>
    <w:rsid w:val="00EE120F"/>
    <w:rsid w:val="00EE1450"/>
    <w:rsid w:val="00EE1717"/>
    <w:rsid w:val="00EE1722"/>
    <w:rsid w:val="00EE1D08"/>
    <w:rsid w:val="00EE2109"/>
    <w:rsid w:val="00EE22CB"/>
    <w:rsid w:val="00EE319F"/>
    <w:rsid w:val="00EE3478"/>
    <w:rsid w:val="00EE35E5"/>
    <w:rsid w:val="00EE380B"/>
    <w:rsid w:val="00EE3820"/>
    <w:rsid w:val="00EE3A64"/>
    <w:rsid w:val="00EE3F7F"/>
    <w:rsid w:val="00EE3FF6"/>
    <w:rsid w:val="00EE4259"/>
    <w:rsid w:val="00EE4414"/>
    <w:rsid w:val="00EE5072"/>
    <w:rsid w:val="00EE566C"/>
    <w:rsid w:val="00EE5B18"/>
    <w:rsid w:val="00EE6465"/>
    <w:rsid w:val="00EE6B16"/>
    <w:rsid w:val="00EE7560"/>
    <w:rsid w:val="00EE756C"/>
    <w:rsid w:val="00EE7922"/>
    <w:rsid w:val="00EE7D1F"/>
    <w:rsid w:val="00EE7D86"/>
    <w:rsid w:val="00EF06A2"/>
    <w:rsid w:val="00EF0BF3"/>
    <w:rsid w:val="00EF124D"/>
    <w:rsid w:val="00EF135D"/>
    <w:rsid w:val="00EF1399"/>
    <w:rsid w:val="00EF1554"/>
    <w:rsid w:val="00EF19E6"/>
    <w:rsid w:val="00EF21CF"/>
    <w:rsid w:val="00EF3DCB"/>
    <w:rsid w:val="00EF3E78"/>
    <w:rsid w:val="00EF3EED"/>
    <w:rsid w:val="00EF41DD"/>
    <w:rsid w:val="00EF43FA"/>
    <w:rsid w:val="00EF4880"/>
    <w:rsid w:val="00EF5032"/>
    <w:rsid w:val="00EF5682"/>
    <w:rsid w:val="00EF5B51"/>
    <w:rsid w:val="00EF60B2"/>
    <w:rsid w:val="00EF6541"/>
    <w:rsid w:val="00EF6614"/>
    <w:rsid w:val="00EF67BC"/>
    <w:rsid w:val="00EF70B0"/>
    <w:rsid w:val="00EF73BA"/>
    <w:rsid w:val="00EF7530"/>
    <w:rsid w:val="00EF753B"/>
    <w:rsid w:val="00EF7E68"/>
    <w:rsid w:val="00F006D5"/>
    <w:rsid w:val="00F0097F"/>
    <w:rsid w:val="00F00AD7"/>
    <w:rsid w:val="00F013D7"/>
    <w:rsid w:val="00F023A1"/>
    <w:rsid w:val="00F023D3"/>
    <w:rsid w:val="00F02671"/>
    <w:rsid w:val="00F02D49"/>
    <w:rsid w:val="00F03436"/>
    <w:rsid w:val="00F034D2"/>
    <w:rsid w:val="00F03BC4"/>
    <w:rsid w:val="00F03DD6"/>
    <w:rsid w:val="00F04035"/>
    <w:rsid w:val="00F04CEE"/>
    <w:rsid w:val="00F04E82"/>
    <w:rsid w:val="00F051BF"/>
    <w:rsid w:val="00F054AF"/>
    <w:rsid w:val="00F0550A"/>
    <w:rsid w:val="00F055C0"/>
    <w:rsid w:val="00F0581D"/>
    <w:rsid w:val="00F058CB"/>
    <w:rsid w:val="00F05E30"/>
    <w:rsid w:val="00F06E8C"/>
    <w:rsid w:val="00F07221"/>
    <w:rsid w:val="00F073ED"/>
    <w:rsid w:val="00F07561"/>
    <w:rsid w:val="00F07983"/>
    <w:rsid w:val="00F07B3F"/>
    <w:rsid w:val="00F07FD9"/>
    <w:rsid w:val="00F100C6"/>
    <w:rsid w:val="00F102DE"/>
    <w:rsid w:val="00F10340"/>
    <w:rsid w:val="00F10591"/>
    <w:rsid w:val="00F1062E"/>
    <w:rsid w:val="00F106B9"/>
    <w:rsid w:val="00F106FA"/>
    <w:rsid w:val="00F110BA"/>
    <w:rsid w:val="00F11870"/>
    <w:rsid w:val="00F11BD4"/>
    <w:rsid w:val="00F11C41"/>
    <w:rsid w:val="00F121F7"/>
    <w:rsid w:val="00F1238D"/>
    <w:rsid w:val="00F12BDB"/>
    <w:rsid w:val="00F12BED"/>
    <w:rsid w:val="00F12C21"/>
    <w:rsid w:val="00F12C8E"/>
    <w:rsid w:val="00F137E1"/>
    <w:rsid w:val="00F14058"/>
    <w:rsid w:val="00F14DBA"/>
    <w:rsid w:val="00F15105"/>
    <w:rsid w:val="00F15738"/>
    <w:rsid w:val="00F15815"/>
    <w:rsid w:val="00F16112"/>
    <w:rsid w:val="00F1640A"/>
    <w:rsid w:val="00F16A99"/>
    <w:rsid w:val="00F16B13"/>
    <w:rsid w:val="00F16CCB"/>
    <w:rsid w:val="00F16F45"/>
    <w:rsid w:val="00F17486"/>
    <w:rsid w:val="00F17E5C"/>
    <w:rsid w:val="00F2045A"/>
    <w:rsid w:val="00F20838"/>
    <w:rsid w:val="00F211AD"/>
    <w:rsid w:val="00F21B31"/>
    <w:rsid w:val="00F21CDE"/>
    <w:rsid w:val="00F21F2D"/>
    <w:rsid w:val="00F222E1"/>
    <w:rsid w:val="00F224F2"/>
    <w:rsid w:val="00F22840"/>
    <w:rsid w:val="00F236A1"/>
    <w:rsid w:val="00F23E62"/>
    <w:rsid w:val="00F23FAE"/>
    <w:rsid w:val="00F24454"/>
    <w:rsid w:val="00F244B9"/>
    <w:rsid w:val="00F248C3"/>
    <w:rsid w:val="00F24C54"/>
    <w:rsid w:val="00F24F99"/>
    <w:rsid w:val="00F25038"/>
    <w:rsid w:val="00F25628"/>
    <w:rsid w:val="00F25745"/>
    <w:rsid w:val="00F2577C"/>
    <w:rsid w:val="00F2582A"/>
    <w:rsid w:val="00F25B3E"/>
    <w:rsid w:val="00F25D5C"/>
    <w:rsid w:val="00F261B6"/>
    <w:rsid w:val="00F267CF"/>
    <w:rsid w:val="00F26DB5"/>
    <w:rsid w:val="00F30414"/>
    <w:rsid w:val="00F306EE"/>
    <w:rsid w:val="00F308B0"/>
    <w:rsid w:val="00F30A10"/>
    <w:rsid w:val="00F315F9"/>
    <w:rsid w:val="00F31BA8"/>
    <w:rsid w:val="00F31E62"/>
    <w:rsid w:val="00F31F9F"/>
    <w:rsid w:val="00F326FC"/>
    <w:rsid w:val="00F33349"/>
    <w:rsid w:val="00F333A0"/>
    <w:rsid w:val="00F333F4"/>
    <w:rsid w:val="00F3347A"/>
    <w:rsid w:val="00F337DA"/>
    <w:rsid w:val="00F3397D"/>
    <w:rsid w:val="00F33D1C"/>
    <w:rsid w:val="00F33DF4"/>
    <w:rsid w:val="00F33EFD"/>
    <w:rsid w:val="00F33FFD"/>
    <w:rsid w:val="00F343FB"/>
    <w:rsid w:val="00F34499"/>
    <w:rsid w:val="00F346C2"/>
    <w:rsid w:val="00F349BE"/>
    <w:rsid w:val="00F35093"/>
    <w:rsid w:val="00F35735"/>
    <w:rsid w:val="00F35971"/>
    <w:rsid w:val="00F359A5"/>
    <w:rsid w:val="00F36424"/>
    <w:rsid w:val="00F3671E"/>
    <w:rsid w:val="00F36C1B"/>
    <w:rsid w:val="00F36C7B"/>
    <w:rsid w:val="00F36F48"/>
    <w:rsid w:val="00F37469"/>
    <w:rsid w:val="00F37676"/>
    <w:rsid w:val="00F37724"/>
    <w:rsid w:val="00F377C3"/>
    <w:rsid w:val="00F37CDA"/>
    <w:rsid w:val="00F40124"/>
    <w:rsid w:val="00F40611"/>
    <w:rsid w:val="00F409F5"/>
    <w:rsid w:val="00F4121B"/>
    <w:rsid w:val="00F412D9"/>
    <w:rsid w:val="00F413EC"/>
    <w:rsid w:val="00F414FB"/>
    <w:rsid w:val="00F417EC"/>
    <w:rsid w:val="00F41EC7"/>
    <w:rsid w:val="00F41EEE"/>
    <w:rsid w:val="00F42BA7"/>
    <w:rsid w:val="00F42C08"/>
    <w:rsid w:val="00F42CBD"/>
    <w:rsid w:val="00F43264"/>
    <w:rsid w:val="00F43282"/>
    <w:rsid w:val="00F43B60"/>
    <w:rsid w:val="00F441A2"/>
    <w:rsid w:val="00F44D3C"/>
    <w:rsid w:val="00F4508E"/>
    <w:rsid w:val="00F45209"/>
    <w:rsid w:val="00F459A6"/>
    <w:rsid w:val="00F45E24"/>
    <w:rsid w:val="00F47AB7"/>
    <w:rsid w:val="00F50254"/>
    <w:rsid w:val="00F50314"/>
    <w:rsid w:val="00F503FE"/>
    <w:rsid w:val="00F5059C"/>
    <w:rsid w:val="00F505D5"/>
    <w:rsid w:val="00F50EC5"/>
    <w:rsid w:val="00F513B5"/>
    <w:rsid w:val="00F513B7"/>
    <w:rsid w:val="00F516D7"/>
    <w:rsid w:val="00F52188"/>
    <w:rsid w:val="00F526CD"/>
    <w:rsid w:val="00F52BAB"/>
    <w:rsid w:val="00F53915"/>
    <w:rsid w:val="00F53D11"/>
    <w:rsid w:val="00F54BBC"/>
    <w:rsid w:val="00F54D5B"/>
    <w:rsid w:val="00F55186"/>
    <w:rsid w:val="00F5532C"/>
    <w:rsid w:val="00F55759"/>
    <w:rsid w:val="00F55DF5"/>
    <w:rsid w:val="00F56294"/>
    <w:rsid w:val="00F564B2"/>
    <w:rsid w:val="00F566EE"/>
    <w:rsid w:val="00F56AA9"/>
    <w:rsid w:val="00F56BBF"/>
    <w:rsid w:val="00F57011"/>
    <w:rsid w:val="00F570A7"/>
    <w:rsid w:val="00F573C1"/>
    <w:rsid w:val="00F57596"/>
    <w:rsid w:val="00F5775C"/>
    <w:rsid w:val="00F57AB7"/>
    <w:rsid w:val="00F57D51"/>
    <w:rsid w:val="00F57E96"/>
    <w:rsid w:val="00F6072A"/>
    <w:rsid w:val="00F60D93"/>
    <w:rsid w:val="00F6187D"/>
    <w:rsid w:val="00F61BD4"/>
    <w:rsid w:val="00F61E6B"/>
    <w:rsid w:val="00F61EF5"/>
    <w:rsid w:val="00F6264A"/>
    <w:rsid w:val="00F6281C"/>
    <w:rsid w:val="00F62CF9"/>
    <w:rsid w:val="00F62F14"/>
    <w:rsid w:val="00F64332"/>
    <w:rsid w:val="00F6459B"/>
    <w:rsid w:val="00F64B31"/>
    <w:rsid w:val="00F650F1"/>
    <w:rsid w:val="00F65408"/>
    <w:rsid w:val="00F65654"/>
    <w:rsid w:val="00F65694"/>
    <w:rsid w:val="00F65707"/>
    <w:rsid w:val="00F6598D"/>
    <w:rsid w:val="00F65D82"/>
    <w:rsid w:val="00F65E10"/>
    <w:rsid w:val="00F660BD"/>
    <w:rsid w:val="00F66B87"/>
    <w:rsid w:val="00F66D33"/>
    <w:rsid w:val="00F67284"/>
    <w:rsid w:val="00F676AC"/>
    <w:rsid w:val="00F7008B"/>
    <w:rsid w:val="00F70B54"/>
    <w:rsid w:val="00F715B7"/>
    <w:rsid w:val="00F71678"/>
    <w:rsid w:val="00F7184F"/>
    <w:rsid w:val="00F72786"/>
    <w:rsid w:val="00F72788"/>
    <w:rsid w:val="00F73126"/>
    <w:rsid w:val="00F740BE"/>
    <w:rsid w:val="00F74779"/>
    <w:rsid w:val="00F74788"/>
    <w:rsid w:val="00F747D4"/>
    <w:rsid w:val="00F75839"/>
    <w:rsid w:val="00F75BDE"/>
    <w:rsid w:val="00F75FA4"/>
    <w:rsid w:val="00F76412"/>
    <w:rsid w:val="00F7679F"/>
    <w:rsid w:val="00F76F5C"/>
    <w:rsid w:val="00F80749"/>
    <w:rsid w:val="00F8077B"/>
    <w:rsid w:val="00F80C5D"/>
    <w:rsid w:val="00F81B54"/>
    <w:rsid w:val="00F81E09"/>
    <w:rsid w:val="00F8224C"/>
    <w:rsid w:val="00F826EB"/>
    <w:rsid w:val="00F8286C"/>
    <w:rsid w:val="00F83E78"/>
    <w:rsid w:val="00F843BD"/>
    <w:rsid w:val="00F844C7"/>
    <w:rsid w:val="00F84778"/>
    <w:rsid w:val="00F84988"/>
    <w:rsid w:val="00F84AED"/>
    <w:rsid w:val="00F84BF2"/>
    <w:rsid w:val="00F84FDB"/>
    <w:rsid w:val="00F85253"/>
    <w:rsid w:val="00F85422"/>
    <w:rsid w:val="00F854FA"/>
    <w:rsid w:val="00F85A5C"/>
    <w:rsid w:val="00F8710A"/>
    <w:rsid w:val="00F871BA"/>
    <w:rsid w:val="00F87781"/>
    <w:rsid w:val="00F905D4"/>
    <w:rsid w:val="00F907FC"/>
    <w:rsid w:val="00F91245"/>
    <w:rsid w:val="00F91469"/>
    <w:rsid w:val="00F915AD"/>
    <w:rsid w:val="00F91DCA"/>
    <w:rsid w:val="00F91EDE"/>
    <w:rsid w:val="00F920F6"/>
    <w:rsid w:val="00F929DF"/>
    <w:rsid w:val="00F92C3E"/>
    <w:rsid w:val="00F9360B"/>
    <w:rsid w:val="00F937CF"/>
    <w:rsid w:val="00F93B5D"/>
    <w:rsid w:val="00F93F17"/>
    <w:rsid w:val="00F942D1"/>
    <w:rsid w:val="00F94534"/>
    <w:rsid w:val="00F94676"/>
    <w:rsid w:val="00F95B6D"/>
    <w:rsid w:val="00F95D62"/>
    <w:rsid w:val="00F964DD"/>
    <w:rsid w:val="00F96587"/>
    <w:rsid w:val="00F9678A"/>
    <w:rsid w:val="00F9782B"/>
    <w:rsid w:val="00F9785B"/>
    <w:rsid w:val="00FA07E2"/>
    <w:rsid w:val="00FA0856"/>
    <w:rsid w:val="00FA0CF0"/>
    <w:rsid w:val="00FA143A"/>
    <w:rsid w:val="00FA145F"/>
    <w:rsid w:val="00FA1C26"/>
    <w:rsid w:val="00FA2F00"/>
    <w:rsid w:val="00FA2FFA"/>
    <w:rsid w:val="00FA3583"/>
    <w:rsid w:val="00FA35A9"/>
    <w:rsid w:val="00FA37A5"/>
    <w:rsid w:val="00FA3DD3"/>
    <w:rsid w:val="00FA3E86"/>
    <w:rsid w:val="00FA52AF"/>
    <w:rsid w:val="00FA5348"/>
    <w:rsid w:val="00FA5606"/>
    <w:rsid w:val="00FA57D8"/>
    <w:rsid w:val="00FA600E"/>
    <w:rsid w:val="00FA6119"/>
    <w:rsid w:val="00FA6E42"/>
    <w:rsid w:val="00FA7917"/>
    <w:rsid w:val="00FA7D95"/>
    <w:rsid w:val="00FA7ECA"/>
    <w:rsid w:val="00FB00AD"/>
    <w:rsid w:val="00FB06B3"/>
    <w:rsid w:val="00FB0A2D"/>
    <w:rsid w:val="00FB0A9C"/>
    <w:rsid w:val="00FB0B41"/>
    <w:rsid w:val="00FB0F3F"/>
    <w:rsid w:val="00FB258A"/>
    <w:rsid w:val="00FB29BE"/>
    <w:rsid w:val="00FB312A"/>
    <w:rsid w:val="00FB3B89"/>
    <w:rsid w:val="00FB3C4B"/>
    <w:rsid w:val="00FB3D99"/>
    <w:rsid w:val="00FB3F61"/>
    <w:rsid w:val="00FB42FF"/>
    <w:rsid w:val="00FB49E2"/>
    <w:rsid w:val="00FB4C8A"/>
    <w:rsid w:val="00FB5129"/>
    <w:rsid w:val="00FB5238"/>
    <w:rsid w:val="00FB5326"/>
    <w:rsid w:val="00FB5660"/>
    <w:rsid w:val="00FB56E2"/>
    <w:rsid w:val="00FB5955"/>
    <w:rsid w:val="00FB59D0"/>
    <w:rsid w:val="00FB5F54"/>
    <w:rsid w:val="00FB67E3"/>
    <w:rsid w:val="00FB6DC3"/>
    <w:rsid w:val="00FB7587"/>
    <w:rsid w:val="00FC132C"/>
    <w:rsid w:val="00FC152D"/>
    <w:rsid w:val="00FC17AD"/>
    <w:rsid w:val="00FC18C4"/>
    <w:rsid w:val="00FC2956"/>
    <w:rsid w:val="00FC2FD0"/>
    <w:rsid w:val="00FC40C2"/>
    <w:rsid w:val="00FC4415"/>
    <w:rsid w:val="00FC46FB"/>
    <w:rsid w:val="00FC4AD2"/>
    <w:rsid w:val="00FC5135"/>
    <w:rsid w:val="00FC57EA"/>
    <w:rsid w:val="00FC58F1"/>
    <w:rsid w:val="00FC592A"/>
    <w:rsid w:val="00FC5F7F"/>
    <w:rsid w:val="00FC62EA"/>
    <w:rsid w:val="00FC63E6"/>
    <w:rsid w:val="00FC64F7"/>
    <w:rsid w:val="00FC6850"/>
    <w:rsid w:val="00FC6930"/>
    <w:rsid w:val="00FC6B3B"/>
    <w:rsid w:val="00FC718E"/>
    <w:rsid w:val="00FC727F"/>
    <w:rsid w:val="00FC73AF"/>
    <w:rsid w:val="00FC7A8A"/>
    <w:rsid w:val="00FC7C8D"/>
    <w:rsid w:val="00FC7F21"/>
    <w:rsid w:val="00FD01BE"/>
    <w:rsid w:val="00FD05DB"/>
    <w:rsid w:val="00FD097E"/>
    <w:rsid w:val="00FD0A0E"/>
    <w:rsid w:val="00FD17DC"/>
    <w:rsid w:val="00FD194B"/>
    <w:rsid w:val="00FD1A98"/>
    <w:rsid w:val="00FD1ACB"/>
    <w:rsid w:val="00FD1C21"/>
    <w:rsid w:val="00FD1E40"/>
    <w:rsid w:val="00FD277D"/>
    <w:rsid w:val="00FD3258"/>
    <w:rsid w:val="00FD34DD"/>
    <w:rsid w:val="00FD3DD4"/>
    <w:rsid w:val="00FD480E"/>
    <w:rsid w:val="00FD4EC1"/>
    <w:rsid w:val="00FD53E8"/>
    <w:rsid w:val="00FD55A9"/>
    <w:rsid w:val="00FD58BB"/>
    <w:rsid w:val="00FD5F31"/>
    <w:rsid w:val="00FD60D1"/>
    <w:rsid w:val="00FD6522"/>
    <w:rsid w:val="00FD6725"/>
    <w:rsid w:val="00FD6B9B"/>
    <w:rsid w:val="00FD6EEC"/>
    <w:rsid w:val="00FD6F8A"/>
    <w:rsid w:val="00FD6FA5"/>
    <w:rsid w:val="00FD7106"/>
    <w:rsid w:val="00FD714F"/>
    <w:rsid w:val="00FD7478"/>
    <w:rsid w:val="00FD759A"/>
    <w:rsid w:val="00FD7B24"/>
    <w:rsid w:val="00FD7E37"/>
    <w:rsid w:val="00FE0435"/>
    <w:rsid w:val="00FE0D1C"/>
    <w:rsid w:val="00FE1231"/>
    <w:rsid w:val="00FE182D"/>
    <w:rsid w:val="00FE1C99"/>
    <w:rsid w:val="00FE1F94"/>
    <w:rsid w:val="00FE232B"/>
    <w:rsid w:val="00FE29FA"/>
    <w:rsid w:val="00FE2AA3"/>
    <w:rsid w:val="00FE2DD4"/>
    <w:rsid w:val="00FE320C"/>
    <w:rsid w:val="00FE3226"/>
    <w:rsid w:val="00FE32C6"/>
    <w:rsid w:val="00FE352A"/>
    <w:rsid w:val="00FE3973"/>
    <w:rsid w:val="00FE41CD"/>
    <w:rsid w:val="00FE4890"/>
    <w:rsid w:val="00FE48EE"/>
    <w:rsid w:val="00FE4E61"/>
    <w:rsid w:val="00FE5021"/>
    <w:rsid w:val="00FE5405"/>
    <w:rsid w:val="00FE5977"/>
    <w:rsid w:val="00FE5C41"/>
    <w:rsid w:val="00FE5D33"/>
    <w:rsid w:val="00FE6091"/>
    <w:rsid w:val="00FE67D5"/>
    <w:rsid w:val="00FE6DDE"/>
    <w:rsid w:val="00FE7679"/>
    <w:rsid w:val="00FE7A11"/>
    <w:rsid w:val="00FF07D9"/>
    <w:rsid w:val="00FF09F2"/>
    <w:rsid w:val="00FF09FC"/>
    <w:rsid w:val="00FF11B9"/>
    <w:rsid w:val="00FF1293"/>
    <w:rsid w:val="00FF1468"/>
    <w:rsid w:val="00FF19E6"/>
    <w:rsid w:val="00FF1A2B"/>
    <w:rsid w:val="00FF1EFB"/>
    <w:rsid w:val="00FF2448"/>
    <w:rsid w:val="00FF321B"/>
    <w:rsid w:val="00FF3304"/>
    <w:rsid w:val="00FF37E3"/>
    <w:rsid w:val="00FF389D"/>
    <w:rsid w:val="00FF4974"/>
    <w:rsid w:val="00FF4BBE"/>
    <w:rsid w:val="00FF5205"/>
    <w:rsid w:val="00FF5338"/>
    <w:rsid w:val="00FF537C"/>
    <w:rsid w:val="00FF54BF"/>
    <w:rsid w:val="00FF5711"/>
    <w:rsid w:val="00FF5889"/>
    <w:rsid w:val="00FF5C3B"/>
    <w:rsid w:val="00FF5C70"/>
    <w:rsid w:val="00FF70C4"/>
    <w:rsid w:val="00FF71D2"/>
    <w:rsid w:val="00FF7418"/>
    <w:rsid w:val="00FF7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line number"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5711"/>
  </w:style>
  <w:style w:type="paragraph" w:styleId="Heading1">
    <w:name w:val="heading 1"/>
    <w:basedOn w:val="Normal"/>
    <w:next w:val="Normal"/>
    <w:autoRedefine/>
    <w:qFormat/>
    <w:rsid w:val="00536C13"/>
    <w:pPr>
      <w:keepNext/>
      <w:numPr>
        <w:numId w:val="46"/>
      </w:numPr>
      <w:spacing w:before="360" w:after="240"/>
      <w:ind w:right="720" w:hanging="720"/>
      <w:outlineLvl w:val="0"/>
    </w:pPr>
    <w:rPr>
      <w:b/>
      <w:bCs/>
      <w:caps/>
      <w:kern w:val="32"/>
      <w:sz w:val="28"/>
      <w:szCs w:val="24"/>
    </w:rPr>
  </w:style>
  <w:style w:type="paragraph" w:styleId="Heading2">
    <w:name w:val="heading 2"/>
    <w:basedOn w:val="Normal"/>
    <w:next w:val="Normal"/>
    <w:link w:val="Heading2Char"/>
    <w:autoRedefine/>
    <w:unhideWhenUsed/>
    <w:qFormat/>
    <w:rsid w:val="00AA29B6"/>
    <w:pPr>
      <w:keepNext/>
      <w:spacing w:before="360" w:after="240"/>
      <w:ind w:left="1440" w:hanging="720"/>
      <w:outlineLvl w:val="1"/>
    </w:pPr>
    <w:rPr>
      <w:b/>
      <w:bCs/>
      <w:iCs/>
      <w:sz w:val="28"/>
      <w:szCs w:val="28"/>
    </w:rPr>
  </w:style>
  <w:style w:type="paragraph" w:styleId="Heading3">
    <w:name w:val="heading 3"/>
    <w:basedOn w:val="Normal"/>
    <w:next w:val="Normal"/>
    <w:link w:val="Heading3Char"/>
    <w:autoRedefine/>
    <w:unhideWhenUsed/>
    <w:qFormat/>
    <w:rsid w:val="00AA29B6"/>
    <w:pPr>
      <w:keepNext/>
      <w:spacing w:before="360" w:after="240"/>
      <w:ind w:left="2160" w:right="1440" w:hanging="720"/>
      <w:outlineLvl w:val="2"/>
    </w:pPr>
    <w:rPr>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63D6A"/>
    <w:pPr>
      <w:jc w:val="center"/>
    </w:pPr>
    <w:rPr>
      <w:rFonts w:ascii="Palatino Linotype" w:hAnsi="Palatino Linotype"/>
      <w:sz w:val="28"/>
    </w:rPr>
  </w:style>
  <w:style w:type="paragraph" w:styleId="Footer">
    <w:name w:val="footer"/>
    <w:basedOn w:val="Normal"/>
    <w:link w:val="FooterChar"/>
    <w:uiPriority w:val="99"/>
    <w:rsid w:val="00663D6A"/>
    <w:pPr>
      <w:tabs>
        <w:tab w:val="center" w:pos="4320"/>
        <w:tab w:val="right" w:pos="8640"/>
      </w:tabs>
    </w:pPr>
  </w:style>
  <w:style w:type="character" w:styleId="PageNumber">
    <w:name w:val="page number"/>
    <w:rsid w:val="00663D6A"/>
    <w:rPr>
      <w:rFonts w:cs="Times New Roman"/>
    </w:rPr>
  </w:style>
  <w:style w:type="paragraph" w:styleId="Header">
    <w:name w:val="header"/>
    <w:basedOn w:val="Normal"/>
    <w:link w:val="HeaderChar"/>
    <w:uiPriority w:val="99"/>
    <w:rsid w:val="00663D6A"/>
    <w:pPr>
      <w:tabs>
        <w:tab w:val="center" w:pos="4320"/>
        <w:tab w:val="right" w:pos="8640"/>
      </w:tabs>
    </w:pPr>
  </w:style>
  <w:style w:type="paragraph" w:styleId="PlainText">
    <w:name w:val="Plain Text"/>
    <w:basedOn w:val="Normal"/>
    <w:rsid w:val="00663D6A"/>
    <w:rPr>
      <w:rFonts w:ascii="Courier New" w:hAnsi="Courier New"/>
    </w:rPr>
  </w:style>
  <w:style w:type="table" w:styleId="TableGrid">
    <w:name w:val="Table Grid"/>
    <w:basedOn w:val="TableNormal"/>
    <w:uiPriority w:val="59"/>
    <w:rsid w:val="00663D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style">
    <w:name w:val="Text style"/>
    <w:basedOn w:val="Title"/>
    <w:autoRedefine/>
    <w:rsid w:val="0064436A"/>
    <w:pPr>
      <w:spacing w:line="480" w:lineRule="auto"/>
      <w:ind w:firstLine="720"/>
      <w:jc w:val="left"/>
    </w:pPr>
    <w:rPr>
      <w:rFonts w:ascii="Times New Roman" w:hAnsi="Times New Roman"/>
      <w:sz w:val="26"/>
      <w:szCs w:val="24"/>
    </w:rPr>
  </w:style>
  <w:style w:type="paragraph" w:styleId="FootnoteText">
    <w:name w:val="footnote text"/>
    <w:basedOn w:val="Normal"/>
    <w:link w:val="FootnoteTextChar"/>
    <w:autoRedefine/>
    <w:uiPriority w:val="99"/>
    <w:rsid w:val="0092757B"/>
  </w:style>
  <w:style w:type="character" w:customStyle="1" w:styleId="FootnoteTextChar">
    <w:name w:val="Footnote Text Char"/>
    <w:link w:val="FootnoteText"/>
    <w:uiPriority w:val="99"/>
    <w:locked/>
    <w:rsid w:val="0092757B"/>
  </w:style>
  <w:style w:type="character" w:styleId="FootnoteReference">
    <w:name w:val="footnote reference"/>
    <w:uiPriority w:val="99"/>
    <w:rsid w:val="00663D6A"/>
    <w:rPr>
      <w:rFonts w:cs="Times New Roman"/>
      <w:vertAlign w:val="superscript"/>
    </w:rPr>
  </w:style>
  <w:style w:type="paragraph" w:customStyle="1" w:styleId="lettertext">
    <w:name w:val="letter text"/>
    <w:basedOn w:val="Textstyle"/>
    <w:autoRedefine/>
    <w:rsid w:val="003B12DD"/>
  </w:style>
  <w:style w:type="character" w:styleId="Hyperlink">
    <w:name w:val="Hyperlink"/>
    <w:uiPriority w:val="99"/>
    <w:rsid w:val="00200A0A"/>
    <w:rPr>
      <w:color w:val="0000FF"/>
      <w:u w:val="single"/>
    </w:rPr>
  </w:style>
  <w:style w:type="paragraph" w:customStyle="1" w:styleId="textstyle0">
    <w:name w:val="text style"/>
    <w:basedOn w:val="Normal"/>
    <w:link w:val="textstyleChar"/>
    <w:autoRedefine/>
    <w:rsid w:val="006A3730"/>
    <w:pPr>
      <w:spacing w:line="480" w:lineRule="auto"/>
    </w:pPr>
    <w:rPr>
      <w:sz w:val="26"/>
      <w:szCs w:val="24"/>
    </w:rPr>
  </w:style>
  <w:style w:type="character" w:customStyle="1" w:styleId="textstyleChar">
    <w:name w:val="text style Char"/>
    <w:link w:val="textstyle0"/>
    <w:rsid w:val="006A3730"/>
    <w:rPr>
      <w:sz w:val="26"/>
      <w:szCs w:val="24"/>
    </w:rPr>
  </w:style>
  <w:style w:type="paragraph" w:styleId="BalloonText">
    <w:name w:val="Balloon Text"/>
    <w:basedOn w:val="Normal"/>
    <w:link w:val="BalloonTextChar"/>
    <w:uiPriority w:val="99"/>
    <w:rsid w:val="00DA5C19"/>
    <w:rPr>
      <w:rFonts w:ascii="Tahoma" w:hAnsi="Tahoma" w:cs="Tahoma"/>
      <w:sz w:val="16"/>
      <w:szCs w:val="16"/>
    </w:rPr>
  </w:style>
  <w:style w:type="character" w:customStyle="1" w:styleId="BalloonTextChar">
    <w:name w:val="Balloon Text Char"/>
    <w:link w:val="BalloonText"/>
    <w:uiPriority w:val="99"/>
    <w:rsid w:val="00DA5C19"/>
    <w:rPr>
      <w:rFonts w:ascii="Tahoma" w:hAnsi="Tahoma" w:cs="Tahoma"/>
      <w:sz w:val="16"/>
      <w:szCs w:val="16"/>
    </w:rPr>
  </w:style>
  <w:style w:type="paragraph" w:styleId="TOC1">
    <w:name w:val="toc 1"/>
    <w:basedOn w:val="Normal"/>
    <w:next w:val="Normal"/>
    <w:autoRedefine/>
    <w:uiPriority w:val="39"/>
    <w:rsid w:val="009511D6"/>
    <w:pPr>
      <w:tabs>
        <w:tab w:val="right" w:leader="dot" w:pos="9350"/>
      </w:tabs>
      <w:spacing w:before="240" w:after="240"/>
      <w:ind w:left="720" w:right="1440" w:hanging="720"/>
    </w:pPr>
    <w:rPr>
      <w:sz w:val="26"/>
    </w:rPr>
  </w:style>
  <w:style w:type="paragraph" w:styleId="DocumentMap">
    <w:name w:val="Document Map"/>
    <w:basedOn w:val="Normal"/>
    <w:link w:val="DocumentMapChar"/>
    <w:rsid w:val="00C95499"/>
    <w:rPr>
      <w:rFonts w:ascii="Tahoma" w:hAnsi="Tahoma" w:cs="Tahoma"/>
      <w:sz w:val="16"/>
      <w:szCs w:val="16"/>
    </w:rPr>
  </w:style>
  <w:style w:type="character" w:customStyle="1" w:styleId="DocumentMapChar">
    <w:name w:val="Document Map Char"/>
    <w:link w:val="DocumentMap"/>
    <w:rsid w:val="00C95499"/>
    <w:rPr>
      <w:rFonts w:ascii="Tahoma" w:hAnsi="Tahoma" w:cs="Tahoma"/>
      <w:sz w:val="16"/>
      <w:szCs w:val="16"/>
    </w:rPr>
  </w:style>
  <w:style w:type="character" w:customStyle="1" w:styleId="FooterChar">
    <w:name w:val="Footer Char"/>
    <w:basedOn w:val="DefaultParagraphFont"/>
    <w:link w:val="Footer"/>
    <w:uiPriority w:val="99"/>
    <w:rsid w:val="00C95499"/>
  </w:style>
  <w:style w:type="character" w:customStyle="1" w:styleId="Heading2Char">
    <w:name w:val="Heading 2 Char"/>
    <w:link w:val="Heading2"/>
    <w:rsid w:val="00AA29B6"/>
    <w:rPr>
      <w:b/>
      <w:bCs/>
      <w:iCs/>
      <w:sz w:val="28"/>
      <w:szCs w:val="28"/>
    </w:rPr>
  </w:style>
  <w:style w:type="paragraph" w:customStyle="1" w:styleId="Blockquote">
    <w:name w:val="Block quote"/>
    <w:basedOn w:val="textstyle0"/>
    <w:autoRedefine/>
    <w:rsid w:val="006A3730"/>
    <w:pPr>
      <w:spacing w:after="240" w:line="240" w:lineRule="auto"/>
      <w:ind w:left="1440" w:right="1440"/>
    </w:pPr>
  </w:style>
  <w:style w:type="paragraph" w:styleId="NormalWeb">
    <w:name w:val="Normal (Web)"/>
    <w:basedOn w:val="Normal"/>
    <w:uiPriority w:val="99"/>
    <w:unhideWhenUsed/>
    <w:rsid w:val="00587D9C"/>
    <w:pPr>
      <w:spacing w:before="100" w:beforeAutospacing="1" w:after="100" w:afterAutospacing="1"/>
    </w:pPr>
    <w:rPr>
      <w:sz w:val="24"/>
      <w:szCs w:val="24"/>
    </w:rPr>
  </w:style>
  <w:style w:type="paragraph" w:styleId="TOC2">
    <w:name w:val="toc 2"/>
    <w:basedOn w:val="Normal"/>
    <w:next w:val="Normal"/>
    <w:autoRedefine/>
    <w:uiPriority w:val="39"/>
    <w:rsid w:val="00765439"/>
    <w:pPr>
      <w:tabs>
        <w:tab w:val="left" w:pos="660"/>
        <w:tab w:val="right" w:leader="dot" w:pos="9350"/>
      </w:tabs>
      <w:spacing w:before="240" w:after="240"/>
      <w:ind w:left="1440" w:right="1440" w:hanging="720"/>
    </w:pPr>
    <w:rPr>
      <w:sz w:val="26"/>
    </w:rPr>
  </w:style>
  <w:style w:type="paragraph" w:styleId="ListParagraph">
    <w:name w:val="List Paragraph"/>
    <w:basedOn w:val="Normal"/>
    <w:uiPriority w:val="34"/>
    <w:qFormat/>
    <w:rsid w:val="00FF5711"/>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FF5711"/>
    <w:rPr>
      <w:rFonts w:ascii="Calibri" w:eastAsia="Calibri" w:hAnsi="Calibri"/>
      <w:sz w:val="22"/>
      <w:szCs w:val="22"/>
    </w:rPr>
  </w:style>
  <w:style w:type="character" w:customStyle="1" w:styleId="TitleChar">
    <w:name w:val="Title Char"/>
    <w:link w:val="Title"/>
    <w:rsid w:val="00FF5711"/>
    <w:rPr>
      <w:rFonts w:ascii="Palatino Linotype" w:hAnsi="Palatino Linotype"/>
      <w:sz w:val="28"/>
    </w:rPr>
  </w:style>
  <w:style w:type="character" w:styleId="LineNumber">
    <w:name w:val="line number"/>
    <w:uiPriority w:val="99"/>
    <w:unhideWhenUsed/>
    <w:rsid w:val="00FF5711"/>
  </w:style>
  <w:style w:type="character" w:customStyle="1" w:styleId="HeaderChar">
    <w:name w:val="Header Char"/>
    <w:link w:val="Header"/>
    <w:uiPriority w:val="99"/>
    <w:rsid w:val="00FF5711"/>
  </w:style>
  <w:style w:type="character" w:customStyle="1" w:styleId="findingsChar">
    <w:name w:val="findings Char"/>
    <w:link w:val="findings"/>
    <w:locked/>
    <w:rsid w:val="00FF5711"/>
    <w:rPr>
      <w:rFonts w:ascii="Palatino" w:hAnsi="Palatino"/>
      <w:sz w:val="24"/>
    </w:rPr>
  </w:style>
  <w:style w:type="paragraph" w:customStyle="1" w:styleId="findings">
    <w:name w:val="findings"/>
    <w:basedOn w:val="Normal"/>
    <w:link w:val="findingsChar"/>
    <w:rsid w:val="00FF5711"/>
    <w:pPr>
      <w:ind w:left="1080" w:right="1362" w:hanging="540"/>
      <w:jc w:val="both"/>
    </w:pPr>
    <w:rPr>
      <w:rFonts w:ascii="Palatino" w:hAnsi="Palatino"/>
      <w:sz w:val="24"/>
    </w:rPr>
  </w:style>
  <w:style w:type="character" w:customStyle="1" w:styleId="Heading3Char">
    <w:name w:val="Heading 3 Char"/>
    <w:link w:val="Heading3"/>
    <w:rsid w:val="00AA29B6"/>
    <w:rPr>
      <w:b/>
      <w:bCs/>
      <w:sz w:val="28"/>
      <w:szCs w:val="26"/>
    </w:rPr>
  </w:style>
  <w:style w:type="paragraph" w:styleId="TOC3">
    <w:name w:val="toc 3"/>
    <w:basedOn w:val="Normal"/>
    <w:next w:val="Normal"/>
    <w:autoRedefine/>
    <w:uiPriority w:val="39"/>
    <w:rsid w:val="00AA29B6"/>
    <w:pPr>
      <w:tabs>
        <w:tab w:val="right" w:leader="dot" w:pos="9350"/>
      </w:tabs>
      <w:spacing w:before="240" w:after="240"/>
      <w:ind w:left="2160" w:right="1440" w:hanging="720"/>
    </w:pPr>
    <w:rPr>
      <w:sz w:val="26"/>
    </w:rPr>
  </w:style>
  <w:style w:type="character" w:styleId="CommentReference">
    <w:name w:val="annotation reference"/>
    <w:rsid w:val="00731BF8"/>
    <w:rPr>
      <w:sz w:val="16"/>
      <w:szCs w:val="16"/>
    </w:rPr>
  </w:style>
  <w:style w:type="paragraph" w:styleId="CommentText">
    <w:name w:val="annotation text"/>
    <w:basedOn w:val="Normal"/>
    <w:link w:val="CommentTextChar"/>
    <w:rsid w:val="00731BF8"/>
  </w:style>
  <w:style w:type="character" w:customStyle="1" w:styleId="CommentTextChar">
    <w:name w:val="Comment Text Char"/>
    <w:basedOn w:val="DefaultParagraphFont"/>
    <w:link w:val="CommentText"/>
    <w:rsid w:val="00731BF8"/>
  </w:style>
  <w:style w:type="paragraph" w:styleId="CommentSubject">
    <w:name w:val="annotation subject"/>
    <w:basedOn w:val="CommentText"/>
    <w:next w:val="CommentText"/>
    <w:link w:val="CommentSubjectChar"/>
    <w:rsid w:val="00731BF8"/>
    <w:rPr>
      <w:b/>
      <w:bCs/>
    </w:rPr>
  </w:style>
  <w:style w:type="character" w:customStyle="1" w:styleId="CommentSubjectChar">
    <w:name w:val="Comment Subject Char"/>
    <w:link w:val="CommentSubject"/>
    <w:rsid w:val="00731BF8"/>
    <w:rPr>
      <w:b/>
      <w:bCs/>
    </w:rPr>
  </w:style>
  <w:style w:type="paragraph" w:styleId="Revision">
    <w:name w:val="Revision"/>
    <w:hidden/>
    <w:uiPriority w:val="99"/>
    <w:semiHidden/>
    <w:rsid w:val="00610A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694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727796833">
          <w:marLeft w:val="0"/>
          <w:marRight w:val="0"/>
          <w:marTop w:val="0"/>
          <w:marBottom w:val="0"/>
          <w:divBdr>
            <w:top w:val="none" w:sz="0" w:space="0" w:color="auto"/>
            <w:left w:val="none" w:sz="0" w:space="0" w:color="auto"/>
            <w:bottom w:val="none" w:sz="0" w:space="0" w:color="auto"/>
            <w:right w:val="none" w:sz="0" w:space="0" w:color="auto"/>
          </w:divBdr>
          <w:divsChild>
            <w:div w:id="406147621">
              <w:marLeft w:val="0"/>
              <w:marRight w:val="0"/>
              <w:marTop w:val="0"/>
              <w:marBottom w:val="0"/>
              <w:divBdr>
                <w:top w:val="none" w:sz="0" w:space="0" w:color="auto"/>
                <w:left w:val="none" w:sz="0" w:space="0" w:color="auto"/>
                <w:bottom w:val="none" w:sz="0" w:space="0" w:color="auto"/>
                <w:right w:val="none" w:sz="0" w:space="0" w:color="auto"/>
              </w:divBdr>
              <w:divsChild>
                <w:div w:id="1368675628">
                  <w:marLeft w:val="0"/>
                  <w:marRight w:val="0"/>
                  <w:marTop w:val="0"/>
                  <w:marBottom w:val="0"/>
                  <w:divBdr>
                    <w:top w:val="none" w:sz="0" w:space="0" w:color="auto"/>
                    <w:left w:val="none" w:sz="0" w:space="0" w:color="auto"/>
                    <w:bottom w:val="none" w:sz="0" w:space="0" w:color="auto"/>
                    <w:right w:val="none" w:sz="0" w:space="0" w:color="auto"/>
                  </w:divBdr>
                  <w:divsChild>
                    <w:div w:id="15294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81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mailto:kern@occ.state.oh.us" TargetMode="External"/><Relationship Id="rId26" Type="http://schemas.openxmlformats.org/officeDocument/2006/relationships/footer" Target="footer6.xml"/><Relationship Id="rId39" Type="http://schemas.openxmlformats.org/officeDocument/2006/relationships/header" Target="header15.xml"/><Relationship Id="rId21" Type="http://schemas.openxmlformats.org/officeDocument/2006/relationships/header" Target="header4.xml"/><Relationship Id="rId34" Type="http://schemas.openxmlformats.org/officeDocument/2006/relationships/header" Target="header12.xml"/><Relationship Id="rId42" Type="http://schemas.openxmlformats.org/officeDocument/2006/relationships/footer" Target="footer12.xml"/><Relationship Id="rId47" Type="http://schemas.openxmlformats.org/officeDocument/2006/relationships/header" Target="header20.xml"/><Relationship Id="rId50" Type="http://schemas.openxmlformats.org/officeDocument/2006/relationships/footer" Target="footer15.xm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burkj@firstenergycorp.com" TargetMode="External"/><Relationship Id="rId25" Type="http://schemas.openxmlformats.org/officeDocument/2006/relationships/header" Target="header6.xml"/><Relationship Id="rId33" Type="http://schemas.openxmlformats.org/officeDocument/2006/relationships/footer" Target="footer8.xml"/><Relationship Id="rId38" Type="http://schemas.openxmlformats.org/officeDocument/2006/relationships/footer" Target="footer10.xml"/><Relationship Id="rId46"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yperlink" Target="mailto:thomas.mcnamee@puc.state.oh.us" TargetMode="External"/><Relationship Id="rId20" Type="http://schemas.openxmlformats.org/officeDocument/2006/relationships/hyperlink" Target="mailto:lmcbride@calfee.com" TargetMode="External"/><Relationship Id="rId29" Type="http://schemas.openxmlformats.org/officeDocument/2006/relationships/header" Target="header8.xml"/><Relationship Id="rId41" Type="http://schemas.openxmlformats.org/officeDocument/2006/relationships/header" Target="header16.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5.xml"/><Relationship Id="rId32" Type="http://schemas.openxmlformats.org/officeDocument/2006/relationships/header" Target="header11.xml"/><Relationship Id="rId37" Type="http://schemas.openxmlformats.org/officeDocument/2006/relationships/header" Target="header14.xml"/><Relationship Id="rId40" Type="http://schemas.openxmlformats.org/officeDocument/2006/relationships/footer" Target="footer11.xml"/><Relationship Id="rId45" Type="http://schemas.openxmlformats.org/officeDocument/2006/relationships/footer" Target="footer13.xml"/><Relationship Id="rId53" Type="http://schemas.openxmlformats.org/officeDocument/2006/relationships/header" Target="header23.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5.xml"/><Relationship Id="rId28" Type="http://schemas.openxmlformats.org/officeDocument/2006/relationships/footer" Target="footer7.xml"/><Relationship Id="rId36" Type="http://schemas.openxmlformats.org/officeDocument/2006/relationships/footer" Target="footer9.xml"/><Relationship Id="rId49" Type="http://schemas.openxmlformats.org/officeDocument/2006/relationships/header" Target="header21.xml"/><Relationship Id="rId10" Type="http://schemas.openxmlformats.org/officeDocument/2006/relationships/header" Target="header1.xml"/><Relationship Id="rId19" Type="http://schemas.openxmlformats.org/officeDocument/2006/relationships/hyperlink" Target="mailto:jlang@calfee.com" TargetMode="External"/><Relationship Id="rId31" Type="http://schemas.openxmlformats.org/officeDocument/2006/relationships/header" Target="header10.xml"/><Relationship Id="rId44" Type="http://schemas.openxmlformats.org/officeDocument/2006/relationships/header" Target="header18.xml"/><Relationship Id="rId52" Type="http://schemas.openxmlformats.org/officeDocument/2006/relationships/footer" Target="footer16.xml"/><Relationship Id="rId4" Type="http://schemas.microsoft.com/office/2007/relationships/stylesWithEffects" Target="stylesWithEffects.xml"/><Relationship Id="rId9" Type="http://schemas.openxmlformats.org/officeDocument/2006/relationships/hyperlink" Target="mailto:thomas.mcnamee@puc.state.oh.us" TargetMode="External"/><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header" Target="header13.xml"/><Relationship Id="rId43" Type="http://schemas.openxmlformats.org/officeDocument/2006/relationships/header" Target="header17.xml"/><Relationship Id="rId48" Type="http://schemas.openxmlformats.org/officeDocument/2006/relationships/footer" Target="footer14.xml"/><Relationship Id="rId8" Type="http://schemas.openxmlformats.org/officeDocument/2006/relationships/endnotes" Target="endnotes.xml"/><Relationship Id="rId51" Type="http://schemas.openxmlformats.org/officeDocument/2006/relationships/header" Target="header22.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eton\Desktop\Templates\PUCO%20(or%20OPSB)%20Plead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F070A-9E45-4FBA-89D5-8EE544925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PUCO (or OPSB) Pleading</Template>
  <TotalTime>65</TotalTime>
  <Pages>48</Pages>
  <Words>9072</Words>
  <Characters>51716</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BEFORE</vt:lpstr>
    </vt:vector>
  </TitlesOfParts>
  <Company>Public Utilities Commission of Ohio</Company>
  <LinksUpToDate>false</LinksUpToDate>
  <CharactersWithSpaces>60667</CharactersWithSpaces>
  <SharedDoc>false</SharedDoc>
  <HLinks>
    <vt:vector size="12" baseType="variant">
      <vt:variant>
        <vt:i4>2293828</vt:i4>
      </vt:variant>
      <vt:variant>
        <vt:i4>3</vt:i4>
      </vt:variant>
      <vt:variant>
        <vt:i4>0</vt:i4>
      </vt:variant>
      <vt:variant>
        <vt:i4>5</vt:i4>
      </vt:variant>
      <vt:variant>
        <vt:lpwstr>mailto:william.wright@puc.state.oh.us</vt:lpwstr>
      </vt:variant>
      <vt:variant>
        <vt:lpwstr/>
      </vt:variant>
      <vt:variant>
        <vt:i4>7405588</vt:i4>
      </vt:variant>
      <vt:variant>
        <vt:i4>0</vt:i4>
      </vt:variant>
      <vt:variant>
        <vt:i4>0</vt:i4>
      </vt:variant>
      <vt:variant>
        <vt:i4>5</vt:i4>
      </vt:variant>
      <vt:variant>
        <vt:lpwstr>mailto:thomas.lindgren@puc.state.oh.us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dc:title>
  <dc:creator>Keeton, Kim</dc:creator>
  <cp:lastModifiedBy>Keeton, Kim</cp:lastModifiedBy>
  <cp:revision>10</cp:revision>
  <cp:lastPrinted>2012-06-25T18:59:00Z</cp:lastPrinted>
  <dcterms:created xsi:type="dcterms:W3CDTF">2012-06-25T17:51:00Z</dcterms:created>
  <dcterms:modified xsi:type="dcterms:W3CDTF">2012-06-25T19:00:00Z</dcterms:modified>
</cp:coreProperties>
</file>