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8" w:rsidRDefault="004B30D8">
      <w:pPr>
        <w:tabs>
          <w:tab w:val="left" w:pos="-720"/>
        </w:tabs>
        <w:suppressAutoHyphens/>
        <w:rPr>
          <w:spacing w:val="-3"/>
        </w:rPr>
      </w:pPr>
      <w:bookmarkStart w:id="0" w:name="_GoBack"/>
      <w:bookmarkEnd w:id="0"/>
    </w:p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0F04CD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2A0619" w:rsidRPr="0074206F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74206F">
        <w:rPr>
          <w:rFonts w:ascii="Times New Roman" w:hAnsi="Times New Roman"/>
          <w:b/>
          <w:u w:val="single"/>
        </w:rPr>
        <w:t>DEMAND SIDE MANAGEMENT RIDER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360415">
        <w:rPr>
          <w:rFonts w:ascii="Times New Roman" w:hAnsi="Times New Roman"/>
        </w:rPr>
        <w:t xml:space="preserve">SGS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  <w:t>$</w:t>
      </w:r>
      <w:r w:rsidR="002E146B">
        <w:rPr>
          <w:rFonts w:ascii="Times New Roman" w:hAnsi="Times New Roman"/>
        </w:rPr>
        <w:t>0.1</w:t>
      </w:r>
      <w:r w:rsidR="00F664FA">
        <w:rPr>
          <w:rFonts w:ascii="Times New Roman" w:hAnsi="Times New Roman"/>
        </w:rPr>
        <w:t>595</w:t>
      </w:r>
      <w:r w:rsidR="007C7131">
        <w:rPr>
          <w:rFonts w:ascii="Times New Roman" w:hAnsi="Times New Roman"/>
        </w:rPr>
        <w:t>/</w:t>
      </w:r>
      <w:proofErr w:type="spellStart"/>
      <w:r w:rsidRPr="002A0619">
        <w:rPr>
          <w:rFonts w:ascii="Times New Roman" w:hAnsi="Times New Roman"/>
        </w:rPr>
        <w:t>Mcf</w:t>
      </w:r>
      <w:proofErr w:type="spellEnd"/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4B30D8" w:rsidRPr="002A0619" w:rsidRDefault="004B30D8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  <w:spacing w:val="-3"/>
        </w:rPr>
      </w:pPr>
    </w:p>
    <w:p w:rsidR="000F04CD" w:rsidRPr="002A0619" w:rsidRDefault="000F04CD" w:rsidP="002A0619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</w:rPr>
      </w:pPr>
    </w:p>
    <w:sectPr w:rsidR="000F04CD" w:rsidRPr="002A061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7" w:rsidRDefault="00561067">
      <w:r>
        <w:separator/>
      </w:r>
    </w:p>
  </w:endnote>
  <w:endnote w:type="continuationSeparator" w:id="0">
    <w:p w:rsidR="00561067" w:rsidRDefault="005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Filed in accordance with Public Ut</w:t>
    </w:r>
    <w:r w:rsidR="00833211">
      <w:rPr>
        <w:rFonts w:ascii="Times New Roman" w:hAnsi="Times New Roman"/>
        <w:sz w:val="16"/>
      </w:rPr>
      <w:t>ilities Commission of Ohio</w:t>
    </w:r>
    <w:r w:rsidR="00B17A18">
      <w:rPr>
        <w:rFonts w:ascii="Times New Roman" w:hAnsi="Times New Roman"/>
        <w:sz w:val="16"/>
      </w:rPr>
      <w:t xml:space="preserve"> Opinion and Order issued </w:t>
    </w:r>
    <w:proofErr w:type="gramStart"/>
    <w:r w:rsidR="00B17A18">
      <w:rPr>
        <w:rFonts w:ascii="Times New Roman" w:hAnsi="Times New Roman"/>
        <w:sz w:val="16"/>
      </w:rPr>
      <w:t>April  in</w:t>
    </w:r>
    <w:proofErr w:type="gramEnd"/>
    <w:r w:rsidR="00B17A18">
      <w:rPr>
        <w:rFonts w:ascii="Times New Roman" w:hAnsi="Times New Roman"/>
        <w:sz w:val="16"/>
      </w:rPr>
      <w:t xml:space="preserve"> Case No. 1</w:t>
    </w:r>
    <w:r w:rsidR="000D1966">
      <w:rPr>
        <w:rFonts w:ascii="Times New Roman" w:hAnsi="Times New Roman"/>
        <w:sz w:val="16"/>
      </w:rPr>
      <w:t>3</w:t>
    </w:r>
    <w:r w:rsidR="00B17A18">
      <w:rPr>
        <w:rFonts w:ascii="Times New Roman" w:hAnsi="Times New Roman"/>
        <w:sz w:val="16"/>
      </w:rPr>
      <w:t>-2</w:t>
    </w:r>
    <w:r w:rsidR="000D1966">
      <w:rPr>
        <w:rFonts w:ascii="Times New Roman" w:hAnsi="Times New Roman"/>
        <w:sz w:val="16"/>
      </w:rPr>
      <w:t>146</w:t>
    </w:r>
    <w:r w:rsidR="00B17A18">
      <w:rPr>
        <w:rFonts w:ascii="Times New Roman" w:hAnsi="Times New Roman"/>
        <w:sz w:val="16"/>
      </w:rPr>
      <w:t>-GA-RDR</w:t>
    </w:r>
    <w:r w:rsidRPr="0074206F">
      <w:rPr>
        <w:rFonts w:ascii="Times New Roman" w:hAnsi="Times New Roman"/>
        <w:sz w:val="16"/>
      </w:rPr>
      <w:t>.</w:t>
    </w:r>
  </w:p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07947" w:rsidRPr="0074206F">
      <w:tc>
        <w:tcPr>
          <w:tcW w:w="4320" w:type="dxa"/>
        </w:tcPr>
        <w:p w:rsidR="00D07947" w:rsidRPr="0074206F" w:rsidRDefault="00D07947" w:rsidP="002E79E8">
          <w:pPr>
            <w:pStyle w:val="Footer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Issued: </w:t>
          </w:r>
          <w:r w:rsidR="00575435">
            <w:rPr>
              <w:rFonts w:ascii="Times New Roman" w:hAnsi="Times New Roman"/>
              <w:sz w:val="16"/>
            </w:rPr>
            <w:t xml:space="preserve"> </w:t>
          </w:r>
          <w:r w:rsidR="001A36E5">
            <w:rPr>
              <w:rFonts w:ascii="Times New Roman" w:hAnsi="Times New Roman"/>
              <w:sz w:val="16"/>
            </w:rPr>
            <w:t>April 28, 2014</w:t>
          </w:r>
        </w:p>
      </w:tc>
      <w:tc>
        <w:tcPr>
          <w:tcW w:w="5040" w:type="dxa"/>
        </w:tcPr>
        <w:p w:rsidR="00D07947" w:rsidRPr="0074206F" w:rsidRDefault="00D07947" w:rsidP="000D1966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         Effective</w:t>
          </w:r>
          <w:r w:rsidR="00951793">
            <w:rPr>
              <w:rFonts w:ascii="Times New Roman" w:hAnsi="Times New Roman"/>
              <w:sz w:val="16"/>
            </w:rPr>
            <w:t xml:space="preserve">: </w:t>
          </w:r>
          <w:r w:rsidR="00FC28F4">
            <w:rPr>
              <w:rFonts w:ascii="Times New Roman" w:hAnsi="Times New Roman"/>
              <w:sz w:val="16"/>
            </w:rPr>
            <w:t xml:space="preserve">With </w:t>
          </w:r>
          <w:r w:rsidR="00F664FA">
            <w:rPr>
              <w:rFonts w:ascii="Times New Roman" w:hAnsi="Times New Roman"/>
              <w:sz w:val="16"/>
            </w:rPr>
            <w:t xml:space="preserve">meter readings </w:t>
          </w:r>
          <w:r w:rsidR="00FC28F4">
            <w:rPr>
              <w:rFonts w:ascii="Times New Roman" w:hAnsi="Times New Roman"/>
              <w:sz w:val="16"/>
            </w:rPr>
            <w:t xml:space="preserve">on or after </w:t>
          </w:r>
          <w:r w:rsidR="007C7131">
            <w:rPr>
              <w:rFonts w:ascii="Times New Roman" w:hAnsi="Times New Roman"/>
              <w:sz w:val="16"/>
            </w:rPr>
            <w:t>April 30, 201</w:t>
          </w:r>
          <w:r w:rsidR="000D1966">
            <w:rPr>
              <w:rFonts w:ascii="Times New Roman" w:hAnsi="Times New Roman"/>
              <w:sz w:val="16"/>
            </w:rPr>
            <w:t>4</w:t>
          </w:r>
        </w:p>
      </w:tc>
    </w:tr>
  </w:tbl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Issued By</w:t>
    </w:r>
  </w:p>
  <w:p w:rsidR="00D07947" w:rsidRPr="0074206F" w:rsidRDefault="00D07947" w:rsidP="0074206F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 w:rsidRPr="0074206F"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7" w:rsidRDefault="00561067">
      <w:r>
        <w:separator/>
      </w:r>
    </w:p>
  </w:footnote>
  <w:footnote w:type="continuationSeparator" w:id="0">
    <w:p w:rsidR="00561067" w:rsidRDefault="0056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0F04CD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P.U.C.O. No. 2</w:t>
    </w:r>
  </w:p>
  <w:p w:rsidR="00D07947" w:rsidRPr="0074206F" w:rsidRDefault="000D1966" w:rsidP="000F04CD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Ninth</w:t>
    </w:r>
    <w:r w:rsidR="00D07947" w:rsidRPr="0074206F">
      <w:rPr>
        <w:rFonts w:ascii="Times New Roman" w:hAnsi="Times New Roman"/>
        <w:b/>
        <w:sz w:val="22"/>
        <w:szCs w:val="22"/>
      </w:rPr>
      <w:t xml:space="preserve"> Revised Sheet No. 28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Cancels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GAS OF OHIO, INC.</w:t>
    </w:r>
    <w:r w:rsidRPr="0074206F">
      <w:rPr>
        <w:rFonts w:ascii="Times New Roman" w:hAnsi="Times New Roman"/>
        <w:b/>
        <w:sz w:val="22"/>
        <w:szCs w:val="22"/>
      </w:rPr>
      <w:tab/>
    </w:r>
    <w:r w:rsidRPr="0074206F">
      <w:rPr>
        <w:rFonts w:ascii="Times New Roman" w:hAnsi="Times New Roman"/>
        <w:b/>
        <w:sz w:val="22"/>
        <w:szCs w:val="22"/>
      </w:rPr>
      <w:tab/>
    </w:r>
    <w:r w:rsidR="000D1966">
      <w:rPr>
        <w:rFonts w:ascii="Times New Roman" w:hAnsi="Times New Roman"/>
        <w:b/>
        <w:sz w:val="22"/>
        <w:szCs w:val="22"/>
      </w:rPr>
      <w:t>Eighth</w:t>
    </w:r>
    <w:r>
      <w:rPr>
        <w:rFonts w:ascii="Times New Roman" w:hAnsi="Times New Roman"/>
        <w:b/>
        <w:sz w:val="22"/>
        <w:szCs w:val="22"/>
      </w:rPr>
      <w:t xml:space="preserve"> Revised</w:t>
    </w:r>
    <w:r w:rsidRPr="0074206F">
      <w:rPr>
        <w:rFonts w:ascii="Times New Roman" w:hAnsi="Times New Roman"/>
        <w:b/>
        <w:sz w:val="22"/>
        <w:szCs w:val="22"/>
      </w:rPr>
      <w:t xml:space="preserve"> Sheet No. 28</w:t>
    </w:r>
  </w:p>
  <w:p w:rsidR="00D07947" w:rsidRPr="0074206F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</w:p>
  <w:p w:rsidR="00D07947" w:rsidRPr="0074206F" w:rsidRDefault="00D0794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RULES AND REGULATIONS GOVERNING THE DISTRIBUTION</w:t>
    </w:r>
  </w:p>
  <w:p w:rsidR="00D07947" w:rsidRPr="0074206F" w:rsidRDefault="00D07947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74206F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OF GAS</w:t>
    </w:r>
  </w:p>
  <w:p w:rsidR="00D07947" w:rsidRPr="000F04CD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CD"/>
    <w:rsid w:val="00047C0C"/>
    <w:rsid w:val="000D1966"/>
    <w:rsid w:val="000F04CD"/>
    <w:rsid w:val="001A36E5"/>
    <w:rsid w:val="001B012D"/>
    <w:rsid w:val="001F25A7"/>
    <w:rsid w:val="002069EA"/>
    <w:rsid w:val="00210B66"/>
    <w:rsid w:val="0026783D"/>
    <w:rsid w:val="002A0619"/>
    <w:rsid w:val="002E0A3B"/>
    <w:rsid w:val="002E146B"/>
    <w:rsid w:val="002E79E8"/>
    <w:rsid w:val="00360415"/>
    <w:rsid w:val="003F36E8"/>
    <w:rsid w:val="00407DBE"/>
    <w:rsid w:val="00437DEB"/>
    <w:rsid w:val="00490597"/>
    <w:rsid w:val="004B30D8"/>
    <w:rsid w:val="0054315E"/>
    <w:rsid w:val="00561067"/>
    <w:rsid w:val="00575435"/>
    <w:rsid w:val="005A0D63"/>
    <w:rsid w:val="005C5C23"/>
    <w:rsid w:val="00632274"/>
    <w:rsid w:val="00651BFE"/>
    <w:rsid w:val="006A61CB"/>
    <w:rsid w:val="006F4FE1"/>
    <w:rsid w:val="00722A55"/>
    <w:rsid w:val="0074206F"/>
    <w:rsid w:val="007C7131"/>
    <w:rsid w:val="00815658"/>
    <w:rsid w:val="00833211"/>
    <w:rsid w:val="00842459"/>
    <w:rsid w:val="00886F3A"/>
    <w:rsid w:val="008F7653"/>
    <w:rsid w:val="00951793"/>
    <w:rsid w:val="00975FDE"/>
    <w:rsid w:val="009A483E"/>
    <w:rsid w:val="00A46FD6"/>
    <w:rsid w:val="00A502CA"/>
    <w:rsid w:val="00A80F36"/>
    <w:rsid w:val="00B17A18"/>
    <w:rsid w:val="00BB2068"/>
    <w:rsid w:val="00C248C7"/>
    <w:rsid w:val="00C93E18"/>
    <w:rsid w:val="00D07947"/>
    <w:rsid w:val="00DA0F5F"/>
    <w:rsid w:val="00DD3583"/>
    <w:rsid w:val="00EB7492"/>
    <w:rsid w:val="00F47C23"/>
    <w:rsid w:val="00F664FA"/>
    <w:rsid w:val="00FC28F4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B813-ECB8-467C-B078-88B83171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4</TotalTime>
  <Pages>1</Pages>
  <Words>53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GENERAL SERVICE TEMPORARY BASE RATE REVENUE RIDER</vt:lpstr>
    </vt:vector>
  </TitlesOfParts>
  <Company>Columbia Gas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GENERAL SERVICE TEMPORARY BASE RATE REVENUE RIDER</dc:title>
  <dc:creator>BEVERLY A. THOMAS</dc:creator>
  <cp:lastModifiedBy>Kim Regrut</cp:lastModifiedBy>
  <cp:revision>3</cp:revision>
  <cp:lastPrinted>2013-04-25T13:51:00Z</cp:lastPrinted>
  <dcterms:created xsi:type="dcterms:W3CDTF">2014-02-27T14:35:00Z</dcterms:created>
  <dcterms:modified xsi:type="dcterms:W3CDTF">2014-04-25T14:42:00Z</dcterms:modified>
</cp:coreProperties>
</file>