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E7C9B" w:rsidRPr="00EF64A9" w:rsidP="004E7C9B" w14:paraId="68BCD1BE" w14:textId="77777777">
      <w:pPr>
        <w:pStyle w:val="Title"/>
        <w:rPr>
          <w:sz w:val="24"/>
          <w:szCs w:val="24"/>
        </w:rPr>
      </w:pPr>
      <w:r w:rsidRPr="00EF64A9">
        <w:rPr>
          <w:sz w:val="24"/>
          <w:szCs w:val="24"/>
        </w:rPr>
        <w:t>BEFORE</w:t>
      </w:r>
    </w:p>
    <w:p w:rsidR="004E7C9B" w:rsidRPr="00EF64A9" w:rsidP="004E7C9B" w14:paraId="2EC766FA" w14:textId="77777777">
      <w:pPr>
        <w:jc w:val="center"/>
        <w:rPr>
          <w:b/>
        </w:rPr>
      </w:pPr>
      <w:r w:rsidRPr="00EF64A9">
        <w:rPr>
          <w:b/>
        </w:rPr>
        <w:t>THE PUBLIC UTILITIES COMMISSION OF OHIO</w:t>
      </w:r>
    </w:p>
    <w:p w:rsidR="004E7C9B" w:rsidRPr="00EF64A9" w:rsidP="004E7C9B" w14:paraId="32C64F73"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791040FE" w14:textId="77777777" w:rsidTr="00D76033">
        <w:tblPrEx>
          <w:tblW w:w="8550" w:type="dxa"/>
          <w:tblLook w:val="01E0"/>
        </w:tblPrEx>
        <w:trPr>
          <w:trHeight w:val="807"/>
        </w:trPr>
        <w:tc>
          <w:tcPr>
            <w:tcW w:w="4331" w:type="dxa"/>
            <w:shd w:val="clear" w:color="auto" w:fill="auto"/>
          </w:tcPr>
          <w:p w:rsidR="004E7C9B" w:rsidRPr="00EF64A9" w:rsidP="00D76033" w14:paraId="7CE2C551" w14:textId="77777777">
            <w:pPr>
              <w:autoSpaceDE w:val="0"/>
              <w:autoSpaceDN w:val="0"/>
              <w:adjustRightInd w:val="0"/>
            </w:pPr>
            <w:r w:rsidRPr="00EF64A9">
              <w:t>In the Matter of the Application of the Dayton Power and Light Company d/b/a AES Ohio for Establishing New Reliability Standards.</w:t>
            </w:r>
          </w:p>
        </w:tc>
        <w:tc>
          <w:tcPr>
            <w:tcW w:w="296" w:type="dxa"/>
            <w:shd w:val="clear" w:color="auto" w:fill="auto"/>
          </w:tcPr>
          <w:p w:rsidR="004E7C9B" w:rsidRPr="00EF64A9" w:rsidP="00D76033" w14:paraId="22B8ACC3"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21C883E4"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24788D82"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3FD9793C"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tc>
        <w:tc>
          <w:tcPr>
            <w:tcW w:w="3923" w:type="dxa"/>
            <w:shd w:val="clear" w:color="auto" w:fill="auto"/>
          </w:tcPr>
          <w:p w:rsidR="004E7C9B" w:rsidRPr="00EF64A9" w:rsidP="00D76033" w14:paraId="150CD7CE" w14:textId="77777777">
            <w:pPr>
              <w:pStyle w:val="HTMLPreformatted"/>
              <w:rPr>
                <w:rFonts w:ascii="Times New Roman" w:hAnsi="Times New Roman" w:cs="Times New Roman"/>
                <w:sz w:val="24"/>
                <w:szCs w:val="24"/>
              </w:rPr>
            </w:pPr>
          </w:p>
          <w:p w:rsidR="004E7C9B" w:rsidRPr="00EF64A9" w:rsidP="00D76033" w14:paraId="28BFA79E" w14:textId="77777777">
            <w:pPr>
              <w:pStyle w:val="HTMLPreformatted"/>
              <w:ind w:left="119"/>
              <w:rPr>
                <w:rFonts w:ascii="Times New Roman" w:hAnsi="Times New Roman" w:cs="Times New Roman"/>
                <w:sz w:val="24"/>
                <w:szCs w:val="24"/>
              </w:rPr>
            </w:pPr>
            <w:r w:rsidRPr="00EF64A9">
              <w:rPr>
                <w:rFonts w:ascii="Times New Roman" w:hAnsi="Times New Roman" w:cs="Times New Roman"/>
                <w:sz w:val="24"/>
                <w:szCs w:val="24"/>
              </w:rPr>
              <w:t>Case No. 21-956-EL-ESS</w:t>
            </w:r>
          </w:p>
          <w:p w:rsidR="004E7C9B" w:rsidRPr="00EF64A9" w:rsidP="00D76033" w14:paraId="5B8E3190" w14:textId="77777777">
            <w:pPr>
              <w:pStyle w:val="HTMLPreformatted"/>
              <w:rPr>
                <w:rFonts w:ascii="Times New Roman" w:hAnsi="Times New Roman" w:cs="Times New Roman"/>
                <w:sz w:val="24"/>
                <w:szCs w:val="24"/>
              </w:rPr>
            </w:pPr>
          </w:p>
        </w:tc>
      </w:tr>
    </w:tbl>
    <w:p w:rsidR="004E7C9B" w:rsidRPr="00EF64A9" w:rsidP="004E7C9B" w14:paraId="7F9A4EC0" w14:textId="77777777"/>
    <w:p w:rsidR="004E7C9B" w:rsidRPr="00EF64A9" w:rsidP="004E7C9B" w14:paraId="5DCC0CF7" w14:textId="77777777">
      <w:pPr>
        <w:pBdr>
          <w:top w:val="single" w:sz="12" w:space="1" w:color="auto"/>
        </w:pBdr>
      </w:pPr>
    </w:p>
    <w:p w:rsidR="004E7C9B" w:rsidRPr="00EF64A9" w:rsidP="004E7C9B" w14:paraId="781A4B40" w14:textId="77777777">
      <w:pPr>
        <w:jc w:val="center"/>
        <w:rPr>
          <w:b/>
        </w:rPr>
      </w:pPr>
      <w:r>
        <w:rPr>
          <w:b/>
        </w:rPr>
        <w:t>REPLY</w:t>
      </w:r>
      <w:r w:rsidRPr="00EF64A9">
        <w:rPr>
          <w:b/>
        </w:rPr>
        <w:t xml:space="preserve"> BRIEF FOR CONSUMER PROTECTION</w:t>
      </w:r>
    </w:p>
    <w:p w:rsidR="004E7C9B" w:rsidRPr="00EF64A9" w:rsidP="004E7C9B" w14:paraId="23C5C931" w14:textId="77777777">
      <w:pPr>
        <w:jc w:val="center"/>
        <w:rPr>
          <w:b/>
        </w:rPr>
      </w:pPr>
      <w:r w:rsidRPr="00EF64A9">
        <w:rPr>
          <w:b/>
        </w:rPr>
        <w:t>BY</w:t>
      </w:r>
    </w:p>
    <w:p w:rsidR="004E7C9B" w:rsidRPr="00EF64A9" w:rsidP="004E7C9B" w14:paraId="75C428DA" w14:textId="77777777">
      <w:pPr>
        <w:jc w:val="center"/>
        <w:rPr>
          <w:b/>
        </w:rPr>
      </w:pPr>
      <w:r w:rsidRPr="00EF64A9">
        <w:rPr>
          <w:b/>
        </w:rPr>
        <w:t>OFFICE OF THE OHIO CONSUMERS’ COUNSEL</w:t>
      </w:r>
    </w:p>
    <w:p w:rsidR="004E7C9B" w:rsidRPr="00EF64A9" w:rsidP="004E7C9B" w14:paraId="01601B0D" w14:textId="77777777">
      <w:pPr>
        <w:pBdr>
          <w:bottom w:val="single" w:sz="12" w:space="1" w:color="auto"/>
        </w:pBdr>
        <w:spacing w:after="240"/>
      </w:pPr>
    </w:p>
    <w:p w:rsidR="004E7C9B" w:rsidRPr="00EF64A9" w:rsidP="00D76A13" w14:paraId="5EFA6BE8" w14:textId="77777777">
      <w:pPr>
        <w:pStyle w:val="Title"/>
        <w:rPr>
          <w:sz w:val="24"/>
          <w:szCs w:val="24"/>
        </w:rPr>
      </w:pPr>
    </w:p>
    <w:p w:rsidR="00155FF3" w:rsidP="004E7C9B" w14:paraId="480A873D" w14:textId="77777777">
      <w:pPr>
        <w:ind w:left="4320"/>
      </w:pPr>
    </w:p>
    <w:p w:rsidR="00155FF3" w:rsidP="004E7C9B" w14:paraId="56F2F9F0" w14:textId="77777777">
      <w:pPr>
        <w:ind w:left="4320"/>
      </w:pPr>
    </w:p>
    <w:p w:rsidR="00102045" w:rsidP="004E7C9B" w14:paraId="426B50AB" w14:textId="77777777">
      <w:pPr>
        <w:ind w:left="4320"/>
      </w:pPr>
    </w:p>
    <w:p w:rsidR="004E7C9B" w:rsidRPr="00EF64A9" w:rsidP="004E7C9B" w14:paraId="2A0279DA" w14:textId="77777777">
      <w:pPr>
        <w:ind w:left="4320"/>
      </w:pPr>
      <w:r w:rsidRPr="00EF64A9">
        <w:t>Bruce Weston (0016973)</w:t>
      </w:r>
    </w:p>
    <w:p w:rsidR="004E7C9B" w:rsidRPr="00EF64A9" w:rsidP="004E7C9B" w14:paraId="3C096FD8" w14:textId="77777777">
      <w:pPr>
        <w:tabs>
          <w:tab w:val="left" w:pos="4320"/>
        </w:tabs>
        <w:ind w:left="4320" w:hanging="450"/>
      </w:pPr>
      <w:r w:rsidRPr="00EF64A9">
        <w:tab/>
        <w:t>Ohio Consumers’ Counsel</w:t>
      </w:r>
    </w:p>
    <w:p w:rsidR="004E7C9B" w:rsidRPr="00EF64A9" w:rsidP="004E7C9B" w14:paraId="51148E87" w14:textId="77777777">
      <w:pPr>
        <w:tabs>
          <w:tab w:val="left" w:pos="4320"/>
        </w:tabs>
        <w:ind w:left="4320"/>
      </w:pPr>
    </w:p>
    <w:p w:rsidR="004E7C9B" w:rsidRPr="00EF64A9" w:rsidP="004E7C9B" w14:paraId="1CACC1D0" w14:textId="77777777">
      <w:pPr>
        <w:tabs>
          <w:tab w:val="left" w:pos="4320"/>
        </w:tabs>
        <w:ind w:left="4320"/>
      </w:pPr>
      <w:r w:rsidRPr="00EF64A9">
        <w:t>William J. Michael (0070921)</w:t>
      </w:r>
    </w:p>
    <w:p w:rsidR="004E7C9B" w:rsidRPr="00EF64A9" w:rsidP="004E7C9B" w14:paraId="2A940A34" w14:textId="77777777">
      <w:pPr>
        <w:tabs>
          <w:tab w:val="left" w:pos="4320"/>
        </w:tabs>
        <w:ind w:left="4320"/>
      </w:pPr>
      <w:r w:rsidRPr="00EF64A9">
        <w:t>Counsel of Record</w:t>
      </w:r>
    </w:p>
    <w:p w:rsidR="004E7C9B" w:rsidRPr="00EF64A9" w:rsidP="004E7C9B" w14:paraId="0C5824DE" w14:textId="77777777">
      <w:pPr>
        <w:tabs>
          <w:tab w:val="left" w:pos="4320"/>
        </w:tabs>
        <w:ind w:left="4320"/>
      </w:pPr>
      <w:r w:rsidRPr="00EF64A9">
        <w:t>Ambrosia E. Wilson (0096598)</w:t>
      </w:r>
    </w:p>
    <w:p w:rsidR="004E7C9B" w:rsidRPr="00EF64A9" w:rsidP="004E7C9B" w14:paraId="2C8B0010" w14:textId="77777777">
      <w:pPr>
        <w:tabs>
          <w:tab w:val="left" w:pos="4320"/>
        </w:tabs>
        <w:ind w:left="4320"/>
      </w:pPr>
      <w:r w:rsidRPr="00EF64A9">
        <w:t>Connor D. Semple (0101102)</w:t>
      </w:r>
    </w:p>
    <w:p w:rsidR="004E7C9B" w:rsidRPr="00EF64A9" w:rsidP="004E7C9B" w14:paraId="6B8E2E1E" w14:textId="77777777">
      <w:pPr>
        <w:ind w:left="4320"/>
      </w:pPr>
      <w:r w:rsidRPr="00EF64A9">
        <w:t>Assistant Consumers’ Counsel</w:t>
      </w:r>
    </w:p>
    <w:p w:rsidR="004E7C9B" w:rsidRPr="00EF64A9" w:rsidP="004E7C9B" w14:paraId="488C199A" w14:textId="77777777"/>
    <w:p w:rsidR="004E7C9B" w:rsidRPr="00EF64A9" w:rsidP="004E7C9B" w14:paraId="41BF0794" w14:textId="77777777">
      <w:pPr>
        <w:ind w:left="4320"/>
        <w:rPr>
          <w:b/>
          <w:bCs/>
        </w:rPr>
      </w:pPr>
      <w:r w:rsidRPr="00EF64A9">
        <w:rPr>
          <w:b/>
          <w:bCs/>
        </w:rPr>
        <w:t>Office of the Ohio Consumers' Counsel</w:t>
      </w:r>
    </w:p>
    <w:p w:rsidR="004E7C9B" w:rsidRPr="00EF64A9" w:rsidP="004E7C9B" w14:paraId="5892A26A" w14:textId="77777777">
      <w:pPr>
        <w:ind w:left="4320"/>
      </w:pPr>
      <w:r w:rsidRPr="00EF64A9">
        <w:t>65 East State Street, Suite 700</w:t>
      </w:r>
    </w:p>
    <w:p w:rsidR="004E7C9B" w:rsidRPr="00EF64A9" w:rsidP="004E7C9B" w14:paraId="0C6D9AB2" w14:textId="77777777">
      <w:pPr>
        <w:ind w:left="4320"/>
      </w:pPr>
      <w:r w:rsidRPr="00EF64A9">
        <w:t>Columbus, Ohio 43215</w:t>
      </w:r>
    </w:p>
    <w:p w:rsidR="004E7C9B" w:rsidRPr="00EF64A9" w:rsidP="004E7C9B" w14:paraId="63D45E80" w14:textId="77777777">
      <w:pPr>
        <w:autoSpaceDE w:val="0"/>
        <w:autoSpaceDN w:val="0"/>
        <w:adjustRightInd w:val="0"/>
        <w:ind w:left="4320"/>
      </w:pPr>
      <w:r w:rsidRPr="00EF64A9">
        <w:t>Telephone: [Michael]: (614) 466-1291</w:t>
      </w:r>
    </w:p>
    <w:p w:rsidR="004E7C9B" w:rsidRPr="00EF64A9" w:rsidP="004E7C9B" w14:paraId="653A4B69" w14:textId="77777777">
      <w:pPr>
        <w:autoSpaceDE w:val="0"/>
        <w:autoSpaceDN w:val="0"/>
        <w:adjustRightInd w:val="0"/>
        <w:ind w:left="4320"/>
      </w:pPr>
      <w:r w:rsidRPr="00EF64A9">
        <w:t>Telephone: [Wilson]: (614) 466-1292</w:t>
      </w:r>
    </w:p>
    <w:p w:rsidR="004E7C9B" w:rsidRPr="00EF64A9" w:rsidP="004E7C9B" w14:paraId="086BDF1A" w14:textId="77777777">
      <w:pPr>
        <w:ind w:left="4320"/>
        <w:rPr>
          <w:color w:val="000000"/>
        </w:rPr>
      </w:pPr>
      <w:r w:rsidRPr="00EF64A9">
        <w:rPr>
          <w:color w:val="000000"/>
        </w:rPr>
        <w:t>Telephone [Semple]:(614) 466-9565</w:t>
      </w:r>
    </w:p>
    <w:p w:rsidR="004E7C9B" w:rsidRPr="00EF64A9" w:rsidP="004E7C9B" w14:paraId="2D5AA7C3" w14:textId="77777777">
      <w:pPr>
        <w:ind w:left="4320"/>
      </w:pPr>
      <w:hyperlink r:id="rId6" w:history="1">
        <w:r w:rsidRPr="00EF64A9" w:rsidR="00227700">
          <w:rPr>
            <w:rStyle w:val="Hyperlink"/>
          </w:rPr>
          <w:t>william.michael@occ.ohio.gov</w:t>
        </w:r>
      </w:hyperlink>
      <w:r w:rsidRPr="00EF64A9" w:rsidR="00227700">
        <w:t xml:space="preserve"> </w:t>
      </w:r>
    </w:p>
    <w:p w:rsidR="004E7C9B" w:rsidRPr="00EF64A9" w:rsidP="004E7C9B" w14:paraId="09E2A9FA" w14:textId="77777777">
      <w:pPr>
        <w:ind w:left="4320"/>
        <w:rPr>
          <w:color w:val="0000FF"/>
        </w:rPr>
      </w:pPr>
      <w:hyperlink r:id="rId7" w:history="1">
        <w:r w:rsidRPr="00EF64A9" w:rsidR="00227700">
          <w:rPr>
            <w:rStyle w:val="Hyperlink"/>
          </w:rPr>
          <w:t>ambrosia.wilson@occ.ohio.gov</w:t>
        </w:r>
      </w:hyperlink>
      <w:r w:rsidRPr="00EF64A9" w:rsidR="00227700">
        <w:rPr>
          <w:color w:val="0000FF"/>
        </w:rPr>
        <w:t xml:space="preserve"> </w:t>
      </w:r>
    </w:p>
    <w:p w:rsidR="004E7C9B" w:rsidRPr="00EF64A9" w:rsidP="004E7C9B" w14:paraId="579F8FE5" w14:textId="77777777">
      <w:pPr>
        <w:ind w:left="4320"/>
        <w:rPr>
          <w:rFonts w:eastAsia="Courier New"/>
        </w:rPr>
      </w:pPr>
      <w:r w:rsidRPr="00EF64A9">
        <w:rPr>
          <w:rStyle w:val="Hyperlink"/>
          <w:rFonts w:eastAsia="Courier New"/>
        </w:rPr>
        <w:t>connor.semple@occ.ohio.gov</w:t>
      </w:r>
    </w:p>
    <w:p w:rsidR="004E7C9B" w:rsidRPr="00EF64A9" w:rsidP="004E7C9B" w14:paraId="1F602740" w14:textId="77777777">
      <w:pPr>
        <w:ind w:left="4320" w:hanging="4320"/>
      </w:pPr>
      <w:r>
        <w:t>February</w:t>
      </w:r>
      <w:r w:rsidRPr="00EF64A9">
        <w:t xml:space="preserve"> </w:t>
      </w:r>
      <w:r w:rsidR="00AD2536">
        <w:t>14</w:t>
      </w:r>
      <w:r w:rsidRPr="00EF64A9">
        <w:t>, 2023</w:t>
      </w:r>
      <w:r w:rsidRPr="00EF64A9">
        <w:tab/>
        <w:t>(willing to accept service by e-mail)</w:t>
      </w:r>
    </w:p>
    <w:p w:rsidR="000E53BE" w:rsidRPr="00EF64A9" w:rsidP="004E7C9B" w14:paraId="46CE7AAC" w14:textId="77777777">
      <w:pPr>
        <w:ind w:left="4320" w:hanging="4320"/>
      </w:pPr>
    </w:p>
    <w:p w:rsidR="000E53BE" w:rsidRPr="00EF64A9" w:rsidP="004E7C9B" w14:paraId="7A44E9B4" w14:textId="77777777">
      <w:pPr>
        <w:ind w:left="4320" w:hanging="4320"/>
        <w:rPr>
          <w:b/>
        </w:rPr>
        <w:sectPr w:rsidSect="005D75E1">
          <w:headerReference w:type="even" r:id="rId8"/>
          <w:footerReference w:type="default" r:id="rId9"/>
          <w:headerReference w:type="first" r:id="rId10"/>
          <w:pgSz w:w="12240" w:h="15840" w:code="1"/>
          <w:pgMar w:top="1440" w:right="1800" w:bottom="1440" w:left="1800" w:header="720" w:footer="720" w:gutter="0"/>
          <w:cols w:space="720"/>
          <w:docGrid w:linePitch="360"/>
        </w:sectPr>
      </w:pPr>
    </w:p>
    <w:p w:rsidR="000E53BE" w:rsidRPr="00EF64A9" w:rsidP="000E53BE" w14:paraId="40C69AB2" w14:textId="77777777">
      <w:pPr>
        <w:jc w:val="center"/>
        <w:rPr>
          <w:b/>
          <w:bCs/>
          <w:u w:val="single"/>
        </w:rPr>
      </w:pPr>
      <w:r w:rsidRPr="00FE4698">
        <w:rPr>
          <w:b/>
          <w:bCs/>
          <w:u w:val="single"/>
        </w:rPr>
        <w:t>TABLE OF CONTENTS</w:t>
      </w:r>
    </w:p>
    <w:p w:rsidR="000E53BE" w:rsidRPr="00EF64A9" w:rsidP="000E53BE" w14:paraId="1E2985B1" w14:textId="77777777">
      <w:pPr>
        <w:jc w:val="right"/>
        <w:rPr>
          <w:b/>
          <w:bCs/>
        </w:rPr>
      </w:pP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rPr>
          <w:b/>
          <w:bCs/>
        </w:rPr>
        <w:t>PAGE</w:t>
      </w:r>
    </w:p>
    <w:p w:rsidR="000E53BE" w:rsidRPr="00EF64A9" w:rsidP="000E53BE" w14:paraId="39FAA7C6" w14:textId="77777777">
      <w:pPr>
        <w:jc w:val="center"/>
        <w:rPr>
          <w:b/>
          <w:bCs/>
        </w:rPr>
      </w:pPr>
    </w:p>
    <w:p w:rsidR="00E3545B" w14:paraId="600333EA" w14:textId="77777777">
      <w:pPr>
        <w:pStyle w:val="TOC1"/>
        <w:rPr>
          <w:rFonts w:asciiTheme="minorHAnsi" w:eastAsiaTheme="minorEastAsia" w:hAnsiTheme="minorHAnsi" w:cstheme="minorBidi"/>
          <w:caps w:val="0"/>
          <w:sz w:val="22"/>
          <w:szCs w:val="22"/>
        </w:rPr>
      </w:pPr>
      <w:r>
        <w:rPr>
          <w:b/>
          <w:bCs/>
          <w:caps w:val="0"/>
        </w:rPr>
        <w:fldChar w:fldCharType="begin"/>
      </w:r>
      <w:r>
        <w:rPr>
          <w:b/>
          <w:bCs/>
          <w:caps w:val="0"/>
        </w:rPr>
        <w:instrText xml:space="preserve"> TOC \o "1-3" \h \z \u </w:instrText>
      </w:r>
      <w:r>
        <w:rPr>
          <w:b/>
          <w:bCs/>
          <w:caps w:val="0"/>
        </w:rPr>
        <w:fldChar w:fldCharType="separate"/>
      </w:r>
      <w:hyperlink w:anchor="_Toc127256221" w:history="1">
        <w:r w:rsidRPr="00A42F34">
          <w:rPr>
            <w:rStyle w:val="Hyperlink"/>
          </w:rPr>
          <w:t>I.</w:t>
        </w:r>
        <w:r>
          <w:rPr>
            <w:rFonts w:asciiTheme="minorHAnsi" w:eastAsiaTheme="minorEastAsia" w:hAnsiTheme="minorHAnsi" w:cstheme="minorBidi"/>
            <w:caps w:val="0"/>
            <w:sz w:val="22"/>
            <w:szCs w:val="22"/>
          </w:rPr>
          <w:tab/>
        </w:r>
        <w:r w:rsidRPr="00A42F34">
          <w:rPr>
            <w:rStyle w:val="Hyperlink"/>
          </w:rPr>
          <w:t>INTRODUCTION</w:t>
        </w:r>
        <w:r>
          <w:rPr>
            <w:webHidden/>
          </w:rPr>
          <w:tab/>
        </w:r>
        <w:r>
          <w:rPr>
            <w:webHidden/>
          </w:rPr>
          <w:fldChar w:fldCharType="begin"/>
        </w:r>
        <w:r>
          <w:rPr>
            <w:webHidden/>
          </w:rPr>
          <w:instrText xml:space="preserve"> PAGEREF _Toc127256221 \h </w:instrText>
        </w:r>
        <w:r>
          <w:rPr>
            <w:webHidden/>
          </w:rPr>
          <w:fldChar w:fldCharType="separate"/>
        </w:r>
        <w:r>
          <w:rPr>
            <w:webHidden/>
          </w:rPr>
          <w:t>1</w:t>
        </w:r>
        <w:r>
          <w:rPr>
            <w:webHidden/>
          </w:rPr>
          <w:fldChar w:fldCharType="end"/>
        </w:r>
      </w:hyperlink>
    </w:p>
    <w:p w:rsidR="00E3545B" w14:paraId="75EB81CE" w14:textId="77777777">
      <w:pPr>
        <w:pStyle w:val="TOC1"/>
        <w:rPr>
          <w:rFonts w:asciiTheme="minorHAnsi" w:eastAsiaTheme="minorEastAsia" w:hAnsiTheme="minorHAnsi" w:cstheme="minorBidi"/>
          <w:caps w:val="0"/>
          <w:sz w:val="22"/>
          <w:szCs w:val="22"/>
        </w:rPr>
      </w:pPr>
      <w:hyperlink w:anchor="_Toc127256222" w:history="1">
        <w:r w:rsidRPr="00A42F34" w:rsidR="00D52DE4">
          <w:rPr>
            <w:rStyle w:val="Hyperlink"/>
          </w:rPr>
          <w:t>II.</w:t>
        </w:r>
        <w:r w:rsidR="00D52DE4">
          <w:rPr>
            <w:rFonts w:asciiTheme="minorHAnsi" w:eastAsiaTheme="minorEastAsia" w:hAnsiTheme="minorHAnsi" w:cstheme="minorBidi"/>
            <w:caps w:val="0"/>
            <w:sz w:val="22"/>
            <w:szCs w:val="22"/>
          </w:rPr>
          <w:tab/>
        </w:r>
        <w:r w:rsidRPr="00A42F34" w:rsidR="00D52DE4">
          <w:rPr>
            <w:rStyle w:val="Hyperlink"/>
          </w:rPr>
          <w:t>LAW AND ARGUMENT</w:t>
        </w:r>
        <w:r w:rsidR="00D52DE4">
          <w:rPr>
            <w:webHidden/>
          </w:rPr>
          <w:tab/>
        </w:r>
        <w:r w:rsidR="00D52DE4">
          <w:rPr>
            <w:webHidden/>
          </w:rPr>
          <w:fldChar w:fldCharType="begin"/>
        </w:r>
        <w:r w:rsidR="00D52DE4">
          <w:rPr>
            <w:webHidden/>
          </w:rPr>
          <w:instrText xml:space="preserve"> PAGEREF _Toc127256222 \h </w:instrText>
        </w:r>
        <w:r w:rsidR="00D52DE4">
          <w:rPr>
            <w:webHidden/>
          </w:rPr>
          <w:fldChar w:fldCharType="separate"/>
        </w:r>
        <w:r w:rsidR="00D52DE4">
          <w:rPr>
            <w:webHidden/>
          </w:rPr>
          <w:t>2</w:t>
        </w:r>
        <w:r w:rsidR="00D52DE4">
          <w:rPr>
            <w:webHidden/>
          </w:rPr>
          <w:fldChar w:fldCharType="end"/>
        </w:r>
      </w:hyperlink>
    </w:p>
    <w:p w:rsidR="00E3545B" w14:paraId="66DFA7F5" w14:textId="77777777">
      <w:pPr>
        <w:pStyle w:val="TOC2"/>
        <w:tabs>
          <w:tab w:val="left" w:pos="1440"/>
        </w:tabs>
        <w:rPr>
          <w:rFonts w:asciiTheme="minorHAnsi" w:eastAsiaTheme="minorEastAsia" w:hAnsiTheme="minorHAnsi" w:cstheme="minorBidi"/>
          <w:noProof/>
          <w:sz w:val="22"/>
          <w:szCs w:val="22"/>
        </w:rPr>
      </w:pPr>
      <w:hyperlink w:anchor="_Toc127256223" w:history="1">
        <w:r w:rsidRPr="00A42F34" w:rsidR="00D52DE4">
          <w:rPr>
            <w:rStyle w:val="Hyperlink"/>
            <w:noProof/>
          </w:rPr>
          <w:t>A.</w:t>
        </w:r>
        <w:r w:rsidR="00D52DE4">
          <w:rPr>
            <w:rFonts w:asciiTheme="minorHAnsi" w:eastAsiaTheme="minorEastAsia" w:hAnsiTheme="minorHAnsi" w:cstheme="minorBidi"/>
            <w:noProof/>
            <w:sz w:val="22"/>
            <w:szCs w:val="22"/>
          </w:rPr>
          <w:tab/>
        </w:r>
        <w:r w:rsidRPr="00A42F34" w:rsidR="00D52DE4">
          <w:rPr>
            <w:rStyle w:val="Hyperlink"/>
            <w:noProof/>
          </w:rPr>
          <w:t>DP&amp;L’s explanations for its worsening reliability related to aging infrastructure and vegetation management costs are pretextual and exaggerated. They should be rejected to protect consumers.</w:t>
        </w:r>
        <w:r w:rsidR="00D52DE4">
          <w:rPr>
            <w:noProof/>
            <w:webHidden/>
          </w:rPr>
          <w:tab/>
        </w:r>
        <w:r w:rsidR="00D52DE4">
          <w:rPr>
            <w:noProof/>
            <w:webHidden/>
          </w:rPr>
          <w:fldChar w:fldCharType="begin"/>
        </w:r>
        <w:r w:rsidR="00D52DE4">
          <w:rPr>
            <w:noProof/>
            <w:webHidden/>
          </w:rPr>
          <w:instrText xml:space="preserve"> PAGEREF _Toc127256223 \h </w:instrText>
        </w:r>
        <w:r w:rsidR="00D52DE4">
          <w:rPr>
            <w:noProof/>
            <w:webHidden/>
          </w:rPr>
          <w:fldChar w:fldCharType="separate"/>
        </w:r>
        <w:r w:rsidR="00D52DE4">
          <w:rPr>
            <w:noProof/>
            <w:webHidden/>
          </w:rPr>
          <w:t>2</w:t>
        </w:r>
        <w:r w:rsidR="00D52DE4">
          <w:rPr>
            <w:noProof/>
            <w:webHidden/>
          </w:rPr>
          <w:fldChar w:fldCharType="end"/>
        </w:r>
      </w:hyperlink>
    </w:p>
    <w:p w:rsidR="00E3545B" w14:paraId="2D3B400A" w14:textId="77777777">
      <w:pPr>
        <w:pStyle w:val="TOC2"/>
        <w:tabs>
          <w:tab w:val="left" w:pos="1440"/>
        </w:tabs>
        <w:rPr>
          <w:rFonts w:asciiTheme="minorHAnsi" w:eastAsiaTheme="minorEastAsia" w:hAnsiTheme="minorHAnsi" w:cstheme="minorBidi"/>
          <w:noProof/>
          <w:sz w:val="22"/>
          <w:szCs w:val="22"/>
        </w:rPr>
      </w:pPr>
      <w:hyperlink w:anchor="_Toc127256224" w:history="1">
        <w:r w:rsidRPr="00A42F34" w:rsidR="00D52DE4">
          <w:rPr>
            <w:rStyle w:val="Hyperlink"/>
            <w:noProof/>
          </w:rPr>
          <w:t>B.</w:t>
        </w:r>
        <w:r w:rsidR="00D52DE4">
          <w:rPr>
            <w:rFonts w:asciiTheme="minorHAnsi" w:eastAsiaTheme="minorEastAsia" w:hAnsiTheme="minorHAnsi" w:cstheme="minorBidi"/>
            <w:noProof/>
            <w:sz w:val="22"/>
            <w:szCs w:val="22"/>
          </w:rPr>
          <w:tab/>
        </w:r>
        <w:r w:rsidRPr="00A42F34" w:rsidR="00D52DE4">
          <w:rPr>
            <w:rStyle w:val="Hyperlink"/>
            <w:noProof/>
          </w:rPr>
          <w:t xml:space="preserve">DP&amp;L’s reliability targets will become increasingly easier unless the PUCO calculates SAIFI and CAIDI by excluding actual performance </w:t>
        </w:r>
        <w:r w:rsidR="00D52DE4">
          <w:rPr>
            <w:rStyle w:val="Hyperlink"/>
            <w:noProof/>
          </w:rPr>
          <w:br/>
        </w:r>
        <w:r w:rsidRPr="00A42F34" w:rsidR="00D52DE4">
          <w:rPr>
            <w:rStyle w:val="Hyperlink"/>
            <w:noProof/>
          </w:rPr>
          <w:t>in years DP&amp;L failed its reliability goals.</w:t>
        </w:r>
        <w:r w:rsidR="00D52DE4">
          <w:rPr>
            <w:noProof/>
            <w:webHidden/>
          </w:rPr>
          <w:tab/>
        </w:r>
        <w:r w:rsidR="00D52DE4">
          <w:rPr>
            <w:noProof/>
            <w:webHidden/>
          </w:rPr>
          <w:fldChar w:fldCharType="begin"/>
        </w:r>
        <w:r w:rsidR="00D52DE4">
          <w:rPr>
            <w:noProof/>
            <w:webHidden/>
          </w:rPr>
          <w:instrText xml:space="preserve"> PAGEREF _Toc127256224 \h </w:instrText>
        </w:r>
        <w:r w:rsidR="00D52DE4">
          <w:rPr>
            <w:noProof/>
            <w:webHidden/>
          </w:rPr>
          <w:fldChar w:fldCharType="separate"/>
        </w:r>
        <w:r w:rsidR="00D52DE4">
          <w:rPr>
            <w:noProof/>
            <w:webHidden/>
          </w:rPr>
          <w:t>4</w:t>
        </w:r>
        <w:r w:rsidR="00D52DE4">
          <w:rPr>
            <w:noProof/>
            <w:webHidden/>
          </w:rPr>
          <w:fldChar w:fldCharType="end"/>
        </w:r>
      </w:hyperlink>
    </w:p>
    <w:p w:rsidR="00E3545B" w14:paraId="551497E6" w14:textId="77777777">
      <w:pPr>
        <w:pStyle w:val="TOC2"/>
        <w:tabs>
          <w:tab w:val="left" w:pos="1440"/>
        </w:tabs>
        <w:rPr>
          <w:rFonts w:asciiTheme="minorHAnsi" w:eastAsiaTheme="minorEastAsia" w:hAnsiTheme="minorHAnsi" w:cstheme="minorBidi"/>
          <w:noProof/>
          <w:sz w:val="22"/>
          <w:szCs w:val="22"/>
        </w:rPr>
      </w:pPr>
      <w:hyperlink w:anchor="_Toc127256225" w:history="1">
        <w:r w:rsidRPr="00A42F34" w:rsidR="00D52DE4">
          <w:rPr>
            <w:rStyle w:val="Hyperlink"/>
            <w:noProof/>
          </w:rPr>
          <w:t>C.</w:t>
        </w:r>
        <w:r w:rsidR="00D52DE4">
          <w:rPr>
            <w:rFonts w:asciiTheme="minorHAnsi" w:eastAsiaTheme="minorEastAsia" w:hAnsiTheme="minorHAnsi" w:cstheme="minorBidi"/>
            <w:noProof/>
            <w:sz w:val="22"/>
            <w:szCs w:val="22"/>
          </w:rPr>
          <w:tab/>
        </w:r>
        <w:r w:rsidRPr="00A42F34" w:rsidR="00D52DE4">
          <w:rPr>
            <w:rStyle w:val="Hyperlink"/>
            <w:noProof/>
          </w:rPr>
          <w:t xml:space="preserve">To protect consumers, the PUCO should reject DP&amp;L’s 15 percent variance proposal because it exaggerates fluctuations in DP&amp;L’s </w:t>
        </w:r>
        <w:r w:rsidR="00D52DE4">
          <w:rPr>
            <w:rStyle w:val="Hyperlink"/>
            <w:noProof/>
          </w:rPr>
          <w:br/>
        </w:r>
        <w:r w:rsidRPr="00A42F34" w:rsidR="00D52DE4">
          <w:rPr>
            <w:rStyle w:val="Hyperlink"/>
            <w:noProof/>
          </w:rPr>
          <w:t>historical performance and is arbitrary.</w:t>
        </w:r>
        <w:r w:rsidR="00D52DE4">
          <w:rPr>
            <w:noProof/>
            <w:webHidden/>
          </w:rPr>
          <w:tab/>
        </w:r>
        <w:r w:rsidR="00D52DE4">
          <w:rPr>
            <w:noProof/>
            <w:webHidden/>
          </w:rPr>
          <w:fldChar w:fldCharType="begin"/>
        </w:r>
        <w:r w:rsidR="00D52DE4">
          <w:rPr>
            <w:noProof/>
            <w:webHidden/>
          </w:rPr>
          <w:instrText xml:space="preserve"> PAGEREF _Toc127256225 \h </w:instrText>
        </w:r>
        <w:r w:rsidR="00D52DE4">
          <w:rPr>
            <w:noProof/>
            <w:webHidden/>
          </w:rPr>
          <w:fldChar w:fldCharType="separate"/>
        </w:r>
        <w:r w:rsidR="00D52DE4">
          <w:rPr>
            <w:noProof/>
            <w:webHidden/>
          </w:rPr>
          <w:t>6</w:t>
        </w:r>
        <w:r w:rsidR="00D52DE4">
          <w:rPr>
            <w:noProof/>
            <w:webHidden/>
          </w:rPr>
          <w:fldChar w:fldCharType="end"/>
        </w:r>
      </w:hyperlink>
    </w:p>
    <w:p w:rsidR="00E3545B" w14:paraId="12142B59" w14:textId="77777777">
      <w:pPr>
        <w:pStyle w:val="TOC2"/>
        <w:tabs>
          <w:tab w:val="left" w:pos="1440"/>
        </w:tabs>
        <w:rPr>
          <w:rFonts w:asciiTheme="minorHAnsi" w:eastAsiaTheme="minorEastAsia" w:hAnsiTheme="minorHAnsi" w:cstheme="minorBidi"/>
          <w:noProof/>
          <w:sz w:val="22"/>
          <w:szCs w:val="22"/>
        </w:rPr>
      </w:pPr>
      <w:hyperlink w:anchor="_Toc127256226" w:history="1">
        <w:r w:rsidRPr="00A42F34" w:rsidR="00D52DE4">
          <w:rPr>
            <w:rStyle w:val="Hyperlink"/>
            <w:noProof/>
          </w:rPr>
          <w:t>D.</w:t>
        </w:r>
        <w:r w:rsidR="00D52DE4">
          <w:rPr>
            <w:rFonts w:asciiTheme="minorHAnsi" w:eastAsiaTheme="minorEastAsia" w:hAnsiTheme="minorHAnsi" w:cstheme="minorBidi"/>
            <w:noProof/>
            <w:sz w:val="22"/>
            <w:szCs w:val="22"/>
          </w:rPr>
          <w:tab/>
        </w:r>
        <w:r w:rsidRPr="00A42F34" w:rsidR="00D52DE4">
          <w:rPr>
            <w:rStyle w:val="Hyperlink"/>
            <w:noProof/>
          </w:rPr>
          <w:t xml:space="preserve">DP&amp;L’s Customer Satisfaction Survey is an unreliable tool for </w:t>
        </w:r>
        <w:r w:rsidR="00D52DE4">
          <w:rPr>
            <w:rStyle w:val="Hyperlink"/>
            <w:noProof/>
          </w:rPr>
          <w:br/>
        </w:r>
        <w:r w:rsidRPr="00A42F34" w:rsidR="00D52DE4">
          <w:rPr>
            <w:rStyle w:val="Hyperlink"/>
            <w:noProof/>
          </w:rPr>
          <w:t>protecting consumers and determining just and reasonable reliability standards.</w:t>
        </w:r>
        <w:r w:rsidR="00D52DE4">
          <w:rPr>
            <w:noProof/>
            <w:webHidden/>
          </w:rPr>
          <w:tab/>
        </w:r>
        <w:r w:rsidR="00D52DE4">
          <w:rPr>
            <w:noProof/>
            <w:webHidden/>
          </w:rPr>
          <w:fldChar w:fldCharType="begin"/>
        </w:r>
        <w:r w:rsidR="00D52DE4">
          <w:rPr>
            <w:noProof/>
            <w:webHidden/>
          </w:rPr>
          <w:instrText xml:space="preserve"> PAGEREF _Toc127256226 \h </w:instrText>
        </w:r>
        <w:r w:rsidR="00D52DE4">
          <w:rPr>
            <w:noProof/>
            <w:webHidden/>
          </w:rPr>
          <w:fldChar w:fldCharType="separate"/>
        </w:r>
        <w:r w:rsidR="00D52DE4">
          <w:rPr>
            <w:noProof/>
            <w:webHidden/>
          </w:rPr>
          <w:t>8</w:t>
        </w:r>
        <w:r w:rsidR="00D52DE4">
          <w:rPr>
            <w:noProof/>
            <w:webHidden/>
          </w:rPr>
          <w:fldChar w:fldCharType="end"/>
        </w:r>
      </w:hyperlink>
    </w:p>
    <w:p w:rsidR="00E3545B" w14:paraId="2ACFB22D" w14:textId="77777777">
      <w:pPr>
        <w:pStyle w:val="TOC2"/>
        <w:tabs>
          <w:tab w:val="left" w:pos="1440"/>
        </w:tabs>
        <w:rPr>
          <w:rFonts w:asciiTheme="minorHAnsi" w:eastAsiaTheme="minorEastAsia" w:hAnsiTheme="minorHAnsi" w:cstheme="minorBidi"/>
          <w:noProof/>
          <w:sz w:val="22"/>
          <w:szCs w:val="22"/>
        </w:rPr>
      </w:pPr>
      <w:hyperlink w:anchor="_Toc127256227" w:history="1">
        <w:r w:rsidRPr="00A42F34" w:rsidR="00D52DE4">
          <w:rPr>
            <w:rStyle w:val="Hyperlink"/>
            <w:noProof/>
          </w:rPr>
          <w:t>E.</w:t>
        </w:r>
        <w:r w:rsidR="00D52DE4">
          <w:rPr>
            <w:rFonts w:asciiTheme="minorHAnsi" w:eastAsiaTheme="minorEastAsia" w:hAnsiTheme="minorHAnsi" w:cstheme="minorBidi"/>
            <w:noProof/>
            <w:sz w:val="22"/>
            <w:szCs w:val="22"/>
          </w:rPr>
          <w:tab/>
        </w:r>
        <w:r w:rsidRPr="00A42F34" w:rsidR="00D52DE4">
          <w:rPr>
            <w:rStyle w:val="Hyperlink"/>
            <w:noProof/>
          </w:rPr>
          <w:t xml:space="preserve">Calculating SAIFI by using active customer numbers rather than </w:t>
        </w:r>
        <w:r w:rsidR="00D52DE4">
          <w:rPr>
            <w:rStyle w:val="Hyperlink"/>
            <w:noProof/>
          </w:rPr>
          <w:br/>
        </w:r>
        <w:r w:rsidRPr="00A42F34" w:rsidR="00D52DE4">
          <w:rPr>
            <w:rStyle w:val="Hyperlink"/>
            <w:noProof/>
          </w:rPr>
          <w:t>premises underrepresents DP&amp;L’s service obligation, is administratively inefficient, creates an easier reliability standard, and lessens DP&amp;L’s SmartGrid Plan commitments, to consumers’ detriment.</w:t>
        </w:r>
        <w:r w:rsidR="00D52DE4">
          <w:rPr>
            <w:noProof/>
            <w:webHidden/>
          </w:rPr>
          <w:tab/>
        </w:r>
        <w:r w:rsidR="00D52DE4">
          <w:rPr>
            <w:noProof/>
            <w:webHidden/>
          </w:rPr>
          <w:fldChar w:fldCharType="begin"/>
        </w:r>
        <w:r w:rsidR="00D52DE4">
          <w:rPr>
            <w:noProof/>
            <w:webHidden/>
          </w:rPr>
          <w:instrText xml:space="preserve"> PAGEREF _Toc127256227 \h </w:instrText>
        </w:r>
        <w:r w:rsidR="00D52DE4">
          <w:rPr>
            <w:noProof/>
            <w:webHidden/>
          </w:rPr>
          <w:fldChar w:fldCharType="separate"/>
        </w:r>
        <w:r w:rsidR="00D52DE4">
          <w:rPr>
            <w:noProof/>
            <w:webHidden/>
          </w:rPr>
          <w:t>8</w:t>
        </w:r>
        <w:r w:rsidR="00D52DE4">
          <w:rPr>
            <w:noProof/>
            <w:webHidden/>
          </w:rPr>
          <w:fldChar w:fldCharType="end"/>
        </w:r>
      </w:hyperlink>
    </w:p>
    <w:p w:rsidR="00E3545B" w14:paraId="7CF32EB4" w14:textId="77777777">
      <w:pPr>
        <w:pStyle w:val="TOC2"/>
        <w:tabs>
          <w:tab w:val="left" w:pos="1440"/>
        </w:tabs>
        <w:rPr>
          <w:rFonts w:asciiTheme="minorHAnsi" w:eastAsiaTheme="minorEastAsia" w:hAnsiTheme="minorHAnsi" w:cstheme="minorBidi"/>
          <w:noProof/>
          <w:sz w:val="22"/>
          <w:szCs w:val="22"/>
        </w:rPr>
      </w:pPr>
      <w:hyperlink w:anchor="_Toc127256228" w:history="1">
        <w:r w:rsidRPr="00A42F34" w:rsidR="00D52DE4">
          <w:rPr>
            <w:rStyle w:val="Hyperlink"/>
            <w:noProof/>
          </w:rPr>
          <w:t>F.</w:t>
        </w:r>
        <w:r w:rsidR="00D52DE4">
          <w:rPr>
            <w:rFonts w:asciiTheme="minorHAnsi" w:eastAsiaTheme="minorEastAsia" w:hAnsiTheme="minorHAnsi" w:cstheme="minorBidi"/>
            <w:noProof/>
            <w:sz w:val="22"/>
            <w:szCs w:val="22"/>
          </w:rPr>
          <w:tab/>
        </w:r>
        <w:r w:rsidRPr="00A42F34" w:rsidR="00D52DE4">
          <w:rPr>
            <w:rStyle w:val="Hyperlink"/>
            <w:noProof/>
          </w:rPr>
          <w:t>DP&amp;L’s service reliability should improve as it implements its grid modernization plan, to consumers’ benefit.</w:t>
        </w:r>
        <w:r w:rsidR="00D52DE4">
          <w:rPr>
            <w:noProof/>
            <w:webHidden/>
          </w:rPr>
          <w:tab/>
        </w:r>
        <w:r w:rsidR="00D52DE4">
          <w:rPr>
            <w:noProof/>
            <w:webHidden/>
          </w:rPr>
          <w:fldChar w:fldCharType="begin"/>
        </w:r>
        <w:r w:rsidR="00D52DE4">
          <w:rPr>
            <w:noProof/>
            <w:webHidden/>
          </w:rPr>
          <w:instrText xml:space="preserve"> PAGEREF _Toc127256228 \h </w:instrText>
        </w:r>
        <w:r w:rsidR="00D52DE4">
          <w:rPr>
            <w:noProof/>
            <w:webHidden/>
          </w:rPr>
          <w:fldChar w:fldCharType="separate"/>
        </w:r>
        <w:r w:rsidR="00D52DE4">
          <w:rPr>
            <w:noProof/>
            <w:webHidden/>
          </w:rPr>
          <w:t>10</w:t>
        </w:r>
        <w:r w:rsidR="00D52DE4">
          <w:rPr>
            <w:noProof/>
            <w:webHidden/>
          </w:rPr>
          <w:fldChar w:fldCharType="end"/>
        </w:r>
      </w:hyperlink>
    </w:p>
    <w:p w:rsidR="00E3545B" w14:paraId="18539EBD" w14:textId="77777777">
      <w:pPr>
        <w:pStyle w:val="TOC1"/>
        <w:rPr>
          <w:rFonts w:asciiTheme="minorHAnsi" w:eastAsiaTheme="minorEastAsia" w:hAnsiTheme="minorHAnsi" w:cstheme="minorBidi"/>
          <w:caps w:val="0"/>
          <w:sz w:val="22"/>
          <w:szCs w:val="22"/>
        </w:rPr>
      </w:pPr>
      <w:hyperlink w:anchor="_Toc127256229" w:history="1">
        <w:r w:rsidRPr="00A42F34" w:rsidR="00D52DE4">
          <w:rPr>
            <w:rStyle w:val="Hyperlink"/>
          </w:rPr>
          <w:t>III.</w:t>
        </w:r>
        <w:r w:rsidR="00D52DE4">
          <w:rPr>
            <w:rFonts w:asciiTheme="minorHAnsi" w:eastAsiaTheme="minorEastAsia" w:hAnsiTheme="minorHAnsi" w:cstheme="minorBidi"/>
            <w:caps w:val="0"/>
            <w:sz w:val="22"/>
            <w:szCs w:val="22"/>
          </w:rPr>
          <w:tab/>
        </w:r>
        <w:r w:rsidRPr="00A42F34" w:rsidR="00D52DE4">
          <w:rPr>
            <w:rStyle w:val="Hyperlink"/>
          </w:rPr>
          <w:t>CONCLUSION</w:t>
        </w:r>
        <w:r w:rsidR="00D52DE4">
          <w:rPr>
            <w:webHidden/>
          </w:rPr>
          <w:tab/>
        </w:r>
        <w:r w:rsidR="00D52DE4">
          <w:rPr>
            <w:webHidden/>
          </w:rPr>
          <w:fldChar w:fldCharType="begin"/>
        </w:r>
        <w:r w:rsidR="00D52DE4">
          <w:rPr>
            <w:webHidden/>
          </w:rPr>
          <w:instrText xml:space="preserve"> PAGEREF _Toc127256229 \h </w:instrText>
        </w:r>
        <w:r w:rsidR="00D52DE4">
          <w:rPr>
            <w:webHidden/>
          </w:rPr>
          <w:fldChar w:fldCharType="separate"/>
        </w:r>
        <w:r w:rsidR="00D52DE4">
          <w:rPr>
            <w:webHidden/>
          </w:rPr>
          <w:t>11</w:t>
        </w:r>
        <w:r w:rsidR="00D52DE4">
          <w:rPr>
            <w:webHidden/>
          </w:rPr>
          <w:fldChar w:fldCharType="end"/>
        </w:r>
      </w:hyperlink>
    </w:p>
    <w:p w:rsidR="004E7C9B" w:rsidRPr="00EF64A9" w:rsidP="003A71AB" w14:paraId="5AFD6923" w14:textId="77777777">
      <w:pPr>
        <w:pStyle w:val="TOC1"/>
        <w:sectPr w:rsidSect="000E53BE">
          <w:footerReference w:type="default" r:id="rId11"/>
          <w:pgSz w:w="12240" w:h="15840" w:code="1"/>
          <w:pgMar w:top="1440" w:right="1800" w:bottom="1440" w:left="1800" w:header="720" w:footer="720" w:gutter="0"/>
          <w:pgNumType w:fmt="lowerRoman" w:start="1"/>
          <w:cols w:space="720"/>
          <w:docGrid w:linePitch="360"/>
        </w:sectPr>
      </w:pPr>
      <w:r>
        <w:rPr>
          <w:b/>
          <w:bCs/>
          <w:caps w:val="0"/>
        </w:rPr>
        <w:fldChar w:fldCharType="end"/>
      </w:r>
    </w:p>
    <w:p w:rsidR="00D76A13" w:rsidRPr="00EF64A9" w:rsidP="00D76A13" w14:paraId="46B7518F" w14:textId="77777777">
      <w:pPr>
        <w:pStyle w:val="Title"/>
        <w:rPr>
          <w:sz w:val="24"/>
          <w:szCs w:val="24"/>
        </w:rPr>
      </w:pPr>
      <w:r w:rsidRPr="00EF64A9">
        <w:rPr>
          <w:sz w:val="24"/>
          <w:szCs w:val="24"/>
        </w:rPr>
        <w:t>BEFORE</w:t>
      </w:r>
    </w:p>
    <w:p w:rsidR="00D76A13" w:rsidRPr="00EF64A9" w:rsidP="00D76A13" w14:paraId="01C0BFBB" w14:textId="77777777">
      <w:pPr>
        <w:jc w:val="center"/>
        <w:rPr>
          <w:b/>
        </w:rPr>
      </w:pPr>
      <w:r w:rsidRPr="00EF64A9">
        <w:rPr>
          <w:b/>
        </w:rPr>
        <w:t>THE PUBLIC UTILITIES COMMISSION OF OHIO</w:t>
      </w:r>
    </w:p>
    <w:p w:rsidR="00D76A13" w:rsidRPr="00EF64A9" w:rsidP="00D76A13" w14:paraId="5A88282C"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0B979BBE" w14:textId="77777777" w:rsidTr="00D76033">
        <w:tblPrEx>
          <w:tblW w:w="8550" w:type="dxa"/>
          <w:tblLook w:val="01E0"/>
        </w:tblPrEx>
        <w:trPr>
          <w:trHeight w:val="807"/>
        </w:trPr>
        <w:tc>
          <w:tcPr>
            <w:tcW w:w="4331" w:type="dxa"/>
            <w:shd w:val="clear" w:color="auto" w:fill="auto"/>
          </w:tcPr>
          <w:p w:rsidR="00D76A13" w:rsidRPr="00EF64A9" w:rsidP="00D76033" w14:paraId="347A0584" w14:textId="77777777">
            <w:pPr>
              <w:autoSpaceDE w:val="0"/>
              <w:autoSpaceDN w:val="0"/>
              <w:adjustRightInd w:val="0"/>
            </w:pPr>
            <w:r w:rsidRPr="00EF64A9">
              <w:t xml:space="preserve">In the Matter of the Application of </w:t>
            </w:r>
            <w:r w:rsidRPr="00EF64A9" w:rsidR="00751BD3">
              <w:t>t</w:t>
            </w:r>
            <w:r w:rsidRPr="00EF64A9">
              <w:t>he Dayton Power and Light Company d/b/a AES Ohio for Establishing New Reliability Standards.</w:t>
            </w:r>
          </w:p>
        </w:tc>
        <w:tc>
          <w:tcPr>
            <w:tcW w:w="296" w:type="dxa"/>
            <w:shd w:val="clear" w:color="auto" w:fill="auto"/>
          </w:tcPr>
          <w:p w:rsidR="00D76A13" w:rsidRPr="00EF64A9" w:rsidP="00D76033" w14:paraId="48326827"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50D279C8"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3596D0CA"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75D494C5"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tc>
        <w:tc>
          <w:tcPr>
            <w:tcW w:w="3923" w:type="dxa"/>
            <w:shd w:val="clear" w:color="auto" w:fill="auto"/>
          </w:tcPr>
          <w:p w:rsidR="00D76A13" w:rsidRPr="00EF64A9" w:rsidP="00D76033" w14:paraId="775C3D07" w14:textId="77777777">
            <w:pPr>
              <w:pStyle w:val="HTMLPreformatted"/>
              <w:rPr>
                <w:rFonts w:ascii="Times New Roman" w:hAnsi="Times New Roman" w:cs="Times New Roman"/>
                <w:sz w:val="24"/>
                <w:szCs w:val="24"/>
              </w:rPr>
            </w:pPr>
          </w:p>
          <w:p w:rsidR="00D76A13" w:rsidRPr="00EF64A9" w:rsidP="00E7452B" w14:paraId="289E324D" w14:textId="77777777">
            <w:pPr>
              <w:pStyle w:val="HTMLPreformatted"/>
              <w:ind w:left="119"/>
              <w:rPr>
                <w:rFonts w:ascii="Times New Roman" w:hAnsi="Times New Roman" w:cs="Times New Roman"/>
                <w:sz w:val="24"/>
                <w:szCs w:val="24"/>
              </w:rPr>
            </w:pPr>
            <w:r w:rsidRPr="00EF64A9">
              <w:rPr>
                <w:rFonts w:ascii="Times New Roman" w:hAnsi="Times New Roman" w:cs="Times New Roman"/>
                <w:sz w:val="24"/>
                <w:szCs w:val="24"/>
              </w:rPr>
              <w:t>Case No. 21-956-EL-ESS</w:t>
            </w:r>
          </w:p>
          <w:p w:rsidR="00D76A13" w:rsidRPr="00EF64A9" w:rsidP="00D76033" w14:paraId="57FC7815" w14:textId="77777777">
            <w:pPr>
              <w:pStyle w:val="HTMLPreformatted"/>
              <w:rPr>
                <w:rFonts w:ascii="Times New Roman" w:hAnsi="Times New Roman" w:cs="Times New Roman"/>
                <w:sz w:val="24"/>
                <w:szCs w:val="24"/>
              </w:rPr>
            </w:pPr>
          </w:p>
        </w:tc>
      </w:tr>
    </w:tbl>
    <w:p w:rsidR="00D76A13" w:rsidRPr="00EF64A9" w:rsidP="00D76A13" w14:paraId="523E80E5" w14:textId="77777777"/>
    <w:p w:rsidR="00D76A13" w:rsidRPr="00EF64A9" w:rsidP="00D76A13" w14:paraId="42E3A5DC" w14:textId="77777777">
      <w:pPr>
        <w:pBdr>
          <w:top w:val="single" w:sz="12" w:space="1" w:color="auto"/>
        </w:pBdr>
      </w:pPr>
    </w:p>
    <w:p w:rsidR="00D76A13" w:rsidRPr="00EF64A9" w:rsidP="00D76A13" w14:paraId="325ECC81" w14:textId="77777777">
      <w:pPr>
        <w:jc w:val="center"/>
        <w:rPr>
          <w:b/>
        </w:rPr>
      </w:pPr>
      <w:r>
        <w:rPr>
          <w:b/>
        </w:rPr>
        <w:t>REPLY</w:t>
      </w:r>
      <w:r w:rsidRPr="00EF64A9">
        <w:rPr>
          <w:b/>
        </w:rPr>
        <w:t xml:space="preserve"> </w:t>
      </w:r>
      <w:r w:rsidRPr="00EF64A9" w:rsidR="009108D2">
        <w:rPr>
          <w:b/>
        </w:rPr>
        <w:t>BRIEF FOR CONSUMER PROTECTION</w:t>
      </w:r>
    </w:p>
    <w:p w:rsidR="00D76A13" w:rsidRPr="00EF64A9" w:rsidP="00D76A13" w14:paraId="79D833B2" w14:textId="77777777">
      <w:pPr>
        <w:jc w:val="center"/>
        <w:rPr>
          <w:b/>
        </w:rPr>
      </w:pPr>
      <w:r w:rsidRPr="00EF64A9">
        <w:rPr>
          <w:b/>
        </w:rPr>
        <w:t>BY</w:t>
      </w:r>
    </w:p>
    <w:p w:rsidR="00D76A13" w:rsidRPr="00EF64A9" w:rsidP="00D76A13" w14:paraId="764434C3" w14:textId="77777777">
      <w:pPr>
        <w:jc w:val="center"/>
        <w:rPr>
          <w:b/>
        </w:rPr>
      </w:pPr>
      <w:r w:rsidRPr="00EF64A9">
        <w:rPr>
          <w:b/>
        </w:rPr>
        <w:t>OFFICE OF THE OHIO CONSUMERS’ COUNSEL</w:t>
      </w:r>
    </w:p>
    <w:p w:rsidR="00D76A13" w:rsidRPr="00EF64A9" w:rsidP="00D76A13" w14:paraId="31A91BD8" w14:textId="77777777">
      <w:pPr>
        <w:pBdr>
          <w:bottom w:val="single" w:sz="12" w:space="1" w:color="auto"/>
        </w:pBdr>
        <w:spacing w:after="240"/>
      </w:pPr>
    </w:p>
    <w:p w:rsidR="005D75E1" w:rsidRPr="00906649" w:rsidP="00247CC5" w14:paraId="3F9E02D0" w14:textId="77777777">
      <w:pPr>
        <w:pStyle w:val="Heading1"/>
      </w:pPr>
      <w:bookmarkStart w:id="0" w:name="_Toc127256221"/>
      <w:r>
        <w:t>I.</w:t>
      </w:r>
      <w:r>
        <w:tab/>
      </w:r>
      <w:r w:rsidRPr="00906649" w:rsidR="0000612B">
        <w:t>INTRODUCTION</w:t>
      </w:r>
      <w:bookmarkEnd w:id="0"/>
    </w:p>
    <w:p w:rsidR="003E3D85" w:rsidP="000406AE" w14:paraId="2BDEBB22" w14:textId="77777777">
      <w:pPr>
        <w:tabs>
          <w:tab w:val="left" w:pos="1260"/>
          <w:tab w:val="left" w:pos="1440"/>
          <w:tab w:val="left" w:leader="dot" w:pos="8640"/>
        </w:tabs>
        <w:spacing w:line="480" w:lineRule="auto"/>
        <w:ind w:firstLine="720"/>
      </w:pPr>
      <w:r w:rsidRPr="003E3D85">
        <w:t xml:space="preserve">Dayton Power and Light Company d/b/a/ AES Ohio (“DP&amp;L”) </w:t>
      </w:r>
      <w:r>
        <w:t xml:space="preserve">wants to provide less reliable electric service to consumers. DP&amp;L </w:t>
      </w:r>
      <w:r w:rsidR="0091494A">
        <w:t>asks</w:t>
      </w:r>
      <w:r>
        <w:t xml:space="preserve"> the PUCO to modify its CAIDI</w:t>
      </w:r>
      <w:r w:rsidR="00A20AFC">
        <w:t xml:space="preserve"> and </w:t>
      </w:r>
      <w:r>
        <w:t>SAIFI</w:t>
      </w:r>
      <w:r>
        <w:rPr>
          <w:rStyle w:val="FootnoteReference"/>
        </w:rPr>
        <w:footnoteReference w:id="2"/>
      </w:r>
      <w:r>
        <w:t xml:space="preserve"> standards, which </w:t>
      </w:r>
      <w:r w:rsidR="000406AE">
        <w:t xml:space="preserve">establish minimum </w:t>
      </w:r>
      <w:r w:rsidR="0091494A">
        <w:t>standards</w:t>
      </w:r>
      <w:r w:rsidR="000406AE">
        <w:t xml:space="preserve"> for </w:t>
      </w:r>
      <w:r w:rsidR="004807A9">
        <w:t>reliability</w:t>
      </w:r>
      <w:r w:rsidR="000406AE">
        <w:t xml:space="preserve"> performance. DP&amp;L </w:t>
      </w:r>
      <w:r w:rsidR="0091494A">
        <w:t>requests that</w:t>
      </w:r>
      <w:r w:rsidR="000406AE">
        <w:t xml:space="preserve"> the PUCO </w:t>
      </w:r>
      <w:r w:rsidR="004807A9">
        <w:t>reduce the standards</w:t>
      </w:r>
      <w:r w:rsidR="000406AE">
        <w:t xml:space="preserve"> so that they are easier to meet. DP&amp;L also requests </w:t>
      </w:r>
      <w:r w:rsidR="004807A9">
        <w:t xml:space="preserve">that </w:t>
      </w:r>
      <w:r w:rsidR="000406AE">
        <w:t>the PUCO calculate CAIDI</w:t>
      </w:r>
      <w:r w:rsidR="00A20AFC">
        <w:t xml:space="preserve"> and </w:t>
      </w:r>
      <w:r w:rsidR="000406AE">
        <w:t>SAIFI in a new way</w:t>
      </w:r>
      <w:r w:rsidR="004807A9">
        <w:t xml:space="preserve"> that</w:t>
      </w:r>
      <w:r w:rsidR="000406AE">
        <w:t xml:space="preserve"> is more favorable to </w:t>
      </w:r>
      <w:r w:rsidR="004807A9">
        <w:t>it</w:t>
      </w:r>
      <w:r>
        <w:t xml:space="preserve">. The result of </w:t>
      </w:r>
      <w:r w:rsidR="00790D2E">
        <w:t xml:space="preserve">granting DP&amp;L’s </w:t>
      </w:r>
      <w:r>
        <w:t>requests would be longer and more frequent outages for Ohio consumers.</w:t>
      </w:r>
      <w:r w:rsidRPr="003E3D85">
        <w:t xml:space="preserve"> </w:t>
      </w:r>
      <w:r>
        <w:t xml:space="preserve">The PUCO should </w:t>
      </w:r>
      <w:r w:rsidR="00790D2E">
        <w:t>say “no.”</w:t>
      </w:r>
    </w:p>
    <w:p w:rsidR="003E3D85" w:rsidRPr="00DA5D00" w:rsidP="003E3D85" w14:paraId="1ABDCB77" w14:textId="77777777">
      <w:pPr>
        <w:tabs>
          <w:tab w:val="left" w:pos="1260"/>
          <w:tab w:val="left" w:pos="1440"/>
          <w:tab w:val="left" w:leader="dot" w:pos="8640"/>
        </w:tabs>
        <w:spacing w:line="480" w:lineRule="auto"/>
        <w:ind w:firstLine="720"/>
        <w:rPr>
          <w:color w:val="000000" w:themeColor="text1"/>
        </w:rPr>
      </w:pPr>
      <w:r>
        <w:t>DP&amp;L fails to justify its request for easier reliability standards</w:t>
      </w:r>
      <w:r w:rsidR="007F270A">
        <w:t xml:space="preserve"> and </w:t>
      </w:r>
      <w:r w:rsidR="00790D2E">
        <w:t>less reliable service to its consumers</w:t>
      </w:r>
      <w:r>
        <w:t>. Aging infrastructure and increasing vegetation management costs are not preventing DP&amp;L from providing reliable service, as it claims.</w:t>
      </w:r>
      <w:r>
        <w:rPr>
          <w:rStyle w:val="FootnoteReference"/>
        </w:rPr>
        <w:footnoteReference w:id="3"/>
      </w:r>
      <w:r>
        <w:t xml:space="preserve"> Further, DP&amp;L’s proposed methods of calculating its CAIDI</w:t>
      </w:r>
      <w:r w:rsidR="00976B24">
        <w:t xml:space="preserve"> and </w:t>
      </w:r>
      <w:r>
        <w:t xml:space="preserve">SAIFI </w:t>
      </w:r>
      <w:r w:rsidR="00976B24">
        <w:t xml:space="preserve">standards </w:t>
      </w:r>
      <w:r>
        <w:t xml:space="preserve">are arbitrary and would result in increasingly worsening </w:t>
      </w:r>
      <w:r w:rsidR="007F270A">
        <w:t>targets</w:t>
      </w:r>
      <w:r w:rsidR="00790D2E">
        <w:t xml:space="preserve">. </w:t>
      </w:r>
      <w:r w:rsidR="007F270A">
        <w:t>This means</w:t>
      </w:r>
      <w:r w:rsidR="00790D2E">
        <w:t xml:space="preserve"> less reliable service for Dayton area consumers</w:t>
      </w:r>
      <w:r>
        <w:t xml:space="preserve">. Particularly offensive is DP&amp;L’s claim that consumers </w:t>
      </w:r>
      <w:r w:rsidR="0091494A">
        <w:t xml:space="preserve">actually </w:t>
      </w:r>
      <w:r>
        <w:t>approve of less reliable service, based on a Customer Satisfaction Survey</w:t>
      </w:r>
      <w:r>
        <w:rPr>
          <w:rStyle w:val="FootnoteReference"/>
        </w:rPr>
        <w:footnoteReference w:id="4"/>
      </w:r>
      <w:r>
        <w:t xml:space="preserve"> that is not an accurate</w:t>
      </w:r>
      <w:r w:rsidR="00790D2E">
        <w:t xml:space="preserve"> </w:t>
      </w:r>
      <w:r>
        <w:t xml:space="preserve">tool for setting </w:t>
      </w:r>
      <w:r w:rsidRPr="00DA5D00">
        <w:t xml:space="preserve">reliability standards. And DP&amp;L’s proposal ignores its </w:t>
      </w:r>
      <w:r w:rsidR="00777398">
        <w:t>PUCO</w:t>
      </w:r>
      <w:r w:rsidR="00B76671">
        <w:t>-</w:t>
      </w:r>
      <w:r w:rsidR="00777398">
        <w:t xml:space="preserve">approved </w:t>
      </w:r>
      <w:r w:rsidRPr="00DA5D00">
        <w:t>commitment to improve</w:t>
      </w:r>
      <w:r w:rsidRPr="00DA5D00">
        <w:rPr>
          <w:i/>
          <w:iCs/>
        </w:rPr>
        <w:t xml:space="preserve"> </w:t>
      </w:r>
      <w:r w:rsidRPr="00DA5D00">
        <w:t xml:space="preserve">reliability, in </w:t>
      </w:r>
      <w:r w:rsidRPr="00DA5D00">
        <w:rPr>
          <w:color w:val="000000" w:themeColor="text1"/>
        </w:rPr>
        <w:t xml:space="preserve">exchange for </w:t>
      </w:r>
      <w:r w:rsidR="00777398">
        <w:rPr>
          <w:color w:val="000000" w:themeColor="text1"/>
        </w:rPr>
        <w:t xml:space="preserve">consumers paying </w:t>
      </w:r>
      <w:r w:rsidRPr="00DA5D00">
        <w:rPr>
          <w:color w:val="000000" w:themeColor="text1"/>
        </w:rPr>
        <w:t>$267 million for Smart Grid improvements.</w:t>
      </w:r>
      <w:r>
        <w:rPr>
          <w:rStyle w:val="FootnoteReference"/>
          <w:color w:val="000000" w:themeColor="text1"/>
        </w:rPr>
        <w:footnoteReference w:id="5"/>
      </w:r>
      <w:r w:rsidRPr="00DA5D00">
        <w:rPr>
          <w:color w:val="000000" w:themeColor="text1"/>
        </w:rPr>
        <w:t xml:space="preserve"> </w:t>
      </w:r>
    </w:p>
    <w:p w:rsidR="00DE7871" w:rsidP="00DA5D00" w14:paraId="7E334BF9" w14:textId="77777777">
      <w:pPr>
        <w:tabs>
          <w:tab w:val="left" w:pos="1260"/>
          <w:tab w:val="left" w:pos="1440"/>
          <w:tab w:val="left" w:leader="dot" w:pos="8640"/>
        </w:tabs>
        <w:spacing w:line="480" w:lineRule="auto"/>
        <w:ind w:firstLine="720"/>
        <w:rPr>
          <w:color w:val="000000" w:themeColor="text1"/>
        </w:rPr>
      </w:pPr>
      <w:r w:rsidRPr="00DA5D00">
        <w:rPr>
          <w:color w:val="000000" w:themeColor="text1"/>
        </w:rPr>
        <w:t>DP&amp;L wants to charge consumers more for less</w:t>
      </w:r>
      <w:r w:rsidR="00777398">
        <w:rPr>
          <w:color w:val="000000" w:themeColor="text1"/>
        </w:rPr>
        <w:t xml:space="preserve"> reliable utility service</w:t>
      </w:r>
      <w:r w:rsidRPr="00DA5D00">
        <w:rPr>
          <w:color w:val="000000" w:themeColor="text1"/>
        </w:rPr>
        <w:t xml:space="preserve">. It wants consumers to </w:t>
      </w:r>
      <w:r w:rsidR="00777398">
        <w:rPr>
          <w:color w:val="000000" w:themeColor="text1"/>
        </w:rPr>
        <w:t xml:space="preserve">be at risk for </w:t>
      </w:r>
      <w:r w:rsidRPr="00DA5D00" w:rsidR="00DA5D00">
        <w:rPr>
          <w:color w:val="000000" w:themeColor="text1"/>
        </w:rPr>
        <w:t xml:space="preserve">more </w:t>
      </w:r>
      <w:r w:rsidR="00777398">
        <w:rPr>
          <w:color w:val="000000" w:themeColor="text1"/>
        </w:rPr>
        <w:t>frequent</w:t>
      </w:r>
      <w:r w:rsidR="00102045">
        <w:rPr>
          <w:color w:val="000000" w:themeColor="text1"/>
        </w:rPr>
        <w:t xml:space="preserve"> </w:t>
      </w:r>
      <w:r w:rsidRPr="00DA5D00" w:rsidR="00DA5D00">
        <w:rPr>
          <w:color w:val="000000" w:themeColor="text1"/>
        </w:rPr>
        <w:t>and longe</w:t>
      </w:r>
      <w:r w:rsidR="00A20AFC">
        <w:rPr>
          <w:color w:val="000000" w:themeColor="text1"/>
        </w:rPr>
        <w:t>r</w:t>
      </w:r>
      <w:r w:rsidR="00777398">
        <w:rPr>
          <w:color w:val="000000" w:themeColor="text1"/>
        </w:rPr>
        <w:t xml:space="preserve"> power losses</w:t>
      </w:r>
      <w:r w:rsidRPr="00DA5D00" w:rsidR="00DA5D00">
        <w:rPr>
          <w:color w:val="000000" w:themeColor="text1"/>
        </w:rPr>
        <w:t xml:space="preserve">. This is </w:t>
      </w:r>
      <w:r w:rsidR="00DA5D00">
        <w:rPr>
          <w:color w:val="000000" w:themeColor="text1"/>
        </w:rPr>
        <w:t xml:space="preserve">unjust and </w:t>
      </w:r>
      <w:r w:rsidRPr="00DA5D00" w:rsidR="00DA5D00">
        <w:rPr>
          <w:color w:val="000000" w:themeColor="text1"/>
        </w:rPr>
        <w:t xml:space="preserve">unreasonable. </w:t>
      </w:r>
      <w:r w:rsidR="00777398">
        <w:rPr>
          <w:color w:val="000000" w:themeColor="text1"/>
        </w:rPr>
        <w:t>To protect consumers, t</w:t>
      </w:r>
      <w:r w:rsidRPr="00DA5D00" w:rsidR="00DA5D00">
        <w:rPr>
          <w:color w:val="000000" w:themeColor="text1"/>
        </w:rPr>
        <w:t>he PUCO should reject DP&amp;L’s application.</w:t>
      </w:r>
    </w:p>
    <w:p w:rsidR="00155FF3" w:rsidRPr="00DA5D00" w:rsidP="00155FF3" w14:paraId="10F6950F" w14:textId="77777777">
      <w:pPr>
        <w:tabs>
          <w:tab w:val="left" w:pos="1260"/>
          <w:tab w:val="left" w:pos="1440"/>
          <w:tab w:val="left" w:leader="dot" w:pos="8640"/>
        </w:tabs>
        <w:ind w:firstLine="720"/>
        <w:rPr>
          <w:color w:val="000000" w:themeColor="text1"/>
        </w:rPr>
      </w:pPr>
    </w:p>
    <w:p w:rsidR="00AD42D6" w:rsidRPr="00DA5D00" w:rsidP="00247CC5" w14:paraId="5EC10ED4" w14:textId="77777777">
      <w:pPr>
        <w:pStyle w:val="Heading1"/>
        <w:rPr>
          <w:color w:val="000000" w:themeColor="text1"/>
        </w:rPr>
      </w:pPr>
      <w:bookmarkStart w:id="1" w:name="_Toc127256222"/>
      <w:r w:rsidRPr="00DA5D00">
        <w:rPr>
          <w:color w:val="000000" w:themeColor="text1"/>
        </w:rPr>
        <w:t>II.</w:t>
      </w:r>
      <w:r w:rsidRPr="00DA5D00">
        <w:rPr>
          <w:color w:val="000000" w:themeColor="text1"/>
        </w:rPr>
        <w:tab/>
      </w:r>
      <w:r w:rsidRPr="00DA5D00" w:rsidR="00AD2536">
        <w:rPr>
          <w:color w:val="000000" w:themeColor="text1"/>
        </w:rPr>
        <w:t>LAW AND ARGUMENT</w:t>
      </w:r>
      <w:bookmarkEnd w:id="1"/>
    </w:p>
    <w:p w:rsidR="004465BB" w:rsidP="00B76671" w14:paraId="2F62C591" w14:textId="77777777">
      <w:pPr>
        <w:pStyle w:val="Heading2"/>
      </w:pPr>
      <w:bookmarkStart w:id="2" w:name="_Toc127256223"/>
      <w:r w:rsidRPr="00DA5D00">
        <w:t>DP&amp;L</w:t>
      </w:r>
      <w:r w:rsidRPr="00DA5D00" w:rsidR="00DC3093">
        <w:t>’s explanations</w:t>
      </w:r>
      <w:r w:rsidRPr="00DA5D00">
        <w:t xml:space="preserve"> for its worsening reliability </w:t>
      </w:r>
      <w:r w:rsidRPr="00DA5D00" w:rsidR="00DC3093">
        <w:t>related to aging infrastructure and vegetation management costs are pretextual and exaggerated</w:t>
      </w:r>
      <w:r w:rsidR="00DC3093">
        <w:t>.</w:t>
      </w:r>
      <w:r w:rsidR="009B24F1">
        <w:t xml:space="preserve"> They should be rejected to protect consumers.</w:t>
      </w:r>
      <w:bookmarkEnd w:id="2"/>
      <w:r w:rsidR="00DC3093">
        <w:t xml:space="preserve"> </w:t>
      </w:r>
    </w:p>
    <w:p w:rsidR="009B24F1" w:rsidP="00822126" w14:paraId="7B420A63" w14:textId="77777777">
      <w:pPr>
        <w:spacing w:line="480" w:lineRule="auto"/>
        <w:ind w:firstLine="720"/>
      </w:pPr>
      <w:r>
        <w:t>DP&amp;L asks the PUCO to lower its SAIFI</w:t>
      </w:r>
      <w:r w:rsidR="00701683">
        <w:t xml:space="preserve"> and </w:t>
      </w:r>
      <w:r>
        <w:t xml:space="preserve">CAIDI </w:t>
      </w:r>
      <w:r w:rsidR="004807A9">
        <w:t xml:space="preserve">standards </w:t>
      </w:r>
      <w:r>
        <w:t xml:space="preserve">because </w:t>
      </w:r>
      <w:r w:rsidR="004807A9">
        <w:t>it</w:t>
      </w:r>
      <w:r>
        <w:t xml:space="preserve"> faces new obstacles to providing reliable service. First, DP&amp;L claims </w:t>
      </w:r>
      <w:r w:rsidR="004465BB">
        <w:t xml:space="preserve">that </w:t>
      </w:r>
      <w:r>
        <w:t>its “</w:t>
      </w:r>
      <w:r w:rsidR="004465BB">
        <w:t>assets are older than those of other Ohio</w:t>
      </w:r>
      <w:r>
        <w:t xml:space="preserve"> </w:t>
      </w:r>
      <w:r w:rsidR="004465BB">
        <w:t>utilities.”</w:t>
      </w:r>
      <w:r>
        <w:rPr>
          <w:rStyle w:val="FootnoteReference"/>
        </w:rPr>
        <w:footnoteReference w:id="6"/>
      </w:r>
      <w:r w:rsidR="004465BB">
        <w:t xml:space="preserve"> </w:t>
      </w:r>
      <w:r>
        <w:t>But this justification is pretextua</w:t>
      </w:r>
      <w:r w:rsidR="00AF0FA5">
        <w:t>l</w:t>
      </w:r>
      <w:r>
        <w:t xml:space="preserve">. </w:t>
      </w:r>
      <w:r w:rsidR="00AF0FA5">
        <w:t xml:space="preserve">O.A.C. 4901:1-1-10 requires utilities to file with the PUCO an “action plan” when they fail </w:t>
      </w:r>
      <w:r w:rsidR="004807A9">
        <w:t>to meet their reliability performance standards</w:t>
      </w:r>
      <w:r w:rsidR="00AF0FA5">
        <w:t>. An action plan is required to include “factors which contributed to the actual performance level</w:t>
      </w:r>
      <w:r w:rsidR="00DB6291">
        <w:t>.</w:t>
      </w:r>
      <w:r w:rsidR="00AF0FA5">
        <w:t>”</w:t>
      </w:r>
      <w:r>
        <w:rPr>
          <w:rStyle w:val="FootnoteReference"/>
        </w:rPr>
        <w:footnoteReference w:id="7"/>
      </w:r>
      <w:r w:rsidR="00AF0FA5">
        <w:t xml:space="preserve"> </w:t>
      </w:r>
    </w:p>
    <w:p w:rsidR="004465BB" w:rsidP="00822126" w14:paraId="2F957971" w14:textId="77777777">
      <w:pPr>
        <w:spacing w:line="480" w:lineRule="auto"/>
        <w:ind w:firstLine="720"/>
      </w:pPr>
      <w:r>
        <w:t xml:space="preserve">DP&amp;L filed an action </w:t>
      </w:r>
      <w:r w:rsidR="00C971CA">
        <w:t>plan</w:t>
      </w:r>
      <w:r>
        <w:t xml:space="preserve"> after it failed to meet its current minimum required CAIDI performance standard</w:t>
      </w:r>
      <w:r w:rsidR="00DB6291">
        <w:t xml:space="preserve"> </w:t>
      </w:r>
      <w:r>
        <w:t>in 2017, 2019, and 2020.</w:t>
      </w:r>
      <w:r>
        <w:rPr>
          <w:rStyle w:val="FootnoteReference"/>
        </w:rPr>
        <w:footnoteReference w:id="8"/>
      </w:r>
      <w:r>
        <w:t xml:space="preserve"> In none of these action reports did </w:t>
      </w:r>
      <w:r w:rsidR="004807A9">
        <w:t>DP&amp;L</w:t>
      </w:r>
      <w:r>
        <w:t xml:space="preserve"> identify aging infrastructure as a cause for failing to meet its </w:t>
      </w:r>
      <w:r w:rsidR="009B24F1">
        <w:t xml:space="preserve">CAIDI </w:t>
      </w:r>
      <w:r>
        <w:t>reliability</w:t>
      </w:r>
      <w:r w:rsidR="004807A9">
        <w:t xml:space="preserve"> standard</w:t>
      </w:r>
      <w:r>
        <w:t>.</w:t>
      </w:r>
      <w:r>
        <w:rPr>
          <w:rStyle w:val="FootnoteReference"/>
        </w:rPr>
        <w:footnoteReference w:id="9"/>
      </w:r>
      <w:r>
        <w:t xml:space="preserve"> DP&amp;L witness </w:t>
      </w:r>
      <w:r w:rsidR="00DB6291">
        <w:t xml:space="preserve">Mark </w:t>
      </w:r>
      <w:r>
        <w:t xml:space="preserve">Vest, who helped prepare each action report, admitted </w:t>
      </w:r>
      <w:r w:rsidR="00DB6291">
        <w:t>this</w:t>
      </w:r>
      <w:r>
        <w:t xml:space="preserve"> at hearing.</w:t>
      </w:r>
      <w:r>
        <w:rPr>
          <w:rStyle w:val="FootnoteReference"/>
        </w:rPr>
        <w:footnoteReference w:id="10"/>
      </w:r>
      <w:r w:rsidR="00DB6291">
        <w:t xml:space="preserve"> Only now </w:t>
      </w:r>
      <w:r w:rsidR="007778DF">
        <w:t xml:space="preserve">that DP&amp;L has the chance to seek a lower reliability standard does DP&amp;L identify aging infrastructure as </w:t>
      </w:r>
      <w:r w:rsidR="004A1045">
        <w:t>a problem</w:t>
      </w:r>
      <w:r w:rsidR="007778DF">
        <w:t>. The PUCO should not accept this after-the-fact justification for unreliable service</w:t>
      </w:r>
      <w:r w:rsidR="004A1045">
        <w:t>.</w:t>
      </w:r>
      <w:r w:rsidR="007778DF">
        <w:t xml:space="preserve"> </w:t>
      </w:r>
    </w:p>
    <w:p w:rsidR="004465BB" w:rsidP="00970DDF" w14:paraId="1460B919" w14:textId="77777777">
      <w:pPr>
        <w:spacing w:line="480" w:lineRule="auto"/>
        <w:ind w:firstLine="720"/>
      </w:pPr>
      <w:r>
        <w:t xml:space="preserve">Second, DP&amp;L claims that it “has not been </w:t>
      </w:r>
      <w:r w:rsidR="00970DDF">
        <w:t xml:space="preserve">able to </w:t>
      </w:r>
      <w:r>
        <w:t>adequately fund its vegetation management plan due to significant increase in such costs and a lack of available qualified labor.”</w:t>
      </w:r>
      <w:r>
        <w:rPr>
          <w:rStyle w:val="FootnoteReference"/>
        </w:rPr>
        <w:footnoteReference w:id="11"/>
      </w:r>
      <w:r w:rsidR="00B76671">
        <w:t xml:space="preserve"> </w:t>
      </w:r>
      <w:r w:rsidR="00777398">
        <w:t>The PUCO should give little weight to this excuse for non-compliance</w:t>
      </w:r>
      <w:r w:rsidR="00102045">
        <w:t xml:space="preserve"> </w:t>
      </w:r>
      <w:r w:rsidR="00970DDF">
        <w:t xml:space="preserve">The </w:t>
      </w:r>
      <w:r w:rsidR="00A01C33">
        <w:t>PUCO</w:t>
      </w:r>
      <w:r w:rsidR="00970DDF">
        <w:t xml:space="preserve"> </w:t>
      </w:r>
      <w:r>
        <w:t>authorized</w:t>
      </w:r>
      <w:r w:rsidR="00970DDF">
        <w:t xml:space="preserve"> a $5 million annual increase in vegetation management expenses in 2018 and a $4.3 million increase in 2022.</w:t>
      </w:r>
      <w:r>
        <w:rPr>
          <w:rStyle w:val="FootnoteReference"/>
        </w:rPr>
        <w:footnoteReference w:id="12"/>
      </w:r>
      <w:r w:rsidR="00970DDF">
        <w:t xml:space="preserve"> </w:t>
      </w:r>
      <w:r w:rsidR="006950D6">
        <w:t>This means</w:t>
      </w:r>
      <w:r w:rsidR="00970DDF">
        <w:t xml:space="preserve"> DP&amp;L’s vegetation management budget has nearly doubled, from $10.7 million to $20 million, in less than five years. </w:t>
      </w:r>
      <w:r w:rsidR="006950D6">
        <w:t xml:space="preserve">This increase has </w:t>
      </w:r>
      <w:r w:rsidR="00777398">
        <w:t xml:space="preserve">also </w:t>
      </w:r>
      <w:r w:rsidR="006950D6">
        <w:t xml:space="preserve">been </w:t>
      </w:r>
      <w:r w:rsidR="00777398">
        <w:t>further enhance</w:t>
      </w:r>
      <w:r w:rsidR="00B76671">
        <w:t>d</w:t>
      </w:r>
      <w:r w:rsidR="00777398">
        <w:t xml:space="preserve"> because DP&amp;L authorized</w:t>
      </w:r>
      <w:r w:rsidR="00102045">
        <w:t xml:space="preserve"> </w:t>
      </w:r>
      <w:r w:rsidR="006950D6">
        <w:t xml:space="preserve">to defer collection </w:t>
      </w:r>
      <w:r w:rsidR="009B24F1">
        <w:t xml:space="preserve">from consumers </w:t>
      </w:r>
      <w:r w:rsidR="006950D6">
        <w:t>an additional $7.5 million for certain tree-trimming costs.</w:t>
      </w:r>
      <w:r>
        <w:rPr>
          <w:rStyle w:val="FootnoteReference"/>
        </w:rPr>
        <w:footnoteReference w:id="13"/>
      </w:r>
      <w:r w:rsidR="006950D6">
        <w:t xml:space="preserve"> Clearly, DP&amp;L’s vegetation management budget has grown along with costs. So increasing </w:t>
      </w:r>
      <w:r w:rsidR="00DB6291">
        <w:t xml:space="preserve">vegetation management </w:t>
      </w:r>
      <w:r w:rsidR="006950D6">
        <w:t xml:space="preserve">costs and labor prices are no excuse for failing to provide consumers with reliable service. </w:t>
      </w:r>
    </w:p>
    <w:p w:rsidR="00822126" w:rsidP="00642630" w14:paraId="5DA9ADC6" w14:textId="77777777">
      <w:pPr>
        <w:spacing w:line="480" w:lineRule="auto"/>
        <w:ind w:firstLine="720"/>
      </w:pPr>
      <w:r>
        <w:t xml:space="preserve">Further, </w:t>
      </w:r>
      <w:r w:rsidR="006A0F98">
        <w:t xml:space="preserve">DP&amp;L itself is at fault for </w:t>
      </w:r>
      <w:r w:rsidR="00094CBD">
        <w:t>less reliable service.</w:t>
      </w:r>
      <w:r w:rsidR="00102045">
        <w:t xml:space="preserve"> </w:t>
      </w:r>
      <w:r w:rsidR="006A0F98">
        <w:t>DP&amp;L is charging consumers for tree-trimming services it is not providing. DP&amp;L is required to complete tree-trimming of all services within the right of way</w:t>
      </w:r>
      <w:r>
        <w:t xml:space="preserve"> every 5 years, on a staggered basis</w:t>
      </w:r>
      <w:r w:rsidR="006A0F98">
        <w:t>.</w:t>
      </w:r>
      <w:r>
        <w:rPr>
          <w:rStyle w:val="FootnoteReference"/>
        </w:rPr>
        <w:footnoteReference w:id="14"/>
      </w:r>
      <w:r>
        <w:t xml:space="preserve"> DP&amp;L has not met its obligations for the years 2018, 2019, and 2020.</w:t>
      </w:r>
      <w:r>
        <w:rPr>
          <w:rStyle w:val="FootnoteReference"/>
        </w:rPr>
        <w:footnoteReference w:id="15"/>
      </w:r>
      <w:r>
        <w:t xml:space="preserve"> DP&amp;L was required to complete tree-trimming of 108 circuits in each of these years.</w:t>
      </w:r>
      <w:r>
        <w:rPr>
          <w:rStyle w:val="FootnoteReference"/>
        </w:rPr>
        <w:footnoteReference w:id="16"/>
      </w:r>
      <w:r>
        <w:t xml:space="preserve"> The Company completed 71, 91, and 89 circuits, respectively.</w:t>
      </w:r>
      <w:r>
        <w:rPr>
          <w:rStyle w:val="FootnoteReference"/>
        </w:rPr>
        <w:footnoteReference w:id="17"/>
      </w:r>
      <w:r>
        <w:t xml:space="preserve"> In addition, DP&amp;L has not actually spent </w:t>
      </w:r>
      <w:r w:rsidR="00701683">
        <w:t>i</w:t>
      </w:r>
      <w:r w:rsidR="00094CBD">
        <w:t xml:space="preserve">n vegetation management what it is charging consumers for </w:t>
      </w:r>
      <w:r>
        <w:t>through base rates and authorized deferrals.</w:t>
      </w:r>
      <w:r>
        <w:rPr>
          <w:rStyle w:val="FootnoteReference"/>
        </w:rPr>
        <w:footnoteReference w:id="18"/>
      </w:r>
      <w:r>
        <w:t xml:space="preserve"> It is DP&amp;L’s fault that </w:t>
      </w:r>
      <w:r w:rsidR="003534DD">
        <w:t xml:space="preserve">its </w:t>
      </w:r>
      <w:r>
        <w:t xml:space="preserve">vegetation management </w:t>
      </w:r>
      <w:r w:rsidR="00E33B2A">
        <w:t xml:space="preserve">(or lack of) </w:t>
      </w:r>
      <w:r>
        <w:t xml:space="preserve">is </w:t>
      </w:r>
      <w:r w:rsidR="00E33B2A">
        <w:t>worsening</w:t>
      </w:r>
      <w:r>
        <w:t xml:space="preserve"> reliability. The PUCO should not reward </w:t>
      </w:r>
      <w:r w:rsidR="00094CBD">
        <w:t>DP&amp;L for its decision not to spend</w:t>
      </w:r>
      <w:r w:rsidR="00102045">
        <w:t xml:space="preserve"> </w:t>
      </w:r>
      <w:r w:rsidR="00DE104C">
        <w:t>money that had been collected from consumers to meet</w:t>
      </w:r>
      <w:r w:rsidR="00102045">
        <w:t xml:space="preserve"> </w:t>
      </w:r>
      <w:r>
        <w:t xml:space="preserve">vegetation management obligations by allowing it to provide less reliable </w:t>
      </w:r>
      <w:r w:rsidR="00102045">
        <w:t>service.</w:t>
      </w:r>
      <w:r w:rsidR="00994F01">
        <w:t xml:space="preserve"> </w:t>
      </w:r>
    </w:p>
    <w:p w:rsidR="004A1045" w:rsidRPr="004A1045" w:rsidP="00B76671" w14:paraId="517C7FE3" w14:textId="77777777">
      <w:pPr>
        <w:pStyle w:val="Heading2"/>
      </w:pPr>
      <w:bookmarkStart w:id="3" w:name="_Toc127256224"/>
      <w:r>
        <w:t>DP&amp;L’s reliability targets will become</w:t>
      </w:r>
      <w:r w:rsidR="00677792">
        <w:t xml:space="preserve"> increasingly easier unless the PUCO calculates SAIFI</w:t>
      </w:r>
      <w:r w:rsidR="00A20AFC">
        <w:t xml:space="preserve"> and </w:t>
      </w:r>
      <w:r w:rsidR="00677792">
        <w:t xml:space="preserve">CAIDI by excluding actual performance in years </w:t>
      </w:r>
      <w:r w:rsidR="009B24F1">
        <w:t>DP&amp;L</w:t>
      </w:r>
      <w:r w:rsidR="00677792">
        <w:t xml:space="preserve"> failed its reliability goals.</w:t>
      </w:r>
      <w:bookmarkEnd w:id="3"/>
      <w:r w:rsidR="00677792">
        <w:t xml:space="preserve"> </w:t>
      </w:r>
    </w:p>
    <w:p w:rsidR="00045D4C" w:rsidP="00574D6B" w14:paraId="30430414" w14:textId="77777777">
      <w:pPr>
        <w:spacing w:line="480" w:lineRule="auto"/>
        <w:ind w:firstLine="720"/>
      </w:pPr>
      <w:r>
        <w:t>OCC requests that in calculating DP&amp;L’s historical baseline, DP&amp;L’s performance be rounded down to the standard in years that the DP&amp;L failed to meet it. In years that DP&amp;L met the standard, DP&amp;L’s actual performance should be used.</w:t>
      </w:r>
    </w:p>
    <w:p w:rsidR="00045D4C" w14:paraId="16003A3A" w14:textId="77777777">
      <w:r>
        <w:br w:type="page"/>
      </w:r>
    </w:p>
    <w:p w:rsidR="00200CDC" w:rsidP="00045D4C" w14:paraId="21C67713" w14:textId="77777777">
      <w:pPr>
        <w:spacing w:line="480" w:lineRule="auto"/>
        <w:ind w:firstLine="720"/>
      </w:pPr>
      <w:r>
        <w:t xml:space="preserve">DP&amp;L </w:t>
      </w:r>
      <w:r w:rsidR="00352F96">
        <w:t>argues</w:t>
      </w:r>
      <w:r>
        <w:t xml:space="preserve"> that OCC’s proposal for calculating</w:t>
      </w:r>
      <w:r w:rsidR="00102045">
        <w:t xml:space="preserve"> </w:t>
      </w:r>
      <w:r w:rsidR="009B24F1">
        <w:t xml:space="preserve">its </w:t>
      </w:r>
      <w:r>
        <w:t>historical</w:t>
      </w:r>
      <w:r w:rsidR="00045D4C">
        <w:t xml:space="preserve"> </w:t>
      </w:r>
      <w:r>
        <w:t>system performance is “unprecedented.”</w:t>
      </w:r>
      <w:r>
        <w:rPr>
          <w:rStyle w:val="FootnoteReference"/>
        </w:rPr>
        <w:footnoteReference w:id="19"/>
      </w:r>
      <w:r w:rsidR="00352F96">
        <w:t xml:space="preserve"> DP&amp;L complains that this “punishes the Company for good performance.”</w:t>
      </w:r>
      <w:r>
        <w:rPr>
          <w:rStyle w:val="FootnoteReference"/>
        </w:rPr>
        <w:footnoteReference w:id="20"/>
      </w:r>
      <w:r w:rsidR="00352F96">
        <w:t xml:space="preserve"> </w:t>
      </w:r>
    </w:p>
    <w:p w:rsidR="00200CDC" w:rsidP="00200CDC" w14:paraId="55D2C9A0" w14:textId="77777777">
      <w:pPr>
        <w:spacing w:line="480" w:lineRule="auto"/>
        <w:ind w:firstLine="720"/>
      </w:pPr>
      <w:r>
        <w:t xml:space="preserve">What </w:t>
      </w:r>
      <w:r w:rsidR="00DE104C">
        <w:t>“</w:t>
      </w:r>
      <w:r>
        <w:t>good performance</w:t>
      </w:r>
      <w:r w:rsidR="00DE104C">
        <w:t>”</w:t>
      </w:r>
      <w:r>
        <w:t xml:space="preserve"> DP&amp;L refers to is unclear. DP&amp;L has failed to meet its CAIDI standard four out of the last five years, in 2017, 2019, 2020, and 2021.</w:t>
      </w:r>
      <w:r>
        <w:rPr>
          <w:rStyle w:val="FootnoteReference"/>
        </w:rPr>
        <w:footnoteReference w:id="21"/>
      </w:r>
      <w:r>
        <w:t xml:space="preserve"> What is “unprecedented” is DP&amp;’L’s failure to meet its reliability performance standard for three years straight – unprecedented in the Ohio electric industry since reliability standards were established.</w:t>
      </w:r>
      <w:r>
        <w:rPr>
          <w:rStyle w:val="FootnoteReference"/>
        </w:rPr>
        <w:footnoteReference w:id="22"/>
      </w:r>
      <w:r>
        <w:t xml:space="preserve"> This merits an unprecedented fix.</w:t>
      </w:r>
    </w:p>
    <w:p w:rsidR="009B24F1" w:rsidP="00FC3C79" w14:paraId="128DE209" w14:textId="77777777">
      <w:pPr>
        <w:spacing w:line="480" w:lineRule="auto"/>
        <w:ind w:firstLine="720"/>
      </w:pPr>
      <w:r>
        <w:t xml:space="preserve">Allowing DP&amp;L to use actual performance in years that it </w:t>
      </w:r>
      <w:r w:rsidR="000406AE">
        <w:t>did not</w:t>
      </w:r>
      <w:r>
        <w:t xml:space="preserve"> meet its standard rewards bad behavior. DP&amp;L’s </w:t>
      </w:r>
      <w:r w:rsidR="00FC3C79">
        <w:t>routine</w:t>
      </w:r>
      <w:r>
        <w:t xml:space="preserve"> </w:t>
      </w:r>
      <w:r w:rsidR="000406AE">
        <w:t>failure</w:t>
      </w:r>
      <w:r>
        <w:t xml:space="preserve"> to </w:t>
      </w:r>
      <w:r w:rsidR="000406AE">
        <w:t>hit</w:t>
      </w:r>
      <w:r>
        <w:t xml:space="preserve"> its reliability targets </w:t>
      </w:r>
      <w:r w:rsidR="00FC3C79">
        <w:t xml:space="preserve">will constantly </w:t>
      </w:r>
      <w:r>
        <w:t>increas</w:t>
      </w:r>
      <w:r w:rsidR="00FC3C79">
        <w:t>e</w:t>
      </w:r>
      <w:r>
        <w:t xml:space="preserve"> the </w:t>
      </w:r>
      <w:r w:rsidR="009B7E57">
        <w:t xml:space="preserve">average </w:t>
      </w:r>
      <w:r>
        <w:t xml:space="preserve">historical baseline upon which its next </w:t>
      </w:r>
      <w:r w:rsidR="00CF47B5">
        <w:t>goals</w:t>
      </w:r>
      <w:r>
        <w:t xml:space="preserve"> will be calculated. </w:t>
      </w:r>
      <w:r w:rsidR="00FC3C79">
        <w:t>This would keep CAIDI</w:t>
      </w:r>
      <w:r w:rsidR="00FC5023">
        <w:t xml:space="preserve"> and </w:t>
      </w:r>
      <w:r w:rsidR="00FC3C79">
        <w:t>SAIFI goals spiraling upwards, requiring less and less reliable electric service.</w:t>
      </w:r>
      <w:r w:rsidRPr="00FC3C79" w:rsidR="00FC3C79">
        <w:t xml:space="preserve"> </w:t>
      </w:r>
      <w:r w:rsidR="00FC3C79">
        <w:t xml:space="preserve">The PUCO cannot allow consumers to suffer this cycle of worsening performance. </w:t>
      </w:r>
    </w:p>
    <w:p w:rsidR="00257E5F" w:rsidP="00964D42" w14:paraId="68251DC0" w14:textId="77777777">
      <w:pPr>
        <w:spacing w:line="480" w:lineRule="auto"/>
        <w:ind w:firstLine="720"/>
      </w:pPr>
      <w:r>
        <w:t xml:space="preserve">Using the standard in years DP&amp;L failed to meet it, instead of actual performance, would ensure that </w:t>
      </w:r>
      <w:r w:rsidR="00FC3C79">
        <w:t xml:space="preserve">reliability goals improve over time, instead. This is appropriate, since DP&amp;L is deploying $267 million in smart grid technology that should allow </w:t>
      </w:r>
      <w:r w:rsidR="009B24F1">
        <w:t>it</w:t>
      </w:r>
      <w:r w:rsidR="00FC3C79">
        <w:t xml:space="preserve"> to provide more reliable service over time.</w:t>
      </w:r>
      <w:r>
        <w:rPr>
          <w:rStyle w:val="FootnoteReference"/>
        </w:rPr>
        <w:footnoteReference w:id="23"/>
      </w:r>
      <w:r>
        <w:t xml:space="preserve"> </w:t>
      </w:r>
    </w:p>
    <w:p w:rsidR="00411FB3" w:rsidP="00B76671" w14:paraId="72F34E93" w14:textId="77777777">
      <w:pPr>
        <w:pStyle w:val="Heading2"/>
      </w:pPr>
      <w:bookmarkStart w:id="4" w:name="_Toc127256225"/>
      <w:r>
        <w:t>T</w:t>
      </w:r>
      <w:r w:rsidR="009B24F1">
        <w:t>o protect consumers, t</w:t>
      </w:r>
      <w:r>
        <w:t xml:space="preserve">he PUCO should </w:t>
      </w:r>
      <w:r w:rsidR="00574D6B">
        <w:t>reject</w:t>
      </w:r>
      <w:r>
        <w:t xml:space="preserve"> </w:t>
      </w:r>
      <w:r w:rsidR="00EC4DC5">
        <w:t xml:space="preserve">DP&amp;L’s </w:t>
      </w:r>
      <w:r w:rsidR="00574D6B">
        <w:t xml:space="preserve">15 percent variance proposal because it exaggerates </w:t>
      </w:r>
      <w:r w:rsidR="00352F96">
        <w:t xml:space="preserve">fluctuations in </w:t>
      </w:r>
      <w:r w:rsidR="009B24F1">
        <w:t>DP&amp;L’s</w:t>
      </w:r>
      <w:r w:rsidR="00352F96">
        <w:t xml:space="preserve"> historical performance</w:t>
      </w:r>
      <w:r w:rsidR="00574D6B">
        <w:t xml:space="preserve"> </w:t>
      </w:r>
      <w:r w:rsidR="00352F96">
        <w:t xml:space="preserve">and </w:t>
      </w:r>
      <w:r w:rsidR="00574D6B">
        <w:t>is arbitrary.</w:t>
      </w:r>
      <w:bookmarkEnd w:id="4"/>
    </w:p>
    <w:p w:rsidR="00411FB3" w:rsidP="004A1B88" w14:paraId="7B1A58F5" w14:textId="77777777">
      <w:pPr>
        <w:spacing w:line="480" w:lineRule="auto"/>
        <w:ind w:firstLine="720"/>
      </w:pPr>
      <w:r>
        <w:t>DP&amp;L proposed calculating its CAIDI</w:t>
      </w:r>
      <w:r w:rsidR="00FC5023">
        <w:t xml:space="preserve"> and </w:t>
      </w:r>
      <w:r>
        <w:t xml:space="preserve">SAIFI </w:t>
      </w:r>
      <w:r w:rsidR="00FC5023">
        <w:t xml:space="preserve">standards </w:t>
      </w:r>
      <w:r>
        <w:t>by adding a 15</w:t>
      </w:r>
      <w:r w:rsidR="00574D6B">
        <w:t xml:space="preserve"> </w:t>
      </w:r>
      <w:r>
        <w:t xml:space="preserve">percent variance </w:t>
      </w:r>
      <w:r w:rsidR="00B22F6B">
        <w:t>to</w:t>
      </w:r>
      <w:r>
        <w:t xml:space="preserve"> </w:t>
      </w:r>
      <w:r w:rsidR="00EC4DC5">
        <w:t>its</w:t>
      </w:r>
      <w:r>
        <w:t xml:space="preserve"> five-year average historical performance.</w:t>
      </w:r>
      <w:r>
        <w:rPr>
          <w:rStyle w:val="FootnoteReference"/>
        </w:rPr>
        <w:footnoteReference w:id="24"/>
      </w:r>
      <w:r w:rsidR="00B22F6B">
        <w:t xml:space="preserve"> </w:t>
      </w:r>
      <w:r w:rsidR="00EC4DC5">
        <w:t>This adder is supposed to account for “</w:t>
      </w:r>
      <w:r w:rsidR="0026072D">
        <w:t>uncontrollable fluctuations in performance results</w:t>
      </w:r>
      <w:r w:rsidR="00EC4DC5">
        <w:t>”</w:t>
      </w:r>
      <w:r w:rsidR="0026072D">
        <w:t xml:space="preserve"> that are “not due to year-to-year differences in managing outages….”</w:t>
      </w:r>
      <w:r>
        <w:rPr>
          <w:rStyle w:val="FootnoteReference"/>
        </w:rPr>
        <w:footnoteReference w:id="25"/>
      </w:r>
      <w:r w:rsidR="00EC4DC5">
        <w:t xml:space="preserve"> </w:t>
      </w:r>
      <w:r w:rsidR="009B24F1">
        <w:t>But</w:t>
      </w:r>
      <w:r w:rsidR="0026072D">
        <w:t xml:space="preserve"> many such fluctuations are caused by major events and transmission outages, which O.A.C. 4901:1-10-10(B)(4)(c) already excludes from reliability standards. </w:t>
      </w:r>
    </w:p>
    <w:p w:rsidR="007C0E27" w:rsidP="000056C3" w14:paraId="3CD39D13" w14:textId="77777777">
      <w:pPr>
        <w:spacing w:line="480" w:lineRule="auto"/>
        <w:ind w:firstLine="720"/>
      </w:pPr>
      <w:r>
        <w:t xml:space="preserve">Still, DP&amp;L argues that uncontrollable fluctuations in reliability are prevalent enough to require a 15% variance. </w:t>
      </w:r>
      <w:r w:rsidR="009B24F1">
        <w:t>But</w:t>
      </w:r>
      <w:r>
        <w:t xml:space="preserve"> </w:t>
      </w:r>
      <w:r w:rsidR="000056C3">
        <w:t xml:space="preserve">of the 10 total SAIFI and CAIDI scores that comprise DP&amp;L’s five-year average baseline, only one represented </w:t>
      </w:r>
      <w:r w:rsidR="009B24F1">
        <w:t xml:space="preserve">a </w:t>
      </w:r>
      <w:r w:rsidR="000056C3">
        <w:t>year-over-year change of more than 15%.</w:t>
      </w:r>
      <w:r>
        <w:rPr>
          <w:rStyle w:val="FootnoteReference"/>
        </w:rPr>
        <w:footnoteReference w:id="26"/>
      </w:r>
      <w:r w:rsidR="000056C3">
        <w:t xml:space="preserve"> DP&amp;L exaggerates </w:t>
      </w:r>
      <w:r>
        <w:t xml:space="preserve">its </w:t>
      </w:r>
      <w:r w:rsidR="000056C3">
        <w:t xml:space="preserve">fluctuations in reliability. </w:t>
      </w:r>
    </w:p>
    <w:p w:rsidR="0026072D" w:rsidRPr="000056C3" w:rsidP="000056C3" w14:paraId="1D3DB54D" w14:textId="77777777">
      <w:pPr>
        <w:spacing w:line="480" w:lineRule="auto"/>
        <w:ind w:firstLine="720"/>
      </w:pPr>
      <w:r>
        <w:t xml:space="preserve">Further, that DP&amp;L can identify </w:t>
      </w:r>
      <w:r w:rsidRPr="000056C3">
        <w:rPr>
          <w:i/>
          <w:iCs/>
        </w:rPr>
        <w:t>one</w:t>
      </w:r>
      <w:r>
        <w:t xml:space="preserve"> year-over-year 15% fluctuation is no reason to incorporate a 15% variance into calculating future CAIDI</w:t>
      </w:r>
      <w:r w:rsidR="00FC5023">
        <w:t xml:space="preserve"> and </w:t>
      </w:r>
      <w:r>
        <w:t>SAIFI</w:t>
      </w:r>
      <w:r w:rsidR="00FC5023">
        <w:t xml:space="preserve"> standards</w:t>
      </w:r>
      <w:r>
        <w:t xml:space="preserve">. A utility only violates O.A.C. 4901:1-10-10 if it fails its performance standard in </w:t>
      </w:r>
      <w:r>
        <w:rPr>
          <w:i/>
          <w:iCs/>
        </w:rPr>
        <w:t>two consecutive years</w:t>
      </w:r>
      <w:r>
        <w:t>.</w:t>
      </w:r>
      <w:r>
        <w:rPr>
          <w:rStyle w:val="FootnoteReference"/>
        </w:rPr>
        <w:footnoteReference w:id="27"/>
      </w:r>
      <w:r>
        <w:t xml:space="preserve"> </w:t>
      </w:r>
      <w:r w:rsidR="007C0E27">
        <w:t>DP&amp;L did not identify two total 15% year-over-year fluctuations in its 5-year performance baseline, let alone the two consecutive fluctuations that would constitute a violation. DP&amp;L’s past performance demonstrates a 15% buffer is unnecessary.</w:t>
      </w:r>
    </w:p>
    <w:p w:rsidR="00EC4DC5" w:rsidP="004A1B88" w14:paraId="636104D1" w14:textId="77777777">
      <w:pPr>
        <w:spacing w:line="480" w:lineRule="auto"/>
        <w:ind w:firstLine="720"/>
      </w:pPr>
      <w:r>
        <w:t>Additionally, DP&amp;L states that PUCO Staff has “overwhelmingly applied a 10% variance factor when setting reliability standards.”</w:t>
      </w:r>
      <w:r>
        <w:rPr>
          <w:rStyle w:val="FootnoteReference"/>
        </w:rPr>
        <w:footnoteReference w:id="28"/>
      </w:r>
      <w:r>
        <w:t xml:space="preserve"> This ignores </w:t>
      </w:r>
      <w:r w:rsidR="00E05582">
        <w:t xml:space="preserve">the fact </w:t>
      </w:r>
      <w:r>
        <w:t xml:space="preserve">that PUCO Staff has not requested a 10% adder in the last </w:t>
      </w:r>
      <w:r w:rsidR="009B24F1">
        <w:t xml:space="preserve">three </w:t>
      </w:r>
      <w:r>
        <w:t>reliability cases in which it has participated, as Staff witness Jacob Nicodemus testified.</w:t>
      </w:r>
      <w:r>
        <w:rPr>
          <w:rStyle w:val="FootnoteReference"/>
        </w:rPr>
        <w:footnoteReference w:id="29"/>
      </w:r>
      <w:r>
        <w:t xml:space="preserve"> In fact, PUCO Staff </w:t>
      </w:r>
      <w:r w:rsidR="0026072D">
        <w:t>recently</w:t>
      </w:r>
      <w:r>
        <w:t xml:space="preserve"> </w:t>
      </w:r>
      <w:r w:rsidR="0026072D">
        <w:t>requested a 0% adder.</w:t>
      </w:r>
      <w:r>
        <w:rPr>
          <w:rStyle w:val="FootnoteReference"/>
        </w:rPr>
        <w:footnoteReference w:id="30"/>
      </w:r>
      <w:r w:rsidR="0026072D">
        <w:t xml:space="preserve"> </w:t>
      </w:r>
    </w:p>
    <w:p w:rsidR="00E3545B" w:rsidP="00964D42" w14:paraId="1C02A876" w14:textId="77777777">
      <w:pPr>
        <w:autoSpaceDE w:val="0"/>
        <w:autoSpaceDN w:val="0"/>
        <w:adjustRightInd w:val="0"/>
        <w:spacing w:line="480" w:lineRule="auto"/>
        <w:ind w:firstLine="720"/>
        <w:rPr>
          <w:bCs/>
        </w:rPr>
      </w:pPr>
      <w:r>
        <w:t>Lastly, DP&amp;L misrepresents OCC’s position on this issue by stating OCC “recommends no variance factor.”</w:t>
      </w:r>
      <w:r>
        <w:rPr>
          <w:rStyle w:val="FootnoteReference"/>
        </w:rPr>
        <w:footnoteReference w:id="31"/>
      </w:r>
      <w:r>
        <w:t xml:space="preserve"> </w:t>
      </w:r>
      <w:r>
        <w:rPr>
          <w:bCs/>
        </w:rPr>
        <w:t>OCC recommended that</w:t>
      </w:r>
      <w:r w:rsidRPr="00EF64A9">
        <w:rPr>
          <w:bCs/>
        </w:rPr>
        <w:t xml:space="preserve"> the five-year average historical performance baseline </w:t>
      </w:r>
      <w:r w:rsidR="00574D6B">
        <w:rPr>
          <w:bCs/>
        </w:rPr>
        <w:t>be subject to</w:t>
      </w:r>
      <w:r>
        <w:rPr>
          <w:bCs/>
        </w:rPr>
        <w:t xml:space="preserve"> “specific</w:t>
      </w:r>
      <w:r w:rsidRPr="00EF64A9">
        <w:rPr>
          <w:bCs/>
        </w:rPr>
        <w:t xml:space="preserve"> adjustments as required to account for system design, technological advancements, service area geography, customer perception survey results, and other relevant factors</w:t>
      </w:r>
      <w:r w:rsidR="00450776">
        <w:rPr>
          <w:bCs/>
        </w:rPr>
        <w:t>,</w:t>
      </w:r>
      <w:r>
        <w:rPr>
          <w:bCs/>
        </w:rPr>
        <w:t>”</w:t>
      </w:r>
      <w:r w:rsidR="00450776">
        <w:rPr>
          <w:bCs/>
        </w:rPr>
        <w:t xml:space="preserve"> in compliance with O.A.C. 4901:1-10-10(B).</w:t>
      </w:r>
      <w:r>
        <w:rPr>
          <w:rStyle w:val="FootnoteReference"/>
          <w:bCs/>
        </w:rPr>
        <w:footnoteReference w:id="32"/>
      </w:r>
      <w:r w:rsidRPr="00EF64A9">
        <w:rPr>
          <w:bCs/>
        </w:rPr>
        <w:t xml:space="preserve"> </w:t>
      </w:r>
      <w:r>
        <w:rPr>
          <w:bCs/>
        </w:rPr>
        <w:t xml:space="preserve">DP&amp;L declined to propose </w:t>
      </w:r>
      <w:r w:rsidR="00450776">
        <w:rPr>
          <w:bCs/>
        </w:rPr>
        <w:t xml:space="preserve">specific </w:t>
      </w:r>
      <w:r>
        <w:rPr>
          <w:bCs/>
        </w:rPr>
        <w:t xml:space="preserve">adjustments, opting instead for a </w:t>
      </w:r>
      <w:r w:rsidR="00574D6B">
        <w:rPr>
          <w:bCs/>
        </w:rPr>
        <w:t>blanket</w:t>
      </w:r>
      <w:r>
        <w:rPr>
          <w:bCs/>
        </w:rPr>
        <w:t xml:space="preserve"> 15% variance. DP&amp;L</w:t>
      </w:r>
      <w:r w:rsidR="00574D6B">
        <w:rPr>
          <w:bCs/>
        </w:rPr>
        <w:t xml:space="preserve"> claimed several obstacles to reliable service but failed to attribute a percent variance to any of them. Since DP&amp;L has not quantified a specific percent variance for each factor, its proposed adder is arbitrary and does not </w:t>
      </w:r>
      <w:r w:rsidR="00450776">
        <w:rPr>
          <w:bCs/>
        </w:rPr>
        <w:t>meet</w:t>
      </w:r>
      <w:r w:rsidR="00574D6B">
        <w:rPr>
          <w:bCs/>
        </w:rPr>
        <w:t xml:space="preserve"> O.A.C. 4901:1-10-10(B)</w:t>
      </w:r>
      <w:r w:rsidR="00450776">
        <w:rPr>
          <w:bCs/>
        </w:rPr>
        <w:t>’s requirement of specificity</w:t>
      </w:r>
      <w:r w:rsidR="00574D6B">
        <w:rPr>
          <w:bCs/>
        </w:rPr>
        <w:t xml:space="preserve">. The PUCO should reject </w:t>
      </w:r>
      <w:r w:rsidR="00450776">
        <w:rPr>
          <w:bCs/>
        </w:rPr>
        <w:t>DP&amp;L’s arbitrary 15% variance request</w:t>
      </w:r>
      <w:r w:rsidR="00574D6B">
        <w:rPr>
          <w:bCs/>
        </w:rPr>
        <w:t>.</w:t>
      </w:r>
    </w:p>
    <w:p w:rsidR="00E3545B" w14:paraId="2D0564E0" w14:textId="77777777">
      <w:pPr>
        <w:rPr>
          <w:bCs/>
        </w:rPr>
      </w:pPr>
      <w:r>
        <w:rPr>
          <w:bCs/>
        </w:rPr>
        <w:br w:type="page"/>
      </w:r>
    </w:p>
    <w:p w:rsidR="00411FB3" w:rsidP="00B76671" w14:paraId="42FBAD15" w14:textId="77777777">
      <w:pPr>
        <w:pStyle w:val="Heading2"/>
      </w:pPr>
      <w:bookmarkStart w:id="5" w:name="_Toc127256226"/>
      <w:r>
        <w:t xml:space="preserve">DP&amp;L’s Customer Satisfaction Survey is an unreliable tool for </w:t>
      </w:r>
      <w:r w:rsidR="000E423E">
        <w:t xml:space="preserve">protecting consumers and </w:t>
      </w:r>
      <w:r>
        <w:t>determining just and reasonable reliability standards.</w:t>
      </w:r>
      <w:bookmarkEnd w:id="5"/>
    </w:p>
    <w:p w:rsidR="00411FB3" w:rsidRPr="00283915" w:rsidP="00EB7D2B" w14:paraId="4C2BD1F3" w14:textId="77777777">
      <w:pPr>
        <w:spacing w:line="480" w:lineRule="auto"/>
        <w:ind w:firstLine="720"/>
      </w:pPr>
      <w:r>
        <w:t xml:space="preserve">DP&amp;L argues that the results of the </w:t>
      </w:r>
      <w:r w:rsidR="005E50CE">
        <w:t xml:space="preserve">2020 Customer Satisfaction Survey </w:t>
      </w:r>
      <w:r>
        <w:t xml:space="preserve">indicate consumers would be satisfied with </w:t>
      </w:r>
      <w:r w:rsidR="005E50CE">
        <w:t>less reliable service</w:t>
      </w:r>
      <w:r>
        <w:t>.</w:t>
      </w:r>
      <w:r>
        <w:rPr>
          <w:rStyle w:val="FootnoteReference"/>
        </w:rPr>
        <w:footnoteReference w:id="33"/>
      </w:r>
      <w:r>
        <w:t xml:space="preserve"> The PUCO should </w:t>
      </w:r>
      <w:r w:rsidR="00EB7D2B">
        <w:t xml:space="preserve">not set easier reliability standards for DP&amp;L on this basis. Consumer surveys should only be used in reliability proceedings to identify specific obstacles to providing reliable service and quantify their impact. </w:t>
      </w:r>
      <w:r w:rsidR="00237C78">
        <w:t xml:space="preserve">Otherwise, </w:t>
      </w:r>
      <w:r w:rsidR="00EB7D2B">
        <w:t xml:space="preserve">DP&amp;L </w:t>
      </w:r>
      <w:r w:rsidR="00237C78">
        <w:t xml:space="preserve">could use consumer surveys to justify providing less reliable service than it is technically capable of. </w:t>
      </w:r>
      <w:r w:rsidR="006A3678">
        <w:t>Providing less reliable service for no reason would violate DP&amp;L’s obligation to furnish “necessary and adequate service and facilities,” pursuant to R.C. 4905.22.</w:t>
      </w:r>
      <w:r w:rsidR="00237C78">
        <w:t xml:space="preserve"> </w:t>
      </w:r>
      <w:r w:rsidR="00642630">
        <w:t>The PUCO should reject DP&amp;L’s argument that the survey justifies less reliable service.</w:t>
      </w:r>
      <w:r w:rsidR="00155FF3">
        <w:t xml:space="preserve"> </w:t>
      </w:r>
    </w:p>
    <w:p w:rsidR="00411FB3" w:rsidP="00B76671" w14:paraId="48223084" w14:textId="77777777">
      <w:pPr>
        <w:pStyle w:val="Heading2"/>
      </w:pPr>
      <w:bookmarkStart w:id="6" w:name="_Toc127256227"/>
      <w:r>
        <w:t xml:space="preserve">Calculating SAIFI by using </w:t>
      </w:r>
      <w:r w:rsidR="000E423E">
        <w:t xml:space="preserve">active </w:t>
      </w:r>
      <w:r w:rsidR="00BB6D81">
        <w:t xml:space="preserve">customer </w:t>
      </w:r>
      <w:r w:rsidR="000E423E">
        <w:t xml:space="preserve">numbers </w:t>
      </w:r>
      <w:r>
        <w:t>rather than premises underrepresents DP&amp;L’s service obligation</w:t>
      </w:r>
      <w:r w:rsidR="00283915">
        <w:t>, is administratively inefficient, creates</w:t>
      </w:r>
      <w:r>
        <w:t xml:space="preserve"> an easier reliability standard</w:t>
      </w:r>
      <w:r w:rsidR="00283915">
        <w:t>, and lessens DP&amp;L’s SmartGrid Plan commitments</w:t>
      </w:r>
      <w:r w:rsidR="000E423E">
        <w:t>, to consumers’ detriment</w:t>
      </w:r>
      <w:r w:rsidR="00283915">
        <w:t>.</w:t>
      </w:r>
      <w:bookmarkEnd w:id="6"/>
      <w:r w:rsidR="00283915">
        <w:t xml:space="preserve"> </w:t>
      </w:r>
    </w:p>
    <w:p w:rsidR="007F5F2C" w:rsidP="002A3BC7" w14:paraId="62AC1E9A" w14:textId="77777777">
      <w:pPr>
        <w:spacing w:line="480" w:lineRule="auto"/>
        <w:ind w:firstLine="720"/>
      </w:pPr>
      <w:r>
        <w:t xml:space="preserve">DP&amp;L argues </w:t>
      </w:r>
      <w:r w:rsidR="000E423E">
        <w:t xml:space="preserve">that </w:t>
      </w:r>
      <w:r>
        <w:t xml:space="preserve">the PUCO should calculate SAIFI by dividing the total number of consumer interruptions by the total number of </w:t>
      </w:r>
      <w:r w:rsidR="00BB6D81">
        <w:t>“</w:t>
      </w:r>
      <w:r>
        <w:t xml:space="preserve">active </w:t>
      </w:r>
      <w:r w:rsidR="00BB6D81">
        <w:t>customers,</w:t>
      </w:r>
      <w:r w:rsidR="005A3D2F">
        <w:t>”</w:t>
      </w:r>
      <w:r>
        <w:rPr>
          <w:rStyle w:val="FootnoteReference"/>
        </w:rPr>
        <w:footnoteReference w:id="34"/>
      </w:r>
      <w:r w:rsidR="00102045">
        <w:t xml:space="preserve"> </w:t>
      </w:r>
      <w:r w:rsidR="00BB6D81">
        <w:t>defined as "a current customer of the company</w:t>
      </w:r>
      <w:r>
        <w:t>.</w:t>
      </w:r>
      <w:r w:rsidR="00BB6D81">
        <w:t>”</w:t>
      </w:r>
      <w:r>
        <w:rPr>
          <w:rStyle w:val="FootnoteReference"/>
        </w:rPr>
        <w:footnoteReference w:id="35"/>
      </w:r>
      <w:r w:rsidR="00BB6D81">
        <w:rPr>
          <w:rStyle w:val="FootnoteReference"/>
        </w:rPr>
        <w:t xml:space="preserve"> </w:t>
      </w:r>
      <w:r w:rsidR="000529A3">
        <w:t xml:space="preserve">This contradicts </w:t>
      </w:r>
      <w:r w:rsidR="000E423E">
        <w:t xml:space="preserve">the </w:t>
      </w:r>
      <w:r w:rsidR="002407BD">
        <w:t>PUCO</w:t>
      </w:r>
      <w:r w:rsidR="000E423E">
        <w:t>’s</w:t>
      </w:r>
      <w:r w:rsidR="002407BD">
        <w:t xml:space="preserve"> </w:t>
      </w:r>
      <w:r w:rsidR="000529A3">
        <w:t xml:space="preserve">past practice. The PUCO has previously calculated DP&amp;L’s SAIFI by dividing total number of outages by total number of </w:t>
      </w:r>
      <w:r w:rsidRPr="004A1045" w:rsidR="000529A3">
        <w:t>premises</w:t>
      </w:r>
      <w:r w:rsidR="000529A3">
        <w:t>.</w:t>
      </w:r>
      <w:r>
        <w:rPr>
          <w:rStyle w:val="FootnoteReference"/>
        </w:rPr>
        <w:footnoteReference w:id="36"/>
      </w:r>
      <w:r w:rsidR="000529A3">
        <w:t xml:space="preserve"> </w:t>
      </w:r>
      <w:r>
        <w:t>This is a more accurate method of calculating reliability standards. DP&amp;L is obligated to serve every premise in its service territory, even if all premises do not have an active consumer 100% of the time.</w:t>
      </w:r>
      <w:r>
        <w:rPr>
          <w:rStyle w:val="FootnoteReference"/>
        </w:rPr>
        <w:footnoteReference w:id="37"/>
      </w:r>
      <w:r>
        <w:t xml:space="preserve"> So, using </w:t>
      </w:r>
      <w:r w:rsidR="004A1045">
        <w:t>active consumers</w:t>
      </w:r>
      <w:r>
        <w:t xml:space="preserve"> undercounts DP&amp;L’s obligation </w:t>
      </w:r>
      <w:r w:rsidR="004A1045">
        <w:t>to provide electricity</w:t>
      </w:r>
      <w:r>
        <w:t xml:space="preserve">. </w:t>
      </w:r>
    </w:p>
    <w:p w:rsidR="00283915" w:rsidP="00283915" w14:paraId="001EF44F" w14:textId="77777777">
      <w:pPr>
        <w:spacing w:line="480" w:lineRule="auto"/>
        <w:ind w:firstLine="720"/>
      </w:pPr>
      <w:r>
        <w:t xml:space="preserve">DP&amp;L’s proposed modification to </w:t>
      </w:r>
      <w:r w:rsidR="000E423E">
        <w:t xml:space="preserve">the </w:t>
      </w:r>
      <w:r>
        <w:t>SAIFI calculation serves only to relax its reliability targets. There are 10 percent more premises in DP&amp;L’s service territory than there are active consumers.</w:t>
      </w:r>
      <w:r>
        <w:rPr>
          <w:rStyle w:val="FootnoteReference"/>
        </w:rPr>
        <w:footnoteReference w:id="38"/>
      </w:r>
      <w:r>
        <w:t xml:space="preserve"> Calculating SAIFI by dividing total outages by a smaller denominator (active consumers, rather than premises) results in a higher permissible SAIFI. This allows DP&amp;L to provide less reliable service, for no reason. </w:t>
      </w:r>
    </w:p>
    <w:p w:rsidR="00283915" w:rsidP="00283915" w14:paraId="3E8F1F90" w14:textId="77777777">
      <w:pPr>
        <w:spacing w:line="480" w:lineRule="auto"/>
        <w:ind w:firstLine="720"/>
      </w:pPr>
      <w:r>
        <w:t xml:space="preserve">DP&amp;L’s proposal for calculating SAIFI is also administratively inefficient. DP&amp;L agreed to reduce SAIFI by 15 percent relative to its 2015-2019 </w:t>
      </w:r>
      <w:r w:rsidR="00BE67C1">
        <w:t xml:space="preserve">average historical </w:t>
      </w:r>
      <w:r>
        <w:t>baseline as part of its Smart Grid Plan.</w:t>
      </w:r>
      <w:r>
        <w:rPr>
          <w:rStyle w:val="FootnoteReference"/>
        </w:rPr>
        <w:footnoteReference w:id="39"/>
      </w:r>
      <w:r>
        <w:t xml:space="preserve"> DP&amp;L must make this reduction by 2026.</w:t>
      </w:r>
      <w:r>
        <w:rPr>
          <w:rStyle w:val="FootnoteReference"/>
        </w:rPr>
        <w:footnoteReference w:id="40"/>
      </w:r>
      <w:r>
        <w:t xml:space="preserve"> DP&amp;L’s 2015-2019 SAIFI was calculated using the traditional </w:t>
      </w:r>
      <w:r w:rsidR="00BE67C1">
        <w:t>denominator</w:t>
      </w:r>
      <w:r>
        <w:t xml:space="preserve"> </w:t>
      </w:r>
      <w:r w:rsidR="00BE67C1">
        <w:t xml:space="preserve">– </w:t>
      </w:r>
      <w:r>
        <w:t>premises</w:t>
      </w:r>
      <w:r w:rsidR="00BE67C1">
        <w:t xml:space="preserve">. </w:t>
      </w:r>
      <w:r>
        <w:t xml:space="preserve">Between now and 2026, while DP&amp;L is deploying new smart grid technology, </w:t>
      </w:r>
      <w:r w:rsidR="00BE67C1">
        <w:t xml:space="preserve">DP&amp;L’s reliability targets should be calculated the same way its 2015-2019 average historical baseline was. This eliminates confusion of comparing past and present reliability targets that were calculated in different ways. </w:t>
      </w:r>
    </w:p>
    <w:p w:rsidR="00283915" w:rsidRPr="00411FB3" w:rsidP="00283915" w14:paraId="13BABF3E" w14:textId="77777777">
      <w:pPr>
        <w:spacing w:line="480" w:lineRule="auto"/>
        <w:ind w:firstLine="720"/>
      </w:pPr>
      <w:r>
        <w:t>Maintaining the 2015-2019 SAIFI formula</w:t>
      </w:r>
      <w:r w:rsidR="00BE67C1">
        <w:t xml:space="preserve"> also ensures </w:t>
      </w:r>
      <w:r w:rsidR="000E423E">
        <w:t xml:space="preserve">that </w:t>
      </w:r>
      <w:r w:rsidR="00BE67C1">
        <w:t>DP&amp;L makes the full reliability improvement it committed to</w:t>
      </w:r>
      <w:r>
        <w:t xml:space="preserve"> in its Smart Grid Plan</w:t>
      </w:r>
      <w:r w:rsidR="005A3D2F">
        <w:t xml:space="preserve">, commitments </w:t>
      </w:r>
      <w:r w:rsidR="00BB6D81">
        <w:t xml:space="preserve">which </w:t>
      </w:r>
      <w:r w:rsidR="005A3D2F">
        <w:t>were approved by the PUCO.</w:t>
      </w:r>
      <w:r>
        <w:t xml:space="preserve"> Again, dividing total outages by consumers rather than premises would inevitably result in a higher SAIFI target</w:t>
      </w:r>
      <w:r w:rsidR="00286E28">
        <w:t xml:space="preserve"> (which means worse service reliability for consumers)</w:t>
      </w:r>
      <w:r>
        <w:t>. So</w:t>
      </w:r>
      <w:r w:rsidR="00542C7E">
        <w:t xml:space="preserve"> using a future SAIFI (based on consumers) to determine whether DP&amp;L met past SAIFI commitments (based on premises)</w:t>
      </w:r>
      <w:r>
        <w:t xml:space="preserve"> would allow </w:t>
      </w:r>
      <w:r w:rsidR="000E423E">
        <w:t>DP&amp;L</w:t>
      </w:r>
      <w:r>
        <w:t xml:space="preserve"> to make lesser improvements to performance than it promised. </w:t>
      </w:r>
    </w:p>
    <w:p w:rsidR="00411FB3" w:rsidRPr="00411FB3" w:rsidP="00B76671" w14:paraId="7E476CE9" w14:textId="77777777">
      <w:pPr>
        <w:pStyle w:val="Heading2"/>
      </w:pPr>
      <w:bookmarkStart w:id="7" w:name="_Toc127256228"/>
      <w:r>
        <w:t>DP&amp;L’s service reliability should improve as it implements i</w:t>
      </w:r>
      <w:r w:rsidR="002407BD">
        <w:t>t</w:t>
      </w:r>
      <w:r>
        <w:t>s grid modernization plan</w:t>
      </w:r>
      <w:r w:rsidR="000E423E">
        <w:t>, to consumers’ benefit</w:t>
      </w:r>
      <w:r>
        <w:t>.</w:t>
      </w:r>
      <w:bookmarkEnd w:id="7"/>
      <w:r>
        <w:t xml:space="preserve"> </w:t>
      </w:r>
    </w:p>
    <w:p w:rsidR="000E423E" w:rsidP="007F63BA" w14:paraId="152A1A1D" w14:textId="77777777">
      <w:pPr>
        <w:spacing w:line="480" w:lineRule="auto"/>
        <w:ind w:firstLine="720"/>
      </w:pPr>
      <w:r>
        <w:t>DP&amp;L argues that the PUCO should adopt its proposed reliability standards because they are “consistent with other Ohio utilities.”</w:t>
      </w:r>
      <w:r>
        <w:rPr>
          <w:rStyle w:val="FootnoteReference"/>
        </w:rPr>
        <w:footnoteReference w:id="41"/>
      </w:r>
      <w:r>
        <w:t xml:space="preserve"> </w:t>
      </w:r>
      <w:r w:rsidR="000572A1">
        <w:t>But</w:t>
      </w:r>
      <w:r w:rsidR="004E27E0">
        <w:t xml:space="preserve"> </w:t>
      </w:r>
      <w:r w:rsidR="000572A1">
        <w:t>DP&amp;L has made commitments to improve reliability that other utilities have not</w:t>
      </w:r>
      <w:r w:rsidR="004E27E0">
        <w:t xml:space="preserve">. DP&amp;L </w:t>
      </w:r>
      <w:r w:rsidR="000572A1">
        <w:t>agreed</w:t>
      </w:r>
      <w:r w:rsidR="004E27E0">
        <w:t xml:space="preserve"> to </w:t>
      </w:r>
      <w:r w:rsidR="000572A1">
        <w:t xml:space="preserve">decrease its 2015-2019 average historical SAIFI performance by </w:t>
      </w:r>
      <w:r w:rsidR="000572A1">
        <w:rPr>
          <w:i/>
          <w:iCs/>
        </w:rPr>
        <w:t xml:space="preserve">15 percent </w:t>
      </w:r>
      <w:r w:rsidR="000572A1">
        <w:t>by 2026</w:t>
      </w:r>
      <w:r w:rsidR="004E27E0">
        <w:t>.</w:t>
      </w:r>
      <w:r>
        <w:rPr>
          <w:rStyle w:val="FootnoteReference"/>
        </w:rPr>
        <w:footnoteReference w:id="42"/>
      </w:r>
      <w:r w:rsidR="004E27E0">
        <w:t xml:space="preserve"> </w:t>
      </w:r>
      <w:r w:rsidR="00FD3984">
        <w:t xml:space="preserve">That </w:t>
      </w:r>
      <w:r w:rsidR="000572A1">
        <w:t xml:space="preserve">agreement </w:t>
      </w:r>
      <w:r w:rsidR="00FD3984">
        <w:t xml:space="preserve">obligates </w:t>
      </w:r>
      <w:r w:rsidR="000572A1">
        <w:t>DP&amp;L</w:t>
      </w:r>
      <w:r w:rsidR="00FD3984">
        <w:t xml:space="preserve"> to meet a SAIFI of 0.67.</w:t>
      </w:r>
      <w:r>
        <w:rPr>
          <w:rStyle w:val="FootnoteReference"/>
        </w:rPr>
        <w:footnoteReference w:id="43"/>
      </w:r>
      <w:r w:rsidR="000572A1">
        <w:t xml:space="preserve"> </w:t>
      </w:r>
    </w:p>
    <w:p w:rsidR="005A3D2F" w:rsidP="007F63BA" w14:paraId="0B387A91" w14:textId="77777777">
      <w:pPr>
        <w:spacing w:line="480" w:lineRule="auto"/>
        <w:ind w:firstLine="720"/>
      </w:pPr>
      <w:r>
        <w:t>In this proceeding</w:t>
      </w:r>
      <w:r w:rsidR="00FD3984">
        <w:t xml:space="preserve">, </w:t>
      </w:r>
      <w:r>
        <w:t>DP&amp;L instead asks the PUCO to permit a</w:t>
      </w:r>
      <w:r w:rsidR="009350CA">
        <w:t>n</w:t>
      </w:r>
      <w:r w:rsidR="00094BE7">
        <w:t xml:space="preserve"> </w:t>
      </w:r>
      <w:r>
        <w:t>increase in SAIFI performance</w:t>
      </w:r>
      <w:r w:rsidR="00FD3984">
        <w:t xml:space="preserve"> to 1.02</w:t>
      </w:r>
      <w:r>
        <w:t>.</w:t>
      </w:r>
      <w:r>
        <w:rPr>
          <w:rStyle w:val="FootnoteReference"/>
        </w:rPr>
        <w:footnoteReference w:id="44"/>
      </w:r>
      <w:r w:rsidR="000572A1">
        <w:t xml:space="preserve"> </w:t>
      </w:r>
      <w:r w:rsidR="00222448">
        <w:t>And t</w:t>
      </w:r>
      <w:r w:rsidR="00191E33">
        <w:t>his is after the PUCO authorized DP&amp;L to collect $267 million through its Infrastructure Investment Rider for grid modernization.</w:t>
      </w:r>
      <w:r>
        <w:rPr>
          <w:rStyle w:val="FootnoteReference"/>
        </w:rPr>
        <w:footnoteReference w:id="45"/>
      </w:r>
    </w:p>
    <w:p w:rsidR="00E3545B" w:rsidP="00964D42" w14:paraId="10C2D0B7" w14:textId="77777777">
      <w:pPr>
        <w:spacing w:line="480" w:lineRule="auto"/>
        <w:ind w:firstLine="720"/>
      </w:pPr>
      <w:r>
        <w:t xml:space="preserve"> As DP&amp;L deploys new smart grid technology, it should be improving service towards its 2026 reliability goals. </w:t>
      </w:r>
      <w:r w:rsidR="00222448">
        <w:t>But instead</w:t>
      </w:r>
      <w:r>
        <w:t xml:space="preserve">, </w:t>
      </w:r>
      <w:r w:rsidR="000E423E">
        <w:t>DP&amp;L</w:t>
      </w:r>
      <w:r>
        <w:t xml:space="preserve"> requests the opposite. </w:t>
      </w:r>
      <w:r w:rsidR="000572A1">
        <w:t>Consumers are paying for more reliable service</w:t>
      </w:r>
      <w:r w:rsidR="000E423E">
        <w:t>.</w:t>
      </w:r>
      <w:r w:rsidR="000572A1">
        <w:t xml:space="preserve"> DP&amp;L is not providing it. </w:t>
      </w:r>
      <w:r>
        <w:t xml:space="preserve">The PUCO should not reward DP&amp;L for </w:t>
      </w:r>
      <w:r w:rsidR="000E423E">
        <w:t xml:space="preserve">its </w:t>
      </w:r>
      <w:r w:rsidR="00BB18C2">
        <w:t xml:space="preserve">continuing </w:t>
      </w:r>
      <w:r w:rsidR="002771E1">
        <w:t xml:space="preserve">failure </w:t>
      </w:r>
      <w:r w:rsidR="00495BF5">
        <w:t xml:space="preserve">to meet </w:t>
      </w:r>
      <w:r w:rsidR="004A1045">
        <w:t>its plan to</w:t>
      </w:r>
      <w:r>
        <w:t xml:space="preserve"> provide more reliable service by </w:t>
      </w:r>
      <w:r w:rsidR="004A1045">
        <w:t>setting easier</w:t>
      </w:r>
      <w:r>
        <w:t xml:space="preserve"> CAIDI</w:t>
      </w:r>
      <w:r w:rsidR="00286E28">
        <w:t xml:space="preserve"> and </w:t>
      </w:r>
      <w:r>
        <w:t>SAIFI targets.</w:t>
      </w:r>
      <w:r w:rsidR="00495BF5">
        <w:t xml:space="preserve"> This is doubly bad for consumers.</w:t>
      </w:r>
    </w:p>
    <w:p w:rsidR="00E3545B" w14:paraId="1CCDAD43" w14:textId="77777777">
      <w:r>
        <w:br w:type="page"/>
      </w:r>
    </w:p>
    <w:p w:rsidR="005D75E1" w:rsidRPr="00A754D2" w:rsidP="00247CC5" w14:paraId="197CA056" w14:textId="77777777">
      <w:pPr>
        <w:pStyle w:val="Heading1"/>
      </w:pPr>
      <w:bookmarkStart w:id="8" w:name="_Toc122339905"/>
      <w:bookmarkStart w:id="9" w:name="_Toc127256229"/>
      <w:r>
        <w:t>III.</w:t>
      </w:r>
      <w:r>
        <w:tab/>
      </w:r>
      <w:r w:rsidRPr="00A754D2" w:rsidR="00C965F2">
        <w:t>CONCLUSION</w:t>
      </w:r>
      <w:bookmarkEnd w:id="8"/>
      <w:bookmarkEnd w:id="9"/>
    </w:p>
    <w:p w:rsidR="00FE5F52" w:rsidP="00B63962" w14:paraId="5D1FB12C" w14:textId="77777777">
      <w:pPr>
        <w:spacing w:line="480" w:lineRule="auto"/>
        <w:ind w:firstLine="720"/>
      </w:pPr>
      <w:r w:rsidRPr="00FE4698">
        <w:t xml:space="preserve">The PUCO should reject DP&amp;L’s proposal to reduce </w:t>
      </w:r>
      <w:r w:rsidRPr="00FE4698" w:rsidR="00B63962">
        <w:t>reliability standards. Instead, t</w:t>
      </w:r>
      <w:r w:rsidRPr="00FE4698" w:rsidR="00C965F2">
        <w:t xml:space="preserve">he PUCO </w:t>
      </w:r>
      <w:r w:rsidRPr="00FE4698" w:rsidR="00B63962">
        <w:t xml:space="preserve">should </w:t>
      </w:r>
      <w:r w:rsidRPr="00FE4698" w:rsidR="00C965F2">
        <w:t xml:space="preserve">approve a SAIFI of no more than 0.79 </w:t>
      </w:r>
      <w:r w:rsidRPr="00FE4698" w:rsidR="001F5D97">
        <w:t xml:space="preserve">(the five-year historical SAIFI average) </w:t>
      </w:r>
      <w:r w:rsidRPr="00FE4698" w:rsidR="00C965F2">
        <w:t>and a CAIDI of no more than 123.34 minutes</w:t>
      </w:r>
      <w:r w:rsidRPr="00FE4698" w:rsidR="001F5D97">
        <w:t xml:space="preserve"> (the five-year historical CAIDI average adjusted to the PUCO approved CAIDI standard</w:t>
      </w:r>
      <w:r w:rsidR="00CF47B5">
        <w:t xml:space="preserve"> in years DP&amp;L failed to meet it</w:t>
      </w:r>
      <w:r w:rsidRPr="00FE4698" w:rsidR="001F5D97">
        <w:t>)</w:t>
      </w:r>
      <w:r w:rsidRPr="00FE4698" w:rsidR="00C965F2">
        <w:t xml:space="preserve">. </w:t>
      </w:r>
    </w:p>
    <w:p w:rsidR="00A723DE" w:rsidRPr="00EF64A9" w:rsidP="00B63962" w14:paraId="23DCCC16" w14:textId="77777777">
      <w:pPr>
        <w:spacing w:line="480" w:lineRule="auto"/>
        <w:ind w:firstLine="720"/>
      </w:pPr>
      <w:r>
        <w:t>T</w:t>
      </w:r>
      <w:r w:rsidRPr="00FE4698" w:rsidR="00C965F2">
        <w:t xml:space="preserve">hese standards </w:t>
      </w:r>
      <w:r w:rsidRPr="00FE4698" w:rsidR="00FF46D8">
        <w:t xml:space="preserve">should </w:t>
      </w:r>
      <w:r w:rsidRPr="00FE4698" w:rsidR="00C965F2">
        <w:t>remain in effect until the PUCO approves new reliability standards</w:t>
      </w:r>
      <w:r w:rsidR="005D36E4">
        <w:t>—</w:t>
      </w:r>
      <w:r w:rsidRPr="00FE4698" w:rsidR="00C965F2">
        <w:t xml:space="preserve">after </w:t>
      </w:r>
      <w:r w:rsidRPr="00FE4698" w:rsidR="00525D38">
        <w:t>DP&amp;L</w:t>
      </w:r>
      <w:r w:rsidRPr="00FE4698" w:rsidR="00C965F2">
        <w:t xml:space="preserve"> completes the grid modernization program in 2026. The application that </w:t>
      </w:r>
      <w:r w:rsidRPr="00FE4698" w:rsidR="00525D38">
        <w:t>DP&amp;L</w:t>
      </w:r>
      <w:r w:rsidRPr="00FE4698" w:rsidR="00C965F2">
        <w:t xml:space="preserve"> files in 2026 should reflect the reliability improvements that </w:t>
      </w:r>
      <w:r w:rsidRPr="00FE4698" w:rsidR="00525D38">
        <w:t>DP&amp;L</w:t>
      </w:r>
      <w:r w:rsidRPr="00FE4698" w:rsidR="00C965F2">
        <w:t xml:space="preserve"> agreed to regarding SAIFI and SAIDI.</w:t>
      </w:r>
      <w:r w:rsidR="00EF64A9">
        <w:t xml:space="preserve"> </w:t>
      </w:r>
      <w:r w:rsidR="006027A7">
        <w:t>The PUCO should hold DP&amp;L to its commitments.</w:t>
      </w:r>
    </w:p>
    <w:p w:rsidR="00BE76D8" w:rsidRPr="00EF64A9" w:rsidP="00BE76D8" w14:paraId="688E3F6E" w14:textId="77777777">
      <w:pPr>
        <w:ind w:left="4320"/>
      </w:pPr>
      <w:r w:rsidRPr="00EF64A9">
        <w:t>Respectfully submitted,</w:t>
      </w:r>
    </w:p>
    <w:p w:rsidR="00BE76D8" w:rsidRPr="00EF64A9" w:rsidP="00BE76D8" w14:paraId="34245E31" w14:textId="77777777">
      <w:pPr>
        <w:ind w:left="4320"/>
      </w:pPr>
    </w:p>
    <w:p w:rsidR="00BE76D8" w:rsidRPr="00EF64A9" w:rsidP="00BE76D8" w14:paraId="723E419C" w14:textId="77777777">
      <w:pPr>
        <w:ind w:left="4320"/>
      </w:pPr>
      <w:r w:rsidRPr="00EF64A9">
        <w:t>Bruce Weston (0016973)</w:t>
      </w:r>
    </w:p>
    <w:p w:rsidR="00BE76D8" w:rsidRPr="00EF64A9" w:rsidP="00BE76D8" w14:paraId="5967E645" w14:textId="77777777">
      <w:pPr>
        <w:tabs>
          <w:tab w:val="left" w:pos="4320"/>
        </w:tabs>
        <w:ind w:left="4320" w:hanging="450"/>
      </w:pPr>
      <w:r w:rsidRPr="00EF64A9">
        <w:tab/>
        <w:t>Ohio Consumers’ Counsel</w:t>
      </w:r>
    </w:p>
    <w:p w:rsidR="00BE76D8" w:rsidRPr="00EF64A9" w:rsidP="00BE76D8" w14:paraId="01F9D4CA" w14:textId="77777777">
      <w:pPr>
        <w:tabs>
          <w:tab w:val="left" w:pos="4320"/>
        </w:tabs>
        <w:ind w:left="4320"/>
      </w:pPr>
    </w:p>
    <w:p w:rsidR="00BE76D8" w:rsidRPr="00EF64A9" w:rsidP="00BE76D8" w14:paraId="6864F630" w14:textId="77777777">
      <w:pPr>
        <w:tabs>
          <w:tab w:val="left" w:pos="4320"/>
        </w:tabs>
        <w:ind w:left="4320"/>
        <w:rPr>
          <w:i/>
          <w:iCs/>
          <w:u w:val="single"/>
        </w:rPr>
      </w:pPr>
      <w:r w:rsidRPr="00EF64A9">
        <w:rPr>
          <w:i/>
          <w:iCs/>
          <w:u w:val="single"/>
        </w:rPr>
        <w:t>/s/ William J. Michael</w:t>
      </w:r>
    </w:p>
    <w:p w:rsidR="00BE76D8" w:rsidRPr="00EF64A9" w:rsidP="00BE76D8" w14:paraId="0445811C" w14:textId="77777777">
      <w:pPr>
        <w:tabs>
          <w:tab w:val="left" w:pos="4320"/>
        </w:tabs>
        <w:ind w:left="4320"/>
      </w:pPr>
      <w:r w:rsidRPr="00EF64A9">
        <w:t>William J. Michael (0070921)</w:t>
      </w:r>
    </w:p>
    <w:p w:rsidR="00BE76D8" w:rsidRPr="00EF64A9" w:rsidP="00BE76D8" w14:paraId="7976C857" w14:textId="77777777">
      <w:pPr>
        <w:tabs>
          <w:tab w:val="left" w:pos="4320"/>
        </w:tabs>
        <w:ind w:left="4320"/>
      </w:pPr>
      <w:r w:rsidRPr="00EF64A9">
        <w:t>Counsel of Record</w:t>
      </w:r>
    </w:p>
    <w:p w:rsidR="00BE76D8" w:rsidRPr="00EF64A9" w:rsidP="00BE76D8" w14:paraId="5CF0A225" w14:textId="77777777">
      <w:pPr>
        <w:tabs>
          <w:tab w:val="left" w:pos="4320"/>
        </w:tabs>
        <w:ind w:left="4320"/>
      </w:pPr>
      <w:r w:rsidRPr="00EF64A9">
        <w:t>Ambrosia E. Wilson (0096598)</w:t>
      </w:r>
    </w:p>
    <w:p w:rsidR="00BE76D8" w:rsidRPr="00EF64A9" w:rsidP="00BE76D8" w14:paraId="16895F0E" w14:textId="77777777">
      <w:pPr>
        <w:tabs>
          <w:tab w:val="left" w:pos="4320"/>
        </w:tabs>
        <w:ind w:left="4320"/>
      </w:pPr>
      <w:r w:rsidRPr="00EF64A9">
        <w:t>Connor D. Semple (0101102)</w:t>
      </w:r>
    </w:p>
    <w:p w:rsidR="00257E5F" w:rsidP="00257E5F" w14:paraId="2F1047FF" w14:textId="77777777">
      <w:pPr>
        <w:ind w:left="4320"/>
      </w:pPr>
      <w:r w:rsidRPr="00EF64A9">
        <w:t>Assistant Consumers’ Counsel</w:t>
      </w:r>
    </w:p>
    <w:p w:rsidR="00257E5F" w:rsidP="00257E5F" w14:paraId="1EA6C60C" w14:textId="77777777">
      <w:pPr>
        <w:ind w:left="4320"/>
      </w:pPr>
    </w:p>
    <w:p w:rsidR="00BE76D8" w:rsidRPr="00EF64A9" w:rsidP="00257E5F" w14:paraId="7F088DFA" w14:textId="77777777">
      <w:pPr>
        <w:ind w:left="4320"/>
        <w:rPr>
          <w:b/>
          <w:bCs/>
        </w:rPr>
      </w:pPr>
      <w:r w:rsidRPr="00EF64A9">
        <w:rPr>
          <w:b/>
          <w:bCs/>
        </w:rPr>
        <w:t>Office of the Ohio Consumers' Counsel</w:t>
      </w:r>
    </w:p>
    <w:p w:rsidR="00BE76D8" w:rsidRPr="00EF64A9" w:rsidP="00BE76D8" w14:paraId="063BA4F0" w14:textId="77777777">
      <w:pPr>
        <w:ind w:left="4320"/>
      </w:pPr>
      <w:r w:rsidRPr="00EF64A9">
        <w:t>65 East State Street, Suite 700</w:t>
      </w:r>
    </w:p>
    <w:p w:rsidR="00BE76D8" w:rsidRPr="00EF64A9" w:rsidP="00BE76D8" w14:paraId="39333B11" w14:textId="77777777">
      <w:pPr>
        <w:ind w:left="4320"/>
      </w:pPr>
      <w:r w:rsidRPr="00EF64A9">
        <w:t>Columbus, Ohio 43215</w:t>
      </w:r>
    </w:p>
    <w:p w:rsidR="00BE76D8" w:rsidRPr="00EF64A9" w:rsidP="00BE76D8" w14:paraId="7D6DD7A2" w14:textId="77777777">
      <w:pPr>
        <w:autoSpaceDE w:val="0"/>
        <w:autoSpaceDN w:val="0"/>
        <w:adjustRightInd w:val="0"/>
        <w:ind w:left="4320"/>
      </w:pPr>
      <w:r w:rsidRPr="00EF64A9">
        <w:t>Telephone: [Michael]: (614) 466-1291</w:t>
      </w:r>
    </w:p>
    <w:p w:rsidR="00BE76D8" w:rsidRPr="00EF64A9" w:rsidP="00BE76D8" w14:paraId="79F66798" w14:textId="77777777">
      <w:pPr>
        <w:autoSpaceDE w:val="0"/>
        <w:autoSpaceDN w:val="0"/>
        <w:adjustRightInd w:val="0"/>
        <w:ind w:left="4320"/>
      </w:pPr>
      <w:r w:rsidRPr="00EF64A9">
        <w:t>Telephone: [Wilson]: (614) 466-1292</w:t>
      </w:r>
    </w:p>
    <w:p w:rsidR="00BE76D8" w:rsidRPr="00EF64A9" w:rsidP="00BE76D8" w14:paraId="7CF13B42" w14:textId="77777777">
      <w:pPr>
        <w:ind w:left="4320"/>
        <w:rPr>
          <w:color w:val="000000"/>
        </w:rPr>
      </w:pPr>
      <w:r w:rsidRPr="00EF64A9">
        <w:rPr>
          <w:color w:val="000000"/>
        </w:rPr>
        <w:t>Telephone [Semple]:(614) 466-9565</w:t>
      </w:r>
    </w:p>
    <w:p w:rsidR="00BE76D8" w:rsidRPr="00EF64A9" w:rsidP="00BE76D8" w14:paraId="4D7B5BB8" w14:textId="77777777">
      <w:pPr>
        <w:ind w:left="4320"/>
      </w:pPr>
      <w:hyperlink r:id="rId6" w:history="1">
        <w:r w:rsidRPr="00EF64A9" w:rsidR="00EF64A9">
          <w:rPr>
            <w:rStyle w:val="Hyperlink"/>
          </w:rPr>
          <w:t>william.michael@occ.ohio.gov</w:t>
        </w:r>
      </w:hyperlink>
      <w:r w:rsidRPr="00EF64A9" w:rsidR="00227700">
        <w:t xml:space="preserve"> </w:t>
      </w:r>
    </w:p>
    <w:p w:rsidR="00BE76D8" w:rsidRPr="00EF64A9" w:rsidP="00BE76D8" w14:paraId="107A8EB8" w14:textId="77777777">
      <w:pPr>
        <w:ind w:left="4320"/>
        <w:rPr>
          <w:color w:val="0000FF"/>
        </w:rPr>
      </w:pPr>
      <w:hyperlink r:id="rId7" w:history="1">
        <w:r w:rsidRPr="00EF64A9" w:rsidR="00227700">
          <w:rPr>
            <w:rStyle w:val="Hyperlink"/>
          </w:rPr>
          <w:t>ambrosia.wilson@occ.ohio.gov</w:t>
        </w:r>
      </w:hyperlink>
      <w:r w:rsidRPr="00EF64A9" w:rsidR="00227700">
        <w:rPr>
          <w:color w:val="0000FF"/>
        </w:rPr>
        <w:t xml:space="preserve"> </w:t>
      </w:r>
    </w:p>
    <w:p w:rsidR="00BE76D8" w:rsidRPr="00EF64A9" w:rsidP="00BE76D8" w14:paraId="48C1D966" w14:textId="77777777">
      <w:pPr>
        <w:ind w:left="4320"/>
        <w:rPr>
          <w:rFonts w:eastAsia="Courier New"/>
        </w:rPr>
      </w:pPr>
      <w:r w:rsidRPr="00EF64A9">
        <w:rPr>
          <w:rStyle w:val="Hyperlink"/>
          <w:rFonts w:eastAsia="Courier New"/>
        </w:rPr>
        <w:t>connor.semple@occ.ohio.gov</w:t>
      </w:r>
    </w:p>
    <w:p w:rsidR="00A723DE" w:rsidRPr="00EF64A9" w:rsidP="00BE76D8" w14:paraId="4FBDEC81" w14:textId="77777777">
      <w:pPr>
        <w:spacing w:line="480" w:lineRule="auto"/>
        <w:ind w:firstLine="4320"/>
        <w:rPr>
          <w:b/>
        </w:rPr>
      </w:pPr>
      <w:r w:rsidRPr="00EF64A9">
        <w:t>(willing to accept service by e-mail)</w:t>
      </w:r>
    </w:p>
    <w:p w:rsidR="000E0E8C" w:rsidRPr="00EF64A9" w:rsidP="005D75E1" w14:paraId="4426F185" w14:textId="77777777">
      <w:pPr>
        <w:pStyle w:val="BodyText"/>
        <w:jc w:val="center"/>
        <w:rPr>
          <w:b/>
          <w:u w:val="single"/>
        </w:rPr>
      </w:pPr>
      <w:r w:rsidRPr="00EF64A9">
        <w:rPr>
          <w:b/>
          <w:u w:val="single"/>
        </w:rPr>
        <w:br w:type="page"/>
      </w:r>
    </w:p>
    <w:p w:rsidR="005D75E1" w:rsidRPr="00EF64A9" w:rsidP="005D75E1" w14:paraId="250C614C" w14:textId="77777777">
      <w:pPr>
        <w:pStyle w:val="BodyText"/>
        <w:jc w:val="center"/>
        <w:rPr>
          <w:b/>
          <w:u w:val="single"/>
        </w:rPr>
      </w:pPr>
      <w:r w:rsidRPr="00EF64A9">
        <w:rPr>
          <w:b/>
          <w:u w:val="single"/>
        </w:rPr>
        <w:t>CERTIFICATE OF SERVICE</w:t>
      </w:r>
    </w:p>
    <w:p w:rsidR="00AA486F" w:rsidRPr="00EF64A9" w:rsidP="003E3855" w14:paraId="66FD5C40" w14:textId="77777777">
      <w:pPr>
        <w:spacing w:before="240" w:line="480" w:lineRule="auto"/>
        <w:ind w:firstLine="720"/>
      </w:pPr>
      <w:r w:rsidRPr="00EF64A9">
        <w:t xml:space="preserve">I hereby certify that a true copy of the foregoing </w:t>
      </w:r>
      <w:r w:rsidR="00AD2536">
        <w:t>Reply</w:t>
      </w:r>
      <w:r w:rsidRPr="00EF64A9" w:rsidR="00207C79">
        <w:t xml:space="preserve"> Brief</w:t>
      </w:r>
      <w:r w:rsidRPr="00EF64A9">
        <w:t xml:space="preserve"> </w:t>
      </w:r>
      <w:r w:rsidRPr="00EF64A9" w:rsidR="003E3855">
        <w:t>for Consumer Protection</w:t>
      </w:r>
      <w:r w:rsidRPr="00EF64A9">
        <w:t xml:space="preserve"> was served via electronic transmission to the persons listed below on this </w:t>
      </w:r>
      <w:r w:rsidR="00AD2536">
        <w:t>14</w:t>
      </w:r>
      <w:r w:rsidR="00AD2536">
        <w:rPr>
          <w:vertAlign w:val="superscript"/>
        </w:rPr>
        <w:t>th</w:t>
      </w:r>
      <w:r w:rsidRPr="00EF64A9" w:rsidR="003E3855">
        <w:t xml:space="preserve"> </w:t>
      </w:r>
      <w:r w:rsidRPr="00EF64A9">
        <w:t xml:space="preserve">day of </w:t>
      </w:r>
      <w:r w:rsidR="00AD2536">
        <w:t>February</w:t>
      </w:r>
      <w:r w:rsidRPr="00EF64A9" w:rsidR="00901B11">
        <w:t xml:space="preserve"> </w:t>
      </w:r>
      <w:r w:rsidRPr="00EF64A9" w:rsidR="00074E75">
        <w:t>202</w:t>
      </w:r>
      <w:r w:rsidRPr="00EF64A9" w:rsidR="00207C79">
        <w:t>3</w:t>
      </w:r>
      <w:r w:rsidRPr="00EF64A9">
        <w:t>.</w:t>
      </w:r>
    </w:p>
    <w:p w:rsidR="00AA486F" w:rsidRPr="00EF64A9" w:rsidP="00AA486F" w14:paraId="20C8F392" w14:textId="77777777">
      <w:pPr>
        <w:jc w:val="center"/>
      </w:pPr>
      <w:r w:rsidRPr="00EF64A9">
        <w:tab/>
      </w:r>
      <w:r w:rsidRPr="00EF64A9" w:rsidR="00901B11">
        <w:tab/>
      </w:r>
      <w:r w:rsidRPr="00EF64A9" w:rsidR="00901B11">
        <w:tab/>
      </w:r>
      <w:r w:rsidRPr="00EF64A9">
        <w:rPr>
          <w:i/>
          <w:iCs/>
          <w:u w:val="single"/>
        </w:rPr>
        <w:t>/s/ William J. Michael</w:t>
      </w:r>
      <w:r w:rsidRPr="00EF64A9">
        <w:rPr>
          <w:i/>
          <w:iCs/>
          <w:u w:val="single"/>
        </w:rPr>
        <w:tab/>
      </w:r>
    </w:p>
    <w:p w:rsidR="00AA486F" w:rsidRPr="00EF64A9" w:rsidP="00AA486F" w14:paraId="5834E63A" w14:textId="77777777">
      <w:pPr>
        <w:tabs>
          <w:tab w:val="left" w:pos="4320"/>
        </w:tabs>
      </w:pPr>
      <w:r w:rsidRPr="00EF64A9">
        <w:tab/>
        <w:t>William J. Michael</w:t>
      </w:r>
    </w:p>
    <w:p w:rsidR="00AA486F" w:rsidRPr="00EF64A9" w:rsidP="00AA486F" w14:paraId="00713623" w14:textId="77777777">
      <w:pPr>
        <w:tabs>
          <w:tab w:val="left" w:pos="4320"/>
        </w:tabs>
      </w:pPr>
      <w:r w:rsidRPr="00EF64A9">
        <w:tab/>
        <w:t>Assistant Consumers’ Counsel</w:t>
      </w:r>
    </w:p>
    <w:p w:rsidR="00E07A16" w:rsidRPr="00EF64A9" w:rsidP="003E3855" w14:paraId="123681E2" w14:textId="77777777">
      <w:pPr>
        <w:tabs>
          <w:tab w:val="left" w:pos="4320"/>
        </w:tabs>
      </w:pPr>
      <w:r w:rsidRPr="00EF64A9">
        <w:tab/>
      </w:r>
      <w:r w:rsidRPr="00EF64A9">
        <w:tab/>
      </w:r>
    </w:p>
    <w:p w:rsidR="00E07A16" w:rsidRPr="00EF64A9" w:rsidP="00E07A16" w14:paraId="5021722D" w14:textId="77777777">
      <w:pPr>
        <w:pStyle w:val="CommentText"/>
        <w:rPr>
          <w:sz w:val="24"/>
          <w:szCs w:val="24"/>
        </w:rPr>
      </w:pPr>
      <w:r w:rsidRPr="00EF64A9">
        <w:rPr>
          <w:sz w:val="24"/>
          <w:szCs w:val="24"/>
        </w:rPr>
        <w:t>The PUCO’s e-filing system will electronically serve notice of the filing of this document on the following parties:</w:t>
      </w:r>
    </w:p>
    <w:p w:rsidR="00E07A16" w:rsidRPr="00EF64A9" w:rsidP="00E07A16" w14:paraId="2E25FABC" w14:textId="77777777">
      <w:pPr>
        <w:pStyle w:val="CommentText"/>
        <w:rPr>
          <w:sz w:val="24"/>
          <w:szCs w:val="24"/>
        </w:rPr>
      </w:pPr>
    </w:p>
    <w:p w:rsidR="00E07A16" w:rsidRPr="00EF64A9" w:rsidP="00E07A16" w14:paraId="0210B9F2" w14:textId="77777777">
      <w:pPr>
        <w:pStyle w:val="CommentText"/>
        <w:jc w:val="center"/>
        <w:rPr>
          <w:b/>
          <w:bCs/>
          <w:sz w:val="24"/>
          <w:szCs w:val="24"/>
          <w:u w:val="single"/>
        </w:rPr>
      </w:pPr>
      <w:r w:rsidRPr="00EF64A9">
        <w:rPr>
          <w:b/>
          <w:bCs/>
          <w:sz w:val="24"/>
          <w:szCs w:val="24"/>
          <w:u w:val="single"/>
        </w:rPr>
        <w:t>SERVICE LIST</w:t>
      </w:r>
    </w:p>
    <w:p w:rsidR="00CC46CF" w:rsidRPr="00EF64A9" w:rsidP="00E07A16" w14:paraId="56BA1C81"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58A487F" w14:textId="77777777" w:rsidTr="00D7603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E3855" w:rsidRPr="00EF64A9" w:rsidP="00D76033" w14:paraId="3CE4656B" w14:textId="77777777">
            <w:pPr>
              <w:pStyle w:val="CommentText"/>
              <w:jc w:val="both"/>
              <w:rPr>
                <w:bCs/>
                <w:sz w:val="24"/>
                <w:szCs w:val="24"/>
              </w:rPr>
            </w:pPr>
            <w:hyperlink r:id="rId12" w:history="1">
              <w:r w:rsidRPr="00EF64A9" w:rsidR="00227700">
                <w:rPr>
                  <w:rStyle w:val="Hyperlink"/>
                  <w:bCs/>
                  <w:sz w:val="24"/>
                  <w:szCs w:val="24"/>
                </w:rPr>
                <w:t>robert.eubanks@ohioAGO.gov</w:t>
              </w:r>
            </w:hyperlink>
          </w:p>
          <w:p w:rsidR="003E3855" w:rsidRPr="00EF64A9" w:rsidP="00D76033" w14:paraId="2113A193" w14:textId="77777777">
            <w:pPr>
              <w:pStyle w:val="CommentText"/>
              <w:jc w:val="both"/>
              <w:rPr>
                <w:rStyle w:val="Hyperlink"/>
                <w:sz w:val="24"/>
                <w:szCs w:val="24"/>
              </w:rPr>
            </w:pPr>
            <w:hyperlink r:id="rId13" w:history="1">
              <w:r w:rsidRPr="001D0D04" w:rsidR="005E493F">
                <w:rPr>
                  <w:rStyle w:val="Hyperlink"/>
                  <w:bCs/>
                  <w:sz w:val="24"/>
                  <w:szCs w:val="24"/>
                </w:rPr>
                <w:t>R</w:t>
              </w:r>
              <w:r w:rsidRPr="001D0D04" w:rsidR="005E493F">
                <w:rPr>
                  <w:rStyle w:val="Hyperlink"/>
                  <w:sz w:val="24"/>
                  <w:szCs w:val="24"/>
                </w:rPr>
                <w:t>hiannon.howard@ohioAGO.gov</w:t>
              </w:r>
            </w:hyperlink>
          </w:p>
          <w:p w:rsidR="003E3855" w:rsidRPr="00EF64A9" w:rsidP="00D76033" w14:paraId="092A46DE" w14:textId="77777777">
            <w:pPr>
              <w:pStyle w:val="CommentText"/>
              <w:jc w:val="both"/>
              <w:rPr>
                <w:bCs/>
                <w:sz w:val="24"/>
                <w:szCs w:val="24"/>
              </w:rPr>
            </w:pPr>
          </w:p>
          <w:p w:rsidR="003E3855" w:rsidRPr="00EF64A9" w:rsidP="00D76033" w14:paraId="35ED6A8C" w14:textId="77777777">
            <w:pPr>
              <w:pStyle w:val="CommentText"/>
              <w:jc w:val="both"/>
              <w:rPr>
                <w:bCs/>
                <w:sz w:val="24"/>
                <w:szCs w:val="24"/>
              </w:rPr>
            </w:pPr>
            <w:r w:rsidRPr="00EF64A9">
              <w:rPr>
                <w:bCs/>
                <w:sz w:val="24"/>
                <w:szCs w:val="24"/>
              </w:rPr>
              <w:t>Attorney Examiners:</w:t>
            </w:r>
          </w:p>
          <w:p w:rsidR="003E3855" w:rsidRPr="00EF64A9" w:rsidP="00D76033" w14:paraId="701D43AA" w14:textId="77777777">
            <w:pPr>
              <w:pStyle w:val="CommentText"/>
              <w:jc w:val="both"/>
              <w:rPr>
                <w:bCs/>
                <w:sz w:val="24"/>
                <w:szCs w:val="24"/>
              </w:rPr>
            </w:pPr>
            <w:hyperlink r:id="rId14" w:history="1">
              <w:r w:rsidRPr="00EF64A9" w:rsidR="00227700">
                <w:rPr>
                  <w:rStyle w:val="Hyperlink"/>
                  <w:bCs/>
                  <w:sz w:val="24"/>
                  <w:szCs w:val="24"/>
                </w:rPr>
                <w:t>Jacqueline.st.john@puco.ohio.gov</w:t>
              </w:r>
            </w:hyperlink>
          </w:p>
          <w:p w:rsidR="003E3855" w:rsidRPr="00EF64A9" w:rsidP="00D76033" w14:paraId="2DB9C38D" w14:textId="77777777">
            <w:pPr>
              <w:pStyle w:val="CommentText"/>
              <w:jc w:val="both"/>
              <w:rPr>
                <w:bCs/>
                <w:sz w:val="24"/>
                <w:szCs w:val="24"/>
              </w:rPr>
            </w:pPr>
            <w:hyperlink r:id="rId15" w:history="1">
              <w:r w:rsidRPr="00EF64A9" w:rsidR="00227700">
                <w:rPr>
                  <w:rStyle w:val="Hyperlink"/>
                  <w:bCs/>
                  <w:sz w:val="24"/>
                  <w:szCs w:val="24"/>
                </w:rPr>
                <w:t>Michael.williams@puco.ohio.gov</w:t>
              </w:r>
            </w:hyperlink>
          </w:p>
          <w:p w:rsidR="003E3855" w:rsidRPr="00EF64A9" w:rsidP="00D76033" w14:paraId="4A8FB630" w14:textId="77777777">
            <w:pPr>
              <w:pStyle w:val="CommentText"/>
              <w:jc w:val="both"/>
              <w:rPr>
                <w:bCs/>
                <w:sz w:val="24"/>
                <w:szCs w:val="24"/>
              </w:rPr>
            </w:pPr>
          </w:p>
        </w:tc>
        <w:tc>
          <w:tcPr>
            <w:tcW w:w="4315" w:type="dxa"/>
          </w:tcPr>
          <w:p w:rsidR="003E3855" w:rsidRPr="00EF64A9" w:rsidP="00D76033" w14:paraId="064D3199" w14:textId="77777777">
            <w:pPr>
              <w:pStyle w:val="CommentText"/>
              <w:ind w:left="78"/>
              <w:rPr>
                <w:color w:val="0000FF"/>
                <w:sz w:val="24"/>
                <w:szCs w:val="24"/>
              </w:rPr>
            </w:pPr>
            <w:hyperlink r:id="rId16" w:history="1">
              <w:r w:rsidRPr="00EF64A9" w:rsidR="00227700">
                <w:rPr>
                  <w:rStyle w:val="Hyperlink"/>
                  <w:sz w:val="24"/>
                  <w:szCs w:val="24"/>
                </w:rPr>
                <w:t>randall.griffin@aes.com</w:t>
              </w:r>
            </w:hyperlink>
          </w:p>
          <w:p w:rsidR="003E3855" w:rsidRPr="00EF64A9" w:rsidP="00D76033" w14:paraId="5A746C1C" w14:textId="77777777">
            <w:pPr>
              <w:pStyle w:val="CommentText"/>
              <w:ind w:left="77"/>
              <w:rPr>
                <w:rStyle w:val="Hyperlink"/>
                <w:bCs/>
                <w:sz w:val="24"/>
                <w:szCs w:val="24"/>
              </w:rPr>
            </w:pPr>
            <w:hyperlink r:id="rId17" w:history="1">
              <w:r w:rsidRPr="00EF64A9" w:rsidR="00227700">
                <w:rPr>
                  <w:rStyle w:val="Hyperlink"/>
                  <w:bCs/>
                  <w:sz w:val="24"/>
                  <w:szCs w:val="24"/>
                </w:rPr>
                <w:t>christopher.hollon@aes.com</w:t>
              </w:r>
            </w:hyperlink>
          </w:p>
          <w:p w:rsidR="003E3855" w:rsidRPr="00EF64A9" w:rsidP="00D76033" w14:paraId="3F644A7C" w14:textId="77777777">
            <w:pPr>
              <w:pStyle w:val="CommentText"/>
              <w:rPr>
                <w:b/>
                <w:sz w:val="24"/>
                <w:szCs w:val="24"/>
                <w:u w:val="single"/>
              </w:rPr>
            </w:pPr>
          </w:p>
        </w:tc>
      </w:tr>
    </w:tbl>
    <w:p w:rsidR="00CC46CF" w:rsidRPr="00EF64A9" w:rsidP="00E07A16" w14:paraId="250BF4A0" w14:textId="77777777">
      <w:pPr>
        <w:pStyle w:val="CommentText"/>
        <w:jc w:val="center"/>
        <w:rPr>
          <w:b/>
          <w:bCs/>
          <w:sz w:val="24"/>
          <w:szCs w:val="24"/>
          <w:u w:val="single"/>
        </w:rPr>
      </w:pPr>
    </w:p>
    <w:sectPr w:rsidSect="00073041">
      <w:footerReference w:type="default" r:id="rId18"/>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20FA51C0"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4059673"/>
      <w:docPartObj>
        <w:docPartGallery w:val="Page Numbers (Bottom of Page)"/>
        <w:docPartUnique/>
      </w:docPartObj>
    </w:sdtPr>
    <w:sdtEndPr>
      <w:rPr>
        <w:noProof/>
      </w:rPr>
    </w:sdtEndPr>
    <w:sdtContent>
      <w:p w:rsidR="000E53BE" w14:paraId="6C12DD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4947219"/>
      <w:docPartObj>
        <w:docPartGallery w:val="Page Numbers (Bottom of Page)"/>
        <w:docPartUnique/>
      </w:docPartObj>
    </w:sdtPr>
    <w:sdtEndPr>
      <w:rPr>
        <w:noProof/>
      </w:rPr>
    </w:sdtEndPr>
    <w:sdtContent>
      <w:p w:rsidR="00073041" w14:paraId="297052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094" w14:paraId="56B45259" w14:textId="77777777">
      <w:r>
        <w:separator/>
      </w:r>
    </w:p>
  </w:footnote>
  <w:footnote w:type="continuationSeparator" w:id="1">
    <w:p w:rsidR="00226094" w14:paraId="3C4D73B2" w14:textId="77777777">
      <w:r>
        <w:continuationSeparator/>
      </w:r>
    </w:p>
  </w:footnote>
  <w:footnote w:id="2">
    <w:p w:rsidR="004B73FE" w:rsidP="007F63BA" w14:paraId="63AB2279" w14:textId="77777777">
      <w:pPr>
        <w:pStyle w:val="FootnoteText"/>
      </w:pPr>
      <w:r>
        <w:rPr>
          <w:rStyle w:val="FootnoteReference"/>
        </w:rPr>
        <w:footnoteRef/>
      </w:r>
      <w:r>
        <w:t xml:space="preserve"> CAIDI refers to </w:t>
      </w:r>
      <w:r w:rsidR="004807A9">
        <w:t>Customer Average Interruption Duration Index</w:t>
      </w:r>
      <w:r>
        <w:t xml:space="preserve">. SAIFI refers to </w:t>
      </w:r>
      <w:r w:rsidR="004807A9">
        <w:t>System Average Interruption Frequency Index</w:t>
      </w:r>
      <w:r>
        <w:t>.</w:t>
      </w:r>
    </w:p>
  </w:footnote>
  <w:footnote w:id="3">
    <w:p w:rsidR="007F270A" w14:paraId="37565C18" w14:textId="77777777">
      <w:pPr>
        <w:pStyle w:val="FootnoteText"/>
      </w:pPr>
      <w:r>
        <w:rPr>
          <w:rStyle w:val="FootnoteReference"/>
        </w:rPr>
        <w:footnoteRef/>
      </w:r>
      <w:r>
        <w:t xml:space="preserve"> DP&amp;L Initial Brief (January 30, 2023) at 5.</w:t>
      </w:r>
    </w:p>
  </w:footnote>
  <w:footnote w:id="4">
    <w:p w:rsidR="007F270A" w:rsidRPr="007F270A" w14:paraId="0717D0ED" w14:textId="77777777">
      <w:pPr>
        <w:pStyle w:val="FootnoteText"/>
      </w:pPr>
      <w:r>
        <w:rPr>
          <w:rStyle w:val="FootnoteReference"/>
        </w:rPr>
        <w:footnoteRef/>
      </w:r>
      <w:r>
        <w:t xml:space="preserve"> </w:t>
      </w:r>
      <w:r>
        <w:rPr>
          <w:i/>
          <w:iCs/>
        </w:rPr>
        <w:t>Id.</w:t>
      </w:r>
      <w:r>
        <w:t xml:space="preserve"> at 2.</w:t>
      </w:r>
    </w:p>
  </w:footnote>
  <w:footnote w:id="5">
    <w:p w:rsidR="000406AE" w:rsidP="007F63BA" w14:paraId="37B6BD29" w14:textId="77777777">
      <w:pPr>
        <w:pStyle w:val="FootnoteText"/>
      </w:pPr>
      <w:r>
        <w:rPr>
          <w:rStyle w:val="FootnoteReference"/>
        </w:rPr>
        <w:footnoteRef/>
      </w:r>
      <w:r>
        <w:t xml:space="preserve"> </w:t>
      </w:r>
      <w:r w:rsidRPr="004A1045">
        <w:rPr>
          <w:i/>
          <w:iCs/>
          <w:color w:val="000000" w:themeColor="text1"/>
        </w:rPr>
        <w:t>Transmission and Distribution Inspection, Maintenance, Repair and Replacement Programs Pursuant to Section 4901:1-10-27, Ohio Administrative Code, Regarding Electric Companies</w:t>
      </w:r>
      <w:r w:rsidR="00BB42B4">
        <w:rPr>
          <w:color w:val="000000" w:themeColor="text1"/>
        </w:rPr>
        <w:t xml:space="preserve">, </w:t>
      </w:r>
      <w:r w:rsidRPr="004A1045">
        <w:rPr>
          <w:color w:val="000000" w:themeColor="text1"/>
        </w:rPr>
        <w:t>Case No. 18-1837-EL-ESS (December 17, 2018) at 11.</w:t>
      </w:r>
    </w:p>
  </w:footnote>
  <w:footnote w:id="6">
    <w:p w:rsidR="004465BB" w:rsidRPr="004A1045" w:rsidP="007F63BA" w14:paraId="7883960C"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sidR="007778DF">
        <w:rPr>
          <w:color w:val="000000" w:themeColor="text1"/>
        </w:rPr>
        <w:t xml:space="preserve">DP&amp;L Initial Brief </w:t>
      </w:r>
      <w:r w:rsidRPr="004A1045">
        <w:rPr>
          <w:color w:val="000000" w:themeColor="text1"/>
        </w:rPr>
        <w:t>at 5</w:t>
      </w:r>
      <w:r w:rsidRPr="004A1045" w:rsidR="007778DF">
        <w:rPr>
          <w:color w:val="000000" w:themeColor="text1"/>
        </w:rPr>
        <w:t>.</w:t>
      </w:r>
    </w:p>
  </w:footnote>
  <w:footnote w:id="7">
    <w:p w:rsidR="00DB6291" w:rsidRPr="004A1045" w:rsidP="007F63BA" w14:paraId="6B20477D"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O.A.C. </w:t>
      </w:r>
      <w:r w:rsidR="00CF5B3A">
        <w:rPr>
          <w:color w:val="000000" w:themeColor="text1"/>
        </w:rPr>
        <w:t>4</w:t>
      </w:r>
      <w:r w:rsidRPr="004A1045">
        <w:rPr>
          <w:color w:val="000000" w:themeColor="text1"/>
        </w:rPr>
        <w:t>901:1-10-10(a).</w:t>
      </w:r>
    </w:p>
  </w:footnote>
  <w:footnote w:id="8">
    <w:p w:rsidR="0091494A" w:rsidP="007F63BA" w14:paraId="50636D70" w14:textId="77777777">
      <w:pPr>
        <w:pStyle w:val="FootnoteText"/>
      </w:pPr>
      <w:r>
        <w:rPr>
          <w:rStyle w:val="FootnoteReference"/>
        </w:rPr>
        <w:footnoteRef/>
      </w:r>
      <w:r>
        <w:t xml:space="preserve"> </w:t>
      </w:r>
      <w:r>
        <w:rPr>
          <w:color w:val="000000" w:themeColor="text1"/>
        </w:rPr>
        <w:t>Direct Testimony of PUCO Staff Witness Jacob Nicodemus at Exhibits 3, 4</w:t>
      </w:r>
      <w:r w:rsidR="00CF5B3A">
        <w:rPr>
          <w:color w:val="000000" w:themeColor="text1"/>
        </w:rPr>
        <w:t>,</w:t>
      </w:r>
      <w:r>
        <w:rPr>
          <w:color w:val="000000" w:themeColor="text1"/>
        </w:rPr>
        <w:t xml:space="preserve"> and 5</w:t>
      </w:r>
      <w:r w:rsidR="00CF5B3A">
        <w:rPr>
          <w:color w:val="000000" w:themeColor="text1"/>
        </w:rPr>
        <w:t xml:space="preserve"> (“Nicodemus Direct”)</w:t>
      </w:r>
      <w:r>
        <w:rPr>
          <w:color w:val="000000" w:themeColor="text1"/>
        </w:rPr>
        <w:t>.</w:t>
      </w:r>
    </w:p>
  </w:footnote>
  <w:footnote w:id="9">
    <w:p w:rsidR="00DB6291" w:rsidRPr="0091494A" w:rsidP="007F63BA" w14:paraId="116A323D" w14:textId="77777777">
      <w:pPr>
        <w:pStyle w:val="FootnoteText"/>
        <w:rPr>
          <w:i/>
          <w:iCs/>
          <w:color w:val="000000" w:themeColor="text1"/>
        </w:rPr>
      </w:pPr>
      <w:r w:rsidRPr="004A1045">
        <w:rPr>
          <w:rStyle w:val="FootnoteReference"/>
          <w:color w:val="000000" w:themeColor="text1"/>
        </w:rPr>
        <w:footnoteRef/>
      </w:r>
      <w:r w:rsidRPr="004A1045">
        <w:rPr>
          <w:color w:val="000000" w:themeColor="text1"/>
        </w:rPr>
        <w:t xml:space="preserve"> </w:t>
      </w:r>
      <w:r w:rsidR="0091494A">
        <w:rPr>
          <w:i/>
          <w:iCs/>
          <w:color w:val="000000" w:themeColor="text1"/>
        </w:rPr>
        <w:t xml:space="preserve">Id. </w:t>
      </w:r>
    </w:p>
  </w:footnote>
  <w:footnote w:id="10">
    <w:p w:rsidR="00AF0FA5" w:rsidRPr="004A1045" w:rsidP="007F63BA" w14:paraId="32160BC1"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sidR="00DB6291">
        <w:rPr>
          <w:color w:val="000000" w:themeColor="text1"/>
        </w:rPr>
        <w:t xml:space="preserve">Tr. at </w:t>
      </w:r>
      <w:r w:rsidRPr="004A1045">
        <w:rPr>
          <w:color w:val="000000" w:themeColor="text1"/>
        </w:rPr>
        <w:t>17:13-16</w:t>
      </w:r>
      <w:r w:rsidRPr="004A1045" w:rsidR="00DB6291">
        <w:rPr>
          <w:color w:val="000000" w:themeColor="text1"/>
        </w:rPr>
        <w:t>;</w:t>
      </w:r>
      <w:r w:rsidRPr="004A1045">
        <w:rPr>
          <w:color w:val="000000" w:themeColor="text1"/>
        </w:rPr>
        <w:t xml:space="preserve"> </w:t>
      </w:r>
      <w:r w:rsidRPr="004A1045" w:rsidR="00DB6291">
        <w:rPr>
          <w:color w:val="000000" w:themeColor="text1"/>
        </w:rPr>
        <w:t>Tr. 19:24</w:t>
      </w:r>
      <w:r w:rsidR="00567281">
        <w:rPr>
          <w:color w:val="000000" w:themeColor="text1"/>
        </w:rPr>
        <w:t>-</w:t>
      </w:r>
      <w:r w:rsidRPr="004A1045" w:rsidR="00DB6291">
        <w:rPr>
          <w:color w:val="000000" w:themeColor="text1"/>
        </w:rPr>
        <w:t xml:space="preserve">20:2; and </w:t>
      </w:r>
      <w:r w:rsidR="00A01C33">
        <w:rPr>
          <w:color w:val="000000" w:themeColor="text1"/>
        </w:rPr>
        <w:t xml:space="preserve">Tr. </w:t>
      </w:r>
      <w:r w:rsidRPr="004A1045" w:rsidR="00DB6291">
        <w:rPr>
          <w:color w:val="000000" w:themeColor="text1"/>
        </w:rPr>
        <w:t xml:space="preserve">21:9-12. </w:t>
      </w:r>
    </w:p>
  </w:footnote>
  <w:footnote w:id="11">
    <w:p w:rsidR="004465BB" w:rsidRPr="004A1045" w:rsidP="007F63BA" w14:paraId="12CDAA6E"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sidR="007778DF">
        <w:rPr>
          <w:color w:val="000000" w:themeColor="text1"/>
        </w:rPr>
        <w:t xml:space="preserve">DP&amp;L Initial Brief </w:t>
      </w:r>
      <w:r w:rsidRPr="004A1045">
        <w:rPr>
          <w:color w:val="000000" w:themeColor="text1"/>
        </w:rPr>
        <w:t>at 5</w:t>
      </w:r>
      <w:r w:rsidRPr="004A1045" w:rsidR="007778DF">
        <w:rPr>
          <w:color w:val="000000" w:themeColor="text1"/>
        </w:rPr>
        <w:t>.</w:t>
      </w:r>
    </w:p>
  </w:footnote>
  <w:footnote w:id="12">
    <w:p w:rsidR="00970DDF" w:rsidRPr="004A1045" w:rsidP="007F63BA" w14:paraId="77100417" w14:textId="77777777">
      <w:pPr>
        <w:pStyle w:val="NormalWeb"/>
        <w:spacing w:before="0" w:beforeAutospacing="0" w:after="120" w:afterAutospacing="0"/>
        <w:rPr>
          <w:color w:val="000000" w:themeColor="text1"/>
          <w:sz w:val="20"/>
          <w:szCs w:val="20"/>
        </w:rPr>
      </w:pPr>
      <w:r w:rsidRPr="004A1045">
        <w:rPr>
          <w:rStyle w:val="FootnoteReference"/>
          <w:color w:val="000000" w:themeColor="text1"/>
          <w:sz w:val="20"/>
          <w:szCs w:val="20"/>
        </w:rPr>
        <w:footnoteRef/>
      </w:r>
      <w:r w:rsidRPr="004A1045">
        <w:rPr>
          <w:color w:val="000000" w:themeColor="text1"/>
          <w:sz w:val="20"/>
          <w:szCs w:val="20"/>
        </w:rPr>
        <w:t xml:space="preserve"> Case No. 15-1830-EL-AIR, Stipulation and Recommendation (June 18, 2018) at 18; </w:t>
      </w:r>
      <w:r w:rsidRPr="004A1045">
        <w:rPr>
          <w:i/>
          <w:iCs/>
          <w:color w:val="000000" w:themeColor="text1"/>
          <w:sz w:val="20"/>
          <w:szCs w:val="20"/>
        </w:rPr>
        <w:t>In re AES Ohio</w:t>
      </w:r>
      <w:r w:rsidRPr="004A1045">
        <w:rPr>
          <w:color w:val="000000" w:themeColor="text1"/>
          <w:sz w:val="20"/>
          <w:szCs w:val="20"/>
        </w:rPr>
        <w:t>, Case No. 20-1651-EL-AIR, Opinion and Order (Dec</w:t>
      </w:r>
      <w:r w:rsidR="007F63BA">
        <w:rPr>
          <w:color w:val="000000" w:themeColor="text1"/>
          <w:sz w:val="20"/>
          <w:szCs w:val="20"/>
        </w:rPr>
        <w:t>ember</w:t>
      </w:r>
      <w:r w:rsidRPr="004A1045">
        <w:rPr>
          <w:color w:val="000000" w:themeColor="text1"/>
          <w:sz w:val="20"/>
          <w:szCs w:val="20"/>
        </w:rPr>
        <w:t xml:space="preserve"> 14, 2022), ¶ 114. </w:t>
      </w:r>
    </w:p>
  </w:footnote>
  <w:footnote w:id="13">
    <w:p w:rsidR="006950D6" w:rsidRPr="004A1045" w:rsidP="007F63BA" w14:paraId="3C79E728"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In re AES Ohio</w:t>
      </w:r>
      <w:r w:rsidRPr="004A1045">
        <w:rPr>
          <w:color w:val="000000" w:themeColor="text1"/>
        </w:rPr>
        <w:t>, Case No. 20-1651-EL-AIR, Opinion and Order (Dec</w:t>
      </w:r>
      <w:r w:rsidR="007F63BA">
        <w:rPr>
          <w:color w:val="000000" w:themeColor="text1"/>
        </w:rPr>
        <w:t>ember</w:t>
      </w:r>
      <w:r w:rsidRPr="004A1045">
        <w:rPr>
          <w:color w:val="000000" w:themeColor="text1"/>
        </w:rPr>
        <w:t xml:space="preserve"> 14, 2022), ¶ 114.</w:t>
      </w:r>
    </w:p>
  </w:footnote>
  <w:footnote w:id="14">
    <w:p w:rsidR="006A0F98" w:rsidRPr="004A1045" w:rsidP="007F63BA" w14:paraId="2BA5CCAA"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sidR="00DB6291">
        <w:rPr>
          <w:i/>
          <w:iCs/>
          <w:color w:val="000000" w:themeColor="text1"/>
        </w:rPr>
        <w:t>In the Matter of the Application of the Dayton Power and Light Company to Amend its Transmission and Distribution Inspection, Maintenance, Repair and Replacement Programs Pursuant to Section 4901:1-10-27, Ohio Administrative Code, Regarding Electric Companies.</w:t>
      </w:r>
      <w:r w:rsidRPr="004A1045" w:rsidR="00DB6291">
        <w:rPr>
          <w:color w:val="000000" w:themeColor="text1"/>
        </w:rPr>
        <w:t xml:space="preserve"> Case No. 18-1837-EL-ESS (December 17, 2018) at 11.</w:t>
      </w:r>
    </w:p>
  </w:footnote>
  <w:footnote w:id="15">
    <w:p w:rsidR="00F33F0F" w:rsidRPr="004A1045" w:rsidP="007F63BA" w14:paraId="12A95526"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In the Matter of the Application of the Dayton Power and Light Company to Amend its Transmission and Distribution Inspection, Maintenance, Repair and Replacement Programs Pursuant to Section 4901:1-10-27, Ohio Administrative Code, Regarding Electric Companies.</w:t>
      </w:r>
      <w:r w:rsidRPr="004A1045">
        <w:rPr>
          <w:color w:val="000000" w:themeColor="text1"/>
        </w:rPr>
        <w:t xml:space="preserve"> Case No. 18-1837-EL-ESS (December 17, 2018) at 11.</w:t>
      </w:r>
    </w:p>
  </w:footnote>
  <w:footnote w:id="16">
    <w:p w:rsidR="00F33F0F" w:rsidRPr="004A1045" w:rsidP="007F63BA" w14:paraId="05345FE9" w14:textId="77777777">
      <w:pPr>
        <w:pStyle w:val="FootnoteText"/>
        <w:rPr>
          <w:i/>
          <w:iCs/>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 xml:space="preserve">In the Matter of the Electric Service and Safety Standards, Pursuant to Rule 4901:1-10-26(B) of the Ohio Revised Code, </w:t>
      </w:r>
      <w:r w:rsidRPr="004A1045">
        <w:rPr>
          <w:color w:val="000000" w:themeColor="text1"/>
        </w:rPr>
        <w:t xml:space="preserve">Case No. 19-1000-EL-ESS, System Improvement Plan Report, (April 1, 2019) at 31; </w:t>
      </w:r>
      <w:r w:rsidRPr="004A1045">
        <w:rPr>
          <w:i/>
          <w:iCs/>
          <w:color w:val="000000" w:themeColor="text1"/>
        </w:rPr>
        <w:t xml:space="preserve">In the Matter of the Electric Service and Safety Standards, Pursuant to Rule 4901:1-10-26(B) of the Ohio Revised Code, </w:t>
      </w:r>
      <w:r w:rsidRPr="004A1045">
        <w:rPr>
          <w:color w:val="000000" w:themeColor="text1"/>
        </w:rPr>
        <w:t xml:space="preserve">Case No. 20-1000-EL-ESS, System Improvement Plan Report, (March 30, 2020) at 31; </w:t>
      </w:r>
      <w:r w:rsidRPr="004A1045">
        <w:rPr>
          <w:i/>
          <w:iCs/>
          <w:color w:val="000000" w:themeColor="text1"/>
        </w:rPr>
        <w:t xml:space="preserve">In the Matter of the Electric Service and Safety Standards, Pursuant to Rule 4901:1-10-26(B) of the Ohio Revised Code, </w:t>
      </w:r>
      <w:r w:rsidRPr="004A1045">
        <w:rPr>
          <w:color w:val="000000" w:themeColor="text1"/>
        </w:rPr>
        <w:t>Case No. 21-1000-EL-ESS, System Improvement Plan Report, (March 26, 2021) at 30.</w:t>
      </w:r>
    </w:p>
  </w:footnote>
  <w:footnote w:id="17">
    <w:p w:rsidR="00F33F0F" w:rsidRPr="004A1045" w:rsidP="007F63BA" w14:paraId="45501D99" w14:textId="77777777">
      <w:pPr>
        <w:pStyle w:val="FootnoteText"/>
        <w:rPr>
          <w:i/>
          <w:iCs/>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 xml:space="preserve">Id. </w:t>
      </w:r>
    </w:p>
  </w:footnote>
  <w:footnote w:id="18">
    <w:p w:rsidR="00F33F0F" w:rsidRPr="004A1045" w:rsidP="007F63BA" w14:paraId="2D8C5A03"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00C971CA">
        <w:rPr>
          <w:color w:val="000000" w:themeColor="text1"/>
        </w:rPr>
        <w:t>Direct Testimony of OCC Witness James D. Williams at JDW-08</w:t>
      </w:r>
      <w:r w:rsidR="00272DF1">
        <w:rPr>
          <w:color w:val="000000" w:themeColor="text1"/>
        </w:rPr>
        <w:t xml:space="preserve"> (“Williams Direct”)</w:t>
      </w:r>
      <w:r w:rsidRPr="004A1045">
        <w:rPr>
          <w:color w:val="000000" w:themeColor="text1"/>
        </w:rPr>
        <w:t>.</w:t>
      </w:r>
    </w:p>
  </w:footnote>
  <w:footnote w:id="19">
    <w:p w:rsidR="00352F96" w:rsidP="007F63BA" w14:paraId="7C660059" w14:textId="77777777">
      <w:pPr>
        <w:pStyle w:val="FootnoteText"/>
      </w:pPr>
      <w:r>
        <w:rPr>
          <w:rStyle w:val="FootnoteReference"/>
        </w:rPr>
        <w:footnoteRef/>
      </w:r>
      <w:r>
        <w:t xml:space="preserve"> DP&amp;L Initial Brief at 7.</w:t>
      </w:r>
    </w:p>
  </w:footnote>
  <w:footnote w:id="20">
    <w:p w:rsidR="00352F96" w:rsidRPr="00352F96" w:rsidP="007F63BA" w14:paraId="70285FAC" w14:textId="77777777">
      <w:pPr>
        <w:pStyle w:val="FootnoteText"/>
      </w:pPr>
      <w:r>
        <w:rPr>
          <w:rStyle w:val="FootnoteReference"/>
        </w:rPr>
        <w:footnoteRef/>
      </w:r>
      <w:r>
        <w:t xml:space="preserve"> </w:t>
      </w:r>
      <w:r>
        <w:rPr>
          <w:i/>
          <w:iCs/>
        </w:rPr>
        <w:t xml:space="preserve">Id. </w:t>
      </w:r>
      <w:r>
        <w:t>at 7.</w:t>
      </w:r>
    </w:p>
  </w:footnote>
  <w:footnote w:id="21">
    <w:p w:rsidR="00200CDC" w:rsidP="007F63BA" w14:paraId="57EB47BD" w14:textId="77777777">
      <w:pPr>
        <w:pStyle w:val="FootnoteText"/>
      </w:pPr>
      <w:r>
        <w:rPr>
          <w:rStyle w:val="FootnoteReference"/>
        </w:rPr>
        <w:footnoteRef/>
      </w:r>
      <w:r>
        <w:t xml:space="preserve"> Williams Direct at 12. </w:t>
      </w:r>
    </w:p>
  </w:footnote>
  <w:footnote w:id="22">
    <w:p w:rsidR="00200CDC" w:rsidRPr="00200CDC" w:rsidP="007F63BA" w14:paraId="782BFA0B" w14:textId="77777777">
      <w:pPr>
        <w:pStyle w:val="FootnoteText"/>
      </w:pPr>
      <w:r>
        <w:rPr>
          <w:rStyle w:val="FootnoteReference"/>
        </w:rPr>
        <w:footnoteRef/>
      </w:r>
      <w:r>
        <w:t xml:space="preserve"> </w:t>
      </w:r>
      <w:r>
        <w:rPr>
          <w:i/>
          <w:iCs/>
        </w:rPr>
        <w:t xml:space="preserve">Id. </w:t>
      </w:r>
    </w:p>
  </w:footnote>
  <w:footnote w:id="23">
    <w:p w:rsidR="00FC3C79" w:rsidP="007F63BA" w14:paraId="4A2476C6" w14:textId="77777777">
      <w:pPr>
        <w:pStyle w:val="FootnoteText"/>
      </w:pPr>
      <w:r>
        <w:rPr>
          <w:rStyle w:val="FootnoteReference"/>
        </w:rPr>
        <w:footnoteRef/>
      </w:r>
      <w:r>
        <w:t xml:space="preserve"> </w:t>
      </w:r>
      <w:r w:rsidRPr="004A1045">
        <w:rPr>
          <w:color w:val="000000" w:themeColor="text1"/>
        </w:rPr>
        <w:t>Case No. 18-1837-EL-ESS (December 17, 2018) at 11.</w:t>
      </w:r>
    </w:p>
  </w:footnote>
  <w:footnote w:id="24">
    <w:p w:rsidR="00B22F6B" w:rsidP="007F63BA" w14:paraId="73ED70A7" w14:textId="77777777">
      <w:pPr>
        <w:pStyle w:val="FootnoteText"/>
      </w:pPr>
      <w:r>
        <w:rPr>
          <w:rStyle w:val="FootnoteReference"/>
        </w:rPr>
        <w:footnoteRef/>
      </w:r>
      <w:r>
        <w:t xml:space="preserve"> </w:t>
      </w:r>
      <w:r w:rsidR="00200CDC">
        <w:t>DP&amp;L Initial Brief at</w:t>
      </w:r>
      <w:r>
        <w:t xml:space="preserve"> 8.</w:t>
      </w:r>
    </w:p>
  </w:footnote>
  <w:footnote w:id="25">
    <w:p w:rsidR="00EC4DC5" w:rsidRPr="0026072D" w:rsidP="007F63BA" w14:paraId="7707B7FE" w14:textId="77777777">
      <w:pPr>
        <w:pStyle w:val="FootnoteText"/>
      </w:pPr>
      <w:r>
        <w:rPr>
          <w:rStyle w:val="FootnoteReference"/>
        </w:rPr>
        <w:footnoteRef/>
      </w:r>
      <w:r>
        <w:t xml:space="preserve"> </w:t>
      </w:r>
      <w:r>
        <w:rPr>
          <w:i/>
          <w:iCs/>
        </w:rPr>
        <w:t>Id</w:t>
      </w:r>
      <w:r w:rsidR="0026072D">
        <w:rPr>
          <w:i/>
          <w:iCs/>
        </w:rPr>
        <w:t xml:space="preserve"> </w:t>
      </w:r>
      <w:r w:rsidR="0026072D">
        <w:t>at 9.</w:t>
      </w:r>
    </w:p>
  </w:footnote>
  <w:footnote w:id="26">
    <w:p w:rsidR="00034E7B" w:rsidRPr="00034E7B" w:rsidP="007F63BA" w14:paraId="7E2A78E4" w14:textId="77777777">
      <w:pPr>
        <w:pStyle w:val="FootnoteText"/>
      </w:pPr>
      <w:r>
        <w:rPr>
          <w:rStyle w:val="FootnoteReference"/>
        </w:rPr>
        <w:footnoteRef/>
      </w:r>
      <w:r>
        <w:t xml:space="preserve"> </w:t>
      </w:r>
      <w:r>
        <w:rPr>
          <w:i/>
          <w:iCs/>
        </w:rPr>
        <w:t xml:space="preserve">Id. </w:t>
      </w:r>
      <w:r w:rsidRPr="00034E7B">
        <w:t>at 10.</w:t>
      </w:r>
      <w:r>
        <w:t xml:space="preserve"> </w:t>
      </w:r>
    </w:p>
  </w:footnote>
  <w:footnote w:id="27">
    <w:p w:rsidR="00567281" w:rsidP="007F63BA" w14:paraId="3E6CB924" w14:textId="77777777">
      <w:pPr>
        <w:pStyle w:val="FootnoteText"/>
      </w:pPr>
      <w:r>
        <w:rPr>
          <w:rStyle w:val="FootnoteReference"/>
        </w:rPr>
        <w:footnoteRef/>
      </w:r>
      <w:r>
        <w:t xml:space="preserve"> O.A.C. 4901:1-10-10(E)</w:t>
      </w:r>
      <w:r w:rsidR="007F63BA">
        <w:t>.</w:t>
      </w:r>
    </w:p>
  </w:footnote>
  <w:footnote w:id="28">
    <w:p w:rsidR="00EC4DC5" w:rsidRPr="007C0E27" w:rsidP="007F63BA" w14:paraId="6C076CB9" w14:textId="77777777">
      <w:pPr>
        <w:pStyle w:val="FootnoteText"/>
      </w:pPr>
      <w:r>
        <w:rPr>
          <w:rStyle w:val="FootnoteReference"/>
        </w:rPr>
        <w:footnoteRef/>
      </w:r>
      <w:r>
        <w:t xml:space="preserve"> </w:t>
      </w:r>
      <w:r w:rsidR="00450776">
        <w:t xml:space="preserve">DP&amp;L Initial Brief </w:t>
      </w:r>
      <w:r w:rsidR="007C0E27">
        <w:t>at 9.</w:t>
      </w:r>
    </w:p>
  </w:footnote>
  <w:footnote w:id="29">
    <w:p w:rsidR="00450776" w:rsidP="007F63BA" w14:paraId="73E2DC75" w14:textId="77777777">
      <w:pPr>
        <w:pStyle w:val="FootnoteText"/>
      </w:pPr>
      <w:r>
        <w:rPr>
          <w:rStyle w:val="FootnoteReference"/>
        </w:rPr>
        <w:footnoteRef/>
      </w:r>
      <w:r>
        <w:t xml:space="preserve"> Nicodemus Direct at 14.</w:t>
      </w:r>
    </w:p>
  </w:footnote>
  <w:footnote w:id="30">
    <w:p w:rsidR="0026072D" w:rsidRPr="0026072D" w:rsidP="007F63BA" w14:paraId="61305A08" w14:textId="77777777">
      <w:pPr>
        <w:pStyle w:val="FootnoteText"/>
        <w:rPr>
          <w:i/>
          <w:iCs/>
        </w:rPr>
      </w:pPr>
      <w:r>
        <w:rPr>
          <w:rStyle w:val="FootnoteReference"/>
        </w:rPr>
        <w:footnoteRef/>
      </w:r>
      <w:r>
        <w:t xml:space="preserve"> </w:t>
      </w:r>
      <w:r>
        <w:rPr>
          <w:i/>
          <w:iCs/>
        </w:rPr>
        <w:t xml:space="preserve">Id. </w:t>
      </w:r>
    </w:p>
  </w:footnote>
  <w:footnote w:id="31">
    <w:p w:rsidR="00E52D10" w:rsidRPr="00E52D10" w:rsidP="007F63BA" w14:paraId="16FAC38B" w14:textId="5D7304C2">
      <w:pPr>
        <w:pStyle w:val="FootnoteText"/>
      </w:pPr>
      <w:r>
        <w:rPr>
          <w:rStyle w:val="FootnoteReference"/>
        </w:rPr>
        <w:footnoteRef/>
      </w:r>
      <w:r>
        <w:t xml:space="preserve"> </w:t>
      </w:r>
      <w:r w:rsidR="00736702">
        <w:t>DP&amp;L Initial Brief</w:t>
      </w:r>
      <w:r>
        <w:rPr>
          <w:i/>
          <w:iCs/>
        </w:rPr>
        <w:t xml:space="preserve"> </w:t>
      </w:r>
      <w:r>
        <w:t xml:space="preserve">at 12. </w:t>
      </w:r>
    </w:p>
  </w:footnote>
  <w:footnote w:id="32">
    <w:p w:rsidR="00E52D10" w:rsidRPr="004A1045" w:rsidP="007F63BA" w14:paraId="2D2C6EC8"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Pr>
          <w:color w:val="000000" w:themeColor="text1"/>
        </w:rPr>
        <w:t>OCC Initial Brief at 2</w:t>
      </w:r>
      <w:r w:rsidRPr="004A1045">
        <w:rPr>
          <w:color w:val="000000" w:themeColor="text1"/>
        </w:rPr>
        <w:t>.</w:t>
      </w:r>
    </w:p>
  </w:footnote>
  <w:footnote w:id="33">
    <w:p w:rsidR="00642630" w:rsidRPr="004A1045" w:rsidP="007F63BA" w14:paraId="1CA2CCD8"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DP&amp;L Initial Brief at 13. </w:t>
      </w:r>
    </w:p>
  </w:footnote>
  <w:footnote w:id="34">
    <w:p w:rsidR="00BB6D81" w:rsidP="00BB6D81" w14:paraId="2C993A4F" w14:textId="77777777">
      <w:pPr>
        <w:pStyle w:val="FootnoteText"/>
      </w:pPr>
      <w:r>
        <w:rPr>
          <w:rStyle w:val="FootnoteReference"/>
        </w:rPr>
        <w:footnoteRef/>
      </w:r>
      <w:r>
        <w:t xml:space="preserve"> DP&amp;L Initial Brief at 15.</w:t>
      </w:r>
    </w:p>
  </w:footnote>
  <w:footnote w:id="35">
    <w:p w:rsidR="00BB6D81" w14:paraId="0D5EB940" w14:textId="77777777">
      <w:pPr>
        <w:pStyle w:val="FootnoteText"/>
      </w:pPr>
      <w:r>
        <w:rPr>
          <w:rStyle w:val="FootnoteReference"/>
        </w:rPr>
        <w:footnoteRef/>
      </w:r>
      <w:r>
        <w:t xml:space="preserve"> </w:t>
      </w:r>
      <w:r w:rsidRPr="004A1045">
        <w:rPr>
          <w:color w:val="000000" w:themeColor="text1"/>
        </w:rPr>
        <w:t xml:space="preserve">Direct Testimony of DP&amp;L Witness Jason Virtue at </w:t>
      </w:r>
      <w:r>
        <w:rPr>
          <w:color w:val="000000" w:themeColor="text1"/>
        </w:rPr>
        <w:t>4 (“Virtue Direct”)</w:t>
      </w:r>
      <w:r w:rsidRPr="004A1045">
        <w:rPr>
          <w:color w:val="000000" w:themeColor="text1"/>
        </w:rPr>
        <w:t>.</w:t>
      </w:r>
    </w:p>
  </w:footnote>
  <w:footnote w:id="36">
    <w:p w:rsidR="000529A3" w:rsidRPr="004A1045" w:rsidP="007F63BA" w14:paraId="05F589D8"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Virtue </w:t>
      </w:r>
      <w:r w:rsidR="00BB6D81">
        <w:rPr>
          <w:color w:val="000000" w:themeColor="text1"/>
        </w:rPr>
        <w:t xml:space="preserve">Direct </w:t>
      </w:r>
      <w:r w:rsidRPr="004A1045">
        <w:rPr>
          <w:color w:val="000000" w:themeColor="text1"/>
        </w:rPr>
        <w:t>at 3</w:t>
      </w:r>
      <w:r w:rsidR="00BB6D81">
        <w:rPr>
          <w:color w:val="000000" w:themeColor="text1"/>
        </w:rPr>
        <w:t>.</w:t>
      </w:r>
    </w:p>
  </w:footnote>
  <w:footnote w:id="37">
    <w:p w:rsidR="007F5F2C" w:rsidRPr="004A1045" w:rsidP="007F63BA" w14:paraId="37B5E2C9"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Williams </w:t>
      </w:r>
      <w:r w:rsidR="00D050F4">
        <w:rPr>
          <w:color w:val="000000" w:themeColor="text1"/>
        </w:rPr>
        <w:t>Direct</w:t>
      </w:r>
      <w:r w:rsidRPr="004A1045">
        <w:rPr>
          <w:color w:val="000000" w:themeColor="text1"/>
        </w:rPr>
        <w:t xml:space="preserve"> at 11. </w:t>
      </w:r>
    </w:p>
  </w:footnote>
  <w:footnote w:id="38">
    <w:p w:rsidR="00283915" w:rsidRPr="004A1045" w:rsidP="007F63BA" w14:paraId="57C9FF27"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Virtue Direct at 4. </w:t>
      </w:r>
    </w:p>
  </w:footnote>
  <w:footnote w:id="39">
    <w:p w:rsidR="007F5F2C" w:rsidRPr="004A1045" w:rsidP="007F63BA" w14:paraId="7B4E559A"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Case No. 18-1875-EL-GRD, Opinion and Order (June 16, 2021) at 51-52.</w:t>
      </w:r>
    </w:p>
  </w:footnote>
  <w:footnote w:id="40">
    <w:p w:rsidR="007F5F2C" w:rsidRPr="004A1045" w:rsidP="007F63BA" w14:paraId="0736FE5E" w14:textId="77777777">
      <w:pPr>
        <w:pStyle w:val="FootnoteText"/>
        <w:rPr>
          <w:i/>
          <w:iCs/>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 xml:space="preserve">Id. </w:t>
      </w:r>
    </w:p>
  </w:footnote>
  <w:footnote w:id="41">
    <w:p w:rsidR="00642630" w:rsidRPr="004A1045" w:rsidP="007F63BA" w14:paraId="63C914B8"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DP&amp;L Initial Brief at 16. </w:t>
      </w:r>
    </w:p>
  </w:footnote>
  <w:footnote w:id="42">
    <w:p w:rsidR="004E27E0" w:rsidRPr="004A1045" w:rsidP="007F63BA" w14:paraId="342CB601"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In the Matter of the Application of The Dayton Power and Light Company for Approval of Its Plan to Modernize Its Distribution Grid</w:t>
      </w:r>
      <w:r w:rsidRPr="004A1045">
        <w:rPr>
          <w:color w:val="000000" w:themeColor="text1"/>
        </w:rPr>
        <w:t>, Case No. 18-1875-EL-GRD</w:t>
      </w:r>
      <w:r w:rsidRPr="004A1045" w:rsidR="00FD3984">
        <w:rPr>
          <w:color w:val="000000" w:themeColor="text1"/>
        </w:rPr>
        <w:t xml:space="preserve">, Opinion and Order (June 16, 2021) at </w:t>
      </w:r>
      <w:r w:rsidRPr="004A1045">
        <w:rPr>
          <w:color w:val="000000" w:themeColor="text1"/>
        </w:rPr>
        <w:t>51-52</w:t>
      </w:r>
      <w:r w:rsidRPr="004A1045" w:rsidR="00FD3984">
        <w:rPr>
          <w:color w:val="000000" w:themeColor="text1"/>
        </w:rPr>
        <w:t>.</w:t>
      </w:r>
    </w:p>
  </w:footnote>
  <w:footnote w:id="43">
    <w:p w:rsidR="00FD3984" w:rsidRPr="004A1045" w:rsidP="007F63BA" w14:paraId="324F1211"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00C971CA">
        <w:rPr>
          <w:color w:val="000000" w:themeColor="text1"/>
        </w:rPr>
        <w:t>Williams Direct</w:t>
      </w:r>
      <w:r w:rsidRPr="004A1045">
        <w:rPr>
          <w:color w:val="000000" w:themeColor="text1"/>
        </w:rPr>
        <w:t xml:space="preserve"> at 12. </w:t>
      </w:r>
    </w:p>
  </w:footnote>
  <w:footnote w:id="44">
    <w:p w:rsidR="00191E33" w:rsidRPr="004A1045" w:rsidP="007F63BA" w14:paraId="1E74D784"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Amended Application at 3.</w:t>
      </w:r>
    </w:p>
  </w:footnote>
  <w:footnote w:id="45">
    <w:p w:rsidR="00191E33" w:rsidRPr="004A1045" w:rsidP="007F63BA" w14:paraId="037CA56B" w14:textId="77777777">
      <w:pPr>
        <w:pStyle w:val="FootnoteText"/>
        <w:rPr>
          <w:color w:val="000000" w:themeColor="text1"/>
        </w:rPr>
      </w:pPr>
      <w:r w:rsidRPr="004A1045">
        <w:rPr>
          <w:rStyle w:val="FootnoteReference"/>
          <w:color w:val="000000" w:themeColor="text1"/>
        </w:rPr>
        <w:footnoteRef/>
      </w:r>
      <w:r w:rsidRPr="004A1045">
        <w:rPr>
          <w:color w:val="000000" w:themeColor="text1"/>
        </w:rPr>
        <w:t xml:space="preserve"> </w:t>
      </w:r>
      <w:r w:rsidRPr="004A1045">
        <w:rPr>
          <w:i/>
          <w:iCs/>
          <w:color w:val="000000" w:themeColor="text1"/>
        </w:rPr>
        <w:t>In the Matter of the Application of the Dayton Power and Light Company to Amend its Transmission and Distribution Inspection, Maintenance, Repair and Replacement Programs Pursuant to Section 4901:1-10-27, Ohio Administrative Code, Regarding Electric Companies.</w:t>
      </w:r>
      <w:r w:rsidRPr="004A1045">
        <w:rPr>
          <w:color w:val="000000" w:themeColor="text1"/>
        </w:rPr>
        <w:t xml:space="preserve"> Case No. 18-1837-EL-ESS (December 17, 2018)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50EDBC6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8" o:spid="_x0000_s2049" type="#_x0000_t136" style="width:567pt;height:42pt;margin-top:0;margin-left:0;mso-height-percent:0;mso-position-horizontal:center;mso-position-horizontal-relative:margin;mso-position-vertical:center;mso-position-vertical-relative:margin;mso-width-percent:0;mso-wrap-edited:f;position:absolute;rotation:315;z-index:-251656192"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4707DBF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7" o:spid="_x0000_s2050" type="#_x0000_t136" style="width:567pt;height:42pt;margin-top:0;margin-left:0;mso-height-percent:0;mso-position-horizontal:center;mso-position-horizontal-relative:margin;mso-position-vertical:center;mso-position-vertical-relative:margin;mso-width-percent:0;mso-wrap-edited:f;position:absolute;rotation:315;z-index:-251655168" o:allowincell="f" fillcolor="#7f7f7f" stroked="f">
          <v:fill opacity="0.5"/>
          <v:textpath style="font-family:'Times New Roman';font-size:1pt" string="CONFIDENTIAL WORKING DRAFT"/>
          <w10:wrap anchorx="margin" anchory="margin"/>
        </v:shape>
      </w:pict>
    </w:r>
    <w:r w:rsidR="001C51AC">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42AAD" w:rsidP="005D75E1"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1"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442AAD" w:rsidP="005D75E1" w14:paraId="16CA9960"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35AD2"/>
    <w:multiLevelType w:val="hybridMultilevel"/>
    <w:tmpl w:val="F6F84B18"/>
    <w:lvl w:ilvl="0">
      <w:start w:val="5"/>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F930E7"/>
    <w:multiLevelType w:val="hybridMultilevel"/>
    <w:tmpl w:val="C632F2FA"/>
    <w:lvl w:ilvl="0">
      <w:start w:val="2"/>
      <w:numFmt w:val="upperLetter"/>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B63F8B"/>
    <w:multiLevelType w:val="hybridMultilevel"/>
    <w:tmpl w:val="95FEC294"/>
    <w:lvl w:ilvl="0">
      <w:start w:val="1"/>
      <w:numFmt w:val="decimal"/>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4C219A"/>
    <w:multiLevelType w:val="hybridMultilevel"/>
    <w:tmpl w:val="BACC9DC6"/>
    <w:lvl w:ilvl="0">
      <w:start w:val="1"/>
      <w:numFmt w:val="upperLetter"/>
      <w:pStyle w:val="Heading2"/>
      <w:lvlText w:val="%1."/>
      <w:lvlJc w:val="left"/>
      <w:pPr>
        <w:ind w:left="1080" w:hanging="360"/>
      </w:pPr>
      <w:rPr>
        <w:rFonts w:hint="default"/>
        <w:b/>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745B5B"/>
    <w:multiLevelType w:val="hybridMultilevel"/>
    <w:tmpl w:val="F5B8376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A067FE"/>
    <w:multiLevelType w:val="hybridMultilevel"/>
    <w:tmpl w:val="99248B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4D7732"/>
    <w:multiLevelType w:val="hybridMultilevel"/>
    <w:tmpl w:val="8A7A0C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E95AD1"/>
    <w:multiLevelType w:val="hybridMultilevel"/>
    <w:tmpl w:val="762254D4"/>
    <w:lvl w:ilvl="0">
      <w:start w:val="4"/>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D276BC"/>
    <w:multiLevelType w:val="hybridMultilevel"/>
    <w:tmpl w:val="881C0D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0C6DFF"/>
    <w:multiLevelType w:val="hybridMultilevel"/>
    <w:tmpl w:val="FA3A4E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F10365"/>
    <w:multiLevelType w:val="hybridMultilevel"/>
    <w:tmpl w:val="D020FE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C740A4E"/>
    <w:multiLevelType w:val="hybridMultilevel"/>
    <w:tmpl w:val="1BD07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4673C9"/>
    <w:multiLevelType w:val="hybridMultilevel"/>
    <w:tmpl w:val="546AFC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5F662B1"/>
    <w:multiLevelType w:val="hybridMultilevel"/>
    <w:tmpl w:val="967E0B1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157295"/>
    <w:multiLevelType w:val="hybridMultilevel"/>
    <w:tmpl w:val="C1764AA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4875FD"/>
    <w:multiLevelType w:val="hybridMultilevel"/>
    <w:tmpl w:val="EE82BB4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12"/>
  </w:num>
  <w:num w:numId="5">
    <w:abstractNumId w:val="9"/>
  </w:num>
  <w:num w:numId="6">
    <w:abstractNumId w:val="5"/>
  </w:num>
  <w:num w:numId="7">
    <w:abstractNumId w:val="10"/>
  </w:num>
  <w:num w:numId="8">
    <w:abstractNumId w:val="15"/>
  </w:num>
  <w:num w:numId="9">
    <w:abstractNumId w:val="6"/>
  </w:num>
  <w:num w:numId="10">
    <w:abstractNumId w:val="11"/>
  </w:num>
  <w:num w:numId="11">
    <w:abstractNumId w:val="4"/>
  </w:num>
  <w:num w:numId="12">
    <w:abstractNumId w:val="1"/>
  </w:num>
  <w:num w:numId="13">
    <w:abstractNumId w:val="13"/>
  </w:num>
  <w:num w:numId="14">
    <w:abstractNumId w:val="3"/>
  </w:num>
  <w:num w:numId="15">
    <w:abstractNumId w:val="0"/>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17"/>
    <w:rsid w:val="000008AA"/>
    <w:rsid w:val="00000C65"/>
    <w:rsid w:val="000017BB"/>
    <w:rsid w:val="00004359"/>
    <w:rsid w:val="000043DB"/>
    <w:rsid w:val="00005329"/>
    <w:rsid w:val="000056C3"/>
    <w:rsid w:val="00005CD2"/>
    <w:rsid w:val="0000612B"/>
    <w:rsid w:val="00006D85"/>
    <w:rsid w:val="00012010"/>
    <w:rsid w:val="00013B5E"/>
    <w:rsid w:val="00013BC6"/>
    <w:rsid w:val="00013C28"/>
    <w:rsid w:val="00014AB5"/>
    <w:rsid w:val="00016462"/>
    <w:rsid w:val="000169EC"/>
    <w:rsid w:val="00020F54"/>
    <w:rsid w:val="0002118C"/>
    <w:rsid w:val="0002285C"/>
    <w:rsid w:val="00023388"/>
    <w:rsid w:val="000263A6"/>
    <w:rsid w:val="00026787"/>
    <w:rsid w:val="000267EA"/>
    <w:rsid w:val="000302B0"/>
    <w:rsid w:val="00030AA2"/>
    <w:rsid w:val="00030F10"/>
    <w:rsid w:val="00033B47"/>
    <w:rsid w:val="00034A2A"/>
    <w:rsid w:val="00034E7B"/>
    <w:rsid w:val="000406AE"/>
    <w:rsid w:val="00041145"/>
    <w:rsid w:val="00045D4C"/>
    <w:rsid w:val="00046333"/>
    <w:rsid w:val="000479B5"/>
    <w:rsid w:val="00051977"/>
    <w:rsid w:val="000524BD"/>
    <w:rsid w:val="00052767"/>
    <w:rsid w:val="000529A3"/>
    <w:rsid w:val="00054867"/>
    <w:rsid w:val="00056704"/>
    <w:rsid w:val="000572A1"/>
    <w:rsid w:val="0005779B"/>
    <w:rsid w:val="0006532D"/>
    <w:rsid w:val="00066A5A"/>
    <w:rsid w:val="00066E3F"/>
    <w:rsid w:val="00067668"/>
    <w:rsid w:val="00073041"/>
    <w:rsid w:val="000738E4"/>
    <w:rsid w:val="00074E75"/>
    <w:rsid w:val="00075C74"/>
    <w:rsid w:val="00076B3F"/>
    <w:rsid w:val="0008018E"/>
    <w:rsid w:val="000822EF"/>
    <w:rsid w:val="00086211"/>
    <w:rsid w:val="000930A3"/>
    <w:rsid w:val="00093A8E"/>
    <w:rsid w:val="00094582"/>
    <w:rsid w:val="00094BE7"/>
    <w:rsid w:val="00094CBD"/>
    <w:rsid w:val="0009534A"/>
    <w:rsid w:val="000959F7"/>
    <w:rsid w:val="00095CBE"/>
    <w:rsid w:val="000A195B"/>
    <w:rsid w:val="000A44AD"/>
    <w:rsid w:val="000B38C1"/>
    <w:rsid w:val="000B43F3"/>
    <w:rsid w:val="000B5A48"/>
    <w:rsid w:val="000B7307"/>
    <w:rsid w:val="000C0A2C"/>
    <w:rsid w:val="000C7035"/>
    <w:rsid w:val="000D1C23"/>
    <w:rsid w:val="000D1C8B"/>
    <w:rsid w:val="000D2122"/>
    <w:rsid w:val="000D2A76"/>
    <w:rsid w:val="000D55C1"/>
    <w:rsid w:val="000D5724"/>
    <w:rsid w:val="000E0E8C"/>
    <w:rsid w:val="000E378B"/>
    <w:rsid w:val="000E3FB3"/>
    <w:rsid w:val="000E423E"/>
    <w:rsid w:val="000E53BE"/>
    <w:rsid w:val="000E54E1"/>
    <w:rsid w:val="000E5BFE"/>
    <w:rsid w:val="000F0DBB"/>
    <w:rsid w:val="000F1194"/>
    <w:rsid w:val="000F12D5"/>
    <w:rsid w:val="000F1CA5"/>
    <w:rsid w:val="000F4262"/>
    <w:rsid w:val="000F47DD"/>
    <w:rsid w:val="000F51FA"/>
    <w:rsid w:val="0010181B"/>
    <w:rsid w:val="00101D39"/>
    <w:rsid w:val="00102045"/>
    <w:rsid w:val="0010430F"/>
    <w:rsid w:val="0010498B"/>
    <w:rsid w:val="00105C4F"/>
    <w:rsid w:val="0011041B"/>
    <w:rsid w:val="001126DE"/>
    <w:rsid w:val="00114BE3"/>
    <w:rsid w:val="00115D5F"/>
    <w:rsid w:val="00116B17"/>
    <w:rsid w:val="00121F2B"/>
    <w:rsid w:val="001233E3"/>
    <w:rsid w:val="00123705"/>
    <w:rsid w:val="00126604"/>
    <w:rsid w:val="00126C02"/>
    <w:rsid w:val="00132172"/>
    <w:rsid w:val="00133276"/>
    <w:rsid w:val="00134F20"/>
    <w:rsid w:val="00136D00"/>
    <w:rsid w:val="00137051"/>
    <w:rsid w:val="00144A73"/>
    <w:rsid w:val="0014751F"/>
    <w:rsid w:val="00147D7B"/>
    <w:rsid w:val="00150260"/>
    <w:rsid w:val="0015333A"/>
    <w:rsid w:val="0015560C"/>
    <w:rsid w:val="00155FF3"/>
    <w:rsid w:val="0015795D"/>
    <w:rsid w:val="00157AFD"/>
    <w:rsid w:val="00162EE9"/>
    <w:rsid w:val="001648E2"/>
    <w:rsid w:val="001665C1"/>
    <w:rsid w:val="00167CF5"/>
    <w:rsid w:val="00170023"/>
    <w:rsid w:val="0017272A"/>
    <w:rsid w:val="001729EE"/>
    <w:rsid w:val="00174B6C"/>
    <w:rsid w:val="00175179"/>
    <w:rsid w:val="0017671B"/>
    <w:rsid w:val="00176E32"/>
    <w:rsid w:val="00180A82"/>
    <w:rsid w:val="00183190"/>
    <w:rsid w:val="00184065"/>
    <w:rsid w:val="00185407"/>
    <w:rsid w:val="00187F6C"/>
    <w:rsid w:val="00191A3C"/>
    <w:rsid w:val="00191E33"/>
    <w:rsid w:val="00191FF9"/>
    <w:rsid w:val="001927DE"/>
    <w:rsid w:val="00193B54"/>
    <w:rsid w:val="00194330"/>
    <w:rsid w:val="001951DC"/>
    <w:rsid w:val="00195375"/>
    <w:rsid w:val="00195647"/>
    <w:rsid w:val="00195F00"/>
    <w:rsid w:val="00196C17"/>
    <w:rsid w:val="00197D49"/>
    <w:rsid w:val="00197E6E"/>
    <w:rsid w:val="00197EFD"/>
    <w:rsid w:val="001A1D85"/>
    <w:rsid w:val="001A5BBD"/>
    <w:rsid w:val="001A6044"/>
    <w:rsid w:val="001A7F60"/>
    <w:rsid w:val="001B003A"/>
    <w:rsid w:val="001B2189"/>
    <w:rsid w:val="001B781D"/>
    <w:rsid w:val="001C0F61"/>
    <w:rsid w:val="001C14E6"/>
    <w:rsid w:val="001C1851"/>
    <w:rsid w:val="001C3306"/>
    <w:rsid w:val="001C3961"/>
    <w:rsid w:val="001C4B4A"/>
    <w:rsid w:val="001C51AC"/>
    <w:rsid w:val="001D0682"/>
    <w:rsid w:val="001D0D04"/>
    <w:rsid w:val="001D4098"/>
    <w:rsid w:val="001D43F5"/>
    <w:rsid w:val="001D6965"/>
    <w:rsid w:val="001E0F3A"/>
    <w:rsid w:val="001E42E9"/>
    <w:rsid w:val="001E58CE"/>
    <w:rsid w:val="001E75E5"/>
    <w:rsid w:val="001F120C"/>
    <w:rsid w:val="001F2318"/>
    <w:rsid w:val="001F2DAD"/>
    <w:rsid w:val="001F4EC9"/>
    <w:rsid w:val="001F5171"/>
    <w:rsid w:val="001F5D97"/>
    <w:rsid w:val="001F6B02"/>
    <w:rsid w:val="00200CDC"/>
    <w:rsid w:val="00201172"/>
    <w:rsid w:val="00201323"/>
    <w:rsid w:val="002048EC"/>
    <w:rsid w:val="00206BF6"/>
    <w:rsid w:val="00207348"/>
    <w:rsid w:val="00207C79"/>
    <w:rsid w:val="00207D30"/>
    <w:rsid w:val="0021063B"/>
    <w:rsid w:val="00211726"/>
    <w:rsid w:val="00212835"/>
    <w:rsid w:val="002129DA"/>
    <w:rsid w:val="00217F4A"/>
    <w:rsid w:val="00222448"/>
    <w:rsid w:val="00224A06"/>
    <w:rsid w:val="00225B86"/>
    <w:rsid w:val="00226094"/>
    <w:rsid w:val="0022646A"/>
    <w:rsid w:val="002273D4"/>
    <w:rsid w:val="00227700"/>
    <w:rsid w:val="00227A4C"/>
    <w:rsid w:val="002303F0"/>
    <w:rsid w:val="00230D5E"/>
    <w:rsid w:val="00237C78"/>
    <w:rsid w:val="002407BD"/>
    <w:rsid w:val="0024193C"/>
    <w:rsid w:val="00241A23"/>
    <w:rsid w:val="00243AB1"/>
    <w:rsid w:val="00246D61"/>
    <w:rsid w:val="00247CC5"/>
    <w:rsid w:val="00252BCD"/>
    <w:rsid w:val="0025340E"/>
    <w:rsid w:val="0025376F"/>
    <w:rsid w:val="0025456F"/>
    <w:rsid w:val="002549AB"/>
    <w:rsid w:val="00254F24"/>
    <w:rsid w:val="00256088"/>
    <w:rsid w:val="00256427"/>
    <w:rsid w:val="00257E5F"/>
    <w:rsid w:val="0026072D"/>
    <w:rsid w:val="00260A59"/>
    <w:rsid w:val="00263904"/>
    <w:rsid w:val="00263B91"/>
    <w:rsid w:val="00267AF1"/>
    <w:rsid w:val="0027167B"/>
    <w:rsid w:val="00272ABA"/>
    <w:rsid w:val="00272DF1"/>
    <w:rsid w:val="00273EE5"/>
    <w:rsid w:val="002752F0"/>
    <w:rsid w:val="002756F5"/>
    <w:rsid w:val="00275B59"/>
    <w:rsid w:val="00276584"/>
    <w:rsid w:val="002771E1"/>
    <w:rsid w:val="00283915"/>
    <w:rsid w:val="00284504"/>
    <w:rsid w:val="00286E28"/>
    <w:rsid w:val="00287E12"/>
    <w:rsid w:val="0029056E"/>
    <w:rsid w:val="00290684"/>
    <w:rsid w:val="00292B57"/>
    <w:rsid w:val="00294A9A"/>
    <w:rsid w:val="00295D2C"/>
    <w:rsid w:val="00296962"/>
    <w:rsid w:val="002A0762"/>
    <w:rsid w:val="002A2210"/>
    <w:rsid w:val="002A3BC7"/>
    <w:rsid w:val="002A3D08"/>
    <w:rsid w:val="002A44B9"/>
    <w:rsid w:val="002A4826"/>
    <w:rsid w:val="002A5466"/>
    <w:rsid w:val="002B0382"/>
    <w:rsid w:val="002B0C82"/>
    <w:rsid w:val="002B1BBC"/>
    <w:rsid w:val="002B511E"/>
    <w:rsid w:val="002B538A"/>
    <w:rsid w:val="002B6547"/>
    <w:rsid w:val="002C4CC4"/>
    <w:rsid w:val="002C4F24"/>
    <w:rsid w:val="002C56E7"/>
    <w:rsid w:val="002C6DE7"/>
    <w:rsid w:val="002C7176"/>
    <w:rsid w:val="002D121B"/>
    <w:rsid w:val="002D36B3"/>
    <w:rsid w:val="002D45F3"/>
    <w:rsid w:val="002D5810"/>
    <w:rsid w:val="002D654A"/>
    <w:rsid w:val="002D684B"/>
    <w:rsid w:val="002E22F5"/>
    <w:rsid w:val="002E5654"/>
    <w:rsid w:val="002E618F"/>
    <w:rsid w:val="002F0C4B"/>
    <w:rsid w:val="002F2C24"/>
    <w:rsid w:val="002F40A6"/>
    <w:rsid w:val="002F435E"/>
    <w:rsid w:val="002F62E9"/>
    <w:rsid w:val="002F7702"/>
    <w:rsid w:val="0030169B"/>
    <w:rsid w:val="003034B7"/>
    <w:rsid w:val="00303A33"/>
    <w:rsid w:val="003075D6"/>
    <w:rsid w:val="00311AAF"/>
    <w:rsid w:val="00311E92"/>
    <w:rsid w:val="00315451"/>
    <w:rsid w:val="00317F92"/>
    <w:rsid w:val="00321077"/>
    <w:rsid w:val="00326A35"/>
    <w:rsid w:val="003327C8"/>
    <w:rsid w:val="0033363D"/>
    <w:rsid w:val="003354E2"/>
    <w:rsid w:val="003357C0"/>
    <w:rsid w:val="0033713F"/>
    <w:rsid w:val="00337455"/>
    <w:rsid w:val="003379C4"/>
    <w:rsid w:val="003400D5"/>
    <w:rsid w:val="00340973"/>
    <w:rsid w:val="0034191E"/>
    <w:rsid w:val="00343EC7"/>
    <w:rsid w:val="00345249"/>
    <w:rsid w:val="0034583B"/>
    <w:rsid w:val="003465A1"/>
    <w:rsid w:val="00346A6C"/>
    <w:rsid w:val="00347FD0"/>
    <w:rsid w:val="00351260"/>
    <w:rsid w:val="003520EC"/>
    <w:rsid w:val="00352877"/>
    <w:rsid w:val="00352F96"/>
    <w:rsid w:val="00353161"/>
    <w:rsid w:val="003534DD"/>
    <w:rsid w:val="00360897"/>
    <w:rsid w:val="00360C87"/>
    <w:rsid w:val="003615A6"/>
    <w:rsid w:val="0036282F"/>
    <w:rsid w:val="003700C0"/>
    <w:rsid w:val="00371BCE"/>
    <w:rsid w:val="00377E61"/>
    <w:rsid w:val="003818B5"/>
    <w:rsid w:val="00381EA5"/>
    <w:rsid w:val="00381EE2"/>
    <w:rsid w:val="00382410"/>
    <w:rsid w:val="00386493"/>
    <w:rsid w:val="00387075"/>
    <w:rsid w:val="00387A84"/>
    <w:rsid w:val="00387DAE"/>
    <w:rsid w:val="00390D87"/>
    <w:rsid w:val="00390F96"/>
    <w:rsid w:val="00391000"/>
    <w:rsid w:val="00391093"/>
    <w:rsid w:val="003928D0"/>
    <w:rsid w:val="00392E85"/>
    <w:rsid w:val="00393AE8"/>
    <w:rsid w:val="00394B74"/>
    <w:rsid w:val="00395370"/>
    <w:rsid w:val="003A15BB"/>
    <w:rsid w:val="003A22C9"/>
    <w:rsid w:val="003A2C88"/>
    <w:rsid w:val="003A30C4"/>
    <w:rsid w:val="003A30CD"/>
    <w:rsid w:val="003A35E4"/>
    <w:rsid w:val="003A3B60"/>
    <w:rsid w:val="003A3E4F"/>
    <w:rsid w:val="003A52F6"/>
    <w:rsid w:val="003A5A79"/>
    <w:rsid w:val="003A71AB"/>
    <w:rsid w:val="003A7644"/>
    <w:rsid w:val="003A7B1D"/>
    <w:rsid w:val="003A7BAF"/>
    <w:rsid w:val="003A7F78"/>
    <w:rsid w:val="003B08E3"/>
    <w:rsid w:val="003B15F6"/>
    <w:rsid w:val="003B1627"/>
    <w:rsid w:val="003B1F9A"/>
    <w:rsid w:val="003B36CF"/>
    <w:rsid w:val="003B3763"/>
    <w:rsid w:val="003B4EED"/>
    <w:rsid w:val="003C0F78"/>
    <w:rsid w:val="003C44CA"/>
    <w:rsid w:val="003C51E5"/>
    <w:rsid w:val="003C5443"/>
    <w:rsid w:val="003C7C7B"/>
    <w:rsid w:val="003D2CE1"/>
    <w:rsid w:val="003D429A"/>
    <w:rsid w:val="003D4B1D"/>
    <w:rsid w:val="003D4D2F"/>
    <w:rsid w:val="003D4F2D"/>
    <w:rsid w:val="003D7958"/>
    <w:rsid w:val="003D7E17"/>
    <w:rsid w:val="003E2D61"/>
    <w:rsid w:val="003E3855"/>
    <w:rsid w:val="003E3D85"/>
    <w:rsid w:val="003E49D3"/>
    <w:rsid w:val="003F092C"/>
    <w:rsid w:val="003F0B14"/>
    <w:rsid w:val="003F1D62"/>
    <w:rsid w:val="003F4B55"/>
    <w:rsid w:val="003F692B"/>
    <w:rsid w:val="003F7425"/>
    <w:rsid w:val="004014B0"/>
    <w:rsid w:val="00403833"/>
    <w:rsid w:val="004038F3"/>
    <w:rsid w:val="00404950"/>
    <w:rsid w:val="00407E02"/>
    <w:rsid w:val="00411FB3"/>
    <w:rsid w:val="004129F6"/>
    <w:rsid w:val="00414922"/>
    <w:rsid w:val="00415556"/>
    <w:rsid w:val="00415672"/>
    <w:rsid w:val="00416904"/>
    <w:rsid w:val="004223B3"/>
    <w:rsid w:val="00422F89"/>
    <w:rsid w:val="0042357C"/>
    <w:rsid w:val="00424AA7"/>
    <w:rsid w:val="004250A2"/>
    <w:rsid w:val="00426B40"/>
    <w:rsid w:val="0043087C"/>
    <w:rsid w:val="00430F05"/>
    <w:rsid w:val="004319F4"/>
    <w:rsid w:val="00431C34"/>
    <w:rsid w:val="004332B0"/>
    <w:rsid w:val="00434302"/>
    <w:rsid w:val="00434AD0"/>
    <w:rsid w:val="00434B46"/>
    <w:rsid w:val="00442AAD"/>
    <w:rsid w:val="00442B14"/>
    <w:rsid w:val="004460C9"/>
    <w:rsid w:val="004465BB"/>
    <w:rsid w:val="004473BA"/>
    <w:rsid w:val="00450776"/>
    <w:rsid w:val="00451E8B"/>
    <w:rsid w:val="00453049"/>
    <w:rsid w:val="00454DBB"/>
    <w:rsid w:val="004562DF"/>
    <w:rsid w:val="0046206D"/>
    <w:rsid w:val="00462967"/>
    <w:rsid w:val="00470271"/>
    <w:rsid w:val="004739F8"/>
    <w:rsid w:val="004807A9"/>
    <w:rsid w:val="00480CBB"/>
    <w:rsid w:val="0048281D"/>
    <w:rsid w:val="00484645"/>
    <w:rsid w:val="00484CAA"/>
    <w:rsid w:val="00485585"/>
    <w:rsid w:val="00485E5D"/>
    <w:rsid w:val="0049049F"/>
    <w:rsid w:val="00491A91"/>
    <w:rsid w:val="004935C1"/>
    <w:rsid w:val="004949EB"/>
    <w:rsid w:val="004954A4"/>
    <w:rsid w:val="00495BF5"/>
    <w:rsid w:val="00495D47"/>
    <w:rsid w:val="00496A5B"/>
    <w:rsid w:val="004A04E3"/>
    <w:rsid w:val="004A1045"/>
    <w:rsid w:val="004A1B88"/>
    <w:rsid w:val="004A3D99"/>
    <w:rsid w:val="004A70F1"/>
    <w:rsid w:val="004B2374"/>
    <w:rsid w:val="004B2C7B"/>
    <w:rsid w:val="004B5D46"/>
    <w:rsid w:val="004B5F8A"/>
    <w:rsid w:val="004B6C8D"/>
    <w:rsid w:val="004B73FE"/>
    <w:rsid w:val="004C151B"/>
    <w:rsid w:val="004C18EA"/>
    <w:rsid w:val="004C196A"/>
    <w:rsid w:val="004C23A4"/>
    <w:rsid w:val="004C67BD"/>
    <w:rsid w:val="004D6219"/>
    <w:rsid w:val="004D7A01"/>
    <w:rsid w:val="004E27E0"/>
    <w:rsid w:val="004E31A2"/>
    <w:rsid w:val="004E4315"/>
    <w:rsid w:val="004E5C9B"/>
    <w:rsid w:val="004E6A6F"/>
    <w:rsid w:val="004E6E77"/>
    <w:rsid w:val="004E7C9B"/>
    <w:rsid w:val="004F0299"/>
    <w:rsid w:val="004F1BB6"/>
    <w:rsid w:val="004F467A"/>
    <w:rsid w:val="004F4701"/>
    <w:rsid w:val="004F486B"/>
    <w:rsid w:val="004F50E3"/>
    <w:rsid w:val="004F53C6"/>
    <w:rsid w:val="004F6383"/>
    <w:rsid w:val="004F6CE6"/>
    <w:rsid w:val="00500ED5"/>
    <w:rsid w:val="0050393F"/>
    <w:rsid w:val="00503E8F"/>
    <w:rsid w:val="005060B0"/>
    <w:rsid w:val="00506150"/>
    <w:rsid w:val="005129F4"/>
    <w:rsid w:val="0051373A"/>
    <w:rsid w:val="00514A3F"/>
    <w:rsid w:val="00514B89"/>
    <w:rsid w:val="005156C7"/>
    <w:rsid w:val="00515709"/>
    <w:rsid w:val="00516584"/>
    <w:rsid w:val="005209EB"/>
    <w:rsid w:val="00521653"/>
    <w:rsid w:val="005236C2"/>
    <w:rsid w:val="00525D38"/>
    <w:rsid w:val="00527B3D"/>
    <w:rsid w:val="00531B20"/>
    <w:rsid w:val="00532452"/>
    <w:rsid w:val="00532D75"/>
    <w:rsid w:val="005378BE"/>
    <w:rsid w:val="00541C4E"/>
    <w:rsid w:val="0054268F"/>
    <w:rsid w:val="00542C7E"/>
    <w:rsid w:val="005469AE"/>
    <w:rsid w:val="0054787A"/>
    <w:rsid w:val="0055075F"/>
    <w:rsid w:val="00550FCF"/>
    <w:rsid w:val="005512C3"/>
    <w:rsid w:val="00551DC6"/>
    <w:rsid w:val="00552AD4"/>
    <w:rsid w:val="00553AFC"/>
    <w:rsid w:val="005561B3"/>
    <w:rsid w:val="005578A5"/>
    <w:rsid w:val="00557A72"/>
    <w:rsid w:val="005609D3"/>
    <w:rsid w:val="005613E8"/>
    <w:rsid w:val="0056303C"/>
    <w:rsid w:val="005644C9"/>
    <w:rsid w:val="00565241"/>
    <w:rsid w:val="00567281"/>
    <w:rsid w:val="005673B1"/>
    <w:rsid w:val="0057187B"/>
    <w:rsid w:val="005726CE"/>
    <w:rsid w:val="005734AE"/>
    <w:rsid w:val="00573E6C"/>
    <w:rsid w:val="00574D6B"/>
    <w:rsid w:val="00575E64"/>
    <w:rsid w:val="005766C2"/>
    <w:rsid w:val="0057685E"/>
    <w:rsid w:val="00576BDF"/>
    <w:rsid w:val="00576FB5"/>
    <w:rsid w:val="00581792"/>
    <w:rsid w:val="00582FDE"/>
    <w:rsid w:val="00583874"/>
    <w:rsid w:val="00584954"/>
    <w:rsid w:val="00585BB1"/>
    <w:rsid w:val="005867C9"/>
    <w:rsid w:val="005902A8"/>
    <w:rsid w:val="00591038"/>
    <w:rsid w:val="005913FF"/>
    <w:rsid w:val="00591DA7"/>
    <w:rsid w:val="00592294"/>
    <w:rsid w:val="00592727"/>
    <w:rsid w:val="005939FA"/>
    <w:rsid w:val="00593E9F"/>
    <w:rsid w:val="00594B67"/>
    <w:rsid w:val="00595DCF"/>
    <w:rsid w:val="005967A7"/>
    <w:rsid w:val="00597407"/>
    <w:rsid w:val="005977A6"/>
    <w:rsid w:val="005A09F1"/>
    <w:rsid w:val="005A3BE9"/>
    <w:rsid w:val="005A3D2F"/>
    <w:rsid w:val="005A4F89"/>
    <w:rsid w:val="005A603E"/>
    <w:rsid w:val="005A66D6"/>
    <w:rsid w:val="005B11CD"/>
    <w:rsid w:val="005B6D99"/>
    <w:rsid w:val="005C2B7F"/>
    <w:rsid w:val="005C2DBE"/>
    <w:rsid w:val="005C47CE"/>
    <w:rsid w:val="005C764C"/>
    <w:rsid w:val="005C7992"/>
    <w:rsid w:val="005D09F5"/>
    <w:rsid w:val="005D2835"/>
    <w:rsid w:val="005D36E4"/>
    <w:rsid w:val="005D5D33"/>
    <w:rsid w:val="005D6DBF"/>
    <w:rsid w:val="005D75E1"/>
    <w:rsid w:val="005E0163"/>
    <w:rsid w:val="005E0AE6"/>
    <w:rsid w:val="005E493F"/>
    <w:rsid w:val="005E50CE"/>
    <w:rsid w:val="005E5264"/>
    <w:rsid w:val="005E7E76"/>
    <w:rsid w:val="005F22FF"/>
    <w:rsid w:val="005F366B"/>
    <w:rsid w:val="005F4693"/>
    <w:rsid w:val="00601FD2"/>
    <w:rsid w:val="006027A7"/>
    <w:rsid w:val="0060389B"/>
    <w:rsid w:val="00611A5F"/>
    <w:rsid w:val="006120E1"/>
    <w:rsid w:val="006226F0"/>
    <w:rsid w:val="00622F55"/>
    <w:rsid w:val="0062600B"/>
    <w:rsid w:val="006263E4"/>
    <w:rsid w:val="00631005"/>
    <w:rsid w:val="00632AED"/>
    <w:rsid w:val="00633037"/>
    <w:rsid w:val="006334CC"/>
    <w:rsid w:val="00634EEE"/>
    <w:rsid w:val="00636E19"/>
    <w:rsid w:val="00637F1F"/>
    <w:rsid w:val="0064072A"/>
    <w:rsid w:val="00642630"/>
    <w:rsid w:val="0064265C"/>
    <w:rsid w:val="006433D6"/>
    <w:rsid w:val="0064353F"/>
    <w:rsid w:val="00643B6B"/>
    <w:rsid w:val="0064440E"/>
    <w:rsid w:val="0065157C"/>
    <w:rsid w:val="006560CF"/>
    <w:rsid w:val="00656CF3"/>
    <w:rsid w:val="00660895"/>
    <w:rsid w:val="00661142"/>
    <w:rsid w:val="00670E5C"/>
    <w:rsid w:val="00670EA7"/>
    <w:rsid w:val="00673F94"/>
    <w:rsid w:val="0067574C"/>
    <w:rsid w:val="00675D12"/>
    <w:rsid w:val="0067683C"/>
    <w:rsid w:val="00677792"/>
    <w:rsid w:val="00677BD0"/>
    <w:rsid w:val="00682768"/>
    <w:rsid w:val="00684E3B"/>
    <w:rsid w:val="0068666F"/>
    <w:rsid w:val="0068721A"/>
    <w:rsid w:val="00687628"/>
    <w:rsid w:val="00687856"/>
    <w:rsid w:val="00691418"/>
    <w:rsid w:val="006930C3"/>
    <w:rsid w:val="00693C24"/>
    <w:rsid w:val="006950D6"/>
    <w:rsid w:val="006971CE"/>
    <w:rsid w:val="00697927"/>
    <w:rsid w:val="006A0F98"/>
    <w:rsid w:val="006A3678"/>
    <w:rsid w:val="006A4C3A"/>
    <w:rsid w:val="006A6F4A"/>
    <w:rsid w:val="006A7F81"/>
    <w:rsid w:val="006B1EE9"/>
    <w:rsid w:val="006B3336"/>
    <w:rsid w:val="006B3CEA"/>
    <w:rsid w:val="006B3D53"/>
    <w:rsid w:val="006B4C24"/>
    <w:rsid w:val="006B51DA"/>
    <w:rsid w:val="006B74D2"/>
    <w:rsid w:val="006C0488"/>
    <w:rsid w:val="006C0AC4"/>
    <w:rsid w:val="006C0F13"/>
    <w:rsid w:val="006C2857"/>
    <w:rsid w:val="006C3613"/>
    <w:rsid w:val="006C4125"/>
    <w:rsid w:val="006C5211"/>
    <w:rsid w:val="006C5957"/>
    <w:rsid w:val="006D3DB9"/>
    <w:rsid w:val="006D413E"/>
    <w:rsid w:val="006D69F5"/>
    <w:rsid w:val="006D73FE"/>
    <w:rsid w:val="006D7D08"/>
    <w:rsid w:val="006E0A7B"/>
    <w:rsid w:val="006E19CD"/>
    <w:rsid w:val="006E5A35"/>
    <w:rsid w:val="006E5CE1"/>
    <w:rsid w:val="006E6214"/>
    <w:rsid w:val="006E6CFB"/>
    <w:rsid w:val="006F2F19"/>
    <w:rsid w:val="006F3A9E"/>
    <w:rsid w:val="006F51AF"/>
    <w:rsid w:val="006F5A6A"/>
    <w:rsid w:val="006F5ACF"/>
    <w:rsid w:val="00701683"/>
    <w:rsid w:val="00701C5A"/>
    <w:rsid w:val="00703FFD"/>
    <w:rsid w:val="00704FD4"/>
    <w:rsid w:val="00705C45"/>
    <w:rsid w:val="0070714D"/>
    <w:rsid w:val="007201C4"/>
    <w:rsid w:val="00721676"/>
    <w:rsid w:val="007225B0"/>
    <w:rsid w:val="00722DEE"/>
    <w:rsid w:val="00727992"/>
    <w:rsid w:val="00727B8B"/>
    <w:rsid w:val="00730B8A"/>
    <w:rsid w:val="00731FEF"/>
    <w:rsid w:val="00732F49"/>
    <w:rsid w:val="007342F0"/>
    <w:rsid w:val="00735AD4"/>
    <w:rsid w:val="00736702"/>
    <w:rsid w:val="0073682E"/>
    <w:rsid w:val="00743599"/>
    <w:rsid w:val="007439C8"/>
    <w:rsid w:val="00746005"/>
    <w:rsid w:val="007477E3"/>
    <w:rsid w:val="0075075C"/>
    <w:rsid w:val="007508AD"/>
    <w:rsid w:val="00751AA4"/>
    <w:rsid w:val="00751BD3"/>
    <w:rsid w:val="00756910"/>
    <w:rsid w:val="00760732"/>
    <w:rsid w:val="00761893"/>
    <w:rsid w:val="00762128"/>
    <w:rsid w:val="007622B3"/>
    <w:rsid w:val="0076290E"/>
    <w:rsid w:val="00762A09"/>
    <w:rsid w:val="00765482"/>
    <w:rsid w:val="007707E0"/>
    <w:rsid w:val="007767CE"/>
    <w:rsid w:val="0077694B"/>
    <w:rsid w:val="00776C3E"/>
    <w:rsid w:val="00776FCE"/>
    <w:rsid w:val="00777398"/>
    <w:rsid w:val="007778DF"/>
    <w:rsid w:val="00781F8A"/>
    <w:rsid w:val="0078642E"/>
    <w:rsid w:val="007871C4"/>
    <w:rsid w:val="00790D2E"/>
    <w:rsid w:val="00792D38"/>
    <w:rsid w:val="00794006"/>
    <w:rsid w:val="00797868"/>
    <w:rsid w:val="007A4115"/>
    <w:rsid w:val="007A54F1"/>
    <w:rsid w:val="007A6A43"/>
    <w:rsid w:val="007B1294"/>
    <w:rsid w:val="007B6BB9"/>
    <w:rsid w:val="007B7382"/>
    <w:rsid w:val="007B78A5"/>
    <w:rsid w:val="007C0E27"/>
    <w:rsid w:val="007C3883"/>
    <w:rsid w:val="007D1931"/>
    <w:rsid w:val="007D1B22"/>
    <w:rsid w:val="007D1C95"/>
    <w:rsid w:val="007D2A63"/>
    <w:rsid w:val="007D2EDC"/>
    <w:rsid w:val="007E217D"/>
    <w:rsid w:val="007E3B89"/>
    <w:rsid w:val="007E6541"/>
    <w:rsid w:val="007F0593"/>
    <w:rsid w:val="007F270A"/>
    <w:rsid w:val="007F2A0A"/>
    <w:rsid w:val="007F37B5"/>
    <w:rsid w:val="007F5692"/>
    <w:rsid w:val="007F5F2C"/>
    <w:rsid w:val="007F63BA"/>
    <w:rsid w:val="00802115"/>
    <w:rsid w:val="00803903"/>
    <w:rsid w:val="008044C6"/>
    <w:rsid w:val="00806698"/>
    <w:rsid w:val="008123F1"/>
    <w:rsid w:val="008133B5"/>
    <w:rsid w:val="008148CE"/>
    <w:rsid w:val="00817372"/>
    <w:rsid w:val="008216CA"/>
    <w:rsid w:val="00822126"/>
    <w:rsid w:val="008255DB"/>
    <w:rsid w:val="00830F13"/>
    <w:rsid w:val="008314D2"/>
    <w:rsid w:val="00832415"/>
    <w:rsid w:val="008328EC"/>
    <w:rsid w:val="00832C24"/>
    <w:rsid w:val="00835148"/>
    <w:rsid w:val="00840278"/>
    <w:rsid w:val="00840343"/>
    <w:rsid w:val="00841294"/>
    <w:rsid w:val="008423BC"/>
    <w:rsid w:val="00846AF3"/>
    <w:rsid w:val="00846ECE"/>
    <w:rsid w:val="0084721C"/>
    <w:rsid w:val="00852909"/>
    <w:rsid w:val="00853667"/>
    <w:rsid w:val="00853EBA"/>
    <w:rsid w:val="0085420F"/>
    <w:rsid w:val="00855F02"/>
    <w:rsid w:val="008568D0"/>
    <w:rsid w:val="00856CA3"/>
    <w:rsid w:val="00860DDB"/>
    <w:rsid w:val="0086603D"/>
    <w:rsid w:val="00867954"/>
    <w:rsid w:val="008702E5"/>
    <w:rsid w:val="00874B29"/>
    <w:rsid w:val="008764F5"/>
    <w:rsid w:val="008804A0"/>
    <w:rsid w:val="0088498C"/>
    <w:rsid w:val="00886C09"/>
    <w:rsid w:val="00890304"/>
    <w:rsid w:val="00891EAB"/>
    <w:rsid w:val="00894342"/>
    <w:rsid w:val="008976BD"/>
    <w:rsid w:val="008A0E12"/>
    <w:rsid w:val="008A23E6"/>
    <w:rsid w:val="008B0C76"/>
    <w:rsid w:val="008B48FF"/>
    <w:rsid w:val="008B5ED5"/>
    <w:rsid w:val="008B72C4"/>
    <w:rsid w:val="008B74EF"/>
    <w:rsid w:val="008B7BED"/>
    <w:rsid w:val="008C09D6"/>
    <w:rsid w:val="008C4CB4"/>
    <w:rsid w:val="008C6D0D"/>
    <w:rsid w:val="008D0710"/>
    <w:rsid w:val="008D5CA0"/>
    <w:rsid w:val="008D64DA"/>
    <w:rsid w:val="008D740E"/>
    <w:rsid w:val="008D7C79"/>
    <w:rsid w:val="008E1070"/>
    <w:rsid w:val="008E202C"/>
    <w:rsid w:val="008E223E"/>
    <w:rsid w:val="008E2768"/>
    <w:rsid w:val="008E2849"/>
    <w:rsid w:val="008E4530"/>
    <w:rsid w:val="008E470F"/>
    <w:rsid w:val="008E5B65"/>
    <w:rsid w:val="008E73BE"/>
    <w:rsid w:val="008F0021"/>
    <w:rsid w:val="008F0E6C"/>
    <w:rsid w:val="008F2184"/>
    <w:rsid w:val="008F2C6D"/>
    <w:rsid w:val="008F31BA"/>
    <w:rsid w:val="008F3298"/>
    <w:rsid w:val="008F3CDF"/>
    <w:rsid w:val="008F5322"/>
    <w:rsid w:val="008F5C5E"/>
    <w:rsid w:val="008F69CB"/>
    <w:rsid w:val="009006F6"/>
    <w:rsid w:val="00901B11"/>
    <w:rsid w:val="00903FA0"/>
    <w:rsid w:val="00906649"/>
    <w:rsid w:val="009075B0"/>
    <w:rsid w:val="00907C7B"/>
    <w:rsid w:val="0091061A"/>
    <w:rsid w:val="009108D2"/>
    <w:rsid w:val="00911C86"/>
    <w:rsid w:val="009127A3"/>
    <w:rsid w:val="00913FF7"/>
    <w:rsid w:val="0091494A"/>
    <w:rsid w:val="00916527"/>
    <w:rsid w:val="009201EF"/>
    <w:rsid w:val="00920B44"/>
    <w:rsid w:val="00923DD9"/>
    <w:rsid w:val="00923F1B"/>
    <w:rsid w:val="009244DF"/>
    <w:rsid w:val="00924D15"/>
    <w:rsid w:val="00924FC0"/>
    <w:rsid w:val="00934676"/>
    <w:rsid w:val="009350CA"/>
    <w:rsid w:val="00936F3B"/>
    <w:rsid w:val="00940D2C"/>
    <w:rsid w:val="00941023"/>
    <w:rsid w:val="009418A6"/>
    <w:rsid w:val="00942CDC"/>
    <w:rsid w:val="00945F99"/>
    <w:rsid w:val="0094642E"/>
    <w:rsid w:val="00946C28"/>
    <w:rsid w:val="0095079A"/>
    <w:rsid w:val="00951824"/>
    <w:rsid w:val="00956C2F"/>
    <w:rsid w:val="00960BD3"/>
    <w:rsid w:val="00961E60"/>
    <w:rsid w:val="00962295"/>
    <w:rsid w:val="00964D42"/>
    <w:rsid w:val="0096640C"/>
    <w:rsid w:val="00970DDF"/>
    <w:rsid w:val="009736C6"/>
    <w:rsid w:val="00976B24"/>
    <w:rsid w:val="00976E31"/>
    <w:rsid w:val="009779F3"/>
    <w:rsid w:val="009806A5"/>
    <w:rsid w:val="00982F80"/>
    <w:rsid w:val="009838B0"/>
    <w:rsid w:val="00983BF9"/>
    <w:rsid w:val="00984970"/>
    <w:rsid w:val="00984AB1"/>
    <w:rsid w:val="0099120E"/>
    <w:rsid w:val="00992D65"/>
    <w:rsid w:val="009949DD"/>
    <w:rsid w:val="00994F01"/>
    <w:rsid w:val="00995EE7"/>
    <w:rsid w:val="009A23BE"/>
    <w:rsid w:val="009A281E"/>
    <w:rsid w:val="009A49DA"/>
    <w:rsid w:val="009A581F"/>
    <w:rsid w:val="009A5C4D"/>
    <w:rsid w:val="009A6989"/>
    <w:rsid w:val="009B24F1"/>
    <w:rsid w:val="009B328D"/>
    <w:rsid w:val="009B5377"/>
    <w:rsid w:val="009B731A"/>
    <w:rsid w:val="009B7E57"/>
    <w:rsid w:val="009C0B65"/>
    <w:rsid w:val="009C1B54"/>
    <w:rsid w:val="009C218B"/>
    <w:rsid w:val="009C6E88"/>
    <w:rsid w:val="009C7504"/>
    <w:rsid w:val="009D00D1"/>
    <w:rsid w:val="009D1BF7"/>
    <w:rsid w:val="009D363C"/>
    <w:rsid w:val="009D3CEC"/>
    <w:rsid w:val="009D41AB"/>
    <w:rsid w:val="009D6242"/>
    <w:rsid w:val="009D63E4"/>
    <w:rsid w:val="009D6537"/>
    <w:rsid w:val="009D6594"/>
    <w:rsid w:val="009D773C"/>
    <w:rsid w:val="009E02FD"/>
    <w:rsid w:val="009E21A0"/>
    <w:rsid w:val="009E3D04"/>
    <w:rsid w:val="009E5259"/>
    <w:rsid w:val="009E5E01"/>
    <w:rsid w:val="009E7154"/>
    <w:rsid w:val="009F067A"/>
    <w:rsid w:val="009F08C3"/>
    <w:rsid w:val="009F1D39"/>
    <w:rsid w:val="009F2A89"/>
    <w:rsid w:val="009F352A"/>
    <w:rsid w:val="009F3659"/>
    <w:rsid w:val="009F4E2D"/>
    <w:rsid w:val="009F6BC1"/>
    <w:rsid w:val="009F76D5"/>
    <w:rsid w:val="009F79B0"/>
    <w:rsid w:val="009F7CD8"/>
    <w:rsid w:val="00A01C33"/>
    <w:rsid w:val="00A029F9"/>
    <w:rsid w:val="00A02A19"/>
    <w:rsid w:val="00A02F9F"/>
    <w:rsid w:val="00A044B5"/>
    <w:rsid w:val="00A04D36"/>
    <w:rsid w:val="00A0736B"/>
    <w:rsid w:val="00A078C8"/>
    <w:rsid w:val="00A12A80"/>
    <w:rsid w:val="00A1302E"/>
    <w:rsid w:val="00A16A07"/>
    <w:rsid w:val="00A20AFC"/>
    <w:rsid w:val="00A21681"/>
    <w:rsid w:val="00A24180"/>
    <w:rsid w:val="00A24235"/>
    <w:rsid w:val="00A264BB"/>
    <w:rsid w:val="00A26E4F"/>
    <w:rsid w:val="00A27326"/>
    <w:rsid w:val="00A32935"/>
    <w:rsid w:val="00A3494F"/>
    <w:rsid w:val="00A35FBF"/>
    <w:rsid w:val="00A36288"/>
    <w:rsid w:val="00A37A03"/>
    <w:rsid w:val="00A37F60"/>
    <w:rsid w:val="00A4086D"/>
    <w:rsid w:val="00A41181"/>
    <w:rsid w:val="00A42F34"/>
    <w:rsid w:val="00A439ED"/>
    <w:rsid w:val="00A43E16"/>
    <w:rsid w:val="00A45E3C"/>
    <w:rsid w:val="00A47AE4"/>
    <w:rsid w:val="00A501F7"/>
    <w:rsid w:val="00A50CBB"/>
    <w:rsid w:val="00A5128E"/>
    <w:rsid w:val="00A5134F"/>
    <w:rsid w:val="00A52575"/>
    <w:rsid w:val="00A54A69"/>
    <w:rsid w:val="00A579BC"/>
    <w:rsid w:val="00A6212A"/>
    <w:rsid w:val="00A64F91"/>
    <w:rsid w:val="00A65DBC"/>
    <w:rsid w:val="00A6701E"/>
    <w:rsid w:val="00A7010F"/>
    <w:rsid w:val="00A723DE"/>
    <w:rsid w:val="00A754D2"/>
    <w:rsid w:val="00A7589A"/>
    <w:rsid w:val="00A75C88"/>
    <w:rsid w:val="00A80CFF"/>
    <w:rsid w:val="00A81D59"/>
    <w:rsid w:val="00A82F43"/>
    <w:rsid w:val="00A83B3A"/>
    <w:rsid w:val="00A84398"/>
    <w:rsid w:val="00A850FE"/>
    <w:rsid w:val="00A90151"/>
    <w:rsid w:val="00A913C4"/>
    <w:rsid w:val="00A91F07"/>
    <w:rsid w:val="00A941AB"/>
    <w:rsid w:val="00A95159"/>
    <w:rsid w:val="00A95679"/>
    <w:rsid w:val="00A95841"/>
    <w:rsid w:val="00A95A0D"/>
    <w:rsid w:val="00A96CD6"/>
    <w:rsid w:val="00AA090B"/>
    <w:rsid w:val="00AA0F17"/>
    <w:rsid w:val="00AA2741"/>
    <w:rsid w:val="00AA397D"/>
    <w:rsid w:val="00AA486F"/>
    <w:rsid w:val="00AB19BF"/>
    <w:rsid w:val="00AB1D4B"/>
    <w:rsid w:val="00AB28E8"/>
    <w:rsid w:val="00AB395C"/>
    <w:rsid w:val="00AB4A6E"/>
    <w:rsid w:val="00AB7316"/>
    <w:rsid w:val="00AC2F83"/>
    <w:rsid w:val="00AC3F76"/>
    <w:rsid w:val="00AC5D9F"/>
    <w:rsid w:val="00AD1347"/>
    <w:rsid w:val="00AD185F"/>
    <w:rsid w:val="00AD2536"/>
    <w:rsid w:val="00AD2E33"/>
    <w:rsid w:val="00AD42D6"/>
    <w:rsid w:val="00AD701C"/>
    <w:rsid w:val="00AE12C7"/>
    <w:rsid w:val="00AE2D93"/>
    <w:rsid w:val="00AE3A5E"/>
    <w:rsid w:val="00AE5F0A"/>
    <w:rsid w:val="00AE69FF"/>
    <w:rsid w:val="00AE6EC0"/>
    <w:rsid w:val="00AE700D"/>
    <w:rsid w:val="00AE7D98"/>
    <w:rsid w:val="00AF0154"/>
    <w:rsid w:val="00AF0161"/>
    <w:rsid w:val="00AF0FA5"/>
    <w:rsid w:val="00AF38F8"/>
    <w:rsid w:val="00AF5231"/>
    <w:rsid w:val="00B0378E"/>
    <w:rsid w:val="00B03A08"/>
    <w:rsid w:val="00B03D17"/>
    <w:rsid w:val="00B03E1E"/>
    <w:rsid w:val="00B1035F"/>
    <w:rsid w:val="00B11DBF"/>
    <w:rsid w:val="00B1249B"/>
    <w:rsid w:val="00B124C3"/>
    <w:rsid w:val="00B1260C"/>
    <w:rsid w:val="00B16D9E"/>
    <w:rsid w:val="00B207A9"/>
    <w:rsid w:val="00B22F6B"/>
    <w:rsid w:val="00B24511"/>
    <w:rsid w:val="00B24B66"/>
    <w:rsid w:val="00B252D8"/>
    <w:rsid w:val="00B30B55"/>
    <w:rsid w:val="00B310DE"/>
    <w:rsid w:val="00B31388"/>
    <w:rsid w:val="00B32813"/>
    <w:rsid w:val="00B33BBB"/>
    <w:rsid w:val="00B361F5"/>
    <w:rsid w:val="00B3654A"/>
    <w:rsid w:val="00B36AD5"/>
    <w:rsid w:val="00B40F87"/>
    <w:rsid w:val="00B4105A"/>
    <w:rsid w:val="00B4313F"/>
    <w:rsid w:val="00B453E9"/>
    <w:rsid w:val="00B51DB6"/>
    <w:rsid w:val="00B54FFA"/>
    <w:rsid w:val="00B55BD4"/>
    <w:rsid w:val="00B57CB5"/>
    <w:rsid w:val="00B6022B"/>
    <w:rsid w:val="00B634AF"/>
    <w:rsid w:val="00B63962"/>
    <w:rsid w:val="00B64F86"/>
    <w:rsid w:val="00B710FE"/>
    <w:rsid w:val="00B71632"/>
    <w:rsid w:val="00B739B3"/>
    <w:rsid w:val="00B7437B"/>
    <w:rsid w:val="00B761E1"/>
    <w:rsid w:val="00B76671"/>
    <w:rsid w:val="00B76930"/>
    <w:rsid w:val="00B80539"/>
    <w:rsid w:val="00B839B5"/>
    <w:rsid w:val="00B83C91"/>
    <w:rsid w:val="00B84779"/>
    <w:rsid w:val="00B85A06"/>
    <w:rsid w:val="00B86643"/>
    <w:rsid w:val="00B86647"/>
    <w:rsid w:val="00B87B33"/>
    <w:rsid w:val="00B91F5D"/>
    <w:rsid w:val="00B945DA"/>
    <w:rsid w:val="00B94AB7"/>
    <w:rsid w:val="00B94C2D"/>
    <w:rsid w:val="00B95A8D"/>
    <w:rsid w:val="00B9657B"/>
    <w:rsid w:val="00B97A68"/>
    <w:rsid w:val="00BA36D8"/>
    <w:rsid w:val="00BA36E8"/>
    <w:rsid w:val="00BB18C2"/>
    <w:rsid w:val="00BB3D10"/>
    <w:rsid w:val="00BB42B4"/>
    <w:rsid w:val="00BB4FD4"/>
    <w:rsid w:val="00BB6D81"/>
    <w:rsid w:val="00BB746C"/>
    <w:rsid w:val="00BC225D"/>
    <w:rsid w:val="00BC2F75"/>
    <w:rsid w:val="00BC3005"/>
    <w:rsid w:val="00BC3E83"/>
    <w:rsid w:val="00BC4138"/>
    <w:rsid w:val="00BD328F"/>
    <w:rsid w:val="00BD351C"/>
    <w:rsid w:val="00BD4021"/>
    <w:rsid w:val="00BD439C"/>
    <w:rsid w:val="00BD5017"/>
    <w:rsid w:val="00BD638D"/>
    <w:rsid w:val="00BD6B12"/>
    <w:rsid w:val="00BD71C0"/>
    <w:rsid w:val="00BE0B52"/>
    <w:rsid w:val="00BE3A50"/>
    <w:rsid w:val="00BE67C1"/>
    <w:rsid w:val="00BE76D8"/>
    <w:rsid w:val="00BE77AE"/>
    <w:rsid w:val="00BF0ADF"/>
    <w:rsid w:val="00BF220F"/>
    <w:rsid w:val="00BF7DFE"/>
    <w:rsid w:val="00C00332"/>
    <w:rsid w:val="00C003A5"/>
    <w:rsid w:val="00C0077B"/>
    <w:rsid w:val="00C01589"/>
    <w:rsid w:val="00C01E5D"/>
    <w:rsid w:val="00C01E7A"/>
    <w:rsid w:val="00C03C0F"/>
    <w:rsid w:val="00C04328"/>
    <w:rsid w:val="00C111A8"/>
    <w:rsid w:val="00C14EFB"/>
    <w:rsid w:val="00C16532"/>
    <w:rsid w:val="00C1681E"/>
    <w:rsid w:val="00C20387"/>
    <w:rsid w:val="00C20DC5"/>
    <w:rsid w:val="00C21B12"/>
    <w:rsid w:val="00C2412D"/>
    <w:rsid w:val="00C26BF1"/>
    <w:rsid w:val="00C2790F"/>
    <w:rsid w:val="00C27EEC"/>
    <w:rsid w:val="00C322E7"/>
    <w:rsid w:val="00C33B59"/>
    <w:rsid w:val="00C428DB"/>
    <w:rsid w:val="00C4629A"/>
    <w:rsid w:val="00C470C0"/>
    <w:rsid w:val="00C47F03"/>
    <w:rsid w:val="00C47FA6"/>
    <w:rsid w:val="00C51BB7"/>
    <w:rsid w:val="00C54677"/>
    <w:rsid w:val="00C55EF1"/>
    <w:rsid w:val="00C6012E"/>
    <w:rsid w:val="00C60613"/>
    <w:rsid w:val="00C61DD1"/>
    <w:rsid w:val="00C642C9"/>
    <w:rsid w:val="00C65C77"/>
    <w:rsid w:val="00C66970"/>
    <w:rsid w:val="00C700AE"/>
    <w:rsid w:val="00C70E90"/>
    <w:rsid w:val="00C70F5F"/>
    <w:rsid w:val="00C71139"/>
    <w:rsid w:val="00C73D43"/>
    <w:rsid w:val="00C76606"/>
    <w:rsid w:val="00C80E70"/>
    <w:rsid w:val="00C8388E"/>
    <w:rsid w:val="00C84D78"/>
    <w:rsid w:val="00C8634F"/>
    <w:rsid w:val="00C87265"/>
    <w:rsid w:val="00C93D9A"/>
    <w:rsid w:val="00C9433C"/>
    <w:rsid w:val="00C95B12"/>
    <w:rsid w:val="00C95B2F"/>
    <w:rsid w:val="00C965F2"/>
    <w:rsid w:val="00C971CA"/>
    <w:rsid w:val="00CA0E36"/>
    <w:rsid w:val="00CA2DA6"/>
    <w:rsid w:val="00CA33BF"/>
    <w:rsid w:val="00CA39B0"/>
    <w:rsid w:val="00CB0332"/>
    <w:rsid w:val="00CB08A5"/>
    <w:rsid w:val="00CB0A4A"/>
    <w:rsid w:val="00CB0DCC"/>
    <w:rsid w:val="00CB1353"/>
    <w:rsid w:val="00CB230E"/>
    <w:rsid w:val="00CB6B64"/>
    <w:rsid w:val="00CC177C"/>
    <w:rsid w:val="00CC1D1B"/>
    <w:rsid w:val="00CC2599"/>
    <w:rsid w:val="00CC39B0"/>
    <w:rsid w:val="00CC46CF"/>
    <w:rsid w:val="00CC54BD"/>
    <w:rsid w:val="00CC5A7A"/>
    <w:rsid w:val="00CC5C1C"/>
    <w:rsid w:val="00CC6F9F"/>
    <w:rsid w:val="00CC7B88"/>
    <w:rsid w:val="00CD3F5E"/>
    <w:rsid w:val="00CD66A7"/>
    <w:rsid w:val="00CD72F9"/>
    <w:rsid w:val="00CE0D1D"/>
    <w:rsid w:val="00CE13AC"/>
    <w:rsid w:val="00CE2290"/>
    <w:rsid w:val="00CE2F6F"/>
    <w:rsid w:val="00CF4349"/>
    <w:rsid w:val="00CF47B5"/>
    <w:rsid w:val="00CF4C5A"/>
    <w:rsid w:val="00CF5B3A"/>
    <w:rsid w:val="00D004DE"/>
    <w:rsid w:val="00D00EB4"/>
    <w:rsid w:val="00D04520"/>
    <w:rsid w:val="00D050F4"/>
    <w:rsid w:val="00D062CA"/>
    <w:rsid w:val="00D06419"/>
    <w:rsid w:val="00D07438"/>
    <w:rsid w:val="00D12510"/>
    <w:rsid w:val="00D16ACD"/>
    <w:rsid w:val="00D1768C"/>
    <w:rsid w:val="00D17850"/>
    <w:rsid w:val="00D17A77"/>
    <w:rsid w:val="00D22504"/>
    <w:rsid w:val="00D230AE"/>
    <w:rsid w:val="00D24C49"/>
    <w:rsid w:val="00D3053D"/>
    <w:rsid w:val="00D31EFC"/>
    <w:rsid w:val="00D349CD"/>
    <w:rsid w:val="00D35665"/>
    <w:rsid w:val="00D41152"/>
    <w:rsid w:val="00D416D0"/>
    <w:rsid w:val="00D41BC7"/>
    <w:rsid w:val="00D42735"/>
    <w:rsid w:val="00D43DC6"/>
    <w:rsid w:val="00D44630"/>
    <w:rsid w:val="00D47915"/>
    <w:rsid w:val="00D52DE4"/>
    <w:rsid w:val="00D54F6A"/>
    <w:rsid w:val="00D55487"/>
    <w:rsid w:val="00D56638"/>
    <w:rsid w:val="00D61A9E"/>
    <w:rsid w:val="00D61FE8"/>
    <w:rsid w:val="00D62643"/>
    <w:rsid w:val="00D64611"/>
    <w:rsid w:val="00D71F46"/>
    <w:rsid w:val="00D73597"/>
    <w:rsid w:val="00D751B2"/>
    <w:rsid w:val="00D75708"/>
    <w:rsid w:val="00D76033"/>
    <w:rsid w:val="00D76A13"/>
    <w:rsid w:val="00D80F8E"/>
    <w:rsid w:val="00D81BE8"/>
    <w:rsid w:val="00D83141"/>
    <w:rsid w:val="00D8633D"/>
    <w:rsid w:val="00D90C9C"/>
    <w:rsid w:val="00D91522"/>
    <w:rsid w:val="00D91EC4"/>
    <w:rsid w:val="00D939D2"/>
    <w:rsid w:val="00D95039"/>
    <w:rsid w:val="00DA25FF"/>
    <w:rsid w:val="00DA4936"/>
    <w:rsid w:val="00DA5D00"/>
    <w:rsid w:val="00DB07CC"/>
    <w:rsid w:val="00DB57A5"/>
    <w:rsid w:val="00DB6291"/>
    <w:rsid w:val="00DB6F9F"/>
    <w:rsid w:val="00DB7AD2"/>
    <w:rsid w:val="00DC3093"/>
    <w:rsid w:val="00DC4AEF"/>
    <w:rsid w:val="00DC62C8"/>
    <w:rsid w:val="00DC655A"/>
    <w:rsid w:val="00DD09E0"/>
    <w:rsid w:val="00DD230A"/>
    <w:rsid w:val="00DD2C8A"/>
    <w:rsid w:val="00DD4500"/>
    <w:rsid w:val="00DD5DDE"/>
    <w:rsid w:val="00DD7EC9"/>
    <w:rsid w:val="00DE0817"/>
    <w:rsid w:val="00DE104C"/>
    <w:rsid w:val="00DE34BD"/>
    <w:rsid w:val="00DE5DFE"/>
    <w:rsid w:val="00DE6024"/>
    <w:rsid w:val="00DE62B0"/>
    <w:rsid w:val="00DE7871"/>
    <w:rsid w:val="00DF1451"/>
    <w:rsid w:val="00DF169B"/>
    <w:rsid w:val="00DF30CB"/>
    <w:rsid w:val="00DF34AA"/>
    <w:rsid w:val="00DF41A9"/>
    <w:rsid w:val="00DF5CEC"/>
    <w:rsid w:val="00DF6D6B"/>
    <w:rsid w:val="00DF7A61"/>
    <w:rsid w:val="00E05582"/>
    <w:rsid w:val="00E07A16"/>
    <w:rsid w:val="00E12625"/>
    <w:rsid w:val="00E13281"/>
    <w:rsid w:val="00E1638A"/>
    <w:rsid w:val="00E206D0"/>
    <w:rsid w:val="00E24DCF"/>
    <w:rsid w:val="00E25BA7"/>
    <w:rsid w:val="00E276E9"/>
    <w:rsid w:val="00E27CF0"/>
    <w:rsid w:val="00E30BB3"/>
    <w:rsid w:val="00E33AC3"/>
    <w:rsid w:val="00E33B0C"/>
    <w:rsid w:val="00E33B2A"/>
    <w:rsid w:val="00E34905"/>
    <w:rsid w:val="00E34BCA"/>
    <w:rsid w:val="00E3545B"/>
    <w:rsid w:val="00E36193"/>
    <w:rsid w:val="00E36A09"/>
    <w:rsid w:val="00E36A81"/>
    <w:rsid w:val="00E37323"/>
    <w:rsid w:val="00E44A83"/>
    <w:rsid w:val="00E466F7"/>
    <w:rsid w:val="00E471E6"/>
    <w:rsid w:val="00E52D10"/>
    <w:rsid w:val="00E52FA6"/>
    <w:rsid w:val="00E53050"/>
    <w:rsid w:val="00E55E1C"/>
    <w:rsid w:val="00E566E9"/>
    <w:rsid w:val="00E63932"/>
    <w:rsid w:val="00E64A50"/>
    <w:rsid w:val="00E651C0"/>
    <w:rsid w:val="00E66042"/>
    <w:rsid w:val="00E67F4A"/>
    <w:rsid w:val="00E718CA"/>
    <w:rsid w:val="00E7441A"/>
    <w:rsid w:val="00E7452B"/>
    <w:rsid w:val="00E8019F"/>
    <w:rsid w:val="00E8248F"/>
    <w:rsid w:val="00E82C76"/>
    <w:rsid w:val="00E83989"/>
    <w:rsid w:val="00E83E6F"/>
    <w:rsid w:val="00E84A78"/>
    <w:rsid w:val="00E857BA"/>
    <w:rsid w:val="00E864D8"/>
    <w:rsid w:val="00E87895"/>
    <w:rsid w:val="00E92047"/>
    <w:rsid w:val="00E92908"/>
    <w:rsid w:val="00E92D7A"/>
    <w:rsid w:val="00E94EC7"/>
    <w:rsid w:val="00E97753"/>
    <w:rsid w:val="00EA07A0"/>
    <w:rsid w:val="00EA4B98"/>
    <w:rsid w:val="00EA5821"/>
    <w:rsid w:val="00EA60D4"/>
    <w:rsid w:val="00EA7D7E"/>
    <w:rsid w:val="00EB0C06"/>
    <w:rsid w:val="00EB2B68"/>
    <w:rsid w:val="00EB316E"/>
    <w:rsid w:val="00EB3D69"/>
    <w:rsid w:val="00EB5A94"/>
    <w:rsid w:val="00EB5B9A"/>
    <w:rsid w:val="00EB7B09"/>
    <w:rsid w:val="00EB7D2B"/>
    <w:rsid w:val="00EB7FA4"/>
    <w:rsid w:val="00EC3338"/>
    <w:rsid w:val="00EC4DC5"/>
    <w:rsid w:val="00ED1908"/>
    <w:rsid w:val="00ED5299"/>
    <w:rsid w:val="00ED6951"/>
    <w:rsid w:val="00ED7BB1"/>
    <w:rsid w:val="00ED7FF9"/>
    <w:rsid w:val="00EE0E5D"/>
    <w:rsid w:val="00EE14CC"/>
    <w:rsid w:val="00EE1DFE"/>
    <w:rsid w:val="00EE216A"/>
    <w:rsid w:val="00EE507F"/>
    <w:rsid w:val="00EE5A87"/>
    <w:rsid w:val="00EE6887"/>
    <w:rsid w:val="00EF0B1B"/>
    <w:rsid w:val="00EF22BC"/>
    <w:rsid w:val="00EF2CFC"/>
    <w:rsid w:val="00EF64A9"/>
    <w:rsid w:val="00F00AE9"/>
    <w:rsid w:val="00F0103E"/>
    <w:rsid w:val="00F01F92"/>
    <w:rsid w:val="00F050C0"/>
    <w:rsid w:val="00F05246"/>
    <w:rsid w:val="00F061CE"/>
    <w:rsid w:val="00F063AF"/>
    <w:rsid w:val="00F063FA"/>
    <w:rsid w:val="00F06B77"/>
    <w:rsid w:val="00F06CB5"/>
    <w:rsid w:val="00F10382"/>
    <w:rsid w:val="00F119AF"/>
    <w:rsid w:val="00F121F0"/>
    <w:rsid w:val="00F130FE"/>
    <w:rsid w:val="00F15363"/>
    <w:rsid w:val="00F177D2"/>
    <w:rsid w:val="00F201F4"/>
    <w:rsid w:val="00F206C7"/>
    <w:rsid w:val="00F21218"/>
    <w:rsid w:val="00F218E0"/>
    <w:rsid w:val="00F236F9"/>
    <w:rsid w:val="00F25BB3"/>
    <w:rsid w:val="00F25FC9"/>
    <w:rsid w:val="00F33F0F"/>
    <w:rsid w:val="00F341B6"/>
    <w:rsid w:val="00F37C53"/>
    <w:rsid w:val="00F469F6"/>
    <w:rsid w:val="00F524CE"/>
    <w:rsid w:val="00F53939"/>
    <w:rsid w:val="00F54E63"/>
    <w:rsid w:val="00F56361"/>
    <w:rsid w:val="00F5779C"/>
    <w:rsid w:val="00F5790F"/>
    <w:rsid w:val="00F631D4"/>
    <w:rsid w:val="00F66700"/>
    <w:rsid w:val="00F70C08"/>
    <w:rsid w:val="00F71393"/>
    <w:rsid w:val="00F72246"/>
    <w:rsid w:val="00F731A2"/>
    <w:rsid w:val="00F733FE"/>
    <w:rsid w:val="00F73D95"/>
    <w:rsid w:val="00F77603"/>
    <w:rsid w:val="00F82A13"/>
    <w:rsid w:val="00F838A4"/>
    <w:rsid w:val="00F85E44"/>
    <w:rsid w:val="00F87BBE"/>
    <w:rsid w:val="00F91AD4"/>
    <w:rsid w:val="00F93809"/>
    <w:rsid w:val="00F94E79"/>
    <w:rsid w:val="00F95699"/>
    <w:rsid w:val="00FA0BEF"/>
    <w:rsid w:val="00FA0C8A"/>
    <w:rsid w:val="00FA0E6C"/>
    <w:rsid w:val="00FA1365"/>
    <w:rsid w:val="00FA1563"/>
    <w:rsid w:val="00FA2AD7"/>
    <w:rsid w:val="00FA6F90"/>
    <w:rsid w:val="00FA7881"/>
    <w:rsid w:val="00FB1E7E"/>
    <w:rsid w:val="00FB3C50"/>
    <w:rsid w:val="00FB51BF"/>
    <w:rsid w:val="00FB52C6"/>
    <w:rsid w:val="00FB7C1C"/>
    <w:rsid w:val="00FC033C"/>
    <w:rsid w:val="00FC2F4E"/>
    <w:rsid w:val="00FC3999"/>
    <w:rsid w:val="00FC3C79"/>
    <w:rsid w:val="00FC5023"/>
    <w:rsid w:val="00FC5A79"/>
    <w:rsid w:val="00FD3984"/>
    <w:rsid w:val="00FE0EC3"/>
    <w:rsid w:val="00FE171A"/>
    <w:rsid w:val="00FE20A5"/>
    <w:rsid w:val="00FE25FD"/>
    <w:rsid w:val="00FE382A"/>
    <w:rsid w:val="00FE4698"/>
    <w:rsid w:val="00FE5F52"/>
    <w:rsid w:val="00FF2510"/>
    <w:rsid w:val="00FF2FA4"/>
    <w:rsid w:val="00FF439D"/>
    <w:rsid w:val="00FF46D8"/>
    <w:rsid w:val="00FF4D83"/>
    <w:rsid w:val="00FF6884"/>
    <w:rsid w:val="00FF7350"/>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77"/>
    <w:rPr>
      <w:sz w:val="24"/>
      <w:szCs w:val="24"/>
    </w:rPr>
  </w:style>
  <w:style w:type="paragraph" w:styleId="Heading1">
    <w:name w:val="heading 1"/>
    <w:basedOn w:val="ListParagraph"/>
    <w:next w:val="Normal"/>
    <w:link w:val="Heading1Char"/>
    <w:autoRedefine/>
    <w:uiPriority w:val="99"/>
    <w:qFormat/>
    <w:rsid w:val="00247CC5"/>
    <w:pPr>
      <w:spacing w:after="240"/>
      <w:ind w:left="0"/>
      <w:outlineLvl w:val="0"/>
    </w:pPr>
    <w:rPr>
      <w:b/>
    </w:rPr>
  </w:style>
  <w:style w:type="paragraph" w:styleId="Heading2">
    <w:name w:val="heading 2"/>
    <w:basedOn w:val="ListParagraph"/>
    <w:next w:val="Normal"/>
    <w:link w:val="Heading2Char"/>
    <w:autoRedefine/>
    <w:uiPriority w:val="99"/>
    <w:qFormat/>
    <w:rsid w:val="00B76671"/>
    <w:pPr>
      <w:numPr>
        <w:numId w:val="14"/>
      </w:numPr>
      <w:tabs>
        <w:tab w:val="left" w:leader="dot" w:pos="8640"/>
      </w:tabs>
      <w:spacing w:after="240"/>
      <w:ind w:left="1440" w:hanging="720"/>
      <w:outlineLvl w:val="1"/>
    </w:pPr>
    <w:rPr>
      <w:b/>
      <w:bC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7CC5"/>
    <w:rPr>
      <w:b/>
      <w:sz w:val="24"/>
      <w:szCs w:val="24"/>
    </w:rPr>
  </w:style>
  <w:style w:type="character" w:customStyle="1" w:styleId="Heading2Char">
    <w:name w:val="Heading 2 Char"/>
    <w:link w:val="Heading2"/>
    <w:uiPriority w:val="99"/>
    <w:locked/>
    <w:rsid w:val="00B76671"/>
    <w:rPr>
      <w:b/>
      <w:bC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3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rsid w:val="00B81F70"/>
    <w:pPr>
      <w:widowControl w:val="0"/>
    </w:pPr>
    <w:rPr>
      <w:sz w:val="20"/>
      <w:szCs w:val="20"/>
    </w:rPr>
  </w:style>
  <w:style w:type="character" w:customStyle="1" w:styleId="EndnoteTextChar">
    <w:name w:val="Endnote Text Char"/>
    <w:link w:val="EndnoteText"/>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uiPriority w:val="99"/>
    <w:rsid w:val="00B81F70"/>
    <w:rPr>
      <w:sz w:val="20"/>
      <w:szCs w:val="20"/>
    </w:rPr>
  </w:style>
  <w:style w:type="character" w:customStyle="1" w:styleId="CommentTextChar">
    <w:name w:val="Comment Text Char"/>
    <w:link w:val="CommentText"/>
    <w:uiPriority w:val="99"/>
    <w:locked/>
    <w:rsid w:val="00B81F70"/>
    <w:rPr>
      <w:sz w:val="20"/>
      <w:szCs w:val="20"/>
    </w:rPr>
  </w:style>
  <w:style w:type="paragraph" w:styleId="CommentSubject">
    <w:name w:val="annotation subject"/>
    <w:basedOn w:val="CommentText"/>
    <w:next w:val="CommentText"/>
    <w:link w:val="CommentSubjectChar"/>
    <w:rsid w:val="00B81F70"/>
    <w:rPr>
      <w:b/>
      <w:bCs/>
    </w:rPr>
  </w:style>
  <w:style w:type="character" w:customStyle="1" w:styleId="CommentSubjectChar">
    <w:name w:val="Comment Subject Char"/>
    <w:link w:val="CommentSubject"/>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locked/>
    <w:rsid w:val="00056704"/>
    <w:pPr>
      <w:tabs>
        <w:tab w:val="left" w:pos="720"/>
        <w:tab w:val="decimal" w:leader="dot" w:pos="8640"/>
      </w:tabs>
      <w:spacing w:after="240"/>
      <w:ind w:left="1440" w:hanging="720"/>
    </w:p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UnresolvedMention2">
    <w:name w:val="Unresolved Mention2"/>
    <w:basedOn w:val="DefaultParagraphFont"/>
    <w:uiPriority w:val="99"/>
    <w:rsid w:val="00340973"/>
    <w:rPr>
      <w:color w:val="605E5C"/>
      <w:shd w:val="clear" w:color="auto" w:fill="E1DFDD"/>
    </w:rPr>
  </w:style>
  <w:style w:type="character" w:customStyle="1" w:styleId="UnresolvedMention3">
    <w:name w:val="Unresolved Mention3"/>
    <w:basedOn w:val="DefaultParagraphFont"/>
    <w:uiPriority w:val="99"/>
    <w:rsid w:val="00484CAA"/>
    <w:rPr>
      <w:color w:val="605E5C"/>
      <w:shd w:val="clear" w:color="auto" w:fill="E1DFDD"/>
    </w:rPr>
  </w:style>
  <w:style w:type="paragraph" w:styleId="Title">
    <w:name w:val="Title"/>
    <w:basedOn w:val="Normal"/>
    <w:link w:val="TitleChar"/>
    <w:qFormat/>
    <w:locked/>
    <w:rsid w:val="00D76A13"/>
    <w:pPr>
      <w:jc w:val="center"/>
    </w:pPr>
    <w:rPr>
      <w:b/>
      <w:sz w:val="22"/>
      <w:szCs w:val="20"/>
    </w:rPr>
  </w:style>
  <w:style w:type="character" w:customStyle="1" w:styleId="TitleChar">
    <w:name w:val="Title Char"/>
    <w:basedOn w:val="DefaultParagraphFont"/>
    <w:link w:val="Title"/>
    <w:rsid w:val="00D76A13"/>
    <w:rPr>
      <w:b/>
      <w:sz w:val="22"/>
    </w:rPr>
  </w:style>
  <w:style w:type="character" w:customStyle="1" w:styleId="UnresolvedMention4">
    <w:name w:val="Unresolved Mention4"/>
    <w:basedOn w:val="DefaultParagraphFont"/>
    <w:uiPriority w:val="99"/>
    <w:rsid w:val="004E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mailto:robert.eubanks@ohioAGO.gov" TargetMode="External" /><Relationship Id="rId13" Type="http://schemas.openxmlformats.org/officeDocument/2006/relationships/hyperlink" Target="mailto:Rhiannon.howard@ohioAG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Michael.williams@puco.ohio.gov" TargetMode="External" /><Relationship Id="rId16" Type="http://schemas.openxmlformats.org/officeDocument/2006/relationships/hyperlink" Target="mailto:randall.griffin@aes.com" TargetMode="External" /><Relationship Id="rId17" Type="http://schemas.openxmlformats.org/officeDocument/2006/relationships/hyperlink" Target="mailto:christopher.hollon@aes.com" TargetMode="Externa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4A73-E4B9-4E6A-A029-DDA28F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2023-02-14T15:15:56Z</dcterms:created>
  <dcterms:modified xsi:type="dcterms:W3CDTF">2023-02-14T15:15:56Z</dcterms:modified>
</cp:coreProperties>
</file>