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19094" w14:textId="77777777" w:rsidR="00152CFD" w:rsidRDefault="00152CFD" w:rsidP="00152CFD">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14:paraId="7F447C8A" w14:textId="77777777" w:rsidR="00152CFD" w:rsidRDefault="00152CFD" w:rsidP="00152CFD">
      <w:pPr>
        <w:pStyle w:val="HTMLPreformatted"/>
        <w:jc w:val="center"/>
        <w:rPr>
          <w:rFonts w:ascii="Times New Roman" w:hAnsi="Times New Roman"/>
          <w:sz w:val="24"/>
        </w:rPr>
      </w:pPr>
      <w:r>
        <w:rPr>
          <w:rFonts w:ascii="Times New Roman" w:hAnsi="Times New Roman"/>
          <w:b/>
          <w:bCs/>
          <w:sz w:val="24"/>
        </w:rPr>
        <w:t>THE PUBLIC UTILITIES COMMISSION OF OHIO</w:t>
      </w:r>
    </w:p>
    <w:p w14:paraId="016AC73A" w14:textId="77777777" w:rsidR="00152CFD" w:rsidRDefault="00152CFD" w:rsidP="00152CFD">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152CFD" w14:paraId="1EE35A40" w14:textId="77777777" w:rsidTr="00F06C0F">
        <w:trPr>
          <w:trHeight w:val="807"/>
        </w:trPr>
        <w:tc>
          <w:tcPr>
            <w:tcW w:w="4332" w:type="dxa"/>
          </w:tcPr>
          <w:p w14:paraId="7869B0BE" w14:textId="77777777" w:rsidR="00152CFD" w:rsidRDefault="00152CFD" w:rsidP="00F06C0F">
            <w:pPr>
              <w:pStyle w:val="HTMLPreformatted"/>
              <w:spacing w:line="276" w:lineRule="auto"/>
              <w:rPr>
                <w:rFonts w:ascii="Times New Roman" w:hAnsi="Times New Roman" w:cs="Times New Roman"/>
                <w:sz w:val="24"/>
                <w:szCs w:val="24"/>
              </w:rPr>
            </w:pPr>
            <w:r>
              <w:rPr>
                <w:rFonts w:ascii="Times New Roman" w:hAnsi="Times New Roman" w:cs="Times New Roman"/>
                <w:sz w:val="24"/>
                <w:szCs w:val="24"/>
              </w:rPr>
              <w:t>In the Matter of the Application of The Dayton Power and Light Company for Authority to Recover Certain Storm-Related Service Restoration Costs</w:t>
            </w:r>
          </w:p>
          <w:p w14:paraId="09AE5D78" w14:textId="77777777" w:rsidR="00152CFD" w:rsidRDefault="00152CFD" w:rsidP="00F06C0F">
            <w:pPr>
              <w:pStyle w:val="HTMLPreformatted"/>
              <w:spacing w:line="276" w:lineRule="auto"/>
              <w:rPr>
                <w:rFonts w:ascii="Times New Roman" w:hAnsi="Times New Roman" w:cs="Times New Roman"/>
                <w:sz w:val="24"/>
                <w:szCs w:val="24"/>
              </w:rPr>
            </w:pPr>
          </w:p>
          <w:p w14:paraId="01446797" w14:textId="77777777" w:rsidR="00152CFD" w:rsidRDefault="00152CFD" w:rsidP="00F06C0F">
            <w:pPr>
              <w:pStyle w:val="HTMLPreformatted"/>
              <w:spacing w:line="276" w:lineRule="auto"/>
              <w:rPr>
                <w:rFonts w:ascii="Times New Roman" w:hAnsi="Times New Roman" w:cs="Times New Roman"/>
                <w:sz w:val="24"/>
                <w:szCs w:val="24"/>
              </w:rPr>
            </w:pPr>
            <w:r>
              <w:rPr>
                <w:rFonts w:ascii="Times New Roman" w:hAnsi="Times New Roman" w:cs="Times New Roman"/>
                <w:sz w:val="24"/>
                <w:szCs w:val="24"/>
              </w:rPr>
              <w:t>In the Matter of the Application of The Dayton Power and Light Company for Approval of Certain Accounting Authority.</w:t>
            </w:r>
          </w:p>
        </w:tc>
        <w:tc>
          <w:tcPr>
            <w:tcW w:w="360" w:type="dxa"/>
          </w:tcPr>
          <w:p w14:paraId="3846B8AA" w14:textId="77777777" w:rsidR="00152CFD" w:rsidRDefault="00152CFD" w:rsidP="00F06C0F">
            <w:pPr>
              <w:pStyle w:val="HTMLPreformatted"/>
              <w:spacing w:line="276" w:lineRule="auto"/>
              <w:rPr>
                <w:rFonts w:ascii="Times New Roman" w:hAnsi="Times New Roman"/>
                <w:sz w:val="24"/>
              </w:rPr>
            </w:pPr>
            <w:r>
              <w:rPr>
                <w:rFonts w:ascii="Times New Roman" w:hAnsi="Times New Roman"/>
                <w:sz w:val="24"/>
              </w:rPr>
              <w:t>)</w:t>
            </w:r>
          </w:p>
          <w:p w14:paraId="0C271D11" w14:textId="77777777" w:rsidR="00152CFD" w:rsidRDefault="00152CFD" w:rsidP="00F06C0F">
            <w:pPr>
              <w:pStyle w:val="HTMLPreformatted"/>
              <w:spacing w:line="276" w:lineRule="auto"/>
              <w:rPr>
                <w:rFonts w:ascii="Times New Roman" w:hAnsi="Times New Roman"/>
                <w:sz w:val="24"/>
              </w:rPr>
            </w:pPr>
            <w:r>
              <w:rPr>
                <w:rFonts w:ascii="Times New Roman" w:hAnsi="Times New Roman"/>
                <w:sz w:val="24"/>
              </w:rPr>
              <w:t>)</w:t>
            </w:r>
          </w:p>
          <w:p w14:paraId="5392C2CE" w14:textId="77777777" w:rsidR="00152CFD" w:rsidRDefault="00152CFD" w:rsidP="00F06C0F">
            <w:pPr>
              <w:pStyle w:val="HTMLPreformatted"/>
              <w:spacing w:line="276" w:lineRule="auto"/>
              <w:rPr>
                <w:rFonts w:ascii="Times New Roman" w:hAnsi="Times New Roman"/>
                <w:sz w:val="24"/>
              </w:rPr>
            </w:pPr>
            <w:r>
              <w:rPr>
                <w:rFonts w:ascii="Times New Roman" w:hAnsi="Times New Roman"/>
                <w:sz w:val="24"/>
              </w:rPr>
              <w:t>)</w:t>
            </w:r>
          </w:p>
          <w:p w14:paraId="40484A6D" w14:textId="77777777" w:rsidR="00152CFD" w:rsidRDefault="00152CFD" w:rsidP="00F06C0F">
            <w:pPr>
              <w:pStyle w:val="HTMLPreformatted"/>
              <w:spacing w:line="276" w:lineRule="auto"/>
              <w:rPr>
                <w:rFonts w:ascii="Times New Roman" w:hAnsi="Times New Roman"/>
                <w:sz w:val="24"/>
              </w:rPr>
            </w:pPr>
            <w:r>
              <w:rPr>
                <w:rFonts w:ascii="Times New Roman" w:hAnsi="Times New Roman"/>
                <w:sz w:val="24"/>
              </w:rPr>
              <w:t>)</w:t>
            </w:r>
          </w:p>
          <w:p w14:paraId="305C1F86" w14:textId="77777777" w:rsidR="00152CFD" w:rsidRDefault="00152CFD" w:rsidP="00F06C0F">
            <w:pPr>
              <w:pStyle w:val="HTMLPreformatted"/>
              <w:spacing w:line="276" w:lineRule="auto"/>
              <w:rPr>
                <w:rFonts w:ascii="Times New Roman" w:hAnsi="Times New Roman"/>
                <w:sz w:val="24"/>
              </w:rPr>
            </w:pPr>
          </w:p>
          <w:p w14:paraId="59322F0B" w14:textId="77777777" w:rsidR="00152CFD" w:rsidRDefault="00152CFD" w:rsidP="00F06C0F">
            <w:pPr>
              <w:pStyle w:val="HTMLPreformatted"/>
              <w:spacing w:line="276" w:lineRule="auto"/>
              <w:rPr>
                <w:rFonts w:ascii="Times New Roman" w:hAnsi="Times New Roman"/>
                <w:sz w:val="24"/>
              </w:rPr>
            </w:pPr>
            <w:r>
              <w:rPr>
                <w:rFonts w:ascii="Times New Roman" w:hAnsi="Times New Roman"/>
                <w:sz w:val="24"/>
              </w:rPr>
              <w:t>)</w:t>
            </w:r>
          </w:p>
          <w:p w14:paraId="7543B141" w14:textId="77777777" w:rsidR="00152CFD" w:rsidRDefault="00152CFD" w:rsidP="00F06C0F">
            <w:pPr>
              <w:pStyle w:val="HTMLPreformatted"/>
              <w:spacing w:line="276" w:lineRule="auto"/>
              <w:rPr>
                <w:rFonts w:ascii="Times New Roman" w:hAnsi="Times New Roman"/>
                <w:sz w:val="24"/>
              </w:rPr>
            </w:pPr>
            <w:r>
              <w:rPr>
                <w:rFonts w:ascii="Times New Roman" w:hAnsi="Times New Roman"/>
                <w:sz w:val="24"/>
              </w:rPr>
              <w:t>)</w:t>
            </w:r>
          </w:p>
          <w:p w14:paraId="40F3F8E8" w14:textId="77777777" w:rsidR="00152CFD" w:rsidRDefault="00152CFD" w:rsidP="00F06C0F">
            <w:pPr>
              <w:pStyle w:val="HTMLPreformatted"/>
              <w:spacing w:line="276" w:lineRule="auto"/>
              <w:rPr>
                <w:rFonts w:ascii="Times New Roman" w:hAnsi="Times New Roman"/>
                <w:sz w:val="24"/>
              </w:rPr>
            </w:pPr>
            <w:r>
              <w:rPr>
                <w:rFonts w:ascii="Times New Roman" w:hAnsi="Times New Roman"/>
                <w:sz w:val="24"/>
              </w:rPr>
              <w:t>)</w:t>
            </w:r>
          </w:p>
          <w:p w14:paraId="6AA0C481" w14:textId="77777777" w:rsidR="00152CFD" w:rsidRDefault="00152CFD" w:rsidP="00F06C0F">
            <w:pPr>
              <w:pStyle w:val="HTMLPreformatted"/>
              <w:spacing w:line="276" w:lineRule="auto"/>
              <w:rPr>
                <w:rFonts w:ascii="Times New Roman" w:hAnsi="Times New Roman"/>
                <w:sz w:val="24"/>
              </w:rPr>
            </w:pPr>
            <w:r>
              <w:rPr>
                <w:rFonts w:ascii="Times New Roman" w:hAnsi="Times New Roman"/>
                <w:sz w:val="24"/>
              </w:rPr>
              <w:t>)</w:t>
            </w:r>
          </w:p>
        </w:tc>
        <w:tc>
          <w:tcPr>
            <w:tcW w:w="4400" w:type="dxa"/>
          </w:tcPr>
          <w:p w14:paraId="349F7C1B" w14:textId="77777777" w:rsidR="00152CFD" w:rsidRDefault="00152CFD" w:rsidP="00F06C0F">
            <w:pPr>
              <w:pStyle w:val="HTMLPreformatted"/>
              <w:spacing w:line="276" w:lineRule="auto"/>
              <w:rPr>
                <w:rFonts w:ascii="Times New Roman" w:hAnsi="Times New Roman"/>
                <w:sz w:val="24"/>
              </w:rPr>
            </w:pPr>
          </w:p>
          <w:p w14:paraId="6568D938" w14:textId="77777777" w:rsidR="00152CFD" w:rsidRDefault="00152CFD" w:rsidP="00F06C0F">
            <w:pPr>
              <w:pStyle w:val="HTMLPreformatted"/>
              <w:spacing w:line="276" w:lineRule="auto"/>
              <w:rPr>
                <w:rFonts w:ascii="Times New Roman" w:hAnsi="Times New Roman"/>
                <w:sz w:val="24"/>
              </w:rPr>
            </w:pPr>
          </w:p>
          <w:p w14:paraId="02622924" w14:textId="77777777" w:rsidR="00152CFD" w:rsidRDefault="00152CFD" w:rsidP="00F06C0F">
            <w:pPr>
              <w:pStyle w:val="HTMLPreformatted"/>
              <w:spacing w:line="276" w:lineRule="auto"/>
              <w:rPr>
                <w:rFonts w:ascii="Times New Roman" w:hAnsi="Times New Roman"/>
                <w:sz w:val="24"/>
              </w:rPr>
            </w:pPr>
            <w:r>
              <w:rPr>
                <w:rFonts w:ascii="Times New Roman" w:hAnsi="Times New Roman"/>
                <w:sz w:val="24"/>
              </w:rPr>
              <w:t>Case No. 12-3062-EL-RDR</w:t>
            </w:r>
          </w:p>
          <w:p w14:paraId="0AD0FDDB" w14:textId="77777777" w:rsidR="00152CFD" w:rsidRDefault="00152CFD" w:rsidP="00F06C0F">
            <w:pPr>
              <w:pStyle w:val="HTMLPreformatted"/>
              <w:spacing w:line="276" w:lineRule="auto"/>
              <w:rPr>
                <w:rFonts w:ascii="Times New Roman" w:hAnsi="Times New Roman"/>
                <w:sz w:val="24"/>
              </w:rPr>
            </w:pPr>
          </w:p>
          <w:p w14:paraId="0EA781BF" w14:textId="77777777" w:rsidR="00152CFD" w:rsidRDefault="00152CFD" w:rsidP="00F06C0F">
            <w:pPr>
              <w:pStyle w:val="HTMLPreformatted"/>
              <w:spacing w:line="276" w:lineRule="auto"/>
              <w:rPr>
                <w:rFonts w:ascii="Times New Roman" w:hAnsi="Times New Roman"/>
                <w:sz w:val="24"/>
              </w:rPr>
            </w:pPr>
          </w:p>
          <w:p w14:paraId="4B2935EC" w14:textId="77777777" w:rsidR="00152CFD" w:rsidRDefault="00152CFD" w:rsidP="00F06C0F">
            <w:pPr>
              <w:pStyle w:val="HTMLPreformatted"/>
              <w:spacing w:line="276" w:lineRule="auto"/>
              <w:rPr>
                <w:rFonts w:ascii="Times New Roman" w:hAnsi="Times New Roman"/>
                <w:sz w:val="24"/>
              </w:rPr>
            </w:pPr>
          </w:p>
          <w:p w14:paraId="07067C83" w14:textId="77777777" w:rsidR="00152CFD" w:rsidRDefault="00152CFD" w:rsidP="00F06C0F">
            <w:pPr>
              <w:pStyle w:val="HTMLPreformatted"/>
              <w:spacing w:line="276" w:lineRule="auto"/>
              <w:rPr>
                <w:rFonts w:ascii="Times New Roman" w:hAnsi="Times New Roman"/>
                <w:sz w:val="24"/>
              </w:rPr>
            </w:pPr>
            <w:r>
              <w:rPr>
                <w:rFonts w:ascii="Times New Roman" w:hAnsi="Times New Roman"/>
                <w:sz w:val="24"/>
              </w:rPr>
              <w:t>Case No. 12-3266-EL-AAM</w:t>
            </w:r>
          </w:p>
        </w:tc>
      </w:tr>
    </w:tbl>
    <w:p w14:paraId="130A069F" w14:textId="77777777" w:rsidR="00152CFD" w:rsidRDefault="00152CFD" w:rsidP="00152CFD">
      <w:pPr>
        <w:pStyle w:val="HTMLPreformatted"/>
        <w:pBdr>
          <w:bottom w:val="single" w:sz="12" w:space="1" w:color="auto"/>
        </w:pBdr>
        <w:rPr>
          <w:rFonts w:ascii="Times New Roman" w:hAnsi="Times New Roman"/>
          <w:sz w:val="24"/>
        </w:rPr>
      </w:pPr>
    </w:p>
    <w:p w14:paraId="02ACAC2D" w14:textId="77777777" w:rsidR="00152CFD" w:rsidRDefault="00152CFD" w:rsidP="00152CFD">
      <w:pPr>
        <w:pStyle w:val="BodyTextIndent3"/>
        <w:widowControl w:val="0"/>
        <w:spacing w:line="240" w:lineRule="auto"/>
        <w:ind w:right="-29" w:firstLine="0"/>
      </w:pPr>
    </w:p>
    <w:p w14:paraId="3555E67B" w14:textId="77777777" w:rsidR="00152CFD" w:rsidRDefault="00152CFD" w:rsidP="00152CFD">
      <w:pPr>
        <w:pStyle w:val="BodyTextIndent3"/>
        <w:widowControl w:val="0"/>
        <w:spacing w:line="240" w:lineRule="auto"/>
        <w:ind w:right="-29" w:firstLine="0"/>
        <w:jc w:val="center"/>
        <w:rPr>
          <w:b/>
        </w:rPr>
      </w:pPr>
      <w:r>
        <w:rPr>
          <w:b/>
        </w:rPr>
        <w:t>COMMENTS</w:t>
      </w:r>
    </w:p>
    <w:p w14:paraId="3B77D600" w14:textId="77777777" w:rsidR="00F06C0F" w:rsidRDefault="00F06C0F" w:rsidP="00152CFD">
      <w:pPr>
        <w:pStyle w:val="BodyTextIndent3"/>
        <w:widowControl w:val="0"/>
        <w:spacing w:line="240" w:lineRule="auto"/>
        <w:ind w:right="-29" w:firstLine="0"/>
        <w:jc w:val="center"/>
        <w:rPr>
          <w:b/>
        </w:rPr>
      </w:pPr>
      <w:r>
        <w:rPr>
          <w:b/>
        </w:rPr>
        <w:t>BY</w:t>
      </w:r>
    </w:p>
    <w:p w14:paraId="7F599C42" w14:textId="77777777" w:rsidR="00F06C0F" w:rsidRDefault="00F06C0F" w:rsidP="00152CFD">
      <w:pPr>
        <w:pStyle w:val="BodyTextIndent3"/>
        <w:widowControl w:val="0"/>
        <w:spacing w:line="240" w:lineRule="auto"/>
        <w:ind w:right="-29" w:firstLine="0"/>
        <w:jc w:val="center"/>
        <w:rPr>
          <w:b/>
        </w:rPr>
      </w:pPr>
      <w:r>
        <w:rPr>
          <w:b/>
        </w:rPr>
        <w:t>THE OFFICE OF THE OHIO CONSUMERS’ COUNSEL</w:t>
      </w:r>
    </w:p>
    <w:p w14:paraId="2BCC7D26" w14:textId="77777777" w:rsidR="00152CFD" w:rsidRDefault="00152CFD" w:rsidP="00152CFD">
      <w:pPr>
        <w:pStyle w:val="BodyTextIndent3"/>
        <w:widowControl w:val="0"/>
        <w:pBdr>
          <w:bottom w:val="single" w:sz="12" w:space="1" w:color="auto"/>
        </w:pBdr>
        <w:spacing w:line="240" w:lineRule="auto"/>
        <w:ind w:right="-29" w:firstLine="0"/>
      </w:pPr>
    </w:p>
    <w:p w14:paraId="5EE9E74E" w14:textId="77777777" w:rsidR="00152CFD" w:rsidRDefault="00152CFD" w:rsidP="00152CFD">
      <w:pPr>
        <w:pStyle w:val="BodyTextIndent3"/>
        <w:widowControl w:val="0"/>
        <w:spacing w:line="240" w:lineRule="auto"/>
        <w:ind w:right="-29" w:firstLine="0"/>
      </w:pPr>
    </w:p>
    <w:p w14:paraId="4E5B86A2" w14:textId="77777777" w:rsidR="00152CFD" w:rsidRDefault="00152CFD" w:rsidP="00152CFD">
      <w:pPr>
        <w:pStyle w:val="BodyTextIndent3"/>
        <w:widowControl w:val="0"/>
        <w:spacing w:line="240" w:lineRule="auto"/>
        <w:ind w:right="-29" w:firstLine="0"/>
      </w:pPr>
    </w:p>
    <w:p w14:paraId="2848D2E3" w14:textId="77777777" w:rsidR="00152CFD" w:rsidRDefault="00152CFD" w:rsidP="00152CFD">
      <w:pPr>
        <w:pStyle w:val="BodyTextIndent3"/>
        <w:widowControl w:val="0"/>
        <w:spacing w:line="240" w:lineRule="auto"/>
        <w:ind w:right="-29" w:firstLine="0"/>
      </w:pPr>
    </w:p>
    <w:p w14:paraId="0CCF26BC" w14:textId="77777777" w:rsidR="00152CFD" w:rsidRPr="00D161AC" w:rsidRDefault="00152CFD" w:rsidP="00152CFD">
      <w:pPr>
        <w:tabs>
          <w:tab w:val="left" w:pos="4230"/>
        </w:tabs>
        <w:autoSpaceDE w:val="0"/>
        <w:autoSpaceDN w:val="0"/>
        <w:adjustRightInd w:val="0"/>
        <w:spacing w:after="0" w:line="240" w:lineRule="auto"/>
        <w:ind w:left="4410"/>
        <w:rPr>
          <w:rFonts w:ascii="Times New Roman" w:eastAsia="Times New Roman" w:hAnsi="Times New Roman" w:cs="Times New Roman"/>
          <w:sz w:val="24"/>
          <w:szCs w:val="24"/>
        </w:rPr>
      </w:pPr>
    </w:p>
    <w:p w14:paraId="020DACBA" w14:textId="77777777" w:rsidR="00152CFD" w:rsidRPr="00D161AC" w:rsidRDefault="00152CFD" w:rsidP="00152CFD">
      <w:pPr>
        <w:tabs>
          <w:tab w:val="left" w:pos="4230"/>
        </w:tabs>
        <w:autoSpaceDE w:val="0"/>
        <w:autoSpaceDN w:val="0"/>
        <w:adjustRightInd w:val="0"/>
        <w:spacing w:after="0" w:line="240" w:lineRule="auto"/>
        <w:ind w:left="4410"/>
        <w:rPr>
          <w:rFonts w:ascii="Times New Roman" w:eastAsia="Times New Roman" w:hAnsi="Times New Roman" w:cs="Times New Roman"/>
          <w:sz w:val="24"/>
          <w:szCs w:val="24"/>
        </w:rPr>
      </w:pPr>
      <w:r w:rsidRPr="00D161AC">
        <w:rPr>
          <w:rFonts w:ascii="Times New Roman" w:eastAsia="Times New Roman" w:hAnsi="Times New Roman" w:cs="Times New Roman"/>
          <w:sz w:val="24"/>
          <w:szCs w:val="24"/>
        </w:rPr>
        <w:t>BRUCE J. WESTON</w:t>
      </w:r>
    </w:p>
    <w:p w14:paraId="61A81869" w14:textId="7BC2D24B" w:rsidR="00152CFD" w:rsidRPr="00D161AC" w:rsidRDefault="00152CFD" w:rsidP="00152CFD">
      <w:pPr>
        <w:tabs>
          <w:tab w:val="left" w:pos="4230"/>
        </w:tabs>
        <w:autoSpaceDE w:val="0"/>
        <w:autoSpaceDN w:val="0"/>
        <w:adjustRightInd w:val="0"/>
        <w:spacing w:after="0" w:line="240" w:lineRule="auto"/>
        <w:ind w:left="4410"/>
        <w:rPr>
          <w:rFonts w:ascii="Times New Roman" w:eastAsia="Times New Roman" w:hAnsi="Times New Roman" w:cs="Times New Roman"/>
          <w:sz w:val="24"/>
          <w:szCs w:val="24"/>
        </w:rPr>
      </w:pPr>
      <w:r w:rsidRPr="00D161AC">
        <w:rPr>
          <w:rFonts w:ascii="Times New Roman" w:eastAsia="Times New Roman" w:hAnsi="Times New Roman" w:cs="Times New Roman"/>
          <w:sz w:val="24"/>
          <w:szCs w:val="24"/>
        </w:rPr>
        <w:t>OHIO CONSUM</w:t>
      </w:r>
      <w:r w:rsidR="008079C4">
        <w:rPr>
          <w:rFonts w:ascii="Times New Roman" w:eastAsia="Times New Roman" w:hAnsi="Times New Roman" w:cs="Times New Roman"/>
          <w:sz w:val="24"/>
          <w:szCs w:val="24"/>
        </w:rPr>
        <w:t>E</w:t>
      </w:r>
      <w:r w:rsidRPr="00D161AC">
        <w:rPr>
          <w:rFonts w:ascii="Times New Roman" w:eastAsia="Times New Roman" w:hAnsi="Times New Roman" w:cs="Times New Roman"/>
          <w:sz w:val="24"/>
          <w:szCs w:val="24"/>
        </w:rPr>
        <w:t>RS’ COUNSEL</w:t>
      </w:r>
    </w:p>
    <w:p w14:paraId="08BD60DF" w14:textId="77777777" w:rsidR="00152CFD" w:rsidRPr="00D161AC" w:rsidRDefault="00152CFD" w:rsidP="00152CFD">
      <w:pPr>
        <w:tabs>
          <w:tab w:val="left" w:pos="4230"/>
        </w:tabs>
        <w:autoSpaceDE w:val="0"/>
        <w:autoSpaceDN w:val="0"/>
        <w:adjustRightInd w:val="0"/>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152CFD" w:rsidRPr="00D161AC" w14:paraId="4C865C1B" w14:textId="77777777" w:rsidTr="00F06C0F">
        <w:tc>
          <w:tcPr>
            <w:tcW w:w="4428" w:type="dxa"/>
            <w:tcBorders>
              <w:top w:val="nil"/>
              <w:left w:val="nil"/>
              <w:bottom w:val="nil"/>
              <w:right w:val="nil"/>
            </w:tcBorders>
            <w:shd w:val="clear" w:color="auto" w:fill="auto"/>
          </w:tcPr>
          <w:p w14:paraId="643A04A1" w14:textId="77777777" w:rsidR="00152CFD" w:rsidRPr="00D161AC" w:rsidRDefault="00152CFD" w:rsidP="00F06C0F">
            <w:pPr>
              <w:tabs>
                <w:tab w:val="left" w:pos="4230"/>
              </w:tabs>
              <w:autoSpaceDE w:val="0"/>
              <w:autoSpaceDN w:val="0"/>
              <w:adjustRightInd w:val="0"/>
              <w:spacing w:after="0" w:line="240" w:lineRule="auto"/>
              <w:rPr>
                <w:rFonts w:ascii="Times New Roman" w:eastAsia="Times New Roman" w:hAnsi="Times New Roman" w:cs="Times New Roman"/>
                <w:sz w:val="24"/>
                <w:szCs w:val="24"/>
              </w:rPr>
            </w:pPr>
          </w:p>
        </w:tc>
        <w:tc>
          <w:tcPr>
            <w:tcW w:w="4428" w:type="dxa"/>
            <w:tcBorders>
              <w:top w:val="nil"/>
              <w:left w:val="nil"/>
              <w:bottom w:val="nil"/>
              <w:right w:val="nil"/>
            </w:tcBorders>
            <w:shd w:val="clear" w:color="auto" w:fill="auto"/>
          </w:tcPr>
          <w:p w14:paraId="20D0887B" w14:textId="77777777" w:rsidR="00152CFD" w:rsidRPr="00D161AC" w:rsidRDefault="00152CFD" w:rsidP="00F06C0F">
            <w:pPr>
              <w:tabs>
                <w:tab w:val="left" w:pos="4230"/>
              </w:tabs>
              <w:autoSpaceDE w:val="0"/>
              <w:autoSpaceDN w:val="0"/>
              <w:adjustRightInd w:val="0"/>
              <w:spacing w:after="0" w:line="240" w:lineRule="auto"/>
              <w:rPr>
                <w:rFonts w:ascii="Times New Roman" w:eastAsia="Times New Roman" w:hAnsi="Times New Roman" w:cs="Times New Roman"/>
                <w:sz w:val="24"/>
                <w:szCs w:val="24"/>
              </w:rPr>
            </w:pPr>
            <w:r w:rsidRPr="00D161AC">
              <w:rPr>
                <w:rFonts w:ascii="Times New Roman" w:eastAsia="Times New Roman" w:hAnsi="Times New Roman" w:cs="Times New Roman"/>
                <w:sz w:val="24"/>
                <w:szCs w:val="24"/>
              </w:rPr>
              <w:t>Melissa R. Yost, Counsel of Record</w:t>
            </w:r>
          </w:p>
          <w:p w14:paraId="7B10910D" w14:textId="77777777" w:rsidR="00152CFD" w:rsidRPr="00D161AC" w:rsidRDefault="00152CFD" w:rsidP="00F06C0F">
            <w:pPr>
              <w:tabs>
                <w:tab w:val="left" w:pos="4230"/>
              </w:tabs>
              <w:autoSpaceDE w:val="0"/>
              <w:autoSpaceDN w:val="0"/>
              <w:adjustRightInd w:val="0"/>
              <w:spacing w:after="0" w:line="240" w:lineRule="auto"/>
              <w:rPr>
                <w:rFonts w:ascii="Times New Roman" w:eastAsia="Times New Roman" w:hAnsi="Times New Roman" w:cs="Times New Roman"/>
                <w:sz w:val="24"/>
                <w:szCs w:val="24"/>
              </w:rPr>
            </w:pPr>
            <w:r w:rsidRPr="00D161AC">
              <w:rPr>
                <w:rFonts w:ascii="Times New Roman" w:eastAsia="Times New Roman" w:hAnsi="Times New Roman" w:cs="Times New Roman"/>
                <w:sz w:val="24"/>
                <w:szCs w:val="24"/>
              </w:rPr>
              <w:t>Deputy Consumers’ Counsel</w:t>
            </w:r>
          </w:p>
          <w:p w14:paraId="45998CAB" w14:textId="77777777" w:rsidR="00152CFD" w:rsidRPr="00D161AC" w:rsidRDefault="00152CFD" w:rsidP="00F06C0F">
            <w:pPr>
              <w:tabs>
                <w:tab w:val="left" w:pos="4230"/>
              </w:tabs>
              <w:autoSpaceDE w:val="0"/>
              <w:autoSpaceDN w:val="0"/>
              <w:adjustRightInd w:val="0"/>
              <w:spacing w:after="0" w:line="240" w:lineRule="auto"/>
              <w:rPr>
                <w:rFonts w:ascii="Times New Roman" w:eastAsia="Times New Roman" w:hAnsi="Times New Roman" w:cs="Times New Roman"/>
                <w:sz w:val="24"/>
                <w:szCs w:val="24"/>
              </w:rPr>
            </w:pPr>
            <w:r w:rsidRPr="00D161AC">
              <w:rPr>
                <w:rFonts w:ascii="Times New Roman" w:eastAsia="Times New Roman" w:hAnsi="Times New Roman" w:cs="Times New Roman"/>
                <w:sz w:val="24"/>
                <w:szCs w:val="24"/>
              </w:rPr>
              <w:t>Larry S. Sauer</w:t>
            </w:r>
          </w:p>
          <w:p w14:paraId="2EB65A28" w14:textId="77777777" w:rsidR="00152CFD" w:rsidRPr="00D161AC" w:rsidRDefault="00152CFD" w:rsidP="00F06C0F">
            <w:pPr>
              <w:tabs>
                <w:tab w:val="left" w:pos="4230"/>
              </w:tabs>
              <w:autoSpaceDE w:val="0"/>
              <w:autoSpaceDN w:val="0"/>
              <w:adjustRightInd w:val="0"/>
              <w:spacing w:after="0" w:line="240" w:lineRule="auto"/>
              <w:rPr>
                <w:rFonts w:ascii="Times New Roman" w:eastAsia="Times New Roman" w:hAnsi="Times New Roman" w:cs="Times New Roman"/>
                <w:sz w:val="24"/>
                <w:szCs w:val="24"/>
              </w:rPr>
            </w:pPr>
            <w:r w:rsidRPr="00D161AC">
              <w:rPr>
                <w:rFonts w:ascii="Times New Roman" w:eastAsia="Times New Roman" w:hAnsi="Times New Roman" w:cs="Times New Roman"/>
                <w:sz w:val="24"/>
                <w:szCs w:val="24"/>
              </w:rPr>
              <w:t>Michael J. Schuler</w:t>
            </w:r>
          </w:p>
          <w:p w14:paraId="24AD88CC" w14:textId="77777777" w:rsidR="00152CFD" w:rsidRPr="00D161AC" w:rsidRDefault="00152CFD" w:rsidP="00F06C0F">
            <w:pPr>
              <w:tabs>
                <w:tab w:val="left" w:pos="4230"/>
              </w:tabs>
              <w:autoSpaceDE w:val="0"/>
              <w:autoSpaceDN w:val="0"/>
              <w:adjustRightInd w:val="0"/>
              <w:spacing w:after="0" w:line="240" w:lineRule="auto"/>
              <w:rPr>
                <w:rFonts w:ascii="Times New Roman" w:eastAsia="Times New Roman" w:hAnsi="Times New Roman" w:cs="Times New Roman"/>
                <w:sz w:val="24"/>
                <w:szCs w:val="24"/>
              </w:rPr>
            </w:pPr>
            <w:r w:rsidRPr="00D161AC">
              <w:rPr>
                <w:rFonts w:ascii="Times New Roman" w:eastAsia="Times New Roman" w:hAnsi="Times New Roman" w:cs="Times New Roman"/>
                <w:sz w:val="24"/>
                <w:szCs w:val="24"/>
              </w:rPr>
              <w:t>Assistant Consumers’ Counsel</w:t>
            </w:r>
          </w:p>
          <w:p w14:paraId="3065D2E7" w14:textId="77777777" w:rsidR="00152CFD" w:rsidRPr="00D161AC" w:rsidRDefault="00152CFD" w:rsidP="00F06C0F">
            <w:pPr>
              <w:tabs>
                <w:tab w:val="left" w:pos="4230"/>
              </w:tabs>
              <w:autoSpaceDE w:val="0"/>
              <w:autoSpaceDN w:val="0"/>
              <w:adjustRightInd w:val="0"/>
              <w:spacing w:after="0" w:line="240" w:lineRule="auto"/>
              <w:rPr>
                <w:rFonts w:ascii="Times New Roman" w:eastAsia="Times New Roman" w:hAnsi="Times New Roman" w:cs="Times New Roman"/>
                <w:sz w:val="24"/>
                <w:szCs w:val="24"/>
              </w:rPr>
            </w:pPr>
          </w:p>
          <w:p w14:paraId="4D58A4C2" w14:textId="77777777" w:rsidR="00152CFD" w:rsidRPr="00D161AC" w:rsidRDefault="00152CFD" w:rsidP="00F06C0F">
            <w:pPr>
              <w:tabs>
                <w:tab w:val="left" w:pos="4230"/>
              </w:tabs>
              <w:autoSpaceDE w:val="0"/>
              <w:autoSpaceDN w:val="0"/>
              <w:adjustRightInd w:val="0"/>
              <w:spacing w:after="0" w:line="240" w:lineRule="auto"/>
              <w:rPr>
                <w:rFonts w:ascii="Times New Roman" w:eastAsia="Times New Roman" w:hAnsi="Times New Roman" w:cs="Times New Roman"/>
                <w:b/>
                <w:sz w:val="24"/>
                <w:szCs w:val="24"/>
              </w:rPr>
            </w:pPr>
            <w:r w:rsidRPr="00D161AC">
              <w:rPr>
                <w:rFonts w:ascii="Times New Roman" w:eastAsia="Times New Roman" w:hAnsi="Times New Roman" w:cs="Times New Roman"/>
                <w:b/>
                <w:sz w:val="24"/>
                <w:szCs w:val="24"/>
              </w:rPr>
              <w:t>Office of the Ohio Consumers’ Counsel</w:t>
            </w:r>
          </w:p>
          <w:p w14:paraId="5CB59332" w14:textId="77777777" w:rsidR="00152CFD" w:rsidRPr="00D161AC" w:rsidRDefault="00152CFD" w:rsidP="00F06C0F">
            <w:pPr>
              <w:tabs>
                <w:tab w:val="left" w:pos="4230"/>
              </w:tabs>
              <w:autoSpaceDE w:val="0"/>
              <w:autoSpaceDN w:val="0"/>
              <w:adjustRightInd w:val="0"/>
              <w:spacing w:after="0" w:line="240" w:lineRule="auto"/>
              <w:rPr>
                <w:rFonts w:ascii="Times New Roman" w:eastAsia="Times New Roman" w:hAnsi="Times New Roman" w:cs="Times New Roman"/>
                <w:sz w:val="24"/>
                <w:szCs w:val="24"/>
              </w:rPr>
            </w:pPr>
            <w:r w:rsidRPr="00D161AC">
              <w:rPr>
                <w:rFonts w:ascii="Times New Roman" w:eastAsia="Times New Roman" w:hAnsi="Times New Roman" w:cs="Times New Roman"/>
                <w:sz w:val="24"/>
                <w:szCs w:val="24"/>
              </w:rPr>
              <w:t>10 West Broad Street, Suite 1800</w:t>
            </w:r>
          </w:p>
          <w:p w14:paraId="3CDCD482" w14:textId="77777777" w:rsidR="00152CFD" w:rsidRPr="00D161AC" w:rsidRDefault="00152CFD" w:rsidP="00F06C0F">
            <w:pPr>
              <w:tabs>
                <w:tab w:val="left" w:pos="4230"/>
              </w:tabs>
              <w:autoSpaceDE w:val="0"/>
              <w:autoSpaceDN w:val="0"/>
              <w:adjustRightInd w:val="0"/>
              <w:spacing w:after="0" w:line="240" w:lineRule="auto"/>
              <w:rPr>
                <w:rFonts w:ascii="Times New Roman" w:eastAsia="Times New Roman" w:hAnsi="Times New Roman" w:cs="Times New Roman"/>
                <w:sz w:val="24"/>
                <w:szCs w:val="24"/>
              </w:rPr>
            </w:pPr>
            <w:r w:rsidRPr="00D161AC">
              <w:rPr>
                <w:rFonts w:ascii="Times New Roman" w:eastAsia="Times New Roman" w:hAnsi="Times New Roman" w:cs="Times New Roman"/>
                <w:sz w:val="24"/>
                <w:szCs w:val="24"/>
              </w:rPr>
              <w:t>Columbus, Ohio 43215</w:t>
            </w:r>
          </w:p>
          <w:p w14:paraId="7ED155EA" w14:textId="77777777" w:rsidR="00152CFD" w:rsidRPr="00D161AC" w:rsidRDefault="00152CFD" w:rsidP="00F06C0F">
            <w:pPr>
              <w:tabs>
                <w:tab w:val="left" w:pos="4230"/>
              </w:tabs>
              <w:autoSpaceDE w:val="0"/>
              <w:autoSpaceDN w:val="0"/>
              <w:adjustRightInd w:val="0"/>
              <w:spacing w:after="0" w:line="240" w:lineRule="auto"/>
              <w:rPr>
                <w:rFonts w:ascii="Times New Roman" w:eastAsia="Times New Roman" w:hAnsi="Times New Roman" w:cs="Times New Roman"/>
                <w:sz w:val="24"/>
                <w:szCs w:val="24"/>
              </w:rPr>
            </w:pPr>
            <w:r w:rsidRPr="00D161AC">
              <w:rPr>
                <w:rFonts w:ascii="Times New Roman" w:eastAsia="Times New Roman" w:hAnsi="Times New Roman" w:cs="Times New Roman"/>
                <w:sz w:val="24"/>
                <w:szCs w:val="24"/>
              </w:rPr>
              <w:t>(614) 466-1291 (Telephone-Yost)</w:t>
            </w:r>
          </w:p>
          <w:p w14:paraId="3FD9F848" w14:textId="77777777" w:rsidR="00152CFD" w:rsidRPr="00D161AC" w:rsidRDefault="00152CFD" w:rsidP="00F06C0F">
            <w:pPr>
              <w:tabs>
                <w:tab w:val="left" w:pos="4230"/>
              </w:tabs>
              <w:autoSpaceDE w:val="0"/>
              <w:autoSpaceDN w:val="0"/>
              <w:adjustRightInd w:val="0"/>
              <w:spacing w:after="0" w:line="240" w:lineRule="auto"/>
              <w:rPr>
                <w:rFonts w:ascii="Times New Roman" w:eastAsia="Times New Roman" w:hAnsi="Times New Roman" w:cs="Times New Roman"/>
                <w:sz w:val="24"/>
                <w:szCs w:val="24"/>
              </w:rPr>
            </w:pPr>
            <w:r w:rsidRPr="00D161AC">
              <w:rPr>
                <w:rFonts w:ascii="Times New Roman" w:eastAsia="Times New Roman" w:hAnsi="Times New Roman" w:cs="Times New Roman"/>
                <w:sz w:val="24"/>
                <w:szCs w:val="24"/>
              </w:rPr>
              <w:t>(614) 466-1312 (Telephone-Sauer)</w:t>
            </w:r>
          </w:p>
          <w:p w14:paraId="2816A8D1" w14:textId="77777777" w:rsidR="00152CFD" w:rsidRPr="00D161AC" w:rsidRDefault="00152CFD" w:rsidP="00F06C0F">
            <w:pPr>
              <w:tabs>
                <w:tab w:val="left" w:pos="4230"/>
              </w:tabs>
              <w:autoSpaceDE w:val="0"/>
              <w:autoSpaceDN w:val="0"/>
              <w:adjustRightInd w:val="0"/>
              <w:spacing w:after="0" w:line="240" w:lineRule="auto"/>
              <w:rPr>
                <w:rFonts w:ascii="Times New Roman" w:eastAsia="Times New Roman" w:hAnsi="Times New Roman" w:cs="Times New Roman"/>
                <w:sz w:val="24"/>
                <w:szCs w:val="24"/>
              </w:rPr>
            </w:pPr>
            <w:r w:rsidRPr="00D161AC">
              <w:rPr>
                <w:rFonts w:ascii="Times New Roman" w:eastAsia="Times New Roman" w:hAnsi="Times New Roman" w:cs="Times New Roman"/>
                <w:sz w:val="24"/>
                <w:szCs w:val="24"/>
              </w:rPr>
              <w:t>(614) 466-9547 (Telephone-Schuler)</w:t>
            </w:r>
          </w:p>
          <w:p w14:paraId="0857186B" w14:textId="77777777" w:rsidR="00152CFD" w:rsidRPr="00D161AC" w:rsidRDefault="00152CFD" w:rsidP="00F06C0F">
            <w:pPr>
              <w:tabs>
                <w:tab w:val="left" w:pos="4230"/>
              </w:tabs>
              <w:autoSpaceDE w:val="0"/>
              <w:autoSpaceDN w:val="0"/>
              <w:adjustRightInd w:val="0"/>
              <w:spacing w:after="0" w:line="240" w:lineRule="auto"/>
              <w:rPr>
                <w:rFonts w:ascii="Times New Roman" w:eastAsia="Times New Roman" w:hAnsi="Times New Roman" w:cs="Times New Roman"/>
                <w:sz w:val="24"/>
                <w:szCs w:val="24"/>
              </w:rPr>
            </w:pPr>
            <w:r w:rsidRPr="00D161AC">
              <w:rPr>
                <w:rFonts w:ascii="Times New Roman" w:eastAsia="Times New Roman" w:hAnsi="Times New Roman" w:cs="Times New Roman"/>
                <w:sz w:val="24"/>
                <w:szCs w:val="24"/>
              </w:rPr>
              <w:t>(614</w:t>
            </w:r>
            <w:r w:rsidR="004C1881">
              <w:rPr>
                <w:rFonts w:ascii="Times New Roman" w:eastAsia="Times New Roman" w:hAnsi="Times New Roman" w:cs="Times New Roman"/>
                <w:sz w:val="24"/>
                <w:szCs w:val="24"/>
              </w:rPr>
              <w:t>)</w:t>
            </w:r>
            <w:r w:rsidRPr="00D161AC">
              <w:rPr>
                <w:rFonts w:ascii="Times New Roman" w:eastAsia="Times New Roman" w:hAnsi="Times New Roman" w:cs="Times New Roman"/>
                <w:sz w:val="24"/>
                <w:szCs w:val="24"/>
              </w:rPr>
              <w:t xml:space="preserve"> 466-9475 (Fax)</w:t>
            </w:r>
          </w:p>
          <w:p w14:paraId="10508715" w14:textId="77777777" w:rsidR="00152CFD" w:rsidRPr="00D161AC" w:rsidRDefault="00152CFD" w:rsidP="00F06C0F">
            <w:pPr>
              <w:tabs>
                <w:tab w:val="left" w:pos="4230"/>
              </w:tabs>
              <w:autoSpaceDE w:val="0"/>
              <w:autoSpaceDN w:val="0"/>
              <w:adjustRightInd w:val="0"/>
              <w:spacing w:after="0" w:line="240" w:lineRule="auto"/>
              <w:rPr>
                <w:rFonts w:ascii="Times New Roman" w:eastAsia="Times New Roman" w:hAnsi="Times New Roman" w:cs="Times New Roman"/>
                <w:sz w:val="24"/>
                <w:szCs w:val="24"/>
              </w:rPr>
            </w:pPr>
            <w:r w:rsidRPr="00D161AC">
              <w:rPr>
                <w:rFonts w:ascii="Times New Roman" w:eastAsia="Times New Roman" w:hAnsi="Times New Roman" w:cs="Times New Roman"/>
                <w:sz w:val="24"/>
                <w:szCs w:val="24"/>
              </w:rPr>
              <w:t>yost@occ.state.oh.us</w:t>
            </w:r>
          </w:p>
          <w:p w14:paraId="7C5AEBAB" w14:textId="77777777" w:rsidR="00152CFD" w:rsidRPr="00D161AC" w:rsidRDefault="00152CFD" w:rsidP="00F06C0F">
            <w:pPr>
              <w:tabs>
                <w:tab w:val="left" w:pos="4230"/>
              </w:tabs>
              <w:autoSpaceDE w:val="0"/>
              <w:autoSpaceDN w:val="0"/>
              <w:adjustRightInd w:val="0"/>
              <w:spacing w:after="0" w:line="240" w:lineRule="auto"/>
              <w:rPr>
                <w:rFonts w:ascii="Times New Roman" w:eastAsia="Times New Roman" w:hAnsi="Times New Roman" w:cs="Times New Roman"/>
                <w:sz w:val="24"/>
                <w:szCs w:val="24"/>
              </w:rPr>
            </w:pPr>
            <w:r w:rsidRPr="00D161AC">
              <w:rPr>
                <w:rFonts w:ascii="Times New Roman" w:eastAsia="Times New Roman" w:hAnsi="Times New Roman" w:cs="Times New Roman"/>
                <w:sz w:val="24"/>
                <w:szCs w:val="24"/>
              </w:rPr>
              <w:t>sauer@occ.state.oh.us</w:t>
            </w:r>
          </w:p>
          <w:p w14:paraId="4710046B" w14:textId="77777777" w:rsidR="00152CFD" w:rsidRPr="00D161AC" w:rsidRDefault="00152CFD" w:rsidP="00F06C0F">
            <w:pPr>
              <w:tabs>
                <w:tab w:val="left" w:pos="4230"/>
              </w:tabs>
              <w:autoSpaceDE w:val="0"/>
              <w:autoSpaceDN w:val="0"/>
              <w:adjustRightInd w:val="0"/>
              <w:spacing w:after="0" w:line="240" w:lineRule="auto"/>
              <w:rPr>
                <w:rFonts w:ascii="Times New Roman" w:eastAsia="Times New Roman" w:hAnsi="Times New Roman" w:cs="Times New Roman"/>
                <w:sz w:val="24"/>
                <w:szCs w:val="24"/>
              </w:rPr>
            </w:pPr>
            <w:r w:rsidRPr="00D161AC">
              <w:rPr>
                <w:rFonts w:ascii="Times New Roman" w:eastAsia="Times New Roman" w:hAnsi="Times New Roman" w:cs="Times New Roman"/>
                <w:sz w:val="24"/>
                <w:szCs w:val="24"/>
              </w:rPr>
              <w:t>schuler@occ.state.oh.us</w:t>
            </w:r>
          </w:p>
        </w:tc>
      </w:tr>
    </w:tbl>
    <w:p w14:paraId="59884C7A" w14:textId="77777777" w:rsidR="00152CFD" w:rsidRDefault="00152CFD" w:rsidP="00152CFD">
      <w:pPr>
        <w:pStyle w:val="BodyTextIndent3"/>
        <w:widowControl w:val="0"/>
        <w:spacing w:line="240" w:lineRule="auto"/>
        <w:ind w:right="-29" w:firstLine="0"/>
      </w:pPr>
    </w:p>
    <w:p w14:paraId="5CEAC7E6" w14:textId="77777777" w:rsidR="00152CFD" w:rsidRPr="00F44F7D" w:rsidRDefault="00F44F7D" w:rsidP="00152CFD">
      <w:pPr>
        <w:pStyle w:val="BodyTextIndent3"/>
        <w:widowControl w:val="0"/>
        <w:spacing w:line="240" w:lineRule="auto"/>
        <w:ind w:right="-29" w:firstLine="0"/>
        <w:rPr>
          <w:b/>
        </w:rPr>
      </w:pPr>
      <w:r w:rsidRPr="00F44F7D">
        <w:rPr>
          <w:b/>
        </w:rPr>
        <w:t>June 17, 2013</w:t>
      </w:r>
    </w:p>
    <w:p w14:paraId="3603ABC1" w14:textId="77777777" w:rsidR="00152CFD" w:rsidRDefault="00152CFD" w:rsidP="00152CFD">
      <w:pPr>
        <w:pStyle w:val="BodyTextIndent3"/>
        <w:widowControl w:val="0"/>
        <w:spacing w:line="240" w:lineRule="auto"/>
        <w:ind w:right="-29" w:firstLine="0"/>
      </w:pPr>
    </w:p>
    <w:p w14:paraId="45E0E5DA" w14:textId="77777777" w:rsidR="00B119BD" w:rsidRDefault="00B119BD" w:rsidP="00F04EA9">
      <w:pPr>
        <w:pStyle w:val="HTMLPreformatted"/>
        <w:jc w:val="center"/>
        <w:rPr>
          <w:rFonts w:ascii="Times New Roman" w:hAnsi="Times New Roman"/>
          <w:b/>
          <w:bCs/>
          <w:sz w:val="24"/>
        </w:rPr>
        <w:sectPr w:rsidR="00B119BD" w:rsidSect="008E0E1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p>
    <w:p w14:paraId="5FDEB4C2" w14:textId="77777777" w:rsidR="00B119BD" w:rsidRDefault="00F44F7D" w:rsidP="00F04EA9">
      <w:pPr>
        <w:pStyle w:val="HTMLPreformatted"/>
        <w:jc w:val="center"/>
        <w:rPr>
          <w:rFonts w:ascii="Times New Roman" w:hAnsi="Times New Roman"/>
          <w:b/>
          <w:bCs/>
          <w:sz w:val="24"/>
        </w:rPr>
      </w:pPr>
      <w:r>
        <w:rPr>
          <w:rFonts w:ascii="Times New Roman" w:hAnsi="Times New Roman"/>
          <w:b/>
          <w:bCs/>
          <w:sz w:val="24"/>
        </w:rPr>
        <w:lastRenderedPageBreak/>
        <w:t>TABLE OF CONTENTS</w:t>
      </w:r>
    </w:p>
    <w:p w14:paraId="7DC96B23" w14:textId="77777777" w:rsidR="00F44F7D" w:rsidRPr="00F44F7D" w:rsidRDefault="00F44F7D" w:rsidP="00F44F7D">
      <w:pPr>
        <w:pStyle w:val="HTMLPreformatted"/>
        <w:jc w:val="right"/>
        <w:rPr>
          <w:rFonts w:ascii="Times New Roman" w:hAnsi="Times New Roman"/>
          <w:b/>
          <w:bCs/>
          <w:sz w:val="24"/>
          <w:u w:val="single"/>
        </w:rPr>
      </w:pPr>
      <w:r w:rsidRPr="00F44F7D">
        <w:rPr>
          <w:rFonts w:ascii="Times New Roman" w:hAnsi="Times New Roman"/>
          <w:b/>
          <w:bCs/>
          <w:sz w:val="24"/>
          <w:u w:val="single"/>
        </w:rPr>
        <w:t>Page</w:t>
      </w:r>
    </w:p>
    <w:p w14:paraId="332016CD" w14:textId="77777777" w:rsidR="00F44F7D" w:rsidRPr="00F44F7D" w:rsidRDefault="00F44F7D" w:rsidP="00F44F7D">
      <w:pPr>
        <w:pStyle w:val="HTMLPreformatted"/>
        <w:rPr>
          <w:rFonts w:ascii="Times New Roman" w:hAnsi="Times New Roman"/>
          <w:bCs/>
          <w:sz w:val="24"/>
        </w:rPr>
      </w:pPr>
    </w:p>
    <w:p w14:paraId="1BD753F0" w14:textId="77777777" w:rsidR="002D5ED8" w:rsidRDefault="00F44F7D" w:rsidP="002D5ED8">
      <w:pPr>
        <w:pStyle w:val="TOC1"/>
        <w:ind w:right="720"/>
        <w:rPr>
          <w:rFonts w:asciiTheme="minorHAnsi" w:eastAsiaTheme="minorEastAsia" w:hAnsiTheme="minorHAnsi"/>
          <w:caps w:val="0"/>
          <w:noProof/>
          <w:sz w:val="22"/>
        </w:rPr>
      </w:pPr>
      <w:r>
        <w:rPr>
          <w:bCs/>
        </w:rPr>
        <w:fldChar w:fldCharType="begin"/>
      </w:r>
      <w:r>
        <w:rPr>
          <w:bCs/>
        </w:rPr>
        <w:instrText xml:space="preserve"> TOC \o "1-3" \h \z \u </w:instrText>
      </w:r>
      <w:r>
        <w:rPr>
          <w:bCs/>
        </w:rPr>
        <w:fldChar w:fldCharType="separate"/>
      </w:r>
      <w:hyperlink w:anchor="_Toc359248592" w:history="1">
        <w:r w:rsidR="002D5ED8" w:rsidRPr="00D50AD1">
          <w:rPr>
            <w:rStyle w:val="Hyperlink"/>
            <w:noProof/>
          </w:rPr>
          <w:t>I.</w:t>
        </w:r>
        <w:r w:rsidR="002D5ED8">
          <w:rPr>
            <w:rFonts w:asciiTheme="minorHAnsi" w:eastAsiaTheme="minorEastAsia" w:hAnsiTheme="minorHAnsi"/>
            <w:caps w:val="0"/>
            <w:noProof/>
            <w:sz w:val="22"/>
          </w:rPr>
          <w:tab/>
        </w:r>
        <w:r w:rsidR="002D5ED8" w:rsidRPr="00D50AD1">
          <w:rPr>
            <w:rStyle w:val="Hyperlink"/>
            <w:noProof/>
          </w:rPr>
          <w:t>INTRODUCTION</w:t>
        </w:r>
        <w:r w:rsidR="002D5ED8">
          <w:rPr>
            <w:noProof/>
            <w:webHidden/>
          </w:rPr>
          <w:tab/>
        </w:r>
        <w:r w:rsidR="002D5ED8">
          <w:rPr>
            <w:noProof/>
            <w:webHidden/>
          </w:rPr>
          <w:fldChar w:fldCharType="begin"/>
        </w:r>
        <w:r w:rsidR="002D5ED8">
          <w:rPr>
            <w:noProof/>
            <w:webHidden/>
          </w:rPr>
          <w:instrText xml:space="preserve"> PAGEREF _Toc359248592 \h </w:instrText>
        </w:r>
        <w:r w:rsidR="002D5ED8">
          <w:rPr>
            <w:noProof/>
            <w:webHidden/>
          </w:rPr>
        </w:r>
        <w:r w:rsidR="002D5ED8">
          <w:rPr>
            <w:noProof/>
            <w:webHidden/>
          </w:rPr>
          <w:fldChar w:fldCharType="separate"/>
        </w:r>
        <w:r w:rsidR="00CB0244">
          <w:rPr>
            <w:noProof/>
            <w:webHidden/>
          </w:rPr>
          <w:t>1</w:t>
        </w:r>
        <w:r w:rsidR="002D5ED8">
          <w:rPr>
            <w:noProof/>
            <w:webHidden/>
          </w:rPr>
          <w:fldChar w:fldCharType="end"/>
        </w:r>
      </w:hyperlink>
    </w:p>
    <w:p w14:paraId="2EBBDFD3" w14:textId="77777777" w:rsidR="002D5ED8" w:rsidRDefault="007A61F8" w:rsidP="002D5ED8">
      <w:pPr>
        <w:pStyle w:val="TOC1"/>
        <w:ind w:right="720"/>
        <w:rPr>
          <w:rFonts w:asciiTheme="minorHAnsi" w:eastAsiaTheme="minorEastAsia" w:hAnsiTheme="minorHAnsi"/>
          <w:caps w:val="0"/>
          <w:noProof/>
          <w:sz w:val="22"/>
        </w:rPr>
      </w:pPr>
      <w:hyperlink w:anchor="_Toc359248593" w:history="1">
        <w:r w:rsidR="002D5ED8" w:rsidRPr="00D50AD1">
          <w:rPr>
            <w:rStyle w:val="Hyperlink"/>
            <w:noProof/>
          </w:rPr>
          <w:t>II.</w:t>
        </w:r>
        <w:r w:rsidR="002D5ED8">
          <w:rPr>
            <w:rFonts w:asciiTheme="minorHAnsi" w:eastAsiaTheme="minorEastAsia" w:hAnsiTheme="minorHAnsi"/>
            <w:caps w:val="0"/>
            <w:noProof/>
            <w:sz w:val="22"/>
          </w:rPr>
          <w:tab/>
        </w:r>
        <w:r w:rsidR="002D5ED8" w:rsidRPr="00D50AD1">
          <w:rPr>
            <w:rStyle w:val="Hyperlink"/>
            <w:noProof/>
          </w:rPr>
          <w:t>BURDEN OF PROOF</w:t>
        </w:r>
        <w:r w:rsidR="002D5ED8">
          <w:rPr>
            <w:noProof/>
            <w:webHidden/>
          </w:rPr>
          <w:tab/>
        </w:r>
        <w:r w:rsidR="002D5ED8">
          <w:rPr>
            <w:noProof/>
            <w:webHidden/>
          </w:rPr>
          <w:fldChar w:fldCharType="begin"/>
        </w:r>
        <w:r w:rsidR="002D5ED8">
          <w:rPr>
            <w:noProof/>
            <w:webHidden/>
          </w:rPr>
          <w:instrText xml:space="preserve"> PAGEREF _Toc359248593 \h </w:instrText>
        </w:r>
        <w:r w:rsidR="002D5ED8">
          <w:rPr>
            <w:noProof/>
            <w:webHidden/>
          </w:rPr>
        </w:r>
        <w:r w:rsidR="002D5ED8">
          <w:rPr>
            <w:noProof/>
            <w:webHidden/>
          </w:rPr>
          <w:fldChar w:fldCharType="separate"/>
        </w:r>
        <w:r w:rsidR="00CB0244">
          <w:rPr>
            <w:noProof/>
            <w:webHidden/>
          </w:rPr>
          <w:t>2</w:t>
        </w:r>
        <w:r w:rsidR="002D5ED8">
          <w:rPr>
            <w:noProof/>
            <w:webHidden/>
          </w:rPr>
          <w:fldChar w:fldCharType="end"/>
        </w:r>
      </w:hyperlink>
    </w:p>
    <w:p w14:paraId="78867FFC" w14:textId="77777777" w:rsidR="002D5ED8" w:rsidRDefault="007A61F8" w:rsidP="002D5ED8">
      <w:pPr>
        <w:pStyle w:val="TOC1"/>
        <w:ind w:right="720"/>
        <w:rPr>
          <w:rFonts w:asciiTheme="minorHAnsi" w:eastAsiaTheme="minorEastAsia" w:hAnsiTheme="minorHAnsi"/>
          <w:caps w:val="0"/>
          <w:noProof/>
          <w:sz w:val="22"/>
        </w:rPr>
      </w:pPr>
      <w:hyperlink w:anchor="_Toc359248594" w:history="1">
        <w:r w:rsidR="002D5ED8" w:rsidRPr="00D50AD1">
          <w:rPr>
            <w:rStyle w:val="Hyperlink"/>
            <w:noProof/>
          </w:rPr>
          <w:t>III.</w:t>
        </w:r>
        <w:r w:rsidR="002D5ED8">
          <w:rPr>
            <w:rFonts w:asciiTheme="minorHAnsi" w:eastAsiaTheme="minorEastAsia" w:hAnsiTheme="minorHAnsi"/>
            <w:caps w:val="0"/>
            <w:noProof/>
            <w:sz w:val="22"/>
          </w:rPr>
          <w:tab/>
        </w:r>
        <w:r w:rsidR="002D5ED8" w:rsidRPr="00D50AD1">
          <w:rPr>
            <w:rStyle w:val="Hyperlink"/>
            <w:noProof/>
          </w:rPr>
          <w:t>COMMENTS</w:t>
        </w:r>
        <w:r w:rsidR="002D5ED8">
          <w:rPr>
            <w:noProof/>
            <w:webHidden/>
          </w:rPr>
          <w:tab/>
        </w:r>
        <w:r w:rsidR="002D5ED8">
          <w:rPr>
            <w:noProof/>
            <w:webHidden/>
          </w:rPr>
          <w:fldChar w:fldCharType="begin"/>
        </w:r>
        <w:r w:rsidR="002D5ED8">
          <w:rPr>
            <w:noProof/>
            <w:webHidden/>
          </w:rPr>
          <w:instrText xml:space="preserve"> PAGEREF _Toc359248594 \h </w:instrText>
        </w:r>
        <w:r w:rsidR="002D5ED8">
          <w:rPr>
            <w:noProof/>
            <w:webHidden/>
          </w:rPr>
        </w:r>
        <w:r w:rsidR="002D5ED8">
          <w:rPr>
            <w:noProof/>
            <w:webHidden/>
          </w:rPr>
          <w:fldChar w:fldCharType="separate"/>
        </w:r>
        <w:r w:rsidR="00CB0244">
          <w:rPr>
            <w:noProof/>
            <w:webHidden/>
          </w:rPr>
          <w:t>3</w:t>
        </w:r>
        <w:r w:rsidR="002D5ED8">
          <w:rPr>
            <w:noProof/>
            <w:webHidden/>
          </w:rPr>
          <w:fldChar w:fldCharType="end"/>
        </w:r>
      </w:hyperlink>
    </w:p>
    <w:p w14:paraId="5AE8DAAF" w14:textId="77777777" w:rsidR="002D5ED8" w:rsidRDefault="007A61F8" w:rsidP="002D5ED8">
      <w:pPr>
        <w:pStyle w:val="TOC2"/>
        <w:ind w:right="720"/>
        <w:rPr>
          <w:rFonts w:asciiTheme="minorHAnsi" w:eastAsiaTheme="minorEastAsia" w:hAnsiTheme="minorHAnsi"/>
          <w:noProof/>
          <w:sz w:val="22"/>
        </w:rPr>
      </w:pPr>
      <w:hyperlink w:anchor="_Toc359248595" w:history="1">
        <w:r w:rsidR="002D5ED8" w:rsidRPr="00D50AD1">
          <w:rPr>
            <w:rStyle w:val="Hyperlink"/>
            <w:noProof/>
          </w:rPr>
          <w:t>A.</w:t>
        </w:r>
        <w:r w:rsidR="002D5ED8">
          <w:rPr>
            <w:rFonts w:asciiTheme="minorHAnsi" w:eastAsiaTheme="minorEastAsia" w:hAnsiTheme="minorHAnsi"/>
            <w:noProof/>
            <w:sz w:val="22"/>
          </w:rPr>
          <w:tab/>
        </w:r>
        <w:r w:rsidR="002D5ED8" w:rsidRPr="00D50AD1">
          <w:rPr>
            <w:rStyle w:val="Hyperlink"/>
            <w:noProof/>
          </w:rPr>
          <w:t>DP&amp;L Failed To Show That Any Of The Storms (For Which It Seeks Authority to Charge its Customers) Meet The Definition Of “Major Event” In Ohio Adm. Code 4901:1-10-01(Q).</w:t>
        </w:r>
        <w:r w:rsidR="002D5ED8">
          <w:rPr>
            <w:noProof/>
            <w:webHidden/>
          </w:rPr>
          <w:tab/>
        </w:r>
        <w:r w:rsidR="002D5ED8">
          <w:rPr>
            <w:noProof/>
            <w:webHidden/>
          </w:rPr>
          <w:fldChar w:fldCharType="begin"/>
        </w:r>
        <w:r w:rsidR="002D5ED8">
          <w:rPr>
            <w:noProof/>
            <w:webHidden/>
          </w:rPr>
          <w:instrText xml:space="preserve"> PAGEREF _Toc359248595 \h </w:instrText>
        </w:r>
        <w:r w:rsidR="002D5ED8">
          <w:rPr>
            <w:noProof/>
            <w:webHidden/>
          </w:rPr>
        </w:r>
        <w:r w:rsidR="002D5ED8">
          <w:rPr>
            <w:noProof/>
            <w:webHidden/>
          </w:rPr>
          <w:fldChar w:fldCharType="separate"/>
        </w:r>
        <w:r w:rsidR="00CB0244">
          <w:rPr>
            <w:noProof/>
            <w:webHidden/>
          </w:rPr>
          <w:t>3</w:t>
        </w:r>
        <w:r w:rsidR="002D5ED8">
          <w:rPr>
            <w:noProof/>
            <w:webHidden/>
          </w:rPr>
          <w:fldChar w:fldCharType="end"/>
        </w:r>
      </w:hyperlink>
    </w:p>
    <w:p w14:paraId="321A5A3F" w14:textId="77777777" w:rsidR="002D5ED8" w:rsidRDefault="007A61F8" w:rsidP="002D5ED8">
      <w:pPr>
        <w:pStyle w:val="TOC2"/>
        <w:ind w:right="720"/>
        <w:rPr>
          <w:rFonts w:asciiTheme="minorHAnsi" w:eastAsiaTheme="minorEastAsia" w:hAnsiTheme="minorHAnsi"/>
          <w:noProof/>
          <w:sz w:val="22"/>
        </w:rPr>
      </w:pPr>
      <w:hyperlink w:anchor="_Toc359248596" w:history="1">
        <w:r w:rsidR="002D5ED8" w:rsidRPr="00D50AD1">
          <w:rPr>
            <w:rStyle w:val="Hyperlink"/>
            <w:noProof/>
          </w:rPr>
          <w:t>B.</w:t>
        </w:r>
        <w:r w:rsidR="002D5ED8">
          <w:rPr>
            <w:rFonts w:asciiTheme="minorHAnsi" w:eastAsiaTheme="minorEastAsia" w:hAnsiTheme="minorHAnsi"/>
            <w:noProof/>
            <w:sz w:val="22"/>
          </w:rPr>
          <w:tab/>
        </w:r>
        <w:r w:rsidR="002D5ED8" w:rsidRPr="00D50AD1">
          <w:rPr>
            <w:rStyle w:val="Hyperlink"/>
            <w:noProof/>
          </w:rPr>
          <w:t>DP&amp;L Understated The Three-Year Average Of Operation And Maintenance Expenses Used To Reduce DP&amp;L’s Deferred 2008 Major Storm Expenditures Which Results in Customers Paying More Than They Should For Storm Costs.</w:t>
        </w:r>
        <w:r w:rsidR="002D5ED8">
          <w:rPr>
            <w:noProof/>
            <w:webHidden/>
          </w:rPr>
          <w:tab/>
        </w:r>
        <w:r w:rsidR="002D5ED8">
          <w:rPr>
            <w:noProof/>
            <w:webHidden/>
          </w:rPr>
          <w:fldChar w:fldCharType="begin"/>
        </w:r>
        <w:r w:rsidR="002D5ED8">
          <w:rPr>
            <w:noProof/>
            <w:webHidden/>
          </w:rPr>
          <w:instrText xml:space="preserve"> PAGEREF _Toc359248596 \h </w:instrText>
        </w:r>
        <w:r w:rsidR="002D5ED8">
          <w:rPr>
            <w:noProof/>
            <w:webHidden/>
          </w:rPr>
        </w:r>
        <w:r w:rsidR="002D5ED8">
          <w:rPr>
            <w:noProof/>
            <w:webHidden/>
          </w:rPr>
          <w:fldChar w:fldCharType="separate"/>
        </w:r>
        <w:r w:rsidR="00CB0244">
          <w:rPr>
            <w:noProof/>
            <w:webHidden/>
          </w:rPr>
          <w:t>4</w:t>
        </w:r>
        <w:r w:rsidR="002D5ED8">
          <w:rPr>
            <w:noProof/>
            <w:webHidden/>
          </w:rPr>
          <w:fldChar w:fldCharType="end"/>
        </w:r>
      </w:hyperlink>
    </w:p>
    <w:p w14:paraId="3804E13A" w14:textId="77777777" w:rsidR="002D5ED8" w:rsidRDefault="007A61F8" w:rsidP="002D5ED8">
      <w:pPr>
        <w:pStyle w:val="TOC2"/>
        <w:ind w:right="720"/>
        <w:rPr>
          <w:rFonts w:asciiTheme="minorHAnsi" w:eastAsiaTheme="minorEastAsia" w:hAnsiTheme="minorHAnsi"/>
          <w:noProof/>
          <w:sz w:val="22"/>
        </w:rPr>
      </w:pPr>
      <w:hyperlink w:anchor="_Toc359248597" w:history="1">
        <w:r w:rsidR="002D5ED8" w:rsidRPr="00D50AD1">
          <w:rPr>
            <w:rStyle w:val="Hyperlink"/>
            <w:noProof/>
          </w:rPr>
          <w:t>C.</w:t>
        </w:r>
        <w:r w:rsidR="002D5ED8">
          <w:rPr>
            <w:rFonts w:asciiTheme="minorHAnsi" w:eastAsiaTheme="minorEastAsia" w:hAnsiTheme="minorHAnsi"/>
            <w:noProof/>
            <w:sz w:val="22"/>
          </w:rPr>
          <w:tab/>
        </w:r>
        <w:r w:rsidR="002D5ED8" w:rsidRPr="00D50AD1">
          <w:rPr>
            <w:rStyle w:val="Hyperlink"/>
            <w:noProof/>
          </w:rPr>
          <w:t>Customers Should Not Pay For Operation And Maintenance Costs Related To Thirteen Storms In 2008 That DP&amp;L Did Not Receive Authority To Defer As A Regulatory Asset.</w:t>
        </w:r>
        <w:r w:rsidR="002D5ED8">
          <w:rPr>
            <w:noProof/>
            <w:webHidden/>
          </w:rPr>
          <w:tab/>
        </w:r>
        <w:r w:rsidR="002D5ED8">
          <w:rPr>
            <w:noProof/>
            <w:webHidden/>
          </w:rPr>
          <w:fldChar w:fldCharType="begin"/>
        </w:r>
        <w:r w:rsidR="002D5ED8">
          <w:rPr>
            <w:noProof/>
            <w:webHidden/>
          </w:rPr>
          <w:instrText xml:space="preserve"> PAGEREF _Toc359248597 \h </w:instrText>
        </w:r>
        <w:r w:rsidR="002D5ED8">
          <w:rPr>
            <w:noProof/>
            <w:webHidden/>
          </w:rPr>
        </w:r>
        <w:r w:rsidR="002D5ED8">
          <w:rPr>
            <w:noProof/>
            <w:webHidden/>
          </w:rPr>
          <w:fldChar w:fldCharType="separate"/>
        </w:r>
        <w:r w:rsidR="00CB0244">
          <w:rPr>
            <w:noProof/>
            <w:webHidden/>
          </w:rPr>
          <w:t>7</w:t>
        </w:r>
        <w:r w:rsidR="002D5ED8">
          <w:rPr>
            <w:noProof/>
            <w:webHidden/>
          </w:rPr>
          <w:fldChar w:fldCharType="end"/>
        </w:r>
      </w:hyperlink>
    </w:p>
    <w:p w14:paraId="2E414CB5" w14:textId="77777777" w:rsidR="002D5ED8" w:rsidRDefault="007A61F8" w:rsidP="002D5ED8">
      <w:pPr>
        <w:pStyle w:val="TOC3"/>
        <w:tabs>
          <w:tab w:val="left" w:pos="2160"/>
        </w:tabs>
        <w:ind w:right="720"/>
        <w:rPr>
          <w:rFonts w:asciiTheme="minorHAnsi" w:eastAsiaTheme="minorEastAsia" w:hAnsiTheme="minorHAnsi"/>
          <w:noProof/>
          <w:sz w:val="22"/>
        </w:rPr>
      </w:pPr>
      <w:hyperlink w:anchor="_Toc359248598" w:history="1">
        <w:r w:rsidR="002D5ED8" w:rsidRPr="00D50AD1">
          <w:rPr>
            <w:rStyle w:val="Hyperlink"/>
            <w:noProof/>
          </w:rPr>
          <w:t>1.</w:t>
        </w:r>
        <w:r w:rsidR="002D5ED8">
          <w:rPr>
            <w:rFonts w:asciiTheme="minorHAnsi" w:eastAsiaTheme="minorEastAsia" w:hAnsiTheme="minorHAnsi"/>
            <w:noProof/>
            <w:sz w:val="22"/>
          </w:rPr>
          <w:tab/>
        </w:r>
        <w:r w:rsidR="002D5ED8" w:rsidRPr="00D50AD1">
          <w:rPr>
            <w:rStyle w:val="Hyperlink"/>
            <w:noProof/>
          </w:rPr>
          <w:t>The only storm costs that DP&amp;L was authorized to defer were the incremental operation and maintenance expenses associated with the September 14, 2008 wind storm.</w:t>
        </w:r>
        <w:r w:rsidR="002D5ED8">
          <w:rPr>
            <w:noProof/>
            <w:webHidden/>
          </w:rPr>
          <w:tab/>
        </w:r>
        <w:r w:rsidR="002D5ED8">
          <w:rPr>
            <w:noProof/>
            <w:webHidden/>
          </w:rPr>
          <w:fldChar w:fldCharType="begin"/>
        </w:r>
        <w:r w:rsidR="002D5ED8">
          <w:rPr>
            <w:noProof/>
            <w:webHidden/>
          </w:rPr>
          <w:instrText xml:space="preserve"> PAGEREF _Toc359248598 \h </w:instrText>
        </w:r>
        <w:r w:rsidR="002D5ED8">
          <w:rPr>
            <w:noProof/>
            <w:webHidden/>
          </w:rPr>
        </w:r>
        <w:r w:rsidR="002D5ED8">
          <w:rPr>
            <w:noProof/>
            <w:webHidden/>
          </w:rPr>
          <w:fldChar w:fldCharType="separate"/>
        </w:r>
        <w:r w:rsidR="00CB0244">
          <w:rPr>
            <w:noProof/>
            <w:webHidden/>
          </w:rPr>
          <w:t>7</w:t>
        </w:r>
        <w:r w:rsidR="002D5ED8">
          <w:rPr>
            <w:noProof/>
            <w:webHidden/>
          </w:rPr>
          <w:fldChar w:fldCharType="end"/>
        </w:r>
      </w:hyperlink>
    </w:p>
    <w:p w14:paraId="1A287F0B" w14:textId="77777777" w:rsidR="002D5ED8" w:rsidRDefault="007A61F8" w:rsidP="002D5ED8">
      <w:pPr>
        <w:pStyle w:val="TOC3"/>
        <w:tabs>
          <w:tab w:val="left" w:pos="2160"/>
        </w:tabs>
        <w:ind w:right="720"/>
        <w:rPr>
          <w:rFonts w:asciiTheme="minorHAnsi" w:eastAsiaTheme="minorEastAsia" w:hAnsiTheme="minorHAnsi"/>
          <w:noProof/>
          <w:sz w:val="22"/>
        </w:rPr>
      </w:pPr>
      <w:hyperlink w:anchor="_Toc359248599" w:history="1">
        <w:r w:rsidR="002D5ED8" w:rsidRPr="00D50AD1">
          <w:rPr>
            <w:rStyle w:val="Hyperlink"/>
            <w:noProof/>
          </w:rPr>
          <w:t>2.</w:t>
        </w:r>
        <w:r w:rsidR="002D5ED8">
          <w:rPr>
            <w:rFonts w:asciiTheme="minorHAnsi" w:eastAsiaTheme="minorEastAsia" w:hAnsiTheme="minorHAnsi"/>
            <w:noProof/>
            <w:sz w:val="22"/>
          </w:rPr>
          <w:tab/>
        </w:r>
        <w:r w:rsidR="002D5ED8" w:rsidRPr="00D50AD1">
          <w:rPr>
            <w:rStyle w:val="Hyperlink"/>
            <w:noProof/>
          </w:rPr>
          <w:t>DP&amp;L is precluded by the doctrine of collateral estoppel from re-litigating its request to defer (for later charging to customers) operation and maintenance costs associated with “other storms” in 2008.</w:t>
        </w:r>
        <w:r w:rsidR="002D5ED8">
          <w:rPr>
            <w:noProof/>
            <w:webHidden/>
          </w:rPr>
          <w:tab/>
        </w:r>
        <w:r w:rsidR="002D5ED8">
          <w:rPr>
            <w:noProof/>
            <w:webHidden/>
          </w:rPr>
          <w:fldChar w:fldCharType="begin"/>
        </w:r>
        <w:r w:rsidR="002D5ED8">
          <w:rPr>
            <w:noProof/>
            <w:webHidden/>
          </w:rPr>
          <w:instrText xml:space="preserve"> PAGEREF _Toc359248599 \h </w:instrText>
        </w:r>
        <w:r w:rsidR="002D5ED8">
          <w:rPr>
            <w:noProof/>
            <w:webHidden/>
          </w:rPr>
        </w:r>
        <w:r w:rsidR="002D5ED8">
          <w:rPr>
            <w:noProof/>
            <w:webHidden/>
          </w:rPr>
          <w:fldChar w:fldCharType="separate"/>
        </w:r>
        <w:r w:rsidR="00CB0244">
          <w:rPr>
            <w:noProof/>
            <w:webHidden/>
          </w:rPr>
          <w:t>8</w:t>
        </w:r>
        <w:r w:rsidR="002D5ED8">
          <w:rPr>
            <w:noProof/>
            <w:webHidden/>
          </w:rPr>
          <w:fldChar w:fldCharType="end"/>
        </w:r>
      </w:hyperlink>
    </w:p>
    <w:p w14:paraId="1E9E80D2" w14:textId="77777777" w:rsidR="002D5ED8" w:rsidRDefault="007A61F8" w:rsidP="002D5ED8">
      <w:pPr>
        <w:pStyle w:val="TOC2"/>
        <w:ind w:right="720"/>
        <w:rPr>
          <w:rFonts w:asciiTheme="minorHAnsi" w:eastAsiaTheme="minorEastAsia" w:hAnsiTheme="minorHAnsi"/>
          <w:noProof/>
          <w:sz w:val="22"/>
        </w:rPr>
      </w:pPr>
      <w:hyperlink w:anchor="_Toc359248600" w:history="1">
        <w:r w:rsidR="002D5ED8" w:rsidRPr="00D50AD1">
          <w:rPr>
            <w:rStyle w:val="Hyperlink"/>
            <w:noProof/>
          </w:rPr>
          <w:t>D.</w:t>
        </w:r>
        <w:r w:rsidR="002D5ED8">
          <w:rPr>
            <w:rFonts w:asciiTheme="minorHAnsi" w:eastAsiaTheme="minorEastAsia" w:hAnsiTheme="minorHAnsi"/>
            <w:noProof/>
            <w:sz w:val="22"/>
          </w:rPr>
          <w:tab/>
        </w:r>
        <w:r w:rsidR="002D5ED8" w:rsidRPr="00D50AD1">
          <w:rPr>
            <w:rStyle w:val="Hyperlink"/>
            <w:noProof/>
          </w:rPr>
          <w:t>DP&amp;L Has Failed To Deduct The Three-Year Average For Major Storm Operation and Maintenance Expenses From 2012 and 2011 Storm Expenditures.</w:t>
        </w:r>
        <w:r w:rsidR="002D5ED8">
          <w:rPr>
            <w:noProof/>
            <w:webHidden/>
          </w:rPr>
          <w:tab/>
        </w:r>
        <w:r w:rsidR="002D5ED8">
          <w:rPr>
            <w:noProof/>
            <w:webHidden/>
          </w:rPr>
          <w:fldChar w:fldCharType="begin"/>
        </w:r>
        <w:r w:rsidR="002D5ED8">
          <w:rPr>
            <w:noProof/>
            <w:webHidden/>
          </w:rPr>
          <w:instrText xml:space="preserve"> PAGEREF _Toc359248600 \h </w:instrText>
        </w:r>
        <w:r w:rsidR="002D5ED8">
          <w:rPr>
            <w:noProof/>
            <w:webHidden/>
          </w:rPr>
        </w:r>
        <w:r w:rsidR="002D5ED8">
          <w:rPr>
            <w:noProof/>
            <w:webHidden/>
          </w:rPr>
          <w:fldChar w:fldCharType="separate"/>
        </w:r>
        <w:r w:rsidR="00CB0244">
          <w:rPr>
            <w:noProof/>
            <w:webHidden/>
          </w:rPr>
          <w:t>10</w:t>
        </w:r>
        <w:r w:rsidR="002D5ED8">
          <w:rPr>
            <w:noProof/>
            <w:webHidden/>
          </w:rPr>
          <w:fldChar w:fldCharType="end"/>
        </w:r>
      </w:hyperlink>
    </w:p>
    <w:p w14:paraId="41C0B821" w14:textId="77777777" w:rsidR="002D5ED8" w:rsidRDefault="007A61F8" w:rsidP="002D5ED8">
      <w:pPr>
        <w:pStyle w:val="TOC2"/>
        <w:ind w:right="720"/>
        <w:rPr>
          <w:rFonts w:asciiTheme="minorHAnsi" w:eastAsiaTheme="minorEastAsia" w:hAnsiTheme="minorHAnsi"/>
          <w:noProof/>
          <w:sz w:val="22"/>
        </w:rPr>
      </w:pPr>
      <w:hyperlink w:anchor="_Toc359248601" w:history="1">
        <w:r w:rsidR="002D5ED8" w:rsidRPr="00D50AD1">
          <w:rPr>
            <w:rStyle w:val="Hyperlink"/>
            <w:noProof/>
          </w:rPr>
          <w:t>E.</w:t>
        </w:r>
        <w:r w:rsidR="002D5ED8">
          <w:rPr>
            <w:rFonts w:asciiTheme="minorHAnsi" w:eastAsiaTheme="minorEastAsia" w:hAnsiTheme="minorHAnsi"/>
            <w:noProof/>
            <w:sz w:val="22"/>
          </w:rPr>
          <w:tab/>
        </w:r>
        <w:r w:rsidR="002D5ED8" w:rsidRPr="00D50AD1">
          <w:rPr>
            <w:rStyle w:val="Hyperlink"/>
            <w:noProof/>
          </w:rPr>
          <w:t>DP&amp;L Should Not Be Allowed To Charge Its Customers For Capital Costs Related To Storm Restorations In This Proceeding.</w:t>
        </w:r>
        <w:r w:rsidR="002D5ED8">
          <w:rPr>
            <w:noProof/>
            <w:webHidden/>
          </w:rPr>
          <w:tab/>
        </w:r>
        <w:r w:rsidR="002D5ED8">
          <w:rPr>
            <w:noProof/>
            <w:webHidden/>
          </w:rPr>
          <w:fldChar w:fldCharType="begin"/>
        </w:r>
        <w:r w:rsidR="002D5ED8">
          <w:rPr>
            <w:noProof/>
            <w:webHidden/>
          </w:rPr>
          <w:instrText xml:space="preserve"> PAGEREF _Toc359248601 \h </w:instrText>
        </w:r>
        <w:r w:rsidR="002D5ED8">
          <w:rPr>
            <w:noProof/>
            <w:webHidden/>
          </w:rPr>
        </w:r>
        <w:r w:rsidR="002D5ED8">
          <w:rPr>
            <w:noProof/>
            <w:webHidden/>
          </w:rPr>
          <w:fldChar w:fldCharType="separate"/>
        </w:r>
        <w:r w:rsidR="00CB0244">
          <w:rPr>
            <w:noProof/>
            <w:webHidden/>
          </w:rPr>
          <w:t>11</w:t>
        </w:r>
        <w:r w:rsidR="002D5ED8">
          <w:rPr>
            <w:noProof/>
            <w:webHidden/>
          </w:rPr>
          <w:fldChar w:fldCharType="end"/>
        </w:r>
      </w:hyperlink>
    </w:p>
    <w:p w14:paraId="19649A8A" w14:textId="77777777" w:rsidR="002D5ED8" w:rsidRDefault="007A61F8" w:rsidP="002D5ED8">
      <w:pPr>
        <w:pStyle w:val="TOC2"/>
        <w:ind w:right="720"/>
        <w:rPr>
          <w:rFonts w:asciiTheme="minorHAnsi" w:eastAsiaTheme="minorEastAsia" w:hAnsiTheme="minorHAnsi"/>
          <w:noProof/>
          <w:sz w:val="22"/>
        </w:rPr>
      </w:pPr>
      <w:hyperlink w:anchor="_Toc359248602" w:history="1">
        <w:r w:rsidR="002D5ED8" w:rsidRPr="00D50AD1">
          <w:rPr>
            <w:rStyle w:val="Hyperlink"/>
            <w:noProof/>
          </w:rPr>
          <w:t>F.</w:t>
        </w:r>
        <w:r w:rsidR="002D5ED8">
          <w:rPr>
            <w:rFonts w:asciiTheme="minorHAnsi" w:eastAsiaTheme="minorEastAsia" w:hAnsiTheme="minorHAnsi"/>
            <w:noProof/>
            <w:sz w:val="22"/>
          </w:rPr>
          <w:tab/>
        </w:r>
        <w:r w:rsidR="002D5ED8" w:rsidRPr="00D50AD1">
          <w:rPr>
            <w:rStyle w:val="Hyperlink"/>
            <w:noProof/>
          </w:rPr>
          <w:t>DP&amp;L Should Not Be Allowed Deferral of 2011 Major Incremental Storm Operation and Maintenance Expenditures, and Customers Should Not Be At Risk for Paying Such Costs.</w:t>
        </w:r>
        <w:r w:rsidR="002D5ED8">
          <w:rPr>
            <w:noProof/>
            <w:webHidden/>
          </w:rPr>
          <w:tab/>
        </w:r>
        <w:r w:rsidR="002D5ED8">
          <w:rPr>
            <w:noProof/>
            <w:webHidden/>
          </w:rPr>
          <w:fldChar w:fldCharType="begin"/>
        </w:r>
        <w:r w:rsidR="002D5ED8">
          <w:rPr>
            <w:noProof/>
            <w:webHidden/>
          </w:rPr>
          <w:instrText xml:space="preserve"> PAGEREF _Toc359248602 \h </w:instrText>
        </w:r>
        <w:r w:rsidR="002D5ED8">
          <w:rPr>
            <w:noProof/>
            <w:webHidden/>
          </w:rPr>
        </w:r>
        <w:r w:rsidR="002D5ED8">
          <w:rPr>
            <w:noProof/>
            <w:webHidden/>
          </w:rPr>
          <w:fldChar w:fldCharType="separate"/>
        </w:r>
        <w:r w:rsidR="00CB0244">
          <w:rPr>
            <w:noProof/>
            <w:webHidden/>
          </w:rPr>
          <w:t>13</w:t>
        </w:r>
        <w:r w:rsidR="002D5ED8">
          <w:rPr>
            <w:noProof/>
            <w:webHidden/>
          </w:rPr>
          <w:fldChar w:fldCharType="end"/>
        </w:r>
      </w:hyperlink>
    </w:p>
    <w:p w14:paraId="43895DB9" w14:textId="77777777" w:rsidR="002D5ED8" w:rsidRDefault="007A61F8" w:rsidP="002D5ED8">
      <w:pPr>
        <w:pStyle w:val="TOC3"/>
        <w:tabs>
          <w:tab w:val="left" w:pos="2160"/>
        </w:tabs>
        <w:ind w:right="720"/>
        <w:rPr>
          <w:rFonts w:asciiTheme="minorHAnsi" w:eastAsiaTheme="minorEastAsia" w:hAnsiTheme="minorHAnsi"/>
          <w:noProof/>
          <w:sz w:val="22"/>
        </w:rPr>
      </w:pPr>
      <w:hyperlink w:anchor="_Toc359248603" w:history="1">
        <w:r w:rsidR="002D5ED8" w:rsidRPr="00D50AD1">
          <w:rPr>
            <w:rStyle w:val="Hyperlink"/>
            <w:noProof/>
          </w:rPr>
          <w:t>1.</w:t>
        </w:r>
        <w:r w:rsidR="002D5ED8">
          <w:rPr>
            <w:rFonts w:asciiTheme="minorHAnsi" w:eastAsiaTheme="minorEastAsia" w:hAnsiTheme="minorHAnsi"/>
            <w:noProof/>
            <w:sz w:val="22"/>
          </w:rPr>
          <w:tab/>
        </w:r>
        <w:r w:rsidR="002D5ED8" w:rsidRPr="00D50AD1">
          <w:rPr>
            <w:rStyle w:val="Hyperlink"/>
            <w:noProof/>
          </w:rPr>
          <w:t>DP&amp;L’s request to defer 2011 major incremental storm Operation and Maintenance expenses is untimely.</w:t>
        </w:r>
        <w:r w:rsidR="002D5ED8">
          <w:rPr>
            <w:noProof/>
            <w:webHidden/>
          </w:rPr>
          <w:tab/>
        </w:r>
        <w:r w:rsidR="002D5ED8">
          <w:rPr>
            <w:noProof/>
            <w:webHidden/>
          </w:rPr>
          <w:fldChar w:fldCharType="begin"/>
        </w:r>
        <w:r w:rsidR="002D5ED8">
          <w:rPr>
            <w:noProof/>
            <w:webHidden/>
          </w:rPr>
          <w:instrText xml:space="preserve"> PAGEREF _Toc359248603 \h </w:instrText>
        </w:r>
        <w:r w:rsidR="002D5ED8">
          <w:rPr>
            <w:noProof/>
            <w:webHidden/>
          </w:rPr>
        </w:r>
        <w:r w:rsidR="002D5ED8">
          <w:rPr>
            <w:noProof/>
            <w:webHidden/>
          </w:rPr>
          <w:fldChar w:fldCharType="separate"/>
        </w:r>
        <w:r w:rsidR="00CB0244">
          <w:rPr>
            <w:noProof/>
            <w:webHidden/>
          </w:rPr>
          <w:t>13</w:t>
        </w:r>
        <w:r w:rsidR="002D5ED8">
          <w:rPr>
            <w:noProof/>
            <w:webHidden/>
          </w:rPr>
          <w:fldChar w:fldCharType="end"/>
        </w:r>
      </w:hyperlink>
    </w:p>
    <w:p w14:paraId="07DD67E3" w14:textId="77777777" w:rsidR="002D5ED8" w:rsidRDefault="007A61F8" w:rsidP="002D5ED8">
      <w:pPr>
        <w:pStyle w:val="TOC3"/>
        <w:tabs>
          <w:tab w:val="left" w:pos="2160"/>
        </w:tabs>
        <w:ind w:right="720"/>
        <w:rPr>
          <w:rFonts w:asciiTheme="minorHAnsi" w:eastAsiaTheme="minorEastAsia" w:hAnsiTheme="minorHAnsi"/>
          <w:noProof/>
          <w:sz w:val="22"/>
        </w:rPr>
      </w:pPr>
      <w:hyperlink w:anchor="_Toc359248604" w:history="1">
        <w:r w:rsidR="002D5ED8" w:rsidRPr="00D50AD1">
          <w:rPr>
            <w:rStyle w:val="Hyperlink"/>
            <w:noProof/>
          </w:rPr>
          <w:t>2.</w:t>
        </w:r>
        <w:r w:rsidR="002D5ED8">
          <w:rPr>
            <w:rFonts w:asciiTheme="minorHAnsi" w:eastAsiaTheme="minorEastAsia" w:hAnsiTheme="minorHAnsi"/>
            <w:noProof/>
            <w:sz w:val="22"/>
          </w:rPr>
          <w:tab/>
        </w:r>
        <w:r w:rsidR="002D5ED8" w:rsidRPr="00D50AD1">
          <w:rPr>
            <w:rStyle w:val="Hyperlink"/>
            <w:noProof/>
          </w:rPr>
          <w:t>DP&amp;L has no financial need upon which to seek deferral (and possible payment by consumers) of the 2011 major incremental storm Operation and Maintenance expenses.</w:t>
        </w:r>
        <w:r w:rsidR="002D5ED8">
          <w:rPr>
            <w:noProof/>
            <w:webHidden/>
          </w:rPr>
          <w:tab/>
        </w:r>
        <w:r w:rsidR="002D5ED8">
          <w:rPr>
            <w:noProof/>
            <w:webHidden/>
          </w:rPr>
          <w:fldChar w:fldCharType="begin"/>
        </w:r>
        <w:r w:rsidR="002D5ED8">
          <w:rPr>
            <w:noProof/>
            <w:webHidden/>
          </w:rPr>
          <w:instrText xml:space="preserve"> PAGEREF _Toc359248604 \h </w:instrText>
        </w:r>
        <w:r w:rsidR="002D5ED8">
          <w:rPr>
            <w:noProof/>
            <w:webHidden/>
          </w:rPr>
        </w:r>
        <w:r w:rsidR="002D5ED8">
          <w:rPr>
            <w:noProof/>
            <w:webHidden/>
          </w:rPr>
          <w:fldChar w:fldCharType="separate"/>
        </w:r>
        <w:r w:rsidR="00CB0244">
          <w:rPr>
            <w:noProof/>
            <w:webHidden/>
          </w:rPr>
          <w:t>15</w:t>
        </w:r>
        <w:r w:rsidR="002D5ED8">
          <w:rPr>
            <w:noProof/>
            <w:webHidden/>
          </w:rPr>
          <w:fldChar w:fldCharType="end"/>
        </w:r>
      </w:hyperlink>
    </w:p>
    <w:p w14:paraId="53E73599" w14:textId="77777777" w:rsidR="002D5ED8" w:rsidRDefault="007A61F8" w:rsidP="002D5ED8">
      <w:pPr>
        <w:pStyle w:val="TOC2"/>
        <w:ind w:right="720"/>
        <w:rPr>
          <w:rFonts w:asciiTheme="minorHAnsi" w:eastAsiaTheme="minorEastAsia" w:hAnsiTheme="minorHAnsi"/>
          <w:noProof/>
          <w:sz w:val="22"/>
        </w:rPr>
      </w:pPr>
      <w:hyperlink w:anchor="_Toc359248605" w:history="1">
        <w:r w:rsidR="002D5ED8" w:rsidRPr="00D50AD1">
          <w:rPr>
            <w:rStyle w:val="Hyperlink"/>
            <w:noProof/>
          </w:rPr>
          <w:t>G.</w:t>
        </w:r>
        <w:r w:rsidR="002D5ED8">
          <w:rPr>
            <w:rFonts w:asciiTheme="minorHAnsi" w:eastAsiaTheme="minorEastAsia" w:hAnsiTheme="minorHAnsi"/>
            <w:noProof/>
            <w:sz w:val="22"/>
          </w:rPr>
          <w:tab/>
        </w:r>
        <w:r w:rsidR="002D5ED8" w:rsidRPr="00D50AD1">
          <w:rPr>
            <w:rStyle w:val="Hyperlink"/>
            <w:noProof/>
          </w:rPr>
          <w:t>DP&amp;L Should Not Be Permitted To Collect From Its Customers Any Portion Of The Straight-Time Labor Costs That The Utility Is Seeking In This Case.</w:t>
        </w:r>
        <w:r w:rsidR="002D5ED8">
          <w:rPr>
            <w:noProof/>
            <w:webHidden/>
          </w:rPr>
          <w:tab/>
        </w:r>
        <w:r w:rsidR="002D5ED8">
          <w:rPr>
            <w:noProof/>
            <w:webHidden/>
          </w:rPr>
          <w:fldChar w:fldCharType="begin"/>
        </w:r>
        <w:r w:rsidR="002D5ED8">
          <w:rPr>
            <w:noProof/>
            <w:webHidden/>
          </w:rPr>
          <w:instrText xml:space="preserve"> PAGEREF _Toc359248605 \h </w:instrText>
        </w:r>
        <w:r w:rsidR="002D5ED8">
          <w:rPr>
            <w:noProof/>
            <w:webHidden/>
          </w:rPr>
        </w:r>
        <w:r w:rsidR="002D5ED8">
          <w:rPr>
            <w:noProof/>
            <w:webHidden/>
          </w:rPr>
          <w:fldChar w:fldCharType="separate"/>
        </w:r>
        <w:r w:rsidR="00CB0244">
          <w:rPr>
            <w:noProof/>
            <w:webHidden/>
          </w:rPr>
          <w:t>17</w:t>
        </w:r>
        <w:r w:rsidR="002D5ED8">
          <w:rPr>
            <w:noProof/>
            <w:webHidden/>
          </w:rPr>
          <w:fldChar w:fldCharType="end"/>
        </w:r>
      </w:hyperlink>
    </w:p>
    <w:p w14:paraId="68000905" w14:textId="77777777" w:rsidR="002D5ED8" w:rsidRDefault="007A61F8" w:rsidP="002D5ED8">
      <w:pPr>
        <w:pStyle w:val="TOC2"/>
        <w:ind w:right="720"/>
        <w:rPr>
          <w:rFonts w:asciiTheme="minorHAnsi" w:eastAsiaTheme="minorEastAsia" w:hAnsiTheme="minorHAnsi"/>
          <w:noProof/>
          <w:sz w:val="22"/>
        </w:rPr>
      </w:pPr>
      <w:hyperlink w:anchor="_Toc359248606" w:history="1">
        <w:r w:rsidR="002D5ED8" w:rsidRPr="00D50AD1">
          <w:rPr>
            <w:rStyle w:val="Hyperlink"/>
            <w:noProof/>
          </w:rPr>
          <w:t>H.</w:t>
        </w:r>
        <w:r w:rsidR="002D5ED8">
          <w:rPr>
            <w:rFonts w:asciiTheme="minorHAnsi" w:eastAsiaTheme="minorEastAsia" w:hAnsiTheme="minorHAnsi"/>
            <w:noProof/>
            <w:sz w:val="22"/>
          </w:rPr>
          <w:tab/>
        </w:r>
        <w:r w:rsidR="002D5ED8" w:rsidRPr="00D50AD1">
          <w:rPr>
            <w:rStyle w:val="Hyperlink"/>
            <w:noProof/>
          </w:rPr>
          <w:t>DP&amp;L Should Not Be Permitted To Collect Costs From Its Customers That Are Associated With Overtime Pay To The Utility’s Salaried Employees Involved In The Storm Restoration Effort.</w:t>
        </w:r>
        <w:r w:rsidR="002D5ED8">
          <w:rPr>
            <w:noProof/>
            <w:webHidden/>
          </w:rPr>
          <w:tab/>
        </w:r>
        <w:r w:rsidR="002D5ED8">
          <w:rPr>
            <w:noProof/>
            <w:webHidden/>
          </w:rPr>
          <w:fldChar w:fldCharType="begin"/>
        </w:r>
        <w:r w:rsidR="002D5ED8">
          <w:rPr>
            <w:noProof/>
            <w:webHidden/>
          </w:rPr>
          <w:instrText xml:space="preserve"> PAGEREF _Toc359248606 \h </w:instrText>
        </w:r>
        <w:r w:rsidR="002D5ED8">
          <w:rPr>
            <w:noProof/>
            <w:webHidden/>
          </w:rPr>
        </w:r>
        <w:r w:rsidR="002D5ED8">
          <w:rPr>
            <w:noProof/>
            <w:webHidden/>
          </w:rPr>
          <w:fldChar w:fldCharType="separate"/>
        </w:r>
        <w:r w:rsidR="00CB0244">
          <w:rPr>
            <w:noProof/>
            <w:webHidden/>
          </w:rPr>
          <w:t>19</w:t>
        </w:r>
        <w:r w:rsidR="002D5ED8">
          <w:rPr>
            <w:noProof/>
            <w:webHidden/>
          </w:rPr>
          <w:fldChar w:fldCharType="end"/>
        </w:r>
      </w:hyperlink>
    </w:p>
    <w:p w14:paraId="6466E7DF" w14:textId="77777777" w:rsidR="002D5ED8" w:rsidRDefault="007A61F8" w:rsidP="002D5ED8">
      <w:pPr>
        <w:pStyle w:val="TOC2"/>
        <w:ind w:right="720"/>
        <w:rPr>
          <w:rFonts w:asciiTheme="minorHAnsi" w:eastAsiaTheme="minorEastAsia" w:hAnsiTheme="minorHAnsi"/>
          <w:noProof/>
          <w:sz w:val="22"/>
        </w:rPr>
      </w:pPr>
      <w:hyperlink w:anchor="_Toc359248607" w:history="1">
        <w:r w:rsidR="002D5ED8" w:rsidRPr="00D50AD1">
          <w:rPr>
            <w:rStyle w:val="Hyperlink"/>
            <w:noProof/>
          </w:rPr>
          <w:t>I.</w:t>
        </w:r>
        <w:r w:rsidR="002D5ED8">
          <w:rPr>
            <w:rFonts w:asciiTheme="minorHAnsi" w:eastAsiaTheme="minorEastAsia" w:hAnsiTheme="minorHAnsi"/>
            <w:noProof/>
            <w:sz w:val="22"/>
          </w:rPr>
          <w:tab/>
        </w:r>
        <w:r w:rsidR="002D5ED8" w:rsidRPr="00D50AD1">
          <w:rPr>
            <w:rStyle w:val="Hyperlink"/>
            <w:noProof/>
          </w:rPr>
          <w:t>The PUCO Should Reject DP&amp;L’s Request To Establish A Rider To Collect The Costs Of Future Storm Damage From Customers.</w:t>
        </w:r>
        <w:r w:rsidR="002D5ED8">
          <w:rPr>
            <w:noProof/>
            <w:webHidden/>
          </w:rPr>
          <w:tab/>
        </w:r>
        <w:r w:rsidR="002D5ED8">
          <w:rPr>
            <w:noProof/>
            <w:webHidden/>
          </w:rPr>
          <w:fldChar w:fldCharType="begin"/>
        </w:r>
        <w:r w:rsidR="002D5ED8">
          <w:rPr>
            <w:noProof/>
            <w:webHidden/>
          </w:rPr>
          <w:instrText xml:space="preserve"> PAGEREF _Toc359248607 \h </w:instrText>
        </w:r>
        <w:r w:rsidR="002D5ED8">
          <w:rPr>
            <w:noProof/>
            <w:webHidden/>
          </w:rPr>
        </w:r>
        <w:r w:rsidR="002D5ED8">
          <w:rPr>
            <w:noProof/>
            <w:webHidden/>
          </w:rPr>
          <w:fldChar w:fldCharType="separate"/>
        </w:r>
        <w:r w:rsidR="00CB0244">
          <w:rPr>
            <w:noProof/>
            <w:webHidden/>
          </w:rPr>
          <w:t>20</w:t>
        </w:r>
        <w:r w:rsidR="002D5ED8">
          <w:rPr>
            <w:noProof/>
            <w:webHidden/>
          </w:rPr>
          <w:fldChar w:fldCharType="end"/>
        </w:r>
      </w:hyperlink>
    </w:p>
    <w:p w14:paraId="5ADA34CB" w14:textId="77777777" w:rsidR="002D5ED8" w:rsidRDefault="007A61F8" w:rsidP="002D5ED8">
      <w:pPr>
        <w:pStyle w:val="TOC2"/>
        <w:ind w:right="720"/>
        <w:rPr>
          <w:rFonts w:asciiTheme="minorHAnsi" w:eastAsiaTheme="minorEastAsia" w:hAnsiTheme="minorHAnsi"/>
          <w:noProof/>
          <w:sz w:val="22"/>
        </w:rPr>
      </w:pPr>
      <w:hyperlink w:anchor="_Toc359248608" w:history="1">
        <w:r w:rsidR="002D5ED8" w:rsidRPr="00D50AD1">
          <w:rPr>
            <w:rStyle w:val="Hyperlink"/>
            <w:noProof/>
          </w:rPr>
          <w:t>J.</w:t>
        </w:r>
        <w:r w:rsidR="002D5ED8">
          <w:rPr>
            <w:rFonts w:asciiTheme="minorHAnsi" w:eastAsiaTheme="minorEastAsia" w:hAnsiTheme="minorHAnsi"/>
            <w:noProof/>
            <w:sz w:val="22"/>
          </w:rPr>
          <w:tab/>
        </w:r>
        <w:r w:rsidR="002D5ED8" w:rsidRPr="00D50AD1">
          <w:rPr>
            <w:rStyle w:val="Hyperlink"/>
            <w:noProof/>
          </w:rPr>
          <w:t>If The PUCO Authorizes DP&amp;L To Charge Customers for A Storm Damage Recovery Rider, Then The Storm Rider Should Include Consumer Protections, Including A $4 Million Annual Baseline.</w:t>
        </w:r>
        <w:r w:rsidR="002D5ED8">
          <w:rPr>
            <w:noProof/>
            <w:webHidden/>
          </w:rPr>
          <w:tab/>
        </w:r>
        <w:r w:rsidR="002D5ED8">
          <w:rPr>
            <w:noProof/>
            <w:webHidden/>
          </w:rPr>
          <w:fldChar w:fldCharType="begin"/>
        </w:r>
        <w:r w:rsidR="002D5ED8">
          <w:rPr>
            <w:noProof/>
            <w:webHidden/>
          </w:rPr>
          <w:instrText xml:space="preserve"> PAGEREF _Toc359248608 \h </w:instrText>
        </w:r>
        <w:r w:rsidR="002D5ED8">
          <w:rPr>
            <w:noProof/>
            <w:webHidden/>
          </w:rPr>
        </w:r>
        <w:r w:rsidR="002D5ED8">
          <w:rPr>
            <w:noProof/>
            <w:webHidden/>
          </w:rPr>
          <w:fldChar w:fldCharType="separate"/>
        </w:r>
        <w:r w:rsidR="00CB0244">
          <w:rPr>
            <w:noProof/>
            <w:webHidden/>
          </w:rPr>
          <w:t>21</w:t>
        </w:r>
        <w:r w:rsidR="002D5ED8">
          <w:rPr>
            <w:noProof/>
            <w:webHidden/>
          </w:rPr>
          <w:fldChar w:fldCharType="end"/>
        </w:r>
      </w:hyperlink>
    </w:p>
    <w:p w14:paraId="00284756" w14:textId="77777777" w:rsidR="002D5ED8" w:rsidRDefault="007A61F8" w:rsidP="002D5ED8">
      <w:pPr>
        <w:pStyle w:val="TOC3"/>
        <w:tabs>
          <w:tab w:val="left" w:pos="2160"/>
        </w:tabs>
        <w:ind w:right="720"/>
        <w:rPr>
          <w:rFonts w:asciiTheme="minorHAnsi" w:eastAsiaTheme="minorEastAsia" w:hAnsiTheme="minorHAnsi"/>
          <w:noProof/>
          <w:sz w:val="22"/>
        </w:rPr>
      </w:pPr>
      <w:hyperlink w:anchor="_Toc359248609" w:history="1">
        <w:r w:rsidR="002D5ED8" w:rsidRPr="00D50AD1">
          <w:rPr>
            <w:rStyle w:val="Hyperlink"/>
            <w:noProof/>
          </w:rPr>
          <w:t>1.</w:t>
        </w:r>
        <w:r w:rsidR="002D5ED8">
          <w:rPr>
            <w:rFonts w:asciiTheme="minorHAnsi" w:eastAsiaTheme="minorEastAsia" w:hAnsiTheme="minorHAnsi"/>
            <w:noProof/>
            <w:sz w:val="22"/>
          </w:rPr>
          <w:tab/>
        </w:r>
        <w:r w:rsidR="002D5ED8" w:rsidRPr="00D50AD1">
          <w:rPr>
            <w:rStyle w:val="Hyperlink"/>
            <w:noProof/>
          </w:rPr>
          <w:t>The Storm Rider should be used to only collect those amounts of major storm Operation and Maintenance costs that exceed $4 million annually.  If the amount expensed for major storm O&amp;M restoration is less than $4 million, then DP&amp;L should refund to customers the difference between the major storm annual expense and $4 million.</w:t>
        </w:r>
        <w:r w:rsidR="002D5ED8">
          <w:rPr>
            <w:noProof/>
            <w:webHidden/>
          </w:rPr>
          <w:tab/>
        </w:r>
        <w:r w:rsidR="002D5ED8">
          <w:rPr>
            <w:noProof/>
            <w:webHidden/>
          </w:rPr>
          <w:fldChar w:fldCharType="begin"/>
        </w:r>
        <w:r w:rsidR="002D5ED8">
          <w:rPr>
            <w:noProof/>
            <w:webHidden/>
          </w:rPr>
          <w:instrText xml:space="preserve"> PAGEREF _Toc359248609 \h </w:instrText>
        </w:r>
        <w:r w:rsidR="002D5ED8">
          <w:rPr>
            <w:noProof/>
            <w:webHidden/>
          </w:rPr>
        </w:r>
        <w:r w:rsidR="002D5ED8">
          <w:rPr>
            <w:noProof/>
            <w:webHidden/>
          </w:rPr>
          <w:fldChar w:fldCharType="separate"/>
        </w:r>
        <w:r w:rsidR="00CB0244">
          <w:rPr>
            <w:noProof/>
            <w:webHidden/>
          </w:rPr>
          <w:t>21</w:t>
        </w:r>
        <w:r w:rsidR="002D5ED8">
          <w:rPr>
            <w:noProof/>
            <w:webHidden/>
          </w:rPr>
          <w:fldChar w:fldCharType="end"/>
        </w:r>
      </w:hyperlink>
    </w:p>
    <w:p w14:paraId="24455DD3" w14:textId="77777777" w:rsidR="002D5ED8" w:rsidRDefault="007A61F8" w:rsidP="002D5ED8">
      <w:pPr>
        <w:pStyle w:val="TOC3"/>
        <w:tabs>
          <w:tab w:val="left" w:pos="2160"/>
        </w:tabs>
        <w:ind w:right="720"/>
        <w:rPr>
          <w:rFonts w:asciiTheme="minorHAnsi" w:eastAsiaTheme="minorEastAsia" w:hAnsiTheme="minorHAnsi"/>
          <w:noProof/>
          <w:sz w:val="22"/>
        </w:rPr>
      </w:pPr>
      <w:hyperlink w:anchor="_Toc359248610" w:history="1">
        <w:r w:rsidR="002D5ED8" w:rsidRPr="00D50AD1">
          <w:rPr>
            <w:rStyle w:val="Hyperlink"/>
            <w:noProof/>
          </w:rPr>
          <w:t>2.</w:t>
        </w:r>
        <w:r w:rsidR="002D5ED8">
          <w:rPr>
            <w:rFonts w:asciiTheme="minorHAnsi" w:eastAsiaTheme="minorEastAsia" w:hAnsiTheme="minorHAnsi"/>
            <w:noProof/>
            <w:sz w:val="22"/>
          </w:rPr>
          <w:tab/>
        </w:r>
        <w:r w:rsidR="002D5ED8" w:rsidRPr="00D50AD1">
          <w:rPr>
            <w:rStyle w:val="Hyperlink"/>
            <w:noProof/>
          </w:rPr>
          <w:t>The PUCO should require additional consumer protections if it authorizes DP&amp;L to collect future storm costs through a Storm Rider from customers.</w:t>
        </w:r>
        <w:r w:rsidR="002D5ED8">
          <w:rPr>
            <w:noProof/>
            <w:webHidden/>
          </w:rPr>
          <w:tab/>
        </w:r>
        <w:r w:rsidR="002D5ED8">
          <w:rPr>
            <w:noProof/>
            <w:webHidden/>
          </w:rPr>
          <w:fldChar w:fldCharType="begin"/>
        </w:r>
        <w:r w:rsidR="002D5ED8">
          <w:rPr>
            <w:noProof/>
            <w:webHidden/>
          </w:rPr>
          <w:instrText xml:space="preserve"> PAGEREF _Toc359248610 \h </w:instrText>
        </w:r>
        <w:r w:rsidR="002D5ED8">
          <w:rPr>
            <w:noProof/>
            <w:webHidden/>
          </w:rPr>
        </w:r>
        <w:r w:rsidR="002D5ED8">
          <w:rPr>
            <w:noProof/>
            <w:webHidden/>
          </w:rPr>
          <w:fldChar w:fldCharType="separate"/>
        </w:r>
        <w:r w:rsidR="00CB0244">
          <w:rPr>
            <w:noProof/>
            <w:webHidden/>
          </w:rPr>
          <w:t>22</w:t>
        </w:r>
        <w:r w:rsidR="002D5ED8">
          <w:rPr>
            <w:noProof/>
            <w:webHidden/>
          </w:rPr>
          <w:fldChar w:fldCharType="end"/>
        </w:r>
      </w:hyperlink>
    </w:p>
    <w:p w14:paraId="142D283F" w14:textId="77777777" w:rsidR="002D5ED8" w:rsidRDefault="007A61F8" w:rsidP="002D5ED8">
      <w:pPr>
        <w:pStyle w:val="TOC2"/>
        <w:ind w:right="720"/>
        <w:rPr>
          <w:rFonts w:asciiTheme="minorHAnsi" w:eastAsiaTheme="minorEastAsia" w:hAnsiTheme="minorHAnsi"/>
          <w:noProof/>
          <w:sz w:val="22"/>
        </w:rPr>
      </w:pPr>
      <w:hyperlink w:anchor="_Toc359248611" w:history="1">
        <w:r w:rsidR="002D5ED8" w:rsidRPr="00D50AD1">
          <w:rPr>
            <w:rStyle w:val="Hyperlink"/>
            <w:noProof/>
          </w:rPr>
          <w:t>K.</w:t>
        </w:r>
        <w:r w:rsidR="002D5ED8">
          <w:rPr>
            <w:rFonts w:asciiTheme="minorHAnsi" w:eastAsiaTheme="minorEastAsia" w:hAnsiTheme="minorHAnsi"/>
            <w:noProof/>
            <w:sz w:val="22"/>
          </w:rPr>
          <w:tab/>
        </w:r>
        <w:r w:rsidR="002D5ED8" w:rsidRPr="00D50AD1">
          <w:rPr>
            <w:rStyle w:val="Hyperlink"/>
            <w:noProof/>
          </w:rPr>
          <w:t>DP&amp;L’s Customers Should not pay for Transmission Expenses Related to Storm Restoration Efforts.</w:t>
        </w:r>
        <w:r w:rsidR="002D5ED8">
          <w:rPr>
            <w:noProof/>
            <w:webHidden/>
          </w:rPr>
          <w:tab/>
        </w:r>
        <w:r w:rsidR="002D5ED8">
          <w:rPr>
            <w:noProof/>
            <w:webHidden/>
          </w:rPr>
          <w:fldChar w:fldCharType="begin"/>
        </w:r>
        <w:r w:rsidR="002D5ED8">
          <w:rPr>
            <w:noProof/>
            <w:webHidden/>
          </w:rPr>
          <w:instrText xml:space="preserve"> PAGEREF _Toc359248611 \h </w:instrText>
        </w:r>
        <w:r w:rsidR="002D5ED8">
          <w:rPr>
            <w:noProof/>
            <w:webHidden/>
          </w:rPr>
        </w:r>
        <w:r w:rsidR="002D5ED8">
          <w:rPr>
            <w:noProof/>
            <w:webHidden/>
          </w:rPr>
          <w:fldChar w:fldCharType="separate"/>
        </w:r>
        <w:r w:rsidR="00CB0244">
          <w:rPr>
            <w:noProof/>
            <w:webHidden/>
          </w:rPr>
          <w:t>25</w:t>
        </w:r>
        <w:r w:rsidR="002D5ED8">
          <w:rPr>
            <w:noProof/>
            <w:webHidden/>
          </w:rPr>
          <w:fldChar w:fldCharType="end"/>
        </w:r>
      </w:hyperlink>
    </w:p>
    <w:p w14:paraId="236DAA6B" w14:textId="77777777" w:rsidR="002D5ED8" w:rsidRDefault="007A61F8" w:rsidP="002D5ED8">
      <w:pPr>
        <w:pStyle w:val="TOC1"/>
        <w:ind w:right="720"/>
        <w:rPr>
          <w:rFonts w:asciiTheme="minorHAnsi" w:eastAsiaTheme="minorEastAsia" w:hAnsiTheme="minorHAnsi"/>
          <w:caps w:val="0"/>
          <w:noProof/>
          <w:sz w:val="22"/>
        </w:rPr>
      </w:pPr>
      <w:hyperlink w:anchor="_Toc359248612" w:history="1">
        <w:r w:rsidR="002D5ED8" w:rsidRPr="00D50AD1">
          <w:rPr>
            <w:rStyle w:val="Hyperlink"/>
            <w:noProof/>
          </w:rPr>
          <w:t>IV.</w:t>
        </w:r>
        <w:r w:rsidR="002D5ED8">
          <w:rPr>
            <w:rFonts w:asciiTheme="minorHAnsi" w:eastAsiaTheme="minorEastAsia" w:hAnsiTheme="minorHAnsi"/>
            <w:caps w:val="0"/>
            <w:noProof/>
            <w:sz w:val="22"/>
          </w:rPr>
          <w:tab/>
        </w:r>
        <w:r w:rsidR="002D5ED8" w:rsidRPr="00D50AD1">
          <w:rPr>
            <w:rStyle w:val="Hyperlink"/>
            <w:noProof/>
          </w:rPr>
          <w:t>Conclusion</w:t>
        </w:r>
        <w:r w:rsidR="002D5ED8">
          <w:rPr>
            <w:noProof/>
            <w:webHidden/>
          </w:rPr>
          <w:tab/>
        </w:r>
        <w:r w:rsidR="002D5ED8">
          <w:rPr>
            <w:noProof/>
            <w:webHidden/>
          </w:rPr>
          <w:fldChar w:fldCharType="begin"/>
        </w:r>
        <w:r w:rsidR="002D5ED8">
          <w:rPr>
            <w:noProof/>
            <w:webHidden/>
          </w:rPr>
          <w:instrText xml:space="preserve"> PAGEREF _Toc359248612 \h </w:instrText>
        </w:r>
        <w:r w:rsidR="002D5ED8">
          <w:rPr>
            <w:noProof/>
            <w:webHidden/>
          </w:rPr>
        </w:r>
        <w:r w:rsidR="002D5ED8">
          <w:rPr>
            <w:noProof/>
            <w:webHidden/>
          </w:rPr>
          <w:fldChar w:fldCharType="separate"/>
        </w:r>
        <w:r w:rsidR="00CB0244">
          <w:rPr>
            <w:noProof/>
            <w:webHidden/>
          </w:rPr>
          <w:t>25</w:t>
        </w:r>
        <w:r w:rsidR="002D5ED8">
          <w:rPr>
            <w:noProof/>
            <w:webHidden/>
          </w:rPr>
          <w:fldChar w:fldCharType="end"/>
        </w:r>
      </w:hyperlink>
    </w:p>
    <w:p w14:paraId="37E0CACD" w14:textId="77777777" w:rsidR="00F44F7D" w:rsidRPr="00F44F7D" w:rsidRDefault="00F44F7D" w:rsidP="00F44F7D">
      <w:pPr>
        <w:pStyle w:val="HTMLPreformatted"/>
        <w:rPr>
          <w:rFonts w:ascii="Times New Roman" w:hAnsi="Times New Roman"/>
          <w:bCs/>
          <w:sz w:val="24"/>
        </w:rPr>
      </w:pPr>
      <w:r>
        <w:rPr>
          <w:rFonts w:ascii="Times New Roman" w:hAnsi="Times New Roman"/>
          <w:bCs/>
          <w:sz w:val="24"/>
        </w:rPr>
        <w:fldChar w:fldCharType="end"/>
      </w:r>
    </w:p>
    <w:p w14:paraId="45D0EDDE" w14:textId="77777777" w:rsidR="00F44F7D" w:rsidRDefault="00F44F7D" w:rsidP="00F04EA9">
      <w:pPr>
        <w:pStyle w:val="HTMLPreformatted"/>
        <w:jc w:val="center"/>
        <w:rPr>
          <w:rFonts w:ascii="Times New Roman" w:hAnsi="Times New Roman"/>
          <w:b/>
          <w:bCs/>
          <w:sz w:val="24"/>
        </w:rPr>
      </w:pPr>
    </w:p>
    <w:p w14:paraId="7B423DDA" w14:textId="77777777" w:rsidR="00F44F7D" w:rsidRDefault="00F44F7D" w:rsidP="00F04EA9">
      <w:pPr>
        <w:pStyle w:val="HTMLPreformatted"/>
        <w:jc w:val="center"/>
        <w:rPr>
          <w:rFonts w:ascii="Times New Roman" w:hAnsi="Times New Roman"/>
          <w:b/>
          <w:bCs/>
          <w:sz w:val="24"/>
        </w:rPr>
        <w:sectPr w:rsidR="00F44F7D" w:rsidSect="00B119BD">
          <w:headerReference w:type="even" r:id="rId14"/>
          <w:headerReference w:type="default" r:id="rId15"/>
          <w:footerReference w:type="default" r:id="rId16"/>
          <w:headerReference w:type="first" r:id="rId17"/>
          <w:pgSz w:w="12240" w:h="15840"/>
          <w:pgMar w:top="1440" w:right="1800" w:bottom="1440" w:left="1800" w:header="720" w:footer="720" w:gutter="0"/>
          <w:pgNumType w:fmt="lowerRoman" w:start="1"/>
          <w:cols w:space="720"/>
          <w:docGrid w:linePitch="360"/>
        </w:sectPr>
      </w:pPr>
    </w:p>
    <w:p w14:paraId="374BDD17" w14:textId="77777777" w:rsidR="00F04EA9" w:rsidRDefault="00F04EA9" w:rsidP="00F04EA9">
      <w:pPr>
        <w:pStyle w:val="HTMLPreformatted"/>
        <w:jc w:val="center"/>
        <w:rPr>
          <w:rFonts w:ascii="Times New Roman" w:hAnsi="Times New Roman"/>
          <w:b/>
          <w:bCs/>
          <w:sz w:val="24"/>
        </w:rPr>
      </w:pPr>
      <w:r>
        <w:rPr>
          <w:rFonts w:ascii="Times New Roman" w:hAnsi="Times New Roman"/>
          <w:b/>
          <w:bCs/>
          <w:sz w:val="24"/>
        </w:rPr>
        <w:lastRenderedPageBreak/>
        <w:t>BEFORE</w:t>
      </w:r>
    </w:p>
    <w:p w14:paraId="746D8FCC" w14:textId="77777777" w:rsidR="00F04EA9" w:rsidRDefault="00F04EA9" w:rsidP="00F04EA9">
      <w:pPr>
        <w:pStyle w:val="HTMLPreformatted"/>
        <w:jc w:val="center"/>
        <w:rPr>
          <w:rFonts w:ascii="Times New Roman" w:hAnsi="Times New Roman"/>
          <w:sz w:val="24"/>
        </w:rPr>
      </w:pPr>
      <w:r>
        <w:rPr>
          <w:rFonts w:ascii="Times New Roman" w:hAnsi="Times New Roman"/>
          <w:b/>
          <w:bCs/>
          <w:sz w:val="24"/>
        </w:rPr>
        <w:t>THE PUBLIC UTILITIES COMMISSION OF OHIO</w:t>
      </w:r>
    </w:p>
    <w:p w14:paraId="2A327A26" w14:textId="77777777" w:rsidR="00F04EA9" w:rsidRDefault="00F04EA9" w:rsidP="00F04EA9">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F04EA9" w14:paraId="6D18764F" w14:textId="77777777" w:rsidTr="00F04EA9">
        <w:trPr>
          <w:trHeight w:val="807"/>
        </w:trPr>
        <w:tc>
          <w:tcPr>
            <w:tcW w:w="4332" w:type="dxa"/>
          </w:tcPr>
          <w:p w14:paraId="6D84D327" w14:textId="77777777" w:rsidR="00F04EA9" w:rsidRDefault="00F04EA9">
            <w:pPr>
              <w:pStyle w:val="HTMLPreformatted"/>
              <w:spacing w:line="276" w:lineRule="auto"/>
              <w:rPr>
                <w:rFonts w:ascii="Times New Roman" w:hAnsi="Times New Roman" w:cs="Times New Roman"/>
                <w:sz w:val="24"/>
                <w:szCs w:val="24"/>
              </w:rPr>
            </w:pPr>
            <w:r>
              <w:rPr>
                <w:rFonts w:ascii="Times New Roman" w:hAnsi="Times New Roman" w:cs="Times New Roman"/>
                <w:sz w:val="24"/>
                <w:szCs w:val="24"/>
              </w:rPr>
              <w:t>In the Matter of the Application of The Dayton Power and Light Company for Authority to Recover Certain Storm-Related Service Restoration Costs</w:t>
            </w:r>
          </w:p>
          <w:p w14:paraId="1BA566B9" w14:textId="77777777" w:rsidR="00F04EA9" w:rsidRDefault="00F04EA9">
            <w:pPr>
              <w:pStyle w:val="HTMLPreformatted"/>
              <w:spacing w:line="276" w:lineRule="auto"/>
              <w:rPr>
                <w:rFonts w:ascii="Times New Roman" w:hAnsi="Times New Roman" w:cs="Times New Roman"/>
                <w:sz w:val="24"/>
                <w:szCs w:val="24"/>
              </w:rPr>
            </w:pPr>
          </w:p>
          <w:p w14:paraId="33627BE2" w14:textId="77777777" w:rsidR="00F04EA9" w:rsidRDefault="00F04EA9" w:rsidP="00A55BDB">
            <w:pPr>
              <w:pStyle w:val="HTMLPreformatted"/>
              <w:spacing w:line="276" w:lineRule="auto"/>
              <w:rPr>
                <w:rFonts w:ascii="Times New Roman" w:hAnsi="Times New Roman" w:cs="Times New Roman"/>
                <w:sz w:val="24"/>
                <w:szCs w:val="24"/>
              </w:rPr>
            </w:pPr>
            <w:r>
              <w:rPr>
                <w:rFonts w:ascii="Times New Roman" w:hAnsi="Times New Roman" w:cs="Times New Roman"/>
                <w:sz w:val="24"/>
                <w:szCs w:val="24"/>
              </w:rPr>
              <w:t xml:space="preserve">In the Matter of the Application of The Dayton Power and Light </w:t>
            </w:r>
            <w:r w:rsidR="001931CF">
              <w:rPr>
                <w:rFonts w:ascii="Times New Roman" w:hAnsi="Times New Roman" w:cs="Times New Roman"/>
                <w:sz w:val="24"/>
                <w:szCs w:val="24"/>
              </w:rPr>
              <w:t>C</w:t>
            </w:r>
            <w:r>
              <w:rPr>
                <w:rFonts w:ascii="Times New Roman" w:hAnsi="Times New Roman" w:cs="Times New Roman"/>
                <w:sz w:val="24"/>
                <w:szCs w:val="24"/>
              </w:rPr>
              <w:t>ompany for Approval of Certain Accounting Authority.</w:t>
            </w:r>
          </w:p>
        </w:tc>
        <w:tc>
          <w:tcPr>
            <w:tcW w:w="360" w:type="dxa"/>
          </w:tcPr>
          <w:p w14:paraId="64375B2D" w14:textId="77777777" w:rsidR="00F04EA9" w:rsidRDefault="00F04EA9">
            <w:pPr>
              <w:pStyle w:val="HTMLPreformatted"/>
              <w:spacing w:line="276" w:lineRule="auto"/>
              <w:rPr>
                <w:rFonts w:ascii="Times New Roman" w:hAnsi="Times New Roman"/>
                <w:sz w:val="24"/>
              </w:rPr>
            </w:pPr>
            <w:r>
              <w:rPr>
                <w:rFonts w:ascii="Times New Roman" w:hAnsi="Times New Roman"/>
                <w:sz w:val="24"/>
              </w:rPr>
              <w:t>)</w:t>
            </w:r>
          </w:p>
          <w:p w14:paraId="3AB1B187" w14:textId="77777777" w:rsidR="00F04EA9" w:rsidRDefault="00F04EA9">
            <w:pPr>
              <w:pStyle w:val="HTMLPreformatted"/>
              <w:spacing w:line="276" w:lineRule="auto"/>
              <w:rPr>
                <w:rFonts w:ascii="Times New Roman" w:hAnsi="Times New Roman"/>
                <w:sz w:val="24"/>
              </w:rPr>
            </w:pPr>
            <w:r>
              <w:rPr>
                <w:rFonts w:ascii="Times New Roman" w:hAnsi="Times New Roman"/>
                <w:sz w:val="24"/>
              </w:rPr>
              <w:t>)</w:t>
            </w:r>
          </w:p>
          <w:p w14:paraId="4DF45C43" w14:textId="77777777" w:rsidR="00F04EA9" w:rsidRDefault="00F04EA9">
            <w:pPr>
              <w:pStyle w:val="HTMLPreformatted"/>
              <w:spacing w:line="276" w:lineRule="auto"/>
              <w:rPr>
                <w:rFonts w:ascii="Times New Roman" w:hAnsi="Times New Roman"/>
                <w:sz w:val="24"/>
              </w:rPr>
            </w:pPr>
            <w:r>
              <w:rPr>
                <w:rFonts w:ascii="Times New Roman" w:hAnsi="Times New Roman"/>
                <w:sz w:val="24"/>
              </w:rPr>
              <w:t>)</w:t>
            </w:r>
          </w:p>
          <w:p w14:paraId="32845679" w14:textId="77777777" w:rsidR="00F04EA9" w:rsidRDefault="00F04EA9">
            <w:pPr>
              <w:pStyle w:val="HTMLPreformatted"/>
              <w:spacing w:line="276" w:lineRule="auto"/>
              <w:rPr>
                <w:rFonts w:ascii="Times New Roman" w:hAnsi="Times New Roman"/>
                <w:sz w:val="24"/>
              </w:rPr>
            </w:pPr>
            <w:r>
              <w:rPr>
                <w:rFonts w:ascii="Times New Roman" w:hAnsi="Times New Roman"/>
                <w:sz w:val="24"/>
              </w:rPr>
              <w:t>)</w:t>
            </w:r>
          </w:p>
          <w:p w14:paraId="19F63B86" w14:textId="77777777" w:rsidR="00F04EA9" w:rsidRDefault="00F04EA9">
            <w:pPr>
              <w:pStyle w:val="HTMLPreformatted"/>
              <w:spacing w:line="276" w:lineRule="auto"/>
              <w:rPr>
                <w:rFonts w:ascii="Times New Roman" w:hAnsi="Times New Roman"/>
                <w:sz w:val="24"/>
              </w:rPr>
            </w:pPr>
          </w:p>
          <w:p w14:paraId="165635CF" w14:textId="77777777" w:rsidR="00F04EA9" w:rsidRDefault="00F04EA9">
            <w:pPr>
              <w:pStyle w:val="HTMLPreformatted"/>
              <w:spacing w:line="276" w:lineRule="auto"/>
              <w:rPr>
                <w:rFonts w:ascii="Times New Roman" w:hAnsi="Times New Roman"/>
                <w:sz w:val="24"/>
              </w:rPr>
            </w:pPr>
            <w:r>
              <w:rPr>
                <w:rFonts w:ascii="Times New Roman" w:hAnsi="Times New Roman"/>
                <w:sz w:val="24"/>
              </w:rPr>
              <w:t>)</w:t>
            </w:r>
          </w:p>
          <w:p w14:paraId="045B0D89" w14:textId="77777777" w:rsidR="00F04EA9" w:rsidRDefault="00F04EA9">
            <w:pPr>
              <w:pStyle w:val="HTMLPreformatted"/>
              <w:spacing w:line="276" w:lineRule="auto"/>
              <w:rPr>
                <w:rFonts w:ascii="Times New Roman" w:hAnsi="Times New Roman"/>
                <w:sz w:val="24"/>
              </w:rPr>
            </w:pPr>
            <w:r>
              <w:rPr>
                <w:rFonts w:ascii="Times New Roman" w:hAnsi="Times New Roman"/>
                <w:sz w:val="24"/>
              </w:rPr>
              <w:t>)</w:t>
            </w:r>
          </w:p>
          <w:p w14:paraId="3422F140" w14:textId="77777777" w:rsidR="00F04EA9" w:rsidRDefault="00F04EA9">
            <w:pPr>
              <w:pStyle w:val="HTMLPreformatted"/>
              <w:spacing w:line="276" w:lineRule="auto"/>
              <w:rPr>
                <w:rFonts w:ascii="Times New Roman" w:hAnsi="Times New Roman"/>
                <w:sz w:val="24"/>
              </w:rPr>
            </w:pPr>
            <w:r>
              <w:rPr>
                <w:rFonts w:ascii="Times New Roman" w:hAnsi="Times New Roman"/>
                <w:sz w:val="24"/>
              </w:rPr>
              <w:t>)</w:t>
            </w:r>
          </w:p>
          <w:p w14:paraId="3B8DEBBB" w14:textId="77777777" w:rsidR="00F04EA9" w:rsidRDefault="00F04EA9">
            <w:pPr>
              <w:pStyle w:val="HTMLPreformatted"/>
              <w:spacing w:line="276" w:lineRule="auto"/>
              <w:rPr>
                <w:rFonts w:ascii="Times New Roman" w:hAnsi="Times New Roman"/>
                <w:sz w:val="24"/>
              </w:rPr>
            </w:pPr>
            <w:r>
              <w:rPr>
                <w:rFonts w:ascii="Times New Roman" w:hAnsi="Times New Roman"/>
                <w:sz w:val="24"/>
              </w:rPr>
              <w:t>)</w:t>
            </w:r>
          </w:p>
        </w:tc>
        <w:tc>
          <w:tcPr>
            <w:tcW w:w="4400" w:type="dxa"/>
          </w:tcPr>
          <w:p w14:paraId="4E9949B6" w14:textId="77777777" w:rsidR="00F04EA9" w:rsidRDefault="00F04EA9">
            <w:pPr>
              <w:pStyle w:val="HTMLPreformatted"/>
              <w:spacing w:line="276" w:lineRule="auto"/>
              <w:rPr>
                <w:rFonts w:ascii="Times New Roman" w:hAnsi="Times New Roman"/>
                <w:sz w:val="24"/>
              </w:rPr>
            </w:pPr>
          </w:p>
          <w:p w14:paraId="69ADB0B8" w14:textId="77777777" w:rsidR="00F04EA9" w:rsidRDefault="00F04EA9">
            <w:pPr>
              <w:pStyle w:val="HTMLPreformatted"/>
              <w:spacing w:line="276" w:lineRule="auto"/>
              <w:rPr>
                <w:rFonts w:ascii="Times New Roman" w:hAnsi="Times New Roman"/>
                <w:sz w:val="24"/>
              </w:rPr>
            </w:pPr>
          </w:p>
          <w:p w14:paraId="4761685F" w14:textId="77777777" w:rsidR="00F04EA9" w:rsidRDefault="00F04EA9">
            <w:pPr>
              <w:pStyle w:val="HTMLPreformatted"/>
              <w:spacing w:line="276" w:lineRule="auto"/>
              <w:rPr>
                <w:rFonts w:ascii="Times New Roman" w:hAnsi="Times New Roman"/>
                <w:sz w:val="24"/>
              </w:rPr>
            </w:pPr>
            <w:r>
              <w:rPr>
                <w:rFonts w:ascii="Times New Roman" w:hAnsi="Times New Roman"/>
                <w:sz w:val="24"/>
              </w:rPr>
              <w:t>Case No. 12-3062-EL-RDR</w:t>
            </w:r>
          </w:p>
          <w:p w14:paraId="7EEDE311" w14:textId="77777777" w:rsidR="00F04EA9" w:rsidRDefault="00F04EA9">
            <w:pPr>
              <w:pStyle w:val="HTMLPreformatted"/>
              <w:spacing w:line="276" w:lineRule="auto"/>
              <w:rPr>
                <w:rFonts w:ascii="Times New Roman" w:hAnsi="Times New Roman"/>
                <w:sz w:val="24"/>
              </w:rPr>
            </w:pPr>
          </w:p>
          <w:p w14:paraId="072D0C39" w14:textId="77777777" w:rsidR="00F04EA9" w:rsidRDefault="00F04EA9">
            <w:pPr>
              <w:pStyle w:val="HTMLPreformatted"/>
              <w:spacing w:line="276" w:lineRule="auto"/>
              <w:rPr>
                <w:rFonts w:ascii="Times New Roman" w:hAnsi="Times New Roman"/>
                <w:sz w:val="24"/>
              </w:rPr>
            </w:pPr>
          </w:p>
          <w:p w14:paraId="663AA2B9" w14:textId="77777777" w:rsidR="00F04EA9" w:rsidRDefault="00F04EA9">
            <w:pPr>
              <w:pStyle w:val="HTMLPreformatted"/>
              <w:spacing w:line="276" w:lineRule="auto"/>
              <w:rPr>
                <w:rFonts w:ascii="Times New Roman" w:hAnsi="Times New Roman"/>
                <w:sz w:val="24"/>
              </w:rPr>
            </w:pPr>
          </w:p>
          <w:p w14:paraId="72818000" w14:textId="77777777" w:rsidR="00F04EA9" w:rsidRDefault="00F04EA9">
            <w:pPr>
              <w:pStyle w:val="HTMLPreformatted"/>
              <w:spacing w:line="276" w:lineRule="auto"/>
              <w:rPr>
                <w:rFonts w:ascii="Times New Roman" w:hAnsi="Times New Roman"/>
                <w:sz w:val="24"/>
              </w:rPr>
            </w:pPr>
            <w:r>
              <w:rPr>
                <w:rFonts w:ascii="Times New Roman" w:hAnsi="Times New Roman"/>
                <w:sz w:val="24"/>
              </w:rPr>
              <w:t>Case No. 12-3266-EL-AAM</w:t>
            </w:r>
          </w:p>
        </w:tc>
      </w:tr>
    </w:tbl>
    <w:p w14:paraId="5E7FADB5" w14:textId="77777777" w:rsidR="00F04EA9" w:rsidRDefault="00F04EA9" w:rsidP="00F04EA9">
      <w:pPr>
        <w:pStyle w:val="HTMLPreformatted"/>
        <w:pBdr>
          <w:bottom w:val="single" w:sz="12" w:space="1" w:color="auto"/>
        </w:pBdr>
        <w:rPr>
          <w:rFonts w:ascii="Times New Roman" w:hAnsi="Times New Roman"/>
          <w:sz w:val="24"/>
        </w:rPr>
      </w:pPr>
    </w:p>
    <w:p w14:paraId="6337E014" w14:textId="77777777" w:rsidR="00F04EA9" w:rsidRDefault="00F04EA9" w:rsidP="00F04EA9">
      <w:pPr>
        <w:pStyle w:val="BodyTextIndent3"/>
        <w:widowControl w:val="0"/>
        <w:spacing w:line="240" w:lineRule="auto"/>
        <w:ind w:right="-29" w:firstLine="0"/>
      </w:pPr>
    </w:p>
    <w:p w14:paraId="719C4B9C" w14:textId="77777777" w:rsidR="00F04EA9" w:rsidRDefault="00F04EA9" w:rsidP="00F04EA9">
      <w:pPr>
        <w:pStyle w:val="BodyTextIndent3"/>
        <w:widowControl w:val="0"/>
        <w:spacing w:line="240" w:lineRule="auto"/>
        <w:ind w:right="-29" w:firstLine="0"/>
        <w:jc w:val="center"/>
        <w:rPr>
          <w:b/>
        </w:rPr>
      </w:pPr>
      <w:r>
        <w:rPr>
          <w:b/>
        </w:rPr>
        <w:t>COMMENTS</w:t>
      </w:r>
    </w:p>
    <w:p w14:paraId="140D928A" w14:textId="77777777" w:rsidR="004C1881" w:rsidRDefault="004C1881" w:rsidP="004C1881">
      <w:pPr>
        <w:pStyle w:val="BodyTextIndent3"/>
        <w:widowControl w:val="0"/>
        <w:spacing w:line="240" w:lineRule="auto"/>
        <w:ind w:right="-29" w:firstLine="0"/>
        <w:jc w:val="center"/>
        <w:rPr>
          <w:b/>
        </w:rPr>
      </w:pPr>
      <w:r>
        <w:rPr>
          <w:b/>
        </w:rPr>
        <w:t>BY</w:t>
      </w:r>
    </w:p>
    <w:p w14:paraId="67BB7D24" w14:textId="77777777" w:rsidR="004C1881" w:rsidRDefault="004C1881" w:rsidP="00F04EA9">
      <w:pPr>
        <w:pStyle w:val="BodyTextIndent3"/>
        <w:widowControl w:val="0"/>
        <w:spacing w:line="240" w:lineRule="auto"/>
        <w:ind w:right="-29" w:firstLine="0"/>
        <w:jc w:val="center"/>
        <w:rPr>
          <w:b/>
        </w:rPr>
      </w:pPr>
      <w:r>
        <w:rPr>
          <w:b/>
        </w:rPr>
        <w:t>THE OFFICE OF THE OHIO CONSUMERS’ COUNSEL</w:t>
      </w:r>
    </w:p>
    <w:p w14:paraId="1EBCB315" w14:textId="77777777" w:rsidR="00F04EA9" w:rsidRDefault="00F04EA9" w:rsidP="00F04EA9">
      <w:pPr>
        <w:pStyle w:val="BodyTextIndent3"/>
        <w:widowControl w:val="0"/>
        <w:pBdr>
          <w:bottom w:val="single" w:sz="12" w:space="1" w:color="auto"/>
        </w:pBdr>
        <w:spacing w:line="240" w:lineRule="auto"/>
        <w:ind w:right="-29" w:firstLine="0"/>
      </w:pPr>
    </w:p>
    <w:p w14:paraId="482F00C6" w14:textId="77777777" w:rsidR="00F04EA9" w:rsidRDefault="00F04EA9" w:rsidP="00F04EA9">
      <w:pPr>
        <w:pStyle w:val="BodyTextIndent3"/>
        <w:widowControl w:val="0"/>
        <w:spacing w:line="240" w:lineRule="auto"/>
        <w:ind w:right="-29" w:firstLine="0"/>
      </w:pPr>
    </w:p>
    <w:p w14:paraId="4E3D8518" w14:textId="77777777" w:rsidR="00F04EA9" w:rsidRDefault="0080211A" w:rsidP="0080211A">
      <w:pPr>
        <w:pStyle w:val="Heading1"/>
      </w:pPr>
      <w:bookmarkStart w:id="1" w:name="_Toc359248592"/>
      <w:r>
        <w:t>I.</w:t>
      </w:r>
      <w:r>
        <w:tab/>
      </w:r>
      <w:r w:rsidR="00F04EA9">
        <w:t>INTRODUCTION</w:t>
      </w:r>
      <w:bookmarkEnd w:id="1"/>
    </w:p>
    <w:p w14:paraId="7BBA26C2" w14:textId="1E253713" w:rsidR="00BF19B2" w:rsidRDefault="001A7C4D" w:rsidP="00D161AC">
      <w:pPr>
        <w:autoSpaceDE w:val="0"/>
        <w:autoSpaceDN w:val="0"/>
        <w:adjustRightInd w:val="0"/>
        <w:spacing w:after="0" w:line="480" w:lineRule="auto"/>
        <w:ind w:firstLine="720"/>
        <w:rPr>
          <w:rFonts w:ascii="Times New Roman" w:hAnsi="Times New Roman" w:cs="Times New Roman"/>
          <w:sz w:val="24"/>
          <w:szCs w:val="24"/>
        </w:rPr>
      </w:pPr>
      <w:r w:rsidRPr="001A7C4D">
        <w:rPr>
          <w:rFonts w:ascii="Times New Roman" w:hAnsi="Times New Roman" w:cs="Times New Roman"/>
          <w:sz w:val="24"/>
          <w:szCs w:val="24"/>
        </w:rPr>
        <w:t>The Office of the Ohio Consumers’ Counsel (“OCC”) files these Comments in response to</w:t>
      </w:r>
      <w:r w:rsidR="00BA10FB">
        <w:rPr>
          <w:rFonts w:ascii="Times New Roman" w:hAnsi="Times New Roman" w:cs="Times New Roman"/>
          <w:sz w:val="24"/>
          <w:szCs w:val="24"/>
        </w:rPr>
        <w:t xml:space="preserve"> the application of</w:t>
      </w:r>
      <w:r w:rsidRPr="001A7C4D">
        <w:rPr>
          <w:rFonts w:ascii="Times New Roman" w:hAnsi="Times New Roman" w:cs="Times New Roman"/>
          <w:sz w:val="24"/>
          <w:szCs w:val="24"/>
        </w:rPr>
        <w:t xml:space="preserve"> </w:t>
      </w:r>
      <w:r w:rsidR="00E97794" w:rsidRPr="001A7C4D">
        <w:rPr>
          <w:rFonts w:ascii="Times New Roman" w:hAnsi="Times New Roman" w:cs="Times New Roman"/>
          <w:sz w:val="24"/>
          <w:szCs w:val="24"/>
        </w:rPr>
        <w:t>Dayton Power and Light Company (“</w:t>
      </w:r>
      <w:r w:rsidR="00F82529" w:rsidRPr="001A7C4D">
        <w:rPr>
          <w:rFonts w:ascii="Times New Roman" w:hAnsi="Times New Roman" w:cs="Times New Roman"/>
          <w:sz w:val="24"/>
          <w:szCs w:val="24"/>
        </w:rPr>
        <w:t>DP&amp;L</w:t>
      </w:r>
      <w:r w:rsidR="00E97794" w:rsidRPr="001A7C4D">
        <w:rPr>
          <w:rFonts w:ascii="Times New Roman" w:hAnsi="Times New Roman" w:cs="Times New Roman"/>
          <w:sz w:val="24"/>
          <w:szCs w:val="24"/>
        </w:rPr>
        <w:t>” or “the Utility”)</w:t>
      </w:r>
      <w:r w:rsidR="00F82529" w:rsidRPr="001A7C4D">
        <w:rPr>
          <w:rFonts w:ascii="Times New Roman" w:hAnsi="Times New Roman" w:cs="Times New Roman"/>
          <w:sz w:val="24"/>
          <w:szCs w:val="24"/>
        </w:rPr>
        <w:t xml:space="preserve"> </w:t>
      </w:r>
      <w:r w:rsidR="00F91FCF">
        <w:rPr>
          <w:rFonts w:ascii="Times New Roman" w:hAnsi="Times New Roman" w:cs="Times New Roman"/>
          <w:sz w:val="24"/>
          <w:szCs w:val="24"/>
        </w:rPr>
        <w:t>seeking authority to collect storm-related restoration costs from its customers (“Application”)</w:t>
      </w:r>
      <w:r w:rsidR="0042743F">
        <w:rPr>
          <w:rFonts w:ascii="Times New Roman" w:hAnsi="Times New Roman" w:cs="Times New Roman"/>
          <w:sz w:val="24"/>
          <w:szCs w:val="24"/>
        </w:rPr>
        <w:t>.</w:t>
      </w:r>
      <w:r w:rsidR="00F91FCF" w:rsidRPr="001A7C4D">
        <w:rPr>
          <w:rFonts w:ascii="Times New Roman" w:hAnsi="Times New Roman" w:cs="Times New Roman"/>
          <w:sz w:val="24"/>
          <w:szCs w:val="24"/>
        </w:rPr>
        <w:t xml:space="preserve"> </w:t>
      </w:r>
      <w:r w:rsidR="00F91FCF">
        <w:rPr>
          <w:rFonts w:ascii="Times New Roman" w:hAnsi="Times New Roman" w:cs="Times New Roman"/>
          <w:sz w:val="24"/>
          <w:szCs w:val="24"/>
        </w:rPr>
        <w:t xml:space="preserve">Specifically, DP&amp;L is </w:t>
      </w:r>
      <w:r w:rsidRPr="001A7C4D">
        <w:rPr>
          <w:rFonts w:ascii="Times New Roman" w:hAnsi="Times New Roman" w:cs="Times New Roman"/>
          <w:sz w:val="24"/>
          <w:szCs w:val="24"/>
        </w:rPr>
        <w:t>request</w:t>
      </w:r>
      <w:r w:rsidR="00F91FCF">
        <w:rPr>
          <w:rFonts w:ascii="Times New Roman" w:hAnsi="Times New Roman" w:cs="Times New Roman"/>
          <w:sz w:val="24"/>
          <w:szCs w:val="24"/>
        </w:rPr>
        <w:t>ing</w:t>
      </w:r>
      <w:r w:rsidRPr="001A7C4D">
        <w:rPr>
          <w:rFonts w:ascii="Times New Roman" w:hAnsi="Times New Roman" w:cs="Times New Roman"/>
          <w:sz w:val="24"/>
          <w:szCs w:val="24"/>
        </w:rPr>
        <w:t xml:space="preserve"> </w:t>
      </w:r>
      <w:r w:rsidR="00F82529" w:rsidRPr="001A7C4D">
        <w:rPr>
          <w:rFonts w:ascii="Times New Roman" w:hAnsi="Times New Roman" w:cs="Times New Roman"/>
          <w:sz w:val="24"/>
          <w:szCs w:val="24"/>
        </w:rPr>
        <w:t>authority to</w:t>
      </w:r>
      <w:r w:rsidRPr="001A7C4D">
        <w:rPr>
          <w:rFonts w:ascii="Times New Roman" w:hAnsi="Times New Roman" w:cs="Times New Roman"/>
          <w:sz w:val="24"/>
          <w:szCs w:val="24"/>
        </w:rPr>
        <w:t xml:space="preserve"> </w:t>
      </w:r>
      <w:r w:rsidR="00F82529" w:rsidRPr="001A7C4D">
        <w:rPr>
          <w:rFonts w:ascii="Times New Roman" w:hAnsi="Times New Roman" w:cs="Times New Roman"/>
          <w:sz w:val="24"/>
          <w:szCs w:val="24"/>
        </w:rPr>
        <w:t>charge customers</w:t>
      </w:r>
      <w:r w:rsidR="00D40DC8">
        <w:rPr>
          <w:rFonts w:ascii="Times New Roman" w:hAnsi="Times New Roman" w:cs="Times New Roman"/>
          <w:sz w:val="24"/>
          <w:szCs w:val="24"/>
        </w:rPr>
        <w:t xml:space="preserve"> over  </w:t>
      </w:r>
      <w:r w:rsidR="0042743F">
        <w:rPr>
          <w:rFonts w:ascii="Times New Roman" w:hAnsi="Times New Roman" w:cs="Times New Roman"/>
          <w:sz w:val="24"/>
          <w:szCs w:val="24"/>
        </w:rPr>
        <w:t xml:space="preserve"> </w:t>
      </w:r>
      <w:r w:rsidR="00D40DC8" w:rsidRPr="00A4548D">
        <w:rPr>
          <w:rFonts w:ascii="Times New Roman" w:hAnsi="Times New Roman" w:cs="Times New Roman"/>
          <w:sz w:val="24"/>
          <w:szCs w:val="24"/>
        </w:rPr>
        <w:t>$</w:t>
      </w:r>
      <w:r w:rsidR="00D451B6">
        <w:rPr>
          <w:rFonts w:ascii="Times New Roman" w:hAnsi="Times New Roman" w:cs="Times New Roman"/>
          <w:sz w:val="24"/>
          <w:szCs w:val="24"/>
        </w:rPr>
        <w:t>65</w:t>
      </w:r>
      <w:r w:rsidR="0042743F">
        <w:rPr>
          <w:rFonts w:ascii="Times New Roman" w:hAnsi="Times New Roman" w:cs="Times New Roman"/>
          <w:sz w:val="24"/>
          <w:szCs w:val="24"/>
        </w:rPr>
        <w:t xml:space="preserve"> million</w:t>
      </w:r>
      <w:r w:rsidR="00F82529" w:rsidRPr="001A7C4D">
        <w:rPr>
          <w:rFonts w:ascii="Times New Roman" w:hAnsi="Times New Roman" w:cs="Times New Roman"/>
          <w:sz w:val="24"/>
          <w:szCs w:val="24"/>
        </w:rPr>
        <w:t xml:space="preserve"> for </w:t>
      </w:r>
      <w:r w:rsidR="00E97794" w:rsidRPr="001A7C4D">
        <w:rPr>
          <w:rFonts w:ascii="Times New Roman" w:hAnsi="Times New Roman" w:cs="Times New Roman"/>
          <w:sz w:val="24"/>
          <w:szCs w:val="24"/>
        </w:rPr>
        <w:t>Operation and Maintenance (“</w:t>
      </w:r>
      <w:r w:rsidR="00F82529" w:rsidRPr="001A7C4D">
        <w:rPr>
          <w:rFonts w:ascii="Times New Roman" w:hAnsi="Times New Roman" w:cs="Times New Roman"/>
          <w:sz w:val="24"/>
          <w:szCs w:val="24"/>
        </w:rPr>
        <w:t>O&amp;M</w:t>
      </w:r>
      <w:r w:rsidR="00E97794" w:rsidRPr="001A7C4D">
        <w:rPr>
          <w:rFonts w:ascii="Times New Roman" w:hAnsi="Times New Roman" w:cs="Times New Roman"/>
          <w:sz w:val="24"/>
          <w:szCs w:val="24"/>
        </w:rPr>
        <w:t>”)</w:t>
      </w:r>
      <w:r w:rsidR="00F82529" w:rsidRPr="001A7C4D">
        <w:rPr>
          <w:rFonts w:ascii="Times New Roman" w:hAnsi="Times New Roman" w:cs="Times New Roman"/>
          <w:sz w:val="24"/>
          <w:szCs w:val="24"/>
        </w:rPr>
        <w:t xml:space="preserve"> expenses</w:t>
      </w:r>
      <w:r w:rsidRPr="001A7C4D">
        <w:rPr>
          <w:rFonts w:ascii="Times New Roman" w:hAnsi="Times New Roman" w:cs="Times New Roman"/>
          <w:sz w:val="24"/>
          <w:szCs w:val="24"/>
        </w:rPr>
        <w:t xml:space="preserve"> and capital expenditures related to</w:t>
      </w:r>
      <w:r w:rsidR="00F82529" w:rsidRPr="001A7C4D">
        <w:rPr>
          <w:rFonts w:ascii="Times New Roman" w:hAnsi="Times New Roman" w:cs="Times New Roman"/>
          <w:sz w:val="24"/>
          <w:szCs w:val="24"/>
        </w:rPr>
        <w:t xml:space="preserve"> major event storms in </w:t>
      </w:r>
      <w:r w:rsidRPr="001A7C4D">
        <w:rPr>
          <w:rFonts w:ascii="Times New Roman" w:hAnsi="Times New Roman" w:cs="Times New Roman"/>
          <w:sz w:val="24"/>
          <w:szCs w:val="24"/>
        </w:rPr>
        <w:t xml:space="preserve">2008, </w:t>
      </w:r>
      <w:r w:rsidR="00F82529" w:rsidRPr="001A7C4D">
        <w:rPr>
          <w:rFonts w:ascii="Times New Roman" w:hAnsi="Times New Roman" w:cs="Times New Roman"/>
          <w:sz w:val="24"/>
          <w:szCs w:val="24"/>
        </w:rPr>
        <w:t>and 2012</w:t>
      </w:r>
      <w:r w:rsidRPr="001A7C4D">
        <w:rPr>
          <w:rFonts w:ascii="Times New Roman" w:hAnsi="Times New Roman" w:cs="Times New Roman"/>
          <w:sz w:val="24"/>
          <w:szCs w:val="24"/>
        </w:rPr>
        <w:t>, as well as the Utility’s request for deferral of 2011 storm costs</w:t>
      </w:r>
      <w:r w:rsidR="003362ED">
        <w:rPr>
          <w:rFonts w:ascii="Times New Roman" w:hAnsi="Times New Roman" w:cs="Times New Roman"/>
          <w:sz w:val="24"/>
          <w:szCs w:val="24"/>
        </w:rPr>
        <w:t xml:space="preserve"> and the institution of a Storm Cost Recovery Rider</w:t>
      </w:r>
      <w:r w:rsidR="00FB196C">
        <w:rPr>
          <w:rFonts w:ascii="Times New Roman" w:hAnsi="Times New Roman" w:cs="Times New Roman"/>
          <w:sz w:val="24"/>
          <w:szCs w:val="24"/>
        </w:rPr>
        <w:t xml:space="preserve"> (“</w:t>
      </w:r>
      <w:r w:rsidR="00F00B8A">
        <w:rPr>
          <w:rFonts w:ascii="Times New Roman" w:hAnsi="Times New Roman" w:cs="Times New Roman"/>
          <w:sz w:val="24"/>
          <w:szCs w:val="24"/>
        </w:rPr>
        <w:t xml:space="preserve">Storm </w:t>
      </w:r>
      <w:r w:rsidR="00FB196C">
        <w:rPr>
          <w:rFonts w:ascii="Times New Roman" w:hAnsi="Times New Roman" w:cs="Times New Roman"/>
          <w:sz w:val="24"/>
          <w:szCs w:val="24"/>
        </w:rPr>
        <w:t>Rider”)</w:t>
      </w:r>
      <w:r w:rsidRPr="001A7C4D">
        <w:rPr>
          <w:rFonts w:ascii="Times New Roman" w:hAnsi="Times New Roman" w:cs="Times New Roman"/>
          <w:sz w:val="24"/>
          <w:szCs w:val="24"/>
        </w:rPr>
        <w:t xml:space="preserve">.  </w:t>
      </w:r>
    </w:p>
    <w:p w14:paraId="2927C967" w14:textId="21B49798" w:rsidR="00806E23" w:rsidRDefault="001A7C4D" w:rsidP="00D161AC">
      <w:pPr>
        <w:autoSpaceDE w:val="0"/>
        <w:autoSpaceDN w:val="0"/>
        <w:adjustRightInd w:val="0"/>
        <w:spacing w:after="0" w:line="480" w:lineRule="auto"/>
        <w:ind w:firstLine="720"/>
        <w:rPr>
          <w:rFonts w:ascii="Times New Roman" w:hAnsi="Times New Roman" w:cs="Times New Roman"/>
          <w:sz w:val="24"/>
          <w:szCs w:val="24"/>
        </w:rPr>
      </w:pPr>
      <w:r w:rsidRPr="001A7C4D">
        <w:rPr>
          <w:rFonts w:ascii="Times New Roman" w:hAnsi="Times New Roman" w:cs="Times New Roman"/>
          <w:sz w:val="24"/>
          <w:szCs w:val="24"/>
        </w:rPr>
        <w:t>As further explained in the Comments below, th</w:t>
      </w:r>
      <w:r w:rsidR="008C0ECC">
        <w:rPr>
          <w:rFonts w:ascii="Times New Roman" w:hAnsi="Times New Roman" w:cs="Times New Roman"/>
          <w:sz w:val="24"/>
          <w:szCs w:val="24"/>
        </w:rPr>
        <w:t>e</w:t>
      </w:r>
      <w:r w:rsidRPr="001A7C4D">
        <w:rPr>
          <w:rFonts w:ascii="Times New Roman" w:hAnsi="Times New Roman" w:cs="Times New Roman"/>
          <w:sz w:val="24"/>
          <w:szCs w:val="24"/>
        </w:rPr>
        <w:t xml:space="preserve"> </w:t>
      </w:r>
      <w:r w:rsidR="008C0ECC">
        <w:rPr>
          <w:rFonts w:ascii="Times New Roman" w:hAnsi="Times New Roman" w:cs="Times New Roman"/>
          <w:sz w:val="24"/>
          <w:szCs w:val="24"/>
        </w:rPr>
        <w:t xml:space="preserve">Public Utilities </w:t>
      </w:r>
      <w:r w:rsidRPr="001A7C4D">
        <w:rPr>
          <w:rFonts w:ascii="Times New Roman" w:hAnsi="Times New Roman" w:cs="Times New Roman"/>
          <w:sz w:val="24"/>
          <w:szCs w:val="24"/>
        </w:rPr>
        <w:t xml:space="preserve">Commission </w:t>
      </w:r>
      <w:r w:rsidR="008C0ECC">
        <w:rPr>
          <w:rFonts w:ascii="Times New Roman" w:hAnsi="Times New Roman" w:cs="Times New Roman"/>
          <w:sz w:val="24"/>
          <w:szCs w:val="24"/>
        </w:rPr>
        <w:t xml:space="preserve">of Ohio (“Commission” or “PUCO”) </w:t>
      </w:r>
      <w:r w:rsidR="00E97794" w:rsidRPr="001A7C4D">
        <w:rPr>
          <w:rFonts w:ascii="Times New Roman" w:hAnsi="Times New Roman" w:cs="Times New Roman"/>
          <w:sz w:val="24"/>
          <w:szCs w:val="24"/>
        </w:rPr>
        <w:t>should</w:t>
      </w:r>
      <w:r w:rsidRPr="001A7C4D">
        <w:rPr>
          <w:rFonts w:ascii="Times New Roman" w:hAnsi="Times New Roman" w:cs="Times New Roman"/>
          <w:sz w:val="24"/>
          <w:szCs w:val="24"/>
        </w:rPr>
        <w:t xml:space="preserve"> </w:t>
      </w:r>
      <w:r w:rsidR="00232599">
        <w:rPr>
          <w:rFonts w:ascii="Times New Roman" w:hAnsi="Times New Roman" w:cs="Times New Roman"/>
          <w:sz w:val="24"/>
          <w:szCs w:val="24"/>
        </w:rPr>
        <w:t>deny</w:t>
      </w:r>
      <w:r w:rsidR="00D451B6">
        <w:rPr>
          <w:rFonts w:ascii="Times New Roman" w:hAnsi="Times New Roman" w:cs="Times New Roman"/>
          <w:sz w:val="24"/>
          <w:szCs w:val="24"/>
        </w:rPr>
        <w:t xml:space="preserve"> DP&amp;L’s </w:t>
      </w:r>
      <w:r w:rsidR="00232599">
        <w:rPr>
          <w:rFonts w:ascii="Times New Roman" w:hAnsi="Times New Roman" w:cs="Times New Roman"/>
          <w:sz w:val="24"/>
          <w:szCs w:val="24"/>
        </w:rPr>
        <w:t xml:space="preserve">request for </w:t>
      </w:r>
      <w:r w:rsidR="004652DA">
        <w:rPr>
          <w:rFonts w:ascii="Times New Roman" w:hAnsi="Times New Roman" w:cs="Times New Roman"/>
          <w:sz w:val="24"/>
          <w:szCs w:val="24"/>
        </w:rPr>
        <w:t>authority to collect</w:t>
      </w:r>
      <w:r w:rsidR="00D451B6">
        <w:rPr>
          <w:rFonts w:ascii="Times New Roman" w:hAnsi="Times New Roman" w:cs="Times New Roman"/>
          <w:sz w:val="24"/>
          <w:szCs w:val="24"/>
        </w:rPr>
        <w:t xml:space="preserve"> </w:t>
      </w:r>
      <w:r w:rsidRPr="001A7C4D">
        <w:rPr>
          <w:rFonts w:ascii="Times New Roman" w:hAnsi="Times New Roman" w:cs="Times New Roman"/>
          <w:sz w:val="24"/>
          <w:szCs w:val="24"/>
        </w:rPr>
        <w:t xml:space="preserve">O&amp;M expenses </w:t>
      </w:r>
      <w:r w:rsidR="00806E23">
        <w:rPr>
          <w:rFonts w:ascii="Times New Roman" w:hAnsi="Times New Roman" w:cs="Times New Roman"/>
          <w:sz w:val="24"/>
          <w:szCs w:val="24"/>
        </w:rPr>
        <w:t>from its customers</w:t>
      </w:r>
      <w:r w:rsidR="00232599">
        <w:rPr>
          <w:rFonts w:ascii="Times New Roman" w:hAnsi="Times New Roman" w:cs="Times New Roman"/>
          <w:sz w:val="24"/>
          <w:szCs w:val="24"/>
        </w:rPr>
        <w:t xml:space="preserve"> for storm-</w:t>
      </w:r>
      <w:r w:rsidR="004652DA">
        <w:rPr>
          <w:rFonts w:ascii="Times New Roman" w:hAnsi="Times New Roman" w:cs="Times New Roman"/>
          <w:sz w:val="24"/>
          <w:szCs w:val="24"/>
        </w:rPr>
        <w:t>restoration efforts</w:t>
      </w:r>
      <w:r w:rsidR="00806E23">
        <w:rPr>
          <w:rFonts w:ascii="Times New Roman" w:hAnsi="Times New Roman" w:cs="Times New Roman"/>
          <w:sz w:val="24"/>
          <w:szCs w:val="24"/>
        </w:rPr>
        <w:t xml:space="preserve">. </w:t>
      </w:r>
      <w:r w:rsidR="003362ED">
        <w:rPr>
          <w:rFonts w:ascii="Times New Roman" w:hAnsi="Times New Roman" w:cs="Times New Roman"/>
          <w:sz w:val="24"/>
          <w:szCs w:val="24"/>
        </w:rPr>
        <w:t xml:space="preserve"> </w:t>
      </w:r>
      <w:r w:rsidR="00806E23">
        <w:rPr>
          <w:rFonts w:ascii="Times New Roman" w:hAnsi="Times New Roman" w:cs="Times New Roman"/>
          <w:sz w:val="24"/>
          <w:szCs w:val="24"/>
        </w:rPr>
        <w:t xml:space="preserve">Such action by the </w:t>
      </w:r>
      <w:r w:rsidR="008C0ECC">
        <w:rPr>
          <w:rFonts w:ascii="Times New Roman" w:hAnsi="Times New Roman" w:cs="Times New Roman"/>
          <w:sz w:val="24"/>
          <w:szCs w:val="24"/>
        </w:rPr>
        <w:t xml:space="preserve">PUCO </w:t>
      </w:r>
      <w:r w:rsidR="00806E23">
        <w:rPr>
          <w:rFonts w:ascii="Times New Roman" w:hAnsi="Times New Roman" w:cs="Times New Roman"/>
          <w:sz w:val="24"/>
          <w:szCs w:val="24"/>
        </w:rPr>
        <w:t>is warranted because DP&amp;L failed to prove that the storm costs were prudently incurred and reasonable.  And in some cases, DP&amp;L’s calculations are just wrong.</w:t>
      </w:r>
    </w:p>
    <w:p w14:paraId="76664C88" w14:textId="0A09C8DE" w:rsidR="003D1935" w:rsidRDefault="003362ED" w:rsidP="003D1935">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w:t>
      </w:r>
      <w:r w:rsidR="008C0ECC">
        <w:rPr>
          <w:rFonts w:ascii="Times New Roman" w:hAnsi="Times New Roman" w:cs="Times New Roman"/>
          <w:sz w:val="24"/>
          <w:szCs w:val="24"/>
        </w:rPr>
        <w:t>e</w:t>
      </w:r>
      <w:r>
        <w:rPr>
          <w:rFonts w:ascii="Times New Roman" w:hAnsi="Times New Roman" w:cs="Times New Roman"/>
          <w:sz w:val="24"/>
          <w:szCs w:val="24"/>
        </w:rPr>
        <w:t xml:space="preserve"> </w:t>
      </w:r>
      <w:r w:rsidR="008C0ECC">
        <w:rPr>
          <w:rFonts w:ascii="Times New Roman" w:hAnsi="Times New Roman" w:cs="Times New Roman"/>
          <w:sz w:val="24"/>
          <w:szCs w:val="24"/>
        </w:rPr>
        <w:t>PUCO</w:t>
      </w:r>
      <w:r>
        <w:rPr>
          <w:rFonts w:ascii="Times New Roman" w:hAnsi="Times New Roman" w:cs="Times New Roman"/>
          <w:sz w:val="24"/>
          <w:szCs w:val="24"/>
        </w:rPr>
        <w:t xml:space="preserve"> should </w:t>
      </w:r>
      <w:r w:rsidR="00806E23">
        <w:rPr>
          <w:rFonts w:ascii="Times New Roman" w:hAnsi="Times New Roman" w:cs="Times New Roman"/>
          <w:sz w:val="24"/>
          <w:szCs w:val="24"/>
        </w:rPr>
        <w:t>also</w:t>
      </w:r>
      <w:r>
        <w:rPr>
          <w:rFonts w:ascii="Times New Roman" w:hAnsi="Times New Roman" w:cs="Times New Roman"/>
          <w:sz w:val="24"/>
          <w:szCs w:val="24"/>
        </w:rPr>
        <w:t xml:space="preserve"> </w:t>
      </w:r>
      <w:r w:rsidR="001A7C4D" w:rsidRPr="001A7C4D">
        <w:rPr>
          <w:rFonts w:ascii="Times New Roman" w:hAnsi="Times New Roman" w:cs="Times New Roman"/>
          <w:sz w:val="24"/>
          <w:szCs w:val="24"/>
        </w:rPr>
        <w:t xml:space="preserve">deny DP&amp;L’s request </w:t>
      </w:r>
      <w:r w:rsidR="005E7ABC">
        <w:rPr>
          <w:rFonts w:ascii="Times New Roman" w:hAnsi="Times New Roman" w:cs="Times New Roman"/>
          <w:sz w:val="24"/>
          <w:szCs w:val="24"/>
        </w:rPr>
        <w:t xml:space="preserve">to collect </w:t>
      </w:r>
      <w:r w:rsidR="001A7C4D" w:rsidRPr="001A7C4D">
        <w:rPr>
          <w:rFonts w:ascii="Times New Roman" w:hAnsi="Times New Roman" w:cs="Times New Roman"/>
          <w:sz w:val="24"/>
          <w:szCs w:val="24"/>
        </w:rPr>
        <w:t>capital expenditures</w:t>
      </w:r>
      <w:r w:rsidR="003D1935">
        <w:rPr>
          <w:rFonts w:ascii="Times New Roman" w:hAnsi="Times New Roman" w:cs="Times New Roman"/>
          <w:sz w:val="24"/>
          <w:szCs w:val="24"/>
        </w:rPr>
        <w:t xml:space="preserve"> in this proceeding. Any </w:t>
      </w:r>
      <w:r w:rsidR="00061888">
        <w:rPr>
          <w:rFonts w:ascii="Times New Roman" w:hAnsi="Times New Roman" w:cs="Times New Roman"/>
          <w:sz w:val="24"/>
          <w:szCs w:val="24"/>
        </w:rPr>
        <w:t>recovery</w:t>
      </w:r>
      <w:r w:rsidR="003D1935">
        <w:rPr>
          <w:rFonts w:ascii="Times New Roman" w:hAnsi="Times New Roman" w:cs="Times New Roman"/>
          <w:sz w:val="24"/>
          <w:szCs w:val="24"/>
        </w:rPr>
        <w:t xml:space="preserve"> of capital costs</w:t>
      </w:r>
      <w:r w:rsidR="00061888">
        <w:rPr>
          <w:rFonts w:ascii="Times New Roman" w:hAnsi="Times New Roman" w:cs="Times New Roman"/>
          <w:sz w:val="24"/>
          <w:szCs w:val="24"/>
        </w:rPr>
        <w:t xml:space="preserve"> from </w:t>
      </w:r>
      <w:r w:rsidR="003D1935">
        <w:rPr>
          <w:rFonts w:ascii="Times New Roman" w:hAnsi="Times New Roman" w:cs="Times New Roman"/>
          <w:sz w:val="24"/>
          <w:szCs w:val="24"/>
        </w:rPr>
        <w:t>customers because of storm-restoration efforts should only be permitted in a</w:t>
      </w:r>
      <w:r w:rsidR="00061888">
        <w:rPr>
          <w:rFonts w:ascii="Times New Roman" w:hAnsi="Times New Roman" w:cs="Times New Roman"/>
          <w:sz w:val="24"/>
          <w:szCs w:val="24"/>
        </w:rPr>
        <w:t>n electric distribution</w:t>
      </w:r>
      <w:r w:rsidR="003D1935">
        <w:rPr>
          <w:rFonts w:ascii="Times New Roman" w:hAnsi="Times New Roman" w:cs="Times New Roman"/>
          <w:sz w:val="24"/>
          <w:szCs w:val="24"/>
        </w:rPr>
        <w:t xml:space="preserve"> rate case. </w:t>
      </w:r>
    </w:p>
    <w:p w14:paraId="4D92EE9F" w14:textId="09A51F0C" w:rsidR="00F82529" w:rsidRDefault="00061888" w:rsidP="00D161AC">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Furthermore, </w:t>
      </w:r>
      <w:r w:rsidR="003362ED">
        <w:rPr>
          <w:rFonts w:ascii="Times New Roman" w:hAnsi="Times New Roman" w:cs="Times New Roman"/>
          <w:sz w:val="24"/>
          <w:szCs w:val="24"/>
        </w:rPr>
        <w:t xml:space="preserve">DP&amp;L’s </w:t>
      </w:r>
      <w:r w:rsidR="00E97794" w:rsidRPr="001A7C4D">
        <w:rPr>
          <w:rFonts w:ascii="Times New Roman" w:hAnsi="Times New Roman" w:cs="Times New Roman"/>
          <w:sz w:val="24"/>
          <w:szCs w:val="24"/>
        </w:rPr>
        <w:t xml:space="preserve">request for deferral of 2011 storm costs should </w:t>
      </w:r>
      <w:r w:rsidR="001A7C4D" w:rsidRPr="001A7C4D">
        <w:rPr>
          <w:rFonts w:ascii="Times New Roman" w:hAnsi="Times New Roman" w:cs="Times New Roman"/>
          <w:sz w:val="24"/>
          <w:szCs w:val="24"/>
        </w:rPr>
        <w:t xml:space="preserve">also </w:t>
      </w:r>
      <w:r w:rsidR="00E97794" w:rsidRPr="001A7C4D">
        <w:rPr>
          <w:rFonts w:ascii="Times New Roman" w:hAnsi="Times New Roman" w:cs="Times New Roman"/>
          <w:sz w:val="24"/>
          <w:szCs w:val="24"/>
        </w:rPr>
        <w:t xml:space="preserve">be denied </w:t>
      </w:r>
      <w:r w:rsidR="003362ED">
        <w:rPr>
          <w:rFonts w:ascii="Times New Roman" w:hAnsi="Times New Roman" w:cs="Times New Roman"/>
          <w:sz w:val="24"/>
          <w:szCs w:val="24"/>
        </w:rPr>
        <w:t xml:space="preserve">outright </w:t>
      </w:r>
      <w:r w:rsidR="00E97794" w:rsidRPr="001A7C4D">
        <w:rPr>
          <w:rFonts w:ascii="Times New Roman" w:hAnsi="Times New Roman" w:cs="Times New Roman"/>
          <w:sz w:val="24"/>
          <w:szCs w:val="24"/>
        </w:rPr>
        <w:t xml:space="preserve">because </w:t>
      </w:r>
      <w:r w:rsidR="003362ED">
        <w:rPr>
          <w:rFonts w:ascii="Times New Roman" w:hAnsi="Times New Roman" w:cs="Times New Roman"/>
          <w:sz w:val="24"/>
          <w:szCs w:val="24"/>
        </w:rPr>
        <w:t xml:space="preserve">the deferral request </w:t>
      </w:r>
      <w:r w:rsidR="00E97794" w:rsidRPr="001A7C4D">
        <w:rPr>
          <w:rFonts w:ascii="Times New Roman" w:hAnsi="Times New Roman" w:cs="Times New Roman"/>
          <w:sz w:val="24"/>
          <w:szCs w:val="24"/>
        </w:rPr>
        <w:t xml:space="preserve">was not timely </w:t>
      </w:r>
      <w:r w:rsidR="003362ED">
        <w:rPr>
          <w:rFonts w:ascii="Times New Roman" w:hAnsi="Times New Roman" w:cs="Times New Roman"/>
          <w:sz w:val="24"/>
          <w:szCs w:val="24"/>
        </w:rPr>
        <w:t>filed</w:t>
      </w:r>
      <w:r w:rsidR="00E97794" w:rsidRPr="001A7C4D">
        <w:rPr>
          <w:rFonts w:ascii="Times New Roman" w:hAnsi="Times New Roman" w:cs="Times New Roman"/>
          <w:sz w:val="24"/>
          <w:szCs w:val="24"/>
        </w:rPr>
        <w:t xml:space="preserve"> and the Utility failed to </w:t>
      </w:r>
      <w:r w:rsidR="003362ED">
        <w:rPr>
          <w:rFonts w:ascii="Times New Roman" w:hAnsi="Times New Roman" w:cs="Times New Roman"/>
          <w:sz w:val="24"/>
          <w:szCs w:val="24"/>
        </w:rPr>
        <w:t>allege or demonstrate</w:t>
      </w:r>
      <w:r w:rsidR="00E97794" w:rsidRPr="001A7C4D">
        <w:rPr>
          <w:rFonts w:ascii="Times New Roman" w:hAnsi="Times New Roman" w:cs="Times New Roman"/>
          <w:sz w:val="24"/>
          <w:szCs w:val="24"/>
        </w:rPr>
        <w:t xml:space="preserve"> financial need.</w:t>
      </w:r>
      <w:r w:rsidR="00CE1766">
        <w:rPr>
          <w:rFonts w:ascii="Times New Roman" w:hAnsi="Times New Roman" w:cs="Times New Roman"/>
          <w:sz w:val="24"/>
          <w:szCs w:val="24"/>
        </w:rPr>
        <w:t xml:space="preserve">  Finally, the </w:t>
      </w:r>
      <w:r w:rsidR="008C0ECC">
        <w:rPr>
          <w:rFonts w:ascii="Times New Roman" w:hAnsi="Times New Roman" w:cs="Times New Roman"/>
          <w:sz w:val="24"/>
          <w:szCs w:val="24"/>
        </w:rPr>
        <w:t xml:space="preserve">PUCO </w:t>
      </w:r>
      <w:r w:rsidR="00CE1766">
        <w:rPr>
          <w:rFonts w:ascii="Times New Roman" w:hAnsi="Times New Roman" w:cs="Times New Roman"/>
          <w:sz w:val="24"/>
          <w:szCs w:val="24"/>
        </w:rPr>
        <w:t>should deny DP&amp;L’s request for a Storm Cost Recovery Rider or</w:t>
      </w:r>
      <w:r w:rsidR="00BF19B2">
        <w:rPr>
          <w:rFonts w:ascii="Times New Roman" w:hAnsi="Times New Roman" w:cs="Times New Roman"/>
          <w:sz w:val="24"/>
          <w:szCs w:val="24"/>
        </w:rPr>
        <w:t>,</w:t>
      </w:r>
      <w:r w:rsidR="00CE1766">
        <w:rPr>
          <w:rFonts w:ascii="Times New Roman" w:hAnsi="Times New Roman" w:cs="Times New Roman"/>
          <w:sz w:val="24"/>
          <w:szCs w:val="24"/>
        </w:rPr>
        <w:t xml:space="preserve"> in the alternative, require an annual baseline of $4 million</w:t>
      </w:r>
      <w:r w:rsidR="00DD30F1">
        <w:rPr>
          <w:rFonts w:ascii="Times New Roman" w:hAnsi="Times New Roman" w:cs="Times New Roman"/>
          <w:sz w:val="24"/>
          <w:szCs w:val="24"/>
        </w:rPr>
        <w:t xml:space="preserve"> and </w:t>
      </w:r>
      <w:r w:rsidR="0048390D">
        <w:rPr>
          <w:rFonts w:ascii="Times New Roman" w:hAnsi="Times New Roman" w:cs="Times New Roman"/>
          <w:sz w:val="24"/>
          <w:szCs w:val="24"/>
        </w:rPr>
        <w:t>other consumer protections</w:t>
      </w:r>
      <w:r w:rsidR="003D1935">
        <w:rPr>
          <w:rFonts w:ascii="Times New Roman" w:hAnsi="Times New Roman" w:cs="Times New Roman"/>
          <w:sz w:val="24"/>
          <w:szCs w:val="24"/>
        </w:rPr>
        <w:t>. Such protections are necessary so</w:t>
      </w:r>
      <w:r w:rsidR="0048390D">
        <w:rPr>
          <w:rFonts w:ascii="Times New Roman" w:hAnsi="Times New Roman" w:cs="Times New Roman"/>
          <w:sz w:val="24"/>
          <w:szCs w:val="24"/>
        </w:rPr>
        <w:t xml:space="preserve"> that DP&amp;L’s customers do not pay for imprudent and unreasonable costs.  </w:t>
      </w:r>
    </w:p>
    <w:p w14:paraId="18D93549" w14:textId="3029F08E" w:rsidR="00942E87" w:rsidRPr="00306690" w:rsidRDefault="00942E87" w:rsidP="00942E87">
      <w:pPr>
        <w:pStyle w:val="Default"/>
        <w:spacing w:line="480" w:lineRule="auto"/>
        <w:ind w:firstLine="720"/>
        <w:rPr>
          <w:b/>
        </w:rPr>
      </w:pPr>
      <w:r w:rsidRPr="0080211A">
        <w:t>Alternatively, if the PUC</w:t>
      </w:r>
      <w:r>
        <w:t xml:space="preserve">O does not </w:t>
      </w:r>
      <w:r w:rsidR="00232599">
        <w:t>reject</w:t>
      </w:r>
      <w:r w:rsidRPr="0080211A">
        <w:t xml:space="preserve"> the Application</w:t>
      </w:r>
      <w:r w:rsidR="00615264">
        <w:t xml:space="preserve"> in its entire</w:t>
      </w:r>
      <w:r w:rsidR="00061888">
        <w:t>t</w:t>
      </w:r>
      <w:r w:rsidR="00615264">
        <w:t>y</w:t>
      </w:r>
      <w:r w:rsidRPr="0080211A">
        <w:t>, the</w:t>
      </w:r>
      <w:r w:rsidR="00625B7C">
        <w:t>n the</w:t>
      </w:r>
      <w:r w:rsidRPr="0080211A">
        <w:t xml:space="preserve"> PUCO should conduct an evidentiary hearing in order to fully examine the claims</w:t>
      </w:r>
      <w:r w:rsidR="00B00112">
        <w:t xml:space="preserve"> </w:t>
      </w:r>
      <w:r w:rsidRPr="0080211A">
        <w:t xml:space="preserve">made </w:t>
      </w:r>
      <w:r w:rsidR="00615264">
        <w:t>by DP&amp;L</w:t>
      </w:r>
      <w:r w:rsidRPr="0080211A">
        <w:t>. To protect consumers, the PUCO should follow OCC’s recommendations</w:t>
      </w:r>
      <w:r>
        <w:t xml:space="preserve"> </w:t>
      </w:r>
      <w:r w:rsidR="00615264">
        <w:t>below</w:t>
      </w:r>
      <w:r w:rsidRPr="0080211A">
        <w:t>.</w:t>
      </w:r>
    </w:p>
    <w:p w14:paraId="6269D0FC" w14:textId="77777777" w:rsidR="0080211A" w:rsidRPr="001A7C4D" w:rsidRDefault="0080211A" w:rsidP="0080211A">
      <w:pPr>
        <w:autoSpaceDE w:val="0"/>
        <w:autoSpaceDN w:val="0"/>
        <w:adjustRightInd w:val="0"/>
        <w:spacing w:after="0" w:line="240" w:lineRule="auto"/>
        <w:ind w:firstLine="720"/>
        <w:rPr>
          <w:rFonts w:ascii="Times New Roman" w:hAnsi="Times New Roman" w:cs="Times New Roman"/>
          <w:sz w:val="24"/>
          <w:szCs w:val="24"/>
        </w:rPr>
      </w:pPr>
    </w:p>
    <w:p w14:paraId="10832D77" w14:textId="77777777" w:rsidR="00F04EA9" w:rsidRDefault="0080211A" w:rsidP="0080211A">
      <w:pPr>
        <w:pStyle w:val="Heading1"/>
      </w:pPr>
      <w:bookmarkStart w:id="2" w:name="_Toc359248593"/>
      <w:r>
        <w:t>II.</w:t>
      </w:r>
      <w:r>
        <w:tab/>
      </w:r>
      <w:r w:rsidR="00BF4911">
        <w:t>BURDEN OF PROOF</w:t>
      </w:r>
      <w:bookmarkEnd w:id="2"/>
    </w:p>
    <w:p w14:paraId="1373E083" w14:textId="7199B605" w:rsidR="00BF4911" w:rsidRPr="00CF1322" w:rsidRDefault="00BF4911" w:rsidP="00D161AC">
      <w:pPr>
        <w:spacing w:after="0" w:line="480" w:lineRule="auto"/>
        <w:ind w:left="90" w:firstLine="630"/>
      </w:pPr>
      <w:r>
        <w:rPr>
          <w:rFonts w:ascii="Times New Roman" w:hAnsi="Times New Roman" w:cs="Times New Roman"/>
          <w:sz w:val="24"/>
          <w:szCs w:val="24"/>
        </w:rPr>
        <w:t xml:space="preserve">In a case decided just last year, the Supreme Court of Ohio </w:t>
      </w:r>
      <w:r w:rsidR="00DA5009">
        <w:rPr>
          <w:rFonts w:ascii="Times New Roman" w:hAnsi="Times New Roman" w:cs="Times New Roman"/>
          <w:sz w:val="24"/>
          <w:szCs w:val="24"/>
        </w:rPr>
        <w:t xml:space="preserve">recognized that a utility, seeking to collect storm costs from its customers, bears the burden of proving that its expenses were </w:t>
      </w:r>
      <w:r w:rsidR="00306690">
        <w:rPr>
          <w:rFonts w:ascii="Times New Roman" w:hAnsi="Times New Roman" w:cs="Times New Roman"/>
          <w:sz w:val="24"/>
          <w:szCs w:val="24"/>
        </w:rPr>
        <w:t xml:space="preserve">prudently incurred and </w:t>
      </w:r>
      <w:r w:rsidR="00DA5009">
        <w:rPr>
          <w:rFonts w:ascii="Times New Roman" w:hAnsi="Times New Roman" w:cs="Times New Roman"/>
          <w:sz w:val="24"/>
          <w:szCs w:val="24"/>
        </w:rPr>
        <w:t>reasonable.</w:t>
      </w:r>
      <w:r w:rsidR="00DA5009">
        <w:rPr>
          <w:rStyle w:val="FootnoteReference"/>
          <w:rFonts w:ascii="Times New Roman" w:hAnsi="Times New Roman" w:cs="Times New Roman"/>
          <w:sz w:val="24"/>
          <w:szCs w:val="24"/>
        </w:rPr>
        <w:footnoteReference w:id="1"/>
      </w:r>
      <w:r w:rsidR="00DA5009">
        <w:rPr>
          <w:rFonts w:ascii="Times New Roman" w:hAnsi="Times New Roman" w:cs="Times New Roman"/>
          <w:sz w:val="24"/>
          <w:szCs w:val="24"/>
        </w:rPr>
        <w:t xml:space="preserve">  And the Court emphasized that</w:t>
      </w:r>
      <w:r w:rsidR="00C054A4">
        <w:rPr>
          <w:rFonts w:ascii="Times New Roman" w:hAnsi="Times New Roman" w:cs="Times New Roman"/>
          <w:sz w:val="24"/>
          <w:szCs w:val="24"/>
        </w:rPr>
        <w:t xml:space="preserve"> in order to reduce or disallow the collection of storm costs from customers,</w:t>
      </w:r>
      <w:r w:rsidR="00DA5009">
        <w:rPr>
          <w:rFonts w:ascii="Times New Roman" w:hAnsi="Times New Roman" w:cs="Times New Roman"/>
          <w:sz w:val="24"/>
          <w:szCs w:val="24"/>
        </w:rPr>
        <w:t xml:space="preserve"> “[t]he Commission did not have to find the negative: that the expenses were imprudent.”</w:t>
      </w:r>
      <w:r w:rsidR="00DA5009">
        <w:rPr>
          <w:rStyle w:val="FootnoteReference"/>
          <w:rFonts w:ascii="Times New Roman" w:hAnsi="Times New Roman" w:cs="Times New Roman"/>
          <w:sz w:val="24"/>
          <w:szCs w:val="24"/>
        </w:rPr>
        <w:footnoteReference w:id="2"/>
      </w:r>
      <w:r w:rsidR="00DA5009">
        <w:rPr>
          <w:rFonts w:ascii="Times New Roman" w:hAnsi="Times New Roman" w:cs="Times New Roman"/>
          <w:sz w:val="24"/>
          <w:szCs w:val="24"/>
        </w:rPr>
        <w:t xml:space="preserve"> Instead, the utility has to prove a positive point—that its expenses </w:t>
      </w:r>
      <w:r w:rsidR="00306690">
        <w:rPr>
          <w:rFonts w:ascii="Times New Roman" w:hAnsi="Times New Roman" w:cs="Times New Roman"/>
          <w:sz w:val="24"/>
          <w:szCs w:val="24"/>
        </w:rPr>
        <w:t xml:space="preserve">had been </w:t>
      </w:r>
      <w:r w:rsidR="00DA5009">
        <w:rPr>
          <w:rFonts w:ascii="Times New Roman" w:hAnsi="Times New Roman" w:cs="Times New Roman"/>
          <w:sz w:val="24"/>
          <w:szCs w:val="24"/>
        </w:rPr>
        <w:t xml:space="preserve">prudently </w:t>
      </w:r>
      <w:r w:rsidR="00806E23">
        <w:rPr>
          <w:rFonts w:ascii="Times New Roman" w:hAnsi="Times New Roman" w:cs="Times New Roman"/>
          <w:sz w:val="24"/>
          <w:szCs w:val="24"/>
        </w:rPr>
        <w:t>incurred—</w:t>
      </w:r>
      <w:r w:rsidR="00DA5009">
        <w:rPr>
          <w:rFonts w:ascii="Times New Roman" w:hAnsi="Times New Roman" w:cs="Times New Roman"/>
          <w:sz w:val="24"/>
          <w:szCs w:val="24"/>
        </w:rPr>
        <w:t>in order</w:t>
      </w:r>
      <w:r w:rsidR="00806E23">
        <w:rPr>
          <w:rFonts w:ascii="Times New Roman" w:hAnsi="Times New Roman" w:cs="Times New Roman"/>
          <w:sz w:val="24"/>
          <w:szCs w:val="24"/>
        </w:rPr>
        <w:t xml:space="preserve"> to collect those costs from</w:t>
      </w:r>
      <w:r w:rsidR="00DA5009">
        <w:rPr>
          <w:rFonts w:ascii="Times New Roman" w:hAnsi="Times New Roman" w:cs="Times New Roman"/>
          <w:sz w:val="24"/>
          <w:szCs w:val="24"/>
        </w:rPr>
        <w:t xml:space="preserve"> customers.</w:t>
      </w:r>
      <w:r w:rsidR="00806E23">
        <w:rPr>
          <w:rStyle w:val="FootnoteReference"/>
          <w:rFonts w:ascii="Times New Roman" w:hAnsi="Times New Roman" w:cs="Times New Roman"/>
          <w:sz w:val="24"/>
          <w:szCs w:val="24"/>
        </w:rPr>
        <w:footnoteReference w:id="3"/>
      </w:r>
      <w:r w:rsidR="00DA5009">
        <w:rPr>
          <w:rFonts w:ascii="Times New Roman" w:hAnsi="Times New Roman" w:cs="Times New Roman"/>
          <w:sz w:val="24"/>
          <w:szCs w:val="24"/>
        </w:rPr>
        <w:t xml:space="preserve">  </w:t>
      </w:r>
      <w:r w:rsidR="00806E23">
        <w:rPr>
          <w:rFonts w:ascii="Times New Roman" w:hAnsi="Times New Roman" w:cs="Times New Roman"/>
          <w:sz w:val="24"/>
          <w:szCs w:val="24"/>
        </w:rPr>
        <w:t xml:space="preserve">Accordingly, if the evidence is “inconclusive or questionable,” the </w:t>
      </w:r>
      <w:r w:rsidR="008C0ECC">
        <w:rPr>
          <w:rFonts w:ascii="Times New Roman" w:hAnsi="Times New Roman" w:cs="Times New Roman"/>
          <w:sz w:val="24"/>
          <w:szCs w:val="24"/>
        </w:rPr>
        <w:t xml:space="preserve">PUCO </w:t>
      </w:r>
      <w:r w:rsidR="00806E23">
        <w:rPr>
          <w:rFonts w:ascii="Times New Roman" w:hAnsi="Times New Roman" w:cs="Times New Roman"/>
          <w:sz w:val="24"/>
          <w:szCs w:val="24"/>
        </w:rPr>
        <w:t>should reduce or disallow the collection of those costs from DP&amp;L’s customers.</w:t>
      </w:r>
      <w:r w:rsidR="00806E23">
        <w:rPr>
          <w:rStyle w:val="FootnoteReference"/>
          <w:rFonts w:ascii="Times New Roman" w:hAnsi="Times New Roman" w:cs="Times New Roman"/>
          <w:sz w:val="24"/>
          <w:szCs w:val="24"/>
        </w:rPr>
        <w:footnoteReference w:id="4"/>
      </w:r>
      <w:r w:rsidR="00806E23">
        <w:rPr>
          <w:rFonts w:ascii="Times New Roman" w:hAnsi="Times New Roman" w:cs="Times New Roman"/>
          <w:sz w:val="24"/>
          <w:szCs w:val="24"/>
        </w:rPr>
        <w:t xml:space="preserve">  </w:t>
      </w:r>
    </w:p>
    <w:p w14:paraId="5F78B07E" w14:textId="77777777" w:rsidR="00F04EA9" w:rsidRDefault="00F04EA9" w:rsidP="00D161AC">
      <w:pPr>
        <w:spacing w:after="0" w:line="240" w:lineRule="auto"/>
      </w:pPr>
    </w:p>
    <w:p w14:paraId="3417C6BD" w14:textId="77777777" w:rsidR="00F04EA9" w:rsidRDefault="00F04EA9" w:rsidP="0080211A">
      <w:pPr>
        <w:pStyle w:val="Heading1"/>
      </w:pPr>
      <w:bookmarkStart w:id="3" w:name="_Toc359248594"/>
      <w:r>
        <w:t>III.</w:t>
      </w:r>
      <w:r>
        <w:tab/>
        <w:t>COMMENTS</w:t>
      </w:r>
      <w:bookmarkEnd w:id="3"/>
    </w:p>
    <w:p w14:paraId="0F3008E5" w14:textId="1887A608" w:rsidR="00025748" w:rsidRPr="00A81370" w:rsidRDefault="00025748" w:rsidP="0080211A">
      <w:pPr>
        <w:pStyle w:val="Heading2"/>
      </w:pPr>
      <w:bookmarkStart w:id="4" w:name="_Toc359248595"/>
      <w:r>
        <w:t>A.</w:t>
      </w:r>
      <w:r>
        <w:tab/>
      </w:r>
      <w:r w:rsidRPr="00A81370">
        <w:t>DP</w:t>
      </w:r>
      <w:r w:rsidR="006A1131" w:rsidRPr="00A81370">
        <w:t>&amp;</w:t>
      </w:r>
      <w:r w:rsidRPr="00A81370">
        <w:t xml:space="preserve">L Failed </w:t>
      </w:r>
      <w:r w:rsidR="006A1131" w:rsidRPr="00A81370">
        <w:t xml:space="preserve">To </w:t>
      </w:r>
      <w:r w:rsidRPr="00A81370">
        <w:t xml:space="preserve">Show </w:t>
      </w:r>
      <w:r w:rsidR="006A1131" w:rsidRPr="00A81370">
        <w:t xml:space="preserve">That </w:t>
      </w:r>
      <w:r w:rsidRPr="00A81370">
        <w:t xml:space="preserve">Any Of </w:t>
      </w:r>
      <w:r w:rsidR="006A1131" w:rsidRPr="00A81370">
        <w:t xml:space="preserve">The </w:t>
      </w:r>
      <w:r w:rsidRPr="00A81370">
        <w:t xml:space="preserve">Storms </w:t>
      </w:r>
      <w:r w:rsidR="003D1935">
        <w:t>(</w:t>
      </w:r>
      <w:r w:rsidRPr="00A81370">
        <w:t xml:space="preserve">For Which It Seeks </w:t>
      </w:r>
      <w:r w:rsidR="003D1935">
        <w:t>Authority to Charge its Customers</w:t>
      </w:r>
      <w:r w:rsidR="00B00112">
        <w:t>)</w:t>
      </w:r>
      <w:r w:rsidR="003D1935">
        <w:t xml:space="preserve"> </w:t>
      </w:r>
      <w:r w:rsidRPr="00A81370">
        <w:t xml:space="preserve">Meet The Definition Of </w:t>
      </w:r>
      <w:r w:rsidR="006A1131" w:rsidRPr="00A81370">
        <w:t>“</w:t>
      </w:r>
      <w:r w:rsidRPr="00A81370">
        <w:t>Major Event</w:t>
      </w:r>
      <w:r w:rsidR="006A1131" w:rsidRPr="00A81370">
        <w:t xml:space="preserve">” </w:t>
      </w:r>
      <w:r w:rsidRPr="00A81370">
        <w:t>In Ohio Adm</w:t>
      </w:r>
      <w:r w:rsidR="006A1131" w:rsidRPr="00A81370">
        <w:t xml:space="preserve">. </w:t>
      </w:r>
      <w:r w:rsidRPr="00A81370">
        <w:t xml:space="preserve">Code </w:t>
      </w:r>
      <w:r w:rsidR="006A1131" w:rsidRPr="00A81370">
        <w:t>4901:1-10-</w:t>
      </w:r>
      <w:r w:rsidR="008079C4">
        <w:t>0</w:t>
      </w:r>
      <w:r w:rsidR="006A1131" w:rsidRPr="00A81370">
        <w:t>1(</w:t>
      </w:r>
      <w:r w:rsidRPr="00A81370">
        <w:t>Q</w:t>
      </w:r>
      <w:r w:rsidR="006A1131" w:rsidRPr="00A81370">
        <w:t>).</w:t>
      </w:r>
      <w:bookmarkEnd w:id="4"/>
    </w:p>
    <w:p w14:paraId="40D1F090" w14:textId="5F3FA334" w:rsidR="00025748" w:rsidRPr="003B3F0F" w:rsidRDefault="00FB196C" w:rsidP="00025748">
      <w:pPr>
        <w:autoSpaceDE w:val="0"/>
        <w:autoSpaceDN w:val="0"/>
        <w:adjustRightInd w:val="0"/>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Under </w:t>
      </w:r>
      <w:r w:rsidRPr="00FB196C">
        <w:rPr>
          <w:rFonts w:ascii="Times New Roman" w:hAnsi="Times New Roman" w:cs="Times New Roman"/>
          <w:sz w:val="24"/>
          <w:szCs w:val="24"/>
        </w:rPr>
        <w:t>Ohio Adm. Code 4901:1-10-0</w:t>
      </w:r>
      <w:r w:rsidR="008079C4">
        <w:rPr>
          <w:rFonts w:ascii="Times New Roman" w:hAnsi="Times New Roman" w:cs="Times New Roman"/>
          <w:sz w:val="24"/>
          <w:szCs w:val="24"/>
        </w:rPr>
        <w:t>1</w:t>
      </w:r>
      <w:r w:rsidRPr="00FB196C">
        <w:rPr>
          <w:rFonts w:ascii="Times New Roman" w:hAnsi="Times New Roman" w:cs="Times New Roman"/>
          <w:sz w:val="24"/>
          <w:szCs w:val="24"/>
        </w:rPr>
        <w:t>(Q)</w:t>
      </w:r>
      <w:r>
        <w:rPr>
          <w:rFonts w:ascii="Times New Roman" w:eastAsia="Calibri" w:hAnsi="Times New Roman" w:cs="Times New Roman"/>
          <w:sz w:val="24"/>
          <w:szCs w:val="24"/>
        </w:rPr>
        <w:t xml:space="preserve"> t</w:t>
      </w:r>
      <w:r w:rsidR="00025748" w:rsidRPr="003B3F0F">
        <w:rPr>
          <w:rFonts w:ascii="Times New Roman" w:eastAsia="Calibri" w:hAnsi="Times New Roman" w:cs="Times New Roman"/>
          <w:sz w:val="24"/>
          <w:szCs w:val="24"/>
        </w:rPr>
        <w:t xml:space="preserve">he definition of “major event” is </w:t>
      </w:r>
      <w:r w:rsidR="00025748">
        <w:rPr>
          <w:rFonts w:ascii="Times New Roman" w:eastAsia="Calibri" w:hAnsi="Times New Roman" w:cs="Times New Roman"/>
          <w:sz w:val="24"/>
          <w:szCs w:val="24"/>
        </w:rPr>
        <w:t>any event that</w:t>
      </w:r>
      <w:r w:rsidR="008079C4">
        <w:rPr>
          <w:rFonts w:ascii="Times New Roman" w:eastAsia="Calibri" w:hAnsi="Times New Roman" w:cs="Times New Roman"/>
          <w:sz w:val="24"/>
          <w:szCs w:val="24"/>
        </w:rPr>
        <w:t>:</w:t>
      </w:r>
      <w:r w:rsidR="00025748" w:rsidRPr="003B3F0F">
        <w:rPr>
          <w:rFonts w:ascii="Times New Roman" w:eastAsia="Calibri" w:hAnsi="Times New Roman" w:cs="Times New Roman"/>
          <w:sz w:val="24"/>
          <w:szCs w:val="24"/>
        </w:rPr>
        <w:t xml:space="preserve"> </w:t>
      </w:r>
    </w:p>
    <w:p w14:paraId="5106A711" w14:textId="77777777" w:rsidR="00025748" w:rsidRPr="003B3F0F" w:rsidRDefault="00025748" w:rsidP="00D161AC">
      <w:pPr>
        <w:autoSpaceDE w:val="0"/>
        <w:autoSpaceDN w:val="0"/>
        <w:adjustRightInd w:val="0"/>
        <w:spacing w:after="240"/>
        <w:ind w:left="1440" w:right="720"/>
        <w:rPr>
          <w:rFonts w:ascii="Times New Roman" w:eastAsia="Calibri" w:hAnsi="Times New Roman" w:cs="Times New Roman"/>
          <w:sz w:val="24"/>
          <w:szCs w:val="24"/>
        </w:rPr>
      </w:pPr>
      <w:r w:rsidRPr="003B3F0F">
        <w:rPr>
          <w:rFonts w:ascii="Times New Roman" w:eastAsia="Calibri" w:hAnsi="Times New Roman" w:cs="Times New Roman"/>
          <w:sz w:val="24"/>
          <w:szCs w:val="24"/>
        </w:rPr>
        <w:t xml:space="preserve">encompasses any calendar day when an electric utility’s system average interruption duration index (SAIDI) exceeds the major event day threshold using the methodology outlined in section 4.5 of standard 1366-2003 adopted by the institute of electric and electronics engineers (IEEE) in “IEEE Guide for Electric Power Distribution Reliability Indices.”  The threshold will be calculated by determining the </w:t>
      </w:r>
      <w:r w:rsidRPr="003578C1">
        <w:rPr>
          <w:rFonts w:ascii="Times New Roman" w:eastAsia="Calibri" w:hAnsi="Times New Roman" w:cs="Times New Roman"/>
          <w:sz w:val="24"/>
          <w:szCs w:val="24"/>
        </w:rPr>
        <w:t>SAIDI</w:t>
      </w:r>
      <w:r w:rsidRPr="003B3F0F">
        <w:rPr>
          <w:rFonts w:ascii="Times New Roman" w:eastAsia="Calibri" w:hAnsi="Times New Roman" w:cs="Times New Roman"/>
          <w:sz w:val="24"/>
          <w:szCs w:val="24"/>
        </w:rPr>
        <w:t xml:space="preserve"> associated with adding 2.5 standard deviations to the average of the natural logarithms of the electric utility’s daily </w:t>
      </w:r>
      <w:r w:rsidRPr="003578C1">
        <w:rPr>
          <w:rFonts w:ascii="Times New Roman" w:eastAsia="Calibri" w:hAnsi="Times New Roman" w:cs="Times New Roman"/>
          <w:sz w:val="24"/>
          <w:szCs w:val="24"/>
        </w:rPr>
        <w:t>SAIDI</w:t>
      </w:r>
      <w:r w:rsidRPr="003B3F0F">
        <w:rPr>
          <w:rFonts w:ascii="Times New Roman" w:eastAsia="Calibri" w:hAnsi="Times New Roman" w:cs="Times New Roman"/>
          <w:sz w:val="24"/>
          <w:szCs w:val="24"/>
        </w:rPr>
        <w:t xml:space="preserve"> performance during the most recent five-year period.  The computation for a major event requires the exclusion of transmission outages.</w:t>
      </w:r>
      <w:r>
        <w:rPr>
          <w:rStyle w:val="FootnoteReference"/>
          <w:rFonts w:ascii="Times New Roman" w:eastAsia="Calibri" w:hAnsi="Times New Roman" w:cs="Times New Roman"/>
          <w:sz w:val="24"/>
          <w:szCs w:val="24"/>
        </w:rPr>
        <w:footnoteReference w:id="5"/>
      </w:r>
    </w:p>
    <w:p w14:paraId="07442074" w14:textId="77777777" w:rsidR="00025748" w:rsidRDefault="00025748" w:rsidP="00AE37BF">
      <w:pPr>
        <w:autoSpaceDE w:val="0"/>
        <w:autoSpaceDN w:val="0"/>
        <w:adjustRightInd w:val="0"/>
        <w:spacing w:line="240" w:lineRule="auto"/>
        <w:ind w:firstLine="720"/>
        <w:rPr>
          <w:rFonts w:ascii="Times New Roman" w:hAnsi="Times New Roman" w:cs="Times New Roman"/>
          <w:sz w:val="24"/>
          <w:szCs w:val="24"/>
        </w:rPr>
      </w:pPr>
    </w:p>
    <w:p w14:paraId="5B9DBD7C" w14:textId="67229A81" w:rsidR="00025748" w:rsidRDefault="00D21F3A" w:rsidP="00D161A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There must be a major event that has occurred if the utility is to collect restoration costs from customers, </w:t>
      </w:r>
      <w:r w:rsidR="003A73F6">
        <w:rPr>
          <w:rFonts w:ascii="Times New Roman" w:hAnsi="Times New Roman" w:cs="Times New Roman"/>
          <w:sz w:val="24"/>
          <w:szCs w:val="24"/>
        </w:rPr>
        <w:t>T</w:t>
      </w:r>
      <w:r w:rsidR="00025748">
        <w:rPr>
          <w:rFonts w:ascii="Times New Roman" w:hAnsi="Times New Roman" w:cs="Times New Roman"/>
          <w:sz w:val="24"/>
          <w:szCs w:val="24"/>
        </w:rPr>
        <w:t xml:space="preserve">he Utility </w:t>
      </w:r>
      <w:r w:rsidR="003A73F6">
        <w:rPr>
          <w:rFonts w:ascii="Times New Roman" w:hAnsi="Times New Roman" w:cs="Times New Roman"/>
          <w:sz w:val="24"/>
          <w:szCs w:val="24"/>
        </w:rPr>
        <w:t>bears</w:t>
      </w:r>
      <w:r w:rsidR="00025748">
        <w:rPr>
          <w:rFonts w:ascii="Times New Roman" w:hAnsi="Times New Roman" w:cs="Times New Roman"/>
          <w:sz w:val="24"/>
          <w:szCs w:val="24"/>
        </w:rPr>
        <w:t xml:space="preserve"> the burden of establishing that a “major event” has taken place.</w:t>
      </w:r>
    </w:p>
    <w:p w14:paraId="3C2ABE0A" w14:textId="13CE378E" w:rsidR="00C70A88" w:rsidRDefault="00025748" w:rsidP="00D161AC">
      <w:pPr>
        <w:autoSpaceDE w:val="0"/>
        <w:autoSpaceDN w:val="0"/>
        <w:adjustRightInd w:val="0"/>
        <w:spacing w:after="0" w:line="480" w:lineRule="auto"/>
        <w:ind w:firstLine="720"/>
        <w:rPr>
          <w:rFonts w:ascii="Times New Roman" w:hAnsi="Times New Roman" w:cs="Times New Roman"/>
          <w:sz w:val="24"/>
          <w:szCs w:val="24"/>
        </w:rPr>
      </w:pPr>
      <w:r w:rsidRPr="003B3F0F">
        <w:rPr>
          <w:rFonts w:ascii="Times New Roman" w:hAnsi="Times New Roman" w:cs="Times New Roman"/>
          <w:sz w:val="24"/>
          <w:szCs w:val="24"/>
        </w:rPr>
        <w:t>DP&amp;L</w:t>
      </w:r>
      <w:r w:rsidRPr="003B3F0F">
        <w:rPr>
          <w:rFonts w:ascii="Times New Roman" w:eastAsia="Calibri" w:hAnsi="Times New Roman" w:cs="Times New Roman"/>
          <w:sz w:val="24"/>
          <w:szCs w:val="24"/>
        </w:rPr>
        <w:t xml:space="preserve"> </w:t>
      </w:r>
      <w:r w:rsidR="00A521CE">
        <w:rPr>
          <w:rFonts w:ascii="Times New Roman" w:eastAsia="Calibri" w:hAnsi="Times New Roman" w:cs="Times New Roman"/>
          <w:sz w:val="24"/>
          <w:szCs w:val="24"/>
        </w:rPr>
        <w:t xml:space="preserve">claims </w:t>
      </w:r>
      <w:r w:rsidRPr="003B3F0F">
        <w:rPr>
          <w:rFonts w:ascii="Times New Roman" w:eastAsia="Calibri" w:hAnsi="Times New Roman" w:cs="Times New Roman"/>
          <w:sz w:val="24"/>
          <w:szCs w:val="24"/>
        </w:rPr>
        <w:t xml:space="preserve">that its Major Event Day threshold (excluding transmission outages) </w:t>
      </w:r>
      <w:r w:rsidRPr="003B3F0F">
        <w:rPr>
          <w:rFonts w:ascii="Times New Roman" w:hAnsi="Times New Roman" w:cs="Times New Roman"/>
          <w:sz w:val="24"/>
          <w:szCs w:val="24"/>
        </w:rPr>
        <w:t>has been exceeded for each of the storms</w:t>
      </w:r>
      <w:r>
        <w:rPr>
          <w:rFonts w:ascii="Times New Roman" w:hAnsi="Times New Roman" w:cs="Times New Roman"/>
          <w:sz w:val="24"/>
          <w:szCs w:val="24"/>
        </w:rPr>
        <w:t xml:space="preserve"> for which it requests recovery and/or deferral</w:t>
      </w:r>
      <w:r w:rsidRPr="003B3F0F">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Pr="003B3F0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While </w:t>
      </w:r>
      <w:r w:rsidRPr="003B3F0F">
        <w:rPr>
          <w:rFonts w:ascii="Times New Roman" w:hAnsi="Times New Roman" w:cs="Times New Roman"/>
          <w:sz w:val="24"/>
          <w:szCs w:val="24"/>
        </w:rPr>
        <w:t>DP&amp;L did provide</w:t>
      </w:r>
      <w:r w:rsidRPr="003B3F0F">
        <w:rPr>
          <w:rFonts w:ascii="Times New Roman" w:eastAsia="Calibri" w:hAnsi="Times New Roman" w:cs="Times New Roman"/>
          <w:sz w:val="24"/>
          <w:szCs w:val="24"/>
        </w:rPr>
        <w:t xml:space="preserve"> some information regarding the number of customers affected, the types of equipment affected </w:t>
      </w:r>
      <w:r w:rsidRPr="003B3F0F">
        <w:rPr>
          <w:rFonts w:ascii="Times New Roman" w:hAnsi="Times New Roman" w:cs="Times New Roman"/>
          <w:sz w:val="24"/>
          <w:szCs w:val="24"/>
        </w:rPr>
        <w:t xml:space="preserve">for some of the storms </w:t>
      </w:r>
      <w:r w:rsidRPr="003B3F0F">
        <w:rPr>
          <w:rFonts w:ascii="Times New Roman" w:eastAsia="Calibri" w:hAnsi="Times New Roman" w:cs="Times New Roman"/>
          <w:sz w:val="24"/>
          <w:szCs w:val="24"/>
        </w:rPr>
        <w:t xml:space="preserve">and the total expenses it seeks </w:t>
      </w:r>
      <w:r>
        <w:rPr>
          <w:rFonts w:ascii="Times New Roman" w:eastAsia="Calibri" w:hAnsi="Times New Roman" w:cs="Times New Roman"/>
          <w:sz w:val="24"/>
          <w:szCs w:val="24"/>
        </w:rPr>
        <w:t xml:space="preserve">to </w:t>
      </w:r>
      <w:r w:rsidRPr="003B3F0F">
        <w:rPr>
          <w:rFonts w:ascii="Times New Roman" w:eastAsia="Calibri" w:hAnsi="Times New Roman" w:cs="Times New Roman"/>
          <w:sz w:val="24"/>
          <w:szCs w:val="24"/>
        </w:rPr>
        <w:t>collect through the Rider</w:t>
      </w:r>
      <w:r>
        <w:rPr>
          <w:rFonts w:ascii="Times New Roman" w:eastAsia="Calibri" w:hAnsi="Times New Roman" w:cs="Times New Roman"/>
          <w:sz w:val="24"/>
          <w:szCs w:val="24"/>
        </w:rPr>
        <w:t>, its</w:t>
      </w:r>
      <w:r w:rsidRPr="003B3F0F">
        <w:rPr>
          <w:rFonts w:ascii="Times New Roman" w:eastAsia="Calibri" w:hAnsi="Times New Roman" w:cs="Times New Roman"/>
          <w:sz w:val="24"/>
          <w:szCs w:val="24"/>
        </w:rPr>
        <w:t xml:space="preserve"> Application</w:t>
      </w:r>
      <w:r>
        <w:rPr>
          <w:rFonts w:ascii="Times New Roman" w:eastAsia="Calibri" w:hAnsi="Times New Roman" w:cs="Times New Roman"/>
          <w:sz w:val="24"/>
          <w:szCs w:val="24"/>
        </w:rPr>
        <w:t xml:space="preserve"> </w:t>
      </w:r>
      <w:r w:rsidRPr="003B3F0F">
        <w:rPr>
          <w:rFonts w:ascii="Times New Roman" w:eastAsia="Calibri" w:hAnsi="Times New Roman" w:cs="Times New Roman"/>
          <w:sz w:val="24"/>
          <w:szCs w:val="24"/>
        </w:rPr>
        <w:t xml:space="preserve">contains no calculation of the number of customer-minutes interrupted for the days </w:t>
      </w:r>
      <w:r>
        <w:rPr>
          <w:rFonts w:ascii="Times New Roman" w:eastAsia="Calibri" w:hAnsi="Times New Roman" w:cs="Times New Roman"/>
          <w:sz w:val="24"/>
          <w:szCs w:val="24"/>
        </w:rPr>
        <w:t xml:space="preserve">that </w:t>
      </w:r>
      <w:r w:rsidRPr="003B3F0F">
        <w:rPr>
          <w:rFonts w:ascii="Times New Roman" w:hAnsi="Times New Roman" w:cs="Times New Roman"/>
          <w:sz w:val="24"/>
          <w:szCs w:val="24"/>
        </w:rPr>
        <w:t>DP&amp;L</w:t>
      </w:r>
      <w:r w:rsidRPr="003B3F0F">
        <w:rPr>
          <w:rFonts w:ascii="Times New Roman" w:eastAsia="Calibri" w:hAnsi="Times New Roman" w:cs="Times New Roman"/>
          <w:sz w:val="24"/>
          <w:szCs w:val="24"/>
        </w:rPr>
        <w:t xml:space="preserve"> claims meet the “</w:t>
      </w:r>
      <w:r w:rsidR="00232599">
        <w:rPr>
          <w:rFonts w:ascii="Times New Roman" w:eastAsia="Calibri" w:hAnsi="Times New Roman" w:cs="Times New Roman"/>
          <w:sz w:val="24"/>
          <w:szCs w:val="24"/>
        </w:rPr>
        <w:t>M</w:t>
      </w:r>
      <w:r w:rsidRPr="003B3F0F">
        <w:rPr>
          <w:rFonts w:ascii="Times New Roman" w:eastAsia="Calibri" w:hAnsi="Times New Roman" w:cs="Times New Roman"/>
          <w:sz w:val="24"/>
          <w:szCs w:val="24"/>
        </w:rPr>
        <w:t xml:space="preserve">ajor </w:t>
      </w:r>
      <w:r w:rsidR="00232599">
        <w:rPr>
          <w:rFonts w:ascii="Times New Roman" w:eastAsia="Calibri" w:hAnsi="Times New Roman" w:cs="Times New Roman"/>
          <w:sz w:val="24"/>
          <w:szCs w:val="24"/>
        </w:rPr>
        <w:t>E</w:t>
      </w:r>
      <w:r w:rsidRPr="003B3F0F">
        <w:rPr>
          <w:rFonts w:ascii="Times New Roman" w:eastAsia="Calibri" w:hAnsi="Times New Roman" w:cs="Times New Roman"/>
          <w:sz w:val="24"/>
          <w:szCs w:val="24"/>
        </w:rPr>
        <w:t xml:space="preserve">vent </w:t>
      </w:r>
      <w:r w:rsidR="00232599">
        <w:rPr>
          <w:rFonts w:ascii="Times New Roman" w:eastAsia="Calibri" w:hAnsi="Times New Roman" w:cs="Times New Roman"/>
          <w:sz w:val="24"/>
          <w:szCs w:val="24"/>
        </w:rPr>
        <w:t>D</w:t>
      </w:r>
      <w:r w:rsidRPr="003B3F0F">
        <w:rPr>
          <w:rFonts w:ascii="Times New Roman" w:eastAsia="Calibri" w:hAnsi="Times New Roman" w:cs="Times New Roman"/>
          <w:sz w:val="24"/>
          <w:szCs w:val="24"/>
        </w:rPr>
        <w:t>ay”</w:t>
      </w:r>
      <w:r>
        <w:rPr>
          <w:rFonts w:ascii="Times New Roman" w:eastAsia="Calibri" w:hAnsi="Times New Roman" w:cs="Times New Roman"/>
          <w:sz w:val="24"/>
          <w:szCs w:val="24"/>
        </w:rPr>
        <w:t xml:space="preserve"> definition.</w:t>
      </w:r>
      <w:r w:rsidRPr="003B3F0F">
        <w:rPr>
          <w:rFonts w:ascii="Times New Roman" w:eastAsia="Calibri" w:hAnsi="Times New Roman" w:cs="Times New Roman"/>
          <w:sz w:val="24"/>
          <w:szCs w:val="24"/>
        </w:rPr>
        <w:t xml:space="preserve">  </w:t>
      </w:r>
      <w:r w:rsidRPr="003B3F0F">
        <w:rPr>
          <w:rFonts w:ascii="Times New Roman" w:hAnsi="Times New Roman" w:cs="Times New Roman"/>
          <w:sz w:val="24"/>
          <w:szCs w:val="24"/>
        </w:rPr>
        <w:t>DP&amp;L’s</w:t>
      </w:r>
      <w:r w:rsidRPr="003B3F0F">
        <w:rPr>
          <w:rFonts w:ascii="Times New Roman" w:eastAsia="Calibri" w:hAnsi="Times New Roman" w:cs="Times New Roman"/>
          <w:sz w:val="24"/>
          <w:szCs w:val="24"/>
        </w:rPr>
        <w:t xml:space="preserve"> Application also does not separate customer-minutes interrupted by the Transmission and Distribution functions.</w:t>
      </w:r>
      <w:r w:rsidRPr="003B3F0F">
        <w:rPr>
          <w:rFonts w:ascii="Times New Roman" w:hAnsi="Times New Roman" w:cs="Times New Roman"/>
          <w:sz w:val="24"/>
          <w:szCs w:val="24"/>
        </w:rPr>
        <w:t xml:space="preserve">  </w:t>
      </w:r>
    </w:p>
    <w:p w14:paraId="4D7B127E" w14:textId="32EB853D" w:rsidR="00025748" w:rsidRPr="003B3F0F" w:rsidRDefault="00025748" w:rsidP="00D161AC">
      <w:pPr>
        <w:autoSpaceDE w:val="0"/>
        <w:autoSpaceDN w:val="0"/>
        <w:adjustRightInd w:val="0"/>
        <w:spacing w:after="0" w:line="480" w:lineRule="auto"/>
        <w:ind w:firstLine="720"/>
        <w:rPr>
          <w:rFonts w:ascii="Times New Roman" w:hAnsi="Times New Roman" w:cs="Times New Roman"/>
          <w:b/>
          <w:sz w:val="24"/>
          <w:szCs w:val="24"/>
        </w:rPr>
      </w:pPr>
      <w:r w:rsidRPr="003B3F0F">
        <w:rPr>
          <w:rFonts w:ascii="Times New Roman" w:eastAsia="Calibri" w:hAnsi="Times New Roman" w:cs="Times New Roman"/>
          <w:sz w:val="24"/>
          <w:szCs w:val="24"/>
        </w:rPr>
        <w:t xml:space="preserve">Thus, </w:t>
      </w:r>
      <w:r w:rsidRPr="003B3F0F">
        <w:rPr>
          <w:rFonts w:ascii="Times New Roman" w:hAnsi="Times New Roman" w:cs="Times New Roman"/>
          <w:sz w:val="24"/>
          <w:szCs w:val="24"/>
        </w:rPr>
        <w:t xml:space="preserve">DP&amp;L </w:t>
      </w:r>
      <w:r>
        <w:rPr>
          <w:rFonts w:ascii="Times New Roman" w:hAnsi="Times New Roman" w:cs="Times New Roman"/>
          <w:sz w:val="24"/>
          <w:szCs w:val="24"/>
        </w:rPr>
        <w:t>failed to carry its burden of establishing</w:t>
      </w:r>
      <w:r w:rsidRPr="003B3F0F">
        <w:rPr>
          <w:rFonts w:ascii="Times New Roman" w:eastAsia="Calibri" w:hAnsi="Times New Roman" w:cs="Times New Roman"/>
          <w:sz w:val="24"/>
          <w:szCs w:val="24"/>
        </w:rPr>
        <w:t xml:space="preserve"> that a “major event” – as defined in Ohio Adm. Code 4901:1-10-0</w:t>
      </w:r>
      <w:r w:rsidR="008079C4">
        <w:rPr>
          <w:rFonts w:ascii="Times New Roman" w:eastAsia="Calibri" w:hAnsi="Times New Roman" w:cs="Times New Roman"/>
          <w:sz w:val="24"/>
          <w:szCs w:val="24"/>
        </w:rPr>
        <w:t>1</w:t>
      </w:r>
      <w:r w:rsidRPr="003B3F0F">
        <w:rPr>
          <w:rFonts w:ascii="Times New Roman" w:eastAsia="Calibri" w:hAnsi="Times New Roman" w:cs="Times New Roman"/>
          <w:sz w:val="24"/>
          <w:szCs w:val="24"/>
        </w:rPr>
        <w:t>(Q) – occurred on the days identified in the Application</w:t>
      </w:r>
      <w:r w:rsidR="00C70A88">
        <w:rPr>
          <w:rFonts w:ascii="Times New Roman" w:eastAsia="Calibri" w:hAnsi="Times New Roman" w:cs="Times New Roman"/>
          <w:sz w:val="24"/>
          <w:szCs w:val="24"/>
        </w:rPr>
        <w:t xml:space="preserve">.  DP&amp;L’s failure to carry its burden </w:t>
      </w:r>
      <w:r w:rsidRPr="003B3F0F">
        <w:rPr>
          <w:rFonts w:ascii="Times New Roman" w:eastAsia="Calibri" w:hAnsi="Times New Roman" w:cs="Times New Roman"/>
          <w:sz w:val="24"/>
          <w:szCs w:val="24"/>
        </w:rPr>
        <w:t xml:space="preserve">should </w:t>
      </w:r>
      <w:r>
        <w:rPr>
          <w:rFonts w:ascii="Times New Roman" w:eastAsia="Calibri" w:hAnsi="Times New Roman" w:cs="Times New Roman"/>
          <w:sz w:val="24"/>
          <w:szCs w:val="24"/>
        </w:rPr>
        <w:t xml:space="preserve">result in </w:t>
      </w:r>
      <w:r w:rsidR="00232599">
        <w:rPr>
          <w:rFonts w:ascii="Times New Roman" w:eastAsia="Calibri" w:hAnsi="Times New Roman" w:cs="Times New Roman"/>
          <w:sz w:val="24"/>
          <w:szCs w:val="24"/>
        </w:rPr>
        <w:t xml:space="preserve">an </w:t>
      </w:r>
      <w:r>
        <w:rPr>
          <w:rFonts w:ascii="Times New Roman" w:eastAsia="Calibri" w:hAnsi="Times New Roman" w:cs="Times New Roman"/>
          <w:sz w:val="24"/>
          <w:szCs w:val="24"/>
        </w:rPr>
        <w:t xml:space="preserve">outright </w:t>
      </w:r>
      <w:r w:rsidRPr="003B3F0F">
        <w:rPr>
          <w:rFonts w:ascii="Times New Roman" w:eastAsia="Calibri" w:hAnsi="Times New Roman" w:cs="Times New Roman"/>
          <w:sz w:val="24"/>
          <w:szCs w:val="24"/>
        </w:rPr>
        <w:t>den</w:t>
      </w:r>
      <w:r>
        <w:rPr>
          <w:rFonts w:ascii="Times New Roman" w:eastAsia="Calibri" w:hAnsi="Times New Roman" w:cs="Times New Roman"/>
          <w:sz w:val="24"/>
          <w:szCs w:val="24"/>
        </w:rPr>
        <w:t>ial</w:t>
      </w:r>
      <w:r w:rsidRPr="003B3F0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of </w:t>
      </w:r>
      <w:r w:rsidRPr="003B3F0F">
        <w:rPr>
          <w:rFonts w:ascii="Times New Roman" w:eastAsia="Calibri" w:hAnsi="Times New Roman" w:cs="Times New Roman"/>
          <w:sz w:val="24"/>
          <w:szCs w:val="24"/>
        </w:rPr>
        <w:t>the Application as filed</w:t>
      </w:r>
      <w:r w:rsidRPr="003578C1">
        <w:rPr>
          <w:rFonts w:ascii="Times New Roman" w:eastAsia="Calibri" w:hAnsi="Times New Roman" w:cs="Times New Roman"/>
          <w:sz w:val="24"/>
          <w:szCs w:val="24"/>
        </w:rPr>
        <w:t>.</w:t>
      </w:r>
    </w:p>
    <w:p w14:paraId="05813A74" w14:textId="5AEC2DF7" w:rsidR="009E6E2A" w:rsidRPr="00B15C21" w:rsidRDefault="00025748" w:rsidP="0080211A">
      <w:pPr>
        <w:pStyle w:val="Heading2"/>
      </w:pPr>
      <w:bookmarkStart w:id="5" w:name="_Toc359248596"/>
      <w:r>
        <w:t>B</w:t>
      </w:r>
      <w:r w:rsidR="00B15C21" w:rsidRPr="00B15C21">
        <w:t>.</w:t>
      </w:r>
      <w:r w:rsidR="00B15C21" w:rsidRPr="00B15C21">
        <w:tab/>
      </w:r>
      <w:r w:rsidR="00282066">
        <w:t>DP</w:t>
      </w:r>
      <w:r w:rsidR="006A1131">
        <w:t>&amp;</w:t>
      </w:r>
      <w:r w:rsidR="00282066">
        <w:t>L</w:t>
      </w:r>
      <w:r w:rsidR="009E6E2A" w:rsidRPr="00B15C21">
        <w:t xml:space="preserve"> </w:t>
      </w:r>
      <w:r w:rsidR="006D01D0">
        <w:t xml:space="preserve">Understated </w:t>
      </w:r>
      <w:r w:rsidR="009E6E2A" w:rsidRPr="00B15C21">
        <w:t>The Three</w:t>
      </w:r>
      <w:r w:rsidR="006A1131" w:rsidRPr="00B15C21">
        <w:t>-</w:t>
      </w:r>
      <w:r w:rsidR="009E6E2A" w:rsidRPr="00B15C21">
        <w:t>Year</w:t>
      </w:r>
      <w:r w:rsidR="008E0E15" w:rsidRPr="00B15C21">
        <w:t xml:space="preserve"> </w:t>
      </w:r>
      <w:r w:rsidR="009E6E2A" w:rsidRPr="00B15C21">
        <w:t>Average Of O</w:t>
      </w:r>
      <w:r w:rsidR="00282066">
        <w:t xml:space="preserve">peration </w:t>
      </w:r>
      <w:r w:rsidR="006A1131">
        <w:t xml:space="preserve">And </w:t>
      </w:r>
      <w:r w:rsidR="00282066">
        <w:t xml:space="preserve">Maintenance </w:t>
      </w:r>
      <w:r w:rsidR="009E6E2A" w:rsidRPr="00B15C21">
        <w:t>Expense</w:t>
      </w:r>
      <w:r w:rsidR="00282066">
        <w:t>s</w:t>
      </w:r>
      <w:r w:rsidR="009E6E2A" w:rsidRPr="00B15C21">
        <w:t xml:space="preserve"> Used To Reduce DP</w:t>
      </w:r>
      <w:r w:rsidR="006A1131" w:rsidRPr="00B15C21">
        <w:t>&amp;</w:t>
      </w:r>
      <w:r w:rsidR="009E6E2A" w:rsidRPr="00B15C21">
        <w:t xml:space="preserve">L’s Deferred </w:t>
      </w:r>
      <w:r w:rsidR="006A1131" w:rsidRPr="00B15C21">
        <w:t xml:space="preserve">2008 </w:t>
      </w:r>
      <w:r w:rsidR="009E6E2A" w:rsidRPr="00B15C21">
        <w:t>Major</w:t>
      </w:r>
      <w:r w:rsidR="008E0E15" w:rsidRPr="00B15C21">
        <w:t xml:space="preserve"> </w:t>
      </w:r>
      <w:r w:rsidR="009E6E2A" w:rsidRPr="00B15C21">
        <w:t>Storm Expenditures</w:t>
      </w:r>
      <w:r w:rsidR="00A521CE">
        <w:t xml:space="preserve"> Which Results in Customers Paying More Than They Should For Storm Costs</w:t>
      </w:r>
      <w:r w:rsidR="009E6E2A" w:rsidRPr="00B15C21">
        <w:t>.</w:t>
      </w:r>
      <w:bookmarkEnd w:id="5"/>
    </w:p>
    <w:p w14:paraId="49AC1CFA" w14:textId="3E18994A" w:rsidR="00F04EA9" w:rsidRDefault="00B64986" w:rsidP="009E6E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8C0ECC">
        <w:rPr>
          <w:rFonts w:ascii="Times New Roman" w:hAnsi="Times New Roman" w:cs="Times New Roman"/>
          <w:sz w:val="24"/>
          <w:szCs w:val="24"/>
        </w:rPr>
        <w:t xml:space="preserve">PUCO </w:t>
      </w:r>
      <w:r>
        <w:rPr>
          <w:rFonts w:ascii="Times New Roman" w:hAnsi="Times New Roman" w:cs="Times New Roman"/>
          <w:sz w:val="24"/>
          <w:szCs w:val="24"/>
        </w:rPr>
        <w:t xml:space="preserve">authorized </w:t>
      </w:r>
      <w:r w:rsidR="007A0C62">
        <w:rPr>
          <w:rFonts w:ascii="Times New Roman" w:hAnsi="Times New Roman" w:cs="Times New Roman"/>
          <w:sz w:val="24"/>
          <w:szCs w:val="24"/>
        </w:rPr>
        <w:t>DP&amp;L</w:t>
      </w:r>
      <w:r w:rsidR="009E6E2A" w:rsidRPr="00B15C21">
        <w:rPr>
          <w:rFonts w:ascii="Times New Roman" w:hAnsi="Times New Roman" w:cs="Times New Roman"/>
          <w:sz w:val="24"/>
          <w:szCs w:val="24"/>
        </w:rPr>
        <w:t xml:space="preserve"> </w:t>
      </w:r>
      <w:r w:rsidR="00346534" w:rsidRPr="00B15C21">
        <w:rPr>
          <w:rFonts w:ascii="Times New Roman" w:hAnsi="Times New Roman" w:cs="Times New Roman"/>
          <w:sz w:val="24"/>
          <w:szCs w:val="24"/>
        </w:rPr>
        <w:t xml:space="preserve">to defer </w:t>
      </w:r>
      <w:r w:rsidR="004D7CFF" w:rsidRPr="00B15C21">
        <w:rPr>
          <w:rFonts w:ascii="Times New Roman" w:hAnsi="Times New Roman" w:cs="Times New Roman"/>
          <w:sz w:val="24"/>
          <w:szCs w:val="24"/>
        </w:rPr>
        <w:t xml:space="preserve">a portion of the </w:t>
      </w:r>
      <w:r w:rsidR="00346534" w:rsidRPr="00B15C21">
        <w:rPr>
          <w:rFonts w:ascii="Times New Roman" w:hAnsi="Times New Roman" w:cs="Times New Roman"/>
          <w:sz w:val="24"/>
          <w:szCs w:val="24"/>
        </w:rPr>
        <w:t xml:space="preserve">O&amp;M </w:t>
      </w:r>
      <w:r w:rsidR="000B61AF">
        <w:rPr>
          <w:rFonts w:ascii="Times New Roman" w:hAnsi="Times New Roman" w:cs="Times New Roman"/>
          <w:sz w:val="24"/>
          <w:szCs w:val="24"/>
        </w:rPr>
        <w:t xml:space="preserve">major </w:t>
      </w:r>
      <w:r w:rsidR="00346534" w:rsidRPr="00B15C21">
        <w:rPr>
          <w:rFonts w:ascii="Times New Roman" w:hAnsi="Times New Roman" w:cs="Times New Roman"/>
          <w:sz w:val="24"/>
          <w:szCs w:val="24"/>
        </w:rPr>
        <w:t>storm expense</w:t>
      </w:r>
      <w:r w:rsidR="005E01C2">
        <w:rPr>
          <w:rFonts w:ascii="Times New Roman" w:hAnsi="Times New Roman" w:cs="Times New Roman"/>
          <w:sz w:val="24"/>
          <w:szCs w:val="24"/>
        </w:rPr>
        <w:t>s</w:t>
      </w:r>
      <w:r w:rsidR="00346534" w:rsidRPr="00B15C21">
        <w:rPr>
          <w:rFonts w:ascii="Times New Roman" w:hAnsi="Times New Roman" w:cs="Times New Roman"/>
          <w:sz w:val="24"/>
          <w:szCs w:val="24"/>
        </w:rPr>
        <w:t xml:space="preserve"> related to </w:t>
      </w:r>
      <w:r w:rsidR="000D088A" w:rsidRPr="00B15C21">
        <w:rPr>
          <w:rFonts w:ascii="Times New Roman" w:hAnsi="Times New Roman" w:cs="Times New Roman"/>
          <w:sz w:val="24"/>
          <w:szCs w:val="24"/>
        </w:rPr>
        <w:t xml:space="preserve">the </w:t>
      </w:r>
      <w:r w:rsidR="004D7CFF" w:rsidRPr="00B15C21">
        <w:rPr>
          <w:rFonts w:ascii="Times New Roman" w:hAnsi="Times New Roman" w:cs="Times New Roman"/>
          <w:sz w:val="24"/>
          <w:szCs w:val="24"/>
        </w:rPr>
        <w:t>restoration</w:t>
      </w:r>
      <w:r w:rsidR="000D088A" w:rsidRPr="00B15C21">
        <w:rPr>
          <w:rFonts w:ascii="Times New Roman" w:hAnsi="Times New Roman" w:cs="Times New Roman"/>
          <w:sz w:val="24"/>
          <w:szCs w:val="24"/>
        </w:rPr>
        <w:t xml:space="preserve"> work </w:t>
      </w:r>
      <w:r w:rsidR="00827CE9">
        <w:rPr>
          <w:rFonts w:ascii="Times New Roman" w:hAnsi="Times New Roman" w:cs="Times New Roman"/>
          <w:sz w:val="24"/>
          <w:szCs w:val="24"/>
        </w:rPr>
        <w:t>associated with the September 14, 2008 wind storm</w:t>
      </w:r>
      <w:r w:rsidR="00346534" w:rsidRPr="00B15C21">
        <w:rPr>
          <w:rFonts w:ascii="Times New Roman" w:hAnsi="Times New Roman" w:cs="Times New Roman"/>
          <w:sz w:val="24"/>
          <w:szCs w:val="24"/>
        </w:rPr>
        <w:t xml:space="preserve">.  </w:t>
      </w:r>
      <w:r w:rsidR="00F04EA9">
        <w:rPr>
          <w:rFonts w:ascii="Times New Roman" w:hAnsi="Times New Roman" w:cs="Times New Roman"/>
          <w:sz w:val="24"/>
          <w:szCs w:val="24"/>
        </w:rPr>
        <w:t>Specifically,</w:t>
      </w:r>
      <w:r w:rsidR="004D7CFF" w:rsidRPr="00B15C21">
        <w:rPr>
          <w:rFonts w:ascii="Times New Roman" w:hAnsi="Times New Roman" w:cs="Times New Roman"/>
          <w:sz w:val="24"/>
          <w:szCs w:val="24"/>
        </w:rPr>
        <w:t xml:space="preserve"> DP&amp;L was </w:t>
      </w:r>
      <w:r w:rsidR="00D60C10">
        <w:rPr>
          <w:rFonts w:ascii="Times New Roman" w:hAnsi="Times New Roman" w:cs="Times New Roman"/>
          <w:sz w:val="24"/>
          <w:szCs w:val="24"/>
        </w:rPr>
        <w:t xml:space="preserve">authorized to </w:t>
      </w:r>
      <w:r w:rsidR="004D7CFF" w:rsidRPr="00B15C21">
        <w:rPr>
          <w:rFonts w:ascii="Times New Roman" w:hAnsi="Times New Roman" w:cs="Times New Roman"/>
          <w:sz w:val="24"/>
          <w:szCs w:val="24"/>
        </w:rPr>
        <w:t xml:space="preserve">defer </w:t>
      </w:r>
      <w:r w:rsidR="00D60C10">
        <w:rPr>
          <w:rFonts w:ascii="Times New Roman" w:hAnsi="Times New Roman" w:cs="Times New Roman"/>
          <w:sz w:val="24"/>
          <w:szCs w:val="24"/>
        </w:rPr>
        <w:t>“incremental O&amp;M expenses associated with the September 14, 2008 wind storm, with carrying costs, ***”</w:t>
      </w:r>
      <w:r w:rsidR="00D60C10">
        <w:rPr>
          <w:rStyle w:val="FootnoteReference"/>
          <w:rFonts w:ascii="Times New Roman" w:hAnsi="Times New Roman" w:cs="Times New Roman"/>
          <w:sz w:val="24"/>
          <w:szCs w:val="24"/>
        </w:rPr>
        <w:footnoteReference w:id="7"/>
      </w:r>
      <w:r w:rsidR="004D7CFF" w:rsidRPr="00B15C21">
        <w:rPr>
          <w:rFonts w:ascii="Times New Roman" w:hAnsi="Times New Roman" w:cs="Times New Roman"/>
          <w:sz w:val="24"/>
          <w:szCs w:val="24"/>
        </w:rPr>
        <w:t xml:space="preserve"> </w:t>
      </w:r>
      <w:r w:rsidR="00D60C10">
        <w:rPr>
          <w:rFonts w:ascii="Times New Roman" w:hAnsi="Times New Roman" w:cs="Times New Roman"/>
          <w:sz w:val="24"/>
          <w:szCs w:val="24"/>
        </w:rPr>
        <w:t xml:space="preserve">that exceed the </w:t>
      </w:r>
      <w:r w:rsidR="000D088A" w:rsidRPr="00B15C21">
        <w:rPr>
          <w:rFonts w:ascii="Times New Roman" w:hAnsi="Times New Roman" w:cs="Times New Roman"/>
          <w:sz w:val="24"/>
          <w:szCs w:val="24"/>
        </w:rPr>
        <w:t>three-year average service restoration O&amp;M expenses for major storms.</w:t>
      </w:r>
      <w:r w:rsidR="009663D7" w:rsidRPr="00B15C21">
        <w:rPr>
          <w:rStyle w:val="FootnoteReference"/>
          <w:rFonts w:ascii="Times New Roman" w:hAnsi="Times New Roman" w:cs="Times New Roman"/>
          <w:sz w:val="24"/>
          <w:szCs w:val="24"/>
        </w:rPr>
        <w:footnoteReference w:id="8"/>
      </w:r>
      <w:r w:rsidR="00FC5AF4" w:rsidRPr="00B15C21">
        <w:rPr>
          <w:rFonts w:ascii="Times New Roman" w:hAnsi="Times New Roman" w:cs="Times New Roman"/>
          <w:sz w:val="24"/>
          <w:szCs w:val="24"/>
        </w:rPr>
        <w:t xml:space="preserve"> </w:t>
      </w:r>
      <w:r w:rsidR="009E6E2A" w:rsidRPr="00B15C21">
        <w:rPr>
          <w:rFonts w:ascii="Times New Roman" w:hAnsi="Times New Roman" w:cs="Times New Roman"/>
          <w:sz w:val="24"/>
          <w:szCs w:val="24"/>
        </w:rPr>
        <w:t xml:space="preserve"> </w:t>
      </w:r>
      <w:r w:rsidR="00F04EA9">
        <w:rPr>
          <w:rFonts w:ascii="Times New Roman" w:hAnsi="Times New Roman" w:cs="Times New Roman"/>
          <w:sz w:val="24"/>
          <w:szCs w:val="24"/>
        </w:rPr>
        <w:t xml:space="preserve">However, </w:t>
      </w:r>
      <w:r w:rsidR="00FC5AF4" w:rsidRPr="00B15C21">
        <w:rPr>
          <w:rFonts w:ascii="Times New Roman" w:hAnsi="Times New Roman" w:cs="Times New Roman"/>
          <w:sz w:val="24"/>
          <w:szCs w:val="24"/>
        </w:rPr>
        <w:t>Schedule C-2 of the Application</w:t>
      </w:r>
      <w:r w:rsidR="007F4FF5">
        <w:rPr>
          <w:rFonts w:ascii="Times New Roman" w:hAnsi="Times New Roman" w:cs="Times New Roman"/>
          <w:sz w:val="24"/>
          <w:szCs w:val="24"/>
        </w:rPr>
        <w:t xml:space="preserve"> </w:t>
      </w:r>
      <w:r w:rsidR="00F04EA9">
        <w:rPr>
          <w:rFonts w:ascii="Times New Roman" w:hAnsi="Times New Roman" w:cs="Times New Roman"/>
          <w:sz w:val="24"/>
          <w:szCs w:val="24"/>
        </w:rPr>
        <w:t xml:space="preserve">indicates that </w:t>
      </w:r>
      <w:r w:rsidR="00FC5AF4" w:rsidRPr="00B15C21">
        <w:rPr>
          <w:rFonts w:ascii="Times New Roman" w:hAnsi="Times New Roman" w:cs="Times New Roman"/>
          <w:sz w:val="24"/>
          <w:szCs w:val="24"/>
        </w:rPr>
        <w:t xml:space="preserve">DP&amp;L </w:t>
      </w:r>
      <w:r w:rsidR="00F04EA9">
        <w:rPr>
          <w:rFonts w:ascii="Times New Roman" w:hAnsi="Times New Roman" w:cs="Times New Roman"/>
          <w:sz w:val="24"/>
          <w:szCs w:val="24"/>
        </w:rPr>
        <w:t xml:space="preserve">improperly </w:t>
      </w:r>
      <w:r w:rsidR="009C066A">
        <w:rPr>
          <w:rFonts w:ascii="Times New Roman" w:hAnsi="Times New Roman" w:cs="Times New Roman"/>
          <w:sz w:val="24"/>
          <w:szCs w:val="24"/>
        </w:rPr>
        <w:t>under-stated</w:t>
      </w:r>
      <w:r w:rsidR="009C066A" w:rsidRPr="00B15C21">
        <w:rPr>
          <w:rFonts w:ascii="Times New Roman" w:hAnsi="Times New Roman" w:cs="Times New Roman"/>
          <w:sz w:val="24"/>
          <w:szCs w:val="24"/>
        </w:rPr>
        <w:t xml:space="preserve"> </w:t>
      </w:r>
      <w:r w:rsidR="00FC5AF4" w:rsidRPr="00B15C21">
        <w:rPr>
          <w:rFonts w:ascii="Times New Roman" w:hAnsi="Times New Roman" w:cs="Times New Roman"/>
          <w:sz w:val="24"/>
          <w:szCs w:val="24"/>
        </w:rPr>
        <w:t xml:space="preserve">the three-year average service restoration O&amp;M expenses for major storm events. </w:t>
      </w:r>
      <w:r w:rsidR="009E6E2A" w:rsidRPr="00B15C21">
        <w:rPr>
          <w:rFonts w:ascii="Times New Roman" w:hAnsi="Times New Roman" w:cs="Times New Roman"/>
          <w:sz w:val="24"/>
          <w:szCs w:val="24"/>
        </w:rPr>
        <w:t xml:space="preserve"> </w:t>
      </w:r>
      <w:r w:rsidR="00FA1107">
        <w:rPr>
          <w:rFonts w:ascii="Times New Roman" w:hAnsi="Times New Roman" w:cs="Times New Roman"/>
          <w:sz w:val="24"/>
          <w:szCs w:val="24"/>
        </w:rPr>
        <w:t xml:space="preserve">DP&amp;L’s understatement means that it will be easier for it to exceed the threshold and thereby charge customers </w:t>
      </w:r>
      <w:r w:rsidR="00061888">
        <w:rPr>
          <w:rFonts w:ascii="Times New Roman" w:hAnsi="Times New Roman" w:cs="Times New Roman"/>
          <w:sz w:val="24"/>
          <w:szCs w:val="24"/>
        </w:rPr>
        <w:t xml:space="preserve">more than what they should have to pay </w:t>
      </w:r>
      <w:r w:rsidR="00FA1107">
        <w:rPr>
          <w:rFonts w:ascii="Times New Roman" w:hAnsi="Times New Roman" w:cs="Times New Roman"/>
          <w:sz w:val="24"/>
          <w:szCs w:val="24"/>
        </w:rPr>
        <w:t>for storm expenses.</w:t>
      </w:r>
    </w:p>
    <w:p w14:paraId="6AE07C6F" w14:textId="77777777" w:rsidR="00C40EC7" w:rsidRPr="00B15C21" w:rsidRDefault="009E6E2A" w:rsidP="009E6E2A">
      <w:pPr>
        <w:spacing w:after="0" w:line="480" w:lineRule="auto"/>
        <w:ind w:firstLine="720"/>
        <w:rPr>
          <w:rFonts w:ascii="Times New Roman" w:hAnsi="Times New Roman" w:cs="Times New Roman"/>
          <w:sz w:val="24"/>
          <w:szCs w:val="24"/>
        </w:rPr>
      </w:pPr>
      <w:r w:rsidRPr="00B15C21">
        <w:rPr>
          <w:rFonts w:ascii="Times New Roman" w:hAnsi="Times New Roman" w:cs="Times New Roman"/>
          <w:sz w:val="24"/>
          <w:szCs w:val="24"/>
        </w:rPr>
        <w:t xml:space="preserve">In </w:t>
      </w:r>
      <w:r w:rsidR="006D01D0">
        <w:rPr>
          <w:rFonts w:ascii="Times New Roman" w:hAnsi="Times New Roman" w:cs="Times New Roman"/>
          <w:sz w:val="24"/>
          <w:szCs w:val="24"/>
        </w:rPr>
        <w:t>the Utility’s</w:t>
      </w:r>
      <w:r w:rsidRPr="00B15C21">
        <w:rPr>
          <w:rFonts w:ascii="Times New Roman" w:hAnsi="Times New Roman" w:cs="Times New Roman"/>
          <w:sz w:val="24"/>
          <w:szCs w:val="24"/>
        </w:rPr>
        <w:t xml:space="preserve"> three-year average calculation, shown below, DP&amp;L included a storm O&amp;M expense amount of $1,573,662 for 2005.</w:t>
      </w:r>
      <w:r w:rsidR="00881221" w:rsidRPr="00B15C21">
        <w:rPr>
          <w:rStyle w:val="FootnoteReference"/>
          <w:rFonts w:ascii="Times New Roman" w:hAnsi="Times New Roman" w:cs="Times New Roman"/>
          <w:sz w:val="24"/>
          <w:szCs w:val="24"/>
        </w:rPr>
        <w:footnoteReference w:id="9"/>
      </w:r>
      <w:r w:rsidRPr="00B15C21">
        <w:rPr>
          <w:rFonts w:ascii="Times New Roman" w:hAnsi="Times New Roman" w:cs="Times New Roman"/>
          <w:sz w:val="24"/>
          <w:szCs w:val="24"/>
        </w:rPr>
        <w:t xml:space="preserve">  </w:t>
      </w:r>
      <w:r w:rsidR="00D60C10">
        <w:rPr>
          <w:rFonts w:ascii="Times New Roman" w:hAnsi="Times New Roman" w:cs="Times New Roman"/>
          <w:sz w:val="24"/>
          <w:szCs w:val="24"/>
        </w:rPr>
        <w:t xml:space="preserve">But DP&amp;L </w:t>
      </w:r>
      <w:r w:rsidR="006D01D0">
        <w:rPr>
          <w:rFonts w:ascii="Times New Roman" w:hAnsi="Times New Roman" w:cs="Times New Roman"/>
          <w:sz w:val="24"/>
          <w:szCs w:val="24"/>
        </w:rPr>
        <w:t>understated</w:t>
      </w:r>
      <w:r w:rsidR="007F4FF5">
        <w:rPr>
          <w:rFonts w:ascii="Times New Roman" w:hAnsi="Times New Roman" w:cs="Times New Roman"/>
          <w:sz w:val="24"/>
          <w:szCs w:val="24"/>
        </w:rPr>
        <w:t xml:space="preserve"> </w:t>
      </w:r>
      <w:r w:rsidR="002F45E3" w:rsidRPr="00B15C21">
        <w:rPr>
          <w:rFonts w:ascii="Times New Roman" w:hAnsi="Times New Roman" w:cs="Times New Roman"/>
          <w:sz w:val="24"/>
          <w:szCs w:val="24"/>
        </w:rPr>
        <w:t xml:space="preserve">the </w:t>
      </w:r>
      <w:r w:rsidR="00837CDA">
        <w:rPr>
          <w:rFonts w:ascii="Times New Roman" w:hAnsi="Times New Roman" w:cs="Times New Roman"/>
          <w:sz w:val="24"/>
          <w:szCs w:val="24"/>
        </w:rPr>
        <w:t xml:space="preserve">2005 </w:t>
      </w:r>
      <w:r w:rsidR="002F45E3" w:rsidRPr="00B15C21">
        <w:rPr>
          <w:rFonts w:ascii="Times New Roman" w:hAnsi="Times New Roman" w:cs="Times New Roman"/>
          <w:sz w:val="24"/>
          <w:szCs w:val="24"/>
        </w:rPr>
        <w:t xml:space="preserve">storm costs </w:t>
      </w:r>
      <w:r w:rsidR="00A866C2">
        <w:rPr>
          <w:rFonts w:ascii="Times New Roman" w:hAnsi="Times New Roman" w:cs="Times New Roman"/>
          <w:sz w:val="24"/>
          <w:szCs w:val="24"/>
        </w:rPr>
        <w:t>that it</w:t>
      </w:r>
      <w:r w:rsidRPr="00B15C21">
        <w:rPr>
          <w:rFonts w:ascii="Times New Roman" w:hAnsi="Times New Roman" w:cs="Times New Roman"/>
          <w:sz w:val="24"/>
          <w:szCs w:val="24"/>
        </w:rPr>
        <w:t xml:space="preserve"> incurred for the restoration of its electric distribution system as a result of </w:t>
      </w:r>
      <w:r w:rsidR="002F45E3" w:rsidRPr="00B15C21">
        <w:rPr>
          <w:rFonts w:ascii="Times New Roman" w:hAnsi="Times New Roman" w:cs="Times New Roman"/>
          <w:sz w:val="24"/>
          <w:szCs w:val="24"/>
        </w:rPr>
        <w:t xml:space="preserve">an </w:t>
      </w:r>
      <w:r w:rsidRPr="00B15C21">
        <w:rPr>
          <w:rFonts w:ascii="Times New Roman" w:hAnsi="Times New Roman" w:cs="Times New Roman"/>
          <w:sz w:val="24"/>
          <w:szCs w:val="24"/>
        </w:rPr>
        <w:t xml:space="preserve">ice storm that occurred in </w:t>
      </w:r>
      <w:r w:rsidR="00787ECF" w:rsidRPr="00B15C21">
        <w:rPr>
          <w:rFonts w:ascii="Times New Roman" w:hAnsi="Times New Roman" w:cs="Times New Roman"/>
          <w:sz w:val="24"/>
          <w:szCs w:val="24"/>
        </w:rPr>
        <w:t xml:space="preserve">January of </w:t>
      </w:r>
      <w:r w:rsidRPr="00B15C21">
        <w:rPr>
          <w:rFonts w:ascii="Times New Roman" w:hAnsi="Times New Roman" w:cs="Times New Roman"/>
          <w:sz w:val="24"/>
          <w:szCs w:val="24"/>
        </w:rPr>
        <w:t>2005</w:t>
      </w:r>
      <w:r w:rsidR="00EC0C90" w:rsidRPr="00B15C21">
        <w:rPr>
          <w:rFonts w:ascii="Times New Roman" w:hAnsi="Times New Roman" w:cs="Times New Roman"/>
          <w:sz w:val="24"/>
          <w:szCs w:val="24"/>
        </w:rPr>
        <w:t>.</w:t>
      </w:r>
      <w:r w:rsidR="007F4FF5">
        <w:rPr>
          <w:rFonts w:ascii="Times New Roman" w:hAnsi="Times New Roman" w:cs="Times New Roman"/>
          <w:sz w:val="24"/>
          <w:szCs w:val="24"/>
        </w:rPr>
        <w:t xml:space="preserve">  For purposes of determining the three-year average storm costs, DP&amp;L </w:t>
      </w:r>
      <w:r w:rsidR="007F4FF5" w:rsidRPr="00B15C21">
        <w:rPr>
          <w:rFonts w:ascii="Times New Roman" w:hAnsi="Times New Roman" w:cs="Times New Roman"/>
          <w:sz w:val="24"/>
          <w:szCs w:val="24"/>
        </w:rPr>
        <w:t xml:space="preserve">should have </w:t>
      </w:r>
      <w:r w:rsidR="00837CDA">
        <w:rPr>
          <w:rFonts w:ascii="Times New Roman" w:hAnsi="Times New Roman" w:cs="Times New Roman"/>
          <w:sz w:val="24"/>
          <w:szCs w:val="24"/>
        </w:rPr>
        <w:t xml:space="preserve">included </w:t>
      </w:r>
      <w:r w:rsidR="000B61AF">
        <w:rPr>
          <w:rFonts w:ascii="Times New Roman" w:hAnsi="Times New Roman" w:cs="Times New Roman"/>
          <w:sz w:val="24"/>
          <w:szCs w:val="24"/>
        </w:rPr>
        <w:t>$6,094,093</w:t>
      </w:r>
      <w:r w:rsidR="007F4FF5">
        <w:rPr>
          <w:rFonts w:ascii="Times New Roman" w:hAnsi="Times New Roman" w:cs="Times New Roman"/>
          <w:sz w:val="24"/>
          <w:szCs w:val="24"/>
        </w:rPr>
        <w:t xml:space="preserve"> of O&amp;M </w:t>
      </w:r>
      <w:r w:rsidR="00837CDA">
        <w:rPr>
          <w:rFonts w:ascii="Times New Roman" w:hAnsi="Times New Roman" w:cs="Times New Roman"/>
          <w:sz w:val="24"/>
          <w:szCs w:val="24"/>
        </w:rPr>
        <w:t xml:space="preserve">storm restoration </w:t>
      </w:r>
      <w:r w:rsidR="007F4FF5">
        <w:rPr>
          <w:rFonts w:ascii="Times New Roman" w:hAnsi="Times New Roman" w:cs="Times New Roman"/>
          <w:sz w:val="24"/>
          <w:szCs w:val="24"/>
        </w:rPr>
        <w:t xml:space="preserve">expenses </w:t>
      </w:r>
      <w:r w:rsidR="00A866C2">
        <w:rPr>
          <w:rFonts w:ascii="Times New Roman" w:hAnsi="Times New Roman" w:cs="Times New Roman"/>
          <w:sz w:val="24"/>
          <w:szCs w:val="24"/>
        </w:rPr>
        <w:t xml:space="preserve">for </w:t>
      </w:r>
      <w:r w:rsidR="007F4FF5">
        <w:rPr>
          <w:rFonts w:ascii="Times New Roman" w:hAnsi="Times New Roman" w:cs="Times New Roman"/>
          <w:sz w:val="24"/>
          <w:szCs w:val="24"/>
        </w:rPr>
        <w:t>2005</w:t>
      </w:r>
      <w:r w:rsidR="007F4FF5" w:rsidRPr="00B15C21">
        <w:rPr>
          <w:rFonts w:ascii="Times New Roman" w:hAnsi="Times New Roman" w:cs="Times New Roman"/>
          <w:sz w:val="24"/>
          <w:szCs w:val="24"/>
        </w:rPr>
        <w:t>.</w:t>
      </w:r>
      <w:r w:rsidR="007F4FF5" w:rsidRPr="00B15C21">
        <w:rPr>
          <w:rStyle w:val="FootnoteReference"/>
          <w:rFonts w:ascii="Times New Roman" w:hAnsi="Times New Roman" w:cs="Times New Roman"/>
          <w:sz w:val="24"/>
          <w:szCs w:val="24"/>
        </w:rPr>
        <w:footnoteReference w:id="10"/>
      </w:r>
    </w:p>
    <w:p w14:paraId="41129174" w14:textId="5B2F4560" w:rsidR="00A27193" w:rsidRDefault="009E6E2A" w:rsidP="00433642">
      <w:pPr>
        <w:spacing w:after="0" w:line="480" w:lineRule="auto"/>
        <w:ind w:right="-180" w:firstLine="720"/>
        <w:rPr>
          <w:rFonts w:ascii="Times New Roman" w:hAnsi="Times New Roman" w:cs="Times New Roman"/>
          <w:sz w:val="24"/>
          <w:szCs w:val="24"/>
        </w:rPr>
      </w:pPr>
      <w:r w:rsidRPr="00B15C21">
        <w:rPr>
          <w:rFonts w:ascii="Times New Roman" w:hAnsi="Times New Roman" w:cs="Times New Roman"/>
          <w:sz w:val="24"/>
          <w:szCs w:val="24"/>
        </w:rPr>
        <w:t xml:space="preserve">The </w:t>
      </w:r>
      <w:r w:rsidR="00827CE9">
        <w:rPr>
          <w:rFonts w:ascii="Times New Roman" w:hAnsi="Times New Roman" w:cs="Times New Roman"/>
          <w:sz w:val="24"/>
          <w:szCs w:val="24"/>
        </w:rPr>
        <w:t>PUCO St</w:t>
      </w:r>
      <w:r w:rsidRPr="00B15C21">
        <w:rPr>
          <w:rFonts w:ascii="Times New Roman" w:hAnsi="Times New Roman" w:cs="Times New Roman"/>
          <w:sz w:val="24"/>
          <w:szCs w:val="24"/>
        </w:rPr>
        <w:t xml:space="preserve">aff also disagrees with </w:t>
      </w:r>
      <w:r w:rsidR="000B61AF">
        <w:rPr>
          <w:rFonts w:ascii="Times New Roman" w:hAnsi="Times New Roman" w:cs="Times New Roman"/>
          <w:sz w:val="24"/>
          <w:szCs w:val="24"/>
        </w:rPr>
        <w:t>DP&amp;L’s</w:t>
      </w:r>
      <w:r w:rsidRPr="00B15C21">
        <w:rPr>
          <w:rFonts w:ascii="Times New Roman" w:hAnsi="Times New Roman" w:cs="Times New Roman"/>
          <w:sz w:val="24"/>
          <w:szCs w:val="24"/>
        </w:rPr>
        <w:t xml:space="preserve"> use of $1,573,662 for 2005 </w:t>
      </w:r>
      <w:r w:rsidR="00827CE9">
        <w:rPr>
          <w:rFonts w:ascii="Times New Roman" w:hAnsi="Times New Roman" w:cs="Times New Roman"/>
          <w:sz w:val="24"/>
          <w:szCs w:val="24"/>
        </w:rPr>
        <w:t>(</w:t>
      </w:r>
      <w:r w:rsidR="000B61AF">
        <w:rPr>
          <w:rFonts w:ascii="Times New Roman" w:hAnsi="Times New Roman" w:cs="Times New Roman"/>
          <w:sz w:val="24"/>
          <w:szCs w:val="24"/>
        </w:rPr>
        <w:t>as well as</w:t>
      </w:r>
      <w:r w:rsidR="00296A26">
        <w:rPr>
          <w:rFonts w:ascii="Times New Roman" w:hAnsi="Times New Roman" w:cs="Times New Roman"/>
          <w:sz w:val="24"/>
          <w:szCs w:val="24"/>
        </w:rPr>
        <w:t xml:space="preserve"> the major O&amp;M storm amounts DP&amp;</w:t>
      </w:r>
      <w:r w:rsidR="000B61AF">
        <w:rPr>
          <w:rFonts w:ascii="Times New Roman" w:hAnsi="Times New Roman" w:cs="Times New Roman"/>
          <w:sz w:val="24"/>
          <w:szCs w:val="24"/>
        </w:rPr>
        <w:t>L used for 2006 and 2007</w:t>
      </w:r>
      <w:r w:rsidR="00827CE9">
        <w:rPr>
          <w:rFonts w:ascii="Times New Roman" w:hAnsi="Times New Roman" w:cs="Times New Roman"/>
          <w:sz w:val="24"/>
          <w:szCs w:val="24"/>
        </w:rPr>
        <w:t>)</w:t>
      </w:r>
      <w:r w:rsidR="000B61AF">
        <w:rPr>
          <w:rFonts w:ascii="Times New Roman" w:hAnsi="Times New Roman" w:cs="Times New Roman"/>
          <w:sz w:val="24"/>
          <w:szCs w:val="24"/>
        </w:rPr>
        <w:t xml:space="preserve"> </w:t>
      </w:r>
      <w:r w:rsidRPr="00B15C21">
        <w:rPr>
          <w:rFonts w:ascii="Times New Roman" w:hAnsi="Times New Roman" w:cs="Times New Roman"/>
          <w:sz w:val="24"/>
          <w:szCs w:val="24"/>
        </w:rPr>
        <w:t xml:space="preserve">in its calculation of the three-year average of </w:t>
      </w:r>
      <w:r w:rsidR="009F412E" w:rsidRPr="00B15C21">
        <w:rPr>
          <w:rFonts w:ascii="Times New Roman" w:hAnsi="Times New Roman" w:cs="Times New Roman"/>
          <w:sz w:val="24"/>
          <w:szCs w:val="24"/>
        </w:rPr>
        <w:t xml:space="preserve">major </w:t>
      </w:r>
      <w:r w:rsidRPr="00B15C21">
        <w:rPr>
          <w:rFonts w:ascii="Times New Roman" w:hAnsi="Times New Roman" w:cs="Times New Roman"/>
          <w:sz w:val="24"/>
          <w:szCs w:val="24"/>
        </w:rPr>
        <w:t xml:space="preserve">storm restoration expense.  </w:t>
      </w:r>
      <w:r w:rsidR="002E55AA">
        <w:rPr>
          <w:rFonts w:ascii="Times New Roman" w:hAnsi="Times New Roman" w:cs="Times New Roman"/>
          <w:sz w:val="24"/>
          <w:szCs w:val="24"/>
        </w:rPr>
        <w:t>I</w:t>
      </w:r>
      <w:r w:rsidR="002E55AA">
        <w:rPr>
          <w:rFonts w:ascii="Times New Roman" w:eastAsia="Calibri" w:hAnsi="Times New Roman" w:cs="Times New Roman"/>
          <w:sz w:val="24"/>
          <w:szCs w:val="24"/>
        </w:rPr>
        <w:t>n DP&amp;L’s most recent Electric Security Plan (ESP II) proceeding,</w:t>
      </w:r>
      <w:r w:rsidR="002E55AA" w:rsidRPr="00545E9B">
        <w:rPr>
          <w:rFonts w:ascii="Times New Roman" w:eastAsia="Calibri" w:hAnsi="Times New Roman" w:cs="Times New Roman"/>
          <w:sz w:val="24"/>
          <w:szCs w:val="24"/>
          <w:vertAlign w:val="superscript"/>
        </w:rPr>
        <w:footnoteReference w:id="11"/>
      </w:r>
      <w:r w:rsidR="002E55AA" w:rsidRPr="00545E9B">
        <w:rPr>
          <w:rFonts w:ascii="Times New Roman" w:eastAsia="Calibri" w:hAnsi="Times New Roman" w:cs="Times New Roman"/>
          <w:sz w:val="24"/>
          <w:szCs w:val="24"/>
        </w:rPr>
        <w:t xml:space="preserve"> </w:t>
      </w:r>
      <w:r w:rsidR="00D9657F" w:rsidRPr="00B15C21">
        <w:rPr>
          <w:rFonts w:ascii="Times New Roman" w:hAnsi="Times New Roman" w:cs="Times New Roman"/>
          <w:sz w:val="24"/>
          <w:szCs w:val="24"/>
        </w:rPr>
        <w:t xml:space="preserve">PUCO </w:t>
      </w:r>
      <w:r w:rsidRPr="00B15C21">
        <w:rPr>
          <w:rFonts w:ascii="Times New Roman" w:hAnsi="Times New Roman" w:cs="Times New Roman"/>
          <w:sz w:val="24"/>
          <w:szCs w:val="24"/>
        </w:rPr>
        <w:t xml:space="preserve">Staff </w:t>
      </w:r>
      <w:r w:rsidR="00D9657F" w:rsidRPr="00B15C21">
        <w:rPr>
          <w:rFonts w:ascii="Times New Roman" w:hAnsi="Times New Roman" w:cs="Times New Roman"/>
          <w:sz w:val="24"/>
          <w:szCs w:val="24"/>
        </w:rPr>
        <w:t>W</w:t>
      </w:r>
      <w:r w:rsidRPr="00B15C21">
        <w:rPr>
          <w:rFonts w:ascii="Times New Roman" w:hAnsi="Times New Roman" w:cs="Times New Roman"/>
          <w:sz w:val="24"/>
          <w:szCs w:val="24"/>
        </w:rPr>
        <w:t xml:space="preserve">itness Mr. Lipthratt sponsored testimony that, in part, recommended the establishment of a Storm Damage Recovery Rider </w:t>
      </w:r>
      <w:r w:rsidR="00207618">
        <w:rPr>
          <w:rFonts w:ascii="Times New Roman" w:hAnsi="Times New Roman" w:cs="Times New Roman"/>
          <w:sz w:val="24"/>
          <w:szCs w:val="24"/>
        </w:rPr>
        <w:t>b</w:t>
      </w:r>
      <w:r w:rsidRPr="00B15C21">
        <w:rPr>
          <w:rFonts w:ascii="Times New Roman" w:hAnsi="Times New Roman" w:cs="Times New Roman"/>
          <w:sz w:val="24"/>
          <w:szCs w:val="24"/>
        </w:rPr>
        <w:t>aseline.</w:t>
      </w:r>
      <w:r w:rsidR="00D21C23">
        <w:rPr>
          <w:rStyle w:val="FootnoteReference"/>
          <w:rFonts w:ascii="Times New Roman" w:hAnsi="Times New Roman" w:cs="Times New Roman"/>
          <w:sz w:val="24"/>
          <w:szCs w:val="24"/>
        </w:rPr>
        <w:footnoteReference w:id="12"/>
      </w:r>
      <w:r w:rsidRPr="00B15C21">
        <w:rPr>
          <w:rFonts w:ascii="Times New Roman" w:hAnsi="Times New Roman" w:cs="Times New Roman"/>
          <w:sz w:val="24"/>
          <w:szCs w:val="24"/>
        </w:rPr>
        <w:t xml:space="preserve">  </w:t>
      </w:r>
      <w:r w:rsidR="005447D4" w:rsidRPr="00B15C21">
        <w:rPr>
          <w:rFonts w:ascii="Times New Roman" w:hAnsi="Times New Roman" w:cs="Times New Roman"/>
          <w:sz w:val="24"/>
          <w:szCs w:val="24"/>
        </w:rPr>
        <w:t>Included i</w:t>
      </w:r>
      <w:r w:rsidRPr="00B15C21">
        <w:rPr>
          <w:rFonts w:ascii="Times New Roman" w:hAnsi="Times New Roman" w:cs="Times New Roman"/>
          <w:sz w:val="24"/>
          <w:szCs w:val="24"/>
        </w:rPr>
        <w:t xml:space="preserve">n </w:t>
      </w:r>
      <w:r w:rsidR="00787ECF" w:rsidRPr="00B15C21">
        <w:rPr>
          <w:rFonts w:ascii="Times New Roman" w:hAnsi="Times New Roman" w:cs="Times New Roman"/>
          <w:sz w:val="24"/>
          <w:szCs w:val="24"/>
        </w:rPr>
        <w:t>his</w:t>
      </w:r>
      <w:r w:rsidRPr="00B15C21">
        <w:rPr>
          <w:rFonts w:ascii="Times New Roman" w:hAnsi="Times New Roman" w:cs="Times New Roman"/>
          <w:sz w:val="24"/>
          <w:szCs w:val="24"/>
        </w:rPr>
        <w:t xml:space="preserve"> testimony was an “Attachment A” </w:t>
      </w:r>
      <w:r w:rsidR="00947ACD">
        <w:rPr>
          <w:rFonts w:ascii="Times New Roman" w:hAnsi="Times New Roman" w:cs="Times New Roman"/>
          <w:sz w:val="24"/>
          <w:szCs w:val="24"/>
        </w:rPr>
        <w:t>that</w:t>
      </w:r>
      <w:r w:rsidR="005E20D0">
        <w:rPr>
          <w:rFonts w:ascii="Times New Roman" w:hAnsi="Times New Roman" w:cs="Times New Roman"/>
          <w:sz w:val="24"/>
          <w:szCs w:val="24"/>
        </w:rPr>
        <w:t xml:space="preserve"> contained the</w:t>
      </w:r>
      <w:r w:rsidRPr="00B15C21">
        <w:rPr>
          <w:rFonts w:ascii="Times New Roman" w:hAnsi="Times New Roman" w:cs="Times New Roman"/>
          <w:sz w:val="24"/>
          <w:szCs w:val="24"/>
        </w:rPr>
        <w:t xml:space="preserve"> ten-year average of major storm costs for the </w:t>
      </w:r>
      <w:r w:rsidR="001931CF">
        <w:rPr>
          <w:rFonts w:ascii="Times New Roman" w:hAnsi="Times New Roman" w:cs="Times New Roman"/>
          <w:sz w:val="24"/>
          <w:szCs w:val="24"/>
        </w:rPr>
        <w:t>Utilit</w:t>
      </w:r>
      <w:r w:rsidRPr="00B15C21">
        <w:rPr>
          <w:rFonts w:ascii="Times New Roman" w:hAnsi="Times New Roman" w:cs="Times New Roman"/>
          <w:sz w:val="24"/>
          <w:szCs w:val="24"/>
        </w:rPr>
        <w:t>y</w:t>
      </w:r>
      <w:r w:rsidR="00A27193">
        <w:rPr>
          <w:rFonts w:ascii="Times New Roman" w:hAnsi="Times New Roman" w:cs="Times New Roman"/>
          <w:sz w:val="24"/>
          <w:szCs w:val="24"/>
        </w:rPr>
        <w:t>,</w:t>
      </w:r>
      <w:r w:rsidRPr="00B15C21">
        <w:rPr>
          <w:rFonts w:ascii="Times New Roman" w:hAnsi="Times New Roman" w:cs="Times New Roman"/>
          <w:sz w:val="24"/>
          <w:szCs w:val="24"/>
        </w:rPr>
        <w:t xml:space="preserve"> which was used to support the </w:t>
      </w:r>
      <w:r w:rsidR="00294CFA">
        <w:rPr>
          <w:rFonts w:ascii="Times New Roman" w:hAnsi="Times New Roman" w:cs="Times New Roman"/>
          <w:sz w:val="24"/>
          <w:szCs w:val="24"/>
        </w:rPr>
        <w:t xml:space="preserve">PUCO </w:t>
      </w:r>
      <w:r w:rsidRPr="00B15C21">
        <w:rPr>
          <w:rFonts w:ascii="Times New Roman" w:hAnsi="Times New Roman" w:cs="Times New Roman"/>
          <w:sz w:val="24"/>
          <w:szCs w:val="24"/>
        </w:rPr>
        <w:t xml:space="preserve">Staff’s recommended baseline.  Mr. Lipthratt’s ten-year average calculation included </w:t>
      </w:r>
      <w:r w:rsidR="00837CDA" w:rsidRPr="002B43A8">
        <w:rPr>
          <w:rFonts w:ascii="Times New Roman" w:hAnsi="Times New Roman" w:cs="Times New Roman"/>
          <w:b/>
          <w:sz w:val="24"/>
          <w:szCs w:val="24"/>
        </w:rPr>
        <w:t>$</w:t>
      </w:r>
      <w:r w:rsidR="00837CDA" w:rsidRPr="00B15C21">
        <w:rPr>
          <w:rFonts w:ascii="Times New Roman" w:hAnsi="Times New Roman" w:cs="Times New Roman"/>
          <w:sz w:val="24"/>
          <w:szCs w:val="24"/>
        </w:rPr>
        <w:t>6,094,093</w:t>
      </w:r>
      <w:r w:rsidR="00837CDA">
        <w:rPr>
          <w:rFonts w:ascii="Times New Roman" w:hAnsi="Times New Roman" w:cs="Times New Roman"/>
          <w:sz w:val="24"/>
          <w:szCs w:val="24"/>
        </w:rPr>
        <w:t xml:space="preserve"> for</w:t>
      </w:r>
      <w:r w:rsidRPr="00B15C21">
        <w:rPr>
          <w:rFonts w:ascii="Times New Roman" w:hAnsi="Times New Roman" w:cs="Times New Roman"/>
          <w:sz w:val="24"/>
          <w:szCs w:val="24"/>
        </w:rPr>
        <w:t xml:space="preserve"> 2005 major storm expense</w:t>
      </w:r>
      <w:r w:rsidR="00925710">
        <w:rPr>
          <w:rFonts w:ascii="Times New Roman" w:hAnsi="Times New Roman" w:cs="Times New Roman"/>
          <w:sz w:val="24"/>
          <w:szCs w:val="24"/>
        </w:rPr>
        <w:t>.</w:t>
      </w:r>
      <w:r w:rsidR="00A81370">
        <w:rPr>
          <w:rStyle w:val="FootnoteReference"/>
          <w:rFonts w:ascii="Times New Roman" w:hAnsi="Times New Roman" w:cs="Times New Roman"/>
          <w:sz w:val="24"/>
          <w:szCs w:val="24"/>
        </w:rPr>
        <w:footnoteReference w:id="13"/>
      </w:r>
      <w:r w:rsidRPr="00B15C21">
        <w:rPr>
          <w:rFonts w:ascii="Times New Roman" w:hAnsi="Times New Roman" w:cs="Times New Roman"/>
          <w:sz w:val="24"/>
          <w:szCs w:val="24"/>
        </w:rPr>
        <w:t xml:space="preserve"> </w:t>
      </w:r>
      <w:r w:rsidR="00AE37BF">
        <w:rPr>
          <w:rFonts w:ascii="Times New Roman" w:hAnsi="Times New Roman" w:cs="Times New Roman"/>
          <w:sz w:val="24"/>
          <w:szCs w:val="24"/>
        </w:rPr>
        <w:t xml:space="preserve"> </w:t>
      </w:r>
      <w:r w:rsidR="000B61AF">
        <w:rPr>
          <w:rFonts w:ascii="Times New Roman" w:hAnsi="Times New Roman" w:cs="Times New Roman"/>
          <w:sz w:val="24"/>
          <w:szCs w:val="24"/>
        </w:rPr>
        <w:t>Mr. Lipthratt’s ten-year average calculation also included an amount for major O&amp;M storm costs for 2006 and 2007 that differ from the O&amp;M storm costs DP&amp;L used in</w:t>
      </w:r>
      <w:r w:rsidR="00837CDA">
        <w:rPr>
          <w:rFonts w:ascii="Times New Roman" w:hAnsi="Times New Roman" w:cs="Times New Roman"/>
          <w:sz w:val="24"/>
          <w:szCs w:val="24"/>
        </w:rPr>
        <w:t xml:space="preserve"> developing </w:t>
      </w:r>
      <w:r w:rsidR="000B61AF">
        <w:rPr>
          <w:rFonts w:ascii="Times New Roman" w:hAnsi="Times New Roman" w:cs="Times New Roman"/>
          <w:sz w:val="24"/>
          <w:szCs w:val="24"/>
        </w:rPr>
        <w:t>its three-year average calculation</w:t>
      </w:r>
      <w:r w:rsidR="00207618">
        <w:rPr>
          <w:rFonts w:ascii="Times New Roman" w:hAnsi="Times New Roman" w:cs="Times New Roman"/>
          <w:sz w:val="24"/>
          <w:szCs w:val="24"/>
        </w:rPr>
        <w:t xml:space="preserve"> on its Schedule C-2 in th</w:t>
      </w:r>
      <w:r w:rsidR="00294CFA">
        <w:rPr>
          <w:rFonts w:ascii="Times New Roman" w:hAnsi="Times New Roman" w:cs="Times New Roman"/>
          <w:sz w:val="24"/>
          <w:szCs w:val="24"/>
        </w:rPr>
        <w:t xml:space="preserve">is </w:t>
      </w:r>
      <w:r w:rsidR="00207618">
        <w:rPr>
          <w:rFonts w:ascii="Times New Roman" w:hAnsi="Times New Roman" w:cs="Times New Roman"/>
          <w:sz w:val="24"/>
          <w:szCs w:val="24"/>
        </w:rPr>
        <w:t>case</w:t>
      </w:r>
      <w:r w:rsidR="000B61AF">
        <w:rPr>
          <w:rFonts w:ascii="Times New Roman" w:hAnsi="Times New Roman" w:cs="Times New Roman"/>
          <w:sz w:val="24"/>
          <w:szCs w:val="24"/>
        </w:rPr>
        <w:t>.</w:t>
      </w:r>
      <w:r w:rsidR="00A81370">
        <w:rPr>
          <w:rStyle w:val="FootnoteReference"/>
          <w:rFonts w:ascii="Times New Roman" w:hAnsi="Times New Roman" w:cs="Times New Roman"/>
          <w:sz w:val="24"/>
          <w:szCs w:val="24"/>
        </w:rPr>
        <w:footnoteReference w:id="14"/>
      </w:r>
      <w:r w:rsidR="000B61AF">
        <w:rPr>
          <w:rFonts w:ascii="Times New Roman" w:hAnsi="Times New Roman" w:cs="Times New Roman"/>
          <w:sz w:val="24"/>
          <w:szCs w:val="24"/>
        </w:rPr>
        <w:t xml:space="preserve">  All annual major </w:t>
      </w:r>
      <w:r w:rsidR="00207618">
        <w:rPr>
          <w:rFonts w:ascii="Times New Roman" w:hAnsi="Times New Roman" w:cs="Times New Roman"/>
          <w:sz w:val="24"/>
          <w:szCs w:val="24"/>
        </w:rPr>
        <w:t xml:space="preserve">event </w:t>
      </w:r>
      <w:r w:rsidR="000B61AF">
        <w:rPr>
          <w:rFonts w:ascii="Times New Roman" w:hAnsi="Times New Roman" w:cs="Times New Roman"/>
          <w:sz w:val="24"/>
          <w:szCs w:val="24"/>
        </w:rPr>
        <w:t xml:space="preserve">O&amp;M storm costs used by Mr. Lipthratt in his ten-year average calculation were storm costs </w:t>
      </w:r>
      <w:r w:rsidR="00A521CE">
        <w:rPr>
          <w:rFonts w:ascii="Times New Roman" w:hAnsi="Times New Roman" w:cs="Times New Roman"/>
          <w:sz w:val="24"/>
          <w:szCs w:val="24"/>
        </w:rPr>
        <w:t xml:space="preserve">identified </w:t>
      </w:r>
      <w:r w:rsidR="000B61AF">
        <w:rPr>
          <w:rFonts w:ascii="Times New Roman" w:hAnsi="Times New Roman" w:cs="Times New Roman"/>
          <w:sz w:val="24"/>
          <w:szCs w:val="24"/>
        </w:rPr>
        <w:t xml:space="preserve"> by DP&amp;L </w:t>
      </w:r>
      <w:r w:rsidR="00A521CE">
        <w:rPr>
          <w:rFonts w:ascii="Times New Roman" w:hAnsi="Times New Roman" w:cs="Times New Roman"/>
          <w:sz w:val="24"/>
          <w:szCs w:val="24"/>
        </w:rPr>
        <w:t>in response to an O</w:t>
      </w:r>
      <w:r w:rsidR="000B61AF">
        <w:rPr>
          <w:rFonts w:ascii="Times New Roman" w:hAnsi="Times New Roman" w:cs="Times New Roman"/>
          <w:sz w:val="24"/>
          <w:szCs w:val="24"/>
        </w:rPr>
        <w:t>CC discovery request in Case No. 12-2281-EL-AAM.</w:t>
      </w:r>
      <w:r w:rsidR="00207618">
        <w:rPr>
          <w:rStyle w:val="FootnoteReference"/>
          <w:rFonts w:ascii="Times New Roman" w:hAnsi="Times New Roman" w:cs="Times New Roman"/>
          <w:sz w:val="24"/>
          <w:szCs w:val="24"/>
        </w:rPr>
        <w:footnoteReference w:id="15"/>
      </w:r>
      <w:r w:rsidR="000B61AF">
        <w:rPr>
          <w:rFonts w:ascii="Times New Roman" w:hAnsi="Times New Roman" w:cs="Times New Roman"/>
          <w:sz w:val="24"/>
          <w:szCs w:val="24"/>
        </w:rPr>
        <w:t xml:space="preserve">   </w:t>
      </w:r>
    </w:p>
    <w:p w14:paraId="0062F4F9" w14:textId="18D58A79" w:rsidR="009E6E2A" w:rsidRPr="00B15C21" w:rsidRDefault="009E6E2A" w:rsidP="00D161AC">
      <w:pPr>
        <w:spacing w:after="0" w:line="480" w:lineRule="auto"/>
        <w:ind w:firstLine="720"/>
        <w:rPr>
          <w:rFonts w:ascii="Times New Roman" w:hAnsi="Times New Roman" w:cs="Times New Roman"/>
          <w:sz w:val="24"/>
          <w:szCs w:val="24"/>
        </w:rPr>
      </w:pPr>
      <w:r w:rsidRPr="00B15C21">
        <w:rPr>
          <w:rFonts w:ascii="Times New Roman" w:hAnsi="Times New Roman" w:cs="Times New Roman"/>
          <w:sz w:val="24"/>
          <w:szCs w:val="24"/>
        </w:rPr>
        <w:t xml:space="preserve">OCC’s </w:t>
      </w:r>
      <w:r w:rsidR="00207618">
        <w:rPr>
          <w:rFonts w:ascii="Times New Roman" w:hAnsi="Times New Roman" w:cs="Times New Roman"/>
          <w:sz w:val="24"/>
          <w:szCs w:val="24"/>
        </w:rPr>
        <w:t xml:space="preserve">recommended </w:t>
      </w:r>
      <w:r w:rsidRPr="00B15C21">
        <w:rPr>
          <w:rFonts w:ascii="Times New Roman" w:hAnsi="Times New Roman" w:cs="Times New Roman"/>
          <w:sz w:val="24"/>
          <w:szCs w:val="24"/>
        </w:rPr>
        <w:t>calculation of the three-year average of O&amp;M storm expense</w:t>
      </w:r>
      <w:r w:rsidR="00F06ABA">
        <w:rPr>
          <w:rFonts w:ascii="Times New Roman" w:hAnsi="Times New Roman" w:cs="Times New Roman"/>
          <w:sz w:val="24"/>
          <w:szCs w:val="24"/>
        </w:rPr>
        <w:t>s includes</w:t>
      </w:r>
      <w:r w:rsidRPr="00B15C21">
        <w:rPr>
          <w:rFonts w:ascii="Times New Roman" w:hAnsi="Times New Roman" w:cs="Times New Roman"/>
          <w:sz w:val="24"/>
          <w:szCs w:val="24"/>
        </w:rPr>
        <w:t xml:space="preserve"> the </w:t>
      </w:r>
      <w:r w:rsidR="00F06ABA">
        <w:rPr>
          <w:rFonts w:ascii="Times New Roman" w:hAnsi="Times New Roman" w:cs="Times New Roman"/>
          <w:sz w:val="24"/>
          <w:szCs w:val="24"/>
        </w:rPr>
        <w:t>same O&amp;M</w:t>
      </w:r>
      <w:r w:rsidR="00F06ABA" w:rsidRPr="00B15C21">
        <w:rPr>
          <w:rFonts w:ascii="Times New Roman" w:hAnsi="Times New Roman" w:cs="Times New Roman"/>
          <w:sz w:val="24"/>
          <w:szCs w:val="24"/>
        </w:rPr>
        <w:t xml:space="preserve"> </w:t>
      </w:r>
      <w:r w:rsidRPr="00B15C21">
        <w:rPr>
          <w:rFonts w:ascii="Times New Roman" w:hAnsi="Times New Roman" w:cs="Times New Roman"/>
          <w:sz w:val="24"/>
          <w:szCs w:val="24"/>
        </w:rPr>
        <w:t xml:space="preserve">storm </w:t>
      </w:r>
      <w:r w:rsidR="00F06ABA">
        <w:rPr>
          <w:rFonts w:ascii="Times New Roman" w:hAnsi="Times New Roman" w:cs="Times New Roman"/>
          <w:sz w:val="24"/>
          <w:szCs w:val="24"/>
        </w:rPr>
        <w:t xml:space="preserve">costs </w:t>
      </w:r>
      <w:r w:rsidR="00925710">
        <w:rPr>
          <w:rFonts w:ascii="Times New Roman" w:hAnsi="Times New Roman" w:cs="Times New Roman"/>
          <w:sz w:val="24"/>
          <w:szCs w:val="24"/>
        </w:rPr>
        <w:t xml:space="preserve">that </w:t>
      </w:r>
      <w:r w:rsidR="00F06ABA">
        <w:rPr>
          <w:rFonts w:ascii="Times New Roman" w:hAnsi="Times New Roman" w:cs="Times New Roman"/>
          <w:sz w:val="24"/>
          <w:szCs w:val="24"/>
        </w:rPr>
        <w:t xml:space="preserve">the </w:t>
      </w:r>
      <w:r w:rsidR="00925710">
        <w:rPr>
          <w:rFonts w:ascii="Times New Roman" w:hAnsi="Times New Roman" w:cs="Times New Roman"/>
          <w:sz w:val="24"/>
          <w:szCs w:val="24"/>
        </w:rPr>
        <w:t xml:space="preserve">PUCO </w:t>
      </w:r>
      <w:r w:rsidR="00F06ABA">
        <w:rPr>
          <w:rFonts w:ascii="Times New Roman" w:hAnsi="Times New Roman" w:cs="Times New Roman"/>
          <w:sz w:val="24"/>
          <w:szCs w:val="24"/>
        </w:rPr>
        <w:t>Staff used in its baseline calculation</w:t>
      </w:r>
      <w:r w:rsidR="00310444">
        <w:rPr>
          <w:rFonts w:ascii="Times New Roman" w:hAnsi="Times New Roman" w:cs="Times New Roman"/>
          <w:sz w:val="24"/>
          <w:szCs w:val="24"/>
        </w:rPr>
        <w:t xml:space="preserve"> </w:t>
      </w:r>
      <w:r w:rsidR="00925710">
        <w:rPr>
          <w:rFonts w:ascii="Times New Roman" w:hAnsi="Times New Roman" w:cs="Times New Roman"/>
          <w:sz w:val="24"/>
          <w:szCs w:val="24"/>
        </w:rPr>
        <w:t>(in the ESP II proceeding)</w:t>
      </w:r>
      <w:r w:rsidR="00A27193">
        <w:rPr>
          <w:rFonts w:ascii="Times New Roman" w:hAnsi="Times New Roman" w:cs="Times New Roman"/>
          <w:sz w:val="24"/>
          <w:szCs w:val="24"/>
        </w:rPr>
        <w:t xml:space="preserve"> which</w:t>
      </w:r>
      <w:r w:rsidRPr="00B15C21">
        <w:rPr>
          <w:rFonts w:ascii="Times New Roman" w:hAnsi="Times New Roman" w:cs="Times New Roman"/>
          <w:sz w:val="24"/>
          <w:szCs w:val="24"/>
        </w:rPr>
        <w:t xml:space="preserve"> results in a three-year average of $</w:t>
      </w:r>
      <w:r w:rsidR="00F06ABA">
        <w:rPr>
          <w:rFonts w:ascii="Times New Roman" w:hAnsi="Times New Roman" w:cs="Times New Roman"/>
          <w:sz w:val="24"/>
          <w:szCs w:val="24"/>
        </w:rPr>
        <w:t>2,893,949, as shown below</w:t>
      </w:r>
      <w:r w:rsidRPr="00B15C21">
        <w:rPr>
          <w:rFonts w:ascii="Times New Roman" w:hAnsi="Times New Roman" w:cs="Times New Roman"/>
          <w:sz w:val="24"/>
          <w:szCs w:val="24"/>
        </w:rPr>
        <w:t xml:space="preserve">.  It is this expense amount that should be used to reduce the 2008 storm O&amp;M expense </w:t>
      </w:r>
      <w:r w:rsidR="00925710">
        <w:rPr>
          <w:rFonts w:ascii="Times New Roman" w:hAnsi="Times New Roman" w:cs="Times New Roman"/>
          <w:sz w:val="24"/>
          <w:szCs w:val="24"/>
        </w:rPr>
        <w:t xml:space="preserve">deferral </w:t>
      </w:r>
      <w:r w:rsidRPr="00B15C21">
        <w:rPr>
          <w:rFonts w:ascii="Times New Roman" w:hAnsi="Times New Roman" w:cs="Times New Roman"/>
          <w:sz w:val="24"/>
          <w:szCs w:val="24"/>
        </w:rPr>
        <w:t xml:space="preserve">authorized by the </w:t>
      </w:r>
      <w:r w:rsidR="008C0ECC">
        <w:rPr>
          <w:rFonts w:ascii="Times New Roman" w:hAnsi="Times New Roman" w:cs="Times New Roman"/>
          <w:sz w:val="24"/>
          <w:szCs w:val="24"/>
        </w:rPr>
        <w:t>PUCO</w:t>
      </w:r>
      <w:r w:rsidR="008C0ECC" w:rsidRPr="00B15C21">
        <w:rPr>
          <w:rFonts w:ascii="Times New Roman" w:hAnsi="Times New Roman" w:cs="Times New Roman"/>
          <w:sz w:val="24"/>
          <w:szCs w:val="24"/>
        </w:rPr>
        <w:t xml:space="preserve"> </w:t>
      </w:r>
      <w:r w:rsidR="00EC0C90" w:rsidRPr="00B15C21">
        <w:rPr>
          <w:rFonts w:ascii="Times New Roman" w:hAnsi="Times New Roman" w:cs="Times New Roman"/>
          <w:sz w:val="24"/>
          <w:szCs w:val="24"/>
        </w:rPr>
        <w:t>for</w:t>
      </w:r>
      <w:r w:rsidR="00925710">
        <w:rPr>
          <w:rFonts w:ascii="Times New Roman" w:hAnsi="Times New Roman" w:cs="Times New Roman"/>
          <w:sz w:val="24"/>
          <w:szCs w:val="24"/>
        </w:rPr>
        <w:t xml:space="preserve"> consideration of collection from customers </w:t>
      </w:r>
      <w:r w:rsidR="00EC0C90" w:rsidRPr="00B15C21">
        <w:rPr>
          <w:rFonts w:ascii="Times New Roman" w:hAnsi="Times New Roman" w:cs="Times New Roman"/>
          <w:sz w:val="24"/>
          <w:szCs w:val="24"/>
        </w:rPr>
        <w:t>in this case.</w:t>
      </w:r>
    </w:p>
    <w:p w14:paraId="78B30F67" w14:textId="77777777" w:rsidR="00B15C21" w:rsidRDefault="009E6E2A" w:rsidP="00B15C21">
      <w:pPr>
        <w:spacing w:after="0" w:line="240" w:lineRule="auto"/>
        <w:jc w:val="center"/>
        <w:rPr>
          <w:rFonts w:ascii="Times New Roman" w:hAnsi="Times New Roman" w:cs="Times New Roman"/>
          <w:b/>
          <w:sz w:val="24"/>
          <w:szCs w:val="24"/>
        </w:rPr>
      </w:pPr>
      <w:r w:rsidRPr="00B15C21">
        <w:rPr>
          <w:rFonts w:ascii="Times New Roman" w:hAnsi="Times New Roman" w:cs="Times New Roman"/>
          <w:b/>
          <w:sz w:val="24"/>
          <w:szCs w:val="24"/>
        </w:rPr>
        <w:t>Three-Year Average of O&amp;M Storm Expense</w:t>
      </w:r>
    </w:p>
    <w:p w14:paraId="0862E2B3" w14:textId="77777777" w:rsidR="009E6E2A" w:rsidRDefault="009E6E2A" w:rsidP="00B15C21">
      <w:pPr>
        <w:spacing w:after="0" w:line="240" w:lineRule="auto"/>
        <w:jc w:val="center"/>
        <w:rPr>
          <w:rFonts w:ascii="Times New Roman" w:hAnsi="Times New Roman" w:cs="Times New Roman"/>
          <w:b/>
          <w:sz w:val="24"/>
          <w:szCs w:val="24"/>
        </w:rPr>
      </w:pPr>
      <w:r w:rsidRPr="00B15C21">
        <w:rPr>
          <w:rFonts w:ascii="Times New Roman" w:hAnsi="Times New Roman" w:cs="Times New Roman"/>
          <w:b/>
          <w:sz w:val="24"/>
          <w:szCs w:val="24"/>
        </w:rPr>
        <w:t>To Deduct From Storm Year 2008 Costs</w:t>
      </w:r>
    </w:p>
    <w:p w14:paraId="549F9F4E" w14:textId="77777777" w:rsidR="00B15C21" w:rsidRPr="00B15C21" w:rsidRDefault="00B15C21" w:rsidP="00B15C21">
      <w:pPr>
        <w:spacing w:after="0" w:line="240" w:lineRule="auto"/>
        <w:jc w:val="center"/>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2243"/>
        <w:gridCol w:w="2527"/>
        <w:gridCol w:w="2528"/>
      </w:tblGrid>
      <w:tr w:rsidR="009E6E2A" w:rsidRPr="00B15C21" w14:paraId="6ECCC91C" w14:textId="77777777" w:rsidTr="00A4548D">
        <w:trPr>
          <w:trHeight w:val="360"/>
          <w:jc w:val="center"/>
        </w:trPr>
        <w:tc>
          <w:tcPr>
            <w:tcW w:w="2243" w:type="dxa"/>
            <w:tcBorders>
              <w:top w:val="nil"/>
              <w:left w:val="nil"/>
              <w:right w:val="nil"/>
            </w:tcBorders>
            <w:vAlign w:val="center"/>
          </w:tcPr>
          <w:p w14:paraId="0AAF489C" w14:textId="77777777" w:rsidR="009E6E2A" w:rsidRPr="00B15C21" w:rsidRDefault="009E6E2A" w:rsidP="00D87EFB">
            <w:pPr>
              <w:jc w:val="center"/>
              <w:rPr>
                <w:rFonts w:ascii="Times New Roman" w:hAnsi="Times New Roman" w:cs="Times New Roman"/>
                <w:sz w:val="24"/>
                <w:szCs w:val="24"/>
              </w:rPr>
            </w:pPr>
          </w:p>
        </w:tc>
        <w:tc>
          <w:tcPr>
            <w:tcW w:w="2527" w:type="dxa"/>
            <w:tcBorders>
              <w:top w:val="nil"/>
              <w:left w:val="nil"/>
              <w:right w:val="nil"/>
            </w:tcBorders>
            <w:vAlign w:val="center"/>
          </w:tcPr>
          <w:p w14:paraId="018130EA" w14:textId="2532523B" w:rsidR="009E6E2A" w:rsidRPr="00B15C21" w:rsidRDefault="0071631B" w:rsidP="00207618">
            <w:pPr>
              <w:jc w:val="center"/>
              <w:rPr>
                <w:rFonts w:ascii="Times New Roman" w:hAnsi="Times New Roman" w:cs="Times New Roman"/>
                <w:b/>
                <w:sz w:val="24"/>
                <w:szCs w:val="24"/>
              </w:rPr>
            </w:pPr>
            <w:r>
              <w:rPr>
                <w:rFonts w:ascii="Times New Roman" w:hAnsi="Times New Roman" w:cs="Times New Roman"/>
                <w:b/>
                <w:sz w:val="24"/>
                <w:szCs w:val="24"/>
              </w:rPr>
              <w:t>DP&amp;L</w:t>
            </w:r>
            <w:r w:rsidR="009E6E2A" w:rsidRPr="00B15C21">
              <w:rPr>
                <w:rFonts w:ascii="Times New Roman" w:hAnsi="Times New Roman" w:cs="Times New Roman"/>
                <w:b/>
                <w:sz w:val="24"/>
                <w:szCs w:val="24"/>
              </w:rPr>
              <w:t xml:space="preserve"> Calculated </w:t>
            </w:r>
            <w:r w:rsidR="00207618">
              <w:rPr>
                <w:rFonts w:ascii="Times New Roman" w:hAnsi="Times New Roman" w:cs="Times New Roman"/>
                <w:b/>
                <w:sz w:val="24"/>
                <w:szCs w:val="24"/>
              </w:rPr>
              <w:t>(a)</w:t>
            </w:r>
          </w:p>
        </w:tc>
        <w:tc>
          <w:tcPr>
            <w:tcW w:w="2528" w:type="dxa"/>
            <w:tcBorders>
              <w:top w:val="nil"/>
              <w:left w:val="nil"/>
              <w:right w:val="nil"/>
            </w:tcBorders>
            <w:vAlign w:val="center"/>
          </w:tcPr>
          <w:p w14:paraId="543E22E0" w14:textId="77777777" w:rsidR="009E6E2A" w:rsidRPr="00B15C21" w:rsidRDefault="009E6E2A" w:rsidP="00D87EFB">
            <w:pPr>
              <w:jc w:val="center"/>
              <w:rPr>
                <w:rFonts w:ascii="Times New Roman" w:hAnsi="Times New Roman" w:cs="Times New Roman"/>
                <w:b/>
                <w:sz w:val="24"/>
                <w:szCs w:val="24"/>
              </w:rPr>
            </w:pPr>
            <w:r w:rsidRPr="00B15C21">
              <w:rPr>
                <w:rFonts w:ascii="Times New Roman" w:hAnsi="Times New Roman" w:cs="Times New Roman"/>
                <w:b/>
                <w:sz w:val="24"/>
                <w:szCs w:val="24"/>
              </w:rPr>
              <w:t>OCC Calculated</w:t>
            </w:r>
            <w:r w:rsidR="00207618">
              <w:rPr>
                <w:rFonts w:ascii="Times New Roman" w:hAnsi="Times New Roman" w:cs="Times New Roman"/>
                <w:b/>
                <w:sz w:val="24"/>
                <w:szCs w:val="24"/>
              </w:rPr>
              <w:t xml:space="preserve"> (b)</w:t>
            </w:r>
          </w:p>
        </w:tc>
      </w:tr>
      <w:tr w:rsidR="009E6E2A" w:rsidRPr="00B15C21" w14:paraId="22C889B4" w14:textId="77777777" w:rsidTr="00A4548D">
        <w:trPr>
          <w:trHeight w:val="360"/>
          <w:jc w:val="center"/>
        </w:trPr>
        <w:tc>
          <w:tcPr>
            <w:tcW w:w="2243" w:type="dxa"/>
            <w:vAlign w:val="center"/>
          </w:tcPr>
          <w:p w14:paraId="414C2564" w14:textId="77777777" w:rsidR="009E6E2A" w:rsidRPr="00B15C21" w:rsidRDefault="009E6E2A" w:rsidP="00D87EFB">
            <w:pPr>
              <w:jc w:val="center"/>
              <w:rPr>
                <w:rFonts w:ascii="Times New Roman" w:hAnsi="Times New Roman" w:cs="Times New Roman"/>
                <w:sz w:val="24"/>
                <w:szCs w:val="24"/>
              </w:rPr>
            </w:pPr>
            <w:r w:rsidRPr="00B15C21">
              <w:rPr>
                <w:rFonts w:ascii="Times New Roman" w:hAnsi="Times New Roman" w:cs="Times New Roman"/>
                <w:sz w:val="24"/>
                <w:szCs w:val="24"/>
              </w:rPr>
              <w:t>2005</w:t>
            </w:r>
          </w:p>
        </w:tc>
        <w:tc>
          <w:tcPr>
            <w:tcW w:w="2527" w:type="dxa"/>
            <w:vAlign w:val="center"/>
          </w:tcPr>
          <w:p w14:paraId="21434EAA" w14:textId="77777777" w:rsidR="009E6E2A" w:rsidRPr="00B15C21" w:rsidRDefault="009E6E2A" w:rsidP="00D87EFB">
            <w:pPr>
              <w:tabs>
                <w:tab w:val="left" w:pos="537"/>
                <w:tab w:val="right" w:pos="1707"/>
                <w:tab w:val="left" w:pos="3240"/>
                <w:tab w:val="left" w:pos="4140"/>
                <w:tab w:val="right" w:pos="5220"/>
              </w:tabs>
              <w:rPr>
                <w:rFonts w:ascii="Times New Roman" w:hAnsi="Times New Roman" w:cs="Times New Roman"/>
                <w:sz w:val="24"/>
                <w:szCs w:val="24"/>
              </w:rPr>
            </w:pPr>
            <w:r w:rsidRPr="00B15C21">
              <w:rPr>
                <w:rFonts w:ascii="Times New Roman" w:hAnsi="Times New Roman" w:cs="Times New Roman"/>
                <w:sz w:val="24"/>
                <w:szCs w:val="24"/>
              </w:rPr>
              <w:tab/>
              <w:t>$</w:t>
            </w:r>
            <w:r w:rsidRPr="00B15C21">
              <w:rPr>
                <w:rFonts w:ascii="Times New Roman" w:hAnsi="Times New Roman" w:cs="Times New Roman"/>
                <w:sz w:val="24"/>
                <w:szCs w:val="24"/>
              </w:rPr>
              <w:tab/>
              <w:t>1,573,662</w:t>
            </w:r>
          </w:p>
        </w:tc>
        <w:tc>
          <w:tcPr>
            <w:tcW w:w="2528" w:type="dxa"/>
            <w:vAlign w:val="center"/>
          </w:tcPr>
          <w:p w14:paraId="2E2D815D" w14:textId="77777777" w:rsidR="009E6E2A" w:rsidRPr="00B15C21" w:rsidRDefault="009E6E2A" w:rsidP="00F06ABA">
            <w:pPr>
              <w:tabs>
                <w:tab w:val="left" w:pos="440"/>
                <w:tab w:val="right" w:pos="1610"/>
              </w:tabs>
              <w:rPr>
                <w:rFonts w:ascii="Times New Roman" w:hAnsi="Times New Roman" w:cs="Times New Roman"/>
                <w:sz w:val="24"/>
                <w:szCs w:val="24"/>
              </w:rPr>
            </w:pPr>
            <w:r w:rsidRPr="00B15C21">
              <w:rPr>
                <w:rFonts w:ascii="Times New Roman" w:hAnsi="Times New Roman" w:cs="Times New Roman"/>
                <w:sz w:val="24"/>
                <w:szCs w:val="24"/>
              </w:rPr>
              <w:tab/>
              <w:t>$</w:t>
            </w:r>
            <w:r w:rsidRPr="00B15C21">
              <w:rPr>
                <w:rFonts w:ascii="Times New Roman" w:hAnsi="Times New Roman" w:cs="Times New Roman"/>
                <w:sz w:val="24"/>
                <w:szCs w:val="24"/>
              </w:rPr>
              <w:tab/>
            </w:r>
            <w:r w:rsidR="00F06ABA">
              <w:rPr>
                <w:rFonts w:ascii="Times New Roman" w:hAnsi="Times New Roman" w:cs="Times New Roman"/>
                <w:sz w:val="24"/>
                <w:szCs w:val="24"/>
              </w:rPr>
              <w:t>6,094,093</w:t>
            </w:r>
          </w:p>
        </w:tc>
      </w:tr>
      <w:tr w:rsidR="009E6E2A" w:rsidRPr="00B15C21" w14:paraId="66AA11F7" w14:textId="77777777" w:rsidTr="00A4548D">
        <w:trPr>
          <w:trHeight w:val="360"/>
          <w:jc w:val="center"/>
        </w:trPr>
        <w:tc>
          <w:tcPr>
            <w:tcW w:w="2243" w:type="dxa"/>
            <w:vAlign w:val="center"/>
          </w:tcPr>
          <w:p w14:paraId="02578BB9" w14:textId="77777777" w:rsidR="009E6E2A" w:rsidRPr="00B15C21" w:rsidRDefault="009E6E2A" w:rsidP="00D87EFB">
            <w:pPr>
              <w:jc w:val="center"/>
              <w:rPr>
                <w:rFonts w:ascii="Times New Roman" w:hAnsi="Times New Roman" w:cs="Times New Roman"/>
                <w:sz w:val="24"/>
                <w:szCs w:val="24"/>
              </w:rPr>
            </w:pPr>
            <w:r w:rsidRPr="00B15C21">
              <w:rPr>
                <w:rFonts w:ascii="Times New Roman" w:hAnsi="Times New Roman" w:cs="Times New Roman"/>
                <w:sz w:val="24"/>
                <w:szCs w:val="24"/>
              </w:rPr>
              <w:t>2006</w:t>
            </w:r>
          </w:p>
        </w:tc>
        <w:tc>
          <w:tcPr>
            <w:tcW w:w="2527" w:type="dxa"/>
            <w:tcBorders>
              <w:bottom w:val="single" w:sz="2" w:space="0" w:color="auto"/>
            </w:tcBorders>
            <w:vAlign w:val="center"/>
          </w:tcPr>
          <w:p w14:paraId="7397D6B3" w14:textId="77777777" w:rsidR="009E6E2A" w:rsidRPr="00B15C21" w:rsidRDefault="009E6E2A" w:rsidP="00D87EFB">
            <w:pPr>
              <w:tabs>
                <w:tab w:val="left" w:pos="537"/>
                <w:tab w:val="right" w:pos="1707"/>
              </w:tabs>
              <w:rPr>
                <w:rFonts w:ascii="Times New Roman" w:hAnsi="Times New Roman" w:cs="Times New Roman"/>
                <w:sz w:val="24"/>
                <w:szCs w:val="24"/>
              </w:rPr>
            </w:pPr>
            <w:r w:rsidRPr="00B15C21">
              <w:rPr>
                <w:rFonts w:ascii="Times New Roman" w:hAnsi="Times New Roman" w:cs="Times New Roman"/>
                <w:sz w:val="24"/>
                <w:szCs w:val="24"/>
              </w:rPr>
              <w:tab/>
            </w:r>
            <w:r w:rsidRPr="00B15C21">
              <w:rPr>
                <w:rFonts w:ascii="Times New Roman" w:hAnsi="Times New Roman" w:cs="Times New Roman"/>
                <w:sz w:val="24"/>
                <w:szCs w:val="24"/>
              </w:rPr>
              <w:tab/>
              <w:t>2,563,493</w:t>
            </w:r>
          </w:p>
        </w:tc>
        <w:tc>
          <w:tcPr>
            <w:tcW w:w="2528" w:type="dxa"/>
            <w:tcBorders>
              <w:bottom w:val="single" w:sz="2" w:space="0" w:color="auto"/>
            </w:tcBorders>
            <w:vAlign w:val="center"/>
          </w:tcPr>
          <w:p w14:paraId="23148E76" w14:textId="77777777" w:rsidR="009E6E2A" w:rsidRPr="00B15C21" w:rsidRDefault="009E6E2A" w:rsidP="00F06ABA">
            <w:pPr>
              <w:tabs>
                <w:tab w:val="left" w:pos="440"/>
                <w:tab w:val="right" w:pos="1610"/>
              </w:tabs>
              <w:rPr>
                <w:rFonts w:ascii="Times New Roman" w:hAnsi="Times New Roman" w:cs="Times New Roman"/>
                <w:sz w:val="24"/>
                <w:szCs w:val="24"/>
              </w:rPr>
            </w:pPr>
            <w:r w:rsidRPr="00B15C21">
              <w:rPr>
                <w:rFonts w:ascii="Times New Roman" w:hAnsi="Times New Roman" w:cs="Times New Roman"/>
                <w:sz w:val="24"/>
                <w:szCs w:val="24"/>
              </w:rPr>
              <w:tab/>
            </w:r>
            <w:r w:rsidRPr="00B15C21">
              <w:rPr>
                <w:rFonts w:ascii="Times New Roman" w:hAnsi="Times New Roman" w:cs="Times New Roman"/>
                <w:sz w:val="24"/>
                <w:szCs w:val="24"/>
              </w:rPr>
              <w:tab/>
            </w:r>
            <w:r w:rsidR="00F06ABA">
              <w:rPr>
                <w:rFonts w:ascii="Times New Roman" w:hAnsi="Times New Roman" w:cs="Times New Roman"/>
                <w:sz w:val="24"/>
                <w:szCs w:val="24"/>
              </w:rPr>
              <w:t>872,528</w:t>
            </w:r>
          </w:p>
        </w:tc>
      </w:tr>
      <w:tr w:rsidR="009E6E2A" w:rsidRPr="00B15C21" w14:paraId="25E32EBD" w14:textId="77777777" w:rsidTr="00A4548D">
        <w:trPr>
          <w:trHeight w:val="360"/>
          <w:jc w:val="center"/>
        </w:trPr>
        <w:tc>
          <w:tcPr>
            <w:tcW w:w="2243" w:type="dxa"/>
            <w:tcBorders>
              <w:bottom w:val="single" w:sz="12" w:space="0" w:color="auto"/>
              <w:right w:val="single" w:sz="2" w:space="0" w:color="auto"/>
            </w:tcBorders>
            <w:vAlign w:val="center"/>
          </w:tcPr>
          <w:p w14:paraId="25802D6A" w14:textId="77777777" w:rsidR="009E6E2A" w:rsidRPr="00B15C21" w:rsidRDefault="009E6E2A" w:rsidP="00D87EFB">
            <w:pPr>
              <w:jc w:val="center"/>
              <w:rPr>
                <w:rFonts w:ascii="Times New Roman" w:hAnsi="Times New Roman" w:cs="Times New Roman"/>
                <w:sz w:val="24"/>
                <w:szCs w:val="24"/>
              </w:rPr>
            </w:pPr>
            <w:r w:rsidRPr="00B15C21">
              <w:rPr>
                <w:rFonts w:ascii="Times New Roman" w:hAnsi="Times New Roman" w:cs="Times New Roman"/>
                <w:sz w:val="24"/>
                <w:szCs w:val="24"/>
              </w:rPr>
              <w:t>2007</w:t>
            </w:r>
          </w:p>
        </w:tc>
        <w:tc>
          <w:tcPr>
            <w:tcW w:w="2527" w:type="dxa"/>
            <w:tcBorders>
              <w:top w:val="single" w:sz="2" w:space="0" w:color="auto"/>
              <w:left w:val="single" w:sz="2" w:space="0" w:color="auto"/>
              <w:bottom w:val="single" w:sz="12" w:space="0" w:color="auto"/>
              <w:right w:val="single" w:sz="2" w:space="0" w:color="auto"/>
            </w:tcBorders>
            <w:vAlign w:val="center"/>
          </w:tcPr>
          <w:p w14:paraId="415AF893" w14:textId="77777777" w:rsidR="009E6E2A" w:rsidRPr="00B15C21" w:rsidRDefault="009E6E2A" w:rsidP="00D87EFB">
            <w:pPr>
              <w:tabs>
                <w:tab w:val="left" w:pos="537"/>
                <w:tab w:val="right" w:pos="1707"/>
              </w:tabs>
              <w:rPr>
                <w:rFonts w:ascii="Times New Roman" w:hAnsi="Times New Roman" w:cs="Times New Roman"/>
                <w:sz w:val="24"/>
                <w:szCs w:val="24"/>
              </w:rPr>
            </w:pPr>
            <w:r w:rsidRPr="00B15C21">
              <w:rPr>
                <w:rFonts w:ascii="Times New Roman" w:hAnsi="Times New Roman" w:cs="Times New Roman"/>
                <w:sz w:val="24"/>
                <w:szCs w:val="24"/>
              </w:rPr>
              <w:tab/>
            </w:r>
            <w:r w:rsidRPr="00B15C21">
              <w:rPr>
                <w:rFonts w:ascii="Times New Roman" w:hAnsi="Times New Roman" w:cs="Times New Roman"/>
                <w:sz w:val="24"/>
                <w:szCs w:val="24"/>
              </w:rPr>
              <w:tab/>
              <w:t>2,881,184</w:t>
            </w:r>
          </w:p>
        </w:tc>
        <w:tc>
          <w:tcPr>
            <w:tcW w:w="2528" w:type="dxa"/>
            <w:tcBorders>
              <w:top w:val="single" w:sz="2" w:space="0" w:color="auto"/>
              <w:left w:val="single" w:sz="2" w:space="0" w:color="auto"/>
              <w:bottom w:val="single" w:sz="12" w:space="0" w:color="auto"/>
              <w:right w:val="single" w:sz="2" w:space="0" w:color="auto"/>
            </w:tcBorders>
            <w:vAlign w:val="center"/>
          </w:tcPr>
          <w:p w14:paraId="59FEFAAA" w14:textId="77777777" w:rsidR="009E6E2A" w:rsidRPr="00B15C21" w:rsidRDefault="009E6E2A" w:rsidP="00F06ABA">
            <w:pPr>
              <w:tabs>
                <w:tab w:val="left" w:pos="440"/>
                <w:tab w:val="right" w:pos="1610"/>
              </w:tabs>
              <w:rPr>
                <w:rFonts w:ascii="Times New Roman" w:hAnsi="Times New Roman" w:cs="Times New Roman"/>
                <w:sz w:val="24"/>
                <w:szCs w:val="24"/>
              </w:rPr>
            </w:pPr>
            <w:r w:rsidRPr="00B15C21">
              <w:rPr>
                <w:rFonts w:ascii="Times New Roman" w:hAnsi="Times New Roman" w:cs="Times New Roman"/>
                <w:sz w:val="24"/>
                <w:szCs w:val="24"/>
              </w:rPr>
              <w:tab/>
            </w:r>
            <w:r w:rsidRPr="00B15C21">
              <w:rPr>
                <w:rFonts w:ascii="Times New Roman" w:hAnsi="Times New Roman" w:cs="Times New Roman"/>
                <w:sz w:val="24"/>
                <w:szCs w:val="24"/>
              </w:rPr>
              <w:tab/>
            </w:r>
            <w:r w:rsidR="00F06ABA">
              <w:rPr>
                <w:rFonts w:ascii="Times New Roman" w:hAnsi="Times New Roman" w:cs="Times New Roman"/>
                <w:sz w:val="24"/>
                <w:szCs w:val="24"/>
              </w:rPr>
              <w:t>1,715,226</w:t>
            </w:r>
          </w:p>
        </w:tc>
      </w:tr>
      <w:tr w:rsidR="009E6E2A" w:rsidRPr="00B15C21" w14:paraId="732D329F" w14:textId="77777777" w:rsidTr="00A4548D">
        <w:trPr>
          <w:trHeight w:val="504"/>
          <w:jc w:val="center"/>
        </w:trPr>
        <w:tc>
          <w:tcPr>
            <w:tcW w:w="2243" w:type="dxa"/>
            <w:tcBorders>
              <w:top w:val="single" w:sz="12" w:space="0" w:color="auto"/>
            </w:tcBorders>
            <w:vAlign w:val="center"/>
          </w:tcPr>
          <w:p w14:paraId="1784E07B" w14:textId="77777777" w:rsidR="009E6E2A" w:rsidRPr="00B15C21" w:rsidRDefault="009E6E2A" w:rsidP="00D87EFB">
            <w:pPr>
              <w:jc w:val="center"/>
              <w:rPr>
                <w:rFonts w:ascii="Times New Roman" w:hAnsi="Times New Roman" w:cs="Times New Roman"/>
                <w:sz w:val="24"/>
                <w:szCs w:val="24"/>
              </w:rPr>
            </w:pPr>
            <w:r w:rsidRPr="00B15C21">
              <w:rPr>
                <w:rFonts w:ascii="Times New Roman" w:hAnsi="Times New Roman" w:cs="Times New Roman"/>
                <w:sz w:val="24"/>
                <w:szCs w:val="24"/>
              </w:rPr>
              <w:t>Three-Year Total</w:t>
            </w:r>
          </w:p>
        </w:tc>
        <w:tc>
          <w:tcPr>
            <w:tcW w:w="2527" w:type="dxa"/>
            <w:tcBorders>
              <w:top w:val="single" w:sz="12" w:space="0" w:color="auto"/>
              <w:bottom w:val="single" w:sz="4" w:space="0" w:color="auto"/>
            </w:tcBorders>
            <w:vAlign w:val="center"/>
          </w:tcPr>
          <w:p w14:paraId="5FA47DA9" w14:textId="77777777" w:rsidR="009E6E2A" w:rsidRPr="00B15C21" w:rsidRDefault="009E6E2A" w:rsidP="00D87EFB">
            <w:pPr>
              <w:tabs>
                <w:tab w:val="left" w:pos="537"/>
                <w:tab w:val="right" w:pos="1707"/>
              </w:tabs>
              <w:rPr>
                <w:rFonts w:ascii="Times New Roman" w:hAnsi="Times New Roman" w:cs="Times New Roman"/>
                <w:sz w:val="24"/>
                <w:szCs w:val="24"/>
              </w:rPr>
            </w:pPr>
            <w:r w:rsidRPr="00B15C21">
              <w:rPr>
                <w:rFonts w:ascii="Times New Roman" w:hAnsi="Times New Roman" w:cs="Times New Roman"/>
                <w:sz w:val="24"/>
                <w:szCs w:val="24"/>
              </w:rPr>
              <w:tab/>
              <w:t>$</w:t>
            </w:r>
            <w:r w:rsidRPr="00B15C21">
              <w:rPr>
                <w:rFonts w:ascii="Times New Roman" w:hAnsi="Times New Roman" w:cs="Times New Roman"/>
                <w:sz w:val="24"/>
                <w:szCs w:val="24"/>
              </w:rPr>
              <w:tab/>
              <w:t>7,018,339</w:t>
            </w:r>
          </w:p>
        </w:tc>
        <w:tc>
          <w:tcPr>
            <w:tcW w:w="2528" w:type="dxa"/>
            <w:tcBorders>
              <w:top w:val="single" w:sz="12" w:space="0" w:color="auto"/>
              <w:bottom w:val="single" w:sz="4" w:space="0" w:color="auto"/>
            </w:tcBorders>
            <w:vAlign w:val="center"/>
          </w:tcPr>
          <w:p w14:paraId="4475B853" w14:textId="77777777" w:rsidR="009E6E2A" w:rsidRPr="00B15C21" w:rsidRDefault="009E6E2A" w:rsidP="00F06ABA">
            <w:pPr>
              <w:tabs>
                <w:tab w:val="left" w:pos="440"/>
                <w:tab w:val="right" w:pos="1610"/>
              </w:tabs>
              <w:rPr>
                <w:rFonts w:ascii="Times New Roman" w:hAnsi="Times New Roman" w:cs="Times New Roman"/>
                <w:sz w:val="24"/>
                <w:szCs w:val="24"/>
              </w:rPr>
            </w:pPr>
            <w:r w:rsidRPr="00B15C21">
              <w:rPr>
                <w:rFonts w:ascii="Times New Roman" w:hAnsi="Times New Roman" w:cs="Times New Roman"/>
                <w:sz w:val="24"/>
                <w:szCs w:val="24"/>
              </w:rPr>
              <w:tab/>
              <w:t>$</w:t>
            </w:r>
            <w:r w:rsidRPr="00B15C21">
              <w:rPr>
                <w:rFonts w:ascii="Times New Roman" w:hAnsi="Times New Roman" w:cs="Times New Roman"/>
                <w:sz w:val="24"/>
                <w:szCs w:val="24"/>
              </w:rPr>
              <w:tab/>
            </w:r>
            <w:r w:rsidR="00F06ABA">
              <w:rPr>
                <w:rFonts w:ascii="Times New Roman" w:hAnsi="Times New Roman" w:cs="Times New Roman"/>
                <w:sz w:val="24"/>
                <w:szCs w:val="24"/>
              </w:rPr>
              <w:t>8,681,847</w:t>
            </w:r>
          </w:p>
        </w:tc>
      </w:tr>
      <w:tr w:rsidR="009E6E2A" w:rsidRPr="00B15C21" w14:paraId="1F1504FC" w14:textId="77777777" w:rsidTr="00A4548D">
        <w:trPr>
          <w:trHeight w:val="504"/>
          <w:jc w:val="center"/>
        </w:trPr>
        <w:tc>
          <w:tcPr>
            <w:tcW w:w="2243" w:type="dxa"/>
            <w:vAlign w:val="center"/>
          </w:tcPr>
          <w:p w14:paraId="27FC023D" w14:textId="77777777" w:rsidR="009E6E2A" w:rsidRPr="00B15C21" w:rsidRDefault="009E6E2A" w:rsidP="00D87EFB">
            <w:pPr>
              <w:jc w:val="center"/>
              <w:rPr>
                <w:rFonts w:ascii="Times New Roman" w:hAnsi="Times New Roman" w:cs="Times New Roman"/>
                <w:b/>
                <w:sz w:val="24"/>
                <w:szCs w:val="24"/>
              </w:rPr>
            </w:pPr>
            <w:r w:rsidRPr="00B15C21">
              <w:rPr>
                <w:rFonts w:ascii="Times New Roman" w:hAnsi="Times New Roman" w:cs="Times New Roman"/>
                <w:b/>
                <w:sz w:val="24"/>
                <w:szCs w:val="24"/>
              </w:rPr>
              <w:t>Three-Year Average</w:t>
            </w:r>
          </w:p>
        </w:tc>
        <w:tc>
          <w:tcPr>
            <w:tcW w:w="2527" w:type="dxa"/>
            <w:tcBorders>
              <w:top w:val="single" w:sz="4" w:space="0" w:color="auto"/>
            </w:tcBorders>
            <w:vAlign w:val="center"/>
          </w:tcPr>
          <w:p w14:paraId="09EE9709" w14:textId="77777777" w:rsidR="009E6E2A" w:rsidRPr="00B15C21" w:rsidRDefault="009E6E2A" w:rsidP="00D87EFB">
            <w:pPr>
              <w:tabs>
                <w:tab w:val="left" w:pos="537"/>
                <w:tab w:val="right" w:pos="1707"/>
              </w:tabs>
              <w:rPr>
                <w:rFonts w:ascii="Times New Roman" w:hAnsi="Times New Roman" w:cs="Times New Roman"/>
                <w:b/>
                <w:sz w:val="24"/>
                <w:szCs w:val="24"/>
              </w:rPr>
            </w:pPr>
            <w:r w:rsidRPr="00B15C21">
              <w:rPr>
                <w:rFonts w:ascii="Times New Roman" w:hAnsi="Times New Roman" w:cs="Times New Roman"/>
                <w:b/>
                <w:sz w:val="24"/>
                <w:szCs w:val="24"/>
              </w:rPr>
              <w:tab/>
              <w:t>$</w:t>
            </w:r>
            <w:r w:rsidRPr="00B15C21">
              <w:rPr>
                <w:rFonts w:ascii="Times New Roman" w:hAnsi="Times New Roman" w:cs="Times New Roman"/>
                <w:b/>
                <w:sz w:val="24"/>
                <w:szCs w:val="24"/>
              </w:rPr>
              <w:tab/>
              <w:t>2,339,446</w:t>
            </w:r>
          </w:p>
        </w:tc>
        <w:tc>
          <w:tcPr>
            <w:tcW w:w="2528" w:type="dxa"/>
            <w:tcBorders>
              <w:top w:val="single" w:sz="4" w:space="0" w:color="auto"/>
            </w:tcBorders>
            <w:vAlign w:val="center"/>
          </w:tcPr>
          <w:p w14:paraId="2124E294" w14:textId="77777777" w:rsidR="009E6E2A" w:rsidRPr="00B15C21" w:rsidRDefault="009E6E2A" w:rsidP="00F06ABA">
            <w:pPr>
              <w:tabs>
                <w:tab w:val="left" w:pos="440"/>
                <w:tab w:val="right" w:pos="1610"/>
              </w:tabs>
              <w:rPr>
                <w:rFonts w:ascii="Times New Roman" w:hAnsi="Times New Roman" w:cs="Times New Roman"/>
                <w:b/>
                <w:sz w:val="24"/>
                <w:szCs w:val="24"/>
              </w:rPr>
            </w:pPr>
            <w:r w:rsidRPr="00B15C21">
              <w:rPr>
                <w:rFonts w:ascii="Times New Roman" w:hAnsi="Times New Roman" w:cs="Times New Roman"/>
                <w:b/>
                <w:sz w:val="24"/>
                <w:szCs w:val="24"/>
              </w:rPr>
              <w:tab/>
              <w:t>$</w:t>
            </w:r>
            <w:r w:rsidRPr="00B15C21">
              <w:rPr>
                <w:rFonts w:ascii="Times New Roman" w:hAnsi="Times New Roman" w:cs="Times New Roman"/>
                <w:b/>
                <w:sz w:val="24"/>
                <w:szCs w:val="24"/>
              </w:rPr>
              <w:tab/>
            </w:r>
            <w:r w:rsidR="00F06ABA">
              <w:rPr>
                <w:rFonts w:ascii="Times New Roman" w:hAnsi="Times New Roman" w:cs="Times New Roman"/>
                <w:b/>
                <w:sz w:val="24"/>
                <w:szCs w:val="24"/>
              </w:rPr>
              <w:t>2,893,949</w:t>
            </w:r>
          </w:p>
        </w:tc>
      </w:tr>
    </w:tbl>
    <w:p w14:paraId="63CE5C56" w14:textId="16896EC3" w:rsidR="009E6E2A" w:rsidRPr="00207618" w:rsidRDefault="00EC0C90" w:rsidP="00207618">
      <w:pPr>
        <w:pStyle w:val="ListParagraph"/>
        <w:numPr>
          <w:ilvl w:val="0"/>
          <w:numId w:val="17"/>
        </w:numPr>
        <w:rPr>
          <w:rFonts w:ascii="Times New Roman" w:hAnsi="Times New Roman" w:cs="Times New Roman"/>
          <w:sz w:val="24"/>
          <w:szCs w:val="24"/>
        </w:rPr>
      </w:pPr>
      <w:r w:rsidRPr="00207618">
        <w:rPr>
          <w:rFonts w:ascii="Times New Roman" w:hAnsi="Times New Roman" w:cs="Times New Roman"/>
          <w:sz w:val="24"/>
          <w:szCs w:val="24"/>
        </w:rPr>
        <w:t>Schedule C-2</w:t>
      </w:r>
      <w:r w:rsidR="00153145" w:rsidRPr="00207618">
        <w:rPr>
          <w:rFonts w:ascii="Times New Roman" w:hAnsi="Times New Roman" w:cs="Times New Roman"/>
          <w:sz w:val="24"/>
          <w:szCs w:val="24"/>
        </w:rPr>
        <w:t xml:space="preserve"> of DP&amp;L’s Application</w:t>
      </w:r>
      <w:r w:rsidRPr="00207618">
        <w:rPr>
          <w:rFonts w:ascii="Times New Roman" w:hAnsi="Times New Roman" w:cs="Times New Roman"/>
          <w:sz w:val="24"/>
          <w:szCs w:val="24"/>
        </w:rPr>
        <w:t>.</w:t>
      </w:r>
    </w:p>
    <w:p w14:paraId="7EB94E2B" w14:textId="2C687F0A" w:rsidR="00207618" w:rsidRPr="00207618" w:rsidRDefault="00207618" w:rsidP="00207618">
      <w:pPr>
        <w:pStyle w:val="ListParagraph"/>
        <w:numPr>
          <w:ilvl w:val="0"/>
          <w:numId w:val="17"/>
        </w:numPr>
        <w:rPr>
          <w:rFonts w:ascii="Times New Roman" w:hAnsi="Times New Roman" w:cs="Times New Roman"/>
          <w:sz w:val="24"/>
          <w:szCs w:val="24"/>
        </w:rPr>
      </w:pPr>
      <w:r w:rsidRPr="00545E9B">
        <w:rPr>
          <w:rFonts w:ascii="Times New Roman" w:hAnsi="Times New Roman" w:cs="Times New Roman"/>
        </w:rPr>
        <w:t xml:space="preserve">Direct Testimony of PUCO Staff </w:t>
      </w:r>
      <w:r>
        <w:rPr>
          <w:rFonts w:ascii="Times New Roman" w:hAnsi="Times New Roman" w:cs="Times New Roman"/>
        </w:rPr>
        <w:t xml:space="preserve">witness David M. Lipthratt, </w:t>
      </w:r>
      <w:r w:rsidRPr="00545E9B">
        <w:rPr>
          <w:rFonts w:ascii="Times New Roman" w:hAnsi="Times New Roman" w:cs="Times New Roman"/>
        </w:rPr>
        <w:t>PUCO Case No. 12-426-EL-SSO</w:t>
      </w:r>
      <w:r>
        <w:rPr>
          <w:rFonts w:ascii="Times New Roman" w:hAnsi="Times New Roman" w:cs="Times New Roman"/>
        </w:rPr>
        <w:t xml:space="preserve"> at Attachment A (Mar. 12, 2013)</w:t>
      </w:r>
      <w:r w:rsidR="00433642">
        <w:rPr>
          <w:rFonts w:ascii="Times New Roman" w:hAnsi="Times New Roman" w:cs="Times New Roman"/>
        </w:rPr>
        <w:t>.</w:t>
      </w:r>
    </w:p>
    <w:p w14:paraId="25F8BC49" w14:textId="77777777" w:rsidR="00EC0C90" w:rsidRPr="00B15C21" w:rsidRDefault="00025748" w:rsidP="0080211A">
      <w:pPr>
        <w:pStyle w:val="Heading2"/>
      </w:pPr>
      <w:bookmarkStart w:id="6" w:name="_Toc359248597"/>
      <w:r>
        <w:t>C</w:t>
      </w:r>
      <w:r w:rsidR="00EC0C90" w:rsidRPr="00B15C21">
        <w:t>.</w:t>
      </w:r>
      <w:r w:rsidR="00EC0C90" w:rsidRPr="00B15C21">
        <w:tab/>
      </w:r>
      <w:r w:rsidR="00AA6977">
        <w:t xml:space="preserve">Customers Should </w:t>
      </w:r>
      <w:r w:rsidR="006A1131">
        <w:t xml:space="preserve">Not Pay For </w:t>
      </w:r>
      <w:r w:rsidR="00282066" w:rsidRPr="00B15C21">
        <w:t>O</w:t>
      </w:r>
      <w:r w:rsidR="00282066">
        <w:t xml:space="preserve">peration </w:t>
      </w:r>
      <w:r w:rsidR="006A1131">
        <w:t xml:space="preserve">And </w:t>
      </w:r>
      <w:r w:rsidR="00282066">
        <w:t>Maintenance</w:t>
      </w:r>
      <w:r w:rsidR="00282066" w:rsidRPr="00B15C21" w:rsidDel="00A27193">
        <w:t xml:space="preserve"> </w:t>
      </w:r>
      <w:r w:rsidR="00EC0C90" w:rsidRPr="00B15C21">
        <w:t>Cost</w:t>
      </w:r>
      <w:r w:rsidR="00A27193">
        <w:t>s</w:t>
      </w:r>
      <w:r w:rsidR="00EC0C90" w:rsidRPr="00B15C21">
        <w:t xml:space="preserve"> Related </w:t>
      </w:r>
      <w:r w:rsidR="006A1131" w:rsidRPr="00B15C21">
        <w:t xml:space="preserve">To </w:t>
      </w:r>
      <w:r w:rsidR="00EC0C90" w:rsidRPr="00B15C21">
        <w:t xml:space="preserve">Thirteen Storms In </w:t>
      </w:r>
      <w:r w:rsidR="006A1131" w:rsidRPr="00B15C21">
        <w:t>2008</w:t>
      </w:r>
      <w:r w:rsidR="006A1131">
        <w:t xml:space="preserve"> </w:t>
      </w:r>
      <w:r w:rsidR="001931CF">
        <w:t xml:space="preserve">That </w:t>
      </w:r>
      <w:r w:rsidR="00A86B4D">
        <w:t>DP</w:t>
      </w:r>
      <w:r w:rsidR="006A1131">
        <w:t>&amp;</w:t>
      </w:r>
      <w:r w:rsidR="00A86B4D">
        <w:t xml:space="preserve">L Did </w:t>
      </w:r>
      <w:r w:rsidR="006A1131">
        <w:t xml:space="preserve">Not </w:t>
      </w:r>
      <w:r w:rsidR="00A86B4D">
        <w:t xml:space="preserve">Receive </w:t>
      </w:r>
      <w:r w:rsidR="006A1131">
        <w:t>Authority To Defer As A Regulatory Asset</w:t>
      </w:r>
      <w:r w:rsidR="006A1131" w:rsidRPr="00B15C21">
        <w:t>.</w:t>
      </w:r>
      <w:bookmarkEnd w:id="6"/>
    </w:p>
    <w:p w14:paraId="525C0F51" w14:textId="316AF3B3" w:rsidR="002D6747" w:rsidRDefault="00A27E3E" w:rsidP="0080211A">
      <w:pPr>
        <w:pStyle w:val="Heading3"/>
      </w:pPr>
      <w:bookmarkStart w:id="7" w:name="_Toc359248598"/>
      <w:r w:rsidRPr="00310444">
        <w:t>1.</w:t>
      </w:r>
      <w:r w:rsidRPr="00310444">
        <w:tab/>
        <w:t xml:space="preserve">The only storm costs that DP&amp;L was authorized to defer were the incremental </w:t>
      </w:r>
      <w:r w:rsidR="00562D8B">
        <w:t xml:space="preserve">operation and maintenance </w:t>
      </w:r>
      <w:r w:rsidRPr="00310444">
        <w:t>expenses associated with the September 14, 2008 wind storm</w:t>
      </w:r>
      <w:r w:rsidR="002D6747" w:rsidRPr="00310444">
        <w:t>.</w:t>
      </w:r>
      <w:bookmarkEnd w:id="7"/>
    </w:p>
    <w:p w14:paraId="30C46540" w14:textId="060BB762" w:rsidR="00913F2B" w:rsidRDefault="00026885" w:rsidP="00EC0C90">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As discussed above, </w:t>
      </w:r>
      <w:r w:rsidRPr="00B15C21">
        <w:rPr>
          <w:rFonts w:ascii="Times New Roman" w:hAnsi="Times New Roman" w:cs="Times New Roman"/>
          <w:sz w:val="24"/>
          <w:szCs w:val="24"/>
        </w:rPr>
        <w:t xml:space="preserve">DP&amp;L was </w:t>
      </w:r>
      <w:r>
        <w:rPr>
          <w:rFonts w:ascii="Times New Roman" w:hAnsi="Times New Roman" w:cs="Times New Roman"/>
          <w:sz w:val="24"/>
          <w:szCs w:val="24"/>
        </w:rPr>
        <w:t xml:space="preserve">authorized to </w:t>
      </w:r>
      <w:r w:rsidRPr="00B15C21">
        <w:rPr>
          <w:rFonts w:ascii="Times New Roman" w:hAnsi="Times New Roman" w:cs="Times New Roman"/>
          <w:sz w:val="24"/>
          <w:szCs w:val="24"/>
        </w:rPr>
        <w:t xml:space="preserve">defer </w:t>
      </w:r>
      <w:r>
        <w:rPr>
          <w:rFonts w:ascii="Times New Roman" w:hAnsi="Times New Roman" w:cs="Times New Roman"/>
          <w:sz w:val="24"/>
          <w:szCs w:val="24"/>
        </w:rPr>
        <w:t>“incremental O&amp;M expenses associated with the September 14, 2008, wind storm, with carrying costs, ***”</w:t>
      </w:r>
      <w:r>
        <w:rPr>
          <w:rStyle w:val="FootnoteReference"/>
          <w:rFonts w:ascii="Times New Roman" w:hAnsi="Times New Roman" w:cs="Times New Roman"/>
          <w:sz w:val="24"/>
          <w:szCs w:val="24"/>
        </w:rPr>
        <w:footnoteReference w:id="16"/>
      </w:r>
      <w:r w:rsidRPr="00B15C21">
        <w:rPr>
          <w:rFonts w:ascii="Times New Roman" w:hAnsi="Times New Roman" w:cs="Times New Roman"/>
          <w:sz w:val="24"/>
          <w:szCs w:val="24"/>
        </w:rPr>
        <w:t xml:space="preserve"> </w:t>
      </w:r>
      <w:r>
        <w:rPr>
          <w:rFonts w:ascii="Times New Roman" w:hAnsi="Times New Roman" w:cs="Times New Roman"/>
          <w:sz w:val="24"/>
          <w:szCs w:val="24"/>
        </w:rPr>
        <w:t xml:space="preserve">that exceed the </w:t>
      </w:r>
      <w:r w:rsidRPr="00B15C21">
        <w:rPr>
          <w:rFonts w:ascii="Times New Roman" w:hAnsi="Times New Roman" w:cs="Times New Roman"/>
          <w:sz w:val="24"/>
          <w:szCs w:val="24"/>
        </w:rPr>
        <w:t>three-year average service restoration O&amp;M expenses for major storms.</w:t>
      </w:r>
      <w:r w:rsidRPr="00B15C21">
        <w:rPr>
          <w:rStyle w:val="FootnoteReference"/>
          <w:rFonts w:ascii="Times New Roman" w:hAnsi="Times New Roman" w:cs="Times New Roman"/>
          <w:sz w:val="24"/>
          <w:szCs w:val="24"/>
        </w:rPr>
        <w:footnoteReference w:id="17"/>
      </w:r>
      <w:r w:rsidRPr="00B15C21">
        <w:rPr>
          <w:rFonts w:ascii="Times New Roman" w:hAnsi="Times New Roman" w:cs="Times New Roman"/>
          <w:sz w:val="24"/>
          <w:szCs w:val="24"/>
        </w:rPr>
        <w:t xml:space="preserve">  </w:t>
      </w:r>
      <w:r w:rsidR="00913F2B">
        <w:rPr>
          <w:rFonts w:ascii="Times New Roman" w:hAnsi="Times New Roman" w:cs="Times New Roman"/>
          <w:sz w:val="24"/>
          <w:szCs w:val="24"/>
        </w:rPr>
        <w:t xml:space="preserve">But DP&amp;L is trying to charge its customers for </w:t>
      </w:r>
      <w:r w:rsidR="007E3217">
        <w:rPr>
          <w:rFonts w:ascii="Times New Roman" w:hAnsi="Times New Roman" w:cs="Times New Roman"/>
          <w:sz w:val="24"/>
          <w:szCs w:val="24"/>
        </w:rPr>
        <w:t xml:space="preserve">a multitude of </w:t>
      </w:r>
      <w:r w:rsidR="00913F2B">
        <w:rPr>
          <w:rFonts w:ascii="Times New Roman" w:hAnsi="Times New Roman" w:cs="Times New Roman"/>
          <w:sz w:val="24"/>
          <w:szCs w:val="24"/>
        </w:rPr>
        <w:t xml:space="preserve">storm costs </w:t>
      </w:r>
      <w:r w:rsidR="00C425F6">
        <w:rPr>
          <w:rFonts w:ascii="Times New Roman" w:hAnsi="Times New Roman" w:cs="Times New Roman"/>
          <w:sz w:val="24"/>
          <w:szCs w:val="24"/>
        </w:rPr>
        <w:t xml:space="preserve">incurred in </w:t>
      </w:r>
      <w:r w:rsidR="00913F2B">
        <w:rPr>
          <w:rFonts w:ascii="Times New Roman" w:hAnsi="Times New Roman" w:cs="Times New Roman"/>
          <w:sz w:val="24"/>
          <w:szCs w:val="24"/>
        </w:rPr>
        <w:t xml:space="preserve">2008 that the </w:t>
      </w:r>
      <w:r w:rsidR="008C0ECC">
        <w:rPr>
          <w:rFonts w:ascii="Times New Roman" w:hAnsi="Times New Roman" w:cs="Times New Roman"/>
          <w:sz w:val="24"/>
          <w:szCs w:val="24"/>
        </w:rPr>
        <w:t xml:space="preserve">PUCO </w:t>
      </w:r>
      <w:r w:rsidR="00913F2B">
        <w:rPr>
          <w:rFonts w:ascii="Times New Roman" w:hAnsi="Times New Roman" w:cs="Times New Roman"/>
          <w:sz w:val="24"/>
          <w:szCs w:val="24"/>
        </w:rPr>
        <w:t>never authorized DP&amp;L</w:t>
      </w:r>
      <w:r w:rsidR="00C425F6">
        <w:rPr>
          <w:rFonts w:ascii="Times New Roman" w:hAnsi="Times New Roman" w:cs="Times New Roman"/>
          <w:sz w:val="24"/>
          <w:szCs w:val="24"/>
        </w:rPr>
        <w:t xml:space="preserve"> to defer.  </w:t>
      </w:r>
      <w:r w:rsidR="00913F2B">
        <w:rPr>
          <w:rFonts w:ascii="Times New Roman" w:hAnsi="Times New Roman" w:cs="Times New Roman"/>
          <w:sz w:val="24"/>
          <w:szCs w:val="24"/>
        </w:rPr>
        <w:t xml:space="preserve">Specifically, </w:t>
      </w:r>
      <w:r>
        <w:rPr>
          <w:rFonts w:ascii="Times New Roman" w:hAnsi="Times New Roman" w:cs="Times New Roman"/>
          <w:sz w:val="24"/>
          <w:szCs w:val="24"/>
        </w:rPr>
        <w:t>DP&amp;L</w:t>
      </w:r>
      <w:r w:rsidR="00913F2B">
        <w:rPr>
          <w:rFonts w:ascii="Times New Roman" w:hAnsi="Times New Roman" w:cs="Times New Roman"/>
          <w:sz w:val="24"/>
          <w:szCs w:val="24"/>
        </w:rPr>
        <w:t xml:space="preserve"> is seeking Commission approval to charge its customers for costs of </w:t>
      </w:r>
      <w:r w:rsidR="007E3217">
        <w:rPr>
          <w:rFonts w:ascii="Times New Roman" w:hAnsi="Times New Roman" w:cs="Times New Roman"/>
          <w:sz w:val="24"/>
          <w:szCs w:val="24"/>
        </w:rPr>
        <w:t>thirteen</w:t>
      </w:r>
      <w:r w:rsidR="00913F2B">
        <w:rPr>
          <w:rFonts w:ascii="Times New Roman" w:hAnsi="Times New Roman" w:cs="Times New Roman"/>
          <w:sz w:val="24"/>
          <w:szCs w:val="24"/>
        </w:rPr>
        <w:t xml:space="preserve"> other storms in 2008.</w:t>
      </w:r>
      <w:r w:rsidR="00913F2B">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p>
    <w:p w14:paraId="249AF100" w14:textId="671C5C7F" w:rsidR="005E20D0" w:rsidRDefault="00C425F6" w:rsidP="005E20D0">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T</w:t>
      </w:r>
      <w:r w:rsidR="00A07E21" w:rsidRPr="00B15C21">
        <w:rPr>
          <w:rFonts w:ascii="Times New Roman" w:hAnsi="Times New Roman" w:cs="Times New Roman"/>
          <w:sz w:val="24"/>
          <w:szCs w:val="24"/>
        </w:rPr>
        <w:t xml:space="preserve">he </w:t>
      </w:r>
      <w:r w:rsidR="008C0ECC">
        <w:rPr>
          <w:rFonts w:ascii="Times New Roman" w:hAnsi="Times New Roman" w:cs="Times New Roman"/>
          <w:sz w:val="24"/>
          <w:szCs w:val="24"/>
        </w:rPr>
        <w:t>PUCO</w:t>
      </w:r>
      <w:r w:rsidR="008C0ECC" w:rsidRPr="00B15C21">
        <w:rPr>
          <w:rFonts w:ascii="Times New Roman" w:hAnsi="Times New Roman" w:cs="Times New Roman"/>
          <w:sz w:val="24"/>
          <w:szCs w:val="24"/>
        </w:rPr>
        <w:t>’s</w:t>
      </w:r>
      <w:r w:rsidR="008C0ECC">
        <w:rPr>
          <w:rFonts w:ascii="Times New Roman" w:hAnsi="Times New Roman" w:cs="Times New Roman"/>
          <w:sz w:val="24"/>
          <w:szCs w:val="24"/>
        </w:rPr>
        <w:t xml:space="preserve"> </w:t>
      </w:r>
      <w:r w:rsidR="00A27193">
        <w:rPr>
          <w:rFonts w:ascii="Times New Roman" w:hAnsi="Times New Roman" w:cs="Times New Roman"/>
          <w:sz w:val="24"/>
          <w:szCs w:val="24"/>
        </w:rPr>
        <w:t xml:space="preserve">Finding and Order </w:t>
      </w:r>
      <w:r w:rsidR="00A07E21" w:rsidRPr="00B15C21">
        <w:rPr>
          <w:rFonts w:ascii="Times New Roman" w:hAnsi="Times New Roman" w:cs="Times New Roman"/>
          <w:sz w:val="24"/>
          <w:szCs w:val="24"/>
        </w:rPr>
        <w:t xml:space="preserve">in Case No. 08-1332-EL-AAM </w:t>
      </w:r>
      <w:r w:rsidR="00994FFC" w:rsidRPr="00B15C21">
        <w:rPr>
          <w:rFonts w:ascii="Times New Roman" w:hAnsi="Times New Roman" w:cs="Times New Roman"/>
          <w:sz w:val="24"/>
          <w:szCs w:val="24"/>
        </w:rPr>
        <w:t>explicitly states that DP&amp;L was authorized to defer</w:t>
      </w:r>
      <w:r w:rsidR="00A358D4" w:rsidRPr="00B15C21">
        <w:rPr>
          <w:rFonts w:ascii="Times New Roman" w:hAnsi="Times New Roman" w:cs="Times New Roman"/>
          <w:sz w:val="24"/>
          <w:szCs w:val="24"/>
        </w:rPr>
        <w:t xml:space="preserve"> </w:t>
      </w:r>
      <w:r w:rsidR="00994FFC" w:rsidRPr="00B15C21">
        <w:rPr>
          <w:rFonts w:ascii="Times New Roman" w:hAnsi="Times New Roman" w:cs="Times New Roman"/>
          <w:sz w:val="24"/>
          <w:szCs w:val="24"/>
        </w:rPr>
        <w:t>only incremental O&amp;M cost</w:t>
      </w:r>
      <w:r w:rsidR="00A27193">
        <w:rPr>
          <w:rFonts w:ascii="Times New Roman" w:hAnsi="Times New Roman" w:cs="Times New Roman"/>
          <w:sz w:val="24"/>
          <w:szCs w:val="24"/>
        </w:rPr>
        <w:t>s</w:t>
      </w:r>
      <w:r w:rsidR="00994FFC" w:rsidRPr="00B15C21">
        <w:rPr>
          <w:rFonts w:ascii="Times New Roman" w:hAnsi="Times New Roman" w:cs="Times New Roman"/>
          <w:sz w:val="24"/>
          <w:szCs w:val="24"/>
        </w:rPr>
        <w:t xml:space="preserve"> related to the September 14, 2008 wind storm (Hurricane Ike) and </w:t>
      </w:r>
      <w:r w:rsidR="00A27193">
        <w:rPr>
          <w:rFonts w:ascii="Times New Roman" w:hAnsi="Times New Roman" w:cs="Times New Roman"/>
          <w:sz w:val="24"/>
          <w:szCs w:val="24"/>
        </w:rPr>
        <w:t xml:space="preserve">the associated </w:t>
      </w:r>
      <w:r w:rsidR="00994FFC" w:rsidRPr="00B15C21">
        <w:rPr>
          <w:rFonts w:ascii="Times New Roman" w:hAnsi="Times New Roman" w:cs="Times New Roman"/>
          <w:sz w:val="24"/>
          <w:szCs w:val="24"/>
        </w:rPr>
        <w:t>carrying costs</w:t>
      </w:r>
      <w:r w:rsidR="00A358D4" w:rsidRPr="00B15C21">
        <w:rPr>
          <w:rFonts w:ascii="Times New Roman" w:hAnsi="Times New Roman" w:cs="Times New Roman"/>
          <w:sz w:val="24"/>
          <w:szCs w:val="24"/>
        </w:rPr>
        <w:t>.</w:t>
      </w:r>
      <w:r w:rsidR="00A27193">
        <w:rPr>
          <w:rStyle w:val="FootnoteReference"/>
          <w:rFonts w:ascii="Times New Roman" w:hAnsi="Times New Roman" w:cs="Times New Roman"/>
          <w:sz w:val="24"/>
          <w:szCs w:val="24"/>
        </w:rPr>
        <w:footnoteReference w:id="19"/>
      </w:r>
      <w:r w:rsidR="00A358D4" w:rsidRPr="00B15C21">
        <w:rPr>
          <w:rFonts w:ascii="Times New Roman" w:hAnsi="Times New Roman" w:cs="Times New Roman"/>
          <w:sz w:val="24"/>
          <w:szCs w:val="24"/>
        </w:rPr>
        <w:t xml:space="preserve">  Nothing in th</w:t>
      </w:r>
      <w:r>
        <w:rPr>
          <w:rFonts w:ascii="Times New Roman" w:hAnsi="Times New Roman" w:cs="Times New Roman"/>
          <w:sz w:val="24"/>
          <w:szCs w:val="24"/>
        </w:rPr>
        <w:t>at Finding and Order</w:t>
      </w:r>
      <w:r w:rsidR="00A27193">
        <w:rPr>
          <w:rFonts w:ascii="Times New Roman" w:hAnsi="Times New Roman" w:cs="Times New Roman"/>
          <w:sz w:val="24"/>
          <w:szCs w:val="24"/>
        </w:rPr>
        <w:t>, however,</w:t>
      </w:r>
      <w:r w:rsidR="00A358D4" w:rsidRPr="00B15C21">
        <w:rPr>
          <w:rFonts w:ascii="Times New Roman" w:hAnsi="Times New Roman" w:cs="Times New Roman"/>
          <w:sz w:val="24"/>
          <w:szCs w:val="24"/>
        </w:rPr>
        <w:t xml:space="preserve"> approves the </w:t>
      </w:r>
      <w:r w:rsidR="001931CF">
        <w:rPr>
          <w:rFonts w:ascii="Times New Roman" w:hAnsi="Times New Roman" w:cs="Times New Roman"/>
          <w:sz w:val="24"/>
          <w:szCs w:val="24"/>
        </w:rPr>
        <w:t>Utilit</w:t>
      </w:r>
      <w:r w:rsidR="00A358D4" w:rsidRPr="00B15C21">
        <w:rPr>
          <w:rFonts w:ascii="Times New Roman" w:hAnsi="Times New Roman" w:cs="Times New Roman"/>
          <w:sz w:val="24"/>
          <w:szCs w:val="24"/>
        </w:rPr>
        <w:t xml:space="preserve">y’s request to defer O&amp;M costs related </w:t>
      </w:r>
      <w:r w:rsidR="00325E89" w:rsidRPr="00B15C21">
        <w:rPr>
          <w:rFonts w:ascii="Times New Roman" w:hAnsi="Times New Roman" w:cs="Times New Roman"/>
          <w:sz w:val="24"/>
          <w:szCs w:val="24"/>
        </w:rPr>
        <w:t xml:space="preserve">to </w:t>
      </w:r>
      <w:r w:rsidR="00A358D4" w:rsidRPr="00B15C21">
        <w:rPr>
          <w:rFonts w:ascii="Times New Roman" w:hAnsi="Times New Roman" w:cs="Times New Roman"/>
          <w:sz w:val="24"/>
          <w:szCs w:val="24"/>
        </w:rPr>
        <w:t xml:space="preserve">the other thirteen </w:t>
      </w:r>
      <w:r w:rsidR="00325E89" w:rsidRPr="00B15C21">
        <w:rPr>
          <w:rFonts w:ascii="Times New Roman" w:hAnsi="Times New Roman" w:cs="Times New Roman"/>
          <w:sz w:val="24"/>
          <w:szCs w:val="24"/>
        </w:rPr>
        <w:t>storms</w:t>
      </w:r>
      <w:r w:rsidR="00994FFC" w:rsidRPr="00B15C21">
        <w:rPr>
          <w:rFonts w:ascii="Times New Roman" w:hAnsi="Times New Roman" w:cs="Times New Roman"/>
          <w:sz w:val="24"/>
          <w:szCs w:val="24"/>
        </w:rPr>
        <w:t xml:space="preserve"> </w:t>
      </w:r>
      <w:r w:rsidR="00A27193">
        <w:rPr>
          <w:rFonts w:ascii="Times New Roman" w:hAnsi="Times New Roman" w:cs="Times New Roman"/>
          <w:sz w:val="24"/>
          <w:szCs w:val="24"/>
        </w:rPr>
        <w:t xml:space="preserve">that </w:t>
      </w:r>
      <w:r w:rsidR="00325E89" w:rsidRPr="00B15C21">
        <w:rPr>
          <w:rFonts w:ascii="Times New Roman" w:hAnsi="Times New Roman" w:cs="Times New Roman"/>
          <w:sz w:val="24"/>
          <w:szCs w:val="24"/>
        </w:rPr>
        <w:t>th</w:t>
      </w:r>
      <w:r w:rsidR="00C7375D" w:rsidRPr="00B15C21">
        <w:rPr>
          <w:rFonts w:ascii="Times New Roman" w:hAnsi="Times New Roman" w:cs="Times New Roman"/>
          <w:sz w:val="24"/>
          <w:szCs w:val="24"/>
        </w:rPr>
        <w:t xml:space="preserve">e </w:t>
      </w:r>
      <w:r w:rsidR="001931CF">
        <w:rPr>
          <w:rFonts w:ascii="Times New Roman" w:hAnsi="Times New Roman" w:cs="Times New Roman"/>
          <w:sz w:val="24"/>
          <w:szCs w:val="24"/>
        </w:rPr>
        <w:t>Utilit</w:t>
      </w:r>
      <w:r w:rsidR="00C7375D" w:rsidRPr="00B15C21">
        <w:rPr>
          <w:rFonts w:ascii="Times New Roman" w:hAnsi="Times New Roman" w:cs="Times New Roman"/>
          <w:sz w:val="24"/>
          <w:szCs w:val="24"/>
        </w:rPr>
        <w:t>y claims</w:t>
      </w:r>
      <w:r w:rsidR="00325E89" w:rsidRPr="00B15C21">
        <w:rPr>
          <w:rFonts w:ascii="Times New Roman" w:hAnsi="Times New Roman" w:cs="Times New Roman"/>
          <w:sz w:val="24"/>
          <w:szCs w:val="24"/>
        </w:rPr>
        <w:t xml:space="preserve"> </w:t>
      </w:r>
      <w:r w:rsidR="00A27193">
        <w:rPr>
          <w:rFonts w:ascii="Times New Roman" w:hAnsi="Times New Roman" w:cs="Times New Roman"/>
          <w:sz w:val="24"/>
          <w:szCs w:val="24"/>
        </w:rPr>
        <w:t xml:space="preserve">to have </w:t>
      </w:r>
      <w:r w:rsidR="00325E89" w:rsidRPr="00B15C21">
        <w:rPr>
          <w:rFonts w:ascii="Times New Roman" w:hAnsi="Times New Roman" w:cs="Times New Roman"/>
          <w:sz w:val="24"/>
          <w:szCs w:val="24"/>
        </w:rPr>
        <w:t>occurred in 2008.</w:t>
      </w:r>
      <w:r w:rsidR="005E20D0">
        <w:rPr>
          <w:rFonts w:ascii="Times New Roman" w:hAnsi="Times New Roman" w:cs="Times New Roman"/>
          <w:sz w:val="24"/>
          <w:szCs w:val="24"/>
        </w:rPr>
        <w:t xml:space="preserve"> Absent specific authorization from the Commission to defer the restoration O&amp;M costs related to the “other” 2008 storms, DP&amp;L is without authority to later come back and try to collect those costs from its customers.</w:t>
      </w:r>
    </w:p>
    <w:p w14:paraId="796D2562" w14:textId="7943442A" w:rsidR="00A27E3E" w:rsidRDefault="00A27E3E" w:rsidP="00EC0C90">
      <w:pPr>
        <w:pStyle w:val="ListParagraph"/>
        <w:spacing w:after="0" w:line="480" w:lineRule="auto"/>
        <w:ind w:left="0" w:firstLine="720"/>
        <w:rPr>
          <w:rFonts w:ascii="Times New Roman" w:hAnsi="Times New Roman" w:cs="Times New Roman"/>
          <w:sz w:val="24"/>
          <w:szCs w:val="24"/>
        </w:rPr>
      </w:pPr>
    </w:p>
    <w:p w14:paraId="6B401856" w14:textId="5FF26B0C" w:rsidR="00A27E3E" w:rsidRPr="0080211A" w:rsidRDefault="00A27E3E" w:rsidP="0080211A">
      <w:pPr>
        <w:pStyle w:val="Heading3"/>
      </w:pPr>
      <w:bookmarkStart w:id="8" w:name="_Toc358210983"/>
      <w:bookmarkStart w:id="9" w:name="_Toc359248599"/>
      <w:r w:rsidRPr="0080211A">
        <w:t>2.</w:t>
      </w:r>
      <w:r w:rsidRPr="0080211A">
        <w:tab/>
        <w:t>DP&amp;L is precluded by the doctrine of collateral estoppel from re-litigating its request to defer</w:t>
      </w:r>
      <w:r w:rsidR="008F14DC">
        <w:t xml:space="preserve"> (for later charging to customers)</w:t>
      </w:r>
      <w:r w:rsidRPr="0080211A">
        <w:t xml:space="preserve"> operation and maintenance costs associated with “other storms</w:t>
      </w:r>
      <w:r w:rsidR="00562D8B" w:rsidRPr="0080211A">
        <w:t>”</w:t>
      </w:r>
      <w:r w:rsidRPr="0080211A">
        <w:t xml:space="preserve"> in 2008.</w:t>
      </w:r>
      <w:bookmarkEnd w:id="8"/>
      <w:bookmarkEnd w:id="9"/>
      <w:r w:rsidRPr="0080211A">
        <w:t xml:space="preserve"> </w:t>
      </w:r>
    </w:p>
    <w:p w14:paraId="14F27F46" w14:textId="77777777" w:rsidR="00A27E3E" w:rsidRPr="00A27E3E" w:rsidRDefault="00A27E3E" w:rsidP="00A27E3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A27E3E">
        <w:rPr>
          <w:rFonts w:ascii="Times New Roman" w:eastAsia="Calibri" w:hAnsi="Times New Roman" w:cs="Times New Roman"/>
          <w:sz w:val="24"/>
          <w:szCs w:val="24"/>
        </w:rPr>
        <w:t>The Supreme Court of Ohio characterized “collateral estoppel” as precluding the re-litigation of an issue that has been “actually and necessarily litigated and determined in a prior action * * *.”</w:t>
      </w:r>
      <w:r w:rsidRPr="00A27E3E">
        <w:rPr>
          <w:rFonts w:ascii="Times New Roman" w:eastAsia="Calibri" w:hAnsi="Times New Roman" w:cs="Times New Roman"/>
          <w:sz w:val="24"/>
          <w:szCs w:val="24"/>
          <w:vertAlign w:val="superscript"/>
        </w:rPr>
        <w:footnoteReference w:id="20"/>
      </w:r>
      <w:r w:rsidRPr="00A27E3E">
        <w:rPr>
          <w:rFonts w:ascii="Times New Roman" w:eastAsia="Calibri" w:hAnsi="Times New Roman" w:cs="Times New Roman"/>
          <w:sz w:val="24"/>
          <w:szCs w:val="24"/>
        </w:rPr>
        <w:t xml:space="preserve">  “When an issue of fact or law is actually litigated and determined by a valid and final judgment, and the determination is essential to the judgment, the determination is conclusive in a subsequent action between the parties, whether on the same or a different claim.”</w:t>
      </w:r>
      <w:r w:rsidRPr="00A27E3E">
        <w:rPr>
          <w:rFonts w:ascii="Times New Roman" w:eastAsia="Calibri" w:hAnsi="Times New Roman" w:cs="Times New Roman"/>
          <w:sz w:val="24"/>
          <w:szCs w:val="24"/>
          <w:vertAlign w:val="superscript"/>
        </w:rPr>
        <w:footnoteReference w:id="21"/>
      </w:r>
      <w:r w:rsidRPr="00A27E3E">
        <w:rPr>
          <w:rFonts w:ascii="Times New Roman" w:eastAsia="Calibri" w:hAnsi="Times New Roman" w:cs="Times New Roman"/>
          <w:sz w:val="24"/>
          <w:szCs w:val="24"/>
        </w:rPr>
        <w:t xml:space="preserve">  </w:t>
      </w:r>
    </w:p>
    <w:p w14:paraId="360966CA" w14:textId="77777777" w:rsidR="00A27E3E" w:rsidRPr="00A27E3E" w:rsidRDefault="00A27E3E" w:rsidP="00A27E3E">
      <w:pPr>
        <w:spacing w:after="0" w:line="480" w:lineRule="auto"/>
        <w:ind w:firstLine="720"/>
        <w:contextualSpacing/>
        <w:rPr>
          <w:rFonts w:ascii="Times New Roman" w:eastAsia="Times New Roman" w:hAnsi="Times New Roman" w:cs="Times New Roman"/>
          <w:sz w:val="24"/>
          <w:szCs w:val="24"/>
        </w:rPr>
      </w:pPr>
      <w:r w:rsidRPr="00A27E3E">
        <w:rPr>
          <w:rFonts w:ascii="Times New Roman" w:eastAsia="Times New Roman" w:hAnsi="Times New Roman" w:cs="Times New Roman"/>
          <w:sz w:val="24"/>
          <w:szCs w:val="24"/>
        </w:rPr>
        <w:t>The doctrine of collateral estoppel applies to hearings before the PUCO.</w:t>
      </w:r>
      <w:r w:rsidRPr="00A27E3E">
        <w:rPr>
          <w:rFonts w:ascii="Times New Roman" w:eastAsia="Times New Roman" w:hAnsi="Times New Roman" w:cs="Times New Roman"/>
          <w:sz w:val="24"/>
          <w:szCs w:val="24"/>
          <w:vertAlign w:val="superscript"/>
        </w:rPr>
        <w:footnoteReference w:id="22"/>
      </w:r>
      <w:r w:rsidRPr="00A27E3E">
        <w:rPr>
          <w:rFonts w:ascii="Times New Roman" w:eastAsia="Times New Roman" w:hAnsi="Times New Roman" w:cs="Times New Roman"/>
          <w:sz w:val="24"/>
          <w:szCs w:val="24"/>
        </w:rPr>
        <w:t xml:space="preserve">  According to the Court, “where an administrative proceeding is of a judicial nature and where the parties have had an ample opportunity to litigate the issues involved in the proceeding, the doctrine of collateral estoppel may be used to bar litigation of issues in a second administrative proceeding.”</w:t>
      </w:r>
      <w:r w:rsidRPr="00A27E3E">
        <w:rPr>
          <w:rFonts w:ascii="Times New Roman" w:eastAsia="Times New Roman" w:hAnsi="Times New Roman" w:cs="Times New Roman"/>
          <w:sz w:val="24"/>
          <w:szCs w:val="24"/>
          <w:vertAlign w:val="superscript"/>
        </w:rPr>
        <w:footnoteReference w:id="23"/>
      </w:r>
      <w:r w:rsidRPr="00A27E3E">
        <w:rPr>
          <w:rFonts w:ascii="Times New Roman" w:eastAsia="Times New Roman" w:hAnsi="Times New Roman" w:cs="Times New Roman"/>
          <w:sz w:val="24"/>
          <w:szCs w:val="24"/>
        </w:rPr>
        <w:t xml:space="preserve"> </w:t>
      </w:r>
    </w:p>
    <w:p w14:paraId="21B91C5D" w14:textId="046CE24B" w:rsidR="005E01C2" w:rsidRPr="00A81370" w:rsidRDefault="003270E0" w:rsidP="0080211A">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In a December 26, 2008 Application, DP&amp;L sought </w:t>
      </w:r>
      <w:r w:rsidR="008C0ECC">
        <w:rPr>
          <w:rFonts w:ascii="Times New Roman" w:hAnsi="Times New Roman" w:cs="Times New Roman"/>
          <w:sz w:val="24"/>
          <w:szCs w:val="24"/>
        </w:rPr>
        <w:t xml:space="preserve">PUCO </w:t>
      </w:r>
      <w:r>
        <w:rPr>
          <w:rFonts w:ascii="Times New Roman" w:hAnsi="Times New Roman" w:cs="Times New Roman"/>
          <w:sz w:val="24"/>
          <w:szCs w:val="24"/>
        </w:rPr>
        <w:t xml:space="preserve">approval to defer the “amount by which the total O&amp;M expenses associated with the Hurricane Ike-related service restoration expenses </w:t>
      </w:r>
      <w:r w:rsidRPr="00A81370">
        <w:rPr>
          <w:rFonts w:ascii="Times New Roman" w:hAnsi="Times New Roman" w:cs="Times New Roman"/>
          <w:i/>
          <w:sz w:val="24"/>
          <w:szCs w:val="24"/>
        </w:rPr>
        <w:t>and other storms experienced in 2008</w:t>
      </w:r>
      <w:r>
        <w:rPr>
          <w:rFonts w:ascii="Times New Roman" w:hAnsi="Times New Roman" w:cs="Times New Roman"/>
          <w:sz w:val="24"/>
          <w:szCs w:val="24"/>
        </w:rPr>
        <w:t xml:space="preserve"> exceeds the three–year average service restoration O&amp;M expenses associated with major storms.”</w:t>
      </w:r>
      <w:r>
        <w:rPr>
          <w:rStyle w:val="FootnoteReference"/>
          <w:rFonts w:ascii="Times New Roman" w:hAnsi="Times New Roman" w:cs="Times New Roman"/>
          <w:sz w:val="24"/>
          <w:szCs w:val="24"/>
        </w:rPr>
        <w:footnoteReference w:id="24"/>
      </w:r>
      <w:r w:rsidR="00EA7C0A">
        <w:rPr>
          <w:rFonts w:ascii="Times New Roman" w:hAnsi="Times New Roman" w:cs="Times New Roman"/>
          <w:sz w:val="24"/>
          <w:szCs w:val="24"/>
        </w:rPr>
        <w:t xml:space="preserve">But the </w:t>
      </w:r>
      <w:r w:rsidR="008C0ECC">
        <w:rPr>
          <w:rFonts w:ascii="Times New Roman" w:hAnsi="Times New Roman" w:cs="Times New Roman"/>
          <w:sz w:val="24"/>
          <w:szCs w:val="24"/>
        </w:rPr>
        <w:t xml:space="preserve">PUCO </w:t>
      </w:r>
      <w:r w:rsidR="00EA7C0A">
        <w:rPr>
          <w:rFonts w:ascii="Times New Roman" w:hAnsi="Times New Roman" w:cs="Times New Roman"/>
          <w:sz w:val="24"/>
          <w:szCs w:val="24"/>
        </w:rPr>
        <w:t>only approved DP&amp;L’s request to defer incremental O&amp;M expenses associated with the</w:t>
      </w:r>
      <w:r w:rsidR="00EF5A72">
        <w:rPr>
          <w:rFonts w:ascii="Times New Roman" w:hAnsi="Times New Roman" w:cs="Times New Roman"/>
          <w:sz w:val="24"/>
          <w:szCs w:val="24"/>
        </w:rPr>
        <w:t xml:space="preserve"> </w:t>
      </w:r>
      <w:r w:rsidR="00DA5E9D">
        <w:rPr>
          <w:rFonts w:ascii="Times New Roman" w:hAnsi="Times New Roman" w:cs="Times New Roman"/>
          <w:sz w:val="24"/>
          <w:szCs w:val="24"/>
        </w:rPr>
        <w:t>windstorm</w:t>
      </w:r>
      <w:r w:rsidR="00EF5A72">
        <w:rPr>
          <w:rFonts w:ascii="Times New Roman" w:hAnsi="Times New Roman" w:cs="Times New Roman"/>
          <w:sz w:val="24"/>
          <w:szCs w:val="24"/>
        </w:rPr>
        <w:t xml:space="preserve"> of</w:t>
      </w:r>
      <w:r w:rsidR="00EA7C0A">
        <w:rPr>
          <w:rFonts w:ascii="Times New Roman" w:hAnsi="Times New Roman" w:cs="Times New Roman"/>
          <w:sz w:val="24"/>
          <w:szCs w:val="24"/>
        </w:rPr>
        <w:t xml:space="preserve"> September 14, 2008.</w:t>
      </w:r>
      <w:r w:rsidR="00EA7C0A">
        <w:rPr>
          <w:rStyle w:val="FootnoteReference"/>
          <w:rFonts w:ascii="Times New Roman" w:hAnsi="Times New Roman" w:cs="Times New Roman"/>
          <w:sz w:val="24"/>
          <w:szCs w:val="24"/>
        </w:rPr>
        <w:footnoteReference w:id="25"/>
      </w:r>
      <w:r w:rsidR="00EA7C0A" w:rsidRPr="00B15C21">
        <w:rPr>
          <w:rFonts w:ascii="Times New Roman" w:hAnsi="Times New Roman" w:cs="Times New Roman"/>
          <w:sz w:val="24"/>
          <w:szCs w:val="24"/>
        </w:rPr>
        <w:t xml:space="preserve"> </w:t>
      </w:r>
      <w:r w:rsidR="00EB6423">
        <w:rPr>
          <w:rFonts w:ascii="Times New Roman" w:hAnsi="Times New Roman" w:cs="Times New Roman"/>
          <w:sz w:val="24"/>
          <w:szCs w:val="24"/>
        </w:rPr>
        <w:t>And DP&amp;L did not file an application for rehearing.</w:t>
      </w:r>
      <w:r w:rsidR="00325E89" w:rsidRPr="00A81370">
        <w:rPr>
          <w:rFonts w:ascii="Times New Roman" w:hAnsi="Times New Roman" w:cs="Times New Roman"/>
          <w:sz w:val="24"/>
          <w:szCs w:val="24"/>
        </w:rPr>
        <w:t xml:space="preserve"> </w:t>
      </w:r>
    </w:p>
    <w:p w14:paraId="5581F27A" w14:textId="620B8B0E" w:rsidR="00F4332B" w:rsidRDefault="00A27193" w:rsidP="00EC0C90">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This holding indicates</w:t>
      </w:r>
      <w:r w:rsidR="000A3B4F" w:rsidRPr="00B15C21">
        <w:rPr>
          <w:rFonts w:ascii="Times New Roman" w:hAnsi="Times New Roman" w:cs="Times New Roman"/>
          <w:sz w:val="24"/>
          <w:szCs w:val="24"/>
        </w:rPr>
        <w:t xml:space="preserve"> </w:t>
      </w:r>
      <w:r w:rsidR="00325E89" w:rsidRPr="00B15C21">
        <w:rPr>
          <w:rFonts w:ascii="Times New Roman" w:hAnsi="Times New Roman" w:cs="Times New Roman"/>
          <w:sz w:val="24"/>
          <w:szCs w:val="24"/>
        </w:rPr>
        <w:t xml:space="preserve">the </w:t>
      </w:r>
      <w:r w:rsidR="008C0ECC">
        <w:rPr>
          <w:rFonts w:ascii="Times New Roman" w:hAnsi="Times New Roman" w:cs="Times New Roman"/>
          <w:sz w:val="24"/>
          <w:szCs w:val="24"/>
        </w:rPr>
        <w:t>PUCO</w:t>
      </w:r>
      <w:r w:rsidR="008C0ECC" w:rsidRPr="00B15C21">
        <w:rPr>
          <w:rFonts w:ascii="Times New Roman" w:hAnsi="Times New Roman" w:cs="Times New Roman"/>
          <w:sz w:val="24"/>
          <w:szCs w:val="24"/>
        </w:rPr>
        <w:t xml:space="preserve">’s </w:t>
      </w:r>
      <w:r w:rsidR="00A43888" w:rsidRPr="00B15C21">
        <w:rPr>
          <w:rFonts w:ascii="Times New Roman" w:hAnsi="Times New Roman" w:cs="Times New Roman"/>
          <w:sz w:val="24"/>
          <w:szCs w:val="24"/>
        </w:rPr>
        <w:t xml:space="preserve">intent to deny </w:t>
      </w:r>
      <w:r w:rsidR="00325E89" w:rsidRPr="00B15C21">
        <w:rPr>
          <w:rFonts w:ascii="Times New Roman" w:hAnsi="Times New Roman" w:cs="Times New Roman"/>
          <w:sz w:val="24"/>
          <w:szCs w:val="24"/>
        </w:rPr>
        <w:t>DP&amp;L’s request to defer O&amp;M costs associated wi</w:t>
      </w:r>
      <w:r w:rsidR="00C10FB0" w:rsidRPr="00B15C21">
        <w:rPr>
          <w:rFonts w:ascii="Times New Roman" w:hAnsi="Times New Roman" w:cs="Times New Roman"/>
          <w:sz w:val="24"/>
          <w:szCs w:val="24"/>
        </w:rPr>
        <w:t>th the</w:t>
      </w:r>
      <w:r w:rsidR="005E01C2">
        <w:rPr>
          <w:rFonts w:ascii="Times New Roman" w:hAnsi="Times New Roman" w:cs="Times New Roman"/>
          <w:sz w:val="24"/>
          <w:szCs w:val="24"/>
        </w:rPr>
        <w:t xml:space="preserve"> </w:t>
      </w:r>
      <w:r w:rsidR="00EB6423">
        <w:rPr>
          <w:rFonts w:ascii="Times New Roman" w:hAnsi="Times New Roman" w:cs="Times New Roman"/>
          <w:sz w:val="24"/>
          <w:szCs w:val="24"/>
        </w:rPr>
        <w:t>“</w:t>
      </w:r>
      <w:r w:rsidR="005E01C2">
        <w:rPr>
          <w:rFonts w:ascii="Times New Roman" w:hAnsi="Times New Roman" w:cs="Times New Roman"/>
          <w:sz w:val="24"/>
          <w:szCs w:val="24"/>
        </w:rPr>
        <w:t>other</w:t>
      </w:r>
      <w:r w:rsidR="00C10FB0" w:rsidRPr="00B15C21">
        <w:rPr>
          <w:rFonts w:ascii="Times New Roman" w:hAnsi="Times New Roman" w:cs="Times New Roman"/>
          <w:sz w:val="24"/>
          <w:szCs w:val="24"/>
        </w:rPr>
        <w:t xml:space="preserve"> storms</w:t>
      </w:r>
      <w:r w:rsidR="00EB6423">
        <w:rPr>
          <w:rFonts w:ascii="Times New Roman" w:hAnsi="Times New Roman" w:cs="Times New Roman"/>
          <w:sz w:val="24"/>
          <w:szCs w:val="24"/>
        </w:rPr>
        <w:t>”</w:t>
      </w:r>
      <w:r w:rsidR="005E01C2">
        <w:rPr>
          <w:rFonts w:ascii="Times New Roman" w:hAnsi="Times New Roman" w:cs="Times New Roman"/>
          <w:sz w:val="24"/>
          <w:szCs w:val="24"/>
        </w:rPr>
        <w:t xml:space="preserve"> that occurred in 2008</w:t>
      </w:r>
      <w:r w:rsidR="00C10FB0" w:rsidRPr="00B15C21">
        <w:rPr>
          <w:rFonts w:ascii="Times New Roman" w:hAnsi="Times New Roman" w:cs="Times New Roman"/>
          <w:sz w:val="24"/>
          <w:szCs w:val="24"/>
        </w:rPr>
        <w:t xml:space="preserve">.  </w:t>
      </w:r>
      <w:r w:rsidR="005E01C2">
        <w:rPr>
          <w:rFonts w:ascii="Times New Roman" w:hAnsi="Times New Roman" w:cs="Times New Roman"/>
          <w:sz w:val="24"/>
          <w:szCs w:val="24"/>
        </w:rPr>
        <w:t>Refusing to grant DP&amp;L’s entire deferral request for 2008</w:t>
      </w:r>
      <w:r w:rsidR="000118E5" w:rsidRPr="00B15C21">
        <w:rPr>
          <w:rFonts w:ascii="Times New Roman" w:hAnsi="Times New Roman" w:cs="Times New Roman"/>
          <w:sz w:val="24"/>
          <w:szCs w:val="24"/>
        </w:rPr>
        <w:t xml:space="preserve">, the </w:t>
      </w:r>
      <w:r w:rsidR="008C0ECC">
        <w:rPr>
          <w:rFonts w:ascii="Times New Roman" w:hAnsi="Times New Roman" w:cs="Times New Roman"/>
          <w:sz w:val="24"/>
          <w:szCs w:val="24"/>
        </w:rPr>
        <w:t>PUCO</w:t>
      </w:r>
      <w:r w:rsidR="008C0ECC" w:rsidRPr="00B15C21">
        <w:rPr>
          <w:rFonts w:ascii="Times New Roman" w:hAnsi="Times New Roman" w:cs="Times New Roman"/>
          <w:sz w:val="24"/>
          <w:szCs w:val="24"/>
        </w:rPr>
        <w:t xml:space="preserve"> </w:t>
      </w:r>
      <w:r w:rsidR="005E01C2">
        <w:rPr>
          <w:rFonts w:ascii="Times New Roman" w:hAnsi="Times New Roman" w:cs="Times New Roman"/>
          <w:sz w:val="24"/>
          <w:szCs w:val="24"/>
        </w:rPr>
        <w:t>implicitly indicated</w:t>
      </w:r>
      <w:r w:rsidR="005E01C2" w:rsidRPr="00B15C21">
        <w:rPr>
          <w:rFonts w:ascii="Times New Roman" w:hAnsi="Times New Roman" w:cs="Times New Roman"/>
          <w:sz w:val="24"/>
          <w:szCs w:val="24"/>
        </w:rPr>
        <w:t xml:space="preserve"> </w:t>
      </w:r>
      <w:r w:rsidR="000118E5" w:rsidRPr="00B15C21">
        <w:rPr>
          <w:rFonts w:ascii="Times New Roman" w:hAnsi="Times New Roman" w:cs="Times New Roman"/>
          <w:sz w:val="24"/>
          <w:szCs w:val="24"/>
        </w:rPr>
        <w:t xml:space="preserve">that storms </w:t>
      </w:r>
      <w:r w:rsidR="005E01C2">
        <w:rPr>
          <w:rFonts w:ascii="Times New Roman" w:hAnsi="Times New Roman" w:cs="Times New Roman"/>
          <w:sz w:val="24"/>
          <w:szCs w:val="24"/>
        </w:rPr>
        <w:t xml:space="preserve">other than Hurricane Ike </w:t>
      </w:r>
      <w:r w:rsidR="000118E5" w:rsidRPr="00B15C21">
        <w:rPr>
          <w:rFonts w:ascii="Times New Roman" w:hAnsi="Times New Roman" w:cs="Times New Roman"/>
          <w:sz w:val="24"/>
          <w:szCs w:val="24"/>
        </w:rPr>
        <w:t xml:space="preserve">did not meet the Commission’s criteria for </w:t>
      </w:r>
      <w:r w:rsidR="00EB6423">
        <w:rPr>
          <w:rFonts w:ascii="Times New Roman" w:hAnsi="Times New Roman" w:cs="Times New Roman"/>
          <w:sz w:val="24"/>
          <w:szCs w:val="24"/>
        </w:rPr>
        <w:t>deferral.</w:t>
      </w:r>
      <w:r w:rsidR="005E01C2">
        <w:rPr>
          <w:rFonts w:ascii="Times New Roman" w:hAnsi="Times New Roman" w:cs="Times New Roman"/>
          <w:sz w:val="24"/>
          <w:szCs w:val="24"/>
        </w:rPr>
        <w:t xml:space="preserve">  </w:t>
      </w:r>
    </w:p>
    <w:p w14:paraId="7540123A" w14:textId="6180917F" w:rsidR="00F4332B" w:rsidRPr="00F4332B" w:rsidRDefault="00F4332B" w:rsidP="00F4332B">
      <w:pPr>
        <w:spacing w:after="0" w:line="480" w:lineRule="auto"/>
        <w:ind w:firstLine="720"/>
        <w:contextualSpacing/>
        <w:rPr>
          <w:rFonts w:ascii="Times New Roman" w:eastAsia="Calibri" w:hAnsi="Times New Roman" w:cs="Times New Roman"/>
          <w:bCs/>
          <w:sz w:val="24"/>
          <w:szCs w:val="24"/>
        </w:rPr>
      </w:pPr>
      <w:r w:rsidRPr="00F4332B">
        <w:rPr>
          <w:rFonts w:ascii="Times New Roman" w:eastAsia="Calibri" w:hAnsi="Times New Roman" w:cs="Times New Roman"/>
          <w:bCs/>
          <w:sz w:val="24"/>
          <w:szCs w:val="24"/>
        </w:rPr>
        <w:t xml:space="preserve">The </w:t>
      </w:r>
      <w:r w:rsidR="008C0ECC">
        <w:rPr>
          <w:rFonts w:ascii="Times New Roman" w:eastAsia="Calibri" w:hAnsi="Times New Roman" w:cs="Times New Roman"/>
          <w:bCs/>
          <w:sz w:val="24"/>
          <w:szCs w:val="24"/>
        </w:rPr>
        <w:t>PUCO</w:t>
      </w:r>
      <w:r w:rsidR="008C0ECC" w:rsidRPr="00F4332B">
        <w:rPr>
          <w:rFonts w:ascii="Times New Roman" w:eastAsia="Calibri" w:hAnsi="Times New Roman" w:cs="Times New Roman"/>
          <w:bCs/>
          <w:sz w:val="24"/>
          <w:szCs w:val="24"/>
        </w:rPr>
        <w:t xml:space="preserve"> </w:t>
      </w:r>
      <w:r w:rsidRPr="00F4332B">
        <w:rPr>
          <w:rFonts w:ascii="Times New Roman" w:eastAsia="Calibri" w:hAnsi="Times New Roman" w:cs="Times New Roman"/>
          <w:bCs/>
          <w:sz w:val="24"/>
          <w:szCs w:val="24"/>
        </w:rPr>
        <w:t>has rejected DP&amp;L’s request to defer costs related to “other storms” in 2008.  Therefore, based on the doctrine of collateral estoppel, DP&amp;L is precluded from re-litigating this issue.  Accordingly, the PUCO should not revisit DP&amp;L’s request to defer storm costs for any storm in 2008 other than the costs related to the</w:t>
      </w:r>
      <w:r w:rsidR="009E74C8">
        <w:rPr>
          <w:rFonts w:ascii="Times New Roman" w:eastAsia="Calibri" w:hAnsi="Times New Roman" w:cs="Times New Roman"/>
          <w:bCs/>
          <w:sz w:val="24"/>
          <w:szCs w:val="24"/>
        </w:rPr>
        <w:t xml:space="preserve"> wind storm of</w:t>
      </w:r>
      <w:r w:rsidRPr="00F4332B">
        <w:rPr>
          <w:rFonts w:ascii="Times New Roman" w:eastAsia="Calibri" w:hAnsi="Times New Roman" w:cs="Times New Roman"/>
          <w:bCs/>
          <w:sz w:val="24"/>
          <w:szCs w:val="24"/>
        </w:rPr>
        <w:t xml:space="preserve"> </w:t>
      </w:r>
      <w:r w:rsidRPr="00F4332B">
        <w:rPr>
          <w:rFonts w:ascii="Times New Roman" w:eastAsia="Times New Roman" w:hAnsi="Times New Roman" w:cs="Times New Roman"/>
          <w:sz w:val="24"/>
          <w:szCs w:val="24"/>
        </w:rPr>
        <w:t>September 14, 2008</w:t>
      </w:r>
      <w:r w:rsidRPr="00F4332B">
        <w:rPr>
          <w:rFonts w:ascii="Times New Roman" w:eastAsia="Calibri" w:hAnsi="Times New Roman" w:cs="Times New Roman"/>
          <w:bCs/>
          <w:sz w:val="24"/>
          <w:szCs w:val="24"/>
        </w:rPr>
        <w:t>.</w:t>
      </w:r>
    </w:p>
    <w:p w14:paraId="36082818" w14:textId="5987DA5A" w:rsidR="00960052" w:rsidRPr="00B15C21" w:rsidRDefault="005E01C2" w:rsidP="00EC0C90">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Based upon the Commission’s holding in </w:t>
      </w:r>
      <w:r w:rsidRPr="00B15C21">
        <w:rPr>
          <w:rFonts w:ascii="Times New Roman" w:hAnsi="Times New Roman" w:cs="Times New Roman"/>
          <w:sz w:val="24"/>
          <w:szCs w:val="24"/>
        </w:rPr>
        <w:t>Case No. 08-1332-EL-AAM</w:t>
      </w:r>
      <w:r w:rsidR="00EB6423">
        <w:rPr>
          <w:rFonts w:ascii="Times New Roman" w:hAnsi="Times New Roman" w:cs="Times New Roman"/>
          <w:sz w:val="24"/>
          <w:szCs w:val="24"/>
        </w:rPr>
        <w:t xml:space="preserve"> and the doctrine of collateral estoppel</w:t>
      </w:r>
      <w:r>
        <w:rPr>
          <w:rFonts w:ascii="Times New Roman" w:hAnsi="Times New Roman" w:cs="Times New Roman"/>
          <w:sz w:val="24"/>
          <w:szCs w:val="24"/>
        </w:rPr>
        <w:t>,</w:t>
      </w:r>
      <w:r w:rsidRPr="00B15C21">
        <w:rPr>
          <w:rFonts w:ascii="Times New Roman" w:hAnsi="Times New Roman" w:cs="Times New Roman"/>
          <w:sz w:val="24"/>
          <w:szCs w:val="24"/>
        </w:rPr>
        <w:t xml:space="preserve"> </w:t>
      </w:r>
      <w:r w:rsidR="00C10FB0" w:rsidRPr="00B15C21">
        <w:rPr>
          <w:rFonts w:ascii="Times New Roman" w:hAnsi="Times New Roman" w:cs="Times New Roman"/>
          <w:sz w:val="24"/>
          <w:szCs w:val="24"/>
        </w:rPr>
        <w:t>the O&amp;M storm expense</w:t>
      </w:r>
      <w:r w:rsidR="000529B0" w:rsidRPr="00B15C21">
        <w:rPr>
          <w:rFonts w:ascii="Times New Roman" w:hAnsi="Times New Roman" w:cs="Times New Roman"/>
          <w:sz w:val="24"/>
          <w:szCs w:val="24"/>
        </w:rPr>
        <w:t xml:space="preserve"> of $3,574,934</w:t>
      </w:r>
      <w:r w:rsidR="00C10FB0" w:rsidRPr="00B15C21">
        <w:rPr>
          <w:rFonts w:ascii="Times New Roman" w:hAnsi="Times New Roman" w:cs="Times New Roman"/>
          <w:sz w:val="24"/>
          <w:szCs w:val="24"/>
        </w:rPr>
        <w:t xml:space="preserve"> related to the thirteen other storms of 2008 should </w:t>
      </w:r>
      <w:r w:rsidR="003A5458">
        <w:rPr>
          <w:rFonts w:ascii="Times New Roman" w:hAnsi="Times New Roman" w:cs="Times New Roman"/>
          <w:sz w:val="24"/>
          <w:szCs w:val="24"/>
        </w:rPr>
        <w:t>not be collected from DP&amp;L’s customers.</w:t>
      </w:r>
      <w:r w:rsidR="001035EE" w:rsidRPr="00B15C21">
        <w:rPr>
          <w:rStyle w:val="FootnoteReference"/>
          <w:rFonts w:ascii="Times New Roman" w:hAnsi="Times New Roman" w:cs="Times New Roman"/>
          <w:sz w:val="24"/>
          <w:szCs w:val="24"/>
        </w:rPr>
        <w:footnoteReference w:id="26"/>
      </w:r>
      <w:r w:rsidR="00C10FB0" w:rsidRPr="00B15C21">
        <w:rPr>
          <w:rFonts w:ascii="Times New Roman" w:hAnsi="Times New Roman" w:cs="Times New Roman"/>
          <w:sz w:val="24"/>
          <w:szCs w:val="24"/>
        </w:rPr>
        <w:t xml:space="preserve">  </w:t>
      </w:r>
      <w:r w:rsidR="0043738F" w:rsidRPr="00B15C21">
        <w:rPr>
          <w:rFonts w:ascii="Times New Roman" w:hAnsi="Times New Roman" w:cs="Times New Roman"/>
          <w:sz w:val="24"/>
          <w:szCs w:val="24"/>
        </w:rPr>
        <w:t xml:space="preserve">DP&amp;L should be authorized to </w:t>
      </w:r>
      <w:r w:rsidR="003A5458">
        <w:rPr>
          <w:rFonts w:ascii="Times New Roman" w:hAnsi="Times New Roman" w:cs="Times New Roman"/>
          <w:sz w:val="24"/>
          <w:szCs w:val="24"/>
        </w:rPr>
        <w:t xml:space="preserve">collect no more than </w:t>
      </w:r>
      <w:r w:rsidR="003A5458" w:rsidRPr="00B15C21">
        <w:rPr>
          <w:rFonts w:ascii="Times New Roman" w:hAnsi="Times New Roman" w:cs="Times New Roman"/>
          <w:sz w:val="24"/>
          <w:szCs w:val="24"/>
        </w:rPr>
        <w:t>$</w:t>
      </w:r>
      <w:r w:rsidR="00BF5D1E">
        <w:rPr>
          <w:rFonts w:ascii="Times New Roman" w:hAnsi="Times New Roman" w:cs="Times New Roman"/>
          <w:sz w:val="24"/>
          <w:szCs w:val="24"/>
        </w:rPr>
        <w:t>10,767,101</w:t>
      </w:r>
      <w:r w:rsidR="00BF5D1E">
        <w:rPr>
          <w:rStyle w:val="FootnoteReference"/>
          <w:rFonts w:ascii="Times New Roman" w:hAnsi="Times New Roman" w:cs="Times New Roman"/>
          <w:sz w:val="24"/>
          <w:szCs w:val="24"/>
        </w:rPr>
        <w:footnoteReference w:id="27"/>
      </w:r>
      <w:r w:rsidR="003A5458">
        <w:rPr>
          <w:rFonts w:ascii="Times New Roman" w:hAnsi="Times New Roman" w:cs="Times New Roman"/>
          <w:sz w:val="24"/>
          <w:szCs w:val="24"/>
        </w:rPr>
        <w:t xml:space="preserve"> </w:t>
      </w:r>
      <w:r w:rsidR="00A2779D">
        <w:rPr>
          <w:rFonts w:ascii="Times New Roman" w:hAnsi="Times New Roman" w:cs="Times New Roman"/>
          <w:sz w:val="24"/>
          <w:szCs w:val="24"/>
        </w:rPr>
        <w:t xml:space="preserve">in deferred costs </w:t>
      </w:r>
      <w:r w:rsidR="003A5458">
        <w:rPr>
          <w:rFonts w:ascii="Times New Roman" w:hAnsi="Times New Roman" w:cs="Times New Roman"/>
          <w:sz w:val="24"/>
          <w:szCs w:val="24"/>
        </w:rPr>
        <w:t>from its customers</w:t>
      </w:r>
      <w:r w:rsidR="0043738F" w:rsidRPr="00B15C21">
        <w:rPr>
          <w:rFonts w:ascii="Times New Roman" w:hAnsi="Times New Roman" w:cs="Times New Roman"/>
          <w:sz w:val="24"/>
          <w:szCs w:val="24"/>
        </w:rPr>
        <w:t xml:space="preserve"> </w:t>
      </w:r>
      <w:r w:rsidR="003A5458">
        <w:rPr>
          <w:rFonts w:ascii="Times New Roman" w:hAnsi="Times New Roman" w:cs="Times New Roman"/>
          <w:sz w:val="24"/>
          <w:szCs w:val="24"/>
        </w:rPr>
        <w:t xml:space="preserve">for </w:t>
      </w:r>
      <w:r w:rsidR="00C10FB0" w:rsidRPr="00B15C21">
        <w:rPr>
          <w:rFonts w:ascii="Times New Roman" w:hAnsi="Times New Roman" w:cs="Times New Roman"/>
          <w:sz w:val="24"/>
          <w:szCs w:val="24"/>
        </w:rPr>
        <w:t>O&amp;M expense for Hurricane Ike</w:t>
      </w:r>
      <w:r w:rsidR="00717B9F" w:rsidRPr="00B15C21">
        <w:rPr>
          <w:rFonts w:ascii="Times New Roman" w:hAnsi="Times New Roman" w:cs="Times New Roman"/>
          <w:sz w:val="24"/>
          <w:szCs w:val="24"/>
        </w:rPr>
        <w:t xml:space="preserve"> </w:t>
      </w:r>
      <w:r w:rsidR="003A5458">
        <w:rPr>
          <w:rFonts w:ascii="Times New Roman" w:hAnsi="Times New Roman" w:cs="Times New Roman"/>
          <w:sz w:val="24"/>
          <w:szCs w:val="24"/>
        </w:rPr>
        <w:t xml:space="preserve">costs if DP&amp;L can prove that those costs </w:t>
      </w:r>
      <w:r w:rsidR="00BF5D1E">
        <w:rPr>
          <w:rFonts w:ascii="Times New Roman" w:hAnsi="Times New Roman" w:cs="Times New Roman"/>
          <w:sz w:val="24"/>
          <w:szCs w:val="24"/>
        </w:rPr>
        <w:t xml:space="preserve">were prudently incurred and </w:t>
      </w:r>
      <w:r w:rsidR="003A5458">
        <w:rPr>
          <w:rFonts w:ascii="Times New Roman" w:hAnsi="Times New Roman" w:cs="Times New Roman"/>
          <w:sz w:val="24"/>
          <w:szCs w:val="24"/>
        </w:rPr>
        <w:t>reasonable</w:t>
      </w:r>
      <w:r w:rsidR="000529B0" w:rsidRPr="00B15C21">
        <w:rPr>
          <w:rFonts w:ascii="Times New Roman" w:hAnsi="Times New Roman" w:cs="Times New Roman"/>
          <w:sz w:val="24"/>
          <w:szCs w:val="24"/>
        </w:rPr>
        <w:t>.</w:t>
      </w:r>
    </w:p>
    <w:p w14:paraId="0BCE84DA" w14:textId="77777777" w:rsidR="00AE37BF" w:rsidRDefault="00AE37BF">
      <w:pPr>
        <w:rPr>
          <w:rFonts w:ascii="Times New Roman Bold" w:hAnsi="Times New Roman Bold" w:cs="Times New Roman"/>
          <w:b/>
          <w:sz w:val="24"/>
          <w:szCs w:val="24"/>
        </w:rPr>
      </w:pPr>
      <w:r>
        <w:br w:type="page"/>
      </w:r>
    </w:p>
    <w:p w14:paraId="71F6DF48" w14:textId="55968DE6" w:rsidR="00BB1A21" w:rsidRPr="00B15C21" w:rsidRDefault="00025748" w:rsidP="0080211A">
      <w:pPr>
        <w:pStyle w:val="Heading2"/>
      </w:pPr>
      <w:bookmarkStart w:id="11" w:name="_Toc359248600"/>
      <w:r>
        <w:t>D</w:t>
      </w:r>
      <w:r w:rsidR="006F7244" w:rsidRPr="00B15C21">
        <w:t>.</w:t>
      </w:r>
      <w:r w:rsidR="006F7244" w:rsidRPr="00B15C21">
        <w:tab/>
      </w:r>
      <w:r w:rsidR="00282066">
        <w:t>DP&amp;L</w:t>
      </w:r>
      <w:r w:rsidR="00811B0B" w:rsidRPr="00B15C21">
        <w:t xml:space="preserve"> Has Failed To Deduct The Three-Year Average For Major Storm </w:t>
      </w:r>
      <w:r w:rsidR="00282066" w:rsidRPr="00B15C21">
        <w:t>O</w:t>
      </w:r>
      <w:r w:rsidR="00282066">
        <w:t>peration and Maintenance</w:t>
      </w:r>
      <w:r w:rsidR="00282066" w:rsidRPr="00B15C21">
        <w:t xml:space="preserve"> </w:t>
      </w:r>
      <w:r w:rsidR="00811B0B" w:rsidRPr="00B15C21">
        <w:t>Expense</w:t>
      </w:r>
      <w:r w:rsidR="00282066">
        <w:t>s</w:t>
      </w:r>
      <w:r w:rsidR="00811B0B" w:rsidRPr="00B15C21">
        <w:t xml:space="preserve"> From 201</w:t>
      </w:r>
      <w:r w:rsidR="003C50D5" w:rsidRPr="00B15C21">
        <w:t>2</w:t>
      </w:r>
      <w:r w:rsidR="00811B0B" w:rsidRPr="00B15C21">
        <w:t xml:space="preserve"> and 201</w:t>
      </w:r>
      <w:r w:rsidR="003C50D5" w:rsidRPr="00B15C21">
        <w:t>1</w:t>
      </w:r>
      <w:r w:rsidR="00811B0B" w:rsidRPr="00B15C21">
        <w:t xml:space="preserve"> Storm Expenditures.</w:t>
      </w:r>
      <w:bookmarkEnd w:id="11"/>
    </w:p>
    <w:p w14:paraId="26E0C0B3" w14:textId="3F85567B" w:rsidR="0064719A" w:rsidRDefault="007F4FF5" w:rsidP="00127EF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w:t>
      </w:r>
      <w:r w:rsidRPr="00B15C21">
        <w:rPr>
          <w:rFonts w:ascii="Times New Roman" w:hAnsi="Times New Roman" w:cs="Times New Roman"/>
          <w:sz w:val="24"/>
          <w:szCs w:val="24"/>
        </w:rPr>
        <w:t xml:space="preserve"> </w:t>
      </w:r>
      <w:r w:rsidR="00D02999" w:rsidRPr="00B15C21">
        <w:rPr>
          <w:rFonts w:ascii="Times New Roman" w:hAnsi="Times New Roman" w:cs="Times New Roman"/>
          <w:sz w:val="24"/>
          <w:szCs w:val="24"/>
        </w:rPr>
        <w:t xml:space="preserve">its </w:t>
      </w:r>
      <w:r w:rsidR="00C546A2" w:rsidRPr="00B15C21">
        <w:rPr>
          <w:rFonts w:ascii="Times New Roman" w:hAnsi="Times New Roman" w:cs="Times New Roman"/>
          <w:sz w:val="24"/>
          <w:szCs w:val="24"/>
        </w:rPr>
        <w:t>A</w:t>
      </w:r>
      <w:r w:rsidR="00D02999" w:rsidRPr="00B15C21">
        <w:rPr>
          <w:rFonts w:ascii="Times New Roman" w:hAnsi="Times New Roman" w:cs="Times New Roman"/>
          <w:sz w:val="24"/>
          <w:szCs w:val="24"/>
        </w:rPr>
        <w:t>pplication</w:t>
      </w:r>
      <w:r>
        <w:rPr>
          <w:rFonts w:ascii="Times New Roman" w:hAnsi="Times New Roman" w:cs="Times New Roman"/>
          <w:sz w:val="24"/>
          <w:szCs w:val="24"/>
        </w:rPr>
        <w:t>,</w:t>
      </w:r>
      <w:r w:rsidR="00D02999" w:rsidRPr="00B15C21">
        <w:rPr>
          <w:rFonts w:ascii="Times New Roman" w:hAnsi="Times New Roman" w:cs="Times New Roman"/>
          <w:sz w:val="24"/>
          <w:szCs w:val="24"/>
        </w:rPr>
        <w:t xml:space="preserve"> </w:t>
      </w:r>
      <w:r>
        <w:rPr>
          <w:rFonts w:ascii="Times New Roman" w:hAnsi="Times New Roman" w:cs="Times New Roman"/>
          <w:sz w:val="24"/>
          <w:szCs w:val="24"/>
        </w:rPr>
        <w:t>DP&amp;L</w:t>
      </w:r>
      <w:r w:rsidR="00D02999" w:rsidRPr="00B15C21">
        <w:rPr>
          <w:rFonts w:ascii="Times New Roman" w:hAnsi="Times New Roman" w:cs="Times New Roman"/>
          <w:sz w:val="24"/>
          <w:szCs w:val="24"/>
        </w:rPr>
        <w:t xml:space="preserve"> request</w:t>
      </w:r>
      <w:r w:rsidR="00B60D80" w:rsidRPr="00B15C21">
        <w:rPr>
          <w:rFonts w:ascii="Times New Roman" w:hAnsi="Times New Roman" w:cs="Times New Roman"/>
          <w:sz w:val="24"/>
          <w:szCs w:val="24"/>
        </w:rPr>
        <w:t xml:space="preserve">s authority to </w:t>
      </w:r>
      <w:r w:rsidR="003A5458">
        <w:rPr>
          <w:rFonts w:ascii="Times New Roman" w:hAnsi="Times New Roman" w:cs="Times New Roman"/>
          <w:sz w:val="24"/>
          <w:szCs w:val="24"/>
        </w:rPr>
        <w:t xml:space="preserve">collect from its customers </w:t>
      </w:r>
      <w:r w:rsidR="00B60D80" w:rsidRPr="00B15C21">
        <w:rPr>
          <w:rFonts w:ascii="Times New Roman" w:hAnsi="Times New Roman" w:cs="Times New Roman"/>
          <w:sz w:val="24"/>
          <w:szCs w:val="24"/>
        </w:rPr>
        <w:t>O&amp;M expenses</w:t>
      </w:r>
      <w:r w:rsidR="00D02999" w:rsidRPr="00B15C21">
        <w:rPr>
          <w:rFonts w:ascii="Times New Roman" w:hAnsi="Times New Roman" w:cs="Times New Roman"/>
          <w:sz w:val="24"/>
          <w:szCs w:val="24"/>
        </w:rPr>
        <w:t xml:space="preserve"> </w:t>
      </w:r>
      <w:r w:rsidR="00B60D80" w:rsidRPr="00B15C21">
        <w:rPr>
          <w:rFonts w:ascii="Times New Roman" w:hAnsi="Times New Roman" w:cs="Times New Roman"/>
          <w:sz w:val="24"/>
          <w:szCs w:val="24"/>
        </w:rPr>
        <w:t>for major storm</w:t>
      </w:r>
      <w:r w:rsidR="003C50D5" w:rsidRPr="00B15C21">
        <w:rPr>
          <w:rFonts w:ascii="Times New Roman" w:hAnsi="Times New Roman" w:cs="Times New Roman"/>
          <w:sz w:val="24"/>
          <w:szCs w:val="24"/>
        </w:rPr>
        <w:t xml:space="preserve"> events</w:t>
      </w:r>
      <w:r w:rsidR="00B60D80" w:rsidRPr="00B15C21">
        <w:rPr>
          <w:rFonts w:ascii="Times New Roman" w:hAnsi="Times New Roman" w:cs="Times New Roman"/>
          <w:sz w:val="24"/>
          <w:szCs w:val="24"/>
        </w:rPr>
        <w:t xml:space="preserve"> in 201</w:t>
      </w:r>
      <w:r w:rsidR="003C50D5" w:rsidRPr="00B15C21">
        <w:rPr>
          <w:rFonts w:ascii="Times New Roman" w:hAnsi="Times New Roman" w:cs="Times New Roman"/>
          <w:sz w:val="24"/>
          <w:szCs w:val="24"/>
        </w:rPr>
        <w:t>2</w:t>
      </w:r>
      <w:r w:rsidR="00B60D80" w:rsidRPr="00B15C21">
        <w:rPr>
          <w:rFonts w:ascii="Times New Roman" w:hAnsi="Times New Roman" w:cs="Times New Roman"/>
          <w:sz w:val="24"/>
          <w:szCs w:val="24"/>
        </w:rPr>
        <w:t xml:space="preserve"> and 201</w:t>
      </w:r>
      <w:r w:rsidR="003C50D5" w:rsidRPr="00B15C21">
        <w:rPr>
          <w:rFonts w:ascii="Times New Roman" w:hAnsi="Times New Roman" w:cs="Times New Roman"/>
          <w:sz w:val="24"/>
          <w:szCs w:val="24"/>
        </w:rPr>
        <w:t>1</w:t>
      </w:r>
      <w:r w:rsidR="00B60D80" w:rsidRPr="00B15C21">
        <w:rPr>
          <w:rFonts w:ascii="Times New Roman" w:hAnsi="Times New Roman" w:cs="Times New Roman"/>
          <w:sz w:val="24"/>
          <w:szCs w:val="24"/>
        </w:rPr>
        <w:t xml:space="preserve">.  </w:t>
      </w:r>
      <w:r w:rsidR="00A819E2" w:rsidRPr="00B15C21">
        <w:rPr>
          <w:rFonts w:ascii="Times New Roman" w:hAnsi="Times New Roman" w:cs="Times New Roman"/>
          <w:sz w:val="24"/>
          <w:szCs w:val="24"/>
        </w:rPr>
        <w:t>DP&amp;L request</w:t>
      </w:r>
      <w:r w:rsidR="00AC270A">
        <w:rPr>
          <w:rFonts w:ascii="Times New Roman" w:hAnsi="Times New Roman" w:cs="Times New Roman"/>
          <w:sz w:val="24"/>
          <w:szCs w:val="24"/>
        </w:rPr>
        <w:t>s</w:t>
      </w:r>
      <w:r w:rsidR="00A819E2" w:rsidRPr="00B15C21">
        <w:rPr>
          <w:rFonts w:ascii="Times New Roman" w:hAnsi="Times New Roman" w:cs="Times New Roman"/>
          <w:sz w:val="24"/>
          <w:szCs w:val="24"/>
        </w:rPr>
        <w:t xml:space="preserve"> recovery</w:t>
      </w:r>
      <w:r w:rsidR="002129B0">
        <w:rPr>
          <w:rFonts w:ascii="Times New Roman" w:hAnsi="Times New Roman" w:cs="Times New Roman"/>
          <w:sz w:val="24"/>
          <w:szCs w:val="24"/>
        </w:rPr>
        <w:t xml:space="preserve"> </w:t>
      </w:r>
      <w:r w:rsidR="00A819E2" w:rsidRPr="00B15C21">
        <w:rPr>
          <w:rFonts w:ascii="Times New Roman" w:hAnsi="Times New Roman" w:cs="Times New Roman"/>
          <w:sz w:val="24"/>
          <w:szCs w:val="24"/>
        </w:rPr>
        <w:t>of</w:t>
      </w:r>
      <w:r w:rsidR="009037D2">
        <w:rPr>
          <w:rFonts w:ascii="Times New Roman" w:hAnsi="Times New Roman" w:cs="Times New Roman"/>
          <w:sz w:val="24"/>
          <w:szCs w:val="24"/>
        </w:rPr>
        <w:t xml:space="preserve"> $4,763,244 </w:t>
      </w:r>
      <w:r w:rsidR="002129B0">
        <w:rPr>
          <w:rFonts w:ascii="Times New Roman" w:hAnsi="Times New Roman" w:cs="Times New Roman"/>
          <w:sz w:val="24"/>
          <w:szCs w:val="24"/>
        </w:rPr>
        <w:t xml:space="preserve">from customers </w:t>
      </w:r>
      <w:r w:rsidR="009037D2">
        <w:rPr>
          <w:rFonts w:ascii="Times New Roman" w:hAnsi="Times New Roman" w:cs="Times New Roman"/>
          <w:sz w:val="24"/>
          <w:szCs w:val="24"/>
        </w:rPr>
        <w:t>for</w:t>
      </w:r>
      <w:r w:rsidR="00A819E2" w:rsidRPr="00B15C21">
        <w:rPr>
          <w:rFonts w:ascii="Times New Roman" w:hAnsi="Times New Roman" w:cs="Times New Roman"/>
          <w:sz w:val="24"/>
          <w:szCs w:val="24"/>
        </w:rPr>
        <w:t xml:space="preserve"> </w:t>
      </w:r>
      <w:r w:rsidR="00AC270A">
        <w:rPr>
          <w:rFonts w:ascii="Times New Roman" w:hAnsi="Times New Roman" w:cs="Times New Roman"/>
          <w:sz w:val="24"/>
          <w:szCs w:val="24"/>
        </w:rPr>
        <w:t xml:space="preserve">2012 </w:t>
      </w:r>
      <w:r w:rsidR="00F44B3A" w:rsidRPr="00B15C21">
        <w:rPr>
          <w:rFonts w:ascii="Times New Roman" w:hAnsi="Times New Roman" w:cs="Times New Roman"/>
          <w:sz w:val="24"/>
          <w:szCs w:val="24"/>
        </w:rPr>
        <w:t>distribution-related O&amp;M expenses for restoring electric service as a result of</w:t>
      </w:r>
      <w:r w:rsidR="0036281E" w:rsidRPr="00B15C21">
        <w:rPr>
          <w:rFonts w:ascii="Times New Roman" w:hAnsi="Times New Roman" w:cs="Times New Roman"/>
          <w:sz w:val="24"/>
          <w:szCs w:val="24"/>
        </w:rPr>
        <w:t xml:space="preserve"> a</w:t>
      </w:r>
      <w:r w:rsidR="00F44B3A" w:rsidRPr="00B15C21">
        <w:rPr>
          <w:rFonts w:ascii="Times New Roman" w:hAnsi="Times New Roman" w:cs="Times New Roman"/>
          <w:sz w:val="24"/>
          <w:szCs w:val="24"/>
        </w:rPr>
        <w:t xml:space="preserve"> major storm that occurred in June of 2012.</w:t>
      </w:r>
      <w:r w:rsidR="009037D2">
        <w:rPr>
          <w:rStyle w:val="FootnoteReference"/>
          <w:rFonts w:ascii="Times New Roman" w:hAnsi="Times New Roman" w:cs="Times New Roman"/>
          <w:sz w:val="24"/>
          <w:szCs w:val="24"/>
        </w:rPr>
        <w:footnoteReference w:id="28"/>
      </w:r>
      <w:r w:rsidR="00F44B3A" w:rsidRPr="00B15C21">
        <w:rPr>
          <w:rFonts w:ascii="Times New Roman" w:hAnsi="Times New Roman" w:cs="Times New Roman"/>
          <w:sz w:val="24"/>
          <w:szCs w:val="24"/>
        </w:rPr>
        <w:t xml:space="preserve">  </w:t>
      </w:r>
      <w:r w:rsidR="0064719A">
        <w:rPr>
          <w:rFonts w:ascii="Times New Roman" w:hAnsi="Times New Roman" w:cs="Times New Roman"/>
          <w:sz w:val="24"/>
          <w:szCs w:val="24"/>
        </w:rPr>
        <w:t xml:space="preserve">Similarly, DP&amp;L seeks deferral of </w:t>
      </w:r>
      <w:r w:rsidR="009037D2">
        <w:rPr>
          <w:rFonts w:ascii="Times New Roman" w:hAnsi="Times New Roman" w:cs="Times New Roman"/>
          <w:sz w:val="24"/>
          <w:szCs w:val="24"/>
        </w:rPr>
        <w:t xml:space="preserve">$10,035,297 in </w:t>
      </w:r>
      <w:r w:rsidR="0064719A">
        <w:rPr>
          <w:rFonts w:ascii="Times New Roman" w:hAnsi="Times New Roman" w:cs="Times New Roman"/>
          <w:sz w:val="24"/>
          <w:szCs w:val="24"/>
        </w:rPr>
        <w:t>O&amp;M expenses related to five major storms that occurred in 2011</w:t>
      </w:r>
      <w:r w:rsidR="0064719A" w:rsidRPr="00B15C21">
        <w:rPr>
          <w:rFonts w:ascii="Times New Roman" w:hAnsi="Times New Roman" w:cs="Times New Roman"/>
          <w:sz w:val="24"/>
          <w:szCs w:val="24"/>
        </w:rPr>
        <w:t>.</w:t>
      </w:r>
      <w:r w:rsidR="009037D2">
        <w:rPr>
          <w:rStyle w:val="FootnoteReference"/>
          <w:rFonts w:ascii="Times New Roman" w:hAnsi="Times New Roman" w:cs="Times New Roman"/>
          <w:sz w:val="24"/>
          <w:szCs w:val="24"/>
        </w:rPr>
        <w:footnoteReference w:id="29"/>
      </w:r>
      <w:r w:rsidR="0064719A" w:rsidRPr="00B15C21">
        <w:rPr>
          <w:rFonts w:ascii="Times New Roman" w:hAnsi="Times New Roman" w:cs="Times New Roman"/>
          <w:sz w:val="24"/>
          <w:szCs w:val="24"/>
        </w:rPr>
        <w:t xml:space="preserve">  </w:t>
      </w:r>
      <w:r w:rsidR="00F44B3A" w:rsidRPr="00B15C21">
        <w:rPr>
          <w:rFonts w:ascii="Times New Roman" w:hAnsi="Times New Roman" w:cs="Times New Roman"/>
          <w:sz w:val="24"/>
          <w:szCs w:val="24"/>
        </w:rPr>
        <w:t>However,</w:t>
      </w:r>
      <w:r w:rsidR="003A5458">
        <w:rPr>
          <w:rFonts w:ascii="Times New Roman" w:hAnsi="Times New Roman" w:cs="Times New Roman"/>
          <w:sz w:val="24"/>
          <w:szCs w:val="24"/>
        </w:rPr>
        <w:t xml:space="preserve"> DP&amp;L</w:t>
      </w:r>
      <w:r w:rsidR="0011398E" w:rsidRPr="00B15C21">
        <w:rPr>
          <w:rFonts w:ascii="Times New Roman" w:hAnsi="Times New Roman" w:cs="Times New Roman"/>
          <w:sz w:val="24"/>
          <w:szCs w:val="24"/>
        </w:rPr>
        <w:t xml:space="preserve"> has not reduced the </w:t>
      </w:r>
      <w:r w:rsidR="003C7B13" w:rsidRPr="00B15C21">
        <w:rPr>
          <w:rFonts w:ascii="Times New Roman" w:hAnsi="Times New Roman" w:cs="Times New Roman"/>
          <w:sz w:val="24"/>
          <w:szCs w:val="24"/>
        </w:rPr>
        <w:t xml:space="preserve">2012 </w:t>
      </w:r>
      <w:r w:rsidR="0011398E" w:rsidRPr="00B15C21">
        <w:rPr>
          <w:rFonts w:ascii="Times New Roman" w:hAnsi="Times New Roman" w:cs="Times New Roman"/>
          <w:sz w:val="24"/>
          <w:szCs w:val="24"/>
        </w:rPr>
        <w:t xml:space="preserve">storm O&amp;M </w:t>
      </w:r>
      <w:r w:rsidR="003C7B13" w:rsidRPr="00B15C21">
        <w:rPr>
          <w:rFonts w:ascii="Times New Roman" w:hAnsi="Times New Roman" w:cs="Times New Roman"/>
          <w:sz w:val="24"/>
          <w:szCs w:val="24"/>
        </w:rPr>
        <w:t xml:space="preserve">expense </w:t>
      </w:r>
      <w:r w:rsidR="00DC2839">
        <w:rPr>
          <w:rFonts w:ascii="Times New Roman" w:hAnsi="Times New Roman" w:cs="Times New Roman"/>
          <w:sz w:val="24"/>
          <w:szCs w:val="24"/>
        </w:rPr>
        <w:t xml:space="preserve">amount </w:t>
      </w:r>
      <w:r w:rsidR="002129B0">
        <w:rPr>
          <w:rFonts w:ascii="Times New Roman" w:hAnsi="Times New Roman" w:cs="Times New Roman"/>
          <w:sz w:val="24"/>
          <w:szCs w:val="24"/>
        </w:rPr>
        <w:t>it</w:t>
      </w:r>
      <w:r w:rsidR="005B4C76">
        <w:rPr>
          <w:rFonts w:ascii="Times New Roman" w:hAnsi="Times New Roman" w:cs="Times New Roman"/>
          <w:sz w:val="24"/>
          <w:szCs w:val="24"/>
        </w:rPr>
        <w:t xml:space="preserve"> </w:t>
      </w:r>
      <w:r w:rsidR="0011398E" w:rsidRPr="00B15C21">
        <w:rPr>
          <w:rFonts w:ascii="Times New Roman" w:hAnsi="Times New Roman" w:cs="Times New Roman"/>
          <w:sz w:val="24"/>
          <w:szCs w:val="24"/>
        </w:rPr>
        <w:t>seeks to recover in this case</w:t>
      </w:r>
      <w:r w:rsidR="00962D41">
        <w:rPr>
          <w:rFonts w:ascii="Times New Roman" w:hAnsi="Times New Roman" w:cs="Times New Roman"/>
          <w:sz w:val="24"/>
          <w:szCs w:val="24"/>
        </w:rPr>
        <w:t>,</w:t>
      </w:r>
      <w:r w:rsidR="009037D2">
        <w:rPr>
          <w:rStyle w:val="FootnoteReference"/>
          <w:rFonts w:ascii="Times New Roman" w:hAnsi="Times New Roman" w:cs="Times New Roman"/>
          <w:sz w:val="24"/>
          <w:szCs w:val="24"/>
        </w:rPr>
        <w:footnoteReference w:id="30"/>
      </w:r>
      <w:r w:rsidR="00AC270A">
        <w:rPr>
          <w:rFonts w:ascii="Times New Roman" w:hAnsi="Times New Roman" w:cs="Times New Roman"/>
          <w:sz w:val="24"/>
          <w:szCs w:val="24"/>
        </w:rPr>
        <w:t xml:space="preserve"> or the 2011 storm cost deferral,</w:t>
      </w:r>
      <w:r w:rsidR="0011398E" w:rsidRPr="00B15C21">
        <w:rPr>
          <w:rFonts w:ascii="Times New Roman" w:hAnsi="Times New Roman" w:cs="Times New Roman"/>
          <w:sz w:val="24"/>
          <w:szCs w:val="24"/>
        </w:rPr>
        <w:t xml:space="preserve"> by the three-year average of O&amp;M expenses associated with major storms</w:t>
      </w:r>
      <w:r w:rsidR="0032271D">
        <w:rPr>
          <w:rFonts w:ascii="Times New Roman" w:hAnsi="Times New Roman" w:cs="Times New Roman"/>
          <w:sz w:val="24"/>
          <w:szCs w:val="24"/>
        </w:rPr>
        <w:t>. Such a</w:t>
      </w:r>
      <w:r w:rsidR="004E2BD9">
        <w:rPr>
          <w:rFonts w:ascii="Times New Roman" w:hAnsi="Times New Roman" w:cs="Times New Roman"/>
          <w:sz w:val="24"/>
          <w:szCs w:val="24"/>
        </w:rPr>
        <w:t xml:space="preserve"> reduction of storm costs</w:t>
      </w:r>
      <w:r w:rsidR="0032271D">
        <w:rPr>
          <w:rFonts w:ascii="Times New Roman" w:hAnsi="Times New Roman" w:cs="Times New Roman"/>
          <w:sz w:val="24"/>
          <w:szCs w:val="24"/>
        </w:rPr>
        <w:t xml:space="preserve"> </w:t>
      </w:r>
      <w:r w:rsidR="00962D41">
        <w:rPr>
          <w:rFonts w:ascii="Times New Roman" w:hAnsi="Times New Roman" w:cs="Times New Roman"/>
          <w:sz w:val="24"/>
          <w:szCs w:val="24"/>
        </w:rPr>
        <w:t>(</w:t>
      </w:r>
      <w:r w:rsidR="0032271D">
        <w:rPr>
          <w:rFonts w:ascii="Times New Roman" w:hAnsi="Times New Roman" w:cs="Times New Roman"/>
          <w:sz w:val="24"/>
          <w:szCs w:val="24"/>
        </w:rPr>
        <w:t>by the three-year average</w:t>
      </w:r>
      <w:r w:rsidR="004E2BD9">
        <w:rPr>
          <w:rFonts w:ascii="Times New Roman" w:hAnsi="Times New Roman" w:cs="Times New Roman"/>
          <w:sz w:val="24"/>
          <w:szCs w:val="24"/>
        </w:rPr>
        <w:t xml:space="preserve"> </w:t>
      </w:r>
      <w:r w:rsidR="00962D41">
        <w:rPr>
          <w:rFonts w:ascii="Times New Roman" w:hAnsi="Times New Roman" w:cs="Times New Roman"/>
          <w:sz w:val="24"/>
          <w:szCs w:val="24"/>
        </w:rPr>
        <w:t xml:space="preserve">of O&amp;M major storm expenses) </w:t>
      </w:r>
      <w:r w:rsidR="007D6B14">
        <w:rPr>
          <w:rFonts w:ascii="Times New Roman" w:hAnsi="Times New Roman" w:cs="Times New Roman"/>
          <w:sz w:val="24"/>
          <w:szCs w:val="24"/>
        </w:rPr>
        <w:t xml:space="preserve">has been </w:t>
      </w:r>
      <w:r w:rsidR="00AC270A">
        <w:rPr>
          <w:rFonts w:ascii="Times New Roman" w:hAnsi="Times New Roman" w:cs="Times New Roman"/>
          <w:sz w:val="24"/>
          <w:szCs w:val="24"/>
        </w:rPr>
        <w:t xml:space="preserve">consistently </w:t>
      </w:r>
      <w:r w:rsidR="007F6D8E" w:rsidRPr="00B15C21">
        <w:rPr>
          <w:rFonts w:ascii="Times New Roman" w:hAnsi="Times New Roman" w:cs="Times New Roman"/>
          <w:sz w:val="24"/>
          <w:szCs w:val="24"/>
        </w:rPr>
        <w:t>ordered</w:t>
      </w:r>
      <w:r w:rsidR="0011398E" w:rsidRPr="00B15C21">
        <w:rPr>
          <w:rFonts w:ascii="Times New Roman" w:hAnsi="Times New Roman" w:cs="Times New Roman"/>
          <w:sz w:val="24"/>
          <w:szCs w:val="24"/>
        </w:rPr>
        <w:t xml:space="preserve"> by the </w:t>
      </w:r>
      <w:r w:rsidR="008C0ECC">
        <w:rPr>
          <w:rFonts w:ascii="Times New Roman" w:hAnsi="Times New Roman" w:cs="Times New Roman"/>
          <w:sz w:val="24"/>
          <w:szCs w:val="24"/>
        </w:rPr>
        <w:t>PUCO</w:t>
      </w:r>
      <w:r w:rsidR="0011398E" w:rsidRPr="00B15C21">
        <w:rPr>
          <w:rFonts w:ascii="Times New Roman" w:hAnsi="Times New Roman" w:cs="Times New Roman"/>
          <w:sz w:val="24"/>
          <w:szCs w:val="24"/>
        </w:rPr>
        <w:t>.</w:t>
      </w:r>
      <w:r w:rsidR="0011398E" w:rsidRPr="00B15C21">
        <w:rPr>
          <w:rStyle w:val="FootnoteReference"/>
          <w:rFonts w:ascii="Times New Roman" w:hAnsi="Times New Roman" w:cs="Times New Roman"/>
          <w:sz w:val="24"/>
          <w:szCs w:val="24"/>
        </w:rPr>
        <w:footnoteReference w:id="31"/>
      </w:r>
      <w:r w:rsidR="0011398E" w:rsidRPr="00B15C21">
        <w:rPr>
          <w:rFonts w:ascii="Times New Roman" w:hAnsi="Times New Roman" w:cs="Times New Roman"/>
          <w:sz w:val="24"/>
          <w:szCs w:val="24"/>
        </w:rPr>
        <w:t xml:space="preserve"> </w:t>
      </w:r>
      <w:r w:rsidR="00F15CB0" w:rsidRPr="00B15C21">
        <w:rPr>
          <w:rFonts w:ascii="Times New Roman" w:hAnsi="Times New Roman" w:cs="Times New Roman"/>
          <w:sz w:val="24"/>
          <w:szCs w:val="24"/>
        </w:rPr>
        <w:t xml:space="preserve"> </w:t>
      </w:r>
    </w:p>
    <w:p w14:paraId="2D7BFC8B" w14:textId="15AD61C3" w:rsidR="008F00E3" w:rsidRDefault="006251A3" w:rsidP="00127EF5">
      <w:pPr>
        <w:spacing w:after="0" w:line="480" w:lineRule="auto"/>
        <w:ind w:firstLine="720"/>
        <w:rPr>
          <w:rFonts w:ascii="Times New Roman" w:hAnsi="Times New Roman" w:cs="Times New Roman"/>
          <w:sz w:val="24"/>
          <w:szCs w:val="24"/>
        </w:rPr>
      </w:pPr>
      <w:r w:rsidRPr="00B15C21">
        <w:rPr>
          <w:rFonts w:ascii="Times New Roman" w:hAnsi="Times New Roman" w:cs="Times New Roman"/>
          <w:sz w:val="24"/>
          <w:szCs w:val="24"/>
        </w:rPr>
        <w:t xml:space="preserve">Customers should not have to pay for </w:t>
      </w:r>
      <w:r w:rsidR="007D6B14">
        <w:rPr>
          <w:rFonts w:ascii="Times New Roman" w:hAnsi="Times New Roman" w:cs="Times New Roman"/>
          <w:sz w:val="24"/>
          <w:szCs w:val="24"/>
        </w:rPr>
        <w:t xml:space="preserve">the total </w:t>
      </w:r>
      <w:r w:rsidRPr="00B15C21">
        <w:rPr>
          <w:rFonts w:ascii="Times New Roman" w:hAnsi="Times New Roman" w:cs="Times New Roman"/>
          <w:sz w:val="24"/>
          <w:szCs w:val="24"/>
        </w:rPr>
        <w:t xml:space="preserve">2012 </w:t>
      </w:r>
      <w:r w:rsidR="007D6B14">
        <w:rPr>
          <w:rFonts w:ascii="Times New Roman" w:hAnsi="Times New Roman" w:cs="Times New Roman"/>
          <w:sz w:val="24"/>
          <w:szCs w:val="24"/>
        </w:rPr>
        <w:t xml:space="preserve">derecho </w:t>
      </w:r>
      <w:r w:rsidRPr="00B15C21">
        <w:rPr>
          <w:rFonts w:ascii="Times New Roman" w:hAnsi="Times New Roman" w:cs="Times New Roman"/>
          <w:sz w:val="24"/>
          <w:szCs w:val="24"/>
        </w:rPr>
        <w:t xml:space="preserve">storm costs when the </w:t>
      </w:r>
      <w:r w:rsidR="008C0ECC">
        <w:rPr>
          <w:rFonts w:ascii="Times New Roman" w:hAnsi="Times New Roman" w:cs="Times New Roman"/>
          <w:sz w:val="24"/>
          <w:szCs w:val="24"/>
        </w:rPr>
        <w:t>PUCO</w:t>
      </w:r>
      <w:r w:rsidR="008C0ECC" w:rsidRPr="00B15C21">
        <w:rPr>
          <w:rFonts w:ascii="Times New Roman" w:hAnsi="Times New Roman" w:cs="Times New Roman"/>
          <w:sz w:val="24"/>
          <w:szCs w:val="24"/>
        </w:rPr>
        <w:t xml:space="preserve"> </w:t>
      </w:r>
      <w:r w:rsidRPr="00B15C21">
        <w:rPr>
          <w:rFonts w:ascii="Times New Roman" w:hAnsi="Times New Roman" w:cs="Times New Roman"/>
          <w:sz w:val="24"/>
          <w:szCs w:val="24"/>
        </w:rPr>
        <w:t xml:space="preserve">has explicitly directed </w:t>
      </w:r>
      <w:r w:rsidR="00864D53">
        <w:rPr>
          <w:rFonts w:ascii="Times New Roman" w:hAnsi="Times New Roman" w:cs="Times New Roman"/>
          <w:sz w:val="24"/>
          <w:szCs w:val="24"/>
        </w:rPr>
        <w:t>DP&amp;L</w:t>
      </w:r>
      <w:r w:rsidRPr="00B15C21">
        <w:rPr>
          <w:rFonts w:ascii="Times New Roman" w:hAnsi="Times New Roman" w:cs="Times New Roman"/>
          <w:sz w:val="24"/>
          <w:szCs w:val="24"/>
        </w:rPr>
        <w:t xml:space="preserve"> to reduce the total storm costs by the three-year average of O&amp;M expenses associated with major storms.  Similarly, DP&amp;L customers should only be required to pay for 2011 O&amp;M storm costs the PUCO determines to be appropriate in this case less the three-year of major storm costs.</w:t>
      </w:r>
      <w:r>
        <w:rPr>
          <w:rFonts w:ascii="Times New Roman" w:hAnsi="Times New Roman" w:cs="Times New Roman"/>
          <w:sz w:val="24"/>
          <w:szCs w:val="24"/>
        </w:rPr>
        <w:t xml:space="preserve">  </w:t>
      </w:r>
    </w:p>
    <w:p w14:paraId="174D4A1A" w14:textId="1A24D70E" w:rsidR="00C40EC7" w:rsidRPr="00B15C21" w:rsidRDefault="006251A3" w:rsidP="00127EF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Therefore, </w:t>
      </w:r>
      <w:r w:rsidR="00F15CB0" w:rsidRPr="00B15C21">
        <w:rPr>
          <w:rFonts w:ascii="Times New Roman" w:hAnsi="Times New Roman" w:cs="Times New Roman"/>
          <w:sz w:val="24"/>
          <w:szCs w:val="24"/>
        </w:rPr>
        <w:t xml:space="preserve">DP&amp;L should be required to reduce its </w:t>
      </w:r>
      <w:r w:rsidR="00AC270A">
        <w:rPr>
          <w:rFonts w:ascii="Times New Roman" w:hAnsi="Times New Roman" w:cs="Times New Roman"/>
          <w:sz w:val="24"/>
          <w:szCs w:val="24"/>
        </w:rPr>
        <w:t xml:space="preserve">2012 </w:t>
      </w:r>
      <w:r w:rsidR="00F15CB0" w:rsidRPr="00B15C21">
        <w:rPr>
          <w:rFonts w:ascii="Times New Roman" w:hAnsi="Times New Roman" w:cs="Times New Roman"/>
          <w:sz w:val="24"/>
          <w:szCs w:val="24"/>
        </w:rPr>
        <w:t>storm O&amp;M expense</w:t>
      </w:r>
      <w:r w:rsidR="00AC270A">
        <w:rPr>
          <w:rFonts w:ascii="Times New Roman" w:hAnsi="Times New Roman" w:cs="Times New Roman"/>
          <w:sz w:val="24"/>
          <w:szCs w:val="24"/>
        </w:rPr>
        <w:t>s</w:t>
      </w:r>
      <w:r w:rsidR="00F15CB0" w:rsidRPr="00B15C21">
        <w:rPr>
          <w:rFonts w:ascii="Times New Roman" w:hAnsi="Times New Roman" w:cs="Times New Roman"/>
          <w:sz w:val="24"/>
          <w:szCs w:val="24"/>
        </w:rPr>
        <w:t xml:space="preserve"> by the three-year average of major storm expense</w:t>
      </w:r>
      <w:r w:rsidR="00AC270A">
        <w:rPr>
          <w:rFonts w:ascii="Times New Roman" w:hAnsi="Times New Roman" w:cs="Times New Roman"/>
          <w:sz w:val="24"/>
          <w:szCs w:val="24"/>
        </w:rPr>
        <w:t>s</w:t>
      </w:r>
      <w:r w:rsidR="00F15CB0" w:rsidRPr="00B15C21">
        <w:rPr>
          <w:rFonts w:ascii="Times New Roman" w:hAnsi="Times New Roman" w:cs="Times New Roman"/>
          <w:sz w:val="24"/>
          <w:szCs w:val="24"/>
        </w:rPr>
        <w:t xml:space="preserve"> per the </w:t>
      </w:r>
      <w:r w:rsidR="008C0ECC">
        <w:rPr>
          <w:rFonts w:ascii="Times New Roman" w:hAnsi="Times New Roman" w:cs="Times New Roman"/>
          <w:sz w:val="24"/>
          <w:szCs w:val="24"/>
        </w:rPr>
        <w:t>PUCO</w:t>
      </w:r>
      <w:r w:rsidR="008C0ECC" w:rsidRPr="00B15C21">
        <w:rPr>
          <w:rFonts w:ascii="Times New Roman" w:hAnsi="Times New Roman" w:cs="Times New Roman"/>
          <w:sz w:val="24"/>
          <w:szCs w:val="24"/>
        </w:rPr>
        <w:t xml:space="preserve">’s </w:t>
      </w:r>
      <w:r w:rsidR="00AC270A">
        <w:rPr>
          <w:rFonts w:ascii="Times New Roman" w:hAnsi="Times New Roman" w:cs="Times New Roman"/>
          <w:sz w:val="24"/>
          <w:szCs w:val="24"/>
        </w:rPr>
        <w:t xml:space="preserve">prior </w:t>
      </w:r>
      <w:r w:rsidR="00F15CB0" w:rsidRPr="00B15C21">
        <w:rPr>
          <w:rFonts w:ascii="Times New Roman" w:hAnsi="Times New Roman" w:cs="Times New Roman"/>
          <w:sz w:val="24"/>
          <w:szCs w:val="24"/>
        </w:rPr>
        <w:t>order</w:t>
      </w:r>
      <w:r w:rsidR="00AC270A">
        <w:rPr>
          <w:rFonts w:ascii="Times New Roman" w:hAnsi="Times New Roman" w:cs="Times New Roman"/>
          <w:sz w:val="24"/>
          <w:szCs w:val="24"/>
        </w:rPr>
        <w:t>s.  And to the extent this Commission per</w:t>
      </w:r>
      <w:r w:rsidR="0064719A">
        <w:rPr>
          <w:rFonts w:ascii="Times New Roman" w:hAnsi="Times New Roman" w:cs="Times New Roman"/>
          <w:sz w:val="24"/>
          <w:szCs w:val="24"/>
        </w:rPr>
        <w:t>mits the Utility to defer its 2011 major storm costs,</w:t>
      </w:r>
      <w:r w:rsidR="0064719A">
        <w:rPr>
          <w:rStyle w:val="FootnoteReference"/>
          <w:rFonts w:ascii="Times New Roman" w:hAnsi="Times New Roman" w:cs="Times New Roman"/>
          <w:sz w:val="24"/>
          <w:szCs w:val="24"/>
        </w:rPr>
        <w:footnoteReference w:id="32"/>
      </w:r>
      <w:r w:rsidR="0064719A">
        <w:rPr>
          <w:rFonts w:ascii="Times New Roman" w:hAnsi="Times New Roman" w:cs="Times New Roman"/>
          <w:sz w:val="24"/>
          <w:szCs w:val="24"/>
        </w:rPr>
        <w:t xml:space="preserve"> the </w:t>
      </w:r>
      <w:r w:rsidR="008C0ECC">
        <w:rPr>
          <w:rFonts w:ascii="Times New Roman" w:hAnsi="Times New Roman" w:cs="Times New Roman"/>
          <w:sz w:val="24"/>
          <w:szCs w:val="24"/>
        </w:rPr>
        <w:t xml:space="preserve">PUCO </w:t>
      </w:r>
      <w:r w:rsidR="0064719A">
        <w:rPr>
          <w:rFonts w:ascii="Times New Roman" w:hAnsi="Times New Roman" w:cs="Times New Roman"/>
          <w:sz w:val="24"/>
          <w:szCs w:val="24"/>
        </w:rPr>
        <w:t>should similarly reduce the deferral</w:t>
      </w:r>
      <w:r w:rsidR="00864D53">
        <w:rPr>
          <w:rFonts w:ascii="Times New Roman" w:hAnsi="Times New Roman" w:cs="Times New Roman"/>
          <w:sz w:val="24"/>
          <w:szCs w:val="24"/>
        </w:rPr>
        <w:t xml:space="preserve"> amount</w:t>
      </w:r>
      <w:r w:rsidR="0064719A">
        <w:rPr>
          <w:rFonts w:ascii="Times New Roman" w:hAnsi="Times New Roman" w:cs="Times New Roman"/>
          <w:sz w:val="24"/>
          <w:szCs w:val="24"/>
        </w:rPr>
        <w:t xml:space="preserve"> by the three-year average of major storm costs.  </w:t>
      </w:r>
      <w:r w:rsidR="00AC270A">
        <w:rPr>
          <w:rFonts w:ascii="Times New Roman" w:hAnsi="Times New Roman" w:cs="Times New Roman"/>
          <w:sz w:val="24"/>
          <w:szCs w:val="24"/>
        </w:rPr>
        <w:t>This will ensure that</w:t>
      </w:r>
      <w:r w:rsidR="00F15CB0" w:rsidRPr="00B15C21">
        <w:rPr>
          <w:rFonts w:ascii="Times New Roman" w:hAnsi="Times New Roman" w:cs="Times New Roman"/>
          <w:sz w:val="24"/>
          <w:szCs w:val="24"/>
        </w:rPr>
        <w:t xml:space="preserve"> customers will not be required to pay more than what they should for the restoration of the </w:t>
      </w:r>
      <w:r w:rsidR="001931CF">
        <w:rPr>
          <w:rFonts w:ascii="Times New Roman" w:hAnsi="Times New Roman" w:cs="Times New Roman"/>
          <w:sz w:val="24"/>
          <w:szCs w:val="24"/>
        </w:rPr>
        <w:t>Utility</w:t>
      </w:r>
      <w:r w:rsidR="00F15CB0" w:rsidRPr="00B15C21">
        <w:rPr>
          <w:rFonts w:ascii="Times New Roman" w:hAnsi="Times New Roman" w:cs="Times New Roman"/>
          <w:sz w:val="24"/>
          <w:szCs w:val="24"/>
        </w:rPr>
        <w:t>’s electric distribution system</w:t>
      </w:r>
      <w:r w:rsidR="001931CF">
        <w:rPr>
          <w:rFonts w:ascii="Times New Roman" w:hAnsi="Times New Roman" w:cs="Times New Roman"/>
          <w:sz w:val="24"/>
          <w:szCs w:val="24"/>
        </w:rPr>
        <w:t xml:space="preserve">.  </w:t>
      </w:r>
      <w:r w:rsidR="00253879" w:rsidRPr="00B15C21">
        <w:rPr>
          <w:rFonts w:ascii="Times New Roman" w:hAnsi="Times New Roman" w:cs="Times New Roman"/>
          <w:sz w:val="24"/>
          <w:szCs w:val="24"/>
        </w:rPr>
        <w:t xml:space="preserve">The OCC’s calculation of the three-year average of storm costs that should be used </w:t>
      </w:r>
      <w:r w:rsidR="00BA3BF4" w:rsidRPr="00B15C21">
        <w:rPr>
          <w:rFonts w:ascii="Times New Roman" w:hAnsi="Times New Roman" w:cs="Times New Roman"/>
          <w:sz w:val="24"/>
          <w:szCs w:val="24"/>
        </w:rPr>
        <w:t>to reduce</w:t>
      </w:r>
      <w:r w:rsidR="00253879" w:rsidRPr="00B15C21">
        <w:rPr>
          <w:rFonts w:ascii="Times New Roman" w:hAnsi="Times New Roman" w:cs="Times New Roman"/>
          <w:sz w:val="24"/>
          <w:szCs w:val="24"/>
        </w:rPr>
        <w:t xml:space="preserve"> 2012 and 2011 major storm expense</w:t>
      </w:r>
      <w:r w:rsidR="00864D53">
        <w:rPr>
          <w:rFonts w:ascii="Times New Roman" w:hAnsi="Times New Roman" w:cs="Times New Roman"/>
          <w:sz w:val="24"/>
          <w:szCs w:val="24"/>
        </w:rPr>
        <w:t xml:space="preserve">s paid by DP&amp;L’s customers </w:t>
      </w:r>
      <w:r w:rsidR="00253879" w:rsidRPr="00B15C21">
        <w:rPr>
          <w:rFonts w:ascii="Times New Roman" w:hAnsi="Times New Roman" w:cs="Times New Roman"/>
          <w:sz w:val="24"/>
          <w:szCs w:val="24"/>
        </w:rPr>
        <w:t>is shown below.</w:t>
      </w:r>
    </w:p>
    <w:p w14:paraId="0B208E55" w14:textId="77777777" w:rsidR="008E0E15" w:rsidRPr="00B15C21" w:rsidRDefault="00120DFA" w:rsidP="008E0E15">
      <w:pPr>
        <w:spacing w:after="0" w:line="240" w:lineRule="auto"/>
        <w:jc w:val="center"/>
        <w:rPr>
          <w:rFonts w:ascii="Times New Roman" w:hAnsi="Times New Roman" w:cs="Times New Roman"/>
          <w:b/>
          <w:sz w:val="24"/>
          <w:szCs w:val="24"/>
        </w:rPr>
      </w:pPr>
      <w:r w:rsidRPr="00B15C21">
        <w:rPr>
          <w:rFonts w:ascii="Times New Roman" w:hAnsi="Times New Roman" w:cs="Times New Roman"/>
          <w:b/>
          <w:sz w:val="24"/>
          <w:szCs w:val="24"/>
        </w:rPr>
        <w:t>Three-Year Average of O&amp;M Storm Expense</w:t>
      </w:r>
      <w:r w:rsidR="00864D53">
        <w:rPr>
          <w:rFonts w:ascii="Times New Roman" w:hAnsi="Times New Roman" w:cs="Times New Roman"/>
          <w:b/>
          <w:sz w:val="24"/>
          <w:szCs w:val="24"/>
        </w:rPr>
        <w:t>s</w:t>
      </w:r>
    </w:p>
    <w:p w14:paraId="7B00FFE8" w14:textId="77777777" w:rsidR="003C7B13" w:rsidRPr="00B15C21" w:rsidRDefault="00974788" w:rsidP="008E0E15">
      <w:pPr>
        <w:spacing w:after="0" w:line="240" w:lineRule="auto"/>
        <w:jc w:val="center"/>
        <w:rPr>
          <w:rFonts w:ascii="Times New Roman" w:hAnsi="Times New Roman" w:cs="Times New Roman"/>
          <w:b/>
          <w:sz w:val="24"/>
          <w:szCs w:val="24"/>
        </w:rPr>
      </w:pPr>
      <w:r w:rsidRPr="00B15C21">
        <w:rPr>
          <w:rFonts w:ascii="Times New Roman" w:hAnsi="Times New Roman" w:cs="Times New Roman"/>
          <w:b/>
          <w:sz w:val="24"/>
          <w:szCs w:val="24"/>
        </w:rPr>
        <w:t xml:space="preserve">To Deduct From </w:t>
      </w:r>
      <w:r w:rsidR="00253879" w:rsidRPr="00B15C21">
        <w:rPr>
          <w:rFonts w:ascii="Times New Roman" w:hAnsi="Times New Roman" w:cs="Times New Roman"/>
          <w:b/>
          <w:sz w:val="24"/>
          <w:szCs w:val="24"/>
        </w:rPr>
        <w:t xml:space="preserve">Storm </w:t>
      </w:r>
      <w:r w:rsidR="00864D53">
        <w:rPr>
          <w:rFonts w:ascii="Times New Roman" w:hAnsi="Times New Roman" w:cs="Times New Roman"/>
          <w:b/>
          <w:sz w:val="24"/>
          <w:szCs w:val="24"/>
        </w:rPr>
        <w:t xml:space="preserve">Costs for </w:t>
      </w:r>
      <w:r w:rsidR="00253879" w:rsidRPr="00B15C21">
        <w:rPr>
          <w:rFonts w:ascii="Times New Roman" w:hAnsi="Times New Roman" w:cs="Times New Roman"/>
          <w:b/>
          <w:sz w:val="24"/>
          <w:szCs w:val="24"/>
        </w:rPr>
        <w:t xml:space="preserve">Years </w:t>
      </w:r>
      <w:r w:rsidRPr="00B15C21">
        <w:rPr>
          <w:rFonts w:ascii="Times New Roman" w:hAnsi="Times New Roman" w:cs="Times New Roman"/>
          <w:b/>
          <w:sz w:val="24"/>
          <w:szCs w:val="24"/>
        </w:rPr>
        <w:t>2012 &amp; 2011</w:t>
      </w:r>
    </w:p>
    <w:tbl>
      <w:tblPr>
        <w:tblStyle w:val="TableGrid"/>
        <w:tblW w:w="0" w:type="auto"/>
        <w:jc w:val="center"/>
        <w:tblLook w:val="04A0" w:firstRow="1" w:lastRow="0" w:firstColumn="1" w:lastColumn="0" w:noHBand="0" w:noVBand="1"/>
      </w:tblPr>
      <w:tblGrid>
        <w:gridCol w:w="2394"/>
        <w:gridCol w:w="1808"/>
        <w:gridCol w:w="414"/>
        <w:gridCol w:w="2368"/>
        <w:gridCol w:w="1800"/>
      </w:tblGrid>
      <w:tr w:rsidR="00120DFA" w:rsidRPr="00B15C21" w14:paraId="7FB719CA" w14:textId="77777777" w:rsidTr="004D6C52">
        <w:trPr>
          <w:trHeight w:val="360"/>
          <w:jc w:val="center"/>
        </w:trPr>
        <w:tc>
          <w:tcPr>
            <w:tcW w:w="2394" w:type="dxa"/>
            <w:tcBorders>
              <w:top w:val="nil"/>
              <w:left w:val="nil"/>
              <w:right w:val="nil"/>
            </w:tcBorders>
            <w:vAlign w:val="center"/>
          </w:tcPr>
          <w:p w14:paraId="70666DDA" w14:textId="77777777" w:rsidR="00A12363" w:rsidRPr="00B15C21" w:rsidRDefault="00A12363" w:rsidP="00D87EFB">
            <w:pPr>
              <w:jc w:val="center"/>
              <w:rPr>
                <w:rFonts w:ascii="Times New Roman" w:hAnsi="Times New Roman" w:cs="Times New Roman"/>
                <w:sz w:val="24"/>
                <w:szCs w:val="24"/>
              </w:rPr>
            </w:pPr>
          </w:p>
        </w:tc>
        <w:tc>
          <w:tcPr>
            <w:tcW w:w="1808" w:type="dxa"/>
            <w:tcBorders>
              <w:top w:val="nil"/>
              <w:left w:val="nil"/>
              <w:right w:val="nil"/>
            </w:tcBorders>
            <w:vAlign w:val="center"/>
          </w:tcPr>
          <w:p w14:paraId="249126BA" w14:textId="77777777" w:rsidR="00A12363" w:rsidRPr="00B15C21" w:rsidRDefault="00A12363" w:rsidP="00D87EFB">
            <w:pPr>
              <w:jc w:val="center"/>
              <w:rPr>
                <w:rFonts w:ascii="Times New Roman" w:hAnsi="Times New Roman" w:cs="Times New Roman"/>
                <w:b/>
                <w:sz w:val="24"/>
                <w:szCs w:val="24"/>
              </w:rPr>
            </w:pPr>
          </w:p>
        </w:tc>
        <w:tc>
          <w:tcPr>
            <w:tcW w:w="414" w:type="dxa"/>
            <w:tcBorders>
              <w:top w:val="nil"/>
              <w:left w:val="nil"/>
              <w:bottom w:val="nil"/>
              <w:right w:val="nil"/>
            </w:tcBorders>
          </w:tcPr>
          <w:p w14:paraId="6F878203" w14:textId="77777777" w:rsidR="00A12363" w:rsidRPr="00B15C21" w:rsidRDefault="00A12363" w:rsidP="00D87EFB">
            <w:pPr>
              <w:jc w:val="center"/>
              <w:rPr>
                <w:rFonts w:ascii="Times New Roman" w:hAnsi="Times New Roman" w:cs="Times New Roman"/>
                <w:b/>
                <w:sz w:val="24"/>
                <w:szCs w:val="24"/>
              </w:rPr>
            </w:pPr>
          </w:p>
        </w:tc>
        <w:tc>
          <w:tcPr>
            <w:tcW w:w="2368" w:type="dxa"/>
            <w:tcBorders>
              <w:top w:val="nil"/>
              <w:left w:val="nil"/>
              <w:right w:val="nil"/>
            </w:tcBorders>
          </w:tcPr>
          <w:p w14:paraId="3C93A221" w14:textId="77777777" w:rsidR="00A12363" w:rsidRPr="00B15C21" w:rsidRDefault="00A12363" w:rsidP="00D87EFB">
            <w:pPr>
              <w:jc w:val="center"/>
              <w:rPr>
                <w:rFonts w:ascii="Times New Roman" w:hAnsi="Times New Roman" w:cs="Times New Roman"/>
                <w:b/>
                <w:sz w:val="24"/>
                <w:szCs w:val="24"/>
              </w:rPr>
            </w:pPr>
          </w:p>
        </w:tc>
        <w:tc>
          <w:tcPr>
            <w:tcW w:w="1800" w:type="dxa"/>
            <w:tcBorders>
              <w:top w:val="nil"/>
              <w:left w:val="nil"/>
              <w:right w:val="nil"/>
            </w:tcBorders>
            <w:vAlign w:val="center"/>
          </w:tcPr>
          <w:p w14:paraId="06BF9B57" w14:textId="77777777" w:rsidR="00A12363" w:rsidRPr="00B15C21" w:rsidRDefault="00A12363" w:rsidP="00D87EFB">
            <w:pPr>
              <w:jc w:val="center"/>
              <w:rPr>
                <w:rFonts w:ascii="Times New Roman" w:hAnsi="Times New Roman" w:cs="Times New Roman"/>
                <w:b/>
                <w:sz w:val="24"/>
                <w:szCs w:val="24"/>
              </w:rPr>
            </w:pPr>
          </w:p>
        </w:tc>
      </w:tr>
      <w:tr w:rsidR="00120DFA" w:rsidRPr="00B15C21" w14:paraId="659CB60A" w14:textId="77777777" w:rsidTr="004D6C52">
        <w:trPr>
          <w:trHeight w:val="360"/>
          <w:jc w:val="center"/>
        </w:trPr>
        <w:tc>
          <w:tcPr>
            <w:tcW w:w="2394" w:type="dxa"/>
            <w:vAlign w:val="center"/>
          </w:tcPr>
          <w:p w14:paraId="2E655BA3" w14:textId="77777777" w:rsidR="00A12363" w:rsidRPr="00B15C21" w:rsidRDefault="00A12363" w:rsidP="00D87EFB">
            <w:pPr>
              <w:jc w:val="center"/>
              <w:rPr>
                <w:rFonts w:ascii="Times New Roman" w:hAnsi="Times New Roman" w:cs="Times New Roman"/>
                <w:sz w:val="24"/>
                <w:szCs w:val="24"/>
              </w:rPr>
            </w:pPr>
            <w:r w:rsidRPr="00B15C21">
              <w:rPr>
                <w:rFonts w:ascii="Times New Roman" w:hAnsi="Times New Roman" w:cs="Times New Roman"/>
                <w:sz w:val="24"/>
                <w:szCs w:val="24"/>
              </w:rPr>
              <w:t>2009</w:t>
            </w:r>
          </w:p>
        </w:tc>
        <w:tc>
          <w:tcPr>
            <w:tcW w:w="1808" w:type="dxa"/>
            <w:vAlign w:val="center"/>
          </w:tcPr>
          <w:p w14:paraId="01793C6F" w14:textId="77777777" w:rsidR="00A12363" w:rsidRPr="00B15C21" w:rsidRDefault="00A12363" w:rsidP="00A44AF2">
            <w:pPr>
              <w:tabs>
                <w:tab w:val="left" w:pos="248"/>
                <w:tab w:val="right" w:pos="1476"/>
                <w:tab w:val="right" w:pos="1707"/>
                <w:tab w:val="left" w:pos="3240"/>
                <w:tab w:val="left" w:pos="4140"/>
                <w:tab w:val="right" w:pos="5220"/>
              </w:tabs>
              <w:rPr>
                <w:rFonts w:ascii="Times New Roman" w:hAnsi="Times New Roman" w:cs="Times New Roman"/>
                <w:sz w:val="24"/>
                <w:szCs w:val="24"/>
              </w:rPr>
            </w:pPr>
            <w:r w:rsidRPr="00B15C21">
              <w:rPr>
                <w:rFonts w:ascii="Times New Roman" w:hAnsi="Times New Roman" w:cs="Times New Roman"/>
                <w:sz w:val="24"/>
                <w:szCs w:val="24"/>
              </w:rPr>
              <w:tab/>
              <w:t>$</w:t>
            </w:r>
            <w:r w:rsidR="00A44AF2" w:rsidRPr="00B15C21">
              <w:rPr>
                <w:rFonts w:ascii="Times New Roman" w:hAnsi="Times New Roman" w:cs="Times New Roman"/>
                <w:sz w:val="24"/>
                <w:szCs w:val="24"/>
              </w:rPr>
              <w:tab/>
            </w:r>
            <w:r w:rsidRPr="00B15C21">
              <w:rPr>
                <w:rFonts w:ascii="Times New Roman" w:hAnsi="Times New Roman" w:cs="Times New Roman"/>
                <w:sz w:val="24"/>
                <w:szCs w:val="24"/>
              </w:rPr>
              <w:t>774,841</w:t>
            </w:r>
          </w:p>
        </w:tc>
        <w:tc>
          <w:tcPr>
            <w:tcW w:w="414" w:type="dxa"/>
            <w:tcBorders>
              <w:top w:val="nil"/>
              <w:bottom w:val="nil"/>
            </w:tcBorders>
          </w:tcPr>
          <w:p w14:paraId="231014FD" w14:textId="77777777" w:rsidR="00A12363" w:rsidRPr="00B15C21" w:rsidRDefault="00A12363" w:rsidP="00D87EFB">
            <w:pPr>
              <w:tabs>
                <w:tab w:val="right" w:pos="1610"/>
              </w:tabs>
              <w:rPr>
                <w:rFonts w:ascii="Times New Roman" w:hAnsi="Times New Roman" w:cs="Times New Roman"/>
                <w:sz w:val="24"/>
                <w:szCs w:val="24"/>
              </w:rPr>
            </w:pPr>
          </w:p>
        </w:tc>
        <w:tc>
          <w:tcPr>
            <w:tcW w:w="2368" w:type="dxa"/>
            <w:vAlign w:val="center"/>
          </w:tcPr>
          <w:p w14:paraId="3B01FD43" w14:textId="77777777" w:rsidR="00A12363" w:rsidRPr="00B15C21" w:rsidRDefault="00A12363" w:rsidP="00D87EFB">
            <w:pPr>
              <w:jc w:val="center"/>
              <w:rPr>
                <w:rFonts w:ascii="Times New Roman" w:hAnsi="Times New Roman" w:cs="Times New Roman"/>
                <w:sz w:val="24"/>
                <w:szCs w:val="24"/>
              </w:rPr>
            </w:pPr>
            <w:r w:rsidRPr="00B15C21">
              <w:rPr>
                <w:rFonts w:ascii="Times New Roman" w:hAnsi="Times New Roman" w:cs="Times New Roman"/>
                <w:sz w:val="24"/>
                <w:szCs w:val="24"/>
              </w:rPr>
              <w:t>2008</w:t>
            </w:r>
          </w:p>
        </w:tc>
        <w:tc>
          <w:tcPr>
            <w:tcW w:w="1800" w:type="dxa"/>
            <w:vAlign w:val="center"/>
          </w:tcPr>
          <w:p w14:paraId="565DC007" w14:textId="77777777" w:rsidR="00A12363" w:rsidRPr="00B15C21" w:rsidRDefault="00A12363" w:rsidP="00331679">
            <w:pPr>
              <w:tabs>
                <w:tab w:val="left" w:pos="252"/>
                <w:tab w:val="right" w:pos="1394"/>
                <w:tab w:val="right" w:pos="1610"/>
              </w:tabs>
              <w:rPr>
                <w:rFonts w:ascii="Times New Roman" w:hAnsi="Times New Roman" w:cs="Times New Roman"/>
                <w:sz w:val="24"/>
                <w:szCs w:val="24"/>
              </w:rPr>
            </w:pPr>
            <w:r w:rsidRPr="00B15C21">
              <w:rPr>
                <w:rFonts w:ascii="Times New Roman" w:hAnsi="Times New Roman" w:cs="Times New Roman"/>
                <w:sz w:val="24"/>
                <w:szCs w:val="24"/>
              </w:rPr>
              <w:tab/>
              <w:t>$</w:t>
            </w:r>
            <w:r w:rsidR="00A44AF2" w:rsidRPr="00B15C21">
              <w:rPr>
                <w:rFonts w:ascii="Times New Roman" w:hAnsi="Times New Roman" w:cs="Times New Roman"/>
                <w:sz w:val="24"/>
                <w:szCs w:val="24"/>
              </w:rPr>
              <w:tab/>
            </w:r>
            <w:r w:rsidR="00922A48">
              <w:rPr>
                <w:rFonts w:ascii="Times New Roman" w:hAnsi="Times New Roman" w:cs="Times New Roman"/>
                <w:sz w:val="24"/>
                <w:szCs w:val="24"/>
              </w:rPr>
              <w:t>15,950,806</w:t>
            </w:r>
          </w:p>
        </w:tc>
      </w:tr>
      <w:tr w:rsidR="00120DFA" w:rsidRPr="00B15C21" w14:paraId="6429C818" w14:textId="77777777" w:rsidTr="004D6C52">
        <w:trPr>
          <w:trHeight w:val="360"/>
          <w:jc w:val="center"/>
        </w:trPr>
        <w:tc>
          <w:tcPr>
            <w:tcW w:w="2394" w:type="dxa"/>
            <w:vAlign w:val="center"/>
          </w:tcPr>
          <w:p w14:paraId="4800943E" w14:textId="77777777" w:rsidR="00A12363" w:rsidRPr="00B15C21" w:rsidRDefault="00A12363" w:rsidP="00D87EFB">
            <w:pPr>
              <w:jc w:val="center"/>
              <w:rPr>
                <w:rFonts w:ascii="Times New Roman" w:hAnsi="Times New Roman" w:cs="Times New Roman"/>
                <w:sz w:val="24"/>
                <w:szCs w:val="24"/>
              </w:rPr>
            </w:pPr>
            <w:r w:rsidRPr="00B15C21">
              <w:rPr>
                <w:rFonts w:ascii="Times New Roman" w:hAnsi="Times New Roman" w:cs="Times New Roman"/>
                <w:sz w:val="24"/>
                <w:szCs w:val="24"/>
              </w:rPr>
              <w:t>2010</w:t>
            </w:r>
          </w:p>
        </w:tc>
        <w:tc>
          <w:tcPr>
            <w:tcW w:w="1808" w:type="dxa"/>
            <w:tcBorders>
              <w:bottom w:val="single" w:sz="2" w:space="0" w:color="auto"/>
            </w:tcBorders>
            <w:vAlign w:val="center"/>
          </w:tcPr>
          <w:p w14:paraId="5943FCF7" w14:textId="77777777" w:rsidR="00A12363" w:rsidRPr="00B15C21" w:rsidRDefault="00A12363" w:rsidP="00A44AF2">
            <w:pPr>
              <w:tabs>
                <w:tab w:val="left" w:pos="248"/>
                <w:tab w:val="right" w:pos="1476"/>
                <w:tab w:val="right" w:pos="1707"/>
              </w:tabs>
              <w:rPr>
                <w:rFonts w:ascii="Times New Roman" w:hAnsi="Times New Roman" w:cs="Times New Roman"/>
                <w:sz w:val="24"/>
                <w:szCs w:val="24"/>
              </w:rPr>
            </w:pPr>
            <w:r w:rsidRPr="00B15C21">
              <w:rPr>
                <w:rFonts w:ascii="Times New Roman" w:hAnsi="Times New Roman" w:cs="Times New Roman"/>
                <w:sz w:val="24"/>
                <w:szCs w:val="24"/>
              </w:rPr>
              <w:tab/>
            </w:r>
            <w:r w:rsidR="00A44AF2" w:rsidRPr="00B15C21">
              <w:rPr>
                <w:rFonts w:ascii="Times New Roman" w:hAnsi="Times New Roman" w:cs="Times New Roman"/>
                <w:sz w:val="24"/>
                <w:szCs w:val="24"/>
              </w:rPr>
              <w:tab/>
            </w:r>
            <w:r w:rsidRPr="00B15C21">
              <w:rPr>
                <w:rFonts w:ascii="Times New Roman" w:hAnsi="Times New Roman" w:cs="Times New Roman"/>
                <w:sz w:val="24"/>
                <w:szCs w:val="24"/>
              </w:rPr>
              <w:t>302,919</w:t>
            </w:r>
          </w:p>
        </w:tc>
        <w:tc>
          <w:tcPr>
            <w:tcW w:w="414" w:type="dxa"/>
            <w:tcBorders>
              <w:top w:val="nil"/>
              <w:bottom w:val="nil"/>
            </w:tcBorders>
          </w:tcPr>
          <w:p w14:paraId="204C85E5" w14:textId="77777777" w:rsidR="00A12363" w:rsidRPr="00B15C21" w:rsidRDefault="00A12363" w:rsidP="00D87EFB">
            <w:pPr>
              <w:tabs>
                <w:tab w:val="right" w:pos="1610"/>
              </w:tabs>
              <w:rPr>
                <w:rFonts w:ascii="Times New Roman" w:hAnsi="Times New Roman" w:cs="Times New Roman"/>
                <w:sz w:val="24"/>
                <w:szCs w:val="24"/>
              </w:rPr>
            </w:pPr>
          </w:p>
        </w:tc>
        <w:tc>
          <w:tcPr>
            <w:tcW w:w="2368" w:type="dxa"/>
            <w:tcBorders>
              <w:bottom w:val="single" w:sz="2" w:space="0" w:color="auto"/>
            </w:tcBorders>
            <w:vAlign w:val="center"/>
          </w:tcPr>
          <w:p w14:paraId="32B966D4" w14:textId="77777777" w:rsidR="00A12363" w:rsidRPr="00B15C21" w:rsidRDefault="00A12363" w:rsidP="00D87EFB">
            <w:pPr>
              <w:jc w:val="center"/>
              <w:rPr>
                <w:rFonts w:ascii="Times New Roman" w:hAnsi="Times New Roman" w:cs="Times New Roman"/>
                <w:sz w:val="24"/>
                <w:szCs w:val="24"/>
              </w:rPr>
            </w:pPr>
            <w:r w:rsidRPr="00B15C21">
              <w:rPr>
                <w:rFonts w:ascii="Times New Roman" w:hAnsi="Times New Roman" w:cs="Times New Roman"/>
                <w:sz w:val="24"/>
                <w:szCs w:val="24"/>
              </w:rPr>
              <w:t>2009</w:t>
            </w:r>
          </w:p>
        </w:tc>
        <w:tc>
          <w:tcPr>
            <w:tcW w:w="1800" w:type="dxa"/>
            <w:tcBorders>
              <w:bottom w:val="single" w:sz="2" w:space="0" w:color="auto"/>
            </w:tcBorders>
            <w:vAlign w:val="center"/>
          </w:tcPr>
          <w:p w14:paraId="0DAA952E" w14:textId="77777777" w:rsidR="00A12363" w:rsidRPr="00B15C21" w:rsidRDefault="00A12363" w:rsidP="00A44AF2">
            <w:pPr>
              <w:tabs>
                <w:tab w:val="left" w:pos="252"/>
                <w:tab w:val="right" w:pos="1394"/>
                <w:tab w:val="right" w:pos="1610"/>
              </w:tabs>
              <w:rPr>
                <w:rFonts w:ascii="Times New Roman" w:hAnsi="Times New Roman" w:cs="Times New Roman"/>
                <w:sz w:val="24"/>
                <w:szCs w:val="24"/>
              </w:rPr>
            </w:pPr>
            <w:r w:rsidRPr="00B15C21">
              <w:rPr>
                <w:rFonts w:ascii="Times New Roman" w:hAnsi="Times New Roman" w:cs="Times New Roman"/>
                <w:sz w:val="24"/>
                <w:szCs w:val="24"/>
              </w:rPr>
              <w:tab/>
            </w:r>
            <w:r w:rsidR="00A44AF2" w:rsidRPr="00B15C21">
              <w:rPr>
                <w:rFonts w:ascii="Times New Roman" w:hAnsi="Times New Roman" w:cs="Times New Roman"/>
                <w:sz w:val="24"/>
                <w:szCs w:val="24"/>
              </w:rPr>
              <w:tab/>
            </w:r>
            <w:r w:rsidR="00120DFA" w:rsidRPr="00B15C21">
              <w:rPr>
                <w:rFonts w:ascii="Times New Roman" w:hAnsi="Times New Roman" w:cs="Times New Roman"/>
                <w:sz w:val="24"/>
                <w:szCs w:val="24"/>
              </w:rPr>
              <w:t>774,841</w:t>
            </w:r>
          </w:p>
        </w:tc>
      </w:tr>
      <w:tr w:rsidR="00120DFA" w:rsidRPr="00B15C21" w14:paraId="7D6E7CAB" w14:textId="77777777" w:rsidTr="004D6C52">
        <w:trPr>
          <w:trHeight w:val="360"/>
          <w:jc w:val="center"/>
        </w:trPr>
        <w:tc>
          <w:tcPr>
            <w:tcW w:w="2394" w:type="dxa"/>
            <w:tcBorders>
              <w:bottom w:val="single" w:sz="12" w:space="0" w:color="auto"/>
              <w:right w:val="single" w:sz="2" w:space="0" w:color="auto"/>
            </w:tcBorders>
            <w:vAlign w:val="center"/>
          </w:tcPr>
          <w:p w14:paraId="31EE3E60" w14:textId="77777777" w:rsidR="00A12363" w:rsidRPr="00B15C21" w:rsidRDefault="00A12363" w:rsidP="00D87EFB">
            <w:pPr>
              <w:jc w:val="center"/>
              <w:rPr>
                <w:rFonts w:ascii="Times New Roman" w:hAnsi="Times New Roman" w:cs="Times New Roman"/>
                <w:sz w:val="24"/>
                <w:szCs w:val="24"/>
              </w:rPr>
            </w:pPr>
            <w:r w:rsidRPr="00B15C21">
              <w:rPr>
                <w:rFonts w:ascii="Times New Roman" w:hAnsi="Times New Roman" w:cs="Times New Roman"/>
                <w:sz w:val="24"/>
                <w:szCs w:val="24"/>
              </w:rPr>
              <w:t>2011</w:t>
            </w:r>
          </w:p>
        </w:tc>
        <w:tc>
          <w:tcPr>
            <w:tcW w:w="1808" w:type="dxa"/>
            <w:tcBorders>
              <w:top w:val="single" w:sz="2" w:space="0" w:color="auto"/>
              <w:left w:val="single" w:sz="2" w:space="0" w:color="auto"/>
              <w:bottom w:val="single" w:sz="12" w:space="0" w:color="auto"/>
              <w:right w:val="single" w:sz="2" w:space="0" w:color="auto"/>
            </w:tcBorders>
            <w:vAlign w:val="center"/>
          </w:tcPr>
          <w:p w14:paraId="1BDBB3CE" w14:textId="77777777" w:rsidR="00A12363" w:rsidRPr="00B15C21" w:rsidRDefault="00A12363" w:rsidP="00A44AF2">
            <w:pPr>
              <w:tabs>
                <w:tab w:val="left" w:pos="248"/>
                <w:tab w:val="right" w:pos="1476"/>
                <w:tab w:val="right" w:pos="1707"/>
              </w:tabs>
              <w:rPr>
                <w:rFonts w:ascii="Times New Roman" w:hAnsi="Times New Roman" w:cs="Times New Roman"/>
                <w:sz w:val="24"/>
                <w:szCs w:val="24"/>
              </w:rPr>
            </w:pPr>
            <w:r w:rsidRPr="00B15C21">
              <w:rPr>
                <w:rFonts w:ascii="Times New Roman" w:hAnsi="Times New Roman" w:cs="Times New Roman"/>
                <w:sz w:val="24"/>
                <w:szCs w:val="24"/>
              </w:rPr>
              <w:tab/>
            </w:r>
            <w:r w:rsidR="00A44AF2" w:rsidRPr="00B15C21">
              <w:rPr>
                <w:rFonts w:ascii="Times New Roman" w:hAnsi="Times New Roman" w:cs="Times New Roman"/>
                <w:sz w:val="24"/>
                <w:szCs w:val="24"/>
              </w:rPr>
              <w:tab/>
            </w:r>
            <w:r w:rsidRPr="00B15C21">
              <w:rPr>
                <w:rFonts w:ascii="Times New Roman" w:hAnsi="Times New Roman" w:cs="Times New Roman"/>
                <w:sz w:val="24"/>
                <w:szCs w:val="24"/>
              </w:rPr>
              <w:t>10,035,297</w:t>
            </w:r>
          </w:p>
        </w:tc>
        <w:tc>
          <w:tcPr>
            <w:tcW w:w="414" w:type="dxa"/>
            <w:tcBorders>
              <w:top w:val="nil"/>
              <w:left w:val="single" w:sz="2" w:space="0" w:color="auto"/>
              <w:bottom w:val="nil"/>
              <w:right w:val="single" w:sz="2" w:space="0" w:color="auto"/>
            </w:tcBorders>
          </w:tcPr>
          <w:p w14:paraId="568DB1E3" w14:textId="77777777" w:rsidR="00A12363" w:rsidRPr="00B15C21" w:rsidRDefault="00A12363" w:rsidP="00D87EFB">
            <w:pPr>
              <w:tabs>
                <w:tab w:val="right" w:pos="1610"/>
              </w:tabs>
              <w:rPr>
                <w:rFonts w:ascii="Times New Roman" w:hAnsi="Times New Roman" w:cs="Times New Roman"/>
                <w:sz w:val="24"/>
                <w:szCs w:val="24"/>
              </w:rPr>
            </w:pPr>
          </w:p>
        </w:tc>
        <w:tc>
          <w:tcPr>
            <w:tcW w:w="2368" w:type="dxa"/>
            <w:tcBorders>
              <w:top w:val="single" w:sz="2" w:space="0" w:color="auto"/>
              <w:left w:val="single" w:sz="2" w:space="0" w:color="auto"/>
              <w:bottom w:val="single" w:sz="12" w:space="0" w:color="auto"/>
              <w:right w:val="single" w:sz="2" w:space="0" w:color="auto"/>
            </w:tcBorders>
            <w:vAlign w:val="center"/>
          </w:tcPr>
          <w:p w14:paraId="14EE3952" w14:textId="77777777" w:rsidR="00A12363" w:rsidRPr="00B15C21" w:rsidRDefault="00120DFA" w:rsidP="00D87EFB">
            <w:pPr>
              <w:jc w:val="center"/>
              <w:rPr>
                <w:rFonts w:ascii="Times New Roman" w:hAnsi="Times New Roman" w:cs="Times New Roman"/>
                <w:sz w:val="24"/>
                <w:szCs w:val="24"/>
              </w:rPr>
            </w:pPr>
            <w:r w:rsidRPr="00B15C21">
              <w:rPr>
                <w:rFonts w:ascii="Times New Roman" w:hAnsi="Times New Roman" w:cs="Times New Roman"/>
                <w:sz w:val="24"/>
                <w:szCs w:val="24"/>
              </w:rPr>
              <w:t>2010</w:t>
            </w:r>
          </w:p>
        </w:tc>
        <w:tc>
          <w:tcPr>
            <w:tcW w:w="1800" w:type="dxa"/>
            <w:tcBorders>
              <w:top w:val="single" w:sz="2" w:space="0" w:color="auto"/>
              <w:left w:val="single" w:sz="2" w:space="0" w:color="auto"/>
              <w:bottom w:val="single" w:sz="12" w:space="0" w:color="auto"/>
              <w:right w:val="single" w:sz="2" w:space="0" w:color="auto"/>
            </w:tcBorders>
            <w:vAlign w:val="center"/>
          </w:tcPr>
          <w:p w14:paraId="1219A8D4" w14:textId="77777777" w:rsidR="00A12363" w:rsidRPr="00B15C21" w:rsidRDefault="00A12363" w:rsidP="00A44AF2">
            <w:pPr>
              <w:tabs>
                <w:tab w:val="left" w:pos="252"/>
                <w:tab w:val="right" w:pos="1394"/>
                <w:tab w:val="right" w:pos="1610"/>
              </w:tabs>
              <w:rPr>
                <w:rFonts w:ascii="Times New Roman" w:hAnsi="Times New Roman" w:cs="Times New Roman"/>
                <w:sz w:val="24"/>
                <w:szCs w:val="24"/>
              </w:rPr>
            </w:pPr>
            <w:r w:rsidRPr="00B15C21">
              <w:rPr>
                <w:rFonts w:ascii="Times New Roman" w:hAnsi="Times New Roman" w:cs="Times New Roman"/>
                <w:sz w:val="24"/>
                <w:szCs w:val="24"/>
              </w:rPr>
              <w:tab/>
            </w:r>
            <w:r w:rsidR="00A44AF2" w:rsidRPr="00B15C21">
              <w:rPr>
                <w:rFonts w:ascii="Times New Roman" w:hAnsi="Times New Roman" w:cs="Times New Roman"/>
                <w:sz w:val="24"/>
                <w:szCs w:val="24"/>
              </w:rPr>
              <w:tab/>
            </w:r>
            <w:r w:rsidR="00120DFA" w:rsidRPr="00B15C21">
              <w:rPr>
                <w:rFonts w:ascii="Times New Roman" w:hAnsi="Times New Roman" w:cs="Times New Roman"/>
                <w:sz w:val="24"/>
                <w:szCs w:val="24"/>
              </w:rPr>
              <w:t>302,919</w:t>
            </w:r>
          </w:p>
        </w:tc>
      </w:tr>
      <w:tr w:rsidR="00120DFA" w:rsidRPr="00B15C21" w14:paraId="5EF8840A" w14:textId="77777777" w:rsidTr="004D6C52">
        <w:trPr>
          <w:trHeight w:val="504"/>
          <w:jc w:val="center"/>
        </w:trPr>
        <w:tc>
          <w:tcPr>
            <w:tcW w:w="2394" w:type="dxa"/>
            <w:tcBorders>
              <w:top w:val="single" w:sz="12" w:space="0" w:color="auto"/>
            </w:tcBorders>
            <w:vAlign w:val="center"/>
          </w:tcPr>
          <w:p w14:paraId="12B19A0B" w14:textId="77777777" w:rsidR="00120DFA" w:rsidRPr="00B15C21" w:rsidRDefault="00120DFA" w:rsidP="00D87EFB">
            <w:pPr>
              <w:jc w:val="center"/>
              <w:rPr>
                <w:rFonts w:ascii="Times New Roman" w:hAnsi="Times New Roman" w:cs="Times New Roman"/>
                <w:sz w:val="24"/>
                <w:szCs w:val="24"/>
              </w:rPr>
            </w:pPr>
            <w:r w:rsidRPr="00B15C21">
              <w:rPr>
                <w:rFonts w:ascii="Times New Roman" w:hAnsi="Times New Roman" w:cs="Times New Roman"/>
                <w:sz w:val="24"/>
                <w:szCs w:val="24"/>
              </w:rPr>
              <w:t>Three-Year Total</w:t>
            </w:r>
          </w:p>
        </w:tc>
        <w:tc>
          <w:tcPr>
            <w:tcW w:w="1808" w:type="dxa"/>
            <w:tcBorders>
              <w:top w:val="single" w:sz="12" w:space="0" w:color="auto"/>
              <w:bottom w:val="single" w:sz="4" w:space="0" w:color="auto"/>
            </w:tcBorders>
            <w:vAlign w:val="center"/>
          </w:tcPr>
          <w:p w14:paraId="426F5D74" w14:textId="77777777" w:rsidR="00120DFA" w:rsidRPr="00B15C21" w:rsidRDefault="00120DFA" w:rsidP="00A44AF2">
            <w:pPr>
              <w:tabs>
                <w:tab w:val="left" w:pos="248"/>
                <w:tab w:val="right" w:pos="1476"/>
                <w:tab w:val="right" w:pos="1707"/>
              </w:tabs>
              <w:rPr>
                <w:rFonts w:ascii="Times New Roman" w:hAnsi="Times New Roman" w:cs="Times New Roman"/>
                <w:sz w:val="24"/>
                <w:szCs w:val="24"/>
              </w:rPr>
            </w:pPr>
            <w:r w:rsidRPr="00B15C21">
              <w:rPr>
                <w:rFonts w:ascii="Times New Roman" w:hAnsi="Times New Roman" w:cs="Times New Roman"/>
                <w:sz w:val="24"/>
                <w:szCs w:val="24"/>
              </w:rPr>
              <w:tab/>
              <w:t>$</w:t>
            </w:r>
            <w:r w:rsidR="00A44AF2" w:rsidRPr="00B15C21">
              <w:rPr>
                <w:rFonts w:ascii="Times New Roman" w:hAnsi="Times New Roman" w:cs="Times New Roman"/>
                <w:sz w:val="24"/>
                <w:szCs w:val="24"/>
              </w:rPr>
              <w:tab/>
            </w:r>
            <w:r w:rsidRPr="00B15C21">
              <w:rPr>
                <w:rFonts w:ascii="Times New Roman" w:hAnsi="Times New Roman" w:cs="Times New Roman"/>
                <w:sz w:val="24"/>
                <w:szCs w:val="24"/>
              </w:rPr>
              <w:t>11,113,057</w:t>
            </w:r>
          </w:p>
        </w:tc>
        <w:tc>
          <w:tcPr>
            <w:tcW w:w="414" w:type="dxa"/>
            <w:tcBorders>
              <w:top w:val="nil"/>
              <w:bottom w:val="nil"/>
            </w:tcBorders>
          </w:tcPr>
          <w:p w14:paraId="45611397" w14:textId="77777777" w:rsidR="00120DFA" w:rsidRPr="00B15C21" w:rsidRDefault="00120DFA" w:rsidP="00D87EFB">
            <w:pPr>
              <w:tabs>
                <w:tab w:val="right" w:pos="1610"/>
              </w:tabs>
              <w:rPr>
                <w:rFonts w:ascii="Times New Roman" w:hAnsi="Times New Roman" w:cs="Times New Roman"/>
                <w:sz w:val="24"/>
                <w:szCs w:val="24"/>
              </w:rPr>
            </w:pPr>
          </w:p>
        </w:tc>
        <w:tc>
          <w:tcPr>
            <w:tcW w:w="2368" w:type="dxa"/>
            <w:tcBorders>
              <w:top w:val="single" w:sz="12" w:space="0" w:color="auto"/>
              <w:bottom w:val="single" w:sz="4" w:space="0" w:color="auto"/>
            </w:tcBorders>
            <w:vAlign w:val="center"/>
          </w:tcPr>
          <w:p w14:paraId="383969A3" w14:textId="77777777" w:rsidR="00120DFA" w:rsidRPr="00B15C21" w:rsidRDefault="00120DFA" w:rsidP="00D87EFB">
            <w:pPr>
              <w:jc w:val="center"/>
              <w:rPr>
                <w:rFonts w:ascii="Times New Roman" w:hAnsi="Times New Roman" w:cs="Times New Roman"/>
                <w:sz w:val="24"/>
                <w:szCs w:val="24"/>
              </w:rPr>
            </w:pPr>
            <w:r w:rsidRPr="00B15C21">
              <w:rPr>
                <w:rFonts w:ascii="Times New Roman" w:hAnsi="Times New Roman" w:cs="Times New Roman"/>
                <w:sz w:val="24"/>
                <w:szCs w:val="24"/>
              </w:rPr>
              <w:t>Three-Year Total</w:t>
            </w:r>
          </w:p>
        </w:tc>
        <w:tc>
          <w:tcPr>
            <w:tcW w:w="1800" w:type="dxa"/>
            <w:tcBorders>
              <w:top w:val="single" w:sz="12" w:space="0" w:color="auto"/>
              <w:bottom w:val="single" w:sz="4" w:space="0" w:color="auto"/>
            </w:tcBorders>
            <w:vAlign w:val="center"/>
          </w:tcPr>
          <w:p w14:paraId="0D966DA1" w14:textId="77777777" w:rsidR="00120DFA" w:rsidRPr="00B15C21" w:rsidRDefault="00120DFA" w:rsidP="00922A48">
            <w:pPr>
              <w:tabs>
                <w:tab w:val="left" w:pos="252"/>
                <w:tab w:val="right" w:pos="1394"/>
                <w:tab w:val="right" w:pos="1610"/>
              </w:tabs>
              <w:rPr>
                <w:rFonts w:ascii="Times New Roman" w:hAnsi="Times New Roman" w:cs="Times New Roman"/>
                <w:sz w:val="24"/>
                <w:szCs w:val="24"/>
              </w:rPr>
            </w:pPr>
            <w:r w:rsidRPr="00B15C21">
              <w:rPr>
                <w:rFonts w:ascii="Times New Roman" w:hAnsi="Times New Roman" w:cs="Times New Roman"/>
                <w:sz w:val="24"/>
                <w:szCs w:val="24"/>
              </w:rPr>
              <w:tab/>
              <w:t>$</w:t>
            </w:r>
            <w:r w:rsidR="00A44AF2" w:rsidRPr="00B15C21">
              <w:rPr>
                <w:rFonts w:ascii="Times New Roman" w:hAnsi="Times New Roman" w:cs="Times New Roman"/>
                <w:b/>
                <w:sz w:val="24"/>
                <w:szCs w:val="24"/>
              </w:rPr>
              <w:tab/>
            </w:r>
            <w:r w:rsidR="00922A48">
              <w:rPr>
                <w:rFonts w:ascii="Times New Roman" w:hAnsi="Times New Roman" w:cs="Times New Roman"/>
                <w:sz w:val="24"/>
                <w:szCs w:val="24"/>
              </w:rPr>
              <w:t>17,028,566</w:t>
            </w:r>
          </w:p>
        </w:tc>
      </w:tr>
      <w:tr w:rsidR="00120DFA" w:rsidRPr="00B15C21" w14:paraId="5334DC24" w14:textId="77777777" w:rsidTr="004D6C52">
        <w:trPr>
          <w:trHeight w:val="504"/>
          <w:jc w:val="center"/>
        </w:trPr>
        <w:tc>
          <w:tcPr>
            <w:tcW w:w="2394" w:type="dxa"/>
            <w:vAlign w:val="center"/>
          </w:tcPr>
          <w:p w14:paraId="7EEE6991" w14:textId="77777777" w:rsidR="00120DFA" w:rsidRPr="00B15C21" w:rsidRDefault="00120DFA" w:rsidP="00D87EFB">
            <w:pPr>
              <w:jc w:val="center"/>
              <w:rPr>
                <w:rFonts w:ascii="Times New Roman" w:hAnsi="Times New Roman" w:cs="Times New Roman"/>
                <w:b/>
                <w:sz w:val="24"/>
                <w:szCs w:val="24"/>
              </w:rPr>
            </w:pPr>
            <w:r w:rsidRPr="00B15C21">
              <w:rPr>
                <w:rFonts w:ascii="Times New Roman" w:hAnsi="Times New Roman" w:cs="Times New Roman"/>
                <w:b/>
                <w:sz w:val="24"/>
                <w:szCs w:val="24"/>
              </w:rPr>
              <w:t>Three-Year Average</w:t>
            </w:r>
          </w:p>
        </w:tc>
        <w:tc>
          <w:tcPr>
            <w:tcW w:w="1808" w:type="dxa"/>
            <w:tcBorders>
              <w:top w:val="single" w:sz="4" w:space="0" w:color="auto"/>
            </w:tcBorders>
            <w:vAlign w:val="center"/>
          </w:tcPr>
          <w:p w14:paraId="1B54DC22" w14:textId="77777777" w:rsidR="00120DFA" w:rsidRPr="00B15C21" w:rsidRDefault="00120DFA" w:rsidP="00A44AF2">
            <w:pPr>
              <w:tabs>
                <w:tab w:val="left" w:pos="248"/>
                <w:tab w:val="right" w:pos="1476"/>
                <w:tab w:val="right" w:pos="1707"/>
              </w:tabs>
              <w:rPr>
                <w:rFonts w:ascii="Times New Roman" w:hAnsi="Times New Roman" w:cs="Times New Roman"/>
                <w:b/>
                <w:sz w:val="24"/>
                <w:szCs w:val="24"/>
              </w:rPr>
            </w:pPr>
            <w:r w:rsidRPr="00B15C21">
              <w:rPr>
                <w:rFonts w:ascii="Times New Roman" w:hAnsi="Times New Roman" w:cs="Times New Roman"/>
                <w:b/>
                <w:sz w:val="24"/>
                <w:szCs w:val="24"/>
              </w:rPr>
              <w:tab/>
              <w:t>$</w:t>
            </w:r>
            <w:r w:rsidR="00A44AF2" w:rsidRPr="00B15C21">
              <w:rPr>
                <w:rFonts w:ascii="Times New Roman" w:hAnsi="Times New Roman" w:cs="Times New Roman"/>
                <w:b/>
                <w:sz w:val="24"/>
                <w:szCs w:val="24"/>
              </w:rPr>
              <w:tab/>
            </w:r>
            <w:r w:rsidRPr="00B15C21">
              <w:rPr>
                <w:rFonts w:ascii="Times New Roman" w:hAnsi="Times New Roman" w:cs="Times New Roman"/>
                <w:b/>
                <w:sz w:val="24"/>
                <w:szCs w:val="24"/>
              </w:rPr>
              <w:t>3,704,352</w:t>
            </w:r>
          </w:p>
        </w:tc>
        <w:tc>
          <w:tcPr>
            <w:tcW w:w="414" w:type="dxa"/>
            <w:tcBorders>
              <w:top w:val="nil"/>
              <w:bottom w:val="nil"/>
            </w:tcBorders>
          </w:tcPr>
          <w:p w14:paraId="218DD2F4" w14:textId="77777777" w:rsidR="00120DFA" w:rsidRPr="00B15C21" w:rsidRDefault="00120DFA" w:rsidP="00D87EFB">
            <w:pPr>
              <w:tabs>
                <w:tab w:val="right" w:pos="1610"/>
              </w:tabs>
              <w:rPr>
                <w:rFonts w:ascii="Times New Roman" w:hAnsi="Times New Roman" w:cs="Times New Roman"/>
                <w:b/>
                <w:sz w:val="24"/>
                <w:szCs w:val="24"/>
              </w:rPr>
            </w:pPr>
          </w:p>
        </w:tc>
        <w:tc>
          <w:tcPr>
            <w:tcW w:w="2368" w:type="dxa"/>
            <w:tcBorders>
              <w:top w:val="single" w:sz="4" w:space="0" w:color="auto"/>
            </w:tcBorders>
            <w:vAlign w:val="center"/>
          </w:tcPr>
          <w:p w14:paraId="58E2A2DF" w14:textId="77777777" w:rsidR="00120DFA" w:rsidRPr="00B15C21" w:rsidRDefault="00120DFA" w:rsidP="00D87EFB">
            <w:pPr>
              <w:jc w:val="center"/>
              <w:rPr>
                <w:rFonts w:ascii="Times New Roman" w:hAnsi="Times New Roman" w:cs="Times New Roman"/>
                <w:b/>
                <w:sz w:val="24"/>
                <w:szCs w:val="24"/>
              </w:rPr>
            </w:pPr>
            <w:r w:rsidRPr="00B15C21">
              <w:rPr>
                <w:rFonts w:ascii="Times New Roman" w:hAnsi="Times New Roman" w:cs="Times New Roman"/>
                <w:b/>
                <w:sz w:val="24"/>
                <w:szCs w:val="24"/>
              </w:rPr>
              <w:t>Three-Year Average</w:t>
            </w:r>
          </w:p>
        </w:tc>
        <w:tc>
          <w:tcPr>
            <w:tcW w:w="1800" w:type="dxa"/>
            <w:tcBorders>
              <w:top w:val="single" w:sz="4" w:space="0" w:color="auto"/>
            </w:tcBorders>
            <w:vAlign w:val="center"/>
          </w:tcPr>
          <w:p w14:paraId="098F22C0" w14:textId="77777777" w:rsidR="00120DFA" w:rsidRPr="00B15C21" w:rsidRDefault="00120DFA" w:rsidP="00922A48">
            <w:pPr>
              <w:tabs>
                <w:tab w:val="left" w:pos="252"/>
                <w:tab w:val="right" w:pos="1394"/>
                <w:tab w:val="right" w:pos="1610"/>
              </w:tabs>
              <w:rPr>
                <w:rFonts w:ascii="Times New Roman" w:hAnsi="Times New Roman" w:cs="Times New Roman"/>
                <w:b/>
                <w:sz w:val="24"/>
                <w:szCs w:val="24"/>
              </w:rPr>
            </w:pPr>
            <w:r w:rsidRPr="00B15C21">
              <w:rPr>
                <w:rFonts w:ascii="Times New Roman" w:hAnsi="Times New Roman" w:cs="Times New Roman"/>
                <w:b/>
                <w:sz w:val="24"/>
                <w:szCs w:val="24"/>
              </w:rPr>
              <w:tab/>
              <w:t>$</w:t>
            </w:r>
            <w:r w:rsidR="00A44AF2" w:rsidRPr="00B15C21">
              <w:rPr>
                <w:rFonts w:ascii="Times New Roman" w:hAnsi="Times New Roman" w:cs="Times New Roman"/>
                <w:b/>
                <w:sz w:val="24"/>
                <w:szCs w:val="24"/>
              </w:rPr>
              <w:tab/>
            </w:r>
            <w:r w:rsidR="00922A48">
              <w:rPr>
                <w:rFonts w:ascii="Times New Roman" w:hAnsi="Times New Roman" w:cs="Times New Roman"/>
                <w:b/>
                <w:sz w:val="24"/>
                <w:szCs w:val="24"/>
              </w:rPr>
              <w:t>5,676,189</w:t>
            </w:r>
          </w:p>
        </w:tc>
      </w:tr>
    </w:tbl>
    <w:p w14:paraId="2DEE3A5B" w14:textId="77777777" w:rsidR="00B15C21" w:rsidRDefault="00B15C21" w:rsidP="00B15C21">
      <w:pPr>
        <w:spacing w:after="0"/>
        <w:rPr>
          <w:rFonts w:ascii="Times New Roman" w:hAnsi="Times New Roman" w:cs="Times New Roman"/>
        </w:rPr>
      </w:pPr>
    </w:p>
    <w:p w14:paraId="1481F3DD" w14:textId="4684A891" w:rsidR="00FB2021" w:rsidRPr="00821B1E" w:rsidRDefault="00FB2021" w:rsidP="007527B7">
      <w:pPr>
        <w:rPr>
          <w:rFonts w:ascii="Times New Roman" w:hAnsi="Times New Roman" w:cs="Times New Roman"/>
          <w:sz w:val="24"/>
          <w:szCs w:val="24"/>
        </w:rPr>
      </w:pPr>
      <w:r w:rsidRPr="00821B1E">
        <w:rPr>
          <w:rFonts w:ascii="Times New Roman" w:hAnsi="Times New Roman" w:cs="Times New Roman"/>
          <w:sz w:val="24"/>
          <w:szCs w:val="24"/>
        </w:rPr>
        <w:t xml:space="preserve">Source: </w:t>
      </w:r>
      <w:r w:rsidR="001837EA" w:rsidRPr="00821B1E">
        <w:rPr>
          <w:rFonts w:ascii="Times New Roman" w:hAnsi="Times New Roman" w:cs="Times New Roman"/>
          <w:sz w:val="24"/>
          <w:szCs w:val="24"/>
        </w:rPr>
        <w:t>Case No. 12-</w:t>
      </w:r>
      <w:r w:rsidR="00331679" w:rsidRPr="00821B1E">
        <w:rPr>
          <w:rFonts w:ascii="Times New Roman" w:hAnsi="Times New Roman" w:cs="Times New Roman"/>
          <w:sz w:val="24"/>
          <w:szCs w:val="24"/>
        </w:rPr>
        <w:t>2281</w:t>
      </w:r>
      <w:r w:rsidR="001837EA" w:rsidRPr="00821B1E">
        <w:rPr>
          <w:rFonts w:ascii="Times New Roman" w:hAnsi="Times New Roman" w:cs="Times New Roman"/>
          <w:sz w:val="24"/>
          <w:szCs w:val="24"/>
        </w:rPr>
        <w:t>-EL-</w:t>
      </w:r>
      <w:r w:rsidR="00331679" w:rsidRPr="00821B1E">
        <w:rPr>
          <w:rFonts w:ascii="Times New Roman" w:hAnsi="Times New Roman" w:cs="Times New Roman"/>
          <w:sz w:val="24"/>
          <w:szCs w:val="24"/>
        </w:rPr>
        <w:t>AAM</w:t>
      </w:r>
      <w:r w:rsidR="001837EA" w:rsidRPr="00821B1E">
        <w:rPr>
          <w:rFonts w:ascii="Times New Roman" w:hAnsi="Times New Roman" w:cs="Times New Roman"/>
          <w:sz w:val="24"/>
          <w:szCs w:val="24"/>
        </w:rPr>
        <w:t xml:space="preserve">, </w:t>
      </w:r>
      <w:r w:rsidR="00331679" w:rsidRPr="00821B1E">
        <w:rPr>
          <w:rFonts w:ascii="Times New Roman" w:hAnsi="Times New Roman" w:cs="Times New Roman"/>
          <w:sz w:val="24"/>
          <w:szCs w:val="24"/>
        </w:rPr>
        <w:t>6</w:t>
      </w:r>
      <w:r w:rsidR="00331679" w:rsidRPr="00821B1E">
        <w:rPr>
          <w:rFonts w:ascii="Times New Roman" w:hAnsi="Times New Roman" w:cs="Times New Roman"/>
          <w:sz w:val="24"/>
          <w:szCs w:val="24"/>
          <w:vertAlign w:val="superscript"/>
        </w:rPr>
        <w:t>th</w:t>
      </w:r>
      <w:r w:rsidR="00331679" w:rsidRPr="00821B1E">
        <w:rPr>
          <w:rFonts w:ascii="Times New Roman" w:hAnsi="Times New Roman" w:cs="Times New Roman"/>
          <w:sz w:val="24"/>
          <w:szCs w:val="24"/>
        </w:rPr>
        <w:t xml:space="preserve"> Supplemental Response, DP&amp;L’s Response to OCC INT 2(e), “Service Restoration O&amp;M Expense” Associated With Major Events</w:t>
      </w:r>
      <w:r w:rsidR="00331679" w:rsidRPr="00DC2839">
        <w:rPr>
          <w:rFonts w:ascii="Times New Roman" w:hAnsi="Times New Roman" w:cs="Times New Roman"/>
          <w:sz w:val="24"/>
          <w:szCs w:val="24"/>
        </w:rPr>
        <w:t xml:space="preserve"> For The Past 10 Years</w:t>
      </w:r>
      <w:r w:rsidR="007D6B14" w:rsidRPr="00061888">
        <w:rPr>
          <w:rFonts w:ascii="Times New Roman" w:hAnsi="Times New Roman" w:cs="Times New Roman"/>
          <w:sz w:val="24"/>
          <w:szCs w:val="24"/>
        </w:rPr>
        <w:t xml:space="preserve"> and</w:t>
      </w:r>
      <w:r w:rsidR="007D6B14" w:rsidRPr="00433642">
        <w:rPr>
          <w:rFonts w:ascii="Times New Roman" w:hAnsi="Times New Roman" w:cs="Times New Roman"/>
          <w:sz w:val="24"/>
          <w:szCs w:val="24"/>
        </w:rPr>
        <w:t xml:space="preserve"> Direct Testimony of PUCO Staff witness David M. Lipthratt, PUCO Case No. 12-426-EL-SSO at Attachment A (Mar. 12, 2013)</w:t>
      </w:r>
      <w:r w:rsidR="00AE37BF" w:rsidRPr="00433642">
        <w:rPr>
          <w:rFonts w:ascii="Times New Roman" w:hAnsi="Times New Roman" w:cs="Times New Roman"/>
          <w:sz w:val="24"/>
          <w:szCs w:val="24"/>
        </w:rPr>
        <w:t>.</w:t>
      </w:r>
    </w:p>
    <w:p w14:paraId="587533F5" w14:textId="77777777" w:rsidR="00365328" w:rsidRPr="00B15C21" w:rsidRDefault="00025748" w:rsidP="0080211A">
      <w:pPr>
        <w:pStyle w:val="Heading2"/>
      </w:pPr>
      <w:bookmarkStart w:id="12" w:name="_Toc359248601"/>
      <w:r>
        <w:t>E</w:t>
      </w:r>
      <w:r w:rsidR="006F7244" w:rsidRPr="00B15C21">
        <w:t>.</w:t>
      </w:r>
      <w:r w:rsidR="006F7244" w:rsidRPr="00B15C21">
        <w:tab/>
      </w:r>
      <w:r w:rsidR="00DB1ED7" w:rsidRPr="00B15C21">
        <w:t>DP</w:t>
      </w:r>
      <w:r w:rsidR="006A1131" w:rsidRPr="00B15C21">
        <w:t>&amp;</w:t>
      </w:r>
      <w:r w:rsidR="00DB1ED7" w:rsidRPr="00B15C21">
        <w:t xml:space="preserve">L Should Not Be Allowed </w:t>
      </w:r>
      <w:r w:rsidR="006A1131">
        <w:t xml:space="preserve">To </w:t>
      </w:r>
      <w:r w:rsidR="001617F9">
        <w:t xml:space="preserve">Charge Its Customers </w:t>
      </w:r>
      <w:r w:rsidR="006A1131">
        <w:t>For</w:t>
      </w:r>
      <w:r w:rsidR="006A1131" w:rsidRPr="00B15C21">
        <w:t xml:space="preserve"> </w:t>
      </w:r>
      <w:r w:rsidR="00DB1ED7" w:rsidRPr="00B15C21">
        <w:t xml:space="preserve">Capital Costs </w:t>
      </w:r>
      <w:r w:rsidR="001617F9">
        <w:t xml:space="preserve">Related </w:t>
      </w:r>
      <w:r w:rsidR="006A1131">
        <w:t xml:space="preserve">To </w:t>
      </w:r>
      <w:r w:rsidR="001617F9">
        <w:t>Storm Restorations</w:t>
      </w:r>
      <w:r w:rsidR="00AD7090">
        <w:t xml:space="preserve"> In This Proceeding</w:t>
      </w:r>
      <w:r w:rsidR="00DB1ED7" w:rsidRPr="00B15C21">
        <w:t>.</w:t>
      </w:r>
      <w:bookmarkEnd w:id="12"/>
    </w:p>
    <w:p w14:paraId="23573392" w14:textId="149611C5" w:rsidR="006D619E" w:rsidRDefault="006251A3" w:rsidP="0080211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w:t>
      </w:r>
      <w:r w:rsidR="00821B1E">
        <w:rPr>
          <w:rFonts w:ascii="Times New Roman" w:hAnsi="Times New Roman" w:cs="Times New Roman"/>
          <w:sz w:val="24"/>
          <w:szCs w:val="24"/>
        </w:rPr>
        <w:t>e</w:t>
      </w:r>
      <w:r>
        <w:rPr>
          <w:rFonts w:ascii="Times New Roman" w:hAnsi="Times New Roman" w:cs="Times New Roman"/>
          <w:sz w:val="24"/>
          <w:szCs w:val="24"/>
        </w:rPr>
        <w:t xml:space="preserve"> </w:t>
      </w:r>
      <w:r w:rsidR="008C0ECC">
        <w:rPr>
          <w:rFonts w:ascii="Times New Roman" w:hAnsi="Times New Roman" w:cs="Times New Roman"/>
          <w:sz w:val="24"/>
          <w:szCs w:val="24"/>
        </w:rPr>
        <w:t xml:space="preserve">PUCO </w:t>
      </w:r>
      <w:r>
        <w:rPr>
          <w:rFonts w:ascii="Times New Roman" w:hAnsi="Times New Roman" w:cs="Times New Roman"/>
          <w:sz w:val="24"/>
          <w:szCs w:val="24"/>
        </w:rPr>
        <w:t xml:space="preserve">should deny </w:t>
      </w:r>
      <w:r w:rsidR="00D0141C" w:rsidRPr="00B15C21">
        <w:rPr>
          <w:rFonts w:ascii="Times New Roman" w:hAnsi="Times New Roman" w:cs="Times New Roman"/>
          <w:sz w:val="24"/>
          <w:szCs w:val="24"/>
        </w:rPr>
        <w:t>DP&amp;L</w:t>
      </w:r>
      <w:r>
        <w:rPr>
          <w:rFonts w:ascii="Times New Roman" w:hAnsi="Times New Roman" w:cs="Times New Roman"/>
          <w:sz w:val="24"/>
          <w:szCs w:val="24"/>
        </w:rPr>
        <w:t>’s</w:t>
      </w:r>
      <w:r w:rsidR="00D0141C" w:rsidRPr="00B15C21">
        <w:rPr>
          <w:rFonts w:ascii="Times New Roman" w:hAnsi="Times New Roman" w:cs="Times New Roman"/>
          <w:sz w:val="24"/>
          <w:szCs w:val="24"/>
        </w:rPr>
        <w:t xml:space="preserve"> request </w:t>
      </w:r>
      <w:r>
        <w:rPr>
          <w:rFonts w:ascii="Times New Roman" w:hAnsi="Times New Roman" w:cs="Times New Roman"/>
          <w:sz w:val="24"/>
          <w:szCs w:val="24"/>
        </w:rPr>
        <w:t xml:space="preserve">for </w:t>
      </w:r>
      <w:r w:rsidR="00D0141C" w:rsidRPr="00B15C21">
        <w:rPr>
          <w:rFonts w:ascii="Times New Roman" w:hAnsi="Times New Roman" w:cs="Times New Roman"/>
          <w:sz w:val="24"/>
          <w:szCs w:val="24"/>
        </w:rPr>
        <w:t>authority to recover</w:t>
      </w:r>
      <w:r w:rsidR="00720C71" w:rsidRPr="00B15C21">
        <w:rPr>
          <w:rFonts w:ascii="Times New Roman" w:hAnsi="Times New Roman" w:cs="Times New Roman"/>
          <w:sz w:val="24"/>
          <w:szCs w:val="24"/>
        </w:rPr>
        <w:t xml:space="preserve"> the </w:t>
      </w:r>
      <w:r w:rsidR="00D0141C" w:rsidRPr="00B15C21">
        <w:rPr>
          <w:rFonts w:ascii="Times New Roman" w:hAnsi="Times New Roman" w:cs="Times New Roman"/>
          <w:sz w:val="24"/>
          <w:szCs w:val="24"/>
        </w:rPr>
        <w:t xml:space="preserve">capital </w:t>
      </w:r>
      <w:r w:rsidR="0052121A" w:rsidRPr="00B15C21">
        <w:rPr>
          <w:rFonts w:ascii="Times New Roman" w:hAnsi="Times New Roman" w:cs="Times New Roman"/>
          <w:sz w:val="24"/>
          <w:szCs w:val="24"/>
        </w:rPr>
        <w:t>cost</w:t>
      </w:r>
      <w:r w:rsidR="00F83BA3" w:rsidRPr="00B15C21">
        <w:rPr>
          <w:rFonts w:ascii="Times New Roman" w:hAnsi="Times New Roman" w:cs="Times New Roman"/>
          <w:sz w:val="24"/>
          <w:szCs w:val="24"/>
        </w:rPr>
        <w:t>s</w:t>
      </w:r>
      <w:r w:rsidR="0052121A" w:rsidRPr="00B15C21">
        <w:rPr>
          <w:rFonts w:ascii="Times New Roman" w:hAnsi="Times New Roman" w:cs="Times New Roman"/>
          <w:sz w:val="24"/>
          <w:szCs w:val="24"/>
        </w:rPr>
        <w:t xml:space="preserve"> </w:t>
      </w:r>
      <w:r w:rsidR="00D0141C" w:rsidRPr="00B15C21">
        <w:rPr>
          <w:rFonts w:ascii="Times New Roman" w:hAnsi="Times New Roman" w:cs="Times New Roman"/>
          <w:sz w:val="24"/>
          <w:szCs w:val="24"/>
        </w:rPr>
        <w:t xml:space="preserve">for Hurricane Ike </w:t>
      </w:r>
      <w:r w:rsidR="00F210C2">
        <w:rPr>
          <w:rFonts w:ascii="Times New Roman" w:hAnsi="Times New Roman" w:cs="Times New Roman"/>
          <w:sz w:val="24"/>
          <w:szCs w:val="24"/>
        </w:rPr>
        <w:t>(</w:t>
      </w:r>
      <w:r w:rsidR="00D0141C" w:rsidRPr="00B15C21">
        <w:rPr>
          <w:rFonts w:ascii="Times New Roman" w:hAnsi="Times New Roman" w:cs="Times New Roman"/>
          <w:sz w:val="24"/>
          <w:szCs w:val="24"/>
        </w:rPr>
        <w:t>in 2008</w:t>
      </w:r>
      <w:r w:rsidR="00F210C2">
        <w:rPr>
          <w:rFonts w:ascii="Times New Roman" w:hAnsi="Times New Roman" w:cs="Times New Roman"/>
          <w:sz w:val="24"/>
          <w:szCs w:val="24"/>
        </w:rPr>
        <w:t>)</w:t>
      </w:r>
      <w:r w:rsidR="008150F9">
        <w:rPr>
          <w:rFonts w:ascii="Times New Roman" w:hAnsi="Times New Roman" w:cs="Times New Roman"/>
          <w:sz w:val="24"/>
          <w:szCs w:val="24"/>
        </w:rPr>
        <w:t xml:space="preserve">, </w:t>
      </w:r>
      <w:r w:rsidR="00821B1E">
        <w:rPr>
          <w:rFonts w:ascii="Times New Roman" w:hAnsi="Times New Roman" w:cs="Times New Roman"/>
          <w:sz w:val="24"/>
          <w:szCs w:val="24"/>
        </w:rPr>
        <w:t xml:space="preserve">the </w:t>
      </w:r>
      <w:r w:rsidR="008150F9">
        <w:rPr>
          <w:rFonts w:ascii="Times New Roman" w:hAnsi="Times New Roman" w:cs="Times New Roman"/>
          <w:sz w:val="24"/>
          <w:szCs w:val="24"/>
        </w:rPr>
        <w:t>2011 storms</w:t>
      </w:r>
      <w:r w:rsidR="00D0141C" w:rsidRPr="00B15C21">
        <w:rPr>
          <w:rFonts w:ascii="Times New Roman" w:hAnsi="Times New Roman" w:cs="Times New Roman"/>
          <w:sz w:val="24"/>
          <w:szCs w:val="24"/>
        </w:rPr>
        <w:t xml:space="preserve"> and </w:t>
      </w:r>
      <w:r w:rsidR="008150F9">
        <w:rPr>
          <w:rFonts w:ascii="Times New Roman" w:hAnsi="Times New Roman" w:cs="Times New Roman"/>
          <w:sz w:val="24"/>
          <w:szCs w:val="24"/>
        </w:rPr>
        <w:t xml:space="preserve">the </w:t>
      </w:r>
      <w:r w:rsidR="00D0141C" w:rsidRPr="00B15C21">
        <w:rPr>
          <w:rFonts w:ascii="Times New Roman" w:hAnsi="Times New Roman" w:cs="Times New Roman"/>
          <w:sz w:val="24"/>
          <w:szCs w:val="24"/>
        </w:rPr>
        <w:t>201</w:t>
      </w:r>
      <w:r w:rsidR="004C492A" w:rsidRPr="00B15C21">
        <w:rPr>
          <w:rFonts w:ascii="Times New Roman" w:hAnsi="Times New Roman" w:cs="Times New Roman"/>
          <w:sz w:val="24"/>
          <w:szCs w:val="24"/>
        </w:rPr>
        <w:t>2</w:t>
      </w:r>
      <w:r w:rsidR="008150F9">
        <w:rPr>
          <w:rFonts w:ascii="Times New Roman" w:hAnsi="Times New Roman" w:cs="Times New Roman"/>
          <w:sz w:val="24"/>
          <w:szCs w:val="24"/>
        </w:rPr>
        <w:t xml:space="preserve"> </w:t>
      </w:r>
      <w:r w:rsidR="00061888">
        <w:rPr>
          <w:rFonts w:ascii="Times New Roman" w:hAnsi="Times New Roman" w:cs="Times New Roman"/>
          <w:sz w:val="24"/>
          <w:szCs w:val="24"/>
        </w:rPr>
        <w:t>d</w:t>
      </w:r>
      <w:r w:rsidR="008150F9">
        <w:rPr>
          <w:rFonts w:ascii="Times New Roman" w:hAnsi="Times New Roman" w:cs="Times New Roman"/>
          <w:sz w:val="24"/>
          <w:szCs w:val="24"/>
        </w:rPr>
        <w:t>erecho storm</w:t>
      </w:r>
      <w:r w:rsidR="006D619E">
        <w:rPr>
          <w:rFonts w:ascii="Times New Roman" w:hAnsi="Times New Roman" w:cs="Times New Roman"/>
          <w:sz w:val="24"/>
          <w:szCs w:val="24"/>
        </w:rPr>
        <w:t>.  Additionally, the Commission should also</w:t>
      </w:r>
      <w:r w:rsidR="00F9379C">
        <w:rPr>
          <w:rFonts w:ascii="Times New Roman" w:hAnsi="Times New Roman" w:cs="Times New Roman"/>
          <w:sz w:val="24"/>
          <w:szCs w:val="24"/>
        </w:rPr>
        <w:t xml:space="preserve"> deny DP&amp;L’s request to defer </w:t>
      </w:r>
      <w:r w:rsidR="00E21CDB">
        <w:rPr>
          <w:rFonts w:ascii="Times New Roman" w:hAnsi="Times New Roman" w:cs="Times New Roman"/>
          <w:sz w:val="24"/>
          <w:szCs w:val="24"/>
        </w:rPr>
        <w:t xml:space="preserve">and recover from customers </w:t>
      </w:r>
      <w:r w:rsidR="00E571D2">
        <w:rPr>
          <w:rFonts w:ascii="Times New Roman" w:hAnsi="Times New Roman" w:cs="Times New Roman"/>
          <w:sz w:val="24"/>
          <w:szCs w:val="24"/>
        </w:rPr>
        <w:t xml:space="preserve">capital costs associated with </w:t>
      </w:r>
      <w:r w:rsidR="00E21CDB">
        <w:rPr>
          <w:rFonts w:ascii="Times New Roman" w:hAnsi="Times New Roman" w:cs="Times New Roman"/>
          <w:sz w:val="24"/>
          <w:szCs w:val="24"/>
        </w:rPr>
        <w:t>future storms</w:t>
      </w:r>
      <w:r w:rsidR="00D0141C" w:rsidRPr="00B15C21">
        <w:rPr>
          <w:rFonts w:ascii="Times New Roman" w:hAnsi="Times New Roman" w:cs="Times New Roman"/>
          <w:sz w:val="24"/>
          <w:szCs w:val="24"/>
        </w:rPr>
        <w:t>.</w:t>
      </w:r>
      <w:r w:rsidR="009368D9" w:rsidRPr="00B15C21">
        <w:rPr>
          <w:rStyle w:val="FootnoteReference"/>
          <w:rFonts w:ascii="Times New Roman" w:hAnsi="Times New Roman" w:cs="Times New Roman"/>
          <w:sz w:val="24"/>
          <w:szCs w:val="24"/>
        </w:rPr>
        <w:footnoteReference w:id="33"/>
      </w:r>
      <w:r w:rsidR="00D0141C" w:rsidRPr="00B15C21">
        <w:rPr>
          <w:rFonts w:ascii="Times New Roman" w:hAnsi="Times New Roman" w:cs="Times New Roman"/>
          <w:sz w:val="24"/>
          <w:szCs w:val="24"/>
        </w:rPr>
        <w:t xml:space="preserve"> </w:t>
      </w:r>
      <w:r w:rsidR="005944D5" w:rsidRPr="00B15C21">
        <w:rPr>
          <w:rFonts w:ascii="Times New Roman" w:hAnsi="Times New Roman" w:cs="Times New Roman"/>
          <w:sz w:val="24"/>
          <w:szCs w:val="24"/>
        </w:rPr>
        <w:t xml:space="preserve"> </w:t>
      </w:r>
    </w:p>
    <w:p w14:paraId="63621B4A" w14:textId="164030C6" w:rsidR="00E9289A" w:rsidRDefault="005944D5" w:rsidP="0080211A">
      <w:pPr>
        <w:spacing w:after="0" w:line="480" w:lineRule="auto"/>
        <w:ind w:firstLine="720"/>
        <w:rPr>
          <w:rFonts w:ascii="Times New Roman" w:hAnsi="Times New Roman" w:cs="Times New Roman"/>
          <w:sz w:val="24"/>
          <w:szCs w:val="24"/>
        </w:rPr>
      </w:pPr>
      <w:r w:rsidRPr="00B15C21">
        <w:rPr>
          <w:rFonts w:ascii="Times New Roman" w:hAnsi="Times New Roman" w:cs="Times New Roman"/>
          <w:sz w:val="24"/>
          <w:szCs w:val="24"/>
        </w:rPr>
        <w:t xml:space="preserve">Nothing in the </w:t>
      </w:r>
      <w:r w:rsidR="005169D0" w:rsidRPr="00B15C21">
        <w:rPr>
          <w:rFonts w:ascii="Times New Roman" w:hAnsi="Times New Roman" w:cs="Times New Roman"/>
          <w:sz w:val="24"/>
          <w:szCs w:val="24"/>
        </w:rPr>
        <w:t xml:space="preserve">Commission’s </w:t>
      </w:r>
      <w:r w:rsidRPr="00B15C21">
        <w:rPr>
          <w:rFonts w:ascii="Times New Roman" w:hAnsi="Times New Roman" w:cs="Times New Roman"/>
          <w:sz w:val="24"/>
          <w:szCs w:val="24"/>
        </w:rPr>
        <w:t>F</w:t>
      </w:r>
      <w:r w:rsidR="001931CF">
        <w:rPr>
          <w:rFonts w:ascii="Times New Roman" w:hAnsi="Times New Roman" w:cs="Times New Roman"/>
          <w:sz w:val="24"/>
          <w:szCs w:val="24"/>
        </w:rPr>
        <w:t>inding</w:t>
      </w:r>
      <w:r w:rsidR="00F210C2">
        <w:rPr>
          <w:rFonts w:ascii="Times New Roman" w:hAnsi="Times New Roman" w:cs="Times New Roman"/>
          <w:sz w:val="24"/>
          <w:szCs w:val="24"/>
        </w:rPr>
        <w:t>s</w:t>
      </w:r>
      <w:r w:rsidR="001931CF">
        <w:rPr>
          <w:rFonts w:ascii="Times New Roman" w:hAnsi="Times New Roman" w:cs="Times New Roman"/>
          <w:sz w:val="24"/>
          <w:szCs w:val="24"/>
        </w:rPr>
        <w:t xml:space="preserve"> and </w:t>
      </w:r>
      <w:r w:rsidR="00621534" w:rsidRPr="00B15C21">
        <w:rPr>
          <w:rFonts w:ascii="Times New Roman" w:hAnsi="Times New Roman" w:cs="Times New Roman"/>
          <w:sz w:val="24"/>
          <w:szCs w:val="24"/>
        </w:rPr>
        <w:t>O</w:t>
      </w:r>
      <w:r w:rsidR="001931CF">
        <w:rPr>
          <w:rFonts w:ascii="Times New Roman" w:hAnsi="Times New Roman" w:cs="Times New Roman"/>
          <w:sz w:val="24"/>
          <w:szCs w:val="24"/>
        </w:rPr>
        <w:t>rder</w:t>
      </w:r>
      <w:r w:rsidR="00F210C2">
        <w:rPr>
          <w:rFonts w:ascii="Times New Roman" w:hAnsi="Times New Roman" w:cs="Times New Roman"/>
          <w:sz w:val="24"/>
          <w:szCs w:val="24"/>
        </w:rPr>
        <w:t>s</w:t>
      </w:r>
      <w:r w:rsidRPr="00B15C21">
        <w:rPr>
          <w:rFonts w:ascii="Times New Roman" w:hAnsi="Times New Roman" w:cs="Times New Roman"/>
          <w:sz w:val="24"/>
          <w:szCs w:val="24"/>
        </w:rPr>
        <w:t xml:space="preserve"> in Case Nos. 08-1332-EL-AAM </w:t>
      </w:r>
      <w:r w:rsidR="008150F9">
        <w:rPr>
          <w:rFonts w:ascii="Times New Roman" w:hAnsi="Times New Roman" w:cs="Times New Roman"/>
          <w:sz w:val="24"/>
          <w:szCs w:val="24"/>
        </w:rPr>
        <w:t>(for Hurrican</w:t>
      </w:r>
      <w:r w:rsidR="005C2814">
        <w:rPr>
          <w:rFonts w:ascii="Times New Roman" w:hAnsi="Times New Roman" w:cs="Times New Roman"/>
          <w:sz w:val="24"/>
          <w:szCs w:val="24"/>
        </w:rPr>
        <w:t>e</w:t>
      </w:r>
      <w:r w:rsidR="008150F9">
        <w:rPr>
          <w:rFonts w:ascii="Times New Roman" w:hAnsi="Times New Roman" w:cs="Times New Roman"/>
          <w:sz w:val="24"/>
          <w:szCs w:val="24"/>
        </w:rPr>
        <w:t xml:space="preserve"> Ike) </w:t>
      </w:r>
      <w:r w:rsidR="00621534" w:rsidRPr="00B15C21">
        <w:rPr>
          <w:rFonts w:ascii="Times New Roman" w:hAnsi="Times New Roman" w:cs="Times New Roman"/>
          <w:sz w:val="24"/>
          <w:szCs w:val="24"/>
        </w:rPr>
        <w:t>or</w:t>
      </w:r>
      <w:r w:rsidRPr="00B15C21">
        <w:rPr>
          <w:rFonts w:ascii="Times New Roman" w:hAnsi="Times New Roman" w:cs="Times New Roman"/>
          <w:sz w:val="24"/>
          <w:szCs w:val="24"/>
        </w:rPr>
        <w:t xml:space="preserve"> 12-2281-EL-AAM </w:t>
      </w:r>
      <w:r w:rsidR="008150F9">
        <w:rPr>
          <w:rFonts w:ascii="Times New Roman" w:hAnsi="Times New Roman" w:cs="Times New Roman"/>
          <w:sz w:val="24"/>
          <w:szCs w:val="24"/>
        </w:rPr>
        <w:t xml:space="preserve">(for the 2012 Derecho storm) </w:t>
      </w:r>
      <w:r w:rsidR="006A1131">
        <w:rPr>
          <w:rFonts w:ascii="Times New Roman" w:hAnsi="Times New Roman" w:cs="Times New Roman"/>
          <w:sz w:val="24"/>
          <w:szCs w:val="24"/>
        </w:rPr>
        <w:t>authorizes</w:t>
      </w:r>
      <w:r w:rsidR="00A55BDB">
        <w:rPr>
          <w:rFonts w:ascii="Times New Roman" w:hAnsi="Times New Roman" w:cs="Times New Roman"/>
          <w:sz w:val="24"/>
          <w:szCs w:val="24"/>
        </w:rPr>
        <w:t xml:space="preserve"> DP&amp;L to</w:t>
      </w:r>
      <w:r w:rsidRPr="00B15C21">
        <w:rPr>
          <w:rFonts w:ascii="Times New Roman" w:hAnsi="Times New Roman" w:cs="Times New Roman"/>
          <w:sz w:val="24"/>
          <w:szCs w:val="24"/>
        </w:rPr>
        <w:t xml:space="preserve"> </w:t>
      </w:r>
      <w:r w:rsidR="008150F9">
        <w:rPr>
          <w:rFonts w:ascii="Times New Roman" w:hAnsi="Times New Roman" w:cs="Times New Roman"/>
          <w:sz w:val="24"/>
          <w:szCs w:val="24"/>
        </w:rPr>
        <w:t xml:space="preserve">defer or </w:t>
      </w:r>
      <w:r w:rsidRPr="00B15C21">
        <w:rPr>
          <w:rFonts w:ascii="Times New Roman" w:hAnsi="Times New Roman" w:cs="Times New Roman"/>
          <w:sz w:val="24"/>
          <w:szCs w:val="24"/>
        </w:rPr>
        <w:t>recover capital costs</w:t>
      </w:r>
      <w:r w:rsidR="007C728E" w:rsidRPr="00B15C21">
        <w:rPr>
          <w:rFonts w:ascii="Times New Roman" w:hAnsi="Times New Roman" w:cs="Times New Roman"/>
          <w:sz w:val="24"/>
          <w:szCs w:val="24"/>
        </w:rPr>
        <w:t xml:space="preserve"> </w:t>
      </w:r>
      <w:r w:rsidR="00A55BDB">
        <w:rPr>
          <w:rFonts w:ascii="Times New Roman" w:hAnsi="Times New Roman" w:cs="Times New Roman"/>
          <w:sz w:val="24"/>
          <w:szCs w:val="24"/>
        </w:rPr>
        <w:t xml:space="preserve">related to </w:t>
      </w:r>
      <w:r w:rsidR="00E21CDB">
        <w:rPr>
          <w:rFonts w:ascii="Times New Roman" w:hAnsi="Times New Roman" w:cs="Times New Roman"/>
          <w:sz w:val="24"/>
          <w:szCs w:val="24"/>
        </w:rPr>
        <w:t xml:space="preserve">service </w:t>
      </w:r>
      <w:r w:rsidR="00A55BDB">
        <w:rPr>
          <w:rFonts w:ascii="Times New Roman" w:hAnsi="Times New Roman" w:cs="Times New Roman"/>
          <w:sz w:val="24"/>
          <w:szCs w:val="24"/>
        </w:rPr>
        <w:t>restorations</w:t>
      </w:r>
      <w:r w:rsidR="00E21CDB">
        <w:rPr>
          <w:rFonts w:ascii="Times New Roman" w:hAnsi="Times New Roman" w:cs="Times New Roman"/>
          <w:sz w:val="24"/>
          <w:szCs w:val="24"/>
        </w:rPr>
        <w:t xml:space="preserve"> due to storms</w:t>
      </w:r>
      <w:r w:rsidR="0001059D">
        <w:rPr>
          <w:rFonts w:ascii="Times New Roman" w:hAnsi="Times New Roman" w:cs="Times New Roman"/>
          <w:sz w:val="24"/>
          <w:szCs w:val="24"/>
        </w:rPr>
        <w:t>. And recent PUCO precedent shows that</w:t>
      </w:r>
      <w:r w:rsidR="00016480">
        <w:rPr>
          <w:rFonts w:ascii="Times New Roman" w:hAnsi="Times New Roman" w:cs="Times New Roman"/>
          <w:sz w:val="24"/>
          <w:szCs w:val="24"/>
        </w:rPr>
        <w:t xml:space="preserve"> generally</w:t>
      </w:r>
      <w:r w:rsidR="0001059D">
        <w:rPr>
          <w:rFonts w:ascii="Times New Roman" w:hAnsi="Times New Roman" w:cs="Times New Roman"/>
          <w:sz w:val="24"/>
          <w:szCs w:val="24"/>
        </w:rPr>
        <w:t xml:space="preserve">, in </w:t>
      </w:r>
      <w:r w:rsidR="00DD3BEB">
        <w:rPr>
          <w:rFonts w:ascii="Times New Roman" w:hAnsi="Times New Roman" w:cs="Times New Roman"/>
          <w:sz w:val="24"/>
          <w:szCs w:val="24"/>
        </w:rPr>
        <w:t xml:space="preserve">regard to </w:t>
      </w:r>
      <w:r w:rsidR="0001059D">
        <w:rPr>
          <w:rFonts w:ascii="Times New Roman" w:hAnsi="Times New Roman" w:cs="Times New Roman"/>
          <w:sz w:val="24"/>
          <w:szCs w:val="24"/>
        </w:rPr>
        <w:t>storm cost deferral</w:t>
      </w:r>
      <w:r w:rsidR="00DD3BEB">
        <w:rPr>
          <w:rFonts w:ascii="Times New Roman" w:hAnsi="Times New Roman" w:cs="Times New Roman"/>
          <w:sz w:val="24"/>
          <w:szCs w:val="24"/>
        </w:rPr>
        <w:t>s</w:t>
      </w:r>
      <w:r w:rsidR="0001059D">
        <w:rPr>
          <w:rFonts w:ascii="Times New Roman" w:hAnsi="Times New Roman" w:cs="Times New Roman"/>
          <w:sz w:val="24"/>
          <w:szCs w:val="24"/>
        </w:rPr>
        <w:t xml:space="preserve"> and</w:t>
      </w:r>
      <w:r w:rsidR="00AE00EB">
        <w:rPr>
          <w:rFonts w:ascii="Times New Roman" w:hAnsi="Times New Roman" w:cs="Times New Roman"/>
          <w:sz w:val="24"/>
          <w:szCs w:val="24"/>
        </w:rPr>
        <w:t xml:space="preserve"> storm cost</w:t>
      </w:r>
      <w:r w:rsidR="0001059D">
        <w:rPr>
          <w:rFonts w:ascii="Times New Roman" w:hAnsi="Times New Roman" w:cs="Times New Roman"/>
          <w:sz w:val="24"/>
          <w:szCs w:val="24"/>
        </w:rPr>
        <w:t xml:space="preserve"> rider</w:t>
      </w:r>
      <w:r w:rsidR="00DD3BEB">
        <w:rPr>
          <w:rFonts w:ascii="Times New Roman" w:hAnsi="Times New Roman" w:cs="Times New Roman"/>
          <w:sz w:val="24"/>
          <w:szCs w:val="24"/>
        </w:rPr>
        <w:t>s</w:t>
      </w:r>
      <w:r w:rsidR="0001059D">
        <w:rPr>
          <w:rFonts w:ascii="Times New Roman" w:hAnsi="Times New Roman" w:cs="Times New Roman"/>
          <w:sz w:val="24"/>
          <w:szCs w:val="24"/>
        </w:rPr>
        <w:t>, the PUCO has</w:t>
      </w:r>
      <w:r w:rsidR="00016480">
        <w:rPr>
          <w:rFonts w:ascii="Times New Roman" w:hAnsi="Times New Roman" w:cs="Times New Roman"/>
          <w:sz w:val="24"/>
          <w:szCs w:val="24"/>
        </w:rPr>
        <w:t xml:space="preserve"> </w:t>
      </w:r>
      <w:r w:rsidR="00AE00EB">
        <w:rPr>
          <w:rFonts w:ascii="Times New Roman" w:hAnsi="Times New Roman" w:cs="Times New Roman"/>
          <w:sz w:val="24"/>
          <w:szCs w:val="24"/>
        </w:rPr>
        <w:t>authorized them for</w:t>
      </w:r>
      <w:r w:rsidR="0001059D">
        <w:rPr>
          <w:rFonts w:ascii="Times New Roman" w:hAnsi="Times New Roman" w:cs="Times New Roman"/>
          <w:sz w:val="24"/>
          <w:szCs w:val="24"/>
        </w:rPr>
        <w:t xml:space="preserve"> O&amp;M expenses, not capital costs.</w:t>
      </w:r>
      <w:r w:rsidR="0001059D">
        <w:rPr>
          <w:rStyle w:val="FootnoteReference"/>
          <w:rFonts w:ascii="Times New Roman" w:hAnsi="Times New Roman" w:cs="Times New Roman"/>
          <w:sz w:val="24"/>
          <w:szCs w:val="24"/>
        </w:rPr>
        <w:footnoteReference w:id="34"/>
      </w:r>
      <w:r w:rsidR="00F36D74" w:rsidRPr="00B15C21">
        <w:rPr>
          <w:rFonts w:ascii="Times New Roman" w:hAnsi="Times New Roman" w:cs="Times New Roman"/>
          <w:sz w:val="24"/>
          <w:szCs w:val="24"/>
        </w:rPr>
        <w:t xml:space="preserve"> </w:t>
      </w:r>
    </w:p>
    <w:p w14:paraId="45BDC903" w14:textId="2F4E2AF5" w:rsidR="0087298E" w:rsidRPr="00B15C21" w:rsidRDefault="00E9289A" w:rsidP="00D0141C">
      <w:pPr>
        <w:spacing w:line="480" w:lineRule="auto"/>
        <w:ind w:firstLine="720"/>
        <w:rPr>
          <w:rFonts w:ascii="Times New Roman" w:hAnsi="Times New Roman" w:cs="Times New Roman"/>
          <w:sz w:val="24"/>
          <w:szCs w:val="24"/>
        </w:rPr>
      </w:pPr>
      <w:r>
        <w:rPr>
          <w:rFonts w:ascii="Times New Roman" w:hAnsi="Times New Roman" w:cs="Times New Roman"/>
          <w:sz w:val="24"/>
          <w:szCs w:val="24"/>
        </w:rPr>
        <w:t>Instead,</w:t>
      </w:r>
      <w:r w:rsidR="007D0838" w:rsidRPr="00B15C21">
        <w:rPr>
          <w:rFonts w:ascii="Times New Roman" w:hAnsi="Times New Roman" w:cs="Times New Roman"/>
          <w:sz w:val="24"/>
          <w:szCs w:val="24"/>
        </w:rPr>
        <w:t xml:space="preserve"> the </w:t>
      </w:r>
      <w:r w:rsidR="001931CF">
        <w:rPr>
          <w:rFonts w:ascii="Times New Roman" w:hAnsi="Times New Roman" w:cs="Times New Roman"/>
          <w:sz w:val="24"/>
          <w:szCs w:val="24"/>
        </w:rPr>
        <w:t>Utilit</w:t>
      </w:r>
      <w:r w:rsidR="007D0838" w:rsidRPr="00B15C21">
        <w:rPr>
          <w:rFonts w:ascii="Times New Roman" w:hAnsi="Times New Roman" w:cs="Times New Roman"/>
          <w:sz w:val="24"/>
          <w:szCs w:val="24"/>
        </w:rPr>
        <w:t xml:space="preserve">y </w:t>
      </w:r>
      <w:r w:rsidR="00780B9B">
        <w:rPr>
          <w:rFonts w:ascii="Times New Roman" w:hAnsi="Times New Roman" w:cs="Times New Roman"/>
          <w:sz w:val="24"/>
          <w:szCs w:val="24"/>
        </w:rPr>
        <w:t>c</w:t>
      </w:r>
      <w:r w:rsidR="007D0838" w:rsidRPr="00B15C21">
        <w:rPr>
          <w:rFonts w:ascii="Times New Roman" w:hAnsi="Times New Roman" w:cs="Times New Roman"/>
          <w:sz w:val="24"/>
          <w:szCs w:val="24"/>
        </w:rPr>
        <w:t>ould seek capital plant cost recovery</w:t>
      </w:r>
      <w:r w:rsidR="00780B9B">
        <w:rPr>
          <w:rFonts w:ascii="Times New Roman" w:hAnsi="Times New Roman" w:cs="Times New Roman"/>
          <w:sz w:val="24"/>
          <w:szCs w:val="24"/>
        </w:rPr>
        <w:t xml:space="preserve"> from its customers</w:t>
      </w:r>
      <w:r w:rsidR="00B55774">
        <w:rPr>
          <w:rFonts w:ascii="Times New Roman" w:hAnsi="Times New Roman" w:cs="Times New Roman"/>
          <w:sz w:val="24"/>
          <w:szCs w:val="24"/>
        </w:rPr>
        <w:t xml:space="preserve"> through the traditional distribution rate case process</w:t>
      </w:r>
      <w:r w:rsidR="007D0838" w:rsidRPr="00B15C21">
        <w:rPr>
          <w:rFonts w:ascii="Times New Roman" w:hAnsi="Times New Roman" w:cs="Times New Roman"/>
          <w:sz w:val="24"/>
          <w:szCs w:val="24"/>
        </w:rPr>
        <w:t>.</w:t>
      </w:r>
      <w:r w:rsidR="00563C61" w:rsidRPr="00B15C21">
        <w:rPr>
          <w:rFonts w:ascii="Times New Roman" w:hAnsi="Times New Roman" w:cs="Times New Roman"/>
          <w:sz w:val="24"/>
          <w:szCs w:val="24"/>
        </w:rPr>
        <w:t xml:space="preserve">  </w:t>
      </w:r>
      <w:r w:rsidR="00780B9B">
        <w:rPr>
          <w:rFonts w:ascii="Times New Roman" w:hAnsi="Times New Roman" w:cs="Times New Roman"/>
          <w:sz w:val="24"/>
          <w:szCs w:val="24"/>
        </w:rPr>
        <w:t xml:space="preserve">As </w:t>
      </w:r>
      <w:r w:rsidRPr="00B15C21">
        <w:rPr>
          <w:rFonts w:ascii="Times New Roman" w:hAnsi="Times New Roman" w:cs="Times New Roman"/>
          <w:sz w:val="24"/>
          <w:szCs w:val="24"/>
        </w:rPr>
        <w:t>of December 31, 2012, DP&amp;L’s distribution rates are no longer frozen</w:t>
      </w:r>
      <w:r w:rsidR="00150EB5">
        <w:rPr>
          <w:rFonts w:ascii="Times New Roman" w:hAnsi="Times New Roman" w:cs="Times New Roman"/>
          <w:sz w:val="24"/>
          <w:szCs w:val="24"/>
        </w:rPr>
        <w:t>.</w:t>
      </w:r>
      <w:r w:rsidRPr="00B15C21">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w:t>
      </w:r>
      <w:r w:rsidR="00150EB5">
        <w:rPr>
          <w:rFonts w:ascii="Times New Roman" w:hAnsi="Times New Roman" w:cs="Times New Roman"/>
          <w:sz w:val="24"/>
          <w:szCs w:val="24"/>
        </w:rPr>
        <w:t xml:space="preserve">And in the ESP II proceeding, </w:t>
      </w:r>
      <w:r w:rsidR="00E92B7E" w:rsidRPr="00B15C21">
        <w:rPr>
          <w:rFonts w:ascii="Times New Roman" w:hAnsi="Times New Roman" w:cs="Times New Roman"/>
          <w:sz w:val="24"/>
          <w:szCs w:val="24"/>
        </w:rPr>
        <w:t xml:space="preserve">PUCO </w:t>
      </w:r>
      <w:r w:rsidR="00A253F4" w:rsidRPr="00B15C21">
        <w:rPr>
          <w:rFonts w:ascii="Times New Roman" w:hAnsi="Times New Roman" w:cs="Times New Roman"/>
          <w:sz w:val="24"/>
          <w:szCs w:val="24"/>
        </w:rPr>
        <w:t xml:space="preserve">Staff </w:t>
      </w:r>
      <w:r w:rsidR="00E92B7E" w:rsidRPr="00B15C21">
        <w:rPr>
          <w:rFonts w:ascii="Times New Roman" w:hAnsi="Times New Roman" w:cs="Times New Roman"/>
          <w:sz w:val="24"/>
          <w:szCs w:val="24"/>
        </w:rPr>
        <w:t>W</w:t>
      </w:r>
      <w:r w:rsidR="00A253F4" w:rsidRPr="00B15C21">
        <w:rPr>
          <w:rFonts w:ascii="Times New Roman" w:hAnsi="Times New Roman" w:cs="Times New Roman"/>
          <w:sz w:val="24"/>
          <w:szCs w:val="24"/>
        </w:rPr>
        <w:t xml:space="preserve">itness Mr. Lipthratt </w:t>
      </w:r>
      <w:r w:rsidR="00D02A13">
        <w:rPr>
          <w:rFonts w:ascii="Times New Roman" w:hAnsi="Times New Roman" w:cs="Times New Roman"/>
          <w:sz w:val="24"/>
          <w:szCs w:val="24"/>
        </w:rPr>
        <w:t>specifically</w:t>
      </w:r>
      <w:r w:rsidR="00D02A13" w:rsidRPr="00B15C21">
        <w:rPr>
          <w:rFonts w:ascii="Times New Roman" w:hAnsi="Times New Roman" w:cs="Times New Roman"/>
          <w:sz w:val="24"/>
          <w:szCs w:val="24"/>
        </w:rPr>
        <w:t xml:space="preserve"> </w:t>
      </w:r>
      <w:r w:rsidR="00182CDC" w:rsidRPr="00B15C21">
        <w:rPr>
          <w:rFonts w:ascii="Times New Roman" w:hAnsi="Times New Roman" w:cs="Times New Roman"/>
          <w:sz w:val="24"/>
          <w:szCs w:val="24"/>
        </w:rPr>
        <w:t>recommend</w:t>
      </w:r>
      <w:r w:rsidR="0082744E" w:rsidRPr="00B15C21">
        <w:rPr>
          <w:rFonts w:ascii="Times New Roman" w:hAnsi="Times New Roman" w:cs="Times New Roman"/>
          <w:sz w:val="24"/>
          <w:szCs w:val="24"/>
        </w:rPr>
        <w:t>ed</w:t>
      </w:r>
      <w:r w:rsidR="00D02A13">
        <w:rPr>
          <w:rFonts w:ascii="Times New Roman" w:hAnsi="Times New Roman" w:cs="Times New Roman"/>
          <w:sz w:val="24"/>
          <w:szCs w:val="24"/>
        </w:rPr>
        <w:t xml:space="preserve"> that</w:t>
      </w:r>
      <w:r w:rsidR="00182CDC" w:rsidRPr="00B15C21">
        <w:rPr>
          <w:rFonts w:ascii="Times New Roman" w:hAnsi="Times New Roman" w:cs="Times New Roman"/>
          <w:sz w:val="24"/>
          <w:szCs w:val="24"/>
        </w:rPr>
        <w:t xml:space="preserve"> </w:t>
      </w:r>
      <w:r w:rsidR="0082779C" w:rsidRPr="00B15C21">
        <w:rPr>
          <w:rFonts w:ascii="Times New Roman" w:hAnsi="Times New Roman" w:cs="Times New Roman"/>
          <w:sz w:val="24"/>
          <w:szCs w:val="24"/>
        </w:rPr>
        <w:t xml:space="preserve">capital </w:t>
      </w:r>
      <w:r w:rsidR="00004749" w:rsidRPr="00B15C21">
        <w:rPr>
          <w:rFonts w:ascii="Times New Roman" w:hAnsi="Times New Roman" w:cs="Times New Roman"/>
          <w:sz w:val="24"/>
          <w:szCs w:val="24"/>
        </w:rPr>
        <w:t xml:space="preserve">costs </w:t>
      </w:r>
      <w:r w:rsidR="0082779C" w:rsidRPr="00B15C21">
        <w:rPr>
          <w:rFonts w:ascii="Times New Roman" w:hAnsi="Times New Roman" w:cs="Times New Roman"/>
          <w:sz w:val="24"/>
          <w:szCs w:val="24"/>
        </w:rPr>
        <w:t xml:space="preserve">related to major storm damage to the </w:t>
      </w:r>
      <w:r w:rsidR="00D02A13">
        <w:rPr>
          <w:rFonts w:ascii="Times New Roman" w:hAnsi="Times New Roman" w:cs="Times New Roman"/>
          <w:sz w:val="24"/>
          <w:szCs w:val="24"/>
        </w:rPr>
        <w:t>Utility’s</w:t>
      </w:r>
      <w:r w:rsidR="00D02A13" w:rsidRPr="00B15C21">
        <w:rPr>
          <w:rFonts w:ascii="Times New Roman" w:hAnsi="Times New Roman" w:cs="Times New Roman"/>
          <w:sz w:val="24"/>
          <w:szCs w:val="24"/>
        </w:rPr>
        <w:t xml:space="preserve"> </w:t>
      </w:r>
      <w:r w:rsidR="0082779C" w:rsidRPr="00B15C21">
        <w:rPr>
          <w:rFonts w:ascii="Times New Roman" w:hAnsi="Times New Roman" w:cs="Times New Roman"/>
          <w:sz w:val="24"/>
          <w:szCs w:val="24"/>
        </w:rPr>
        <w:t xml:space="preserve">electric distribution system </w:t>
      </w:r>
      <w:r w:rsidR="00231D26">
        <w:rPr>
          <w:rFonts w:ascii="Times New Roman" w:hAnsi="Times New Roman" w:cs="Times New Roman"/>
          <w:sz w:val="24"/>
          <w:szCs w:val="24"/>
        </w:rPr>
        <w:t xml:space="preserve">be addressed </w:t>
      </w:r>
      <w:r w:rsidR="0082779C" w:rsidRPr="00B15C21">
        <w:rPr>
          <w:rFonts w:ascii="Times New Roman" w:hAnsi="Times New Roman" w:cs="Times New Roman"/>
          <w:sz w:val="24"/>
          <w:szCs w:val="24"/>
        </w:rPr>
        <w:t xml:space="preserve">in a </w:t>
      </w:r>
      <w:r w:rsidR="00231D26">
        <w:rPr>
          <w:rFonts w:ascii="Times New Roman" w:hAnsi="Times New Roman" w:cs="Times New Roman"/>
          <w:sz w:val="24"/>
          <w:szCs w:val="24"/>
        </w:rPr>
        <w:t xml:space="preserve">future distribution </w:t>
      </w:r>
      <w:r w:rsidR="0082779C" w:rsidRPr="00B15C21">
        <w:rPr>
          <w:rFonts w:ascii="Times New Roman" w:hAnsi="Times New Roman" w:cs="Times New Roman"/>
          <w:sz w:val="24"/>
          <w:szCs w:val="24"/>
        </w:rPr>
        <w:t>rate pr</w:t>
      </w:r>
      <w:r w:rsidR="00FA6155" w:rsidRPr="00B15C21">
        <w:rPr>
          <w:rFonts w:ascii="Times New Roman" w:hAnsi="Times New Roman" w:cs="Times New Roman"/>
          <w:sz w:val="24"/>
          <w:szCs w:val="24"/>
        </w:rPr>
        <w:t>o</w:t>
      </w:r>
      <w:r w:rsidR="0082779C" w:rsidRPr="00B15C21">
        <w:rPr>
          <w:rFonts w:ascii="Times New Roman" w:hAnsi="Times New Roman" w:cs="Times New Roman"/>
          <w:sz w:val="24"/>
          <w:szCs w:val="24"/>
        </w:rPr>
        <w:t>ceeding.</w:t>
      </w:r>
      <w:r w:rsidR="00C00CD3" w:rsidRPr="00B15C21">
        <w:rPr>
          <w:rStyle w:val="FootnoteReference"/>
          <w:rFonts w:ascii="Times New Roman" w:hAnsi="Times New Roman" w:cs="Times New Roman"/>
          <w:sz w:val="24"/>
          <w:szCs w:val="24"/>
        </w:rPr>
        <w:footnoteReference w:id="36"/>
      </w:r>
      <w:r w:rsidR="00150EB5">
        <w:rPr>
          <w:rFonts w:ascii="Times New Roman" w:hAnsi="Times New Roman" w:cs="Times New Roman"/>
          <w:sz w:val="24"/>
          <w:szCs w:val="24"/>
        </w:rPr>
        <w:t xml:space="preserve"> For these reasons, </w:t>
      </w:r>
      <w:r w:rsidR="00150EB5" w:rsidRPr="00B15C21">
        <w:rPr>
          <w:rFonts w:ascii="Times New Roman" w:hAnsi="Times New Roman" w:cs="Times New Roman"/>
          <w:sz w:val="24"/>
          <w:szCs w:val="24"/>
        </w:rPr>
        <w:t xml:space="preserve">the </w:t>
      </w:r>
      <w:r w:rsidR="008C0ECC">
        <w:rPr>
          <w:rFonts w:ascii="Times New Roman" w:hAnsi="Times New Roman" w:cs="Times New Roman"/>
          <w:sz w:val="24"/>
          <w:szCs w:val="24"/>
        </w:rPr>
        <w:t xml:space="preserve">PUCO </w:t>
      </w:r>
      <w:r w:rsidR="00150EB5">
        <w:rPr>
          <w:rFonts w:ascii="Times New Roman" w:hAnsi="Times New Roman" w:cs="Times New Roman"/>
          <w:sz w:val="24"/>
          <w:szCs w:val="24"/>
        </w:rPr>
        <w:t xml:space="preserve">should deny DP&amp;L’s request that its customers pay for </w:t>
      </w:r>
      <w:r w:rsidR="00150EB5" w:rsidRPr="00B15C21">
        <w:rPr>
          <w:rFonts w:ascii="Times New Roman" w:hAnsi="Times New Roman" w:cs="Times New Roman"/>
          <w:sz w:val="24"/>
          <w:szCs w:val="24"/>
        </w:rPr>
        <w:t>capital revenue requirements</w:t>
      </w:r>
      <w:r w:rsidR="00150EB5">
        <w:rPr>
          <w:rFonts w:ascii="Times New Roman" w:hAnsi="Times New Roman" w:cs="Times New Roman"/>
          <w:sz w:val="24"/>
          <w:szCs w:val="24"/>
        </w:rPr>
        <w:t xml:space="preserve"> </w:t>
      </w:r>
      <w:r w:rsidR="00231D26">
        <w:rPr>
          <w:rFonts w:ascii="Times New Roman" w:hAnsi="Times New Roman" w:cs="Times New Roman"/>
          <w:sz w:val="24"/>
          <w:szCs w:val="24"/>
        </w:rPr>
        <w:t xml:space="preserve">related to storms </w:t>
      </w:r>
      <w:r w:rsidR="00150EB5">
        <w:rPr>
          <w:rFonts w:ascii="Times New Roman" w:hAnsi="Times New Roman" w:cs="Times New Roman"/>
          <w:sz w:val="24"/>
          <w:szCs w:val="24"/>
        </w:rPr>
        <w:t>in this proceeding</w:t>
      </w:r>
      <w:r w:rsidR="00150EB5" w:rsidRPr="00B15C21">
        <w:rPr>
          <w:rFonts w:ascii="Times New Roman" w:hAnsi="Times New Roman" w:cs="Times New Roman"/>
          <w:sz w:val="24"/>
          <w:szCs w:val="24"/>
        </w:rPr>
        <w:t xml:space="preserve">.  </w:t>
      </w:r>
    </w:p>
    <w:p w14:paraId="1CD55DD8" w14:textId="09F322BE" w:rsidR="00F64951" w:rsidRDefault="00025748" w:rsidP="0080211A">
      <w:pPr>
        <w:pStyle w:val="Heading2"/>
      </w:pPr>
      <w:bookmarkStart w:id="13" w:name="_Toc359248602"/>
      <w:r>
        <w:t>F</w:t>
      </w:r>
      <w:r w:rsidR="006F7244" w:rsidRPr="00B15C21">
        <w:t>.</w:t>
      </w:r>
      <w:r w:rsidR="006F7244" w:rsidRPr="00B15C21">
        <w:tab/>
      </w:r>
      <w:r w:rsidR="0087298E" w:rsidRPr="00B15C21">
        <w:t xml:space="preserve">DP&amp;L Should Not Be Allowed Deferral </w:t>
      </w:r>
      <w:r w:rsidR="0092158B">
        <w:t>o</w:t>
      </w:r>
      <w:r w:rsidR="0087298E" w:rsidRPr="00B15C21">
        <w:t xml:space="preserve">f 2011 Major </w:t>
      </w:r>
      <w:r w:rsidR="00FA7D7E" w:rsidRPr="00B15C21">
        <w:t>Incremental</w:t>
      </w:r>
      <w:r w:rsidR="00E74F89" w:rsidRPr="00B15C21">
        <w:t xml:space="preserve"> </w:t>
      </w:r>
      <w:r w:rsidR="0087298E" w:rsidRPr="00B15C21">
        <w:t xml:space="preserve">Storm </w:t>
      </w:r>
      <w:r w:rsidR="00282066" w:rsidRPr="00B15C21">
        <w:t>O</w:t>
      </w:r>
      <w:r w:rsidR="00282066">
        <w:t>peration and Maintenance</w:t>
      </w:r>
      <w:r w:rsidR="00282066" w:rsidRPr="00B15C21">
        <w:t xml:space="preserve"> </w:t>
      </w:r>
      <w:r w:rsidR="0087298E" w:rsidRPr="00B15C21">
        <w:t>Expenditures</w:t>
      </w:r>
      <w:r w:rsidR="00DB70ED">
        <w:t>, and Customers Should Not Be At Risk for Paying Such Costs</w:t>
      </w:r>
      <w:r w:rsidR="0087298E" w:rsidRPr="00B15C21">
        <w:t>.</w:t>
      </w:r>
      <w:bookmarkEnd w:id="13"/>
    </w:p>
    <w:p w14:paraId="407DF492" w14:textId="5C345FE6" w:rsidR="006C257B" w:rsidRPr="00C47A08" w:rsidRDefault="0080211A" w:rsidP="0080211A">
      <w:pPr>
        <w:pStyle w:val="Heading3"/>
      </w:pPr>
      <w:bookmarkStart w:id="14" w:name="_Toc359248603"/>
      <w:r>
        <w:t>1.</w:t>
      </w:r>
      <w:r>
        <w:tab/>
      </w:r>
      <w:r w:rsidR="006C257B" w:rsidRPr="00C47A08">
        <w:t>DP&amp;L</w:t>
      </w:r>
      <w:r w:rsidR="00DC2839">
        <w:t>’s</w:t>
      </w:r>
      <w:r w:rsidR="006C257B" w:rsidRPr="00C47A08">
        <w:t xml:space="preserve"> </w:t>
      </w:r>
      <w:r w:rsidR="00821B1E">
        <w:t>request to defer</w:t>
      </w:r>
      <w:r w:rsidR="006C257B" w:rsidRPr="00C47A08">
        <w:t xml:space="preserve"> 2011 major incremental storm </w:t>
      </w:r>
      <w:r w:rsidR="00282066" w:rsidRPr="0080211A">
        <w:t>Operation and Maintenance</w:t>
      </w:r>
      <w:r w:rsidR="00282066" w:rsidRPr="00C47A08">
        <w:t xml:space="preserve"> </w:t>
      </w:r>
      <w:r w:rsidR="006C257B" w:rsidRPr="00C47A08">
        <w:t>expenses</w:t>
      </w:r>
      <w:r w:rsidR="00821B1E">
        <w:t xml:space="preserve"> is untimely</w:t>
      </w:r>
      <w:r w:rsidR="006C257B" w:rsidRPr="00C47A08">
        <w:t>.</w:t>
      </w:r>
      <w:bookmarkEnd w:id="14"/>
    </w:p>
    <w:p w14:paraId="3B1C5B5B" w14:textId="64D2BFCF" w:rsidR="006C257B" w:rsidRDefault="006C257B" w:rsidP="006C257B">
      <w:pPr>
        <w:pStyle w:val="BodyTextIndent3"/>
        <w:widowControl w:val="0"/>
        <w:spacing w:line="480" w:lineRule="auto"/>
        <w:ind w:right="-24"/>
      </w:pPr>
      <w:r>
        <w:t xml:space="preserve">The </w:t>
      </w:r>
      <w:r w:rsidR="008C0ECC">
        <w:t xml:space="preserve">PUCO </w:t>
      </w:r>
      <w:r>
        <w:t>should not permit DP&amp;L to defer the costs that are allegedly associated with the 2011 storms</w:t>
      </w:r>
      <w:r w:rsidR="009B489E">
        <w:t>,</w:t>
      </w:r>
      <w:r>
        <w:t xml:space="preserve"> because the Utility failed to timely file its request.  DP&amp;L stated that there were a number of storms that struck its service territory in 2011, the first of which took place on February 1, 2011, and the last of which took place on September 3, 2011.</w:t>
      </w:r>
      <w:r>
        <w:rPr>
          <w:rStyle w:val="FootnoteReference"/>
        </w:rPr>
        <w:footnoteReference w:id="37"/>
      </w:r>
      <w:r>
        <w:t xml:space="preserve">  At best, DP&amp;L waited nearly 15 months (at worst, 22 months) to seek permission to defer the costs associated with those storms.  Despite having an opportunity to review its 2011 accounting records, and time to prepare and reflect upon </w:t>
      </w:r>
      <w:r w:rsidR="008D6A00">
        <w:t>its</w:t>
      </w:r>
      <w:r>
        <w:t xml:space="preserve"> 2011 financial statements/financial performance, DP&amp;L inexplicably waited almost another calendar year before filing its application seeking authority to defer the 2011 storm costs.</w:t>
      </w:r>
    </w:p>
    <w:p w14:paraId="49E9957D" w14:textId="2B850E6C" w:rsidR="006C257B" w:rsidRDefault="006C257B" w:rsidP="006C257B">
      <w:pPr>
        <w:pStyle w:val="BodyTextIndent3"/>
        <w:widowControl w:val="0"/>
        <w:spacing w:line="480" w:lineRule="auto"/>
        <w:ind w:right="-24"/>
      </w:pPr>
      <w:r>
        <w:t xml:space="preserve">DP&amp;L’s decision not to timely seek deferral of the costs associated with the 2011 storms is particularly peculiar because of the immediacy with which the Utility pursued the costs associated with 2008 and 2012 storms.  The 2008 wind storms associated with Hurricane Ike struck Ohio on September 14, 2008.  In response, DP&amp;L filed an application </w:t>
      </w:r>
      <w:r w:rsidR="00061888">
        <w:t>requesting</w:t>
      </w:r>
      <w:r>
        <w:t xml:space="preserve"> accounting authority to defer as a regulatory asset the portion of its Operations and Maintenance expenses associated with restoring electric service 103 days later on December 26, 2008.</w:t>
      </w:r>
      <w:r>
        <w:rPr>
          <w:rStyle w:val="FootnoteReference"/>
        </w:rPr>
        <w:footnoteReference w:id="38"/>
      </w:r>
      <w:r>
        <w:t xml:space="preserve">  Similarly, after the June 29, 2012 </w:t>
      </w:r>
      <w:r w:rsidRPr="00433642">
        <w:t>derecho</w:t>
      </w:r>
      <w:r w:rsidRPr="00821B1E">
        <w:t xml:space="preserve"> </w:t>
      </w:r>
      <w:r>
        <w:t>that struck Ohio, DP&amp;L filed an application for authorization to defer costs only 42 days later on August 10, 2012.</w:t>
      </w:r>
      <w:r>
        <w:rPr>
          <w:rStyle w:val="FootnoteReference"/>
        </w:rPr>
        <w:footnoteReference w:id="39"/>
      </w:r>
      <w:r>
        <w:t xml:space="preserve">  Even at that time, DP&amp;L inexplicably chose not to include the costs of the 2011 storms with the 2012 </w:t>
      </w:r>
      <w:r w:rsidR="00821B1E">
        <w:t>a</w:t>
      </w:r>
      <w:r>
        <w:t xml:space="preserve">pplication.  Instead, DP&amp;L waited until late December 2012 to file the instant </w:t>
      </w:r>
      <w:r w:rsidR="00821B1E">
        <w:t>A</w:t>
      </w:r>
      <w:r>
        <w:t>pplication.</w:t>
      </w:r>
    </w:p>
    <w:p w14:paraId="2118B7AD" w14:textId="2A8712DD" w:rsidR="006C257B" w:rsidRDefault="006C257B" w:rsidP="006C257B">
      <w:pPr>
        <w:pStyle w:val="BodyTextIndent3"/>
        <w:widowControl w:val="0"/>
        <w:spacing w:line="480" w:lineRule="auto"/>
        <w:ind w:right="-24"/>
      </w:pPr>
      <w:r>
        <w:t xml:space="preserve">In a 2003 Ohio American Water Company (“OAW”) rate case, the </w:t>
      </w:r>
      <w:r w:rsidR="00821B1E">
        <w:t xml:space="preserve">PUCO </w:t>
      </w:r>
      <w:r>
        <w:t xml:space="preserve">Staff recognized the importance of timeliness for deferral requests when OAW sought deferral authority for post 9/11 security costs two years after the costs were incurred.  The </w:t>
      </w:r>
      <w:r w:rsidR="00821B1E">
        <w:t xml:space="preserve">PUCO </w:t>
      </w:r>
      <w:r>
        <w:t>Staff Report criticized the utility for a lack of timeliness:</w:t>
      </w:r>
    </w:p>
    <w:p w14:paraId="4C4B2477" w14:textId="77777777" w:rsidR="006C257B" w:rsidRDefault="006C257B" w:rsidP="0080211A">
      <w:pPr>
        <w:pStyle w:val="BodyTextIndent3"/>
        <w:widowControl w:val="0"/>
        <w:spacing w:line="240" w:lineRule="auto"/>
        <w:ind w:left="1440" w:right="720" w:firstLine="0"/>
      </w:pPr>
      <w:r>
        <w:t xml:space="preserve">The Staff and parties to the last base rate case (01-626-WW-AIR) accepted the Applicant’s estimated security costs of $50,000 as an on-going level of expenditures.  If the Applicant believed that </w:t>
      </w:r>
      <w:r w:rsidRPr="002250AF">
        <w:t xml:space="preserve">the </w:t>
      </w:r>
      <w:r w:rsidRPr="00A81370">
        <w:rPr>
          <w:b/>
        </w:rPr>
        <w:t xml:space="preserve">level of security costs included in the last case were insufficient, were of material nature, and resulted in financial harm to the Applicant, the prudent action would have been for the Applicant to timely file with the Commission a request for cost deferral. </w:t>
      </w:r>
      <w:r w:rsidRPr="00650412">
        <w:rPr>
          <w:b/>
          <w:i/>
        </w:rPr>
        <w:t xml:space="preserve"> </w:t>
      </w:r>
      <w:r>
        <w:t>The Applicant has taken no such action for over two years and now has filed a request for retroactive authority to defer incremental security costs that the Applicant has accumulated since January 1, 2002.</w:t>
      </w:r>
      <w:r>
        <w:rPr>
          <w:rStyle w:val="FootnoteReference"/>
        </w:rPr>
        <w:footnoteReference w:id="40"/>
      </w:r>
    </w:p>
    <w:p w14:paraId="79C2C10B" w14:textId="77777777" w:rsidR="006C257B" w:rsidRDefault="006C257B" w:rsidP="006C257B">
      <w:pPr>
        <w:pStyle w:val="BodyTextIndent3"/>
        <w:widowControl w:val="0"/>
        <w:spacing w:line="480" w:lineRule="auto"/>
        <w:ind w:right="-24" w:firstLine="0"/>
      </w:pPr>
    </w:p>
    <w:p w14:paraId="3F74BEB4" w14:textId="13666B5C" w:rsidR="006C257B" w:rsidRDefault="006C257B" w:rsidP="006C257B">
      <w:pPr>
        <w:pStyle w:val="BodyTextIndent3"/>
        <w:widowControl w:val="0"/>
        <w:spacing w:line="480" w:lineRule="auto"/>
        <w:ind w:right="-24" w:firstLine="0"/>
      </w:pPr>
      <w:r>
        <w:t xml:space="preserve">While OAW’s rate case was settled (and OCC does not cite to the resulting decision there), the </w:t>
      </w:r>
      <w:r w:rsidR="00821B1E">
        <w:t xml:space="preserve">PUCO </w:t>
      </w:r>
      <w:r>
        <w:t>Staff’s pre-settlement consideration of regulatory policy--that deferral requests should be done in a timely manner--is applicable in this case.  In a similar manner, DP&amp;L has not timely filed a deferral request; therefore</w:t>
      </w:r>
      <w:r w:rsidR="00605685">
        <w:t>,</w:t>
      </w:r>
      <w:r>
        <w:t xml:space="preserve"> the </w:t>
      </w:r>
      <w:r w:rsidR="008C0ECC">
        <w:t xml:space="preserve">PUCO </w:t>
      </w:r>
      <w:r>
        <w:t>should deny DP&amp;L’s retroactive deferral request in this case.</w:t>
      </w:r>
    </w:p>
    <w:p w14:paraId="7CC4D508" w14:textId="30D264A3" w:rsidR="006C257B" w:rsidRPr="00C47A08" w:rsidRDefault="0080211A" w:rsidP="0080211A">
      <w:pPr>
        <w:pStyle w:val="Heading3"/>
      </w:pPr>
      <w:bookmarkStart w:id="15" w:name="_Toc359248604"/>
      <w:r>
        <w:t>2.</w:t>
      </w:r>
      <w:r>
        <w:tab/>
      </w:r>
      <w:r w:rsidR="006C257B" w:rsidRPr="00C47A08">
        <w:t xml:space="preserve">DP&amp;L </w:t>
      </w:r>
      <w:r w:rsidR="006C257B">
        <w:t>has no financial need upon which to seek deferral</w:t>
      </w:r>
      <w:r w:rsidR="005A7EE7">
        <w:t xml:space="preserve"> (and possible payment by consumers)</w:t>
      </w:r>
      <w:r w:rsidR="006C257B">
        <w:t xml:space="preserve"> </w:t>
      </w:r>
      <w:r w:rsidR="006C257B" w:rsidRPr="00C47A08">
        <w:t xml:space="preserve">of the 2011 major incremental storm </w:t>
      </w:r>
      <w:r w:rsidR="00282066" w:rsidRPr="00A81370">
        <w:t>Operation and Maintenance</w:t>
      </w:r>
      <w:r w:rsidR="00282066" w:rsidRPr="00C47A08">
        <w:t xml:space="preserve"> </w:t>
      </w:r>
      <w:r w:rsidR="006C257B" w:rsidRPr="00C47A08">
        <w:t>expenses.</w:t>
      </w:r>
      <w:bookmarkEnd w:id="15"/>
    </w:p>
    <w:p w14:paraId="126B8853" w14:textId="25548651" w:rsidR="005A7EE7" w:rsidRDefault="006C257B" w:rsidP="006C257B">
      <w:pPr>
        <w:pStyle w:val="BodyTextIndent3"/>
        <w:widowControl w:val="0"/>
        <w:spacing w:line="480" w:lineRule="auto"/>
        <w:ind w:right="-24"/>
      </w:pPr>
      <w:r w:rsidRPr="0011336B">
        <w:t xml:space="preserve">This </w:t>
      </w:r>
      <w:r w:rsidR="008C0ECC">
        <w:t>PUCO</w:t>
      </w:r>
      <w:r w:rsidR="008C0ECC" w:rsidRPr="0011336B">
        <w:t xml:space="preserve"> </w:t>
      </w:r>
      <w:r w:rsidRPr="0011336B">
        <w:t xml:space="preserve">should deny DP&amp;L’s request for accounting deferral because the Utility failed to demonstrate financial need for the requested deferral.  Where the </w:t>
      </w:r>
      <w:r w:rsidR="008C0ECC">
        <w:t>PUCO</w:t>
      </w:r>
      <w:r w:rsidR="008C0ECC" w:rsidRPr="0011336B">
        <w:t xml:space="preserve"> </w:t>
      </w:r>
      <w:r w:rsidRPr="0011336B">
        <w:t>has approved deferred accounting in the past, it has generally done so to avoid the possibility of significant financial harm to the applicant utility.</w:t>
      </w:r>
      <w:r w:rsidRPr="0011336B">
        <w:rPr>
          <w:rStyle w:val="FootnoteReference"/>
        </w:rPr>
        <w:footnoteReference w:id="41"/>
      </w:r>
      <w:r w:rsidRPr="0011336B">
        <w:t xml:space="preserve">  </w:t>
      </w:r>
    </w:p>
    <w:p w14:paraId="262D8559" w14:textId="42599A17" w:rsidR="008B2D73" w:rsidRDefault="006C257B" w:rsidP="006C257B">
      <w:pPr>
        <w:pStyle w:val="BodyTextIndent3"/>
        <w:widowControl w:val="0"/>
        <w:spacing w:line="480" w:lineRule="auto"/>
        <w:ind w:right="-24"/>
      </w:pPr>
      <w:r w:rsidRPr="0011336B">
        <w:t xml:space="preserve">In the instant case, DP&amp;L does not even hint that its financial condition in 2011 necessitates the granting of deferral accounting.  The </w:t>
      </w:r>
      <w:r w:rsidR="008D6A00">
        <w:t>A</w:t>
      </w:r>
      <w:r w:rsidRPr="0011336B">
        <w:t>pplication is completely silent as to any financial need supporting the requested accounting order.  To the contrary, in 2011, when the major storm O&amp;M costs were expensed by the Utility, DP&amp;L earned a return on equity of 14.05%,</w:t>
      </w:r>
      <w:r w:rsidRPr="0011336B">
        <w:rPr>
          <w:rStyle w:val="FootnoteReference"/>
        </w:rPr>
        <w:footnoteReference w:id="42"/>
      </w:r>
      <w:r w:rsidRPr="0011336B">
        <w:t xml:space="preserve"> well above its “most recently approved return” of 11.30% authorized by the PUCO.</w:t>
      </w:r>
      <w:r w:rsidRPr="0011336B">
        <w:rPr>
          <w:rStyle w:val="FootnoteReference"/>
        </w:rPr>
        <w:footnoteReference w:id="43"/>
      </w:r>
      <w:r w:rsidR="008B2D73" w:rsidRPr="0011336B">
        <w:t xml:space="preserve">  In fact, DP&amp;L never disputed this fa</w:t>
      </w:r>
      <w:r w:rsidR="0011336B" w:rsidRPr="0011336B">
        <w:t xml:space="preserve">ct when it </w:t>
      </w:r>
      <w:r w:rsidR="008B2D73" w:rsidRPr="0011336B">
        <w:t>was raised by OCC in its Motion to Dismiss.</w:t>
      </w:r>
      <w:r w:rsidR="008B2D73" w:rsidRPr="0011336B">
        <w:rPr>
          <w:rStyle w:val="FootnoteReference"/>
        </w:rPr>
        <w:footnoteReference w:id="44"/>
      </w:r>
      <w:r w:rsidR="008B2D73">
        <w:t xml:space="preserve">  </w:t>
      </w:r>
    </w:p>
    <w:p w14:paraId="3B618179" w14:textId="36B1A951" w:rsidR="001E60D0" w:rsidRDefault="008B2D73" w:rsidP="008B2D73">
      <w:pPr>
        <w:pStyle w:val="BodyTextIndent3"/>
        <w:widowControl w:val="0"/>
        <w:spacing w:line="480" w:lineRule="auto"/>
        <w:ind w:right="-24"/>
      </w:pPr>
      <w:r>
        <w:t>In its response to OCC</w:t>
      </w:r>
      <w:r w:rsidR="00406E7C">
        <w:t xml:space="preserve">’s </w:t>
      </w:r>
      <w:r>
        <w:t>Motion to Dismiss, DP&amp;L instead argued that the ESP Stipulation “</w:t>
      </w:r>
      <w:r w:rsidRPr="006D6F6C">
        <w:t>expressly</w:t>
      </w:r>
      <w:r w:rsidRPr="00EC18CB">
        <w:rPr>
          <w:b/>
        </w:rPr>
        <w:t xml:space="preserve"> </w:t>
      </w:r>
      <w:r w:rsidRPr="006D6F6C">
        <w:t>authorized</w:t>
      </w:r>
      <w:r>
        <w:t xml:space="preserve"> DP&amp;L to recover the costs of storm damage</w:t>
      </w:r>
      <w:r w:rsidR="00656B8D">
        <w:t xml:space="preserve"> </w:t>
      </w:r>
      <w:r>
        <w:t>without showing financial need.”</w:t>
      </w:r>
      <w:r>
        <w:rPr>
          <w:rStyle w:val="FootnoteReference"/>
        </w:rPr>
        <w:footnoteReference w:id="45"/>
      </w:r>
      <w:r>
        <w:t xml:space="preserve">  </w:t>
      </w:r>
      <w:r w:rsidR="006B5818">
        <w:t>The ESP Stipulation</w:t>
      </w:r>
      <w:r>
        <w:t xml:space="preserve">, however, </w:t>
      </w:r>
      <w:r w:rsidR="006B5818">
        <w:t>only confers the right to “</w:t>
      </w:r>
      <w:r w:rsidR="006B5818" w:rsidRPr="00525C3C">
        <w:t>apply</w:t>
      </w:r>
      <w:r w:rsidR="006B5818">
        <w:t xml:space="preserve"> for approval of separate rate riders to recover . . . [t]he cost[s] of storm damage.”</w:t>
      </w:r>
      <w:r w:rsidR="006B5818">
        <w:rPr>
          <w:rStyle w:val="FootnoteReference"/>
        </w:rPr>
        <w:footnoteReference w:id="46"/>
      </w:r>
      <w:r w:rsidR="006B5818">
        <w:t xml:space="preserve">  </w:t>
      </w:r>
      <w:r w:rsidR="001E60D0">
        <w:t xml:space="preserve">Furthermore, the Commission’s Order approving the ESP stipulation explained that the stipulation conferred “DP&amp;L’s right to seek emergency rate relief under Section 4909.16, Revised Code, and to </w:t>
      </w:r>
      <w:r w:rsidR="001E60D0" w:rsidRPr="00525C3C">
        <w:t>apply</w:t>
      </w:r>
      <w:r w:rsidR="001E60D0">
        <w:t xml:space="preserve"> to the Commission for approval of separate riders to recover </w:t>
      </w:r>
      <w:r w:rsidR="0049180E">
        <w:t xml:space="preserve">*** </w:t>
      </w:r>
      <w:r w:rsidR="001E60D0">
        <w:t>the cost of storm damage.”</w:t>
      </w:r>
      <w:r w:rsidR="001E60D0">
        <w:rPr>
          <w:rStyle w:val="FootnoteReference"/>
        </w:rPr>
        <w:footnoteReference w:id="47"/>
      </w:r>
      <w:r w:rsidR="001E60D0">
        <w:t xml:space="preserve">  Thus, the Stipulation </w:t>
      </w:r>
      <w:r w:rsidR="00D72B96">
        <w:t xml:space="preserve">(and Commission order) </w:t>
      </w:r>
      <w:r w:rsidR="001E60D0">
        <w:t xml:space="preserve">only permits DP&amp;L the opportunity to </w:t>
      </w:r>
      <w:r w:rsidR="001E60D0" w:rsidRPr="005C5A7C">
        <w:rPr>
          <w:b/>
        </w:rPr>
        <w:t>apply</w:t>
      </w:r>
      <w:r w:rsidR="001E60D0">
        <w:t xml:space="preserve"> for a rider, the approval of which is left to the discretion of </w:t>
      </w:r>
      <w:r w:rsidR="00EC24BE">
        <w:t>the PUCO</w:t>
      </w:r>
      <w:r w:rsidR="001E60D0">
        <w:t xml:space="preserve">.  </w:t>
      </w:r>
      <w:r w:rsidR="00D72B96">
        <w:t>The excessive return that the Utility earned in 2011 is adequate grounds for this Commission to deny DP&amp;L’s deferral request.</w:t>
      </w:r>
    </w:p>
    <w:p w14:paraId="26B0C624" w14:textId="77777777" w:rsidR="006C257B" w:rsidRPr="000602DE" w:rsidRDefault="00656B8D" w:rsidP="006C257B">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Moreover, d</w:t>
      </w:r>
      <w:r w:rsidR="00D72B96">
        <w:rPr>
          <w:rFonts w:ascii="Times New Roman" w:hAnsi="Times New Roman" w:cs="Times New Roman"/>
          <w:sz w:val="24"/>
          <w:szCs w:val="24"/>
        </w:rPr>
        <w:t>uring a time where deferral requests have become all too commonplace, this Commission has expressed a</w:t>
      </w:r>
      <w:r w:rsidR="006C257B" w:rsidRPr="000602DE">
        <w:rPr>
          <w:rFonts w:ascii="Times New Roman" w:hAnsi="Times New Roman" w:cs="Times New Roman"/>
          <w:sz w:val="24"/>
          <w:szCs w:val="24"/>
        </w:rPr>
        <w:t xml:space="preserve"> general opposition to the creation of deferrals absent extraordinary circumstances.  Specifically, th</w:t>
      </w:r>
      <w:r w:rsidR="00D72B96">
        <w:rPr>
          <w:rFonts w:ascii="Times New Roman" w:hAnsi="Times New Roman" w:cs="Times New Roman"/>
          <w:sz w:val="24"/>
          <w:szCs w:val="24"/>
        </w:rPr>
        <w:t>is</w:t>
      </w:r>
      <w:r w:rsidR="006C257B" w:rsidRPr="000602DE">
        <w:rPr>
          <w:rFonts w:ascii="Times New Roman" w:hAnsi="Times New Roman" w:cs="Times New Roman"/>
          <w:sz w:val="24"/>
          <w:szCs w:val="24"/>
        </w:rPr>
        <w:t xml:space="preserve"> Commission </w:t>
      </w:r>
      <w:r w:rsidR="00D72B96">
        <w:rPr>
          <w:rFonts w:ascii="Times New Roman" w:hAnsi="Times New Roman" w:cs="Times New Roman"/>
          <w:sz w:val="24"/>
          <w:szCs w:val="24"/>
        </w:rPr>
        <w:t xml:space="preserve">has </w:t>
      </w:r>
      <w:r w:rsidR="006C257B" w:rsidRPr="000602DE">
        <w:rPr>
          <w:rFonts w:ascii="Times New Roman" w:hAnsi="Times New Roman" w:cs="Times New Roman"/>
          <w:sz w:val="24"/>
          <w:szCs w:val="24"/>
        </w:rPr>
        <w:t>stated:</w:t>
      </w:r>
    </w:p>
    <w:p w14:paraId="66AE1BFB" w14:textId="77777777" w:rsidR="006C257B" w:rsidRPr="000602DE" w:rsidRDefault="006C257B" w:rsidP="006A1131">
      <w:pPr>
        <w:autoSpaceDE w:val="0"/>
        <w:autoSpaceDN w:val="0"/>
        <w:adjustRightInd w:val="0"/>
        <w:ind w:left="1440" w:right="720"/>
        <w:rPr>
          <w:rFonts w:ascii="Times New Roman" w:hAnsi="Times New Roman" w:cs="Times New Roman"/>
          <w:sz w:val="24"/>
          <w:szCs w:val="24"/>
        </w:rPr>
      </w:pPr>
      <w:r w:rsidRPr="000602DE">
        <w:rPr>
          <w:rFonts w:ascii="Times New Roman" w:hAnsi="Times New Roman" w:cs="Times New Roman"/>
          <w:sz w:val="24"/>
          <w:szCs w:val="24"/>
        </w:rPr>
        <w:t xml:space="preserve">Further, </w:t>
      </w:r>
      <w:r w:rsidRPr="000602DE">
        <w:rPr>
          <w:rFonts w:ascii="Times New Roman" w:hAnsi="Times New Roman" w:cs="Times New Roman"/>
          <w:b/>
          <w:sz w:val="24"/>
          <w:szCs w:val="24"/>
        </w:rPr>
        <w:t>although this Commission is generally opposed to the creation of deferrals,</w:t>
      </w:r>
      <w:r w:rsidRPr="000602DE">
        <w:rPr>
          <w:rFonts w:ascii="Times New Roman" w:hAnsi="Times New Roman" w:cs="Times New Roman"/>
          <w:sz w:val="24"/>
          <w:szCs w:val="24"/>
        </w:rPr>
        <w:t xml:space="preserve"> the extraordinary circumstances presented before us, which allow for AEP-Ohio to fully participate in the market in two years and nine months as opposed to five years, necessitate that we remain flexible and utilize a deferral to ensure we reach our finish line of a fully-established competitive electric market.</w:t>
      </w:r>
      <w:r w:rsidRPr="000602DE">
        <w:rPr>
          <w:rStyle w:val="FootnoteReference"/>
          <w:rFonts w:ascii="Times New Roman" w:hAnsi="Times New Roman" w:cs="Times New Roman"/>
          <w:sz w:val="24"/>
          <w:szCs w:val="24"/>
        </w:rPr>
        <w:footnoteReference w:id="48"/>
      </w:r>
    </w:p>
    <w:p w14:paraId="40746245" w14:textId="77777777" w:rsidR="006C257B" w:rsidRPr="000602DE" w:rsidRDefault="006C257B" w:rsidP="00406E7C">
      <w:pPr>
        <w:autoSpaceDE w:val="0"/>
        <w:autoSpaceDN w:val="0"/>
        <w:adjustRightInd w:val="0"/>
        <w:spacing w:after="0" w:line="480" w:lineRule="auto"/>
        <w:rPr>
          <w:rFonts w:ascii="Times New Roman" w:hAnsi="Times New Roman" w:cs="Times New Roman"/>
          <w:sz w:val="24"/>
          <w:szCs w:val="24"/>
        </w:rPr>
      </w:pPr>
      <w:r w:rsidRPr="000602DE">
        <w:rPr>
          <w:rFonts w:ascii="Times New Roman" w:hAnsi="Times New Roman" w:cs="Times New Roman"/>
          <w:sz w:val="24"/>
          <w:szCs w:val="24"/>
        </w:rPr>
        <w:t xml:space="preserve">After nearly two years of silence, DP&amp;L now seeks to defer and charge customers in the future for 2011 expenses allegedly incurred, irrespective of the fact that the Utility earned a return on equity in 2011 that </w:t>
      </w:r>
      <w:r>
        <w:rPr>
          <w:rFonts w:ascii="Times New Roman" w:hAnsi="Times New Roman" w:cs="Times New Roman"/>
          <w:sz w:val="24"/>
          <w:szCs w:val="24"/>
        </w:rPr>
        <w:t xml:space="preserve">well </w:t>
      </w:r>
      <w:r w:rsidRPr="000602DE">
        <w:rPr>
          <w:rFonts w:ascii="Times New Roman" w:hAnsi="Times New Roman" w:cs="Times New Roman"/>
          <w:sz w:val="24"/>
          <w:szCs w:val="24"/>
        </w:rPr>
        <w:t xml:space="preserve">exceeded its authorized return.  In addition, DP&amp;L seeks to charge customers for carrying costs that, at a minimum, would be greatly increased as a direct result of DP&amp;L’s decision to delay.  Because the Utility has not supported its deferral request with an explanation of extraordinary circumstances that would now warrant PUCO authorization, the deferral request should, therefore, be </w:t>
      </w:r>
      <w:r>
        <w:rPr>
          <w:rFonts w:ascii="Times New Roman" w:hAnsi="Times New Roman" w:cs="Times New Roman"/>
          <w:sz w:val="24"/>
          <w:szCs w:val="24"/>
        </w:rPr>
        <w:t>denied</w:t>
      </w:r>
      <w:r w:rsidRPr="000602DE">
        <w:rPr>
          <w:rFonts w:ascii="Times New Roman" w:hAnsi="Times New Roman" w:cs="Times New Roman"/>
          <w:sz w:val="24"/>
          <w:szCs w:val="24"/>
        </w:rPr>
        <w:t xml:space="preserve">.   </w:t>
      </w:r>
    </w:p>
    <w:p w14:paraId="4BEAD518" w14:textId="77777777" w:rsidR="00366803" w:rsidRPr="00B15C21" w:rsidRDefault="00025748" w:rsidP="0080211A">
      <w:pPr>
        <w:pStyle w:val="Heading2"/>
      </w:pPr>
      <w:bookmarkStart w:id="16" w:name="_Toc359248605"/>
      <w:r>
        <w:rPr>
          <w:rStyle w:val="Heading2Char"/>
        </w:rPr>
        <w:t>G</w:t>
      </w:r>
      <w:r w:rsidR="006F7244" w:rsidRPr="00B15C21">
        <w:rPr>
          <w:rStyle w:val="Heading2Char"/>
        </w:rPr>
        <w:t>.</w:t>
      </w:r>
      <w:r w:rsidR="006F7244" w:rsidRPr="00B15C21">
        <w:rPr>
          <w:rStyle w:val="Heading2Char"/>
        </w:rPr>
        <w:tab/>
      </w:r>
      <w:r w:rsidR="00336ACF" w:rsidRPr="00B15C21">
        <w:rPr>
          <w:rStyle w:val="Heading2Char"/>
        </w:rPr>
        <w:t>DP&amp;L</w:t>
      </w:r>
      <w:r w:rsidR="00607659">
        <w:rPr>
          <w:rStyle w:val="Heading2Char"/>
        </w:rPr>
        <w:t xml:space="preserve"> </w:t>
      </w:r>
      <w:r w:rsidR="00607659" w:rsidRPr="000E3645">
        <w:rPr>
          <w:rStyle w:val="Heading2Char"/>
          <w:b/>
        </w:rPr>
        <w:t>Should Not Be</w:t>
      </w:r>
      <w:r w:rsidR="00607659" w:rsidRPr="00D75251">
        <w:rPr>
          <w:rStyle w:val="Heading2Char"/>
          <w:b/>
        </w:rPr>
        <w:t xml:space="preserve"> Permitted</w:t>
      </w:r>
      <w:r w:rsidR="00336ACF" w:rsidRPr="00D75251">
        <w:rPr>
          <w:rStyle w:val="Heading2Char"/>
          <w:b/>
        </w:rPr>
        <w:t xml:space="preserve"> To</w:t>
      </w:r>
      <w:r w:rsidR="00336ACF" w:rsidRPr="00B15C21">
        <w:t xml:space="preserve"> Collect </w:t>
      </w:r>
      <w:r w:rsidR="008D6A00">
        <w:t xml:space="preserve">From Its Customers </w:t>
      </w:r>
      <w:r w:rsidR="00336ACF" w:rsidRPr="00B15C21">
        <w:t xml:space="preserve">Any Portion Of The Straight-Time Labor Costs </w:t>
      </w:r>
      <w:r w:rsidR="008D6A00">
        <w:t xml:space="preserve">That </w:t>
      </w:r>
      <w:r w:rsidR="00336ACF" w:rsidRPr="00B15C21">
        <w:t xml:space="preserve">The </w:t>
      </w:r>
      <w:r w:rsidR="001931CF">
        <w:t>Utilit</w:t>
      </w:r>
      <w:r w:rsidR="00336ACF" w:rsidRPr="00B15C21">
        <w:t>y Is Seeking In This Case.</w:t>
      </w:r>
      <w:bookmarkEnd w:id="16"/>
      <w:r w:rsidR="00336ACF" w:rsidRPr="00B15C21">
        <w:t xml:space="preserve"> </w:t>
      </w:r>
    </w:p>
    <w:p w14:paraId="0AFDE65E" w14:textId="1AEB62A8" w:rsidR="00AB3A74" w:rsidRPr="00B15C21" w:rsidRDefault="00D02A13" w:rsidP="00AB3A74">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 </w:t>
      </w:r>
      <w:r w:rsidR="008C0ECC">
        <w:rPr>
          <w:rFonts w:ascii="Times New Roman" w:hAnsi="Times New Roman" w:cs="Times New Roman"/>
          <w:sz w:val="24"/>
          <w:szCs w:val="24"/>
        </w:rPr>
        <w:t xml:space="preserve">PUCO </w:t>
      </w:r>
      <w:r>
        <w:rPr>
          <w:rFonts w:ascii="Times New Roman" w:hAnsi="Times New Roman" w:cs="Times New Roman"/>
          <w:sz w:val="24"/>
          <w:szCs w:val="24"/>
        </w:rPr>
        <w:t>should deny</w:t>
      </w:r>
      <w:r w:rsidR="00795A12" w:rsidRPr="00B15C21">
        <w:rPr>
          <w:rFonts w:ascii="Times New Roman" w:hAnsi="Times New Roman" w:cs="Times New Roman"/>
          <w:sz w:val="24"/>
          <w:szCs w:val="24"/>
        </w:rPr>
        <w:t xml:space="preserve"> DP&amp;L</w:t>
      </w:r>
      <w:r>
        <w:rPr>
          <w:rFonts w:ascii="Times New Roman" w:hAnsi="Times New Roman" w:cs="Times New Roman"/>
          <w:sz w:val="24"/>
          <w:szCs w:val="24"/>
        </w:rPr>
        <w:t>’s</w:t>
      </w:r>
      <w:r w:rsidR="00795A12" w:rsidRPr="00B15C21">
        <w:rPr>
          <w:rFonts w:ascii="Times New Roman" w:hAnsi="Times New Roman" w:cs="Times New Roman"/>
          <w:sz w:val="24"/>
          <w:szCs w:val="24"/>
        </w:rPr>
        <w:t xml:space="preserve"> </w:t>
      </w:r>
      <w:r>
        <w:rPr>
          <w:rFonts w:ascii="Times New Roman" w:hAnsi="Times New Roman" w:cs="Times New Roman"/>
          <w:sz w:val="24"/>
          <w:szCs w:val="24"/>
        </w:rPr>
        <w:t>request for</w:t>
      </w:r>
      <w:r w:rsidR="00795A12" w:rsidRPr="00B15C21">
        <w:rPr>
          <w:rFonts w:ascii="Times New Roman" w:hAnsi="Times New Roman" w:cs="Times New Roman"/>
          <w:sz w:val="24"/>
          <w:szCs w:val="24"/>
        </w:rPr>
        <w:t xml:space="preserve"> authority to </w:t>
      </w:r>
      <w:r w:rsidR="002250AF">
        <w:rPr>
          <w:rFonts w:ascii="Times New Roman" w:hAnsi="Times New Roman" w:cs="Times New Roman"/>
          <w:sz w:val="24"/>
          <w:szCs w:val="24"/>
        </w:rPr>
        <w:t>collect</w:t>
      </w:r>
      <w:r w:rsidR="00795A12" w:rsidRPr="00B15C21">
        <w:rPr>
          <w:rFonts w:ascii="Times New Roman" w:hAnsi="Times New Roman" w:cs="Times New Roman"/>
          <w:sz w:val="24"/>
          <w:szCs w:val="24"/>
        </w:rPr>
        <w:t xml:space="preserve"> from customers </w:t>
      </w:r>
      <w:r w:rsidR="002250AF">
        <w:rPr>
          <w:rFonts w:ascii="Times New Roman" w:hAnsi="Times New Roman" w:cs="Times New Roman"/>
          <w:sz w:val="24"/>
          <w:szCs w:val="24"/>
        </w:rPr>
        <w:t xml:space="preserve">any </w:t>
      </w:r>
      <w:r w:rsidR="00795A12" w:rsidRPr="00B15C21">
        <w:rPr>
          <w:rFonts w:ascii="Times New Roman" w:hAnsi="Times New Roman" w:cs="Times New Roman"/>
          <w:sz w:val="24"/>
          <w:szCs w:val="24"/>
        </w:rPr>
        <w:t>straight-time labor costs</w:t>
      </w:r>
      <w:r w:rsidR="000B20E8" w:rsidRPr="00B15C21">
        <w:rPr>
          <w:rFonts w:ascii="Times New Roman" w:hAnsi="Times New Roman" w:cs="Times New Roman"/>
          <w:sz w:val="24"/>
          <w:szCs w:val="24"/>
        </w:rPr>
        <w:t xml:space="preserve"> and related fringe benefits</w:t>
      </w:r>
      <w:r w:rsidR="00A228B5" w:rsidRPr="00B15C21">
        <w:rPr>
          <w:rFonts w:ascii="Times New Roman" w:hAnsi="Times New Roman" w:cs="Times New Roman"/>
          <w:sz w:val="24"/>
          <w:szCs w:val="24"/>
        </w:rPr>
        <w:t xml:space="preserve"> expense</w:t>
      </w:r>
      <w:r>
        <w:rPr>
          <w:rFonts w:ascii="Times New Roman" w:hAnsi="Times New Roman" w:cs="Times New Roman"/>
          <w:sz w:val="24"/>
          <w:szCs w:val="24"/>
        </w:rPr>
        <w:t>s because the Utility failed to establish that those costs were incremental in nature</w:t>
      </w:r>
      <w:r w:rsidR="00795A12" w:rsidRPr="00B15C21">
        <w:rPr>
          <w:rFonts w:ascii="Times New Roman" w:hAnsi="Times New Roman" w:cs="Times New Roman"/>
          <w:sz w:val="24"/>
          <w:szCs w:val="24"/>
        </w:rPr>
        <w:t>.</w:t>
      </w:r>
      <w:r w:rsidR="004918C2" w:rsidRPr="00B15C21">
        <w:rPr>
          <w:rStyle w:val="FootnoteReference"/>
          <w:rFonts w:ascii="Times New Roman" w:hAnsi="Times New Roman" w:cs="Times New Roman"/>
          <w:sz w:val="24"/>
          <w:szCs w:val="24"/>
        </w:rPr>
        <w:footnoteReference w:id="49"/>
      </w:r>
      <w:r w:rsidR="00795A12" w:rsidRPr="00B15C21">
        <w:rPr>
          <w:rFonts w:ascii="Times New Roman" w:hAnsi="Times New Roman" w:cs="Times New Roman"/>
          <w:sz w:val="24"/>
          <w:szCs w:val="24"/>
        </w:rPr>
        <w:t xml:space="preserve">  </w:t>
      </w:r>
      <w:r w:rsidR="00AB3A74" w:rsidRPr="00B15C21">
        <w:rPr>
          <w:rFonts w:ascii="Times New Roman" w:hAnsi="Times New Roman" w:cs="Times New Roman"/>
          <w:sz w:val="24"/>
          <w:szCs w:val="24"/>
        </w:rPr>
        <w:t>DP&amp;L</w:t>
      </w:r>
      <w:r w:rsidR="0088065A">
        <w:rPr>
          <w:rFonts w:ascii="Times New Roman" w:hAnsi="Times New Roman" w:cs="Times New Roman"/>
          <w:sz w:val="24"/>
          <w:szCs w:val="24"/>
        </w:rPr>
        <w:t xml:space="preserve"> has failed to prove that</w:t>
      </w:r>
      <w:r w:rsidR="00AB3A74" w:rsidRPr="00B15C21">
        <w:rPr>
          <w:rFonts w:ascii="Times New Roman" w:hAnsi="Times New Roman" w:cs="Times New Roman"/>
          <w:sz w:val="24"/>
          <w:szCs w:val="24"/>
        </w:rPr>
        <w:t xml:space="preserve"> the straight-time labor costs </w:t>
      </w:r>
      <w:r w:rsidR="005F355C">
        <w:rPr>
          <w:rFonts w:ascii="Times New Roman" w:hAnsi="Times New Roman" w:cs="Times New Roman"/>
          <w:sz w:val="24"/>
          <w:szCs w:val="24"/>
        </w:rPr>
        <w:t>(</w:t>
      </w:r>
      <w:r w:rsidR="00AB3A74" w:rsidRPr="00B15C21">
        <w:rPr>
          <w:rFonts w:ascii="Times New Roman" w:hAnsi="Times New Roman" w:cs="Times New Roman"/>
          <w:sz w:val="24"/>
          <w:szCs w:val="24"/>
        </w:rPr>
        <w:t>it seeks to collect from customers through the Rider</w:t>
      </w:r>
      <w:r w:rsidR="005F355C">
        <w:rPr>
          <w:rFonts w:ascii="Times New Roman" w:hAnsi="Times New Roman" w:cs="Times New Roman"/>
          <w:sz w:val="24"/>
          <w:szCs w:val="24"/>
        </w:rPr>
        <w:t>)</w:t>
      </w:r>
      <w:r w:rsidR="00AB3A74" w:rsidRPr="00B15C21">
        <w:rPr>
          <w:rFonts w:ascii="Times New Roman" w:hAnsi="Times New Roman" w:cs="Times New Roman"/>
          <w:sz w:val="24"/>
          <w:szCs w:val="24"/>
        </w:rPr>
        <w:t xml:space="preserve"> </w:t>
      </w:r>
      <w:r w:rsidR="0088065A">
        <w:rPr>
          <w:rFonts w:ascii="Times New Roman" w:hAnsi="Times New Roman" w:cs="Times New Roman"/>
          <w:sz w:val="24"/>
          <w:szCs w:val="24"/>
        </w:rPr>
        <w:t>exceed the</w:t>
      </w:r>
      <w:r w:rsidR="00AB3A74" w:rsidRPr="00B15C21">
        <w:rPr>
          <w:rFonts w:ascii="Times New Roman" w:hAnsi="Times New Roman" w:cs="Times New Roman"/>
          <w:sz w:val="24"/>
          <w:szCs w:val="24"/>
        </w:rPr>
        <w:t xml:space="preserve"> normal straight-time labor expense level</w:t>
      </w:r>
      <w:r w:rsidR="0088065A">
        <w:rPr>
          <w:rFonts w:ascii="Times New Roman" w:hAnsi="Times New Roman" w:cs="Times New Roman"/>
          <w:sz w:val="24"/>
          <w:szCs w:val="24"/>
        </w:rPr>
        <w:t xml:space="preserve"> that custome</w:t>
      </w:r>
      <w:r w:rsidR="002F63D5">
        <w:rPr>
          <w:rFonts w:ascii="Times New Roman" w:hAnsi="Times New Roman" w:cs="Times New Roman"/>
          <w:sz w:val="24"/>
          <w:szCs w:val="24"/>
        </w:rPr>
        <w:t>rs paid</w:t>
      </w:r>
      <w:r w:rsidR="0088065A">
        <w:rPr>
          <w:rFonts w:ascii="Times New Roman" w:hAnsi="Times New Roman" w:cs="Times New Roman"/>
          <w:sz w:val="24"/>
          <w:szCs w:val="24"/>
        </w:rPr>
        <w:t xml:space="preserve"> for</w:t>
      </w:r>
      <w:r w:rsidR="002F63D5">
        <w:rPr>
          <w:rFonts w:ascii="Times New Roman" w:hAnsi="Times New Roman" w:cs="Times New Roman"/>
          <w:sz w:val="24"/>
          <w:szCs w:val="24"/>
        </w:rPr>
        <w:t xml:space="preserve"> </w:t>
      </w:r>
      <w:r w:rsidR="0088065A">
        <w:rPr>
          <w:rFonts w:ascii="Times New Roman" w:hAnsi="Times New Roman" w:cs="Times New Roman"/>
          <w:sz w:val="24"/>
          <w:szCs w:val="24"/>
        </w:rPr>
        <w:t>in base rates</w:t>
      </w:r>
      <w:r w:rsidR="002F63D5">
        <w:rPr>
          <w:rFonts w:ascii="Times New Roman" w:hAnsi="Times New Roman" w:cs="Times New Roman"/>
          <w:sz w:val="24"/>
          <w:szCs w:val="24"/>
        </w:rPr>
        <w:t xml:space="preserve"> which are</w:t>
      </w:r>
      <w:r w:rsidR="0088065A">
        <w:rPr>
          <w:rFonts w:ascii="Times New Roman" w:hAnsi="Times New Roman" w:cs="Times New Roman"/>
          <w:sz w:val="24"/>
          <w:szCs w:val="24"/>
        </w:rPr>
        <w:t xml:space="preserve"> </w:t>
      </w:r>
      <w:r w:rsidR="003225B9">
        <w:rPr>
          <w:rFonts w:ascii="Times New Roman" w:hAnsi="Times New Roman" w:cs="Times New Roman"/>
          <w:sz w:val="24"/>
          <w:szCs w:val="24"/>
        </w:rPr>
        <w:t xml:space="preserve">paid </w:t>
      </w:r>
      <w:r w:rsidR="009925EC">
        <w:rPr>
          <w:rFonts w:ascii="Times New Roman" w:hAnsi="Times New Roman" w:cs="Times New Roman"/>
          <w:sz w:val="24"/>
          <w:szCs w:val="24"/>
        </w:rPr>
        <w:t>irrespective of any major</w:t>
      </w:r>
      <w:r w:rsidR="002F63D5">
        <w:rPr>
          <w:rFonts w:ascii="Times New Roman" w:hAnsi="Times New Roman" w:cs="Times New Roman"/>
          <w:sz w:val="24"/>
          <w:szCs w:val="24"/>
        </w:rPr>
        <w:t xml:space="preserve"> st</w:t>
      </w:r>
      <w:r w:rsidR="003E78D5">
        <w:rPr>
          <w:rFonts w:ascii="Times New Roman" w:hAnsi="Times New Roman" w:cs="Times New Roman"/>
          <w:sz w:val="24"/>
          <w:szCs w:val="24"/>
        </w:rPr>
        <w:t>orm</w:t>
      </w:r>
      <w:r w:rsidR="00AB3A74" w:rsidRPr="00B15C21">
        <w:rPr>
          <w:rFonts w:ascii="Times New Roman" w:hAnsi="Times New Roman" w:cs="Times New Roman"/>
          <w:sz w:val="24"/>
          <w:szCs w:val="24"/>
        </w:rPr>
        <w:t>.</w:t>
      </w:r>
    </w:p>
    <w:p w14:paraId="5BBFD4DC" w14:textId="7549945F" w:rsidR="00EE4697" w:rsidRDefault="00582EE5" w:rsidP="00D35C80">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If there are no</w:t>
      </w:r>
      <w:r w:rsidR="00907D53" w:rsidRPr="00B15C21">
        <w:rPr>
          <w:rFonts w:ascii="Times New Roman" w:hAnsi="Times New Roman" w:cs="Times New Roman"/>
          <w:sz w:val="24"/>
          <w:szCs w:val="24"/>
        </w:rPr>
        <w:t xml:space="preserve"> major storms, </w:t>
      </w:r>
      <w:r w:rsidR="00C14DCE" w:rsidRPr="00B15C21">
        <w:rPr>
          <w:rFonts w:ascii="Times New Roman" w:hAnsi="Times New Roman" w:cs="Times New Roman"/>
          <w:sz w:val="24"/>
          <w:szCs w:val="24"/>
        </w:rPr>
        <w:t xml:space="preserve">the </w:t>
      </w:r>
      <w:r w:rsidR="00D02A13">
        <w:rPr>
          <w:rFonts w:ascii="Times New Roman" w:hAnsi="Times New Roman" w:cs="Times New Roman"/>
          <w:sz w:val="24"/>
          <w:szCs w:val="24"/>
        </w:rPr>
        <w:t>Utility</w:t>
      </w:r>
      <w:r w:rsidR="00D02A13" w:rsidRPr="00B15C21">
        <w:rPr>
          <w:rFonts w:ascii="Times New Roman" w:hAnsi="Times New Roman" w:cs="Times New Roman"/>
          <w:sz w:val="24"/>
          <w:szCs w:val="24"/>
        </w:rPr>
        <w:t xml:space="preserve"> </w:t>
      </w:r>
      <w:r w:rsidR="00C14DCE" w:rsidRPr="00B15C21">
        <w:rPr>
          <w:rFonts w:ascii="Times New Roman" w:hAnsi="Times New Roman" w:cs="Times New Roman"/>
          <w:sz w:val="24"/>
          <w:szCs w:val="24"/>
        </w:rPr>
        <w:t xml:space="preserve">incurs a certain level of straight-time labor costs during a year.  This level could be considered the utility’s “normal” or “regular” straight-time labor expense level.  </w:t>
      </w:r>
      <w:r w:rsidR="00D87EFB">
        <w:rPr>
          <w:rFonts w:ascii="Times New Roman" w:hAnsi="Times New Roman" w:cs="Times New Roman"/>
          <w:sz w:val="24"/>
          <w:szCs w:val="24"/>
        </w:rPr>
        <w:t xml:space="preserve">“Incremental” labor costs, on the other hand, are those costs that exceed the </w:t>
      </w:r>
      <w:r>
        <w:rPr>
          <w:rFonts w:ascii="Times New Roman" w:hAnsi="Times New Roman" w:cs="Times New Roman"/>
          <w:sz w:val="24"/>
          <w:szCs w:val="24"/>
        </w:rPr>
        <w:t>“</w:t>
      </w:r>
      <w:r w:rsidR="00D87EFB">
        <w:rPr>
          <w:rFonts w:ascii="Times New Roman" w:hAnsi="Times New Roman" w:cs="Times New Roman"/>
          <w:sz w:val="24"/>
          <w:szCs w:val="24"/>
        </w:rPr>
        <w:t>normal” and/or “regular” costs, which would not have been incurred but for the storm</w:t>
      </w:r>
      <w:r>
        <w:rPr>
          <w:rFonts w:ascii="Times New Roman" w:hAnsi="Times New Roman" w:cs="Times New Roman"/>
          <w:sz w:val="24"/>
          <w:szCs w:val="24"/>
        </w:rPr>
        <w:t xml:space="preserve">.  </w:t>
      </w:r>
    </w:p>
    <w:p w14:paraId="1E0B0DB6" w14:textId="22CDFDB8" w:rsidR="00D35C80" w:rsidRDefault="00582EE5" w:rsidP="00D35C80">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This concept, that straight-time labor expense is not an incremental storm cost, has been accepted by the PUCO Staff and th</w:t>
      </w:r>
      <w:r w:rsidR="006D5BCD">
        <w:rPr>
          <w:rFonts w:ascii="Times New Roman" w:hAnsi="Times New Roman" w:cs="Times New Roman"/>
          <w:sz w:val="24"/>
          <w:szCs w:val="24"/>
        </w:rPr>
        <w:t>is</w:t>
      </w:r>
      <w:r>
        <w:rPr>
          <w:rFonts w:ascii="Times New Roman" w:hAnsi="Times New Roman" w:cs="Times New Roman"/>
          <w:sz w:val="24"/>
          <w:szCs w:val="24"/>
        </w:rPr>
        <w:t xml:space="preserve"> Commission in evaluating other storm cost requests such as Duke Energy Ohio’s 2008 Hurricane Ike wind storm cost rider case.  In that case, </w:t>
      </w:r>
      <w:r w:rsidR="00EE4697">
        <w:rPr>
          <w:rFonts w:ascii="Times New Roman" w:hAnsi="Times New Roman" w:cs="Times New Roman"/>
          <w:sz w:val="24"/>
          <w:szCs w:val="24"/>
        </w:rPr>
        <w:t xml:space="preserve">the </w:t>
      </w:r>
      <w:r w:rsidR="00C46EAF">
        <w:rPr>
          <w:rFonts w:ascii="Times New Roman" w:hAnsi="Times New Roman" w:cs="Times New Roman"/>
          <w:sz w:val="24"/>
          <w:szCs w:val="24"/>
        </w:rPr>
        <w:t xml:space="preserve">PUCO </w:t>
      </w:r>
      <w:r>
        <w:rPr>
          <w:rFonts w:ascii="Times New Roman" w:hAnsi="Times New Roman" w:cs="Times New Roman"/>
          <w:sz w:val="24"/>
          <w:szCs w:val="24"/>
        </w:rPr>
        <w:t xml:space="preserve">Staff reduced Duke’s labor expense, </w:t>
      </w:r>
      <w:r w:rsidR="00C46EAF">
        <w:rPr>
          <w:rFonts w:ascii="Times New Roman" w:hAnsi="Times New Roman" w:cs="Times New Roman"/>
          <w:sz w:val="24"/>
          <w:szCs w:val="24"/>
        </w:rPr>
        <w:t xml:space="preserve">because, as </w:t>
      </w:r>
      <w:r w:rsidR="00BD421F">
        <w:rPr>
          <w:rFonts w:ascii="Times New Roman" w:hAnsi="Times New Roman" w:cs="Times New Roman"/>
          <w:sz w:val="24"/>
          <w:szCs w:val="24"/>
        </w:rPr>
        <w:t>it</w:t>
      </w:r>
      <w:r w:rsidR="00C46EAF">
        <w:rPr>
          <w:rFonts w:ascii="Times New Roman" w:hAnsi="Times New Roman" w:cs="Times New Roman"/>
          <w:sz w:val="24"/>
          <w:szCs w:val="24"/>
        </w:rPr>
        <w:t xml:space="preserve"> explained, </w:t>
      </w:r>
      <w:r>
        <w:rPr>
          <w:rFonts w:ascii="Times New Roman" w:hAnsi="Times New Roman" w:cs="Times New Roman"/>
          <w:sz w:val="24"/>
          <w:szCs w:val="24"/>
        </w:rPr>
        <w:t>“the majority of the adjustments for labor expense were for straight-time employees because these expenses, and the associated overhead costs, would have been incurred whether there was a storm or not and would have been included in base rates.”</w:t>
      </w:r>
      <w:r w:rsidR="00A81370">
        <w:rPr>
          <w:rStyle w:val="FootnoteReference"/>
          <w:rFonts w:ascii="Times New Roman" w:hAnsi="Times New Roman" w:cs="Times New Roman"/>
          <w:sz w:val="24"/>
          <w:szCs w:val="24"/>
        </w:rPr>
        <w:footnoteReference w:id="50"/>
      </w:r>
      <w:r w:rsidR="00960135" w:rsidRPr="00B15C21">
        <w:rPr>
          <w:rFonts w:ascii="Times New Roman" w:hAnsi="Times New Roman" w:cs="Times New Roman"/>
          <w:sz w:val="24"/>
          <w:szCs w:val="24"/>
        </w:rPr>
        <w:t xml:space="preserve">  </w:t>
      </w:r>
      <w:r w:rsidR="00234453">
        <w:rPr>
          <w:rFonts w:ascii="Times New Roman" w:hAnsi="Times New Roman" w:cs="Times New Roman"/>
          <w:sz w:val="24"/>
          <w:szCs w:val="24"/>
        </w:rPr>
        <w:t xml:space="preserve">The PUCO should </w:t>
      </w:r>
      <w:r w:rsidR="00EC24BE">
        <w:rPr>
          <w:rFonts w:ascii="Times New Roman" w:hAnsi="Times New Roman" w:cs="Times New Roman"/>
          <w:sz w:val="24"/>
          <w:szCs w:val="24"/>
        </w:rPr>
        <w:t>similarly</w:t>
      </w:r>
      <w:r w:rsidR="00234453">
        <w:rPr>
          <w:rFonts w:ascii="Times New Roman" w:hAnsi="Times New Roman" w:cs="Times New Roman"/>
          <w:sz w:val="24"/>
          <w:szCs w:val="24"/>
        </w:rPr>
        <w:t xml:space="preserve"> reduce DP&amp;L’s claimed labor expense in this case to eliminate straight-time labor expense and associated fringe benefits.</w:t>
      </w:r>
    </w:p>
    <w:p w14:paraId="2919B84A" w14:textId="53348D9D" w:rsidR="00AB3A74" w:rsidRPr="00B15C21" w:rsidRDefault="006D5BCD" w:rsidP="0080211A">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If DP&amp;L were to </w:t>
      </w:r>
      <w:r w:rsidR="00214924">
        <w:rPr>
          <w:rFonts w:ascii="Times New Roman" w:hAnsi="Times New Roman" w:cs="Times New Roman"/>
          <w:sz w:val="24"/>
          <w:szCs w:val="24"/>
        </w:rPr>
        <w:t xml:space="preserve">argue </w:t>
      </w:r>
      <w:r>
        <w:rPr>
          <w:rFonts w:ascii="Times New Roman" w:hAnsi="Times New Roman" w:cs="Times New Roman"/>
          <w:sz w:val="24"/>
          <w:szCs w:val="24"/>
        </w:rPr>
        <w:t xml:space="preserve">that its </w:t>
      </w:r>
      <w:r w:rsidR="00AB3A74" w:rsidRPr="00B15C21">
        <w:rPr>
          <w:rFonts w:ascii="Times New Roman" w:hAnsi="Times New Roman" w:cs="Times New Roman"/>
          <w:sz w:val="24"/>
          <w:szCs w:val="24"/>
        </w:rPr>
        <w:t xml:space="preserve">straight-time labor costs in the Application exceed </w:t>
      </w:r>
      <w:r w:rsidR="00C3787F">
        <w:rPr>
          <w:rFonts w:ascii="Times New Roman" w:hAnsi="Times New Roman" w:cs="Times New Roman"/>
          <w:sz w:val="24"/>
          <w:szCs w:val="24"/>
        </w:rPr>
        <w:t>its</w:t>
      </w:r>
      <w:r w:rsidR="00AB3A74" w:rsidRPr="00B15C21">
        <w:rPr>
          <w:rFonts w:ascii="Times New Roman" w:hAnsi="Times New Roman" w:cs="Times New Roman"/>
          <w:sz w:val="24"/>
          <w:szCs w:val="24"/>
        </w:rPr>
        <w:t xml:space="preserve"> regular straight-time labor expense level, </w:t>
      </w:r>
      <w:r w:rsidR="00D87EFB">
        <w:rPr>
          <w:rFonts w:ascii="Times New Roman" w:hAnsi="Times New Roman" w:cs="Times New Roman"/>
          <w:sz w:val="24"/>
          <w:szCs w:val="24"/>
        </w:rPr>
        <w:t xml:space="preserve">such that they are incremental in nature, </w:t>
      </w:r>
      <w:r w:rsidR="00AB3A74" w:rsidRPr="00B15C21">
        <w:rPr>
          <w:rFonts w:ascii="Times New Roman" w:hAnsi="Times New Roman" w:cs="Times New Roman"/>
          <w:sz w:val="24"/>
          <w:szCs w:val="24"/>
        </w:rPr>
        <w:t>it</w:t>
      </w:r>
      <w:r>
        <w:rPr>
          <w:rFonts w:ascii="Times New Roman" w:hAnsi="Times New Roman" w:cs="Times New Roman"/>
          <w:sz w:val="24"/>
          <w:szCs w:val="24"/>
        </w:rPr>
        <w:t xml:space="preserve"> would be </w:t>
      </w:r>
      <w:r w:rsidR="00AB3A74" w:rsidRPr="00B15C21">
        <w:rPr>
          <w:rFonts w:ascii="Times New Roman" w:hAnsi="Times New Roman" w:cs="Times New Roman"/>
          <w:sz w:val="24"/>
          <w:szCs w:val="24"/>
        </w:rPr>
        <w:t>necessary for</w:t>
      </w:r>
      <w:r>
        <w:rPr>
          <w:rFonts w:ascii="Times New Roman" w:hAnsi="Times New Roman" w:cs="Times New Roman"/>
          <w:sz w:val="24"/>
          <w:szCs w:val="24"/>
        </w:rPr>
        <w:t xml:space="preserve"> </w:t>
      </w:r>
      <w:r w:rsidR="00AB3A74" w:rsidRPr="00B15C21">
        <w:rPr>
          <w:rFonts w:ascii="Times New Roman" w:hAnsi="Times New Roman" w:cs="Times New Roman"/>
          <w:sz w:val="24"/>
          <w:szCs w:val="24"/>
        </w:rPr>
        <w:t xml:space="preserve">the PUCO to know the level of straight-time labor expense the </w:t>
      </w:r>
      <w:r w:rsidR="001931CF">
        <w:rPr>
          <w:rFonts w:ascii="Times New Roman" w:hAnsi="Times New Roman" w:cs="Times New Roman"/>
          <w:sz w:val="24"/>
          <w:szCs w:val="24"/>
        </w:rPr>
        <w:t>Utilit</w:t>
      </w:r>
      <w:r w:rsidR="00AB3A74" w:rsidRPr="00B15C21">
        <w:rPr>
          <w:rFonts w:ascii="Times New Roman" w:hAnsi="Times New Roman" w:cs="Times New Roman"/>
          <w:sz w:val="24"/>
          <w:szCs w:val="24"/>
        </w:rPr>
        <w:t xml:space="preserve">y normally incurs.  </w:t>
      </w:r>
      <w:r w:rsidR="007E3217">
        <w:rPr>
          <w:rFonts w:ascii="Times New Roman" w:hAnsi="Times New Roman" w:cs="Times New Roman"/>
          <w:sz w:val="24"/>
          <w:szCs w:val="24"/>
        </w:rPr>
        <w:t xml:space="preserve">DP&amp;L has not provided this information in its Application. </w:t>
      </w:r>
      <w:r>
        <w:rPr>
          <w:rFonts w:ascii="Times New Roman" w:hAnsi="Times New Roman" w:cs="Times New Roman"/>
          <w:sz w:val="24"/>
          <w:szCs w:val="24"/>
        </w:rPr>
        <w:t xml:space="preserve"> </w:t>
      </w:r>
      <w:r w:rsidR="00AB3A74" w:rsidRPr="00B15C21">
        <w:rPr>
          <w:rFonts w:ascii="Times New Roman" w:hAnsi="Times New Roman" w:cs="Times New Roman"/>
          <w:sz w:val="24"/>
          <w:szCs w:val="24"/>
        </w:rPr>
        <w:t xml:space="preserve">Hence, DP&amp;L – </w:t>
      </w:r>
      <w:r w:rsidR="00AB3A74">
        <w:rPr>
          <w:rFonts w:ascii="Times New Roman" w:hAnsi="Times New Roman" w:cs="Times New Roman"/>
          <w:sz w:val="24"/>
          <w:szCs w:val="24"/>
        </w:rPr>
        <w:t>the party that</w:t>
      </w:r>
      <w:r w:rsidR="00AB3A74" w:rsidRPr="00B15C21">
        <w:rPr>
          <w:rFonts w:ascii="Times New Roman" w:hAnsi="Times New Roman" w:cs="Times New Roman"/>
          <w:sz w:val="24"/>
          <w:szCs w:val="24"/>
        </w:rPr>
        <w:t xml:space="preserve"> has the burden of proof in this proceeding – has not </w:t>
      </w:r>
      <w:r w:rsidR="00AB3A74">
        <w:rPr>
          <w:rFonts w:ascii="Times New Roman" w:hAnsi="Times New Roman" w:cs="Times New Roman"/>
          <w:sz w:val="24"/>
          <w:szCs w:val="24"/>
        </w:rPr>
        <w:t xml:space="preserve">carried its burden of </w:t>
      </w:r>
      <w:r w:rsidR="00D87EFB">
        <w:rPr>
          <w:rFonts w:ascii="Times New Roman" w:hAnsi="Times New Roman" w:cs="Times New Roman"/>
          <w:sz w:val="24"/>
          <w:szCs w:val="24"/>
        </w:rPr>
        <w:t>establishing</w:t>
      </w:r>
      <w:r w:rsidR="00AB3A74" w:rsidRPr="00B15C21">
        <w:rPr>
          <w:rFonts w:ascii="Times New Roman" w:hAnsi="Times New Roman" w:cs="Times New Roman"/>
          <w:sz w:val="24"/>
          <w:szCs w:val="24"/>
        </w:rPr>
        <w:t xml:space="preserve"> that the straight-time labor expense and related fringe benefits claimed in the Application are incremental expense</w:t>
      </w:r>
      <w:r w:rsidR="00AB3A74">
        <w:rPr>
          <w:rFonts w:ascii="Times New Roman" w:hAnsi="Times New Roman" w:cs="Times New Roman"/>
          <w:sz w:val="24"/>
          <w:szCs w:val="24"/>
        </w:rPr>
        <w:t>s</w:t>
      </w:r>
      <w:r w:rsidR="00AB3A74" w:rsidRPr="00B15C21">
        <w:rPr>
          <w:rFonts w:ascii="Times New Roman" w:hAnsi="Times New Roman" w:cs="Times New Roman"/>
          <w:sz w:val="24"/>
          <w:szCs w:val="24"/>
        </w:rPr>
        <w:t>.</w:t>
      </w:r>
      <w:r w:rsidR="00AB3A74">
        <w:rPr>
          <w:rFonts w:ascii="Times New Roman" w:hAnsi="Times New Roman" w:cs="Times New Roman"/>
          <w:sz w:val="24"/>
          <w:szCs w:val="24"/>
        </w:rPr>
        <w:t xml:space="preserve"> </w:t>
      </w:r>
      <w:r w:rsidR="00D87EFB">
        <w:rPr>
          <w:rFonts w:ascii="Times New Roman" w:hAnsi="Times New Roman" w:cs="Times New Roman"/>
          <w:sz w:val="24"/>
          <w:szCs w:val="24"/>
        </w:rPr>
        <w:t xml:space="preserve"> </w:t>
      </w:r>
      <w:r w:rsidR="00AB3A74">
        <w:rPr>
          <w:rFonts w:ascii="Times New Roman" w:hAnsi="Times New Roman" w:cs="Times New Roman"/>
          <w:sz w:val="24"/>
          <w:szCs w:val="24"/>
        </w:rPr>
        <w:t>Therefore,</w:t>
      </w:r>
      <w:r w:rsidR="00AB3A74" w:rsidRPr="00B15C21">
        <w:rPr>
          <w:rFonts w:ascii="Times New Roman" w:hAnsi="Times New Roman" w:cs="Times New Roman"/>
          <w:sz w:val="24"/>
          <w:szCs w:val="24"/>
        </w:rPr>
        <w:t xml:space="preserve"> </w:t>
      </w:r>
      <w:r w:rsidR="00D87EFB">
        <w:rPr>
          <w:rFonts w:ascii="Times New Roman" w:hAnsi="Times New Roman" w:cs="Times New Roman"/>
          <w:sz w:val="24"/>
          <w:szCs w:val="24"/>
        </w:rPr>
        <w:t>t</w:t>
      </w:r>
      <w:r w:rsidR="00D87EFB" w:rsidRPr="00B15C21">
        <w:rPr>
          <w:rFonts w:ascii="Times New Roman" w:hAnsi="Times New Roman" w:cs="Times New Roman"/>
          <w:sz w:val="24"/>
          <w:szCs w:val="24"/>
        </w:rPr>
        <w:t xml:space="preserve">he PUCO should exclude all straight-time labor costs and associated fringe benefits expense from </w:t>
      </w:r>
      <w:r w:rsidR="00C3787F">
        <w:rPr>
          <w:rFonts w:ascii="Times New Roman" w:hAnsi="Times New Roman" w:cs="Times New Roman"/>
          <w:sz w:val="24"/>
          <w:szCs w:val="24"/>
        </w:rPr>
        <w:t xml:space="preserve">the </w:t>
      </w:r>
      <w:r w:rsidR="00D87EFB" w:rsidRPr="00B15C21">
        <w:rPr>
          <w:rFonts w:ascii="Times New Roman" w:hAnsi="Times New Roman" w:cs="Times New Roman"/>
          <w:sz w:val="24"/>
          <w:szCs w:val="24"/>
        </w:rPr>
        <w:t>storm costs</w:t>
      </w:r>
      <w:r w:rsidR="002421CB">
        <w:rPr>
          <w:rFonts w:ascii="Times New Roman" w:hAnsi="Times New Roman" w:cs="Times New Roman"/>
          <w:sz w:val="24"/>
          <w:szCs w:val="24"/>
        </w:rPr>
        <w:t xml:space="preserve"> that it</w:t>
      </w:r>
      <w:r w:rsidR="00C3787F">
        <w:rPr>
          <w:rFonts w:ascii="Times New Roman" w:hAnsi="Times New Roman" w:cs="Times New Roman"/>
          <w:sz w:val="24"/>
          <w:szCs w:val="24"/>
        </w:rPr>
        <w:t xml:space="preserve"> seeks to charge to customers</w:t>
      </w:r>
      <w:r w:rsidR="00AB3A74">
        <w:rPr>
          <w:rFonts w:ascii="Times New Roman" w:hAnsi="Times New Roman" w:cs="Times New Roman"/>
          <w:sz w:val="24"/>
          <w:szCs w:val="24"/>
        </w:rPr>
        <w:t>.</w:t>
      </w:r>
    </w:p>
    <w:p w14:paraId="5ABFB90F" w14:textId="77777777" w:rsidR="0089615B" w:rsidRPr="00B15C21" w:rsidRDefault="00025748" w:rsidP="0080211A">
      <w:pPr>
        <w:pStyle w:val="Heading2"/>
      </w:pPr>
      <w:bookmarkStart w:id="17" w:name="_Toc359248606"/>
      <w:r>
        <w:t>H</w:t>
      </w:r>
      <w:r w:rsidR="006F7244" w:rsidRPr="00B15C21">
        <w:t>.</w:t>
      </w:r>
      <w:r w:rsidR="006F7244" w:rsidRPr="00B15C21">
        <w:tab/>
      </w:r>
      <w:r w:rsidR="00D87EFB">
        <w:t>DP</w:t>
      </w:r>
      <w:r w:rsidR="006A1131">
        <w:t>&amp;</w:t>
      </w:r>
      <w:r w:rsidR="00D87EFB">
        <w:t>L</w:t>
      </w:r>
      <w:r w:rsidR="00607659">
        <w:t xml:space="preserve"> Should Not </w:t>
      </w:r>
      <w:r w:rsidR="006A1131">
        <w:t xml:space="preserve">Be </w:t>
      </w:r>
      <w:r w:rsidR="00607659">
        <w:t>Permitted</w:t>
      </w:r>
      <w:r w:rsidR="00D87EFB">
        <w:t xml:space="preserve"> </w:t>
      </w:r>
      <w:r w:rsidR="006A1131">
        <w:t xml:space="preserve">To </w:t>
      </w:r>
      <w:r w:rsidR="00D87EFB">
        <w:t>Collect Costs</w:t>
      </w:r>
      <w:r w:rsidR="008D6A00">
        <w:t xml:space="preserve"> From Its Customers That Are</w:t>
      </w:r>
      <w:r w:rsidR="00D87EFB">
        <w:t xml:space="preserve"> Associated </w:t>
      </w:r>
      <w:r w:rsidR="006A1131">
        <w:t xml:space="preserve">With </w:t>
      </w:r>
      <w:r w:rsidR="00D87EFB">
        <w:t>Overtime</w:t>
      </w:r>
      <w:r w:rsidR="0089615B" w:rsidRPr="00B15C21">
        <w:t xml:space="preserve"> Pay </w:t>
      </w:r>
      <w:r w:rsidR="006A1131" w:rsidRPr="00B15C21">
        <w:t xml:space="preserve">To </w:t>
      </w:r>
      <w:r w:rsidR="006A1131">
        <w:t xml:space="preserve">The </w:t>
      </w:r>
      <w:r w:rsidR="00D87EFB">
        <w:t>Utility’s</w:t>
      </w:r>
      <w:r w:rsidR="00D87EFB" w:rsidRPr="00B15C21">
        <w:t xml:space="preserve"> </w:t>
      </w:r>
      <w:r w:rsidR="0089615B" w:rsidRPr="00B15C21">
        <w:t xml:space="preserve">Salaried Employees Involved </w:t>
      </w:r>
      <w:r w:rsidR="006A1131" w:rsidRPr="00B15C21">
        <w:t xml:space="preserve">In The </w:t>
      </w:r>
      <w:r w:rsidR="0089615B" w:rsidRPr="00B15C21">
        <w:t>Storm Restoration Effort</w:t>
      </w:r>
      <w:r w:rsidR="006A1131" w:rsidRPr="00B15C21">
        <w:t>.</w:t>
      </w:r>
      <w:bookmarkEnd w:id="17"/>
    </w:p>
    <w:p w14:paraId="082B6DE9" w14:textId="22299DEC" w:rsidR="004918C2" w:rsidRPr="00B15C21" w:rsidRDefault="00A3327B" w:rsidP="0080211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appears that a</w:t>
      </w:r>
      <w:r w:rsidR="00A729FD" w:rsidRPr="00B15C21">
        <w:rPr>
          <w:rFonts w:ascii="Times New Roman" w:hAnsi="Times New Roman" w:cs="Times New Roman"/>
          <w:sz w:val="24"/>
          <w:szCs w:val="24"/>
        </w:rPr>
        <w:t xml:space="preserve"> portion of the overtime labor costs </w:t>
      </w:r>
      <w:r w:rsidR="00D87EFB">
        <w:rPr>
          <w:rFonts w:ascii="Times New Roman" w:hAnsi="Times New Roman" w:cs="Times New Roman"/>
          <w:sz w:val="24"/>
          <w:szCs w:val="24"/>
        </w:rPr>
        <w:t xml:space="preserve">that </w:t>
      </w:r>
      <w:r w:rsidR="00A729FD" w:rsidRPr="00B15C21">
        <w:rPr>
          <w:rFonts w:ascii="Times New Roman" w:hAnsi="Times New Roman" w:cs="Times New Roman"/>
          <w:sz w:val="24"/>
          <w:szCs w:val="24"/>
        </w:rPr>
        <w:t xml:space="preserve">the </w:t>
      </w:r>
      <w:r w:rsidR="00D87EFB">
        <w:rPr>
          <w:rFonts w:ascii="Times New Roman" w:hAnsi="Times New Roman" w:cs="Times New Roman"/>
          <w:sz w:val="24"/>
          <w:szCs w:val="24"/>
        </w:rPr>
        <w:t>Utility</w:t>
      </w:r>
      <w:r w:rsidR="00D87EFB" w:rsidRPr="00B15C21">
        <w:rPr>
          <w:rFonts w:ascii="Times New Roman" w:hAnsi="Times New Roman" w:cs="Times New Roman"/>
          <w:sz w:val="24"/>
          <w:szCs w:val="24"/>
        </w:rPr>
        <w:t xml:space="preserve"> </w:t>
      </w:r>
      <w:r w:rsidR="00A729FD" w:rsidRPr="00B15C21">
        <w:rPr>
          <w:rFonts w:ascii="Times New Roman" w:hAnsi="Times New Roman" w:cs="Times New Roman"/>
          <w:sz w:val="24"/>
          <w:szCs w:val="24"/>
        </w:rPr>
        <w:t xml:space="preserve">seeks to recover through the Rider </w:t>
      </w:r>
      <w:r w:rsidR="00D87EFB">
        <w:rPr>
          <w:rFonts w:ascii="Times New Roman" w:hAnsi="Times New Roman" w:cs="Times New Roman"/>
          <w:sz w:val="24"/>
          <w:szCs w:val="24"/>
        </w:rPr>
        <w:t xml:space="preserve">is not recoverable because it </w:t>
      </w:r>
      <w:r w:rsidR="00A729FD" w:rsidRPr="00B15C21">
        <w:rPr>
          <w:rFonts w:ascii="Times New Roman" w:hAnsi="Times New Roman" w:cs="Times New Roman"/>
          <w:sz w:val="24"/>
          <w:szCs w:val="24"/>
        </w:rPr>
        <w:t xml:space="preserve">was paid to some of DP&amp;L’s salaried employees </w:t>
      </w:r>
      <w:r w:rsidR="00D87EFB">
        <w:rPr>
          <w:rFonts w:ascii="Times New Roman" w:hAnsi="Times New Roman" w:cs="Times New Roman"/>
          <w:sz w:val="24"/>
          <w:szCs w:val="24"/>
        </w:rPr>
        <w:t>that</w:t>
      </w:r>
      <w:r w:rsidR="00D87EFB" w:rsidRPr="00B15C21">
        <w:rPr>
          <w:rFonts w:ascii="Times New Roman" w:hAnsi="Times New Roman" w:cs="Times New Roman"/>
          <w:sz w:val="24"/>
          <w:szCs w:val="24"/>
        </w:rPr>
        <w:t xml:space="preserve"> </w:t>
      </w:r>
      <w:r w:rsidR="00A729FD" w:rsidRPr="00B15C21">
        <w:rPr>
          <w:rFonts w:ascii="Times New Roman" w:hAnsi="Times New Roman" w:cs="Times New Roman"/>
          <w:sz w:val="24"/>
          <w:szCs w:val="24"/>
        </w:rPr>
        <w:t>participated in the storm restoration effort.</w:t>
      </w:r>
      <w:r w:rsidR="006C7843" w:rsidRPr="00B15C21">
        <w:rPr>
          <w:rStyle w:val="FootnoteReference"/>
          <w:rFonts w:ascii="Times New Roman" w:hAnsi="Times New Roman" w:cs="Times New Roman"/>
          <w:sz w:val="24"/>
          <w:szCs w:val="24"/>
        </w:rPr>
        <w:footnoteReference w:id="51"/>
      </w:r>
      <w:r w:rsidR="00A729FD" w:rsidRPr="00B15C21">
        <w:rPr>
          <w:rFonts w:ascii="Times New Roman" w:hAnsi="Times New Roman" w:cs="Times New Roman"/>
          <w:sz w:val="24"/>
          <w:szCs w:val="24"/>
        </w:rPr>
        <w:t xml:space="preserve"> </w:t>
      </w:r>
      <w:r w:rsidR="006518B1" w:rsidRPr="00B15C21">
        <w:rPr>
          <w:rFonts w:ascii="Times New Roman" w:hAnsi="Times New Roman" w:cs="Times New Roman"/>
          <w:sz w:val="24"/>
          <w:szCs w:val="24"/>
        </w:rPr>
        <w:t xml:space="preserve"> </w:t>
      </w:r>
      <w:r w:rsidR="00D87EFB">
        <w:rPr>
          <w:rFonts w:ascii="Times New Roman" w:hAnsi="Times New Roman" w:cs="Times New Roman"/>
          <w:sz w:val="24"/>
          <w:szCs w:val="24"/>
        </w:rPr>
        <w:t>T</w:t>
      </w:r>
      <w:r w:rsidR="00643BA3" w:rsidRPr="00B15C21">
        <w:rPr>
          <w:rFonts w:ascii="Times New Roman" w:hAnsi="Times New Roman" w:cs="Times New Roman"/>
          <w:sz w:val="24"/>
          <w:szCs w:val="24"/>
        </w:rPr>
        <w:t xml:space="preserve">he PUCO </w:t>
      </w:r>
      <w:r w:rsidR="00D87EFB">
        <w:rPr>
          <w:rFonts w:ascii="Times New Roman" w:hAnsi="Times New Roman" w:cs="Times New Roman"/>
          <w:sz w:val="24"/>
          <w:szCs w:val="24"/>
        </w:rPr>
        <w:t>does not permit</w:t>
      </w:r>
      <w:r w:rsidR="00643BA3" w:rsidRPr="00B15C21">
        <w:rPr>
          <w:rFonts w:ascii="Times New Roman" w:hAnsi="Times New Roman" w:cs="Times New Roman"/>
          <w:sz w:val="24"/>
          <w:szCs w:val="24"/>
        </w:rPr>
        <w:t xml:space="preserve"> utilities to charge their customers for supplemental </w:t>
      </w:r>
      <w:r w:rsidR="008B32C9">
        <w:rPr>
          <w:rFonts w:ascii="Times New Roman" w:hAnsi="Times New Roman" w:cs="Times New Roman"/>
          <w:sz w:val="24"/>
          <w:szCs w:val="24"/>
        </w:rPr>
        <w:t>pay given</w:t>
      </w:r>
      <w:r w:rsidR="00643BA3" w:rsidRPr="00B15C21">
        <w:rPr>
          <w:rFonts w:ascii="Times New Roman" w:hAnsi="Times New Roman" w:cs="Times New Roman"/>
          <w:sz w:val="24"/>
          <w:szCs w:val="24"/>
        </w:rPr>
        <w:t xml:space="preserve"> to salaried employees involved in storm restoration efforts</w:t>
      </w:r>
      <w:r w:rsidR="00D87EFB">
        <w:rPr>
          <w:rFonts w:ascii="Times New Roman" w:hAnsi="Times New Roman" w:cs="Times New Roman"/>
          <w:sz w:val="24"/>
          <w:szCs w:val="24"/>
        </w:rPr>
        <w:t xml:space="preserve"> when </w:t>
      </w:r>
      <w:r w:rsidR="00D87EFB" w:rsidRPr="00B15C21">
        <w:rPr>
          <w:rFonts w:ascii="Times New Roman" w:hAnsi="Times New Roman" w:cs="Times New Roman"/>
          <w:sz w:val="24"/>
          <w:szCs w:val="24"/>
        </w:rPr>
        <w:t>th</w:t>
      </w:r>
      <w:r w:rsidR="00610956">
        <w:rPr>
          <w:rFonts w:ascii="Times New Roman" w:hAnsi="Times New Roman" w:cs="Times New Roman"/>
          <w:sz w:val="24"/>
          <w:szCs w:val="24"/>
        </w:rPr>
        <w:t xml:space="preserve">ose employees do not ordinarily receive </w:t>
      </w:r>
      <w:r w:rsidR="00D87EFB" w:rsidRPr="00B15C21">
        <w:rPr>
          <w:rFonts w:ascii="Times New Roman" w:hAnsi="Times New Roman" w:cs="Times New Roman"/>
          <w:sz w:val="24"/>
          <w:szCs w:val="24"/>
        </w:rPr>
        <w:t>overtime</w:t>
      </w:r>
      <w:r w:rsidR="00610956">
        <w:rPr>
          <w:rFonts w:ascii="Times New Roman" w:hAnsi="Times New Roman" w:cs="Times New Roman"/>
          <w:sz w:val="24"/>
          <w:szCs w:val="24"/>
        </w:rPr>
        <w:t xml:space="preserve"> pay</w:t>
      </w:r>
      <w:r w:rsidR="00D87EFB" w:rsidRPr="00B15C21">
        <w:rPr>
          <w:rFonts w:ascii="Times New Roman" w:hAnsi="Times New Roman" w:cs="Times New Roman"/>
          <w:sz w:val="24"/>
          <w:szCs w:val="24"/>
        </w:rPr>
        <w:t xml:space="preserve"> and the supplemental </w:t>
      </w:r>
      <w:r w:rsidR="006C0FC5">
        <w:rPr>
          <w:rFonts w:ascii="Times New Roman" w:hAnsi="Times New Roman" w:cs="Times New Roman"/>
          <w:sz w:val="24"/>
          <w:szCs w:val="24"/>
        </w:rPr>
        <w:t>pay</w:t>
      </w:r>
      <w:r w:rsidR="00D87EFB" w:rsidRPr="00B15C21">
        <w:rPr>
          <w:rFonts w:ascii="Times New Roman" w:hAnsi="Times New Roman" w:cs="Times New Roman"/>
          <w:sz w:val="24"/>
          <w:szCs w:val="24"/>
        </w:rPr>
        <w:t xml:space="preserve"> is </w:t>
      </w:r>
      <w:r w:rsidR="006C0FC5">
        <w:rPr>
          <w:rFonts w:ascii="Times New Roman" w:hAnsi="Times New Roman" w:cs="Times New Roman"/>
          <w:sz w:val="24"/>
          <w:szCs w:val="24"/>
        </w:rPr>
        <w:t xml:space="preserve">given </w:t>
      </w:r>
      <w:r w:rsidR="00D87EFB" w:rsidRPr="00B15C21">
        <w:rPr>
          <w:rFonts w:ascii="Times New Roman" w:hAnsi="Times New Roman" w:cs="Times New Roman"/>
          <w:sz w:val="24"/>
          <w:szCs w:val="24"/>
        </w:rPr>
        <w:t>at the utility’s discretion</w:t>
      </w:r>
      <w:r w:rsidR="006518B1" w:rsidRPr="00B15C21">
        <w:rPr>
          <w:rFonts w:ascii="Times New Roman" w:hAnsi="Times New Roman" w:cs="Times New Roman"/>
          <w:sz w:val="24"/>
          <w:szCs w:val="24"/>
        </w:rPr>
        <w:t>.</w:t>
      </w:r>
      <w:r w:rsidR="006C7843" w:rsidRPr="00B15C21">
        <w:rPr>
          <w:rStyle w:val="FootnoteReference"/>
          <w:rFonts w:ascii="Times New Roman" w:hAnsi="Times New Roman" w:cs="Times New Roman"/>
          <w:sz w:val="24"/>
          <w:szCs w:val="24"/>
        </w:rPr>
        <w:footnoteReference w:id="52"/>
      </w:r>
      <w:r w:rsidR="006518B1" w:rsidRPr="00B15C21">
        <w:rPr>
          <w:rFonts w:ascii="Times New Roman" w:hAnsi="Times New Roman" w:cs="Times New Roman"/>
          <w:sz w:val="24"/>
          <w:szCs w:val="24"/>
        </w:rPr>
        <w:t xml:space="preserve">  The Supreme Court upheld the PUCO’s decision.</w:t>
      </w:r>
      <w:r w:rsidR="001F7144" w:rsidRPr="00B15C21">
        <w:rPr>
          <w:rStyle w:val="FootnoteReference"/>
          <w:rFonts w:ascii="Times New Roman" w:hAnsi="Times New Roman" w:cs="Times New Roman"/>
          <w:sz w:val="24"/>
          <w:szCs w:val="24"/>
        </w:rPr>
        <w:footnoteReference w:id="53"/>
      </w:r>
    </w:p>
    <w:p w14:paraId="052447FC" w14:textId="319C3110" w:rsidR="00B15C21" w:rsidRPr="00B15C21" w:rsidRDefault="006E1C54" w:rsidP="0080211A">
      <w:pPr>
        <w:spacing w:after="240" w:line="480" w:lineRule="auto"/>
        <w:ind w:firstLine="720"/>
        <w:rPr>
          <w:rFonts w:ascii="Times New Roman" w:hAnsi="Times New Roman" w:cs="Times New Roman"/>
          <w:b/>
          <w:sz w:val="24"/>
          <w:szCs w:val="24"/>
        </w:rPr>
      </w:pPr>
      <w:r w:rsidRPr="00B15C21">
        <w:rPr>
          <w:rFonts w:ascii="Times New Roman" w:hAnsi="Times New Roman" w:cs="Times New Roman"/>
          <w:sz w:val="24"/>
          <w:szCs w:val="24"/>
        </w:rPr>
        <w:t xml:space="preserve">DP&amp;L’s customers should not </w:t>
      </w:r>
      <w:r w:rsidR="00DC2839" w:rsidRPr="00B15C21">
        <w:rPr>
          <w:rFonts w:ascii="Times New Roman" w:hAnsi="Times New Roman" w:cs="Times New Roman"/>
          <w:sz w:val="24"/>
          <w:szCs w:val="24"/>
        </w:rPr>
        <w:t>pay</w:t>
      </w:r>
      <w:r w:rsidR="00DC2839">
        <w:rPr>
          <w:rFonts w:ascii="Times New Roman" w:hAnsi="Times New Roman" w:cs="Times New Roman"/>
          <w:sz w:val="24"/>
          <w:szCs w:val="24"/>
        </w:rPr>
        <w:t xml:space="preserve"> for </w:t>
      </w:r>
      <w:r w:rsidRPr="00B15C21">
        <w:rPr>
          <w:rFonts w:ascii="Times New Roman" w:hAnsi="Times New Roman" w:cs="Times New Roman"/>
          <w:sz w:val="24"/>
          <w:szCs w:val="24"/>
        </w:rPr>
        <w:t xml:space="preserve">the supplemental compensation </w:t>
      </w:r>
      <w:r w:rsidR="00D87EFB">
        <w:rPr>
          <w:rFonts w:ascii="Times New Roman" w:hAnsi="Times New Roman" w:cs="Times New Roman"/>
          <w:sz w:val="24"/>
          <w:szCs w:val="24"/>
        </w:rPr>
        <w:t>that DP&amp;L</w:t>
      </w:r>
      <w:r w:rsidRPr="00B15C21">
        <w:rPr>
          <w:rFonts w:ascii="Times New Roman" w:hAnsi="Times New Roman" w:cs="Times New Roman"/>
          <w:sz w:val="24"/>
          <w:szCs w:val="24"/>
        </w:rPr>
        <w:t xml:space="preserve"> </w:t>
      </w:r>
      <w:r w:rsidR="00D87EFB">
        <w:rPr>
          <w:rFonts w:ascii="Times New Roman" w:hAnsi="Times New Roman" w:cs="Times New Roman"/>
          <w:sz w:val="24"/>
          <w:szCs w:val="24"/>
        </w:rPr>
        <w:t xml:space="preserve">chose to </w:t>
      </w:r>
      <w:r w:rsidRPr="00B15C21">
        <w:rPr>
          <w:rFonts w:ascii="Times New Roman" w:hAnsi="Times New Roman" w:cs="Times New Roman"/>
          <w:sz w:val="24"/>
          <w:szCs w:val="24"/>
        </w:rPr>
        <w:t>pa</w:t>
      </w:r>
      <w:r w:rsidR="00D87EFB">
        <w:rPr>
          <w:rFonts w:ascii="Times New Roman" w:hAnsi="Times New Roman" w:cs="Times New Roman"/>
          <w:sz w:val="24"/>
          <w:szCs w:val="24"/>
        </w:rPr>
        <w:t>y</w:t>
      </w:r>
      <w:r w:rsidRPr="00B15C21">
        <w:rPr>
          <w:rFonts w:ascii="Times New Roman" w:hAnsi="Times New Roman" w:cs="Times New Roman"/>
          <w:sz w:val="24"/>
          <w:szCs w:val="24"/>
        </w:rPr>
        <w:t xml:space="preserve"> its salaried employees </w:t>
      </w:r>
      <w:r w:rsidR="002250AF">
        <w:rPr>
          <w:rFonts w:ascii="Times New Roman" w:hAnsi="Times New Roman" w:cs="Times New Roman"/>
          <w:sz w:val="24"/>
          <w:szCs w:val="24"/>
        </w:rPr>
        <w:t>who</w:t>
      </w:r>
      <w:r w:rsidR="00D87EFB" w:rsidRPr="00B15C21">
        <w:rPr>
          <w:rFonts w:ascii="Times New Roman" w:hAnsi="Times New Roman" w:cs="Times New Roman"/>
          <w:sz w:val="24"/>
          <w:szCs w:val="24"/>
        </w:rPr>
        <w:t xml:space="preserve"> </w:t>
      </w:r>
      <w:r w:rsidRPr="00B15C21">
        <w:rPr>
          <w:rFonts w:ascii="Times New Roman" w:hAnsi="Times New Roman" w:cs="Times New Roman"/>
          <w:sz w:val="24"/>
          <w:szCs w:val="24"/>
        </w:rPr>
        <w:t xml:space="preserve">worked on storm restoration. </w:t>
      </w:r>
      <w:r w:rsidR="00D87EFB">
        <w:rPr>
          <w:rFonts w:ascii="Times New Roman" w:hAnsi="Times New Roman" w:cs="Times New Roman"/>
          <w:sz w:val="24"/>
          <w:szCs w:val="24"/>
        </w:rPr>
        <w:t xml:space="preserve"> For that reason, </w:t>
      </w:r>
      <w:r w:rsidR="003C40D9">
        <w:rPr>
          <w:rFonts w:ascii="Times New Roman" w:hAnsi="Times New Roman" w:cs="Times New Roman"/>
          <w:sz w:val="24"/>
          <w:szCs w:val="24"/>
        </w:rPr>
        <w:t>DP&amp;L should be required to identify and</w:t>
      </w:r>
      <w:r w:rsidRPr="00B15C21">
        <w:rPr>
          <w:rFonts w:ascii="Times New Roman" w:hAnsi="Times New Roman" w:cs="Times New Roman"/>
          <w:sz w:val="24"/>
          <w:szCs w:val="24"/>
        </w:rPr>
        <w:t xml:space="preserve"> reduce </w:t>
      </w:r>
      <w:r w:rsidR="00C00D2D">
        <w:rPr>
          <w:rFonts w:ascii="Times New Roman" w:hAnsi="Times New Roman" w:cs="Times New Roman"/>
          <w:sz w:val="24"/>
          <w:szCs w:val="24"/>
        </w:rPr>
        <w:t>the</w:t>
      </w:r>
      <w:r w:rsidR="003C40D9">
        <w:rPr>
          <w:rFonts w:ascii="Times New Roman" w:hAnsi="Times New Roman" w:cs="Times New Roman"/>
          <w:sz w:val="24"/>
          <w:szCs w:val="24"/>
        </w:rPr>
        <w:t xml:space="preserve"> </w:t>
      </w:r>
      <w:r w:rsidRPr="00B15C21">
        <w:rPr>
          <w:rFonts w:ascii="Times New Roman" w:hAnsi="Times New Roman" w:cs="Times New Roman"/>
          <w:sz w:val="24"/>
          <w:szCs w:val="24"/>
        </w:rPr>
        <w:t>storm cost</w:t>
      </w:r>
      <w:r w:rsidR="00C00D2D">
        <w:rPr>
          <w:rFonts w:ascii="Times New Roman" w:hAnsi="Times New Roman" w:cs="Times New Roman"/>
          <w:sz w:val="24"/>
          <w:szCs w:val="24"/>
        </w:rPr>
        <w:t>s</w:t>
      </w:r>
      <w:r w:rsidR="00CB5B78">
        <w:rPr>
          <w:rFonts w:ascii="Times New Roman" w:hAnsi="Times New Roman" w:cs="Times New Roman"/>
          <w:sz w:val="24"/>
          <w:szCs w:val="24"/>
        </w:rPr>
        <w:t xml:space="preserve"> </w:t>
      </w:r>
      <w:r w:rsidR="00C00D2D">
        <w:rPr>
          <w:rFonts w:ascii="Times New Roman" w:hAnsi="Times New Roman" w:cs="Times New Roman"/>
          <w:sz w:val="24"/>
          <w:szCs w:val="24"/>
        </w:rPr>
        <w:t xml:space="preserve">it seeks to charge customers, </w:t>
      </w:r>
      <w:r w:rsidR="003C40D9">
        <w:rPr>
          <w:rFonts w:ascii="Times New Roman" w:hAnsi="Times New Roman" w:cs="Times New Roman"/>
          <w:sz w:val="24"/>
          <w:szCs w:val="24"/>
        </w:rPr>
        <w:t xml:space="preserve">by </w:t>
      </w:r>
      <w:r w:rsidRPr="00B15C21">
        <w:rPr>
          <w:rFonts w:ascii="Times New Roman" w:hAnsi="Times New Roman" w:cs="Times New Roman"/>
          <w:sz w:val="24"/>
          <w:szCs w:val="24"/>
        </w:rPr>
        <w:t xml:space="preserve">the amount of overtime </w:t>
      </w:r>
      <w:r w:rsidR="00BA0F0C" w:rsidRPr="00B15C21">
        <w:rPr>
          <w:rFonts w:ascii="Times New Roman" w:hAnsi="Times New Roman" w:cs="Times New Roman"/>
          <w:sz w:val="24"/>
          <w:szCs w:val="24"/>
        </w:rPr>
        <w:t>labor costs and fringe benefits expense</w:t>
      </w:r>
      <w:r w:rsidR="00D87EFB">
        <w:rPr>
          <w:rFonts w:ascii="Times New Roman" w:hAnsi="Times New Roman" w:cs="Times New Roman"/>
          <w:sz w:val="24"/>
          <w:szCs w:val="24"/>
        </w:rPr>
        <w:t>s</w:t>
      </w:r>
      <w:r w:rsidR="00BA0F0C" w:rsidRPr="00B15C21">
        <w:rPr>
          <w:rFonts w:ascii="Times New Roman" w:hAnsi="Times New Roman" w:cs="Times New Roman"/>
          <w:sz w:val="24"/>
          <w:szCs w:val="24"/>
        </w:rPr>
        <w:t xml:space="preserve"> </w:t>
      </w:r>
      <w:r w:rsidRPr="00B15C21">
        <w:rPr>
          <w:rFonts w:ascii="Times New Roman" w:hAnsi="Times New Roman" w:cs="Times New Roman"/>
          <w:sz w:val="24"/>
          <w:szCs w:val="24"/>
        </w:rPr>
        <w:t xml:space="preserve">paid </w:t>
      </w:r>
      <w:r w:rsidR="006C7794" w:rsidRPr="00B15C21">
        <w:rPr>
          <w:rFonts w:ascii="Times New Roman" w:hAnsi="Times New Roman" w:cs="Times New Roman"/>
          <w:sz w:val="24"/>
          <w:szCs w:val="24"/>
        </w:rPr>
        <w:t xml:space="preserve">to </w:t>
      </w:r>
      <w:r w:rsidRPr="00B15C21">
        <w:rPr>
          <w:rFonts w:ascii="Times New Roman" w:hAnsi="Times New Roman" w:cs="Times New Roman"/>
          <w:sz w:val="24"/>
          <w:szCs w:val="24"/>
        </w:rPr>
        <w:t>DP&amp;L</w:t>
      </w:r>
      <w:r w:rsidR="00D87EFB">
        <w:rPr>
          <w:rFonts w:ascii="Times New Roman" w:hAnsi="Times New Roman" w:cs="Times New Roman"/>
          <w:sz w:val="24"/>
          <w:szCs w:val="24"/>
        </w:rPr>
        <w:t>’s</w:t>
      </w:r>
      <w:r w:rsidRPr="00B15C21">
        <w:rPr>
          <w:rFonts w:ascii="Times New Roman" w:hAnsi="Times New Roman" w:cs="Times New Roman"/>
          <w:sz w:val="24"/>
          <w:szCs w:val="24"/>
        </w:rPr>
        <w:t xml:space="preserve"> salaried employees</w:t>
      </w:r>
      <w:r w:rsidR="006C7794" w:rsidRPr="00B15C21">
        <w:rPr>
          <w:rFonts w:ascii="Times New Roman" w:hAnsi="Times New Roman" w:cs="Times New Roman"/>
          <w:sz w:val="24"/>
          <w:szCs w:val="24"/>
        </w:rPr>
        <w:t>.</w:t>
      </w:r>
    </w:p>
    <w:p w14:paraId="2FBB30D5" w14:textId="77777777" w:rsidR="00AE37BF" w:rsidRDefault="00AE37BF">
      <w:pPr>
        <w:rPr>
          <w:rFonts w:ascii="Times New Roman Bold" w:hAnsi="Times New Roman Bold" w:cs="Times New Roman"/>
          <w:b/>
          <w:sz w:val="24"/>
          <w:szCs w:val="24"/>
        </w:rPr>
      </w:pPr>
      <w:bookmarkStart w:id="18" w:name="_Toc358210980"/>
      <w:r>
        <w:br w:type="page"/>
      </w:r>
    </w:p>
    <w:p w14:paraId="5BEA34D5" w14:textId="3609C444" w:rsidR="00953F04" w:rsidRPr="00282066" w:rsidRDefault="00025748" w:rsidP="0080211A">
      <w:pPr>
        <w:pStyle w:val="Heading2"/>
      </w:pPr>
      <w:bookmarkStart w:id="19" w:name="_Toc359248607"/>
      <w:r>
        <w:t>I</w:t>
      </w:r>
      <w:r w:rsidR="00953F04" w:rsidRPr="00810526">
        <w:t>.</w:t>
      </w:r>
      <w:r w:rsidR="00953F04" w:rsidRPr="00810526">
        <w:tab/>
        <w:t xml:space="preserve">The </w:t>
      </w:r>
      <w:r w:rsidR="008C0ECC">
        <w:t>PUCO</w:t>
      </w:r>
      <w:r w:rsidR="008C0ECC" w:rsidRPr="00810526">
        <w:t xml:space="preserve"> </w:t>
      </w:r>
      <w:r w:rsidR="00953F04" w:rsidRPr="00810526">
        <w:t xml:space="preserve">Should Reject </w:t>
      </w:r>
      <w:r w:rsidR="00282066">
        <w:t>DP&amp;L</w:t>
      </w:r>
      <w:r w:rsidR="00953F04" w:rsidRPr="00810526">
        <w:t xml:space="preserve">’s </w:t>
      </w:r>
      <w:r w:rsidR="00282066">
        <w:t xml:space="preserve">Request </w:t>
      </w:r>
      <w:r w:rsidR="0049180E">
        <w:t>To Establish A</w:t>
      </w:r>
      <w:r w:rsidR="00282066">
        <w:t xml:space="preserve"> Rider To Collect</w:t>
      </w:r>
      <w:r w:rsidR="00953F04" w:rsidRPr="00810526">
        <w:t xml:space="preserve"> The Costs Of </w:t>
      </w:r>
      <w:r w:rsidR="00E740E3">
        <w:t xml:space="preserve">Future </w:t>
      </w:r>
      <w:r w:rsidR="00953F04" w:rsidRPr="00810526">
        <w:t>Storm Damage From Customers.</w:t>
      </w:r>
      <w:bookmarkEnd w:id="18"/>
      <w:bookmarkEnd w:id="19"/>
    </w:p>
    <w:p w14:paraId="42F9C89D" w14:textId="501313D8" w:rsidR="00953F04" w:rsidRPr="00A81370" w:rsidRDefault="00953F04" w:rsidP="006A1131">
      <w:pPr>
        <w:spacing w:after="0" w:line="480" w:lineRule="auto"/>
        <w:ind w:firstLine="720"/>
        <w:rPr>
          <w:rFonts w:ascii="Times New Roman" w:eastAsia="Calibri" w:hAnsi="Times New Roman" w:cs="Times New Roman"/>
          <w:sz w:val="24"/>
          <w:szCs w:val="24"/>
        </w:rPr>
      </w:pPr>
      <w:r w:rsidRPr="00A81370">
        <w:rPr>
          <w:rFonts w:ascii="Times New Roman" w:eastAsia="Calibri" w:hAnsi="Times New Roman" w:cs="Times New Roman"/>
          <w:sz w:val="24"/>
          <w:szCs w:val="24"/>
        </w:rPr>
        <w:t xml:space="preserve">The </w:t>
      </w:r>
      <w:r w:rsidR="008C0ECC">
        <w:rPr>
          <w:rFonts w:ascii="Times New Roman" w:eastAsia="Calibri" w:hAnsi="Times New Roman" w:cs="Times New Roman"/>
          <w:sz w:val="24"/>
          <w:szCs w:val="24"/>
        </w:rPr>
        <w:t>PUCO</w:t>
      </w:r>
      <w:r w:rsidR="008C0ECC" w:rsidRPr="00A81370">
        <w:rPr>
          <w:rFonts w:ascii="Times New Roman" w:eastAsia="Calibri" w:hAnsi="Times New Roman" w:cs="Times New Roman"/>
          <w:sz w:val="24"/>
          <w:szCs w:val="24"/>
        </w:rPr>
        <w:t xml:space="preserve"> </w:t>
      </w:r>
      <w:r w:rsidRPr="00A81370">
        <w:rPr>
          <w:rFonts w:ascii="Times New Roman" w:eastAsia="Calibri" w:hAnsi="Times New Roman" w:cs="Times New Roman"/>
          <w:sz w:val="24"/>
          <w:szCs w:val="24"/>
        </w:rPr>
        <w:t>should reject</w:t>
      </w:r>
      <w:r w:rsidR="00E80B92">
        <w:rPr>
          <w:rFonts w:ascii="Times New Roman" w:eastAsia="Calibri" w:hAnsi="Times New Roman" w:cs="Times New Roman"/>
          <w:sz w:val="24"/>
          <w:szCs w:val="24"/>
        </w:rPr>
        <w:t xml:space="preserve"> </w:t>
      </w:r>
      <w:r w:rsidRPr="00A81370">
        <w:rPr>
          <w:rFonts w:ascii="Times New Roman" w:eastAsia="Calibri" w:hAnsi="Times New Roman" w:cs="Times New Roman"/>
          <w:sz w:val="24"/>
          <w:szCs w:val="24"/>
        </w:rPr>
        <w:t>DP&amp;L</w:t>
      </w:r>
      <w:r w:rsidR="00E80B92">
        <w:rPr>
          <w:rFonts w:ascii="Times New Roman" w:eastAsia="Calibri" w:hAnsi="Times New Roman" w:cs="Times New Roman"/>
          <w:sz w:val="24"/>
          <w:szCs w:val="24"/>
        </w:rPr>
        <w:t xml:space="preserve">’s request to </w:t>
      </w:r>
      <w:r w:rsidRPr="00A81370">
        <w:rPr>
          <w:rFonts w:ascii="Times New Roman" w:eastAsia="Calibri" w:hAnsi="Times New Roman" w:cs="Times New Roman"/>
          <w:sz w:val="24"/>
          <w:szCs w:val="24"/>
        </w:rPr>
        <w:t xml:space="preserve">establish a Storm </w:t>
      </w:r>
      <w:r w:rsidR="00E80B92">
        <w:rPr>
          <w:rFonts w:ascii="Times New Roman" w:eastAsia="Calibri" w:hAnsi="Times New Roman" w:cs="Times New Roman"/>
          <w:sz w:val="24"/>
          <w:szCs w:val="24"/>
        </w:rPr>
        <w:t>Cost</w:t>
      </w:r>
      <w:r w:rsidRPr="00A81370">
        <w:rPr>
          <w:rFonts w:ascii="Times New Roman" w:eastAsia="Calibri" w:hAnsi="Times New Roman" w:cs="Times New Roman"/>
          <w:sz w:val="24"/>
          <w:szCs w:val="24"/>
        </w:rPr>
        <w:t xml:space="preserve"> Recovery Rider (“Storm Rider”).</w:t>
      </w:r>
      <w:r w:rsidRPr="00A81370">
        <w:rPr>
          <w:rFonts w:ascii="Times New Roman" w:eastAsia="Calibri" w:hAnsi="Times New Roman" w:cs="Times New Roman"/>
          <w:sz w:val="24"/>
          <w:szCs w:val="24"/>
          <w:vertAlign w:val="superscript"/>
        </w:rPr>
        <w:footnoteReference w:id="54"/>
      </w:r>
      <w:r w:rsidRPr="00A81370">
        <w:rPr>
          <w:rFonts w:ascii="Times New Roman" w:eastAsia="Calibri" w:hAnsi="Times New Roman" w:cs="Times New Roman"/>
          <w:sz w:val="24"/>
          <w:szCs w:val="24"/>
        </w:rPr>
        <w:t xml:space="preserve">  Specifically, </w:t>
      </w:r>
      <w:r w:rsidR="00E80B92">
        <w:rPr>
          <w:rFonts w:ascii="Times New Roman" w:eastAsia="Calibri" w:hAnsi="Times New Roman" w:cs="Times New Roman"/>
          <w:sz w:val="24"/>
          <w:szCs w:val="24"/>
        </w:rPr>
        <w:t xml:space="preserve">DP&amp;L requests that </w:t>
      </w:r>
      <w:r w:rsidRPr="00A81370">
        <w:rPr>
          <w:rFonts w:ascii="Times New Roman" w:eastAsia="Calibri" w:hAnsi="Times New Roman" w:cs="Times New Roman"/>
          <w:sz w:val="24"/>
          <w:szCs w:val="24"/>
        </w:rPr>
        <w:t xml:space="preserve">the Commission authorize a Storm Rider (on a going-forward basis) so that DP&amp;L can defer </w:t>
      </w:r>
      <w:r w:rsidR="00E80B92">
        <w:rPr>
          <w:rFonts w:ascii="Times New Roman" w:eastAsia="Calibri" w:hAnsi="Times New Roman" w:cs="Times New Roman"/>
          <w:sz w:val="24"/>
          <w:szCs w:val="24"/>
        </w:rPr>
        <w:t>“all costs associated with major storms”</w:t>
      </w:r>
      <w:r w:rsidR="001474DE">
        <w:rPr>
          <w:rFonts w:ascii="Times New Roman" w:eastAsia="Calibri" w:hAnsi="Times New Roman" w:cs="Times New Roman"/>
          <w:sz w:val="24"/>
          <w:szCs w:val="24"/>
        </w:rPr>
        <w:t xml:space="preserve"> </w:t>
      </w:r>
      <w:r w:rsidR="00E80B92">
        <w:rPr>
          <w:rFonts w:ascii="Times New Roman" w:eastAsia="Calibri" w:hAnsi="Times New Roman" w:cs="Times New Roman"/>
          <w:sz w:val="24"/>
          <w:szCs w:val="24"/>
        </w:rPr>
        <w:t xml:space="preserve">until </w:t>
      </w:r>
      <w:r w:rsidR="00FF748A">
        <w:rPr>
          <w:rFonts w:ascii="Times New Roman" w:eastAsia="Calibri" w:hAnsi="Times New Roman" w:cs="Times New Roman"/>
          <w:sz w:val="24"/>
          <w:szCs w:val="24"/>
        </w:rPr>
        <w:t xml:space="preserve">it </w:t>
      </w:r>
      <w:r w:rsidR="00E80B92">
        <w:rPr>
          <w:rFonts w:ascii="Times New Roman" w:eastAsia="Calibri" w:hAnsi="Times New Roman" w:cs="Times New Roman"/>
          <w:sz w:val="24"/>
          <w:szCs w:val="24"/>
        </w:rPr>
        <w:t>ha</w:t>
      </w:r>
      <w:r w:rsidR="00FF748A">
        <w:rPr>
          <w:rFonts w:ascii="Times New Roman" w:eastAsia="Calibri" w:hAnsi="Times New Roman" w:cs="Times New Roman"/>
          <w:sz w:val="24"/>
          <w:szCs w:val="24"/>
        </w:rPr>
        <w:t>s</w:t>
      </w:r>
      <w:r w:rsidR="00E80B92">
        <w:rPr>
          <w:rFonts w:ascii="Times New Roman" w:eastAsia="Calibri" w:hAnsi="Times New Roman" w:cs="Times New Roman"/>
          <w:sz w:val="24"/>
          <w:szCs w:val="24"/>
        </w:rPr>
        <w:t xml:space="preserve"> collected all of the storm costs from its customers.</w:t>
      </w:r>
      <w:r w:rsidRPr="00A81370">
        <w:rPr>
          <w:rFonts w:ascii="Times New Roman" w:eastAsia="Calibri" w:hAnsi="Times New Roman" w:cs="Times New Roman"/>
          <w:sz w:val="24"/>
          <w:szCs w:val="24"/>
          <w:vertAlign w:val="superscript"/>
        </w:rPr>
        <w:footnoteReference w:id="55"/>
      </w:r>
    </w:p>
    <w:p w14:paraId="039204D5" w14:textId="1BAE3AE8" w:rsidR="00953F04" w:rsidRPr="00A81370" w:rsidRDefault="00953F04" w:rsidP="006A1131">
      <w:pPr>
        <w:spacing w:after="0" w:line="480" w:lineRule="auto"/>
        <w:ind w:firstLine="720"/>
        <w:rPr>
          <w:rFonts w:ascii="Times New Roman" w:eastAsia="Calibri" w:hAnsi="Times New Roman" w:cs="Times New Roman"/>
          <w:sz w:val="24"/>
          <w:szCs w:val="24"/>
        </w:rPr>
      </w:pPr>
      <w:r w:rsidRPr="00A81370">
        <w:rPr>
          <w:rFonts w:ascii="Times New Roman" w:eastAsia="Calibri" w:hAnsi="Times New Roman" w:cs="Times New Roman"/>
          <w:sz w:val="24"/>
          <w:szCs w:val="24"/>
        </w:rPr>
        <w:t xml:space="preserve">The </w:t>
      </w:r>
      <w:r w:rsidR="008C0ECC">
        <w:rPr>
          <w:rFonts w:ascii="Times New Roman" w:eastAsia="Calibri" w:hAnsi="Times New Roman" w:cs="Times New Roman"/>
          <w:sz w:val="24"/>
          <w:szCs w:val="24"/>
        </w:rPr>
        <w:t>PUCO</w:t>
      </w:r>
      <w:r w:rsidR="008C0ECC" w:rsidRPr="00A81370">
        <w:rPr>
          <w:rFonts w:ascii="Times New Roman" w:eastAsia="Calibri" w:hAnsi="Times New Roman" w:cs="Times New Roman"/>
          <w:sz w:val="24"/>
          <w:szCs w:val="24"/>
        </w:rPr>
        <w:t xml:space="preserve"> </w:t>
      </w:r>
      <w:r w:rsidRPr="00A81370">
        <w:rPr>
          <w:rFonts w:ascii="Times New Roman" w:eastAsia="Calibri" w:hAnsi="Times New Roman" w:cs="Times New Roman"/>
          <w:sz w:val="24"/>
          <w:szCs w:val="24"/>
        </w:rPr>
        <w:t xml:space="preserve">should deny </w:t>
      </w:r>
      <w:r w:rsidR="00E80B92">
        <w:rPr>
          <w:rFonts w:ascii="Times New Roman" w:eastAsia="Calibri" w:hAnsi="Times New Roman" w:cs="Times New Roman"/>
          <w:sz w:val="24"/>
          <w:szCs w:val="24"/>
        </w:rPr>
        <w:t>DP&amp;L</w:t>
      </w:r>
      <w:r w:rsidRPr="00A81370">
        <w:rPr>
          <w:rFonts w:ascii="Times New Roman" w:eastAsia="Calibri" w:hAnsi="Times New Roman" w:cs="Times New Roman"/>
          <w:sz w:val="24"/>
          <w:szCs w:val="24"/>
        </w:rPr>
        <w:t xml:space="preserve">’s proposed Storm Rider because it is unreasonable.  It is unreasonable because such a proposal would permit DP&amp;L to track changes in only one expense element (i.e., major storm costs) of its total revenue requirement.  In tracking only this one expense item, the presumption is that DP&amp;L is entitled to collect, from customers, major storm-related costs incurred that are higher than the amount of those particular costs included in the determination of distribution rates.  That is a mistaken presumption and contrary to how ratemaking should balance the interests of customers and utility investors.  </w:t>
      </w:r>
    </w:p>
    <w:p w14:paraId="13D01209" w14:textId="29BE0881" w:rsidR="00953F04" w:rsidRPr="00A81370" w:rsidRDefault="00953F04" w:rsidP="006A1131">
      <w:pPr>
        <w:spacing w:after="0" w:line="480" w:lineRule="auto"/>
        <w:ind w:firstLine="720"/>
        <w:rPr>
          <w:rFonts w:ascii="Times New Roman" w:eastAsia="Calibri" w:hAnsi="Times New Roman" w:cs="Times New Roman"/>
          <w:sz w:val="24"/>
          <w:szCs w:val="24"/>
        </w:rPr>
      </w:pPr>
      <w:r w:rsidRPr="00A81370">
        <w:rPr>
          <w:rFonts w:ascii="Times New Roman" w:eastAsia="Calibri" w:hAnsi="Times New Roman" w:cs="Times New Roman"/>
          <w:sz w:val="24"/>
          <w:szCs w:val="24"/>
        </w:rPr>
        <w:t xml:space="preserve">A utility should be required to prove to the </w:t>
      </w:r>
      <w:r w:rsidR="008C0ECC">
        <w:rPr>
          <w:rFonts w:ascii="Times New Roman" w:eastAsia="Calibri" w:hAnsi="Times New Roman" w:cs="Times New Roman"/>
          <w:sz w:val="24"/>
          <w:szCs w:val="24"/>
        </w:rPr>
        <w:t>PUCO</w:t>
      </w:r>
      <w:r w:rsidR="008C0ECC" w:rsidRPr="00A81370">
        <w:rPr>
          <w:rFonts w:ascii="Times New Roman" w:eastAsia="Calibri" w:hAnsi="Times New Roman" w:cs="Times New Roman"/>
          <w:sz w:val="24"/>
          <w:szCs w:val="24"/>
        </w:rPr>
        <w:t xml:space="preserve"> </w:t>
      </w:r>
      <w:r w:rsidRPr="00A81370">
        <w:rPr>
          <w:rFonts w:ascii="Times New Roman" w:eastAsia="Calibri" w:hAnsi="Times New Roman" w:cs="Times New Roman"/>
          <w:sz w:val="24"/>
          <w:szCs w:val="24"/>
        </w:rPr>
        <w:t xml:space="preserve">that the level of costs it incurs across all cost categories, absent recovery from customers, would result in financial harm.  For ratemaking purposes, the utility should not be allowed the asymmetry of cherry-picking </w:t>
      </w:r>
      <w:r w:rsidR="003362ED">
        <w:rPr>
          <w:rFonts w:ascii="Times New Roman" w:eastAsia="Calibri" w:hAnsi="Times New Roman" w:cs="Times New Roman"/>
          <w:sz w:val="24"/>
          <w:szCs w:val="24"/>
        </w:rPr>
        <w:t xml:space="preserve">a </w:t>
      </w:r>
      <w:r w:rsidRPr="00A81370">
        <w:rPr>
          <w:rFonts w:ascii="Times New Roman" w:eastAsia="Calibri" w:hAnsi="Times New Roman" w:cs="Times New Roman"/>
          <w:sz w:val="24"/>
          <w:szCs w:val="24"/>
        </w:rPr>
        <w:t xml:space="preserve">collection of single items of cost when the totality of its costs and revenues might not justify a rate increase.  But the proposed Storm Rider would </w:t>
      </w:r>
      <w:r w:rsidR="00505D45">
        <w:rPr>
          <w:rFonts w:ascii="Times New Roman" w:eastAsia="Calibri" w:hAnsi="Times New Roman" w:cs="Times New Roman"/>
          <w:sz w:val="24"/>
          <w:szCs w:val="24"/>
        </w:rPr>
        <w:t>permit</w:t>
      </w:r>
      <w:r w:rsidR="00505D45" w:rsidRPr="00A81370">
        <w:rPr>
          <w:rFonts w:ascii="Times New Roman" w:eastAsia="Calibri" w:hAnsi="Times New Roman" w:cs="Times New Roman"/>
          <w:sz w:val="24"/>
          <w:szCs w:val="24"/>
        </w:rPr>
        <w:t xml:space="preserve"> </w:t>
      </w:r>
      <w:r w:rsidRPr="00A81370">
        <w:rPr>
          <w:rFonts w:ascii="Times New Roman" w:eastAsia="Calibri" w:hAnsi="Times New Roman" w:cs="Times New Roman"/>
          <w:sz w:val="24"/>
          <w:szCs w:val="24"/>
        </w:rPr>
        <w:t>DP&amp;L to meet a much lower standard—that its major storm costs are higher than the annual baseline amount.  That is unfair to customers.</w:t>
      </w:r>
    </w:p>
    <w:p w14:paraId="30508EA8" w14:textId="46B20654" w:rsidR="00953F04" w:rsidRPr="00A81370" w:rsidRDefault="00953F04" w:rsidP="006A1131">
      <w:pPr>
        <w:spacing w:after="0" w:line="480" w:lineRule="auto"/>
        <w:ind w:firstLine="720"/>
        <w:rPr>
          <w:rFonts w:ascii="Times New Roman" w:eastAsia="Calibri" w:hAnsi="Times New Roman" w:cs="Times New Roman"/>
          <w:sz w:val="24"/>
          <w:szCs w:val="24"/>
        </w:rPr>
      </w:pPr>
      <w:r w:rsidRPr="00A81370">
        <w:rPr>
          <w:rFonts w:ascii="Times New Roman" w:eastAsia="Calibri" w:hAnsi="Times New Roman" w:cs="Times New Roman"/>
          <w:sz w:val="24"/>
          <w:szCs w:val="24"/>
        </w:rPr>
        <w:t xml:space="preserve">The result is that </w:t>
      </w:r>
      <w:r w:rsidR="00E80B92">
        <w:rPr>
          <w:rFonts w:ascii="Times New Roman" w:eastAsia="Calibri" w:hAnsi="Times New Roman" w:cs="Times New Roman"/>
          <w:sz w:val="24"/>
          <w:szCs w:val="24"/>
        </w:rPr>
        <w:t>DP&amp;L</w:t>
      </w:r>
      <w:r w:rsidRPr="00A81370">
        <w:rPr>
          <w:rFonts w:ascii="Times New Roman" w:eastAsia="Calibri" w:hAnsi="Times New Roman" w:cs="Times New Roman"/>
          <w:sz w:val="24"/>
          <w:szCs w:val="24"/>
        </w:rPr>
        <w:t xml:space="preserve">’s proposal does not allow the </w:t>
      </w:r>
      <w:r w:rsidR="008C0ECC">
        <w:rPr>
          <w:rFonts w:ascii="Times New Roman" w:eastAsia="Calibri" w:hAnsi="Times New Roman" w:cs="Times New Roman"/>
          <w:sz w:val="24"/>
          <w:szCs w:val="24"/>
        </w:rPr>
        <w:t>PUCO</w:t>
      </w:r>
      <w:r w:rsidR="008C0ECC" w:rsidRPr="00A81370">
        <w:rPr>
          <w:rFonts w:ascii="Times New Roman" w:eastAsia="Calibri" w:hAnsi="Times New Roman" w:cs="Times New Roman"/>
          <w:sz w:val="24"/>
          <w:szCs w:val="24"/>
        </w:rPr>
        <w:t xml:space="preserve"> </w:t>
      </w:r>
      <w:r w:rsidRPr="00A81370">
        <w:rPr>
          <w:rFonts w:ascii="Times New Roman" w:eastAsia="Calibri" w:hAnsi="Times New Roman" w:cs="Times New Roman"/>
          <w:sz w:val="24"/>
          <w:szCs w:val="24"/>
        </w:rPr>
        <w:t>to consider potentially offsetting expense reductions or revenue increases</w:t>
      </w:r>
      <w:r w:rsidR="00CE1766">
        <w:rPr>
          <w:rFonts w:ascii="Times New Roman" w:eastAsia="Calibri" w:hAnsi="Times New Roman" w:cs="Times New Roman"/>
          <w:sz w:val="24"/>
          <w:szCs w:val="24"/>
        </w:rPr>
        <w:t>, which could</w:t>
      </w:r>
      <w:r w:rsidR="00CE1766" w:rsidRPr="00A81370">
        <w:rPr>
          <w:rFonts w:ascii="Times New Roman" w:eastAsia="Calibri" w:hAnsi="Times New Roman" w:cs="Times New Roman"/>
          <w:sz w:val="24"/>
          <w:szCs w:val="24"/>
        </w:rPr>
        <w:t xml:space="preserve"> </w:t>
      </w:r>
      <w:r w:rsidRPr="00A81370">
        <w:rPr>
          <w:rFonts w:ascii="Times New Roman" w:eastAsia="Calibri" w:hAnsi="Times New Roman" w:cs="Times New Roman"/>
          <w:sz w:val="24"/>
          <w:szCs w:val="24"/>
        </w:rPr>
        <w:t>indicate that the increased storm damage costs have not harmed the Utility’s bottom line</w:t>
      </w:r>
      <w:r w:rsidR="00CE1766">
        <w:rPr>
          <w:rFonts w:ascii="Times New Roman" w:eastAsia="Calibri" w:hAnsi="Times New Roman" w:cs="Times New Roman"/>
          <w:sz w:val="24"/>
          <w:szCs w:val="24"/>
        </w:rPr>
        <w:t xml:space="preserve"> as was the case for DP&amp;L in 2011</w:t>
      </w:r>
      <w:r w:rsidRPr="00A81370">
        <w:rPr>
          <w:rFonts w:ascii="Times New Roman" w:eastAsia="Calibri" w:hAnsi="Times New Roman" w:cs="Times New Roman"/>
          <w:sz w:val="24"/>
          <w:szCs w:val="24"/>
        </w:rPr>
        <w:t xml:space="preserve">.  Thus, customer rates might increase even though the Utility is </w:t>
      </w:r>
      <w:r w:rsidR="003656F6">
        <w:rPr>
          <w:rFonts w:ascii="Times New Roman" w:eastAsia="Calibri" w:hAnsi="Times New Roman" w:cs="Times New Roman"/>
          <w:sz w:val="24"/>
          <w:szCs w:val="24"/>
        </w:rPr>
        <w:t xml:space="preserve">earning </w:t>
      </w:r>
      <w:r w:rsidRPr="00A81370">
        <w:rPr>
          <w:rFonts w:ascii="Times New Roman" w:eastAsia="Calibri" w:hAnsi="Times New Roman" w:cs="Times New Roman"/>
          <w:sz w:val="24"/>
          <w:szCs w:val="24"/>
        </w:rPr>
        <w:t xml:space="preserve">as much, or more, than it </w:t>
      </w:r>
      <w:r w:rsidR="003656F6">
        <w:rPr>
          <w:rFonts w:ascii="Times New Roman" w:eastAsia="Calibri" w:hAnsi="Times New Roman" w:cs="Times New Roman"/>
          <w:sz w:val="24"/>
          <w:szCs w:val="24"/>
        </w:rPr>
        <w:t>was authorized to earn</w:t>
      </w:r>
      <w:r w:rsidRPr="00A81370">
        <w:rPr>
          <w:rFonts w:ascii="Times New Roman" w:eastAsia="Calibri" w:hAnsi="Times New Roman" w:cs="Times New Roman"/>
          <w:sz w:val="24"/>
          <w:szCs w:val="24"/>
        </w:rPr>
        <w:t>.</w:t>
      </w:r>
    </w:p>
    <w:p w14:paraId="1D7D7D07" w14:textId="43A10D67" w:rsidR="00953F04" w:rsidRPr="00A81370" w:rsidRDefault="00953F04" w:rsidP="006A1131">
      <w:pPr>
        <w:spacing w:after="0" w:line="480" w:lineRule="auto"/>
        <w:ind w:firstLine="720"/>
        <w:rPr>
          <w:rFonts w:ascii="Times New Roman" w:eastAsia="Calibri" w:hAnsi="Times New Roman" w:cs="Times New Roman"/>
          <w:sz w:val="24"/>
          <w:szCs w:val="24"/>
        </w:rPr>
      </w:pPr>
      <w:r w:rsidRPr="00A81370">
        <w:rPr>
          <w:rFonts w:ascii="Times New Roman" w:eastAsia="Calibri" w:hAnsi="Times New Roman" w:cs="Times New Roman"/>
          <w:sz w:val="24"/>
          <w:szCs w:val="24"/>
        </w:rPr>
        <w:t xml:space="preserve">Furthermore, the Commission should deny the </w:t>
      </w:r>
      <w:r w:rsidR="00E80B92">
        <w:rPr>
          <w:rFonts w:ascii="Times New Roman" w:eastAsia="Calibri" w:hAnsi="Times New Roman" w:cs="Times New Roman"/>
          <w:sz w:val="24"/>
          <w:szCs w:val="24"/>
        </w:rPr>
        <w:t>Utility</w:t>
      </w:r>
      <w:r w:rsidRPr="00A81370">
        <w:rPr>
          <w:rFonts w:ascii="Times New Roman" w:eastAsia="Calibri" w:hAnsi="Times New Roman" w:cs="Times New Roman"/>
          <w:sz w:val="24"/>
          <w:szCs w:val="24"/>
        </w:rPr>
        <w:t>’s proposal to create a deferral.  The PUCO is, in general, opposed to the creation of deferrals.</w:t>
      </w:r>
      <w:r w:rsidRPr="00A81370">
        <w:rPr>
          <w:rStyle w:val="FootnoteReference"/>
          <w:rFonts w:ascii="Times New Roman" w:eastAsia="Calibri" w:hAnsi="Times New Roman" w:cs="Times New Roman"/>
          <w:sz w:val="24"/>
          <w:szCs w:val="24"/>
        </w:rPr>
        <w:footnoteReference w:id="56"/>
      </w:r>
      <w:r w:rsidRPr="00A81370">
        <w:rPr>
          <w:rFonts w:ascii="Times New Roman" w:eastAsia="Calibri" w:hAnsi="Times New Roman" w:cs="Times New Roman"/>
          <w:sz w:val="24"/>
          <w:szCs w:val="24"/>
        </w:rPr>
        <w:t xml:space="preserve">  And there are no “extraordinary circumstances” that would necessitate the use of a deferral in this case.</w:t>
      </w:r>
      <w:r w:rsidRPr="00A81370">
        <w:rPr>
          <w:rFonts w:ascii="Times New Roman" w:eastAsia="Calibri" w:hAnsi="Times New Roman" w:cs="Times New Roman"/>
          <w:sz w:val="24"/>
          <w:szCs w:val="24"/>
          <w:vertAlign w:val="superscript"/>
        </w:rPr>
        <w:footnoteReference w:id="57"/>
      </w:r>
      <w:r w:rsidRPr="00A81370">
        <w:rPr>
          <w:rFonts w:ascii="Times New Roman" w:eastAsia="Calibri" w:hAnsi="Times New Roman" w:cs="Times New Roman"/>
          <w:sz w:val="24"/>
          <w:szCs w:val="24"/>
        </w:rPr>
        <w:t xml:space="preserve">  Accordingly, the </w:t>
      </w:r>
      <w:r w:rsidR="008C0ECC">
        <w:rPr>
          <w:rFonts w:ascii="Times New Roman" w:eastAsia="Calibri" w:hAnsi="Times New Roman" w:cs="Times New Roman"/>
          <w:sz w:val="24"/>
          <w:szCs w:val="24"/>
        </w:rPr>
        <w:t>PUCO</w:t>
      </w:r>
      <w:r w:rsidR="008C0ECC" w:rsidRPr="00A81370">
        <w:rPr>
          <w:rFonts w:ascii="Times New Roman" w:eastAsia="Calibri" w:hAnsi="Times New Roman" w:cs="Times New Roman"/>
          <w:sz w:val="24"/>
          <w:szCs w:val="24"/>
        </w:rPr>
        <w:t xml:space="preserve"> </w:t>
      </w:r>
      <w:r w:rsidRPr="00A81370">
        <w:rPr>
          <w:rFonts w:ascii="Times New Roman" w:eastAsia="Calibri" w:hAnsi="Times New Roman" w:cs="Times New Roman"/>
          <w:sz w:val="24"/>
          <w:szCs w:val="24"/>
        </w:rPr>
        <w:t>should reject</w:t>
      </w:r>
      <w:r w:rsidR="00E80B92">
        <w:rPr>
          <w:rFonts w:ascii="Times New Roman" w:eastAsia="Calibri" w:hAnsi="Times New Roman" w:cs="Times New Roman"/>
          <w:sz w:val="24"/>
          <w:szCs w:val="24"/>
        </w:rPr>
        <w:t xml:space="preserve"> DP&amp;L</w:t>
      </w:r>
      <w:r w:rsidRPr="00A81370">
        <w:rPr>
          <w:rFonts w:ascii="Times New Roman" w:eastAsia="Calibri" w:hAnsi="Times New Roman" w:cs="Times New Roman"/>
          <w:sz w:val="24"/>
          <w:szCs w:val="24"/>
        </w:rPr>
        <w:t>’s proposed Storm Rider.</w:t>
      </w:r>
    </w:p>
    <w:p w14:paraId="0CC08F6F" w14:textId="5B422402" w:rsidR="00953F04" w:rsidRPr="0003648D" w:rsidRDefault="0080211A" w:rsidP="0080211A">
      <w:pPr>
        <w:pStyle w:val="Heading2"/>
      </w:pPr>
      <w:bookmarkStart w:id="20" w:name="_Toc358210981"/>
      <w:bookmarkStart w:id="21" w:name="_Toc359248608"/>
      <w:r>
        <w:t>J.</w:t>
      </w:r>
      <w:r>
        <w:tab/>
      </w:r>
      <w:r w:rsidR="00953F04" w:rsidRPr="00810526">
        <w:t xml:space="preserve">If The PUCO </w:t>
      </w:r>
      <w:r w:rsidR="00592F7F">
        <w:t>Authorizes DP&amp;L To Charge Customers</w:t>
      </w:r>
      <w:r w:rsidR="007B7A3A">
        <w:t xml:space="preserve"> for </w:t>
      </w:r>
      <w:r w:rsidR="00953F04" w:rsidRPr="00810526">
        <w:t>A Storm Damage Recovery Rider, Then The Storm Rider Should Include Consumer Protections, Including A $4 Million Annual Baseline.</w:t>
      </w:r>
      <w:bookmarkEnd w:id="20"/>
      <w:bookmarkEnd w:id="21"/>
    </w:p>
    <w:p w14:paraId="524B5DC7" w14:textId="77777777" w:rsidR="00953F04" w:rsidRPr="0080211A" w:rsidRDefault="00953F04" w:rsidP="0080211A">
      <w:pPr>
        <w:pStyle w:val="Heading3"/>
      </w:pPr>
      <w:bookmarkStart w:id="22" w:name="_Toc358210982"/>
      <w:bookmarkStart w:id="23" w:name="_Toc359248609"/>
      <w:r w:rsidRPr="0080211A">
        <w:t>1.</w:t>
      </w:r>
      <w:r w:rsidRPr="0080211A">
        <w:tab/>
        <w:t xml:space="preserve">The Storm Rider should be used to </w:t>
      </w:r>
      <w:r w:rsidR="000206E5" w:rsidRPr="0080211A">
        <w:t xml:space="preserve">only </w:t>
      </w:r>
      <w:r w:rsidRPr="0080211A">
        <w:t>collect those amounts of major storm O</w:t>
      </w:r>
      <w:r w:rsidR="00A81370" w:rsidRPr="0080211A">
        <w:t>peration and Maintenance</w:t>
      </w:r>
      <w:r w:rsidRPr="0080211A">
        <w:t xml:space="preserve"> costs that exceed $4 million annually.  If the amount expensed for major storm O&amp;M restoration is less than $4 million, then DP&amp;L should refund to customers the difference between the major storm annual expense and $4 million.</w:t>
      </w:r>
      <w:bookmarkEnd w:id="22"/>
      <w:bookmarkEnd w:id="23"/>
    </w:p>
    <w:p w14:paraId="05FE27CD" w14:textId="136C46DB" w:rsidR="007B7A3A" w:rsidRDefault="00953F04" w:rsidP="0080211A">
      <w:pPr>
        <w:spacing w:after="0" w:line="480" w:lineRule="auto"/>
        <w:ind w:firstLine="720"/>
        <w:rPr>
          <w:rFonts w:ascii="Times New Roman" w:eastAsia="Calibri" w:hAnsi="Times New Roman" w:cs="Times New Roman"/>
          <w:sz w:val="24"/>
          <w:szCs w:val="24"/>
        </w:rPr>
      </w:pPr>
      <w:r w:rsidRPr="00A81370">
        <w:rPr>
          <w:rFonts w:ascii="Times New Roman" w:eastAsia="Calibri" w:hAnsi="Times New Roman" w:cs="Times New Roman"/>
          <w:sz w:val="24"/>
          <w:szCs w:val="24"/>
        </w:rPr>
        <w:t xml:space="preserve">As stated above, OCC urges the </w:t>
      </w:r>
      <w:r w:rsidR="008C0ECC">
        <w:rPr>
          <w:rFonts w:ascii="Times New Roman" w:eastAsia="Calibri" w:hAnsi="Times New Roman" w:cs="Times New Roman"/>
          <w:sz w:val="24"/>
          <w:szCs w:val="24"/>
        </w:rPr>
        <w:t>PUCO</w:t>
      </w:r>
      <w:r w:rsidR="008C0ECC" w:rsidRPr="00A81370">
        <w:rPr>
          <w:rFonts w:ascii="Times New Roman" w:eastAsia="Calibri" w:hAnsi="Times New Roman" w:cs="Times New Roman"/>
          <w:sz w:val="24"/>
          <w:szCs w:val="24"/>
        </w:rPr>
        <w:t xml:space="preserve"> </w:t>
      </w:r>
      <w:r w:rsidRPr="00A81370">
        <w:rPr>
          <w:rFonts w:ascii="Times New Roman" w:eastAsia="Calibri" w:hAnsi="Times New Roman" w:cs="Times New Roman"/>
          <w:sz w:val="24"/>
          <w:szCs w:val="24"/>
        </w:rPr>
        <w:t xml:space="preserve">to reject </w:t>
      </w:r>
      <w:r w:rsidR="000206E5">
        <w:rPr>
          <w:rFonts w:ascii="Times New Roman" w:eastAsia="Calibri" w:hAnsi="Times New Roman" w:cs="Times New Roman"/>
          <w:sz w:val="24"/>
          <w:szCs w:val="24"/>
        </w:rPr>
        <w:t>DP&amp;L</w:t>
      </w:r>
      <w:r w:rsidRPr="00A81370">
        <w:rPr>
          <w:rFonts w:ascii="Times New Roman" w:eastAsia="Calibri" w:hAnsi="Times New Roman" w:cs="Times New Roman"/>
          <w:sz w:val="24"/>
          <w:szCs w:val="24"/>
        </w:rPr>
        <w:t>’s proposal for a Storm Rider</w:t>
      </w:r>
      <w:r w:rsidR="00CE5EAB">
        <w:rPr>
          <w:rFonts w:ascii="Times New Roman" w:eastAsia="Calibri" w:hAnsi="Times New Roman" w:cs="Times New Roman"/>
          <w:sz w:val="24"/>
          <w:szCs w:val="24"/>
        </w:rPr>
        <w:t xml:space="preserve"> on a going forward basis</w:t>
      </w:r>
      <w:r w:rsidRPr="00A81370">
        <w:rPr>
          <w:rFonts w:ascii="Times New Roman" w:eastAsia="Calibri" w:hAnsi="Times New Roman" w:cs="Times New Roman"/>
          <w:sz w:val="24"/>
          <w:szCs w:val="24"/>
        </w:rPr>
        <w:t>.  But if the Commission does authorize a Storm Rider</w:t>
      </w:r>
      <w:r w:rsidR="00CE5EAB">
        <w:rPr>
          <w:rFonts w:ascii="Times New Roman" w:eastAsia="Calibri" w:hAnsi="Times New Roman" w:cs="Times New Roman"/>
          <w:sz w:val="24"/>
          <w:szCs w:val="24"/>
        </w:rPr>
        <w:t xml:space="preserve"> for future storm costs</w:t>
      </w:r>
      <w:r w:rsidRPr="00A81370">
        <w:rPr>
          <w:rFonts w:ascii="Times New Roman" w:eastAsia="Calibri" w:hAnsi="Times New Roman" w:cs="Times New Roman"/>
          <w:sz w:val="24"/>
          <w:szCs w:val="24"/>
        </w:rPr>
        <w:t xml:space="preserve">, then the Commission should structure the Storm Rider so that DP&amp;L’s customers are protected. </w:t>
      </w:r>
      <w:r w:rsidR="00CE5EAB">
        <w:rPr>
          <w:rFonts w:ascii="Times New Roman" w:eastAsia="Calibri" w:hAnsi="Times New Roman" w:cs="Times New Roman"/>
          <w:sz w:val="24"/>
          <w:szCs w:val="24"/>
        </w:rPr>
        <w:t xml:space="preserve"> </w:t>
      </w:r>
    </w:p>
    <w:p w14:paraId="30598DEF" w14:textId="78EA6E97" w:rsidR="00594F5F" w:rsidRPr="00594F5F" w:rsidRDefault="00953F04" w:rsidP="0080211A">
      <w:pPr>
        <w:spacing w:after="0" w:line="480" w:lineRule="auto"/>
        <w:ind w:firstLine="720"/>
        <w:rPr>
          <w:rFonts w:ascii="Times New Roman" w:hAnsi="Times New Roman" w:cs="Times New Roman"/>
          <w:sz w:val="24"/>
          <w:szCs w:val="24"/>
        </w:rPr>
      </w:pPr>
      <w:r w:rsidRPr="00A81370">
        <w:rPr>
          <w:rFonts w:ascii="Times New Roman" w:eastAsia="Calibri" w:hAnsi="Times New Roman" w:cs="Times New Roman"/>
          <w:sz w:val="24"/>
          <w:szCs w:val="24"/>
        </w:rPr>
        <w:t xml:space="preserve">Most importantly, the </w:t>
      </w:r>
      <w:r w:rsidR="008C0ECC">
        <w:rPr>
          <w:rFonts w:ascii="Times New Roman" w:eastAsia="Calibri" w:hAnsi="Times New Roman" w:cs="Times New Roman"/>
          <w:sz w:val="24"/>
          <w:szCs w:val="24"/>
        </w:rPr>
        <w:t>PUCO</w:t>
      </w:r>
      <w:r w:rsidR="008C0ECC" w:rsidRPr="00A81370">
        <w:rPr>
          <w:rFonts w:ascii="Times New Roman" w:eastAsia="Calibri" w:hAnsi="Times New Roman" w:cs="Times New Roman"/>
          <w:sz w:val="24"/>
          <w:szCs w:val="24"/>
        </w:rPr>
        <w:t xml:space="preserve"> </w:t>
      </w:r>
      <w:r w:rsidRPr="00A81370">
        <w:rPr>
          <w:rFonts w:ascii="Times New Roman" w:eastAsia="Calibri" w:hAnsi="Times New Roman" w:cs="Times New Roman"/>
          <w:sz w:val="24"/>
          <w:szCs w:val="24"/>
        </w:rPr>
        <w:t>should require an annual baseline amount of $4 million as proposed by the PUCO Staff</w:t>
      </w:r>
      <w:r w:rsidR="000206E5">
        <w:rPr>
          <w:rFonts w:ascii="Times New Roman" w:eastAsia="Calibri" w:hAnsi="Times New Roman" w:cs="Times New Roman"/>
          <w:sz w:val="24"/>
          <w:szCs w:val="24"/>
        </w:rPr>
        <w:t xml:space="preserve"> in DP&amp;L’s most recent Electric Security Plan </w:t>
      </w:r>
      <w:r w:rsidR="00A744EC">
        <w:rPr>
          <w:rFonts w:ascii="Times New Roman" w:eastAsia="Calibri" w:hAnsi="Times New Roman" w:cs="Times New Roman"/>
          <w:sz w:val="24"/>
          <w:szCs w:val="24"/>
        </w:rPr>
        <w:t xml:space="preserve">(ESP II) </w:t>
      </w:r>
      <w:r w:rsidR="000206E5">
        <w:rPr>
          <w:rFonts w:ascii="Times New Roman" w:eastAsia="Calibri" w:hAnsi="Times New Roman" w:cs="Times New Roman"/>
          <w:sz w:val="24"/>
          <w:szCs w:val="24"/>
        </w:rPr>
        <w:t>proc</w:t>
      </w:r>
      <w:r w:rsidR="00A744EC">
        <w:rPr>
          <w:rFonts w:ascii="Times New Roman" w:eastAsia="Calibri" w:hAnsi="Times New Roman" w:cs="Times New Roman"/>
          <w:sz w:val="24"/>
          <w:szCs w:val="24"/>
        </w:rPr>
        <w:t>e</w:t>
      </w:r>
      <w:r w:rsidR="000206E5">
        <w:rPr>
          <w:rFonts w:ascii="Times New Roman" w:eastAsia="Calibri" w:hAnsi="Times New Roman" w:cs="Times New Roman"/>
          <w:sz w:val="24"/>
          <w:szCs w:val="24"/>
        </w:rPr>
        <w:t>eding</w:t>
      </w:r>
      <w:r w:rsidRPr="00A81370">
        <w:rPr>
          <w:rFonts w:ascii="Times New Roman" w:eastAsia="Calibri" w:hAnsi="Times New Roman" w:cs="Times New Roman"/>
          <w:sz w:val="24"/>
          <w:szCs w:val="24"/>
        </w:rPr>
        <w:t>.</w:t>
      </w:r>
      <w:r w:rsidRPr="00A81370">
        <w:rPr>
          <w:rFonts w:ascii="Times New Roman" w:eastAsia="Calibri" w:hAnsi="Times New Roman" w:cs="Times New Roman"/>
          <w:sz w:val="24"/>
          <w:szCs w:val="24"/>
          <w:vertAlign w:val="superscript"/>
        </w:rPr>
        <w:footnoteReference w:id="58"/>
      </w:r>
      <w:r w:rsidRPr="00A81370">
        <w:rPr>
          <w:rFonts w:ascii="Times New Roman" w:eastAsia="Calibri" w:hAnsi="Times New Roman" w:cs="Times New Roman"/>
          <w:sz w:val="24"/>
          <w:szCs w:val="24"/>
        </w:rPr>
        <w:t xml:space="preserve">  </w:t>
      </w:r>
      <w:r w:rsidR="00594F5F" w:rsidRPr="00594F5F">
        <w:rPr>
          <w:rFonts w:ascii="Times New Roman" w:hAnsi="Times New Roman" w:cs="Times New Roman"/>
          <w:sz w:val="24"/>
          <w:szCs w:val="24"/>
        </w:rPr>
        <w:t xml:space="preserve">Establishing </w:t>
      </w:r>
      <w:r w:rsidR="00CE5EAB">
        <w:rPr>
          <w:rFonts w:ascii="Times New Roman" w:hAnsi="Times New Roman" w:cs="Times New Roman"/>
          <w:sz w:val="24"/>
          <w:szCs w:val="24"/>
        </w:rPr>
        <w:t>this</w:t>
      </w:r>
      <w:r w:rsidR="00594F5F" w:rsidRPr="00594F5F">
        <w:rPr>
          <w:rFonts w:ascii="Times New Roman" w:hAnsi="Times New Roman" w:cs="Times New Roman"/>
          <w:sz w:val="24"/>
          <w:szCs w:val="24"/>
        </w:rPr>
        <w:t xml:space="preserve"> baseline would eliminate the need to calculate the three</w:t>
      </w:r>
      <w:r w:rsidR="007B7A3A">
        <w:rPr>
          <w:rFonts w:ascii="Times New Roman" w:hAnsi="Times New Roman" w:cs="Times New Roman"/>
          <w:sz w:val="24"/>
          <w:szCs w:val="24"/>
        </w:rPr>
        <w:t>-</w:t>
      </w:r>
      <w:r w:rsidR="00594F5F" w:rsidRPr="00594F5F">
        <w:rPr>
          <w:rFonts w:ascii="Times New Roman" w:hAnsi="Times New Roman" w:cs="Times New Roman"/>
          <w:sz w:val="24"/>
          <w:szCs w:val="24"/>
        </w:rPr>
        <w:t xml:space="preserve">year storm cost average. </w:t>
      </w:r>
      <w:r w:rsidR="00594F5F" w:rsidRPr="00545E9B">
        <w:rPr>
          <w:rFonts w:ascii="Times New Roman" w:eastAsia="Calibri" w:hAnsi="Times New Roman" w:cs="Times New Roman"/>
          <w:sz w:val="24"/>
          <w:szCs w:val="24"/>
        </w:rPr>
        <w:t>Thus, DP&amp;L would be allowed to defer the annual amount of “major storm O&amp;M cost that exceeds the baseline, or to refund the difference between the amount expensed for major storm O&amp;M restoration and the baseline, should the annual expense be less than the baseline.”</w:t>
      </w:r>
      <w:r w:rsidR="00594F5F" w:rsidRPr="00545E9B">
        <w:rPr>
          <w:rFonts w:ascii="Times New Roman" w:eastAsia="Calibri" w:hAnsi="Times New Roman" w:cs="Times New Roman"/>
          <w:sz w:val="24"/>
          <w:szCs w:val="24"/>
          <w:vertAlign w:val="superscript"/>
        </w:rPr>
        <w:footnoteReference w:id="59"/>
      </w:r>
      <w:r w:rsidR="007B3A2D">
        <w:rPr>
          <w:rFonts w:ascii="Times New Roman" w:eastAsia="Calibri" w:hAnsi="Times New Roman" w:cs="Times New Roman"/>
          <w:sz w:val="24"/>
          <w:szCs w:val="24"/>
        </w:rPr>
        <w:t xml:space="preserve"> </w:t>
      </w:r>
      <w:r w:rsidR="005B6BBE">
        <w:rPr>
          <w:rFonts w:ascii="Times New Roman" w:eastAsia="Calibri" w:hAnsi="Times New Roman" w:cs="Times New Roman"/>
          <w:sz w:val="24"/>
          <w:szCs w:val="24"/>
        </w:rPr>
        <w:t xml:space="preserve"> </w:t>
      </w:r>
      <w:r w:rsidR="00594F5F" w:rsidRPr="00594F5F">
        <w:rPr>
          <w:rFonts w:ascii="Times New Roman" w:hAnsi="Times New Roman" w:cs="Times New Roman"/>
          <w:sz w:val="24"/>
          <w:szCs w:val="24"/>
        </w:rPr>
        <w:t xml:space="preserve">In addition, any capital costs incurred as a result of a major storm would be addressed in a future electric distribution base rate case, not through the </w:t>
      </w:r>
      <w:r w:rsidR="00942E87">
        <w:rPr>
          <w:rFonts w:ascii="Times New Roman" w:hAnsi="Times New Roman" w:cs="Times New Roman"/>
          <w:sz w:val="24"/>
          <w:szCs w:val="24"/>
        </w:rPr>
        <w:t xml:space="preserve">Storm </w:t>
      </w:r>
      <w:r w:rsidR="005B6BBE">
        <w:rPr>
          <w:rFonts w:ascii="Times New Roman" w:hAnsi="Times New Roman" w:cs="Times New Roman"/>
          <w:sz w:val="24"/>
          <w:szCs w:val="24"/>
        </w:rPr>
        <w:t>Rider</w:t>
      </w:r>
      <w:r w:rsidR="00594F5F" w:rsidRPr="00594F5F">
        <w:rPr>
          <w:rFonts w:ascii="Times New Roman" w:hAnsi="Times New Roman" w:cs="Times New Roman"/>
          <w:sz w:val="24"/>
          <w:szCs w:val="24"/>
        </w:rPr>
        <w:t>.</w:t>
      </w:r>
      <w:r w:rsidR="000F5D04">
        <w:rPr>
          <w:rStyle w:val="FootnoteReference"/>
          <w:rFonts w:ascii="Times New Roman" w:hAnsi="Times New Roman" w:cs="Times New Roman"/>
          <w:sz w:val="24"/>
          <w:szCs w:val="24"/>
        </w:rPr>
        <w:footnoteReference w:id="60"/>
      </w:r>
      <w:r w:rsidR="00594F5F" w:rsidRPr="00594F5F">
        <w:rPr>
          <w:rFonts w:ascii="Times New Roman" w:hAnsi="Times New Roman" w:cs="Times New Roman"/>
          <w:sz w:val="24"/>
          <w:szCs w:val="24"/>
        </w:rPr>
        <w:t xml:space="preserve">  </w:t>
      </w:r>
    </w:p>
    <w:p w14:paraId="76A6E037" w14:textId="5DB7CB73" w:rsidR="00953F04" w:rsidRPr="00A81370" w:rsidRDefault="007B3A2D" w:rsidP="0080211A">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In the ESP II proceeding, t</w:t>
      </w:r>
      <w:r w:rsidR="00953F04" w:rsidRPr="00A81370">
        <w:rPr>
          <w:rFonts w:ascii="Times New Roman" w:eastAsia="Calibri" w:hAnsi="Times New Roman" w:cs="Times New Roman"/>
          <w:sz w:val="24"/>
          <w:szCs w:val="24"/>
        </w:rPr>
        <w:t>he PUCO Staff correctly determined that the amount of the baseline should be $4 million.</w:t>
      </w:r>
      <w:r>
        <w:rPr>
          <w:rStyle w:val="FootnoteReference"/>
          <w:rFonts w:ascii="Times New Roman" w:eastAsia="Calibri" w:hAnsi="Times New Roman" w:cs="Times New Roman"/>
          <w:sz w:val="24"/>
          <w:szCs w:val="24"/>
        </w:rPr>
        <w:footnoteReference w:id="61"/>
      </w:r>
      <w:r w:rsidR="00953F04" w:rsidRPr="00A81370">
        <w:rPr>
          <w:rFonts w:ascii="Times New Roman" w:eastAsia="Calibri" w:hAnsi="Times New Roman" w:cs="Times New Roman"/>
          <w:sz w:val="24"/>
          <w:szCs w:val="24"/>
        </w:rPr>
        <w:t xml:space="preserve"> Evidence shows that this amount ($4 million) is based on the average annual level of costs incurred by DP&amp;L for storm damage from 2002 to 2011 ($3,977,641) and a recent (2009-2011) three-year average.</w:t>
      </w:r>
      <w:r w:rsidR="00953F04" w:rsidRPr="00A81370">
        <w:rPr>
          <w:rFonts w:ascii="Times New Roman" w:eastAsia="Calibri" w:hAnsi="Times New Roman" w:cs="Times New Roman"/>
          <w:sz w:val="24"/>
          <w:szCs w:val="24"/>
          <w:vertAlign w:val="superscript"/>
        </w:rPr>
        <w:footnoteReference w:id="62"/>
      </w:r>
      <w:r w:rsidR="00953F04" w:rsidRPr="00A81370">
        <w:rPr>
          <w:rFonts w:ascii="Times New Roman" w:eastAsia="Calibri" w:hAnsi="Times New Roman" w:cs="Times New Roman"/>
          <w:sz w:val="24"/>
          <w:szCs w:val="24"/>
        </w:rPr>
        <w:t xml:space="preserve">  Accordingly, </w:t>
      </w:r>
      <w:r>
        <w:rPr>
          <w:rFonts w:ascii="Times New Roman" w:eastAsia="Calibri" w:hAnsi="Times New Roman" w:cs="Times New Roman"/>
          <w:sz w:val="24"/>
          <w:szCs w:val="24"/>
        </w:rPr>
        <w:t xml:space="preserve">if </w:t>
      </w:r>
      <w:r w:rsidR="00953F04" w:rsidRPr="00A81370">
        <w:rPr>
          <w:rFonts w:ascii="Times New Roman" w:eastAsia="Calibri" w:hAnsi="Times New Roman" w:cs="Times New Roman"/>
          <w:sz w:val="24"/>
          <w:szCs w:val="24"/>
        </w:rPr>
        <w:t xml:space="preserve">the </w:t>
      </w:r>
      <w:r w:rsidR="008C0ECC">
        <w:rPr>
          <w:rFonts w:ascii="Times New Roman" w:eastAsia="Calibri" w:hAnsi="Times New Roman" w:cs="Times New Roman"/>
          <w:sz w:val="24"/>
          <w:szCs w:val="24"/>
        </w:rPr>
        <w:t>PUCO</w:t>
      </w:r>
      <w:r w:rsidR="008C0ECC" w:rsidRPr="00A81370">
        <w:rPr>
          <w:rFonts w:ascii="Times New Roman" w:eastAsia="Calibri" w:hAnsi="Times New Roman" w:cs="Times New Roman"/>
          <w:sz w:val="24"/>
          <w:szCs w:val="24"/>
        </w:rPr>
        <w:t xml:space="preserve"> </w:t>
      </w:r>
      <w:r>
        <w:rPr>
          <w:rFonts w:ascii="Times New Roman" w:eastAsia="Calibri" w:hAnsi="Times New Roman" w:cs="Times New Roman"/>
          <w:sz w:val="24"/>
          <w:szCs w:val="24"/>
        </w:rPr>
        <w:t>authorizes a</w:t>
      </w:r>
      <w:r w:rsidR="00953F04" w:rsidRPr="00A81370">
        <w:rPr>
          <w:rFonts w:ascii="Times New Roman" w:eastAsia="Calibri" w:hAnsi="Times New Roman" w:cs="Times New Roman"/>
          <w:sz w:val="24"/>
          <w:szCs w:val="24"/>
        </w:rPr>
        <w:t xml:space="preserve"> Storm Rider</w:t>
      </w:r>
      <w:r w:rsidR="005B6BBE">
        <w:rPr>
          <w:rFonts w:ascii="Times New Roman" w:eastAsia="Calibri" w:hAnsi="Times New Roman" w:cs="Times New Roman"/>
          <w:sz w:val="24"/>
          <w:szCs w:val="24"/>
        </w:rPr>
        <w:t xml:space="preserve"> for future storm costs in this </w:t>
      </w:r>
      <w:r w:rsidR="00EC24BE">
        <w:rPr>
          <w:rFonts w:ascii="Times New Roman" w:eastAsia="Calibri" w:hAnsi="Times New Roman" w:cs="Times New Roman"/>
          <w:sz w:val="24"/>
          <w:szCs w:val="24"/>
        </w:rPr>
        <w:t>case,</w:t>
      </w:r>
      <w:r>
        <w:rPr>
          <w:rFonts w:ascii="Times New Roman" w:eastAsia="Calibri" w:hAnsi="Times New Roman" w:cs="Times New Roman"/>
          <w:sz w:val="24"/>
          <w:szCs w:val="24"/>
        </w:rPr>
        <w:t xml:space="preserve"> then it should include an</w:t>
      </w:r>
      <w:r w:rsidR="00953F04" w:rsidRPr="00A81370">
        <w:rPr>
          <w:rFonts w:ascii="Times New Roman" w:eastAsia="Calibri" w:hAnsi="Times New Roman" w:cs="Times New Roman"/>
          <w:sz w:val="24"/>
          <w:szCs w:val="24"/>
        </w:rPr>
        <w:t xml:space="preserve"> annual baseline </w:t>
      </w:r>
      <w:r>
        <w:rPr>
          <w:rFonts w:ascii="Times New Roman" w:eastAsia="Calibri" w:hAnsi="Times New Roman" w:cs="Times New Roman"/>
          <w:sz w:val="24"/>
          <w:szCs w:val="24"/>
        </w:rPr>
        <w:t xml:space="preserve">of </w:t>
      </w:r>
      <w:r w:rsidRPr="007B3A2D">
        <w:rPr>
          <w:rFonts w:ascii="Times New Roman" w:eastAsia="Calibri" w:hAnsi="Times New Roman" w:cs="Times New Roman"/>
          <w:sz w:val="24"/>
          <w:szCs w:val="24"/>
        </w:rPr>
        <w:t>$</w:t>
      </w:r>
      <w:r>
        <w:rPr>
          <w:rFonts w:ascii="Times New Roman" w:eastAsia="Calibri" w:hAnsi="Times New Roman" w:cs="Times New Roman"/>
          <w:sz w:val="24"/>
          <w:szCs w:val="24"/>
        </w:rPr>
        <w:t>4</w:t>
      </w:r>
      <w:r w:rsidR="00953F04" w:rsidRPr="00A81370">
        <w:rPr>
          <w:rFonts w:ascii="Times New Roman" w:eastAsia="Calibri" w:hAnsi="Times New Roman" w:cs="Times New Roman"/>
          <w:sz w:val="24"/>
          <w:szCs w:val="24"/>
        </w:rPr>
        <w:t xml:space="preserve"> million.</w:t>
      </w:r>
    </w:p>
    <w:p w14:paraId="7AF48860" w14:textId="6F04E28D" w:rsidR="00953F04" w:rsidRPr="0080211A" w:rsidRDefault="00C554A6" w:rsidP="0080211A">
      <w:pPr>
        <w:pStyle w:val="Heading3"/>
      </w:pPr>
      <w:bookmarkStart w:id="24" w:name="_Toc358210984"/>
      <w:bookmarkStart w:id="25" w:name="_Toc359248610"/>
      <w:r w:rsidRPr="0080211A">
        <w:t>2</w:t>
      </w:r>
      <w:r w:rsidR="00953F04" w:rsidRPr="0080211A">
        <w:t>.</w:t>
      </w:r>
      <w:r w:rsidR="00953F04" w:rsidRPr="0080211A">
        <w:tab/>
        <w:t xml:space="preserve">The PUCO should require additional consumer protections if it authorizes DP&amp;L to collect </w:t>
      </w:r>
      <w:r w:rsidR="005B6BBE">
        <w:t>future storm costs through</w:t>
      </w:r>
      <w:r w:rsidR="00953F04" w:rsidRPr="0080211A">
        <w:t xml:space="preserve"> </w:t>
      </w:r>
      <w:r w:rsidR="005B6BBE">
        <w:t xml:space="preserve">a </w:t>
      </w:r>
      <w:r w:rsidR="00953F04" w:rsidRPr="0080211A">
        <w:t>Storm Rider from customers.</w:t>
      </w:r>
      <w:bookmarkEnd w:id="24"/>
      <w:bookmarkEnd w:id="25"/>
    </w:p>
    <w:p w14:paraId="1220C862" w14:textId="68A31297" w:rsidR="00953F04" w:rsidRPr="00A81370" w:rsidRDefault="00953F04" w:rsidP="006A1131">
      <w:pPr>
        <w:spacing w:after="0" w:line="480" w:lineRule="auto"/>
        <w:ind w:firstLine="720"/>
        <w:rPr>
          <w:rFonts w:ascii="Times New Roman" w:eastAsia="Calibri" w:hAnsi="Times New Roman" w:cs="Times New Roman"/>
          <w:sz w:val="24"/>
          <w:szCs w:val="24"/>
        </w:rPr>
      </w:pPr>
      <w:r w:rsidRPr="00A81370">
        <w:rPr>
          <w:rFonts w:ascii="Times New Roman" w:eastAsia="Calibri" w:hAnsi="Times New Roman" w:cs="Times New Roman"/>
          <w:sz w:val="24"/>
          <w:szCs w:val="24"/>
        </w:rPr>
        <w:t xml:space="preserve">If the </w:t>
      </w:r>
      <w:r w:rsidR="008C0ECC">
        <w:rPr>
          <w:rFonts w:ascii="Times New Roman" w:eastAsia="Calibri" w:hAnsi="Times New Roman" w:cs="Times New Roman"/>
          <w:sz w:val="24"/>
          <w:szCs w:val="24"/>
        </w:rPr>
        <w:t>PUCO</w:t>
      </w:r>
      <w:r w:rsidR="008C0ECC" w:rsidRPr="00A81370">
        <w:rPr>
          <w:rFonts w:ascii="Times New Roman" w:eastAsia="Calibri" w:hAnsi="Times New Roman" w:cs="Times New Roman"/>
          <w:sz w:val="24"/>
          <w:szCs w:val="24"/>
        </w:rPr>
        <w:t xml:space="preserve"> </w:t>
      </w:r>
      <w:r w:rsidRPr="00A81370">
        <w:rPr>
          <w:rFonts w:ascii="Times New Roman" w:eastAsia="Calibri" w:hAnsi="Times New Roman" w:cs="Times New Roman"/>
          <w:sz w:val="24"/>
          <w:szCs w:val="24"/>
        </w:rPr>
        <w:t>approves a Storm Rider, which OCC opposes, then the Commission should protect customers as recommended by the PUCO Staff</w:t>
      </w:r>
      <w:r w:rsidR="000F5D04">
        <w:rPr>
          <w:rFonts w:ascii="Times New Roman" w:eastAsia="Calibri" w:hAnsi="Times New Roman" w:cs="Times New Roman"/>
          <w:sz w:val="24"/>
          <w:szCs w:val="24"/>
        </w:rPr>
        <w:t xml:space="preserve"> in the ESP II proceeding</w:t>
      </w:r>
      <w:r w:rsidRPr="00A81370">
        <w:rPr>
          <w:rFonts w:ascii="Times New Roman" w:eastAsia="Calibri" w:hAnsi="Times New Roman" w:cs="Times New Roman"/>
          <w:sz w:val="24"/>
          <w:szCs w:val="24"/>
        </w:rPr>
        <w:t xml:space="preserve">.  In this regard, the </w:t>
      </w:r>
      <w:r w:rsidR="008C0ECC">
        <w:rPr>
          <w:rFonts w:ascii="Times New Roman" w:eastAsia="Calibri" w:hAnsi="Times New Roman" w:cs="Times New Roman"/>
          <w:sz w:val="24"/>
          <w:szCs w:val="24"/>
        </w:rPr>
        <w:t>PUCO</w:t>
      </w:r>
      <w:r w:rsidR="008C0ECC" w:rsidRPr="00A81370">
        <w:rPr>
          <w:rFonts w:ascii="Times New Roman" w:eastAsia="Calibri" w:hAnsi="Times New Roman" w:cs="Times New Roman"/>
          <w:sz w:val="24"/>
          <w:szCs w:val="24"/>
        </w:rPr>
        <w:t xml:space="preserve"> </w:t>
      </w:r>
      <w:r w:rsidRPr="00A81370">
        <w:rPr>
          <w:rFonts w:ascii="Times New Roman" w:eastAsia="Calibri" w:hAnsi="Times New Roman" w:cs="Times New Roman"/>
          <w:sz w:val="24"/>
          <w:szCs w:val="24"/>
        </w:rPr>
        <w:t xml:space="preserve">should require the following: </w:t>
      </w:r>
    </w:p>
    <w:p w14:paraId="0EB414AC" w14:textId="77777777" w:rsidR="00953F04" w:rsidRPr="00A81370" w:rsidRDefault="00953F04" w:rsidP="006A1131">
      <w:pPr>
        <w:numPr>
          <w:ilvl w:val="0"/>
          <w:numId w:val="13"/>
        </w:numPr>
        <w:spacing w:after="0" w:line="480" w:lineRule="auto"/>
        <w:ind w:left="2160" w:right="720" w:hanging="720"/>
        <w:contextualSpacing/>
        <w:rPr>
          <w:rFonts w:ascii="Times New Roman" w:eastAsia="Calibri" w:hAnsi="Times New Roman" w:cs="Times New Roman"/>
          <w:sz w:val="24"/>
          <w:szCs w:val="24"/>
        </w:rPr>
      </w:pPr>
      <w:r w:rsidRPr="00A81370">
        <w:rPr>
          <w:rFonts w:ascii="Times New Roman" w:eastAsia="Calibri" w:hAnsi="Times New Roman" w:cs="Times New Roman"/>
          <w:sz w:val="24"/>
          <w:szCs w:val="24"/>
        </w:rPr>
        <w:t>Find that DP&amp;L may defer only “major storm”-related incremental distribution O&amp;M expenses,</w:t>
      </w:r>
      <w:r w:rsidRPr="00A81370">
        <w:rPr>
          <w:rFonts w:ascii="Times New Roman" w:eastAsia="Calibri" w:hAnsi="Times New Roman" w:cs="Times New Roman"/>
          <w:sz w:val="24"/>
          <w:szCs w:val="24"/>
          <w:vertAlign w:val="superscript"/>
        </w:rPr>
        <w:footnoteReference w:id="63"/>
      </w:r>
      <w:r w:rsidRPr="00A81370">
        <w:rPr>
          <w:rFonts w:ascii="Times New Roman" w:eastAsia="Calibri" w:hAnsi="Times New Roman" w:cs="Times New Roman"/>
          <w:sz w:val="24"/>
          <w:szCs w:val="24"/>
        </w:rPr>
        <w:t xml:space="preserve"> that DP&amp;L would not have incurred absent the major storm and that are incremental to normal DP&amp;L O&amp;M expenses; </w:t>
      </w:r>
    </w:p>
    <w:p w14:paraId="2D89BF63" w14:textId="77777777" w:rsidR="00953F04" w:rsidRPr="00A81370" w:rsidRDefault="00953F04" w:rsidP="006A1131">
      <w:pPr>
        <w:numPr>
          <w:ilvl w:val="0"/>
          <w:numId w:val="13"/>
        </w:numPr>
        <w:spacing w:after="0" w:line="480" w:lineRule="auto"/>
        <w:ind w:left="2160" w:right="720" w:hanging="720"/>
        <w:contextualSpacing/>
        <w:rPr>
          <w:rFonts w:ascii="Times New Roman" w:eastAsia="Calibri" w:hAnsi="Times New Roman" w:cs="Times New Roman"/>
          <w:sz w:val="24"/>
          <w:szCs w:val="24"/>
        </w:rPr>
      </w:pPr>
      <w:r w:rsidRPr="00A81370">
        <w:rPr>
          <w:rFonts w:ascii="Times New Roman" w:eastAsia="Calibri" w:hAnsi="Times New Roman" w:cs="Times New Roman"/>
          <w:sz w:val="24"/>
          <w:szCs w:val="24"/>
        </w:rPr>
        <w:t>Find that “[t]he determination of whether a storm is deemed to be ‘major’ or not is determined by the methodology outlined in the IEEE Guide for Electric Power Distribution Reliability Indices, as set forth in Rule 4901:1-10-10(B), O.A.C;”</w:t>
      </w:r>
      <w:r w:rsidRPr="00A81370">
        <w:rPr>
          <w:rFonts w:ascii="Times New Roman" w:eastAsia="Calibri" w:hAnsi="Times New Roman" w:cs="Times New Roman"/>
          <w:sz w:val="24"/>
          <w:szCs w:val="24"/>
          <w:vertAlign w:val="superscript"/>
        </w:rPr>
        <w:footnoteReference w:id="64"/>
      </w:r>
    </w:p>
    <w:p w14:paraId="187FF596" w14:textId="77777777" w:rsidR="00953F04" w:rsidRPr="00A81370" w:rsidRDefault="00953F04" w:rsidP="006A1131">
      <w:pPr>
        <w:numPr>
          <w:ilvl w:val="0"/>
          <w:numId w:val="13"/>
        </w:numPr>
        <w:spacing w:after="0" w:line="480" w:lineRule="auto"/>
        <w:ind w:left="2160" w:right="720" w:hanging="720"/>
        <w:contextualSpacing/>
        <w:rPr>
          <w:rFonts w:ascii="Times New Roman" w:eastAsia="Calibri" w:hAnsi="Times New Roman" w:cs="Times New Roman"/>
          <w:sz w:val="24"/>
          <w:szCs w:val="24"/>
        </w:rPr>
      </w:pPr>
      <w:r w:rsidRPr="00A81370">
        <w:rPr>
          <w:rFonts w:ascii="Times New Roman" w:eastAsia="Calibri" w:hAnsi="Times New Roman" w:cs="Times New Roman"/>
          <w:sz w:val="24"/>
          <w:szCs w:val="24"/>
        </w:rPr>
        <w:t>Prohibit the inclusion of any capital expenditures in the Storm Rider;</w:t>
      </w:r>
      <w:r w:rsidRPr="00A81370">
        <w:rPr>
          <w:rFonts w:ascii="Times New Roman" w:eastAsia="Calibri" w:hAnsi="Times New Roman" w:cs="Times New Roman"/>
          <w:sz w:val="24"/>
          <w:szCs w:val="24"/>
          <w:vertAlign w:val="superscript"/>
        </w:rPr>
        <w:footnoteReference w:id="65"/>
      </w:r>
    </w:p>
    <w:p w14:paraId="7FFD2CF1" w14:textId="36A99776" w:rsidR="00953F04" w:rsidRPr="00A81370" w:rsidRDefault="00953F04" w:rsidP="006A1131">
      <w:pPr>
        <w:numPr>
          <w:ilvl w:val="0"/>
          <w:numId w:val="13"/>
        </w:numPr>
        <w:spacing w:after="0" w:line="480" w:lineRule="auto"/>
        <w:ind w:left="2160" w:right="720" w:hanging="720"/>
        <w:contextualSpacing/>
        <w:rPr>
          <w:rFonts w:ascii="Times New Roman" w:eastAsia="Calibri" w:hAnsi="Times New Roman" w:cs="Times New Roman"/>
          <w:sz w:val="24"/>
          <w:szCs w:val="24"/>
        </w:rPr>
      </w:pPr>
      <w:r w:rsidRPr="00A81370">
        <w:rPr>
          <w:rFonts w:ascii="Times New Roman" w:eastAsia="Calibri" w:hAnsi="Times New Roman" w:cs="Times New Roman"/>
          <w:sz w:val="24"/>
          <w:szCs w:val="24"/>
        </w:rPr>
        <w:t>Require DP&amp;L to maintain a detailed accounting of all storm expenses within its storm deferral account, including detailed records of all incidental costs. The capital costs should be recorded separately and are not to be recovered through the Storm Damage Recovery Rider, but rather should be reviewed and considered as part of future base distribution rate cases. DP&amp;L should provide this information annually for Staff to audit to determine if additional proceedings are necessary to establish recovery levels or refunds as necessary;</w:t>
      </w:r>
      <w:r w:rsidRPr="00A81370">
        <w:rPr>
          <w:rFonts w:ascii="Times New Roman" w:eastAsia="Calibri" w:hAnsi="Times New Roman" w:cs="Times New Roman"/>
          <w:sz w:val="24"/>
          <w:szCs w:val="24"/>
          <w:vertAlign w:val="superscript"/>
        </w:rPr>
        <w:footnoteReference w:id="66"/>
      </w:r>
    </w:p>
    <w:p w14:paraId="2EB21542" w14:textId="77777777" w:rsidR="00953F04" w:rsidRPr="00A81370" w:rsidRDefault="00953F04" w:rsidP="006A1131">
      <w:pPr>
        <w:numPr>
          <w:ilvl w:val="0"/>
          <w:numId w:val="13"/>
        </w:numPr>
        <w:spacing w:after="0" w:line="480" w:lineRule="auto"/>
        <w:ind w:left="2160" w:right="720" w:hanging="720"/>
        <w:contextualSpacing/>
        <w:rPr>
          <w:rFonts w:ascii="Times New Roman" w:eastAsia="Calibri" w:hAnsi="Times New Roman" w:cs="Times New Roman"/>
          <w:sz w:val="24"/>
          <w:szCs w:val="24"/>
        </w:rPr>
      </w:pPr>
      <w:r w:rsidRPr="00A81370">
        <w:rPr>
          <w:rFonts w:ascii="Times New Roman" w:eastAsia="Calibri" w:hAnsi="Times New Roman" w:cs="Times New Roman"/>
          <w:sz w:val="24"/>
          <w:szCs w:val="24"/>
        </w:rPr>
        <w:t>Order DP&amp;L to file an application by December 31</w:t>
      </w:r>
      <w:r w:rsidRPr="00A81370">
        <w:rPr>
          <w:rFonts w:ascii="Times New Roman" w:eastAsia="Calibri" w:hAnsi="Times New Roman" w:cs="Times New Roman"/>
          <w:sz w:val="24"/>
          <w:szCs w:val="24"/>
          <w:vertAlign w:val="superscript"/>
        </w:rPr>
        <w:t>st</w:t>
      </w:r>
      <w:r w:rsidRPr="00A81370">
        <w:rPr>
          <w:rFonts w:ascii="Times New Roman" w:eastAsia="Calibri" w:hAnsi="Times New Roman" w:cs="Times New Roman"/>
          <w:sz w:val="24"/>
          <w:szCs w:val="24"/>
        </w:rPr>
        <w:t xml:space="preserve"> of each year during the ESP commencing a proceeding where: </w:t>
      </w:r>
    </w:p>
    <w:p w14:paraId="00E65AA0" w14:textId="77777777" w:rsidR="00953F04" w:rsidRPr="00A81370" w:rsidRDefault="00953F04" w:rsidP="006A1131">
      <w:pPr>
        <w:numPr>
          <w:ilvl w:val="0"/>
          <w:numId w:val="14"/>
        </w:numPr>
        <w:spacing w:after="0" w:line="480" w:lineRule="auto"/>
        <w:ind w:left="2880" w:right="1440" w:hanging="720"/>
        <w:contextualSpacing/>
        <w:rPr>
          <w:rFonts w:ascii="Times New Roman" w:eastAsia="Calibri" w:hAnsi="Times New Roman" w:cs="Times New Roman"/>
          <w:sz w:val="24"/>
          <w:szCs w:val="24"/>
        </w:rPr>
      </w:pPr>
      <w:r w:rsidRPr="00A81370">
        <w:rPr>
          <w:rFonts w:ascii="Times New Roman" w:eastAsia="Calibri" w:hAnsi="Times New Roman" w:cs="Times New Roman"/>
          <w:sz w:val="24"/>
          <w:szCs w:val="24"/>
        </w:rPr>
        <w:t>DP&amp;L has the burden of proof to demonstrate that all the major storm costs were prudently incurred and reasonable:</w:t>
      </w:r>
    </w:p>
    <w:p w14:paraId="202F50D8" w14:textId="77777777" w:rsidR="00953F04" w:rsidRPr="00A81370" w:rsidRDefault="00953F04" w:rsidP="006A1131">
      <w:pPr>
        <w:numPr>
          <w:ilvl w:val="0"/>
          <w:numId w:val="14"/>
        </w:numPr>
        <w:spacing w:after="0" w:line="480" w:lineRule="auto"/>
        <w:ind w:left="2880" w:right="1440" w:hanging="720"/>
        <w:contextualSpacing/>
        <w:rPr>
          <w:rFonts w:ascii="Times New Roman" w:eastAsia="Calibri" w:hAnsi="Times New Roman" w:cs="Times New Roman"/>
          <w:sz w:val="24"/>
          <w:szCs w:val="24"/>
        </w:rPr>
      </w:pPr>
      <w:r w:rsidRPr="00A81370">
        <w:rPr>
          <w:rFonts w:ascii="Times New Roman" w:eastAsia="Calibri" w:hAnsi="Times New Roman" w:cs="Times New Roman"/>
          <w:sz w:val="24"/>
          <w:szCs w:val="24"/>
        </w:rPr>
        <w:t>Any interested party and the PUCO Staff have the opportunity to file comments on the annual application within 90 days after it is filed;</w:t>
      </w:r>
    </w:p>
    <w:p w14:paraId="523D2218" w14:textId="77777777" w:rsidR="00953F04" w:rsidRPr="00A81370" w:rsidRDefault="00953F04" w:rsidP="006A1131">
      <w:pPr>
        <w:numPr>
          <w:ilvl w:val="0"/>
          <w:numId w:val="14"/>
        </w:numPr>
        <w:spacing w:after="0" w:line="480" w:lineRule="auto"/>
        <w:ind w:left="2880" w:right="1440" w:hanging="720"/>
        <w:contextualSpacing/>
        <w:rPr>
          <w:rFonts w:ascii="Times New Roman" w:eastAsia="Calibri" w:hAnsi="Times New Roman" w:cs="Times New Roman"/>
          <w:sz w:val="24"/>
          <w:szCs w:val="24"/>
        </w:rPr>
      </w:pPr>
      <w:r w:rsidRPr="00A81370">
        <w:rPr>
          <w:rFonts w:ascii="Times New Roman" w:eastAsia="Calibri" w:hAnsi="Times New Roman" w:cs="Times New Roman"/>
          <w:sz w:val="24"/>
          <w:szCs w:val="24"/>
        </w:rPr>
        <w:t xml:space="preserve">If any objections are not resolved by DP&amp;L, then an evidentiary hearing will be scheduled; </w:t>
      </w:r>
    </w:p>
    <w:p w14:paraId="0E51DDD5" w14:textId="77777777" w:rsidR="00953F04" w:rsidRPr="00A81370" w:rsidRDefault="00953F04" w:rsidP="006A1131">
      <w:pPr>
        <w:numPr>
          <w:ilvl w:val="0"/>
          <w:numId w:val="14"/>
        </w:numPr>
        <w:spacing w:after="0" w:line="480" w:lineRule="auto"/>
        <w:ind w:left="2880" w:right="1440" w:hanging="720"/>
        <w:contextualSpacing/>
        <w:rPr>
          <w:rFonts w:ascii="Times New Roman" w:eastAsia="Calibri" w:hAnsi="Times New Roman" w:cs="Times New Roman"/>
          <w:sz w:val="24"/>
          <w:szCs w:val="24"/>
        </w:rPr>
      </w:pPr>
      <w:r w:rsidRPr="00A81370">
        <w:rPr>
          <w:rFonts w:ascii="Times New Roman" w:eastAsia="Calibri" w:hAnsi="Times New Roman" w:cs="Times New Roman"/>
          <w:sz w:val="24"/>
          <w:szCs w:val="24"/>
        </w:rPr>
        <w:t xml:space="preserve">Parties will be provided ample time to conduct discovery; and </w:t>
      </w:r>
    </w:p>
    <w:p w14:paraId="75B7EDC5" w14:textId="77777777" w:rsidR="00953F04" w:rsidRPr="00A81370" w:rsidRDefault="00953F04" w:rsidP="006A1131">
      <w:pPr>
        <w:numPr>
          <w:ilvl w:val="0"/>
          <w:numId w:val="14"/>
        </w:numPr>
        <w:spacing w:after="0" w:line="480" w:lineRule="auto"/>
        <w:ind w:left="2880" w:right="1440" w:hanging="720"/>
        <w:contextualSpacing/>
        <w:rPr>
          <w:rFonts w:ascii="Times New Roman" w:eastAsia="Calibri" w:hAnsi="Times New Roman" w:cs="Times New Roman"/>
          <w:sz w:val="24"/>
          <w:szCs w:val="24"/>
        </w:rPr>
      </w:pPr>
      <w:r w:rsidRPr="00A81370">
        <w:rPr>
          <w:rFonts w:ascii="Times New Roman" w:eastAsia="Calibri" w:hAnsi="Times New Roman" w:cs="Times New Roman"/>
          <w:sz w:val="24"/>
          <w:szCs w:val="24"/>
        </w:rPr>
        <w:t>Parties will be provided the opportunity to present testimony before the Commission.</w:t>
      </w:r>
      <w:r w:rsidRPr="00A81370">
        <w:rPr>
          <w:rFonts w:ascii="Times New Roman" w:eastAsia="Calibri" w:hAnsi="Times New Roman" w:cs="Times New Roman"/>
          <w:sz w:val="24"/>
          <w:szCs w:val="24"/>
          <w:vertAlign w:val="superscript"/>
        </w:rPr>
        <w:footnoteReference w:id="67"/>
      </w:r>
    </w:p>
    <w:p w14:paraId="2C29A404" w14:textId="530D1866" w:rsidR="00953F04" w:rsidRDefault="00953F04" w:rsidP="00AE37BF">
      <w:pPr>
        <w:autoSpaceDE w:val="0"/>
        <w:autoSpaceDN w:val="0"/>
        <w:adjustRightInd w:val="0"/>
        <w:spacing w:after="0" w:line="480" w:lineRule="auto"/>
        <w:ind w:firstLine="720"/>
        <w:rPr>
          <w:rFonts w:ascii="Times New Roman" w:eastAsia="Calibri" w:hAnsi="Times New Roman" w:cs="Times New Roman"/>
          <w:sz w:val="24"/>
          <w:szCs w:val="24"/>
        </w:rPr>
      </w:pPr>
      <w:r w:rsidRPr="00A81370">
        <w:rPr>
          <w:rFonts w:ascii="Times New Roman" w:eastAsia="Calibri" w:hAnsi="Times New Roman" w:cs="Times New Roman"/>
          <w:sz w:val="24"/>
          <w:szCs w:val="24"/>
        </w:rPr>
        <w:t>The consumer protections above have been established in PUCO precedent.  Specifically, these protections were mandated by the PUCO when it approved a Storm Damage Recovery Mechanism for AEP-Ohio.</w:t>
      </w:r>
      <w:r w:rsidRPr="00A81370">
        <w:rPr>
          <w:rFonts w:ascii="Times New Roman" w:eastAsia="Calibri" w:hAnsi="Times New Roman" w:cs="Times New Roman"/>
          <w:sz w:val="24"/>
          <w:szCs w:val="24"/>
          <w:vertAlign w:val="superscript"/>
        </w:rPr>
        <w:footnoteReference w:id="68"/>
      </w:r>
      <w:r w:rsidRPr="00A81370">
        <w:rPr>
          <w:rFonts w:ascii="Times New Roman" w:eastAsia="Calibri" w:hAnsi="Times New Roman" w:cs="Times New Roman"/>
          <w:sz w:val="24"/>
          <w:szCs w:val="24"/>
        </w:rPr>
        <w:t xml:space="preserve">  Accordingly, if the </w:t>
      </w:r>
      <w:r w:rsidR="008C0ECC">
        <w:rPr>
          <w:rFonts w:ascii="Times New Roman" w:eastAsia="Calibri" w:hAnsi="Times New Roman" w:cs="Times New Roman"/>
          <w:sz w:val="24"/>
          <w:szCs w:val="24"/>
        </w:rPr>
        <w:t>PUCO</w:t>
      </w:r>
      <w:r w:rsidR="008C0ECC" w:rsidRPr="00A81370">
        <w:rPr>
          <w:rFonts w:ascii="Times New Roman" w:eastAsia="Calibri" w:hAnsi="Times New Roman" w:cs="Times New Roman"/>
          <w:sz w:val="24"/>
          <w:szCs w:val="24"/>
        </w:rPr>
        <w:t xml:space="preserve"> </w:t>
      </w:r>
      <w:r w:rsidRPr="00A81370">
        <w:rPr>
          <w:rFonts w:ascii="Times New Roman" w:eastAsia="Calibri" w:hAnsi="Times New Roman" w:cs="Times New Roman"/>
          <w:sz w:val="24"/>
          <w:szCs w:val="24"/>
        </w:rPr>
        <w:t xml:space="preserve">approves the Storm Rider, then DP&amp;L’s customers should be afforded the same protections as AEP-Ohio’s customers.  </w:t>
      </w:r>
    </w:p>
    <w:p w14:paraId="596038AD" w14:textId="77777777" w:rsidR="00656BF7" w:rsidRDefault="00656BF7" w:rsidP="00656BF7">
      <w:pPr>
        <w:pStyle w:val="Heading2"/>
      </w:pPr>
      <w:bookmarkStart w:id="26" w:name="_Toc358991957"/>
      <w:bookmarkStart w:id="27" w:name="_Toc359248611"/>
      <w:r>
        <w:t>K.</w:t>
      </w:r>
      <w:r>
        <w:tab/>
        <w:t>DP&amp;L’s Customers Should not pay for Transmission Expenses Related to Storm Restoration Efforts.</w:t>
      </w:r>
      <w:bookmarkEnd w:id="26"/>
      <w:bookmarkEnd w:id="27"/>
    </w:p>
    <w:p w14:paraId="5B6B232E" w14:textId="232466A1" w:rsidR="00656BF7" w:rsidRDefault="00656BF7" w:rsidP="00656BF7">
      <w:pPr>
        <w:spacing w:after="0" w:line="480" w:lineRule="auto"/>
        <w:rPr>
          <w:rFonts w:ascii="Times New Roman" w:hAnsi="Times New Roman" w:cs="Times New Roman"/>
          <w:sz w:val="24"/>
          <w:szCs w:val="24"/>
        </w:rPr>
      </w:pPr>
      <w:r>
        <w:rPr>
          <w:rFonts w:ascii="Times New Roman" w:hAnsi="Times New Roman" w:cs="Times New Roman"/>
          <w:sz w:val="24"/>
          <w:szCs w:val="24"/>
        </w:rPr>
        <w:tab/>
        <w:t>A portion of the costs that DP&amp;L seeks to collect from its customers is associated with DP&amp;L’s Transmission Operations.  For example, from DP&amp;L’s response to OCC First Set RPD-16 and RPD-17, it can be calculated that $255,559 of capital costs for Transmission Operation</w:t>
      </w:r>
      <w:r w:rsidR="001474DE">
        <w:rPr>
          <w:rFonts w:ascii="Times New Roman" w:hAnsi="Times New Roman" w:cs="Times New Roman"/>
          <w:sz w:val="24"/>
          <w:szCs w:val="24"/>
        </w:rPr>
        <w:t>s</w:t>
      </w:r>
      <w:r>
        <w:rPr>
          <w:rFonts w:ascii="Times New Roman" w:hAnsi="Times New Roman" w:cs="Times New Roman"/>
          <w:sz w:val="24"/>
          <w:szCs w:val="24"/>
        </w:rPr>
        <w:t xml:space="preserve"> can be found for what is referred to as 2008 Ike #1.  The total amount of capital costs for Transmission Operation</w:t>
      </w:r>
      <w:r w:rsidR="001474DE">
        <w:rPr>
          <w:rFonts w:ascii="Times New Roman" w:hAnsi="Times New Roman" w:cs="Times New Roman"/>
          <w:sz w:val="24"/>
          <w:szCs w:val="24"/>
        </w:rPr>
        <w:t>s</w:t>
      </w:r>
      <w:r>
        <w:rPr>
          <w:rFonts w:ascii="Times New Roman" w:hAnsi="Times New Roman" w:cs="Times New Roman"/>
          <w:sz w:val="24"/>
          <w:szCs w:val="24"/>
        </w:rPr>
        <w:t xml:space="preserve"> for Hurricane Ike is $276,522.  It also appears that data for other storms also reflect capital costs associated with Transmission Operation</w:t>
      </w:r>
      <w:r w:rsidR="001474DE">
        <w:rPr>
          <w:rFonts w:ascii="Times New Roman" w:hAnsi="Times New Roman" w:cs="Times New Roman"/>
          <w:sz w:val="24"/>
          <w:szCs w:val="24"/>
        </w:rPr>
        <w:t>s</w:t>
      </w:r>
      <w:r>
        <w:rPr>
          <w:rFonts w:ascii="Times New Roman" w:hAnsi="Times New Roman" w:cs="Times New Roman"/>
          <w:sz w:val="24"/>
          <w:szCs w:val="24"/>
        </w:rPr>
        <w:t xml:space="preserve">.   </w:t>
      </w:r>
    </w:p>
    <w:p w14:paraId="38318FDA" w14:textId="46820362" w:rsidR="00656BF7" w:rsidRDefault="00656BF7" w:rsidP="00656BF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collection of transmission costs from customers is inappropriate in a distribution rider case. Therefore, DP&amp;L should be required to identify and remove from its request those storm costs that are not related to the distribution function. DP&amp;L should therefore exclude all transmission-related costs (</w:t>
      </w:r>
      <w:r w:rsidR="001474DE">
        <w:rPr>
          <w:rFonts w:ascii="Times New Roman" w:hAnsi="Times New Roman" w:cs="Times New Roman"/>
          <w:sz w:val="24"/>
          <w:szCs w:val="24"/>
        </w:rPr>
        <w:t>c</w:t>
      </w:r>
      <w:r>
        <w:rPr>
          <w:rFonts w:ascii="Times New Roman" w:hAnsi="Times New Roman" w:cs="Times New Roman"/>
          <w:sz w:val="24"/>
          <w:szCs w:val="24"/>
        </w:rPr>
        <w:t>apital and O&amp;M).  The PUCO should not authorize DP&amp;L to collect these amounts from customers in this case.</w:t>
      </w:r>
    </w:p>
    <w:p w14:paraId="19649506" w14:textId="77777777" w:rsidR="00AE37BF" w:rsidRPr="00A81370" w:rsidRDefault="00AE37BF" w:rsidP="00AE37BF">
      <w:pPr>
        <w:autoSpaceDE w:val="0"/>
        <w:autoSpaceDN w:val="0"/>
        <w:adjustRightInd w:val="0"/>
        <w:spacing w:after="0" w:line="240" w:lineRule="auto"/>
        <w:ind w:firstLine="720"/>
        <w:rPr>
          <w:rFonts w:ascii="Times New Roman" w:eastAsia="Calibri" w:hAnsi="Times New Roman" w:cs="Times New Roman"/>
          <w:sz w:val="24"/>
          <w:szCs w:val="24"/>
        </w:rPr>
      </w:pPr>
    </w:p>
    <w:p w14:paraId="354F6747" w14:textId="1FFB043C" w:rsidR="00306690" w:rsidRPr="0080211A" w:rsidRDefault="0080211A" w:rsidP="00A4548D">
      <w:pPr>
        <w:pStyle w:val="Heading1"/>
        <w:ind w:left="0" w:firstLine="0"/>
      </w:pPr>
      <w:bookmarkStart w:id="28" w:name="_Toc359248612"/>
      <w:r>
        <w:t>I</w:t>
      </w:r>
      <w:r w:rsidR="00045600">
        <w:t>V</w:t>
      </w:r>
      <w:r>
        <w:t>.</w:t>
      </w:r>
      <w:r>
        <w:tab/>
      </w:r>
      <w:r w:rsidR="00306690" w:rsidRPr="0080211A">
        <w:t>Conclusion</w:t>
      </w:r>
      <w:bookmarkEnd w:id="28"/>
    </w:p>
    <w:p w14:paraId="4239E735" w14:textId="03155445" w:rsidR="00615264" w:rsidRDefault="00306690" w:rsidP="0080211A">
      <w:pPr>
        <w:pStyle w:val="Default"/>
        <w:spacing w:line="480" w:lineRule="auto"/>
        <w:ind w:firstLine="720"/>
      </w:pPr>
      <w:r w:rsidRPr="0080211A">
        <w:t>The Supreme Court of Ohio has established that DP&amp;L</w:t>
      </w:r>
      <w:r w:rsidRPr="00306690">
        <w:t xml:space="preserve"> has the burden of </w:t>
      </w:r>
      <w:r>
        <w:t>proving</w:t>
      </w:r>
      <w:r w:rsidRPr="0080211A">
        <w:t xml:space="preserve"> that the storm costs it seeks to collect </w:t>
      </w:r>
      <w:r>
        <w:t xml:space="preserve">from customers </w:t>
      </w:r>
      <w:r w:rsidRPr="0080211A">
        <w:t xml:space="preserve">were prudently incurred and reasonable. </w:t>
      </w:r>
      <w:r w:rsidR="005B6BBE">
        <w:t xml:space="preserve"> </w:t>
      </w:r>
      <w:r w:rsidR="007A3E57">
        <w:t>But t</w:t>
      </w:r>
      <w:r w:rsidRPr="0080211A">
        <w:t>he information DP&amp;L provided to support its Application</w:t>
      </w:r>
      <w:r w:rsidR="007A3E57">
        <w:t xml:space="preserve"> </w:t>
      </w:r>
      <w:r w:rsidRPr="0080211A">
        <w:t>does not show that the storms meet the definition of “major event” in the PUCO</w:t>
      </w:r>
      <w:r w:rsidR="007A3E57">
        <w:t>’s</w:t>
      </w:r>
      <w:r w:rsidRPr="0080211A">
        <w:t xml:space="preserve"> rules</w:t>
      </w:r>
      <w:r w:rsidR="007A3E57">
        <w:t>.  A</w:t>
      </w:r>
      <w:r w:rsidRPr="0080211A">
        <w:t>nd</w:t>
      </w:r>
      <w:r w:rsidR="007A3E57">
        <w:t xml:space="preserve"> DP&amp;L’s information</w:t>
      </w:r>
      <w:r w:rsidRPr="0080211A">
        <w:t xml:space="preserve"> is not adequately detailed to show whether the costs were prudently incurred and reasonable. </w:t>
      </w:r>
      <w:r w:rsidR="005B6BBE">
        <w:t xml:space="preserve"> </w:t>
      </w:r>
      <w:r w:rsidRPr="0080211A">
        <w:t>For these reasons, the PUCO should d</w:t>
      </w:r>
      <w:r w:rsidR="00615264">
        <w:t>eny</w:t>
      </w:r>
      <w:r w:rsidRPr="0080211A">
        <w:t xml:space="preserve"> the Application. </w:t>
      </w:r>
      <w:r w:rsidR="005B6BBE">
        <w:t xml:space="preserve"> </w:t>
      </w:r>
    </w:p>
    <w:p w14:paraId="4267C2FB" w14:textId="260A205A" w:rsidR="00306690" w:rsidRPr="00306690" w:rsidRDefault="00306690" w:rsidP="0080211A">
      <w:pPr>
        <w:pStyle w:val="Default"/>
        <w:spacing w:line="480" w:lineRule="auto"/>
        <w:ind w:firstLine="720"/>
        <w:rPr>
          <w:b/>
        </w:rPr>
      </w:pPr>
      <w:r w:rsidRPr="0080211A">
        <w:t>Alternatively, if the PUCO does not d</w:t>
      </w:r>
      <w:r w:rsidR="00615264">
        <w:t>eny</w:t>
      </w:r>
      <w:r w:rsidRPr="0080211A">
        <w:t xml:space="preserve"> the Application</w:t>
      </w:r>
      <w:r w:rsidR="00615264">
        <w:t xml:space="preserve"> in its entire</w:t>
      </w:r>
      <w:r w:rsidR="007A3E57">
        <w:t>t</w:t>
      </w:r>
      <w:r w:rsidR="00615264">
        <w:t>y</w:t>
      </w:r>
      <w:r w:rsidRPr="0080211A">
        <w:t xml:space="preserve">, </w:t>
      </w:r>
      <w:r w:rsidR="00FD3968">
        <w:t>the Commission</w:t>
      </w:r>
      <w:r w:rsidRPr="0080211A">
        <w:t xml:space="preserve"> should not allow DP&amp;L to collect from customers the amounts </w:t>
      </w:r>
      <w:r w:rsidR="00515293">
        <w:t>it seeks</w:t>
      </w:r>
      <w:r w:rsidRPr="0080211A">
        <w:t>.  Though discovery</w:t>
      </w:r>
      <w:r w:rsidR="005B6BBE">
        <w:t xml:space="preserve"> to date in this case</w:t>
      </w:r>
      <w:r w:rsidRPr="0080211A">
        <w:t xml:space="preserve">, OCC has been able to quantify </w:t>
      </w:r>
      <w:r w:rsidR="005B6BBE">
        <w:t xml:space="preserve">only </w:t>
      </w:r>
      <w:r w:rsidRPr="0080211A">
        <w:t xml:space="preserve">some of the costs that should be disallowed. </w:t>
      </w:r>
      <w:r w:rsidR="005B6BBE">
        <w:t xml:space="preserve"> </w:t>
      </w:r>
      <w:r w:rsidR="00615264">
        <w:t>Because</w:t>
      </w:r>
      <w:r w:rsidR="005B6BBE">
        <w:t xml:space="preserve"> </w:t>
      </w:r>
      <w:r w:rsidRPr="0080211A">
        <w:t xml:space="preserve">other costs </w:t>
      </w:r>
      <w:r w:rsidR="00F36010">
        <w:t>(</w:t>
      </w:r>
      <w:r w:rsidR="00615264">
        <w:t>that DP&amp;L seek</w:t>
      </w:r>
      <w:r w:rsidR="0006338D">
        <w:t>s</w:t>
      </w:r>
      <w:r w:rsidR="00615264">
        <w:t xml:space="preserve"> to collect from its customers</w:t>
      </w:r>
      <w:r w:rsidR="00F36010">
        <w:t>)</w:t>
      </w:r>
      <w:r w:rsidR="00615264">
        <w:t xml:space="preserve"> that should be disallowed have not yet been </w:t>
      </w:r>
      <w:r w:rsidRPr="0080211A">
        <w:t xml:space="preserve">quantified through discovery, the PUCO should conduct an evidentiary hearing to fully examine the claims DP&amp;L made in its Application. To protect consumers, the PUCO should </w:t>
      </w:r>
      <w:r w:rsidR="0006338D">
        <w:t>adopt</w:t>
      </w:r>
      <w:r w:rsidR="0006338D" w:rsidRPr="0080211A">
        <w:t xml:space="preserve"> </w:t>
      </w:r>
      <w:r w:rsidRPr="0080211A">
        <w:t>OCC’s recommendations.</w:t>
      </w:r>
    </w:p>
    <w:p w14:paraId="21AFF226" w14:textId="3B2B2667" w:rsidR="00D161AC" w:rsidRDefault="00D161AC">
      <w:pPr>
        <w:rPr>
          <w:rFonts w:ascii="Times New Roman" w:hAnsi="Times New Roman" w:cs="Times New Roman"/>
          <w:sz w:val="24"/>
          <w:szCs w:val="24"/>
        </w:rPr>
      </w:pPr>
      <w:r>
        <w:rPr>
          <w:rFonts w:ascii="Times New Roman" w:hAnsi="Times New Roman" w:cs="Times New Roman"/>
          <w:sz w:val="24"/>
          <w:szCs w:val="24"/>
        </w:rPr>
        <w:br w:type="page"/>
      </w:r>
    </w:p>
    <w:p w14:paraId="75E962E9" w14:textId="77777777" w:rsidR="00D161AC" w:rsidRPr="00D161AC" w:rsidRDefault="00D161AC" w:rsidP="00D161AC">
      <w:pPr>
        <w:tabs>
          <w:tab w:val="left" w:pos="4230"/>
        </w:tabs>
        <w:autoSpaceDE w:val="0"/>
        <w:autoSpaceDN w:val="0"/>
        <w:adjustRightInd w:val="0"/>
        <w:spacing w:after="0" w:line="240" w:lineRule="auto"/>
        <w:ind w:left="4410"/>
        <w:rPr>
          <w:rFonts w:ascii="Times New Roman" w:eastAsia="Times New Roman" w:hAnsi="Times New Roman" w:cs="Times New Roman"/>
          <w:sz w:val="24"/>
          <w:szCs w:val="24"/>
        </w:rPr>
      </w:pPr>
      <w:r w:rsidRPr="00D161AC">
        <w:rPr>
          <w:rFonts w:ascii="Times New Roman" w:eastAsia="Times New Roman" w:hAnsi="Times New Roman" w:cs="Times New Roman"/>
          <w:sz w:val="24"/>
          <w:szCs w:val="24"/>
        </w:rPr>
        <w:t>Respectfully submitted,</w:t>
      </w:r>
    </w:p>
    <w:p w14:paraId="15846CF3" w14:textId="77777777" w:rsidR="00D161AC" w:rsidRPr="00D161AC" w:rsidRDefault="00D161AC" w:rsidP="00D161AC">
      <w:pPr>
        <w:tabs>
          <w:tab w:val="left" w:pos="4230"/>
        </w:tabs>
        <w:autoSpaceDE w:val="0"/>
        <w:autoSpaceDN w:val="0"/>
        <w:adjustRightInd w:val="0"/>
        <w:spacing w:after="0" w:line="240" w:lineRule="auto"/>
        <w:ind w:left="4410"/>
        <w:rPr>
          <w:rFonts w:ascii="Times New Roman" w:eastAsia="Times New Roman" w:hAnsi="Times New Roman" w:cs="Times New Roman"/>
          <w:sz w:val="24"/>
          <w:szCs w:val="24"/>
        </w:rPr>
      </w:pPr>
    </w:p>
    <w:p w14:paraId="145453C3" w14:textId="77777777" w:rsidR="00D161AC" w:rsidRPr="00D161AC" w:rsidRDefault="00D161AC" w:rsidP="00D161AC">
      <w:pPr>
        <w:tabs>
          <w:tab w:val="left" w:pos="4230"/>
        </w:tabs>
        <w:autoSpaceDE w:val="0"/>
        <w:autoSpaceDN w:val="0"/>
        <w:adjustRightInd w:val="0"/>
        <w:spacing w:after="0" w:line="240" w:lineRule="auto"/>
        <w:ind w:left="4410"/>
        <w:rPr>
          <w:rFonts w:ascii="Times New Roman" w:eastAsia="Times New Roman" w:hAnsi="Times New Roman" w:cs="Times New Roman"/>
          <w:sz w:val="24"/>
          <w:szCs w:val="24"/>
        </w:rPr>
      </w:pPr>
      <w:r w:rsidRPr="00D161AC">
        <w:rPr>
          <w:rFonts w:ascii="Times New Roman" w:eastAsia="Times New Roman" w:hAnsi="Times New Roman" w:cs="Times New Roman"/>
          <w:sz w:val="24"/>
          <w:szCs w:val="24"/>
        </w:rPr>
        <w:t>BRUCE J. WESTON</w:t>
      </w:r>
    </w:p>
    <w:p w14:paraId="021E1D23" w14:textId="6D87D3B1" w:rsidR="00D161AC" w:rsidRPr="00D161AC" w:rsidRDefault="00D161AC" w:rsidP="00D161AC">
      <w:pPr>
        <w:tabs>
          <w:tab w:val="left" w:pos="4230"/>
        </w:tabs>
        <w:autoSpaceDE w:val="0"/>
        <w:autoSpaceDN w:val="0"/>
        <w:adjustRightInd w:val="0"/>
        <w:spacing w:after="0" w:line="240" w:lineRule="auto"/>
        <w:ind w:left="4410"/>
        <w:rPr>
          <w:rFonts w:ascii="Times New Roman" w:eastAsia="Times New Roman" w:hAnsi="Times New Roman" w:cs="Times New Roman"/>
          <w:sz w:val="24"/>
          <w:szCs w:val="24"/>
        </w:rPr>
      </w:pPr>
      <w:r w:rsidRPr="00D161AC">
        <w:rPr>
          <w:rFonts w:ascii="Times New Roman" w:eastAsia="Times New Roman" w:hAnsi="Times New Roman" w:cs="Times New Roman"/>
          <w:sz w:val="24"/>
          <w:szCs w:val="24"/>
        </w:rPr>
        <w:t>OHIO CONSUME</w:t>
      </w:r>
      <w:r w:rsidR="00FF318B">
        <w:rPr>
          <w:rFonts w:ascii="Times New Roman" w:eastAsia="Times New Roman" w:hAnsi="Times New Roman" w:cs="Times New Roman"/>
          <w:sz w:val="24"/>
          <w:szCs w:val="24"/>
        </w:rPr>
        <w:t>R</w:t>
      </w:r>
      <w:r w:rsidRPr="00D161AC">
        <w:rPr>
          <w:rFonts w:ascii="Times New Roman" w:eastAsia="Times New Roman" w:hAnsi="Times New Roman" w:cs="Times New Roman"/>
          <w:sz w:val="24"/>
          <w:szCs w:val="24"/>
        </w:rPr>
        <w:t>S’ COUNSEL</w:t>
      </w:r>
    </w:p>
    <w:p w14:paraId="58506B28" w14:textId="77777777" w:rsidR="00D161AC" w:rsidRPr="00D161AC" w:rsidRDefault="00D161AC" w:rsidP="00D161AC">
      <w:pPr>
        <w:tabs>
          <w:tab w:val="left" w:pos="4230"/>
        </w:tabs>
        <w:autoSpaceDE w:val="0"/>
        <w:autoSpaceDN w:val="0"/>
        <w:adjustRightInd w:val="0"/>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D161AC" w:rsidRPr="00D161AC" w14:paraId="51E10B8F" w14:textId="77777777" w:rsidTr="00F06C0F">
        <w:tc>
          <w:tcPr>
            <w:tcW w:w="4428" w:type="dxa"/>
            <w:tcBorders>
              <w:top w:val="nil"/>
              <w:left w:val="nil"/>
              <w:bottom w:val="nil"/>
              <w:right w:val="nil"/>
            </w:tcBorders>
            <w:shd w:val="clear" w:color="auto" w:fill="auto"/>
          </w:tcPr>
          <w:p w14:paraId="202BB427" w14:textId="77777777" w:rsidR="00D161AC" w:rsidRPr="00D161AC" w:rsidRDefault="00D161AC" w:rsidP="00D161AC">
            <w:pPr>
              <w:tabs>
                <w:tab w:val="left" w:pos="4230"/>
              </w:tabs>
              <w:autoSpaceDE w:val="0"/>
              <w:autoSpaceDN w:val="0"/>
              <w:adjustRightInd w:val="0"/>
              <w:spacing w:after="0" w:line="240" w:lineRule="auto"/>
              <w:rPr>
                <w:rFonts w:ascii="Times New Roman" w:eastAsia="Times New Roman" w:hAnsi="Times New Roman" w:cs="Times New Roman"/>
                <w:sz w:val="24"/>
                <w:szCs w:val="24"/>
              </w:rPr>
            </w:pPr>
          </w:p>
        </w:tc>
        <w:tc>
          <w:tcPr>
            <w:tcW w:w="4428" w:type="dxa"/>
            <w:tcBorders>
              <w:top w:val="nil"/>
              <w:left w:val="nil"/>
              <w:bottom w:val="nil"/>
              <w:right w:val="nil"/>
            </w:tcBorders>
            <w:shd w:val="clear" w:color="auto" w:fill="auto"/>
          </w:tcPr>
          <w:p w14:paraId="47AB05BF" w14:textId="77777777" w:rsidR="00D161AC" w:rsidRPr="00D161AC" w:rsidRDefault="00D161AC" w:rsidP="00D161AC">
            <w:pPr>
              <w:tabs>
                <w:tab w:val="left" w:pos="4230"/>
              </w:tabs>
              <w:autoSpaceDE w:val="0"/>
              <w:autoSpaceDN w:val="0"/>
              <w:adjustRightInd w:val="0"/>
              <w:spacing w:after="0" w:line="240" w:lineRule="auto"/>
              <w:rPr>
                <w:rFonts w:ascii="Times New Roman" w:eastAsia="Times New Roman" w:hAnsi="Times New Roman" w:cs="Times New Roman"/>
                <w:i/>
                <w:sz w:val="24"/>
                <w:szCs w:val="24"/>
                <w:u w:val="single"/>
              </w:rPr>
            </w:pPr>
            <w:r w:rsidRPr="00D161AC">
              <w:rPr>
                <w:rFonts w:ascii="Times New Roman" w:eastAsia="Times New Roman" w:hAnsi="Times New Roman" w:cs="Times New Roman"/>
                <w:i/>
                <w:sz w:val="24"/>
                <w:szCs w:val="24"/>
                <w:u w:val="single"/>
              </w:rPr>
              <w:t>/s/ Melissa Yost_______________</w:t>
            </w:r>
          </w:p>
          <w:p w14:paraId="07085877" w14:textId="77777777" w:rsidR="00D161AC" w:rsidRPr="00D161AC" w:rsidRDefault="00D161AC" w:rsidP="00D161AC">
            <w:pPr>
              <w:tabs>
                <w:tab w:val="left" w:pos="4230"/>
              </w:tabs>
              <w:autoSpaceDE w:val="0"/>
              <w:autoSpaceDN w:val="0"/>
              <w:adjustRightInd w:val="0"/>
              <w:spacing w:after="0" w:line="240" w:lineRule="auto"/>
              <w:rPr>
                <w:rFonts w:ascii="Times New Roman" w:eastAsia="Times New Roman" w:hAnsi="Times New Roman" w:cs="Times New Roman"/>
                <w:sz w:val="24"/>
                <w:szCs w:val="24"/>
              </w:rPr>
            </w:pPr>
            <w:r w:rsidRPr="00D161AC">
              <w:rPr>
                <w:rFonts w:ascii="Times New Roman" w:eastAsia="Times New Roman" w:hAnsi="Times New Roman" w:cs="Times New Roman"/>
                <w:sz w:val="24"/>
                <w:szCs w:val="24"/>
              </w:rPr>
              <w:t>Melissa R. Yost, Counsel of Record</w:t>
            </w:r>
          </w:p>
          <w:p w14:paraId="66368C2B" w14:textId="77777777" w:rsidR="00D161AC" w:rsidRPr="00D161AC" w:rsidRDefault="00D161AC" w:rsidP="00D161AC">
            <w:pPr>
              <w:tabs>
                <w:tab w:val="left" w:pos="4230"/>
              </w:tabs>
              <w:autoSpaceDE w:val="0"/>
              <w:autoSpaceDN w:val="0"/>
              <w:adjustRightInd w:val="0"/>
              <w:spacing w:after="0" w:line="240" w:lineRule="auto"/>
              <w:rPr>
                <w:rFonts w:ascii="Times New Roman" w:eastAsia="Times New Roman" w:hAnsi="Times New Roman" w:cs="Times New Roman"/>
                <w:sz w:val="24"/>
                <w:szCs w:val="24"/>
              </w:rPr>
            </w:pPr>
            <w:r w:rsidRPr="00D161AC">
              <w:rPr>
                <w:rFonts w:ascii="Times New Roman" w:eastAsia="Times New Roman" w:hAnsi="Times New Roman" w:cs="Times New Roman"/>
                <w:sz w:val="24"/>
                <w:szCs w:val="24"/>
              </w:rPr>
              <w:t>Deputy Consumers’ Counsel</w:t>
            </w:r>
          </w:p>
          <w:p w14:paraId="55AC3DA3" w14:textId="77777777" w:rsidR="00D161AC" w:rsidRPr="00D161AC" w:rsidRDefault="00D161AC" w:rsidP="00D161AC">
            <w:pPr>
              <w:tabs>
                <w:tab w:val="left" w:pos="4230"/>
              </w:tabs>
              <w:autoSpaceDE w:val="0"/>
              <w:autoSpaceDN w:val="0"/>
              <w:adjustRightInd w:val="0"/>
              <w:spacing w:after="0" w:line="240" w:lineRule="auto"/>
              <w:rPr>
                <w:rFonts w:ascii="Times New Roman" w:eastAsia="Times New Roman" w:hAnsi="Times New Roman" w:cs="Times New Roman"/>
                <w:sz w:val="24"/>
                <w:szCs w:val="24"/>
              </w:rPr>
            </w:pPr>
            <w:r w:rsidRPr="00D161AC">
              <w:rPr>
                <w:rFonts w:ascii="Times New Roman" w:eastAsia="Times New Roman" w:hAnsi="Times New Roman" w:cs="Times New Roman"/>
                <w:sz w:val="24"/>
                <w:szCs w:val="24"/>
              </w:rPr>
              <w:t>Larry S. Sauer</w:t>
            </w:r>
          </w:p>
          <w:p w14:paraId="4BC58542" w14:textId="77777777" w:rsidR="00D161AC" w:rsidRPr="00D161AC" w:rsidRDefault="00D161AC" w:rsidP="00D161AC">
            <w:pPr>
              <w:tabs>
                <w:tab w:val="left" w:pos="4230"/>
              </w:tabs>
              <w:autoSpaceDE w:val="0"/>
              <w:autoSpaceDN w:val="0"/>
              <w:adjustRightInd w:val="0"/>
              <w:spacing w:after="0" w:line="240" w:lineRule="auto"/>
              <w:rPr>
                <w:rFonts w:ascii="Times New Roman" w:eastAsia="Times New Roman" w:hAnsi="Times New Roman" w:cs="Times New Roman"/>
                <w:sz w:val="24"/>
                <w:szCs w:val="24"/>
              </w:rPr>
            </w:pPr>
            <w:r w:rsidRPr="00D161AC">
              <w:rPr>
                <w:rFonts w:ascii="Times New Roman" w:eastAsia="Times New Roman" w:hAnsi="Times New Roman" w:cs="Times New Roman"/>
                <w:sz w:val="24"/>
                <w:szCs w:val="24"/>
              </w:rPr>
              <w:t>Michael J. Schuler</w:t>
            </w:r>
          </w:p>
          <w:p w14:paraId="73961628" w14:textId="77777777" w:rsidR="00D161AC" w:rsidRPr="00D161AC" w:rsidRDefault="00D161AC" w:rsidP="00D161AC">
            <w:pPr>
              <w:tabs>
                <w:tab w:val="left" w:pos="4230"/>
              </w:tabs>
              <w:autoSpaceDE w:val="0"/>
              <w:autoSpaceDN w:val="0"/>
              <w:adjustRightInd w:val="0"/>
              <w:spacing w:after="0" w:line="240" w:lineRule="auto"/>
              <w:rPr>
                <w:rFonts w:ascii="Times New Roman" w:eastAsia="Times New Roman" w:hAnsi="Times New Roman" w:cs="Times New Roman"/>
                <w:sz w:val="24"/>
                <w:szCs w:val="24"/>
              </w:rPr>
            </w:pPr>
            <w:r w:rsidRPr="00D161AC">
              <w:rPr>
                <w:rFonts w:ascii="Times New Roman" w:eastAsia="Times New Roman" w:hAnsi="Times New Roman" w:cs="Times New Roman"/>
                <w:sz w:val="24"/>
                <w:szCs w:val="24"/>
              </w:rPr>
              <w:t>Assistant Consumers’ Counsel</w:t>
            </w:r>
          </w:p>
          <w:p w14:paraId="5FDCECEC" w14:textId="77777777" w:rsidR="00D161AC" w:rsidRPr="00D161AC" w:rsidRDefault="00D161AC" w:rsidP="00D161AC">
            <w:pPr>
              <w:tabs>
                <w:tab w:val="left" w:pos="4230"/>
              </w:tabs>
              <w:autoSpaceDE w:val="0"/>
              <w:autoSpaceDN w:val="0"/>
              <w:adjustRightInd w:val="0"/>
              <w:spacing w:after="0" w:line="240" w:lineRule="auto"/>
              <w:rPr>
                <w:rFonts w:ascii="Times New Roman" w:eastAsia="Times New Roman" w:hAnsi="Times New Roman" w:cs="Times New Roman"/>
                <w:sz w:val="24"/>
                <w:szCs w:val="24"/>
              </w:rPr>
            </w:pPr>
          </w:p>
          <w:p w14:paraId="397A0542" w14:textId="77777777" w:rsidR="00D161AC" w:rsidRPr="00D161AC" w:rsidRDefault="00D161AC" w:rsidP="00D161AC">
            <w:pPr>
              <w:tabs>
                <w:tab w:val="left" w:pos="4230"/>
              </w:tabs>
              <w:autoSpaceDE w:val="0"/>
              <w:autoSpaceDN w:val="0"/>
              <w:adjustRightInd w:val="0"/>
              <w:spacing w:after="0" w:line="240" w:lineRule="auto"/>
              <w:rPr>
                <w:rFonts w:ascii="Times New Roman" w:eastAsia="Times New Roman" w:hAnsi="Times New Roman" w:cs="Times New Roman"/>
                <w:b/>
                <w:sz w:val="24"/>
                <w:szCs w:val="24"/>
              </w:rPr>
            </w:pPr>
            <w:r w:rsidRPr="00D161AC">
              <w:rPr>
                <w:rFonts w:ascii="Times New Roman" w:eastAsia="Times New Roman" w:hAnsi="Times New Roman" w:cs="Times New Roman"/>
                <w:b/>
                <w:sz w:val="24"/>
                <w:szCs w:val="24"/>
              </w:rPr>
              <w:t>Office of the Ohio Consumers’ Counsel</w:t>
            </w:r>
          </w:p>
          <w:p w14:paraId="1928818E" w14:textId="77777777" w:rsidR="00D161AC" w:rsidRPr="00D161AC" w:rsidRDefault="00D161AC" w:rsidP="00D161AC">
            <w:pPr>
              <w:tabs>
                <w:tab w:val="left" w:pos="4230"/>
              </w:tabs>
              <w:autoSpaceDE w:val="0"/>
              <w:autoSpaceDN w:val="0"/>
              <w:adjustRightInd w:val="0"/>
              <w:spacing w:after="0" w:line="240" w:lineRule="auto"/>
              <w:rPr>
                <w:rFonts w:ascii="Times New Roman" w:eastAsia="Times New Roman" w:hAnsi="Times New Roman" w:cs="Times New Roman"/>
                <w:sz w:val="24"/>
                <w:szCs w:val="24"/>
              </w:rPr>
            </w:pPr>
            <w:r w:rsidRPr="00D161AC">
              <w:rPr>
                <w:rFonts w:ascii="Times New Roman" w:eastAsia="Times New Roman" w:hAnsi="Times New Roman" w:cs="Times New Roman"/>
                <w:sz w:val="24"/>
                <w:szCs w:val="24"/>
              </w:rPr>
              <w:t>10 West Broad Street, Suite 1800</w:t>
            </w:r>
          </w:p>
          <w:p w14:paraId="41FEF07D" w14:textId="77777777" w:rsidR="00D161AC" w:rsidRPr="00D161AC" w:rsidRDefault="00D161AC" w:rsidP="00D161AC">
            <w:pPr>
              <w:tabs>
                <w:tab w:val="left" w:pos="4230"/>
              </w:tabs>
              <w:autoSpaceDE w:val="0"/>
              <w:autoSpaceDN w:val="0"/>
              <w:adjustRightInd w:val="0"/>
              <w:spacing w:after="0" w:line="240" w:lineRule="auto"/>
              <w:rPr>
                <w:rFonts w:ascii="Times New Roman" w:eastAsia="Times New Roman" w:hAnsi="Times New Roman" w:cs="Times New Roman"/>
                <w:sz w:val="24"/>
                <w:szCs w:val="24"/>
              </w:rPr>
            </w:pPr>
            <w:r w:rsidRPr="00D161AC">
              <w:rPr>
                <w:rFonts w:ascii="Times New Roman" w:eastAsia="Times New Roman" w:hAnsi="Times New Roman" w:cs="Times New Roman"/>
                <w:sz w:val="24"/>
                <w:szCs w:val="24"/>
              </w:rPr>
              <w:t>Columbus, Ohio 43215</w:t>
            </w:r>
          </w:p>
          <w:p w14:paraId="6C5CC552" w14:textId="77777777" w:rsidR="00D161AC" w:rsidRPr="00D161AC" w:rsidRDefault="00D161AC" w:rsidP="00D161AC">
            <w:pPr>
              <w:tabs>
                <w:tab w:val="left" w:pos="4230"/>
              </w:tabs>
              <w:autoSpaceDE w:val="0"/>
              <w:autoSpaceDN w:val="0"/>
              <w:adjustRightInd w:val="0"/>
              <w:spacing w:after="0" w:line="240" w:lineRule="auto"/>
              <w:rPr>
                <w:rFonts w:ascii="Times New Roman" w:eastAsia="Times New Roman" w:hAnsi="Times New Roman" w:cs="Times New Roman"/>
                <w:sz w:val="24"/>
                <w:szCs w:val="24"/>
              </w:rPr>
            </w:pPr>
            <w:r w:rsidRPr="00D161AC">
              <w:rPr>
                <w:rFonts w:ascii="Times New Roman" w:eastAsia="Times New Roman" w:hAnsi="Times New Roman" w:cs="Times New Roman"/>
                <w:sz w:val="24"/>
                <w:szCs w:val="24"/>
              </w:rPr>
              <w:t>(614) 466-1291 (Telephone-Yost)</w:t>
            </w:r>
          </w:p>
          <w:p w14:paraId="3E0AD9CB" w14:textId="77777777" w:rsidR="00D161AC" w:rsidRPr="00D161AC" w:rsidRDefault="00D161AC" w:rsidP="00D161AC">
            <w:pPr>
              <w:tabs>
                <w:tab w:val="left" w:pos="4230"/>
              </w:tabs>
              <w:autoSpaceDE w:val="0"/>
              <w:autoSpaceDN w:val="0"/>
              <w:adjustRightInd w:val="0"/>
              <w:spacing w:after="0" w:line="240" w:lineRule="auto"/>
              <w:rPr>
                <w:rFonts w:ascii="Times New Roman" w:eastAsia="Times New Roman" w:hAnsi="Times New Roman" w:cs="Times New Roman"/>
                <w:sz w:val="24"/>
                <w:szCs w:val="24"/>
              </w:rPr>
            </w:pPr>
            <w:r w:rsidRPr="00D161AC">
              <w:rPr>
                <w:rFonts w:ascii="Times New Roman" w:eastAsia="Times New Roman" w:hAnsi="Times New Roman" w:cs="Times New Roman"/>
                <w:sz w:val="24"/>
                <w:szCs w:val="24"/>
              </w:rPr>
              <w:t>(614) 466-1312 (Telephone-Sauer)</w:t>
            </w:r>
          </w:p>
          <w:p w14:paraId="41521617" w14:textId="77777777" w:rsidR="00D161AC" w:rsidRPr="00D161AC" w:rsidRDefault="00D161AC" w:rsidP="00D161AC">
            <w:pPr>
              <w:tabs>
                <w:tab w:val="left" w:pos="4230"/>
              </w:tabs>
              <w:autoSpaceDE w:val="0"/>
              <w:autoSpaceDN w:val="0"/>
              <w:adjustRightInd w:val="0"/>
              <w:spacing w:after="0" w:line="240" w:lineRule="auto"/>
              <w:rPr>
                <w:rFonts w:ascii="Times New Roman" w:eastAsia="Times New Roman" w:hAnsi="Times New Roman" w:cs="Times New Roman"/>
                <w:sz w:val="24"/>
                <w:szCs w:val="24"/>
              </w:rPr>
            </w:pPr>
            <w:r w:rsidRPr="00D161AC">
              <w:rPr>
                <w:rFonts w:ascii="Times New Roman" w:eastAsia="Times New Roman" w:hAnsi="Times New Roman" w:cs="Times New Roman"/>
                <w:sz w:val="24"/>
                <w:szCs w:val="24"/>
              </w:rPr>
              <w:t>(614) 466-9547 (Telephone-Schuler)</w:t>
            </w:r>
          </w:p>
          <w:p w14:paraId="052645ED" w14:textId="77777777" w:rsidR="00D161AC" w:rsidRPr="00D161AC" w:rsidRDefault="00D161AC" w:rsidP="00D161AC">
            <w:pPr>
              <w:tabs>
                <w:tab w:val="left" w:pos="4230"/>
              </w:tabs>
              <w:autoSpaceDE w:val="0"/>
              <w:autoSpaceDN w:val="0"/>
              <w:adjustRightInd w:val="0"/>
              <w:spacing w:after="0" w:line="240" w:lineRule="auto"/>
              <w:rPr>
                <w:rFonts w:ascii="Times New Roman" w:eastAsia="Times New Roman" w:hAnsi="Times New Roman" w:cs="Times New Roman"/>
                <w:sz w:val="24"/>
                <w:szCs w:val="24"/>
              </w:rPr>
            </w:pPr>
            <w:r w:rsidRPr="00D161AC">
              <w:rPr>
                <w:rFonts w:ascii="Times New Roman" w:eastAsia="Times New Roman" w:hAnsi="Times New Roman" w:cs="Times New Roman"/>
                <w:sz w:val="24"/>
                <w:szCs w:val="24"/>
              </w:rPr>
              <w:t>(614 466-9475 (Fax)</w:t>
            </w:r>
          </w:p>
          <w:p w14:paraId="28555936" w14:textId="77777777" w:rsidR="00D161AC" w:rsidRPr="00D161AC" w:rsidRDefault="00D161AC" w:rsidP="00D161AC">
            <w:pPr>
              <w:tabs>
                <w:tab w:val="left" w:pos="4230"/>
              </w:tabs>
              <w:autoSpaceDE w:val="0"/>
              <w:autoSpaceDN w:val="0"/>
              <w:adjustRightInd w:val="0"/>
              <w:spacing w:after="0" w:line="240" w:lineRule="auto"/>
              <w:rPr>
                <w:rFonts w:ascii="Times New Roman" w:eastAsia="Times New Roman" w:hAnsi="Times New Roman" w:cs="Times New Roman"/>
                <w:sz w:val="24"/>
                <w:szCs w:val="24"/>
              </w:rPr>
            </w:pPr>
            <w:r w:rsidRPr="00D161AC">
              <w:rPr>
                <w:rFonts w:ascii="Times New Roman" w:eastAsia="Times New Roman" w:hAnsi="Times New Roman" w:cs="Times New Roman"/>
                <w:sz w:val="24"/>
                <w:szCs w:val="24"/>
              </w:rPr>
              <w:t>yost@occ.state.oh.us</w:t>
            </w:r>
          </w:p>
          <w:p w14:paraId="6D4C245D" w14:textId="77777777" w:rsidR="00D161AC" w:rsidRPr="00D161AC" w:rsidRDefault="00D161AC" w:rsidP="00D161AC">
            <w:pPr>
              <w:tabs>
                <w:tab w:val="left" w:pos="4230"/>
              </w:tabs>
              <w:autoSpaceDE w:val="0"/>
              <w:autoSpaceDN w:val="0"/>
              <w:adjustRightInd w:val="0"/>
              <w:spacing w:after="0" w:line="240" w:lineRule="auto"/>
              <w:rPr>
                <w:rFonts w:ascii="Times New Roman" w:eastAsia="Times New Roman" w:hAnsi="Times New Roman" w:cs="Times New Roman"/>
                <w:sz w:val="24"/>
                <w:szCs w:val="24"/>
              </w:rPr>
            </w:pPr>
            <w:r w:rsidRPr="00D161AC">
              <w:rPr>
                <w:rFonts w:ascii="Times New Roman" w:eastAsia="Times New Roman" w:hAnsi="Times New Roman" w:cs="Times New Roman"/>
                <w:sz w:val="24"/>
                <w:szCs w:val="24"/>
              </w:rPr>
              <w:t>sauer@occ.state.oh.us</w:t>
            </w:r>
          </w:p>
          <w:p w14:paraId="1D1BE305" w14:textId="77777777" w:rsidR="00D161AC" w:rsidRPr="00D161AC" w:rsidRDefault="00D161AC" w:rsidP="00D161AC">
            <w:pPr>
              <w:tabs>
                <w:tab w:val="left" w:pos="4230"/>
              </w:tabs>
              <w:autoSpaceDE w:val="0"/>
              <w:autoSpaceDN w:val="0"/>
              <w:adjustRightInd w:val="0"/>
              <w:spacing w:after="0" w:line="240" w:lineRule="auto"/>
              <w:rPr>
                <w:rFonts w:ascii="Times New Roman" w:eastAsia="Times New Roman" w:hAnsi="Times New Roman" w:cs="Times New Roman"/>
                <w:sz w:val="24"/>
                <w:szCs w:val="24"/>
              </w:rPr>
            </w:pPr>
            <w:r w:rsidRPr="00D161AC">
              <w:rPr>
                <w:rFonts w:ascii="Times New Roman" w:eastAsia="Times New Roman" w:hAnsi="Times New Roman" w:cs="Times New Roman"/>
                <w:sz w:val="24"/>
                <w:szCs w:val="24"/>
              </w:rPr>
              <w:t>schuler@occ.state.oh.us</w:t>
            </w:r>
          </w:p>
        </w:tc>
      </w:tr>
    </w:tbl>
    <w:p w14:paraId="4185577F" w14:textId="77777777" w:rsidR="00D161AC" w:rsidRDefault="00D161AC" w:rsidP="00D161AC">
      <w:pPr>
        <w:spacing w:after="0" w:line="480" w:lineRule="auto"/>
        <w:jc w:val="center"/>
        <w:rPr>
          <w:rFonts w:ascii="Times New Roman" w:eastAsia="Times New Roman" w:hAnsi="Times New Roman" w:cs="Times New Roman"/>
          <w:b/>
          <w:bCs/>
          <w:sz w:val="24"/>
          <w:szCs w:val="24"/>
          <w:u w:val="single"/>
        </w:rPr>
      </w:pPr>
    </w:p>
    <w:p w14:paraId="337A8837" w14:textId="77777777" w:rsidR="00D161AC" w:rsidRDefault="00D161AC">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br w:type="page"/>
      </w:r>
    </w:p>
    <w:p w14:paraId="7EC88117" w14:textId="77777777" w:rsidR="00D161AC" w:rsidRPr="00D161AC" w:rsidRDefault="00D161AC" w:rsidP="00D161AC">
      <w:pPr>
        <w:spacing w:after="0" w:line="480" w:lineRule="auto"/>
        <w:jc w:val="center"/>
        <w:rPr>
          <w:rFonts w:ascii="Times New Roman" w:eastAsia="Times New Roman" w:hAnsi="Times New Roman" w:cs="Times New Roman"/>
          <w:b/>
          <w:bCs/>
          <w:sz w:val="24"/>
          <w:szCs w:val="24"/>
          <w:u w:val="single"/>
        </w:rPr>
      </w:pPr>
      <w:r w:rsidRPr="00D161AC">
        <w:rPr>
          <w:rFonts w:ascii="Times New Roman" w:eastAsia="Times New Roman" w:hAnsi="Times New Roman" w:cs="Times New Roman"/>
          <w:b/>
          <w:bCs/>
          <w:sz w:val="24"/>
          <w:szCs w:val="24"/>
          <w:u w:val="single"/>
        </w:rPr>
        <w:t>CERTIFICATE OF SERVICE</w:t>
      </w:r>
    </w:p>
    <w:p w14:paraId="6D0D4AC3" w14:textId="77777777" w:rsidR="00D161AC" w:rsidRPr="00D161AC" w:rsidRDefault="00D161AC" w:rsidP="00D161AC">
      <w:pPr>
        <w:spacing w:after="0" w:line="480" w:lineRule="auto"/>
        <w:ind w:right="24"/>
        <w:rPr>
          <w:rFonts w:ascii="Times New Roman" w:eastAsia="Times New Roman" w:hAnsi="Times New Roman" w:cs="Times New Roman"/>
          <w:sz w:val="24"/>
          <w:szCs w:val="24"/>
        </w:rPr>
      </w:pPr>
      <w:r w:rsidRPr="00D161AC">
        <w:rPr>
          <w:rFonts w:ascii="Times New Roman" w:eastAsia="Times New Roman" w:hAnsi="Times New Roman" w:cs="Times New Roman"/>
          <w:sz w:val="24"/>
          <w:szCs w:val="24"/>
        </w:rPr>
        <w:tab/>
        <w:t xml:space="preserve">The undersigned hereby certifies that a true and correct copy of the foregoing </w:t>
      </w:r>
      <w:r>
        <w:rPr>
          <w:rFonts w:ascii="Times New Roman" w:eastAsia="Times New Roman" w:hAnsi="Times New Roman" w:cs="Times New Roman"/>
          <w:sz w:val="24"/>
          <w:szCs w:val="24"/>
        </w:rPr>
        <w:t>Comments</w:t>
      </w:r>
      <w:r w:rsidRPr="00D161AC">
        <w:rPr>
          <w:rFonts w:ascii="Times New Roman" w:eastAsia="Times New Roman" w:hAnsi="Times New Roman" w:cs="Times New Roman"/>
          <w:sz w:val="24"/>
          <w:szCs w:val="24"/>
        </w:rPr>
        <w:t xml:space="preserve"> has been served upon the below-named persons via electronic service this </w:t>
      </w:r>
      <w:r>
        <w:rPr>
          <w:rFonts w:ascii="Times New Roman" w:eastAsia="Times New Roman" w:hAnsi="Times New Roman" w:cs="Times New Roman"/>
          <w:sz w:val="24"/>
          <w:szCs w:val="24"/>
        </w:rPr>
        <w:t>17th</w:t>
      </w:r>
      <w:r w:rsidRPr="00D161AC">
        <w:rPr>
          <w:rFonts w:ascii="Times New Roman" w:eastAsia="Times New Roman" w:hAnsi="Times New Roman" w:cs="Times New Roman"/>
          <w:sz w:val="24"/>
          <w:szCs w:val="24"/>
        </w:rPr>
        <w:t xml:space="preserve"> day of </w:t>
      </w:r>
      <w:r>
        <w:rPr>
          <w:rFonts w:ascii="Times New Roman" w:eastAsia="Times New Roman" w:hAnsi="Times New Roman" w:cs="Times New Roman"/>
          <w:sz w:val="24"/>
          <w:szCs w:val="24"/>
        </w:rPr>
        <w:t>June</w:t>
      </w:r>
      <w:r w:rsidRPr="00D161AC">
        <w:rPr>
          <w:rFonts w:ascii="Times New Roman" w:eastAsia="Times New Roman" w:hAnsi="Times New Roman" w:cs="Times New Roman"/>
          <w:sz w:val="24"/>
          <w:szCs w:val="24"/>
        </w:rPr>
        <w:t>, 2013.</w:t>
      </w:r>
    </w:p>
    <w:p w14:paraId="31F9FAF9" w14:textId="77777777" w:rsidR="00D161AC" w:rsidRPr="00D161AC" w:rsidRDefault="00D161AC" w:rsidP="00D161AC">
      <w:pPr>
        <w:spacing w:after="0" w:line="240" w:lineRule="auto"/>
        <w:rPr>
          <w:rFonts w:ascii="Times New Roman" w:eastAsia="Times New Roman" w:hAnsi="Times New Roman" w:cs="Times New Roman"/>
          <w:sz w:val="24"/>
          <w:szCs w:val="24"/>
        </w:rPr>
      </w:pPr>
    </w:p>
    <w:p w14:paraId="5E1DFE18" w14:textId="77777777" w:rsidR="00D161AC" w:rsidRPr="00D161AC" w:rsidRDefault="00D161AC" w:rsidP="00D161AC">
      <w:pPr>
        <w:spacing w:after="0" w:line="240" w:lineRule="auto"/>
        <w:rPr>
          <w:rFonts w:ascii="Times New Roman" w:eastAsia="Times New Roman" w:hAnsi="Times New Roman" w:cs="Times New Roman"/>
          <w:b/>
          <w:sz w:val="24"/>
          <w:szCs w:val="20"/>
          <w:u w:val="single"/>
        </w:rPr>
      </w:pPr>
    </w:p>
    <w:p w14:paraId="3FA9BE2E" w14:textId="77777777" w:rsidR="00D161AC" w:rsidRPr="00D161AC" w:rsidRDefault="00D161AC" w:rsidP="00D161AC">
      <w:pPr>
        <w:spacing w:after="0" w:line="240" w:lineRule="auto"/>
        <w:ind w:left="4320"/>
        <w:rPr>
          <w:rFonts w:ascii="Times New Roman" w:eastAsia="Times New Roman" w:hAnsi="Times New Roman" w:cs="Times New Roman"/>
          <w:i/>
          <w:sz w:val="24"/>
          <w:szCs w:val="20"/>
          <w:u w:val="single"/>
        </w:rPr>
      </w:pPr>
      <w:r w:rsidRPr="00D161AC">
        <w:rPr>
          <w:rFonts w:ascii="Times New Roman" w:eastAsia="Times New Roman" w:hAnsi="Times New Roman" w:cs="Times New Roman"/>
          <w:i/>
          <w:sz w:val="24"/>
          <w:szCs w:val="20"/>
          <w:u w:val="single"/>
        </w:rPr>
        <w:t>/s/ Melissa R. Yost</w:t>
      </w:r>
      <w:r w:rsidRPr="00D161AC">
        <w:rPr>
          <w:rFonts w:ascii="Times New Roman" w:eastAsia="Times New Roman" w:hAnsi="Times New Roman" w:cs="Times New Roman"/>
          <w:i/>
          <w:sz w:val="24"/>
          <w:szCs w:val="20"/>
          <w:u w:val="single"/>
        </w:rPr>
        <w:tab/>
      </w:r>
      <w:r w:rsidRPr="00D161AC">
        <w:rPr>
          <w:rFonts w:ascii="Times New Roman" w:eastAsia="Times New Roman" w:hAnsi="Times New Roman" w:cs="Times New Roman"/>
          <w:i/>
          <w:sz w:val="24"/>
          <w:szCs w:val="20"/>
          <w:u w:val="single"/>
        </w:rPr>
        <w:tab/>
      </w:r>
    </w:p>
    <w:p w14:paraId="6DF1ADEB" w14:textId="77777777" w:rsidR="00D161AC" w:rsidRPr="00D161AC" w:rsidRDefault="00D161AC" w:rsidP="00D161AC">
      <w:pPr>
        <w:spacing w:after="0" w:line="240" w:lineRule="auto"/>
        <w:rPr>
          <w:rFonts w:ascii="Times New Roman" w:eastAsia="Times New Roman" w:hAnsi="Times New Roman" w:cs="Times New Roman"/>
          <w:sz w:val="24"/>
          <w:szCs w:val="24"/>
        </w:rPr>
      </w:pPr>
      <w:r w:rsidRPr="00D161AC">
        <w:rPr>
          <w:rFonts w:ascii="Times New Roman" w:eastAsia="Times New Roman" w:hAnsi="Times New Roman" w:cs="Times New Roman"/>
          <w:sz w:val="24"/>
          <w:szCs w:val="24"/>
        </w:rPr>
        <w:tab/>
      </w:r>
      <w:r w:rsidRPr="00D161AC">
        <w:rPr>
          <w:rFonts w:ascii="Times New Roman" w:eastAsia="Times New Roman" w:hAnsi="Times New Roman" w:cs="Times New Roman"/>
          <w:sz w:val="24"/>
          <w:szCs w:val="24"/>
        </w:rPr>
        <w:tab/>
      </w:r>
      <w:r w:rsidRPr="00D161AC">
        <w:rPr>
          <w:rFonts w:ascii="Times New Roman" w:eastAsia="Times New Roman" w:hAnsi="Times New Roman" w:cs="Times New Roman"/>
          <w:sz w:val="24"/>
          <w:szCs w:val="24"/>
        </w:rPr>
        <w:tab/>
      </w:r>
      <w:r w:rsidRPr="00D161AC">
        <w:rPr>
          <w:rFonts w:ascii="Times New Roman" w:eastAsia="Times New Roman" w:hAnsi="Times New Roman" w:cs="Times New Roman"/>
          <w:sz w:val="24"/>
          <w:szCs w:val="24"/>
        </w:rPr>
        <w:tab/>
      </w:r>
      <w:r w:rsidRPr="00D161AC">
        <w:rPr>
          <w:rFonts w:ascii="Times New Roman" w:eastAsia="Times New Roman" w:hAnsi="Times New Roman" w:cs="Times New Roman"/>
          <w:sz w:val="24"/>
          <w:szCs w:val="24"/>
        </w:rPr>
        <w:tab/>
      </w:r>
      <w:r w:rsidRPr="00D161AC">
        <w:rPr>
          <w:rFonts w:ascii="Times New Roman" w:eastAsia="Times New Roman" w:hAnsi="Times New Roman" w:cs="Times New Roman"/>
          <w:sz w:val="24"/>
          <w:szCs w:val="24"/>
        </w:rPr>
        <w:tab/>
        <w:t>Melissa R. Yost</w:t>
      </w:r>
    </w:p>
    <w:p w14:paraId="6BAA0DF3" w14:textId="77777777" w:rsidR="00D161AC" w:rsidRPr="00D161AC" w:rsidRDefault="00D161AC" w:rsidP="00D161AC">
      <w:pPr>
        <w:spacing w:after="0" w:line="240" w:lineRule="auto"/>
        <w:rPr>
          <w:rFonts w:ascii="Times New Roman" w:eastAsia="Times New Roman" w:hAnsi="Times New Roman" w:cs="Times New Roman"/>
          <w:sz w:val="24"/>
          <w:szCs w:val="24"/>
        </w:rPr>
      </w:pPr>
      <w:r w:rsidRPr="00D161AC">
        <w:rPr>
          <w:rFonts w:ascii="Times New Roman" w:eastAsia="Times New Roman" w:hAnsi="Times New Roman" w:cs="Times New Roman"/>
          <w:sz w:val="24"/>
          <w:szCs w:val="24"/>
        </w:rPr>
        <w:tab/>
      </w:r>
      <w:r w:rsidRPr="00D161AC">
        <w:rPr>
          <w:rFonts w:ascii="Times New Roman" w:eastAsia="Times New Roman" w:hAnsi="Times New Roman" w:cs="Times New Roman"/>
          <w:sz w:val="24"/>
          <w:szCs w:val="24"/>
        </w:rPr>
        <w:tab/>
      </w:r>
      <w:r w:rsidRPr="00D161AC">
        <w:rPr>
          <w:rFonts w:ascii="Times New Roman" w:eastAsia="Times New Roman" w:hAnsi="Times New Roman" w:cs="Times New Roman"/>
          <w:sz w:val="24"/>
          <w:szCs w:val="24"/>
        </w:rPr>
        <w:tab/>
      </w:r>
      <w:r w:rsidRPr="00D161AC">
        <w:rPr>
          <w:rFonts w:ascii="Times New Roman" w:eastAsia="Times New Roman" w:hAnsi="Times New Roman" w:cs="Times New Roman"/>
          <w:sz w:val="24"/>
          <w:szCs w:val="24"/>
        </w:rPr>
        <w:tab/>
      </w:r>
      <w:r w:rsidRPr="00D161AC">
        <w:rPr>
          <w:rFonts w:ascii="Times New Roman" w:eastAsia="Times New Roman" w:hAnsi="Times New Roman" w:cs="Times New Roman"/>
          <w:sz w:val="24"/>
          <w:szCs w:val="24"/>
        </w:rPr>
        <w:tab/>
      </w:r>
      <w:r w:rsidRPr="00D161AC">
        <w:rPr>
          <w:rFonts w:ascii="Times New Roman" w:eastAsia="Times New Roman" w:hAnsi="Times New Roman" w:cs="Times New Roman"/>
          <w:sz w:val="24"/>
          <w:szCs w:val="24"/>
        </w:rPr>
        <w:tab/>
        <w:t>Deputy Consumers’ Counsel</w:t>
      </w:r>
    </w:p>
    <w:p w14:paraId="75E60D99" w14:textId="77777777" w:rsidR="00D161AC" w:rsidRPr="00D161AC" w:rsidRDefault="00D161AC" w:rsidP="00D161AC">
      <w:pPr>
        <w:tabs>
          <w:tab w:val="left" w:pos="4320"/>
        </w:tabs>
        <w:spacing w:after="0" w:line="240" w:lineRule="auto"/>
        <w:jc w:val="center"/>
        <w:rPr>
          <w:rFonts w:ascii="Times New Roman" w:eastAsia="Times New Roman" w:hAnsi="Times New Roman" w:cs="Times New Roman"/>
          <w:b/>
          <w:sz w:val="24"/>
          <w:szCs w:val="20"/>
          <w:u w:val="single"/>
        </w:rPr>
      </w:pPr>
    </w:p>
    <w:p w14:paraId="15A49D32" w14:textId="77777777" w:rsidR="00D161AC" w:rsidRPr="00D161AC" w:rsidRDefault="00D161AC" w:rsidP="00D161AC">
      <w:pPr>
        <w:spacing w:after="0" w:line="240" w:lineRule="auto"/>
        <w:jc w:val="center"/>
        <w:rPr>
          <w:rFonts w:ascii="Times New Roman" w:eastAsia="Times New Roman" w:hAnsi="Times New Roman" w:cs="Times New Roman"/>
          <w:b/>
          <w:sz w:val="24"/>
          <w:szCs w:val="24"/>
          <w:u w:val="single"/>
        </w:rPr>
      </w:pPr>
      <w:r w:rsidRPr="00D161AC">
        <w:rPr>
          <w:rFonts w:ascii="Times New Roman" w:eastAsia="Times New Roman" w:hAnsi="Times New Roman" w:cs="Times New Roman"/>
          <w:b/>
          <w:sz w:val="24"/>
          <w:szCs w:val="24"/>
          <w:u w:val="single"/>
        </w:rPr>
        <w:t>SERVICE LIST</w:t>
      </w:r>
    </w:p>
    <w:p w14:paraId="672F4F51" w14:textId="77777777" w:rsidR="00D161AC" w:rsidRPr="00D161AC" w:rsidRDefault="00D161AC" w:rsidP="00D161AC">
      <w:pPr>
        <w:spacing w:after="0" w:line="240" w:lineRule="auto"/>
        <w:jc w:val="both"/>
        <w:rPr>
          <w:rFonts w:ascii="Times New Roman" w:eastAsia="Times New Roman" w:hAnsi="Times New Roman" w:cs="Times New Roman"/>
          <w:b/>
          <w:bCs/>
          <w:sz w:val="24"/>
          <w:szCs w:val="20"/>
        </w:rPr>
      </w:pPr>
    </w:p>
    <w:tbl>
      <w:tblPr>
        <w:tblW w:w="0" w:type="auto"/>
        <w:tblLook w:val="01E0" w:firstRow="1" w:lastRow="1" w:firstColumn="1" w:lastColumn="1" w:noHBand="0" w:noVBand="0"/>
      </w:tblPr>
      <w:tblGrid>
        <w:gridCol w:w="4428"/>
        <w:gridCol w:w="4428"/>
      </w:tblGrid>
      <w:tr w:rsidR="00D161AC" w:rsidRPr="00D161AC" w14:paraId="2B540116" w14:textId="77777777" w:rsidTr="00F06C0F">
        <w:tc>
          <w:tcPr>
            <w:tcW w:w="4428" w:type="dxa"/>
            <w:shd w:val="clear" w:color="auto" w:fill="auto"/>
          </w:tcPr>
          <w:p w14:paraId="1D02D38F" w14:textId="77777777" w:rsidR="00D161AC" w:rsidRPr="00D161AC" w:rsidRDefault="00D161AC" w:rsidP="00D161AC">
            <w:pPr>
              <w:autoSpaceDE w:val="0"/>
              <w:autoSpaceDN w:val="0"/>
              <w:adjustRightInd w:val="0"/>
              <w:spacing w:after="0" w:line="240" w:lineRule="auto"/>
              <w:rPr>
                <w:rFonts w:ascii="Times New Roman" w:eastAsia="Times New Roman" w:hAnsi="Times New Roman" w:cs="Times New Roman"/>
                <w:bCs/>
                <w:sz w:val="24"/>
                <w:szCs w:val="20"/>
              </w:rPr>
            </w:pPr>
            <w:r w:rsidRPr="00D161AC">
              <w:rPr>
                <w:rFonts w:ascii="Times New Roman" w:eastAsia="Times New Roman" w:hAnsi="Times New Roman" w:cs="Times New Roman"/>
                <w:bCs/>
                <w:sz w:val="24"/>
                <w:szCs w:val="20"/>
              </w:rPr>
              <w:t>Ryan O’Rourke</w:t>
            </w:r>
          </w:p>
          <w:p w14:paraId="107AD577" w14:textId="77777777" w:rsidR="00D161AC" w:rsidRPr="00D161AC" w:rsidRDefault="00D161AC" w:rsidP="00D161AC">
            <w:pPr>
              <w:autoSpaceDE w:val="0"/>
              <w:autoSpaceDN w:val="0"/>
              <w:adjustRightInd w:val="0"/>
              <w:spacing w:after="0" w:line="240" w:lineRule="auto"/>
              <w:rPr>
                <w:rFonts w:ascii="Times New Roman" w:eastAsia="Times New Roman" w:hAnsi="Times New Roman" w:cs="Times New Roman"/>
                <w:bCs/>
                <w:sz w:val="24"/>
                <w:szCs w:val="20"/>
              </w:rPr>
            </w:pPr>
            <w:r w:rsidRPr="00D161AC">
              <w:rPr>
                <w:rFonts w:ascii="Times New Roman" w:eastAsia="Times New Roman" w:hAnsi="Times New Roman" w:cs="Times New Roman"/>
                <w:bCs/>
                <w:sz w:val="24"/>
                <w:szCs w:val="20"/>
              </w:rPr>
              <w:t>Stephen Reilly</w:t>
            </w:r>
          </w:p>
          <w:p w14:paraId="535BF8C4" w14:textId="77777777" w:rsidR="00D161AC" w:rsidRPr="00D161AC" w:rsidRDefault="00D161AC" w:rsidP="00D161AC">
            <w:pPr>
              <w:autoSpaceDE w:val="0"/>
              <w:autoSpaceDN w:val="0"/>
              <w:adjustRightInd w:val="0"/>
              <w:spacing w:after="0" w:line="240" w:lineRule="auto"/>
              <w:rPr>
                <w:rFonts w:ascii="Times New Roman" w:eastAsia="Times New Roman" w:hAnsi="Times New Roman" w:cs="Times New Roman"/>
                <w:bCs/>
                <w:sz w:val="24"/>
                <w:szCs w:val="20"/>
              </w:rPr>
            </w:pPr>
            <w:r w:rsidRPr="00D161AC">
              <w:rPr>
                <w:rFonts w:ascii="Times New Roman" w:eastAsia="Times New Roman" w:hAnsi="Times New Roman" w:cs="Times New Roman"/>
                <w:bCs/>
                <w:sz w:val="24"/>
                <w:szCs w:val="20"/>
              </w:rPr>
              <w:t>Attorney General’s Office</w:t>
            </w:r>
          </w:p>
          <w:p w14:paraId="0A635C6F" w14:textId="77777777" w:rsidR="00D161AC" w:rsidRPr="00D161AC" w:rsidRDefault="00D161AC" w:rsidP="00D161AC">
            <w:pPr>
              <w:autoSpaceDE w:val="0"/>
              <w:autoSpaceDN w:val="0"/>
              <w:adjustRightInd w:val="0"/>
              <w:spacing w:after="0" w:line="240" w:lineRule="auto"/>
              <w:rPr>
                <w:rFonts w:ascii="Times New Roman" w:eastAsia="Times New Roman" w:hAnsi="Times New Roman" w:cs="Times New Roman"/>
                <w:bCs/>
                <w:sz w:val="24"/>
                <w:szCs w:val="20"/>
              </w:rPr>
            </w:pPr>
            <w:r w:rsidRPr="00D161AC">
              <w:rPr>
                <w:rFonts w:ascii="Times New Roman" w:eastAsia="Times New Roman" w:hAnsi="Times New Roman" w:cs="Times New Roman"/>
                <w:bCs/>
                <w:sz w:val="24"/>
                <w:szCs w:val="20"/>
              </w:rPr>
              <w:t>Public Utilities Commission of Ohio</w:t>
            </w:r>
          </w:p>
          <w:p w14:paraId="20DDD103" w14:textId="77777777" w:rsidR="00D161AC" w:rsidRPr="00D161AC" w:rsidRDefault="00D161AC" w:rsidP="00D161AC">
            <w:pPr>
              <w:autoSpaceDE w:val="0"/>
              <w:autoSpaceDN w:val="0"/>
              <w:adjustRightInd w:val="0"/>
              <w:spacing w:after="0" w:line="240" w:lineRule="auto"/>
              <w:rPr>
                <w:rFonts w:ascii="Times New Roman" w:eastAsia="Times New Roman" w:hAnsi="Times New Roman" w:cs="Times New Roman"/>
                <w:bCs/>
                <w:sz w:val="24"/>
                <w:szCs w:val="20"/>
              </w:rPr>
            </w:pPr>
            <w:r w:rsidRPr="00D161AC">
              <w:rPr>
                <w:rFonts w:ascii="Times New Roman" w:eastAsia="Times New Roman" w:hAnsi="Times New Roman" w:cs="Times New Roman"/>
                <w:bCs/>
                <w:sz w:val="24"/>
                <w:szCs w:val="20"/>
              </w:rPr>
              <w:t>180 East Broad St., 6</w:t>
            </w:r>
            <w:r w:rsidRPr="00D161AC">
              <w:rPr>
                <w:rFonts w:ascii="Times New Roman" w:eastAsia="Times New Roman" w:hAnsi="Times New Roman" w:cs="Times New Roman"/>
                <w:bCs/>
                <w:sz w:val="24"/>
                <w:szCs w:val="20"/>
                <w:vertAlign w:val="superscript"/>
              </w:rPr>
              <w:t>th</w:t>
            </w:r>
            <w:r w:rsidRPr="00D161AC">
              <w:rPr>
                <w:rFonts w:ascii="Times New Roman" w:eastAsia="Times New Roman" w:hAnsi="Times New Roman" w:cs="Times New Roman"/>
                <w:bCs/>
                <w:sz w:val="24"/>
                <w:szCs w:val="20"/>
              </w:rPr>
              <w:t xml:space="preserve"> Fl.</w:t>
            </w:r>
          </w:p>
          <w:p w14:paraId="78A82CE3" w14:textId="77777777" w:rsidR="00D161AC" w:rsidRPr="00D161AC" w:rsidRDefault="00D161AC" w:rsidP="00D161AC">
            <w:pPr>
              <w:autoSpaceDE w:val="0"/>
              <w:autoSpaceDN w:val="0"/>
              <w:adjustRightInd w:val="0"/>
              <w:spacing w:after="0" w:line="240" w:lineRule="auto"/>
              <w:rPr>
                <w:rFonts w:ascii="Times New Roman" w:eastAsia="Times New Roman" w:hAnsi="Times New Roman" w:cs="Times New Roman"/>
                <w:bCs/>
                <w:sz w:val="24"/>
                <w:szCs w:val="20"/>
              </w:rPr>
            </w:pPr>
            <w:r w:rsidRPr="00D161AC">
              <w:rPr>
                <w:rFonts w:ascii="Times New Roman" w:eastAsia="Times New Roman" w:hAnsi="Times New Roman" w:cs="Times New Roman"/>
                <w:bCs/>
                <w:sz w:val="24"/>
                <w:szCs w:val="20"/>
              </w:rPr>
              <w:t>Columbus, Ohio 43215</w:t>
            </w:r>
          </w:p>
          <w:p w14:paraId="66CF07A2" w14:textId="77777777" w:rsidR="00D161AC" w:rsidRPr="00D161AC" w:rsidRDefault="00D161AC" w:rsidP="00D161AC">
            <w:pPr>
              <w:autoSpaceDE w:val="0"/>
              <w:autoSpaceDN w:val="0"/>
              <w:adjustRightInd w:val="0"/>
              <w:spacing w:after="0" w:line="240" w:lineRule="auto"/>
              <w:rPr>
                <w:rFonts w:ascii="Times New Roman" w:eastAsia="Times New Roman" w:hAnsi="Times New Roman" w:cs="Times New Roman"/>
                <w:bCs/>
                <w:sz w:val="24"/>
                <w:szCs w:val="20"/>
              </w:rPr>
            </w:pPr>
            <w:r w:rsidRPr="00D161AC">
              <w:rPr>
                <w:rFonts w:ascii="Times New Roman" w:eastAsia="Times New Roman" w:hAnsi="Times New Roman" w:cs="Times New Roman"/>
                <w:bCs/>
                <w:sz w:val="24"/>
                <w:szCs w:val="20"/>
              </w:rPr>
              <w:t>Ryan.orourke@puc.state.oh.us</w:t>
            </w:r>
          </w:p>
          <w:p w14:paraId="2F64C5C4" w14:textId="77777777" w:rsidR="00D161AC" w:rsidRPr="00D161AC" w:rsidRDefault="00D161AC" w:rsidP="00D161AC">
            <w:pPr>
              <w:autoSpaceDE w:val="0"/>
              <w:autoSpaceDN w:val="0"/>
              <w:adjustRightInd w:val="0"/>
              <w:spacing w:after="0" w:line="240" w:lineRule="auto"/>
              <w:rPr>
                <w:rFonts w:ascii="Times New Roman" w:eastAsia="Times New Roman" w:hAnsi="Times New Roman" w:cs="Times New Roman"/>
                <w:bCs/>
                <w:sz w:val="24"/>
                <w:szCs w:val="20"/>
              </w:rPr>
            </w:pPr>
            <w:r w:rsidRPr="00D161AC">
              <w:rPr>
                <w:rFonts w:ascii="Times New Roman" w:eastAsia="Times New Roman" w:hAnsi="Times New Roman" w:cs="Times New Roman"/>
                <w:bCs/>
                <w:sz w:val="24"/>
                <w:szCs w:val="20"/>
              </w:rPr>
              <w:t>Stephen.reilly@puc.state.oh.us</w:t>
            </w:r>
          </w:p>
          <w:p w14:paraId="4803C9F8" w14:textId="77777777" w:rsidR="00D161AC" w:rsidRPr="00D161AC" w:rsidRDefault="00D161AC" w:rsidP="00D161AC">
            <w:pPr>
              <w:autoSpaceDE w:val="0"/>
              <w:autoSpaceDN w:val="0"/>
              <w:adjustRightInd w:val="0"/>
              <w:spacing w:after="0" w:line="240" w:lineRule="auto"/>
              <w:rPr>
                <w:rFonts w:ascii="Times New Roman" w:eastAsia="Times New Roman" w:hAnsi="Times New Roman" w:cs="Times New Roman"/>
                <w:bCs/>
                <w:sz w:val="24"/>
                <w:szCs w:val="20"/>
              </w:rPr>
            </w:pPr>
          </w:p>
        </w:tc>
        <w:tc>
          <w:tcPr>
            <w:tcW w:w="4428" w:type="dxa"/>
            <w:shd w:val="clear" w:color="auto" w:fill="auto"/>
          </w:tcPr>
          <w:p w14:paraId="5467F9CC" w14:textId="77777777" w:rsidR="00D161AC" w:rsidRPr="00D161AC" w:rsidRDefault="00D161AC" w:rsidP="00D161AC">
            <w:pPr>
              <w:spacing w:after="0" w:line="240" w:lineRule="auto"/>
              <w:jc w:val="both"/>
              <w:rPr>
                <w:rFonts w:ascii="Times New Roman" w:eastAsia="Times New Roman" w:hAnsi="Times New Roman" w:cs="Times New Roman"/>
                <w:bCs/>
                <w:sz w:val="24"/>
                <w:szCs w:val="20"/>
              </w:rPr>
            </w:pPr>
            <w:r w:rsidRPr="00D161AC">
              <w:rPr>
                <w:rFonts w:ascii="Times New Roman" w:eastAsia="Times New Roman" w:hAnsi="Times New Roman" w:cs="Times New Roman"/>
                <w:bCs/>
                <w:sz w:val="24"/>
                <w:szCs w:val="20"/>
              </w:rPr>
              <w:t>Judi L. Sobecki</w:t>
            </w:r>
          </w:p>
          <w:p w14:paraId="33E6E49F" w14:textId="77777777" w:rsidR="00D161AC" w:rsidRPr="00D161AC" w:rsidRDefault="00D161AC" w:rsidP="00D161AC">
            <w:pPr>
              <w:spacing w:after="0" w:line="240" w:lineRule="auto"/>
              <w:jc w:val="both"/>
              <w:rPr>
                <w:rFonts w:ascii="Times New Roman" w:eastAsia="Times New Roman" w:hAnsi="Times New Roman" w:cs="Times New Roman"/>
                <w:bCs/>
                <w:sz w:val="24"/>
                <w:szCs w:val="20"/>
              </w:rPr>
            </w:pPr>
            <w:r w:rsidRPr="00D161AC">
              <w:rPr>
                <w:rFonts w:ascii="Times New Roman" w:eastAsia="Times New Roman" w:hAnsi="Times New Roman" w:cs="Times New Roman"/>
                <w:bCs/>
                <w:sz w:val="24"/>
                <w:szCs w:val="20"/>
              </w:rPr>
              <w:t>Randall V. Griffin</w:t>
            </w:r>
          </w:p>
          <w:p w14:paraId="3BDD759D" w14:textId="77777777" w:rsidR="00D161AC" w:rsidRPr="00D161AC" w:rsidRDefault="00D161AC" w:rsidP="00D161AC">
            <w:pPr>
              <w:spacing w:after="0" w:line="240" w:lineRule="auto"/>
              <w:jc w:val="both"/>
              <w:rPr>
                <w:rFonts w:ascii="Times New Roman" w:eastAsia="Times New Roman" w:hAnsi="Times New Roman" w:cs="Times New Roman"/>
                <w:bCs/>
                <w:sz w:val="24"/>
                <w:szCs w:val="20"/>
              </w:rPr>
            </w:pPr>
            <w:r w:rsidRPr="00D161AC">
              <w:rPr>
                <w:rFonts w:ascii="Times New Roman" w:eastAsia="Times New Roman" w:hAnsi="Times New Roman" w:cs="Times New Roman"/>
                <w:bCs/>
                <w:sz w:val="24"/>
                <w:szCs w:val="20"/>
              </w:rPr>
              <w:t>The Dayton Power and Light Company</w:t>
            </w:r>
          </w:p>
          <w:p w14:paraId="39F5D74F" w14:textId="77777777" w:rsidR="00D161AC" w:rsidRPr="00D161AC" w:rsidRDefault="00D161AC" w:rsidP="00D161AC">
            <w:pPr>
              <w:spacing w:after="0" w:line="240" w:lineRule="auto"/>
              <w:jc w:val="both"/>
              <w:rPr>
                <w:rFonts w:ascii="Times New Roman" w:eastAsia="Times New Roman" w:hAnsi="Times New Roman" w:cs="Times New Roman"/>
                <w:bCs/>
                <w:sz w:val="24"/>
                <w:szCs w:val="20"/>
              </w:rPr>
            </w:pPr>
            <w:r w:rsidRPr="00D161AC">
              <w:rPr>
                <w:rFonts w:ascii="Times New Roman" w:eastAsia="Times New Roman" w:hAnsi="Times New Roman" w:cs="Times New Roman"/>
                <w:bCs/>
                <w:sz w:val="24"/>
                <w:szCs w:val="20"/>
              </w:rPr>
              <w:t>1065 Woodman Drive</w:t>
            </w:r>
          </w:p>
          <w:p w14:paraId="2751D249" w14:textId="77777777" w:rsidR="00D161AC" w:rsidRPr="00D161AC" w:rsidRDefault="00D161AC" w:rsidP="00D161AC">
            <w:pPr>
              <w:spacing w:after="0" w:line="240" w:lineRule="auto"/>
              <w:jc w:val="both"/>
              <w:rPr>
                <w:rFonts w:ascii="Times New Roman" w:eastAsia="Times New Roman" w:hAnsi="Times New Roman" w:cs="Times New Roman"/>
                <w:bCs/>
                <w:sz w:val="24"/>
                <w:szCs w:val="20"/>
              </w:rPr>
            </w:pPr>
            <w:r w:rsidRPr="00D161AC">
              <w:rPr>
                <w:rFonts w:ascii="Times New Roman" w:eastAsia="Times New Roman" w:hAnsi="Times New Roman" w:cs="Times New Roman"/>
                <w:bCs/>
                <w:sz w:val="24"/>
                <w:szCs w:val="20"/>
              </w:rPr>
              <w:t>Dayton, Ohio 45432</w:t>
            </w:r>
          </w:p>
          <w:p w14:paraId="08FCF32B" w14:textId="77777777" w:rsidR="00D161AC" w:rsidRPr="00D161AC" w:rsidRDefault="00D161AC" w:rsidP="00D161AC">
            <w:pPr>
              <w:spacing w:after="0" w:line="240" w:lineRule="auto"/>
              <w:jc w:val="both"/>
              <w:rPr>
                <w:rFonts w:ascii="Times New Roman" w:eastAsia="Times New Roman" w:hAnsi="Times New Roman" w:cs="Times New Roman"/>
                <w:bCs/>
                <w:sz w:val="24"/>
                <w:szCs w:val="20"/>
              </w:rPr>
            </w:pPr>
            <w:r w:rsidRPr="00D161AC">
              <w:rPr>
                <w:rFonts w:ascii="Times New Roman" w:eastAsia="Times New Roman" w:hAnsi="Times New Roman" w:cs="Times New Roman"/>
                <w:bCs/>
                <w:sz w:val="24"/>
                <w:szCs w:val="20"/>
              </w:rPr>
              <w:t>Judi.sobecki@dplinc.com</w:t>
            </w:r>
          </w:p>
          <w:p w14:paraId="6B097862" w14:textId="77777777" w:rsidR="00D161AC" w:rsidRPr="00D161AC" w:rsidRDefault="00D161AC" w:rsidP="00D161AC">
            <w:pPr>
              <w:spacing w:after="0" w:line="240" w:lineRule="auto"/>
              <w:jc w:val="both"/>
              <w:rPr>
                <w:rFonts w:ascii="Times New Roman" w:eastAsia="Times New Roman" w:hAnsi="Times New Roman" w:cs="Times New Roman"/>
                <w:bCs/>
                <w:sz w:val="24"/>
                <w:szCs w:val="20"/>
              </w:rPr>
            </w:pPr>
            <w:r w:rsidRPr="00D161AC">
              <w:rPr>
                <w:rFonts w:ascii="Times New Roman" w:eastAsia="Times New Roman" w:hAnsi="Times New Roman" w:cs="Times New Roman"/>
                <w:bCs/>
                <w:sz w:val="24"/>
                <w:szCs w:val="20"/>
              </w:rPr>
              <w:t>Randall.griffin@dplinc.com</w:t>
            </w:r>
          </w:p>
          <w:p w14:paraId="655C378B" w14:textId="77777777" w:rsidR="00D161AC" w:rsidRPr="00D161AC" w:rsidRDefault="00D161AC" w:rsidP="00D161AC">
            <w:pPr>
              <w:spacing w:after="0" w:line="240" w:lineRule="auto"/>
              <w:jc w:val="both"/>
              <w:rPr>
                <w:rFonts w:ascii="Times New Roman" w:eastAsia="Times New Roman" w:hAnsi="Times New Roman" w:cs="Times New Roman"/>
                <w:bCs/>
                <w:sz w:val="24"/>
                <w:szCs w:val="20"/>
              </w:rPr>
            </w:pPr>
          </w:p>
          <w:p w14:paraId="1DCBB7B9" w14:textId="77777777" w:rsidR="00D161AC" w:rsidRPr="00D161AC" w:rsidRDefault="00D161AC" w:rsidP="00D161AC">
            <w:pPr>
              <w:spacing w:after="0" w:line="240" w:lineRule="auto"/>
              <w:jc w:val="both"/>
              <w:rPr>
                <w:rFonts w:ascii="Times New Roman" w:eastAsia="Times New Roman" w:hAnsi="Times New Roman" w:cs="Times New Roman"/>
                <w:bCs/>
                <w:sz w:val="24"/>
                <w:szCs w:val="20"/>
              </w:rPr>
            </w:pPr>
          </w:p>
        </w:tc>
      </w:tr>
      <w:tr w:rsidR="00D161AC" w:rsidRPr="00D161AC" w14:paraId="3F9A066C" w14:textId="77777777" w:rsidTr="00F06C0F">
        <w:tc>
          <w:tcPr>
            <w:tcW w:w="4428" w:type="dxa"/>
            <w:shd w:val="clear" w:color="auto" w:fill="auto"/>
          </w:tcPr>
          <w:p w14:paraId="50BA6A67" w14:textId="77777777" w:rsidR="00D161AC" w:rsidRPr="00D161AC" w:rsidRDefault="00D161AC" w:rsidP="00D161AC">
            <w:pPr>
              <w:autoSpaceDE w:val="0"/>
              <w:autoSpaceDN w:val="0"/>
              <w:adjustRightInd w:val="0"/>
              <w:spacing w:after="0" w:line="240" w:lineRule="auto"/>
              <w:rPr>
                <w:rFonts w:ascii="Times New Roman" w:eastAsia="Times New Roman" w:hAnsi="Times New Roman" w:cs="Times New Roman"/>
                <w:bCs/>
                <w:sz w:val="24"/>
                <w:szCs w:val="20"/>
              </w:rPr>
            </w:pPr>
            <w:r w:rsidRPr="00D161AC">
              <w:rPr>
                <w:rFonts w:ascii="Times New Roman" w:eastAsia="Times New Roman" w:hAnsi="Times New Roman" w:cs="Times New Roman"/>
                <w:bCs/>
                <w:sz w:val="24"/>
                <w:szCs w:val="20"/>
              </w:rPr>
              <w:t>Mark S. Yurick</w:t>
            </w:r>
          </w:p>
          <w:p w14:paraId="1A90E137" w14:textId="77777777" w:rsidR="00D161AC" w:rsidRPr="00D161AC" w:rsidRDefault="00D161AC" w:rsidP="00D161AC">
            <w:pPr>
              <w:autoSpaceDE w:val="0"/>
              <w:autoSpaceDN w:val="0"/>
              <w:adjustRightInd w:val="0"/>
              <w:spacing w:after="0" w:line="240" w:lineRule="auto"/>
              <w:rPr>
                <w:rFonts w:ascii="Times New Roman" w:eastAsia="Times New Roman" w:hAnsi="Times New Roman" w:cs="Times New Roman"/>
                <w:bCs/>
                <w:sz w:val="24"/>
                <w:szCs w:val="20"/>
              </w:rPr>
            </w:pPr>
            <w:r w:rsidRPr="00D161AC">
              <w:rPr>
                <w:rFonts w:ascii="Times New Roman" w:eastAsia="Times New Roman" w:hAnsi="Times New Roman" w:cs="Times New Roman"/>
                <w:bCs/>
                <w:sz w:val="24"/>
                <w:szCs w:val="20"/>
              </w:rPr>
              <w:t>Zachary D. Kravitz</w:t>
            </w:r>
          </w:p>
          <w:p w14:paraId="431CAEC2" w14:textId="77777777" w:rsidR="00D161AC" w:rsidRPr="00D161AC" w:rsidRDefault="00D161AC" w:rsidP="00D161AC">
            <w:pPr>
              <w:autoSpaceDE w:val="0"/>
              <w:autoSpaceDN w:val="0"/>
              <w:adjustRightInd w:val="0"/>
              <w:spacing w:after="0" w:line="240" w:lineRule="auto"/>
              <w:rPr>
                <w:rFonts w:ascii="Times New Roman" w:eastAsia="Times New Roman" w:hAnsi="Times New Roman" w:cs="Times New Roman"/>
                <w:bCs/>
                <w:sz w:val="24"/>
                <w:szCs w:val="20"/>
              </w:rPr>
            </w:pPr>
            <w:r w:rsidRPr="00D161AC">
              <w:rPr>
                <w:rFonts w:ascii="Times New Roman" w:eastAsia="Times New Roman" w:hAnsi="Times New Roman" w:cs="Times New Roman"/>
                <w:bCs/>
                <w:sz w:val="24"/>
                <w:szCs w:val="20"/>
              </w:rPr>
              <w:t>Taft Stettinius &amp; Hollister LLP</w:t>
            </w:r>
          </w:p>
          <w:p w14:paraId="3E690FA9" w14:textId="77777777" w:rsidR="00D161AC" w:rsidRPr="00D161AC" w:rsidRDefault="00D161AC" w:rsidP="00D161AC">
            <w:pPr>
              <w:autoSpaceDE w:val="0"/>
              <w:autoSpaceDN w:val="0"/>
              <w:adjustRightInd w:val="0"/>
              <w:spacing w:after="0" w:line="240" w:lineRule="auto"/>
              <w:rPr>
                <w:rFonts w:ascii="Times New Roman" w:eastAsia="Times New Roman" w:hAnsi="Times New Roman" w:cs="Times New Roman"/>
                <w:bCs/>
                <w:sz w:val="24"/>
                <w:szCs w:val="20"/>
              </w:rPr>
            </w:pPr>
            <w:r w:rsidRPr="00D161AC">
              <w:rPr>
                <w:rFonts w:ascii="Times New Roman" w:eastAsia="Times New Roman" w:hAnsi="Times New Roman" w:cs="Times New Roman"/>
                <w:bCs/>
                <w:sz w:val="24"/>
                <w:szCs w:val="20"/>
              </w:rPr>
              <w:t>65 East State Street, Suite 1000</w:t>
            </w:r>
          </w:p>
          <w:p w14:paraId="5F8A8F4C" w14:textId="77777777" w:rsidR="00D161AC" w:rsidRPr="00D161AC" w:rsidRDefault="00D161AC" w:rsidP="00D161AC">
            <w:pPr>
              <w:autoSpaceDE w:val="0"/>
              <w:autoSpaceDN w:val="0"/>
              <w:adjustRightInd w:val="0"/>
              <w:spacing w:after="0" w:line="240" w:lineRule="auto"/>
              <w:rPr>
                <w:rFonts w:ascii="Times New Roman" w:eastAsia="Times New Roman" w:hAnsi="Times New Roman" w:cs="Times New Roman"/>
                <w:bCs/>
                <w:sz w:val="24"/>
                <w:szCs w:val="20"/>
              </w:rPr>
            </w:pPr>
            <w:r w:rsidRPr="00D161AC">
              <w:rPr>
                <w:rFonts w:ascii="Times New Roman" w:eastAsia="Times New Roman" w:hAnsi="Times New Roman" w:cs="Times New Roman"/>
                <w:bCs/>
                <w:sz w:val="24"/>
                <w:szCs w:val="20"/>
              </w:rPr>
              <w:t>Columbus, Ohio  43215</w:t>
            </w:r>
          </w:p>
          <w:p w14:paraId="61A84CB2" w14:textId="77777777" w:rsidR="00D161AC" w:rsidRPr="00D161AC" w:rsidRDefault="00D161AC" w:rsidP="00D161AC">
            <w:pPr>
              <w:autoSpaceDE w:val="0"/>
              <w:autoSpaceDN w:val="0"/>
              <w:adjustRightInd w:val="0"/>
              <w:spacing w:after="0" w:line="240" w:lineRule="auto"/>
              <w:rPr>
                <w:rFonts w:ascii="Times New Roman" w:eastAsia="Times New Roman" w:hAnsi="Times New Roman" w:cs="Times New Roman"/>
                <w:bCs/>
                <w:sz w:val="24"/>
                <w:szCs w:val="20"/>
              </w:rPr>
            </w:pPr>
            <w:r w:rsidRPr="00D161AC">
              <w:rPr>
                <w:rFonts w:ascii="Times New Roman" w:eastAsia="Times New Roman" w:hAnsi="Times New Roman" w:cs="Times New Roman"/>
                <w:bCs/>
                <w:sz w:val="24"/>
                <w:szCs w:val="20"/>
              </w:rPr>
              <w:t>myurick@taftlaw.com</w:t>
            </w:r>
          </w:p>
          <w:p w14:paraId="10932CB2" w14:textId="77777777" w:rsidR="00D161AC" w:rsidRPr="00D161AC" w:rsidRDefault="00D161AC" w:rsidP="00D161AC">
            <w:pPr>
              <w:autoSpaceDE w:val="0"/>
              <w:autoSpaceDN w:val="0"/>
              <w:adjustRightInd w:val="0"/>
              <w:spacing w:after="0" w:line="240" w:lineRule="auto"/>
              <w:rPr>
                <w:rFonts w:ascii="Times New Roman" w:eastAsia="Times New Roman" w:hAnsi="Times New Roman" w:cs="Times New Roman"/>
                <w:bCs/>
                <w:sz w:val="24"/>
                <w:szCs w:val="20"/>
              </w:rPr>
            </w:pPr>
            <w:r w:rsidRPr="00D161AC">
              <w:rPr>
                <w:rFonts w:ascii="Times New Roman" w:eastAsia="Times New Roman" w:hAnsi="Times New Roman" w:cs="Times New Roman"/>
                <w:bCs/>
                <w:sz w:val="24"/>
                <w:szCs w:val="20"/>
              </w:rPr>
              <w:t>zkravitz@taftlaw.com</w:t>
            </w:r>
          </w:p>
          <w:p w14:paraId="79266EF2" w14:textId="77777777" w:rsidR="00D161AC" w:rsidRPr="00D161AC" w:rsidRDefault="00D161AC" w:rsidP="00D161AC">
            <w:pPr>
              <w:autoSpaceDE w:val="0"/>
              <w:autoSpaceDN w:val="0"/>
              <w:adjustRightInd w:val="0"/>
              <w:spacing w:after="0" w:line="240" w:lineRule="auto"/>
              <w:rPr>
                <w:rFonts w:ascii="Times New Roman" w:eastAsia="Times New Roman" w:hAnsi="Times New Roman" w:cs="Times New Roman"/>
                <w:bCs/>
                <w:sz w:val="24"/>
                <w:szCs w:val="20"/>
              </w:rPr>
            </w:pPr>
          </w:p>
        </w:tc>
        <w:tc>
          <w:tcPr>
            <w:tcW w:w="4428" w:type="dxa"/>
            <w:shd w:val="clear" w:color="auto" w:fill="auto"/>
          </w:tcPr>
          <w:p w14:paraId="527B224A" w14:textId="77777777" w:rsidR="00D161AC" w:rsidRPr="00D161AC" w:rsidRDefault="00D161AC" w:rsidP="00D161AC">
            <w:pPr>
              <w:spacing w:after="0" w:line="240" w:lineRule="auto"/>
              <w:jc w:val="both"/>
              <w:rPr>
                <w:rFonts w:ascii="Times New Roman" w:eastAsia="Times New Roman" w:hAnsi="Times New Roman" w:cs="Times New Roman"/>
                <w:bCs/>
                <w:sz w:val="24"/>
                <w:szCs w:val="20"/>
              </w:rPr>
            </w:pPr>
            <w:r w:rsidRPr="00D161AC">
              <w:rPr>
                <w:rFonts w:ascii="Times New Roman" w:eastAsia="Times New Roman" w:hAnsi="Times New Roman" w:cs="Times New Roman"/>
                <w:bCs/>
                <w:sz w:val="24"/>
                <w:szCs w:val="20"/>
              </w:rPr>
              <w:t>Charles J. Faruki</w:t>
            </w:r>
          </w:p>
          <w:p w14:paraId="58DF4BC5" w14:textId="77777777" w:rsidR="00D161AC" w:rsidRPr="00D161AC" w:rsidRDefault="00D161AC" w:rsidP="00D161AC">
            <w:pPr>
              <w:spacing w:after="0" w:line="240" w:lineRule="auto"/>
              <w:jc w:val="both"/>
              <w:rPr>
                <w:rFonts w:ascii="Times New Roman" w:eastAsia="Times New Roman" w:hAnsi="Times New Roman" w:cs="Times New Roman"/>
                <w:bCs/>
                <w:sz w:val="24"/>
                <w:szCs w:val="20"/>
              </w:rPr>
            </w:pPr>
            <w:r w:rsidRPr="00D161AC">
              <w:rPr>
                <w:rFonts w:ascii="Times New Roman" w:eastAsia="Times New Roman" w:hAnsi="Times New Roman" w:cs="Times New Roman"/>
                <w:bCs/>
                <w:sz w:val="24"/>
                <w:szCs w:val="20"/>
              </w:rPr>
              <w:t>Faruki Ireland &amp; cox PLL</w:t>
            </w:r>
          </w:p>
          <w:p w14:paraId="096AAB12" w14:textId="77777777" w:rsidR="00D161AC" w:rsidRPr="00D161AC" w:rsidRDefault="00D161AC" w:rsidP="00D161AC">
            <w:pPr>
              <w:spacing w:after="0" w:line="240" w:lineRule="auto"/>
              <w:jc w:val="both"/>
              <w:rPr>
                <w:rFonts w:ascii="Times New Roman" w:eastAsia="Times New Roman" w:hAnsi="Times New Roman" w:cs="Times New Roman"/>
                <w:bCs/>
                <w:sz w:val="24"/>
                <w:szCs w:val="20"/>
              </w:rPr>
            </w:pPr>
            <w:r w:rsidRPr="00D161AC">
              <w:rPr>
                <w:rFonts w:ascii="Times New Roman" w:eastAsia="Times New Roman" w:hAnsi="Times New Roman" w:cs="Times New Roman"/>
                <w:bCs/>
                <w:sz w:val="24"/>
                <w:szCs w:val="20"/>
              </w:rPr>
              <w:t>500 Courthouse Plaza, S.W.</w:t>
            </w:r>
          </w:p>
          <w:p w14:paraId="5C319798" w14:textId="77777777" w:rsidR="00D161AC" w:rsidRPr="00D161AC" w:rsidRDefault="00D161AC" w:rsidP="00D161AC">
            <w:pPr>
              <w:spacing w:after="0" w:line="240" w:lineRule="auto"/>
              <w:jc w:val="both"/>
              <w:rPr>
                <w:rFonts w:ascii="Times New Roman" w:eastAsia="Times New Roman" w:hAnsi="Times New Roman" w:cs="Times New Roman"/>
                <w:bCs/>
                <w:sz w:val="24"/>
                <w:szCs w:val="20"/>
              </w:rPr>
            </w:pPr>
            <w:r w:rsidRPr="00D161AC">
              <w:rPr>
                <w:rFonts w:ascii="Times New Roman" w:eastAsia="Times New Roman" w:hAnsi="Times New Roman" w:cs="Times New Roman"/>
                <w:bCs/>
                <w:sz w:val="24"/>
                <w:szCs w:val="20"/>
              </w:rPr>
              <w:t>10 North Ludlow Street</w:t>
            </w:r>
          </w:p>
          <w:p w14:paraId="75919C0D" w14:textId="77777777" w:rsidR="00D161AC" w:rsidRPr="00D161AC" w:rsidRDefault="00D161AC" w:rsidP="00D161AC">
            <w:pPr>
              <w:spacing w:after="0" w:line="240" w:lineRule="auto"/>
              <w:jc w:val="both"/>
              <w:rPr>
                <w:rFonts w:ascii="Times New Roman" w:eastAsia="Times New Roman" w:hAnsi="Times New Roman" w:cs="Times New Roman"/>
                <w:bCs/>
                <w:sz w:val="24"/>
                <w:szCs w:val="20"/>
              </w:rPr>
            </w:pPr>
            <w:r w:rsidRPr="00D161AC">
              <w:rPr>
                <w:rFonts w:ascii="Times New Roman" w:eastAsia="Times New Roman" w:hAnsi="Times New Roman" w:cs="Times New Roman"/>
                <w:bCs/>
                <w:sz w:val="24"/>
                <w:szCs w:val="20"/>
              </w:rPr>
              <w:t>Dayton, Ohio  45402</w:t>
            </w:r>
          </w:p>
          <w:p w14:paraId="6E1C85E5" w14:textId="77777777" w:rsidR="00D161AC" w:rsidRPr="00D161AC" w:rsidRDefault="00D161AC" w:rsidP="00D161AC">
            <w:pPr>
              <w:spacing w:after="0" w:line="240" w:lineRule="auto"/>
              <w:jc w:val="both"/>
              <w:rPr>
                <w:rFonts w:ascii="Times New Roman" w:eastAsia="Times New Roman" w:hAnsi="Times New Roman" w:cs="Times New Roman"/>
                <w:bCs/>
                <w:sz w:val="24"/>
                <w:szCs w:val="20"/>
              </w:rPr>
            </w:pPr>
            <w:r w:rsidRPr="00D161AC">
              <w:rPr>
                <w:rFonts w:ascii="Times New Roman" w:eastAsia="Times New Roman" w:hAnsi="Times New Roman" w:cs="Times New Roman"/>
                <w:bCs/>
                <w:sz w:val="24"/>
                <w:szCs w:val="20"/>
              </w:rPr>
              <w:t>cfaruki@ficlaw.com</w:t>
            </w:r>
          </w:p>
          <w:p w14:paraId="5749A70A" w14:textId="77777777" w:rsidR="00D161AC" w:rsidRPr="00D161AC" w:rsidRDefault="00D161AC" w:rsidP="00D161AC">
            <w:pPr>
              <w:spacing w:after="0" w:line="240" w:lineRule="auto"/>
              <w:jc w:val="both"/>
              <w:rPr>
                <w:rFonts w:ascii="Times New Roman" w:eastAsia="Times New Roman" w:hAnsi="Times New Roman" w:cs="Times New Roman"/>
                <w:bCs/>
                <w:sz w:val="24"/>
                <w:szCs w:val="20"/>
              </w:rPr>
            </w:pPr>
          </w:p>
        </w:tc>
      </w:tr>
    </w:tbl>
    <w:p w14:paraId="12F52445" w14:textId="77777777" w:rsidR="00D161AC" w:rsidRPr="00D161AC" w:rsidRDefault="00D161AC" w:rsidP="00D161AC">
      <w:pPr>
        <w:tabs>
          <w:tab w:val="left" w:pos="4320"/>
        </w:tabs>
        <w:spacing w:after="0" w:line="240" w:lineRule="auto"/>
        <w:rPr>
          <w:rFonts w:ascii="Times New Roman" w:eastAsia="Times New Roman" w:hAnsi="Times New Roman" w:cs="Times New Roman"/>
          <w:sz w:val="24"/>
          <w:szCs w:val="20"/>
        </w:rPr>
      </w:pPr>
      <w:r w:rsidRPr="00D161AC">
        <w:rPr>
          <w:rFonts w:ascii="Times New Roman" w:eastAsia="Times New Roman" w:hAnsi="Times New Roman" w:cs="Times New Roman"/>
          <w:sz w:val="24"/>
          <w:szCs w:val="20"/>
        </w:rPr>
        <w:t>AEs: Bryce.mckenney@puc.state.oh.us</w:t>
      </w:r>
    </w:p>
    <w:p w14:paraId="617D2609" w14:textId="77777777" w:rsidR="00D161AC" w:rsidRPr="00D161AC" w:rsidRDefault="00D161AC" w:rsidP="00D161AC">
      <w:pPr>
        <w:tabs>
          <w:tab w:val="left" w:pos="4320"/>
        </w:tabs>
        <w:spacing w:after="0" w:line="240" w:lineRule="auto"/>
        <w:rPr>
          <w:rFonts w:ascii="Times New Roman" w:eastAsia="Times New Roman" w:hAnsi="Times New Roman" w:cs="Times New Roman"/>
          <w:sz w:val="24"/>
          <w:szCs w:val="20"/>
        </w:rPr>
      </w:pPr>
      <w:r w:rsidRPr="00D161AC">
        <w:rPr>
          <w:rFonts w:ascii="Times New Roman" w:eastAsia="Times New Roman" w:hAnsi="Times New Roman" w:cs="Times New Roman"/>
          <w:sz w:val="24"/>
          <w:szCs w:val="20"/>
        </w:rPr>
        <w:t xml:space="preserve">         Gregory.price@puc.state.oh.us</w:t>
      </w:r>
    </w:p>
    <w:p w14:paraId="1928FF3D" w14:textId="77777777" w:rsidR="00D161AC" w:rsidRPr="00D161AC" w:rsidRDefault="00D161AC" w:rsidP="00D161AC">
      <w:pPr>
        <w:tabs>
          <w:tab w:val="left" w:pos="4320"/>
        </w:tabs>
        <w:spacing w:after="0" w:line="240" w:lineRule="auto"/>
        <w:rPr>
          <w:rFonts w:ascii="Times New Roman" w:eastAsia="Times New Roman" w:hAnsi="Times New Roman" w:cs="Times New Roman"/>
          <w:sz w:val="24"/>
          <w:szCs w:val="20"/>
        </w:rPr>
      </w:pPr>
    </w:p>
    <w:p w14:paraId="54D48413" w14:textId="77777777" w:rsidR="00306690" w:rsidRPr="0080211A" w:rsidRDefault="00306690" w:rsidP="0080211A">
      <w:pPr>
        <w:rPr>
          <w:rFonts w:ascii="Times New Roman" w:hAnsi="Times New Roman" w:cs="Times New Roman"/>
          <w:sz w:val="24"/>
          <w:szCs w:val="24"/>
        </w:rPr>
      </w:pPr>
    </w:p>
    <w:sectPr w:rsidR="00306690" w:rsidRPr="0080211A" w:rsidSect="00B119BD">
      <w:headerReference w:type="even" r:id="rId18"/>
      <w:headerReference w:type="default" r:id="rId19"/>
      <w:footerReference w:type="default" r:id="rId20"/>
      <w:headerReference w:type="first" r:id="rId2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36314" w14:textId="77777777" w:rsidR="00433642" w:rsidRDefault="00433642" w:rsidP="004E7B76">
      <w:pPr>
        <w:spacing w:after="0" w:line="240" w:lineRule="auto"/>
      </w:pPr>
      <w:r>
        <w:separator/>
      </w:r>
    </w:p>
  </w:endnote>
  <w:endnote w:type="continuationSeparator" w:id="0">
    <w:p w14:paraId="39D172D8" w14:textId="77777777" w:rsidR="00433642" w:rsidRDefault="00433642" w:rsidP="004E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AE3CA" w14:textId="77777777" w:rsidR="00CB0244" w:rsidRDefault="00CB02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1F0E6" w14:textId="77777777" w:rsidR="00433642" w:rsidRPr="00A81370" w:rsidRDefault="00433642">
    <w:pPr>
      <w:pStyle w:val="Footer"/>
      <w:jc w:val="center"/>
      <w:rPr>
        <w:rFonts w:ascii="Times New Roman" w:hAnsi="Times New Roman" w:cs="Times New Roman"/>
        <w:sz w:val="24"/>
        <w:szCs w:val="24"/>
      </w:rPr>
    </w:pPr>
  </w:p>
  <w:p w14:paraId="7B0353E9" w14:textId="77777777" w:rsidR="00433642" w:rsidRDefault="004336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1737E" w14:textId="77777777" w:rsidR="00CB0244" w:rsidRDefault="00CB02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184884"/>
      <w:docPartObj>
        <w:docPartGallery w:val="Page Numbers (Bottom of Page)"/>
        <w:docPartUnique/>
      </w:docPartObj>
    </w:sdtPr>
    <w:sdtEndPr>
      <w:rPr>
        <w:rFonts w:ascii="Times New Roman" w:hAnsi="Times New Roman" w:cs="Times New Roman"/>
        <w:noProof/>
        <w:sz w:val="20"/>
        <w:szCs w:val="20"/>
      </w:rPr>
    </w:sdtEndPr>
    <w:sdtContent>
      <w:p w14:paraId="0C82A29F" w14:textId="77777777" w:rsidR="00433642" w:rsidRPr="00B119BD" w:rsidRDefault="00433642">
        <w:pPr>
          <w:pStyle w:val="Footer"/>
          <w:jc w:val="center"/>
          <w:rPr>
            <w:rFonts w:ascii="Times New Roman" w:hAnsi="Times New Roman" w:cs="Times New Roman"/>
            <w:sz w:val="20"/>
            <w:szCs w:val="20"/>
          </w:rPr>
        </w:pPr>
        <w:r w:rsidRPr="00B119BD">
          <w:rPr>
            <w:rFonts w:ascii="Times New Roman" w:hAnsi="Times New Roman" w:cs="Times New Roman"/>
            <w:sz w:val="20"/>
            <w:szCs w:val="20"/>
          </w:rPr>
          <w:fldChar w:fldCharType="begin"/>
        </w:r>
        <w:r w:rsidRPr="00B119BD">
          <w:rPr>
            <w:rFonts w:ascii="Times New Roman" w:hAnsi="Times New Roman" w:cs="Times New Roman"/>
            <w:sz w:val="20"/>
            <w:szCs w:val="20"/>
          </w:rPr>
          <w:instrText xml:space="preserve"> PAGE   \* MERGEFORMAT </w:instrText>
        </w:r>
        <w:r w:rsidRPr="00B119BD">
          <w:rPr>
            <w:rFonts w:ascii="Times New Roman" w:hAnsi="Times New Roman" w:cs="Times New Roman"/>
            <w:sz w:val="20"/>
            <w:szCs w:val="20"/>
          </w:rPr>
          <w:fldChar w:fldCharType="separate"/>
        </w:r>
        <w:r w:rsidR="007A61F8">
          <w:rPr>
            <w:rFonts w:ascii="Times New Roman" w:hAnsi="Times New Roman" w:cs="Times New Roman"/>
            <w:noProof/>
            <w:sz w:val="20"/>
            <w:szCs w:val="20"/>
          </w:rPr>
          <w:t>i</w:t>
        </w:r>
        <w:r w:rsidRPr="00B119BD">
          <w:rPr>
            <w:rFonts w:ascii="Times New Roman" w:hAnsi="Times New Roman" w:cs="Times New Roman"/>
            <w:noProof/>
            <w:sz w:val="20"/>
            <w:szCs w:val="20"/>
          </w:rPr>
          <w:fldChar w:fldCharType="end"/>
        </w:r>
      </w:p>
    </w:sdtContent>
  </w:sdt>
  <w:p w14:paraId="0AA55F5E" w14:textId="77777777" w:rsidR="00433642" w:rsidRPr="00B119BD" w:rsidRDefault="00433642">
    <w:pPr>
      <w:pStyle w:val="Footer"/>
      <w:rPr>
        <w:rFonts w:ascii="Times New Roman" w:hAnsi="Times New Roman" w:cs="Times New Roman"/>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780706"/>
      <w:docPartObj>
        <w:docPartGallery w:val="Page Numbers (Bottom of Page)"/>
        <w:docPartUnique/>
      </w:docPartObj>
    </w:sdtPr>
    <w:sdtEndPr>
      <w:rPr>
        <w:rFonts w:ascii="Times New Roman" w:hAnsi="Times New Roman" w:cs="Times New Roman"/>
        <w:noProof/>
        <w:sz w:val="20"/>
        <w:szCs w:val="20"/>
      </w:rPr>
    </w:sdtEndPr>
    <w:sdtContent>
      <w:p w14:paraId="431A9780" w14:textId="77777777" w:rsidR="00433642" w:rsidRPr="00B119BD" w:rsidRDefault="00433642">
        <w:pPr>
          <w:pStyle w:val="Footer"/>
          <w:jc w:val="center"/>
          <w:rPr>
            <w:rFonts w:ascii="Times New Roman" w:hAnsi="Times New Roman" w:cs="Times New Roman"/>
            <w:sz w:val="20"/>
            <w:szCs w:val="20"/>
          </w:rPr>
        </w:pPr>
        <w:r w:rsidRPr="00B119BD">
          <w:rPr>
            <w:rFonts w:ascii="Times New Roman" w:hAnsi="Times New Roman" w:cs="Times New Roman"/>
            <w:sz w:val="20"/>
            <w:szCs w:val="20"/>
          </w:rPr>
          <w:fldChar w:fldCharType="begin"/>
        </w:r>
        <w:r w:rsidRPr="00B119BD">
          <w:rPr>
            <w:rFonts w:ascii="Times New Roman" w:hAnsi="Times New Roman" w:cs="Times New Roman"/>
            <w:sz w:val="20"/>
            <w:szCs w:val="20"/>
          </w:rPr>
          <w:instrText xml:space="preserve"> PAGE   \* MERGEFORMAT </w:instrText>
        </w:r>
        <w:r w:rsidRPr="00B119BD">
          <w:rPr>
            <w:rFonts w:ascii="Times New Roman" w:hAnsi="Times New Roman" w:cs="Times New Roman"/>
            <w:sz w:val="20"/>
            <w:szCs w:val="20"/>
          </w:rPr>
          <w:fldChar w:fldCharType="separate"/>
        </w:r>
        <w:r w:rsidR="00CB0244">
          <w:rPr>
            <w:rFonts w:ascii="Times New Roman" w:hAnsi="Times New Roman" w:cs="Times New Roman"/>
            <w:noProof/>
            <w:sz w:val="20"/>
            <w:szCs w:val="20"/>
          </w:rPr>
          <w:t>28</w:t>
        </w:r>
        <w:r w:rsidRPr="00B119BD">
          <w:rPr>
            <w:rFonts w:ascii="Times New Roman" w:hAnsi="Times New Roman" w:cs="Times New Roman"/>
            <w:noProof/>
            <w:sz w:val="20"/>
            <w:szCs w:val="20"/>
          </w:rPr>
          <w:fldChar w:fldCharType="end"/>
        </w:r>
      </w:p>
    </w:sdtContent>
  </w:sdt>
  <w:p w14:paraId="6E32F4B8" w14:textId="77777777" w:rsidR="00433642" w:rsidRPr="00B119BD" w:rsidRDefault="00433642">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C3B66" w14:textId="77777777" w:rsidR="00433642" w:rsidRDefault="00433642" w:rsidP="004E7B76">
      <w:pPr>
        <w:spacing w:after="0" w:line="240" w:lineRule="auto"/>
      </w:pPr>
      <w:r>
        <w:separator/>
      </w:r>
    </w:p>
  </w:footnote>
  <w:footnote w:type="continuationSeparator" w:id="0">
    <w:p w14:paraId="57A6B4D9" w14:textId="77777777" w:rsidR="00433642" w:rsidRDefault="00433642" w:rsidP="004E7B76">
      <w:pPr>
        <w:spacing w:after="0" w:line="240" w:lineRule="auto"/>
      </w:pPr>
      <w:r>
        <w:continuationSeparator/>
      </w:r>
    </w:p>
  </w:footnote>
  <w:footnote w:id="1">
    <w:p w14:paraId="2E07EB1D" w14:textId="38F1B98F" w:rsidR="00433642" w:rsidRPr="00C054A4" w:rsidRDefault="00433642" w:rsidP="00C826A0">
      <w:pPr>
        <w:spacing w:after="120" w:line="240" w:lineRule="auto"/>
        <w:rPr>
          <w:rFonts w:ascii="Times New Roman" w:hAnsi="Times New Roman" w:cs="Times New Roman"/>
          <w:sz w:val="20"/>
          <w:szCs w:val="20"/>
        </w:rPr>
      </w:pPr>
      <w:r w:rsidRPr="00C054A4">
        <w:rPr>
          <w:rStyle w:val="FootnoteReference"/>
          <w:rFonts w:ascii="Times New Roman" w:hAnsi="Times New Roman" w:cs="Times New Roman"/>
          <w:sz w:val="20"/>
          <w:szCs w:val="20"/>
        </w:rPr>
        <w:footnoteRef/>
      </w:r>
      <w:r w:rsidRPr="00C054A4">
        <w:rPr>
          <w:rFonts w:ascii="Times New Roman" w:hAnsi="Times New Roman" w:cs="Times New Roman"/>
          <w:sz w:val="20"/>
          <w:szCs w:val="20"/>
        </w:rPr>
        <w:t xml:space="preserve"> </w:t>
      </w:r>
      <w:r w:rsidRPr="00C054A4">
        <w:rPr>
          <w:rFonts w:ascii="Times New Roman" w:hAnsi="Times New Roman" w:cs="Times New Roman"/>
          <w:i/>
          <w:sz w:val="20"/>
          <w:szCs w:val="20"/>
        </w:rPr>
        <w:t>In Re Application of Duke Energy Ohio, Inc., to Establish and Adjust the Initial Level of its Distribution Reliability Rider</w:t>
      </w:r>
      <w:r w:rsidRPr="00C054A4">
        <w:rPr>
          <w:rFonts w:ascii="Times New Roman" w:hAnsi="Times New Roman" w:cs="Times New Roman"/>
          <w:sz w:val="20"/>
          <w:szCs w:val="20"/>
        </w:rPr>
        <w:t>, 131 Ohio St.3d 487, 2012-Ohio-1509, 967 N.E.2d 201, at ¶ 8.</w:t>
      </w:r>
    </w:p>
  </w:footnote>
  <w:footnote w:id="2">
    <w:p w14:paraId="00D39340" w14:textId="77777777" w:rsidR="00433642" w:rsidRPr="00C054A4" w:rsidRDefault="00433642" w:rsidP="00C826A0">
      <w:pPr>
        <w:pStyle w:val="FootnoteText"/>
        <w:spacing w:after="120"/>
        <w:rPr>
          <w:rFonts w:ascii="Times New Roman" w:hAnsi="Times New Roman" w:cs="Times New Roman"/>
          <w:i/>
        </w:rPr>
      </w:pPr>
      <w:r w:rsidRPr="00C054A4">
        <w:rPr>
          <w:rStyle w:val="FootnoteReference"/>
          <w:rFonts w:ascii="Times New Roman" w:hAnsi="Times New Roman" w:cs="Times New Roman"/>
        </w:rPr>
        <w:footnoteRef/>
      </w:r>
      <w:r w:rsidRPr="00C054A4">
        <w:rPr>
          <w:rFonts w:ascii="Times New Roman" w:hAnsi="Times New Roman" w:cs="Times New Roman"/>
        </w:rPr>
        <w:t xml:space="preserve"> </w:t>
      </w:r>
      <w:r w:rsidRPr="00C054A4">
        <w:rPr>
          <w:rFonts w:ascii="Times New Roman" w:hAnsi="Times New Roman" w:cs="Times New Roman"/>
          <w:i/>
        </w:rPr>
        <w:t xml:space="preserve">Id. </w:t>
      </w:r>
    </w:p>
  </w:footnote>
  <w:footnote w:id="3">
    <w:p w14:paraId="4FC4BE50" w14:textId="77777777" w:rsidR="00433642" w:rsidRPr="00C054A4" w:rsidRDefault="00433642" w:rsidP="00C826A0">
      <w:pPr>
        <w:pStyle w:val="FootnoteText"/>
        <w:spacing w:after="120"/>
        <w:rPr>
          <w:rFonts w:ascii="Times New Roman" w:hAnsi="Times New Roman" w:cs="Times New Roman"/>
        </w:rPr>
      </w:pPr>
      <w:r w:rsidRPr="00C054A4">
        <w:rPr>
          <w:rStyle w:val="FootnoteReference"/>
          <w:rFonts w:ascii="Times New Roman" w:hAnsi="Times New Roman" w:cs="Times New Roman"/>
        </w:rPr>
        <w:footnoteRef/>
      </w:r>
      <w:r w:rsidRPr="00C054A4">
        <w:rPr>
          <w:rFonts w:ascii="Times New Roman" w:hAnsi="Times New Roman" w:cs="Times New Roman"/>
        </w:rPr>
        <w:t xml:space="preserve"> </w:t>
      </w:r>
      <w:r w:rsidRPr="00C054A4">
        <w:rPr>
          <w:rFonts w:ascii="Times New Roman" w:hAnsi="Times New Roman" w:cs="Times New Roman"/>
          <w:i/>
        </w:rPr>
        <w:t>Id.</w:t>
      </w:r>
    </w:p>
  </w:footnote>
  <w:footnote w:id="4">
    <w:p w14:paraId="49C5E884" w14:textId="77777777" w:rsidR="00433642" w:rsidRDefault="00433642" w:rsidP="00C826A0">
      <w:pPr>
        <w:pStyle w:val="FootnoteText"/>
        <w:spacing w:after="120"/>
      </w:pPr>
      <w:r w:rsidRPr="00C054A4">
        <w:rPr>
          <w:rStyle w:val="FootnoteReference"/>
          <w:rFonts w:ascii="Times New Roman" w:hAnsi="Times New Roman" w:cs="Times New Roman"/>
        </w:rPr>
        <w:footnoteRef/>
      </w:r>
      <w:r w:rsidRPr="00C054A4">
        <w:rPr>
          <w:rFonts w:ascii="Times New Roman" w:hAnsi="Times New Roman" w:cs="Times New Roman"/>
        </w:rPr>
        <w:t xml:space="preserve"> </w:t>
      </w:r>
      <w:r w:rsidRPr="00C054A4">
        <w:rPr>
          <w:rFonts w:ascii="Times New Roman" w:hAnsi="Times New Roman" w:cs="Times New Roman"/>
          <w:i/>
        </w:rPr>
        <w:t>Id.</w:t>
      </w:r>
    </w:p>
  </w:footnote>
  <w:footnote w:id="5">
    <w:p w14:paraId="4875F302" w14:textId="4A17953D" w:rsidR="00433642" w:rsidRPr="00A81370" w:rsidRDefault="00433642" w:rsidP="00C826A0">
      <w:pPr>
        <w:pStyle w:val="FootnoteText"/>
        <w:spacing w:after="120"/>
        <w:rPr>
          <w:rFonts w:ascii="Times New Roman" w:hAnsi="Times New Roman" w:cs="Times New Roman"/>
        </w:rPr>
      </w:pPr>
      <w:r w:rsidRPr="00A81370">
        <w:rPr>
          <w:rStyle w:val="FootnoteReference"/>
          <w:rFonts w:ascii="Times New Roman" w:hAnsi="Times New Roman" w:cs="Times New Roman"/>
        </w:rPr>
        <w:footnoteRef/>
      </w:r>
      <w:r w:rsidRPr="00A81370">
        <w:rPr>
          <w:rFonts w:ascii="Times New Roman" w:hAnsi="Times New Roman" w:cs="Times New Roman"/>
        </w:rPr>
        <w:t xml:space="preserve"> </w:t>
      </w:r>
      <w:r w:rsidRPr="00A81370">
        <w:rPr>
          <w:rFonts w:ascii="Times New Roman" w:eastAsia="Calibri" w:hAnsi="Times New Roman" w:cs="Times New Roman"/>
        </w:rPr>
        <w:t>Ohio Adm. Code 4901:1-10-0</w:t>
      </w:r>
      <w:r>
        <w:rPr>
          <w:rFonts w:ascii="Times New Roman" w:eastAsia="Calibri" w:hAnsi="Times New Roman" w:cs="Times New Roman"/>
        </w:rPr>
        <w:t>1</w:t>
      </w:r>
      <w:r w:rsidRPr="00A81370">
        <w:rPr>
          <w:rFonts w:ascii="Times New Roman" w:eastAsia="Calibri" w:hAnsi="Times New Roman" w:cs="Times New Roman"/>
        </w:rPr>
        <w:t xml:space="preserve">(Q).  </w:t>
      </w:r>
    </w:p>
  </w:footnote>
  <w:footnote w:id="6">
    <w:p w14:paraId="6FF87282" w14:textId="1DAB18A1" w:rsidR="00433642" w:rsidRPr="00E07CB5" w:rsidRDefault="00433642" w:rsidP="00C826A0">
      <w:pPr>
        <w:pStyle w:val="FootnoteText"/>
        <w:spacing w:after="120"/>
        <w:rPr>
          <w:rFonts w:ascii="Times New Roman" w:hAnsi="Times New Roman" w:cs="Times New Roman"/>
        </w:rPr>
      </w:pPr>
      <w:r w:rsidRPr="00E07CB5">
        <w:rPr>
          <w:rStyle w:val="FootnoteReference"/>
          <w:rFonts w:ascii="Times New Roman" w:hAnsi="Times New Roman" w:cs="Times New Roman"/>
        </w:rPr>
        <w:footnoteRef/>
      </w:r>
      <w:r w:rsidRPr="00E07CB5">
        <w:rPr>
          <w:rFonts w:ascii="Times New Roman" w:hAnsi="Times New Roman" w:cs="Times New Roman"/>
        </w:rPr>
        <w:t xml:space="preserve"> </w:t>
      </w:r>
      <w:r w:rsidRPr="00A4548D">
        <w:rPr>
          <w:rFonts w:ascii="Times New Roman" w:hAnsi="Times New Roman" w:cs="Times New Roman"/>
          <w:i/>
        </w:rPr>
        <w:t>See</w:t>
      </w:r>
      <w:r>
        <w:rPr>
          <w:rFonts w:ascii="Times New Roman" w:hAnsi="Times New Roman" w:cs="Times New Roman"/>
        </w:rPr>
        <w:t xml:space="preserve"> </w:t>
      </w:r>
      <w:r w:rsidRPr="00E07CB5">
        <w:rPr>
          <w:rFonts w:ascii="Times New Roman" w:hAnsi="Times New Roman" w:cs="Times New Roman"/>
        </w:rPr>
        <w:t>Application at 2, 4, 5.</w:t>
      </w:r>
    </w:p>
  </w:footnote>
  <w:footnote w:id="7">
    <w:p w14:paraId="294DDCD0" w14:textId="77777777" w:rsidR="00433642" w:rsidRDefault="00433642" w:rsidP="00C826A0">
      <w:pPr>
        <w:pStyle w:val="FootnoteText"/>
        <w:spacing w:after="120"/>
      </w:pPr>
      <w:r>
        <w:rPr>
          <w:rStyle w:val="FootnoteReference"/>
        </w:rPr>
        <w:footnoteRef/>
      </w:r>
      <w:r>
        <w:t xml:space="preserve"> </w:t>
      </w:r>
      <w:r w:rsidRPr="006C257B">
        <w:rPr>
          <w:rFonts w:ascii="Times New Roman" w:hAnsi="Times New Roman" w:cs="Times New Roman"/>
          <w:i/>
        </w:rPr>
        <w:t>In the Matter of the Application of The Dayton Power and Light Company for Authority to Modify its Accounting Procedure for Certain Storm-Related Services Restoration Costs</w:t>
      </w:r>
      <w:r w:rsidRPr="006C257B">
        <w:rPr>
          <w:rFonts w:ascii="Times New Roman" w:hAnsi="Times New Roman" w:cs="Times New Roman"/>
        </w:rPr>
        <w:t>, Case No. 08-1332-EL-AAM, Findin</w:t>
      </w:r>
      <w:r>
        <w:rPr>
          <w:rFonts w:ascii="Times New Roman" w:hAnsi="Times New Roman" w:cs="Times New Roman"/>
        </w:rPr>
        <w:t>g and Order, (January 14, 2009</w:t>
      </w:r>
      <w:r w:rsidRPr="00FB196C">
        <w:rPr>
          <w:rFonts w:ascii="Times New Roman" w:hAnsi="Times New Roman" w:cs="Times New Roman"/>
        </w:rPr>
        <w:t xml:space="preserve">) </w:t>
      </w:r>
      <w:r w:rsidRPr="00A4548D">
        <w:rPr>
          <w:rFonts w:ascii="Times New Roman" w:hAnsi="Times New Roman" w:cs="Times New Roman"/>
        </w:rPr>
        <w:t>at paragraph 4.</w:t>
      </w:r>
    </w:p>
  </w:footnote>
  <w:footnote w:id="8">
    <w:p w14:paraId="2B1CED82" w14:textId="77777777" w:rsidR="00433642" w:rsidRPr="006C257B" w:rsidRDefault="00433642" w:rsidP="00C826A0">
      <w:pPr>
        <w:pStyle w:val="FootnoteText"/>
        <w:spacing w:after="120"/>
        <w:rPr>
          <w:rFonts w:ascii="Times New Roman" w:hAnsi="Times New Roman" w:cs="Times New Roman"/>
        </w:rPr>
      </w:pPr>
      <w:r w:rsidRPr="006C257B">
        <w:rPr>
          <w:rStyle w:val="FootnoteReference"/>
          <w:rFonts w:ascii="Times New Roman" w:hAnsi="Times New Roman" w:cs="Times New Roman"/>
        </w:rPr>
        <w:footnoteRef/>
      </w:r>
      <w:r w:rsidRPr="006C257B">
        <w:rPr>
          <w:rFonts w:ascii="Times New Roman" w:hAnsi="Times New Roman" w:cs="Times New Roman"/>
        </w:rPr>
        <w:t xml:space="preserve"> </w:t>
      </w:r>
      <w:r w:rsidRPr="00DE2451">
        <w:rPr>
          <w:rFonts w:ascii="Times New Roman" w:hAnsi="Times New Roman" w:cs="Times New Roman"/>
          <w:i/>
        </w:rPr>
        <w:t>Id.</w:t>
      </w:r>
      <w:r>
        <w:rPr>
          <w:rFonts w:ascii="Times New Roman" w:hAnsi="Times New Roman" w:cs="Times New Roman"/>
        </w:rPr>
        <w:t xml:space="preserve"> at paragraphs 2 and 4.  </w:t>
      </w:r>
    </w:p>
  </w:footnote>
  <w:footnote w:id="9">
    <w:p w14:paraId="0FD054D1" w14:textId="77777777" w:rsidR="00433642" w:rsidRPr="006C257B" w:rsidRDefault="00433642" w:rsidP="00C826A0">
      <w:pPr>
        <w:pStyle w:val="FootnoteText"/>
        <w:spacing w:after="120"/>
        <w:rPr>
          <w:rFonts w:ascii="Times New Roman" w:hAnsi="Times New Roman" w:cs="Times New Roman"/>
        </w:rPr>
      </w:pPr>
      <w:r w:rsidRPr="006C257B">
        <w:rPr>
          <w:rStyle w:val="FootnoteReference"/>
          <w:rFonts w:ascii="Times New Roman" w:hAnsi="Times New Roman" w:cs="Times New Roman"/>
        </w:rPr>
        <w:footnoteRef/>
      </w:r>
      <w:r w:rsidRPr="006C257B">
        <w:rPr>
          <w:rFonts w:ascii="Times New Roman" w:hAnsi="Times New Roman" w:cs="Times New Roman"/>
        </w:rPr>
        <w:t xml:space="preserve"> </w:t>
      </w:r>
      <w:r w:rsidRPr="006C257B">
        <w:rPr>
          <w:rFonts w:ascii="Times New Roman" w:hAnsi="Times New Roman" w:cs="Times New Roman"/>
          <w:i/>
        </w:rPr>
        <w:t>In the Matter of the Application of The Dayton Power and Light Company for Authority to Recover Certain Storm-Related Service Restoration Costs</w:t>
      </w:r>
      <w:r w:rsidRPr="006C257B">
        <w:rPr>
          <w:rFonts w:ascii="Times New Roman" w:hAnsi="Times New Roman" w:cs="Times New Roman"/>
        </w:rPr>
        <w:t>, Case No. 12-3062-EL-RDR, Schedule C-2, (December 21, 2012).</w:t>
      </w:r>
    </w:p>
  </w:footnote>
  <w:footnote w:id="10">
    <w:p w14:paraId="46529F6E" w14:textId="77777777" w:rsidR="00433642" w:rsidRPr="006C257B" w:rsidRDefault="00433642" w:rsidP="00C826A0">
      <w:pPr>
        <w:pStyle w:val="FootnoteText"/>
        <w:spacing w:after="120"/>
        <w:rPr>
          <w:rFonts w:ascii="Times New Roman" w:hAnsi="Times New Roman" w:cs="Times New Roman"/>
        </w:rPr>
      </w:pPr>
      <w:r w:rsidRPr="006C257B">
        <w:rPr>
          <w:rStyle w:val="FootnoteReference"/>
          <w:rFonts w:ascii="Times New Roman" w:hAnsi="Times New Roman" w:cs="Times New Roman"/>
        </w:rPr>
        <w:footnoteRef/>
      </w:r>
      <w:r w:rsidRPr="006C257B">
        <w:rPr>
          <w:rFonts w:ascii="Times New Roman" w:hAnsi="Times New Roman" w:cs="Times New Roman"/>
        </w:rPr>
        <w:t xml:space="preserve"> </w:t>
      </w:r>
      <w:r w:rsidRPr="006C257B">
        <w:rPr>
          <w:rFonts w:ascii="Times New Roman" w:hAnsi="Times New Roman" w:cs="Times New Roman"/>
          <w:i/>
        </w:rPr>
        <w:t xml:space="preserve">In the Matter of the Application of </w:t>
      </w:r>
      <w:r>
        <w:rPr>
          <w:rFonts w:ascii="Times New Roman" w:hAnsi="Times New Roman" w:cs="Times New Roman"/>
          <w:i/>
        </w:rPr>
        <w:t xml:space="preserve">The </w:t>
      </w:r>
      <w:r w:rsidRPr="006C257B">
        <w:rPr>
          <w:rFonts w:ascii="Times New Roman" w:hAnsi="Times New Roman" w:cs="Times New Roman"/>
          <w:i/>
        </w:rPr>
        <w:t xml:space="preserve">Dayton Power and Light Company for </w:t>
      </w:r>
      <w:r>
        <w:rPr>
          <w:rFonts w:ascii="Times New Roman" w:hAnsi="Times New Roman" w:cs="Times New Roman"/>
          <w:i/>
        </w:rPr>
        <w:t xml:space="preserve">Authority </w:t>
      </w:r>
      <w:r w:rsidRPr="006C257B">
        <w:rPr>
          <w:rFonts w:ascii="Times New Roman" w:hAnsi="Times New Roman" w:cs="Times New Roman"/>
          <w:i/>
        </w:rPr>
        <w:t xml:space="preserve">to </w:t>
      </w:r>
      <w:r>
        <w:rPr>
          <w:rFonts w:ascii="Times New Roman" w:hAnsi="Times New Roman" w:cs="Times New Roman"/>
          <w:i/>
        </w:rPr>
        <w:t>Modify its Accounting Procedure for Certain</w:t>
      </w:r>
      <w:r w:rsidRPr="006C257B">
        <w:rPr>
          <w:rFonts w:ascii="Times New Roman" w:hAnsi="Times New Roman" w:cs="Times New Roman"/>
          <w:i/>
        </w:rPr>
        <w:t xml:space="preserve"> Storm </w:t>
      </w:r>
      <w:r>
        <w:rPr>
          <w:rFonts w:ascii="Times New Roman" w:hAnsi="Times New Roman" w:cs="Times New Roman"/>
          <w:i/>
        </w:rPr>
        <w:t>Related Service Restoration Costs</w:t>
      </w:r>
      <w:r w:rsidRPr="006C257B">
        <w:rPr>
          <w:rFonts w:ascii="Times New Roman" w:hAnsi="Times New Roman" w:cs="Times New Roman"/>
          <w:i/>
        </w:rPr>
        <w:t>,</w:t>
      </w:r>
      <w:r w:rsidRPr="006C257B">
        <w:rPr>
          <w:rFonts w:ascii="Times New Roman" w:hAnsi="Times New Roman" w:cs="Times New Roman"/>
        </w:rPr>
        <w:t xml:space="preserve"> Case No. </w:t>
      </w:r>
      <w:r>
        <w:rPr>
          <w:rFonts w:ascii="Times New Roman" w:hAnsi="Times New Roman" w:cs="Times New Roman"/>
        </w:rPr>
        <w:t>12-2281</w:t>
      </w:r>
      <w:r w:rsidRPr="006C257B">
        <w:rPr>
          <w:rFonts w:ascii="Times New Roman" w:hAnsi="Times New Roman" w:cs="Times New Roman"/>
        </w:rPr>
        <w:t>-EL-</w:t>
      </w:r>
      <w:r>
        <w:rPr>
          <w:rFonts w:ascii="Times New Roman" w:hAnsi="Times New Roman" w:cs="Times New Roman"/>
        </w:rPr>
        <w:t>AAM</w:t>
      </w:r>
      <w:r w:rsidRPr="006C257B">
        <w:rPr>
          <w:rFonts w:ascii="Times New Roman" w:hAnsi="Times New Roman" w:cs="Times New Roman"/>
        </w:rPr>
        <w:t xml:space="preserve">, </w:t>
      </w:r>
      <w:r>
        <w:rPr>
          <w:rFonts w:ascii="Times New Roman" w:hAnsi="Times New Roman" w:cs="Times New Roman"/>
        </w:rPr>
        <w:t>Sixth</w:t>
      </w:r>
      <w:r w:rsidRPr="006C257B">
        <w:rPr>
          <w:rFonts w:ascii="Times New Roman" w:hAnsi="Times New Roman" w:cs="Times New Roman"/>
        </w:rPr>
        <w:t xml:space="preserve"> Supplement</w:t>
      </w:r>
      <w:r>
        <w:rPr>
          <w:rFonts w:ascii="Times New Roman" w:hAnsi="Times New Roman" w:cs="Times New Roman"/>
        </w:rPr>
        <w:t>al Response</w:t>
      </w:r>
      <w:r w:rsidRPr="006C257B">
        <w:rPr>
          <w:rFonts w:ascii="Times New Roman" w:hAnsi="Times New Roman" w:cs="Times New Roman"/>
        </w:rPr>
        <w:t xml:space="preserve">, </w:t>
      </w:r>
      <w:r>
        <w:rPr>
          <w:rFonts w:ascii="Times New Roman" w:hAnsi="Times New Roman" w:cs="Times New Roman"/>
        </w:rPr>
        <w:t>DP&amp;L’s Response to OCC INT 2</w:t>
      </w:r>
      <w:r w:rsidRPr="006C257B">
        <w:rPr>
          <w:rFonts w:ascii="Times New Roman" w:hAnsi="Times New Roman" w:cs="Times New Roman"/>
        </w:rPr>
        <w:t>.</w:t>
      </w:r>
    </w:p>
  </w:footnote>
  <w:footnote w:id="11">
    <w:p w14:paraId="6ABB2011" w14:textId="77777777" w:rsidR="00433642" w:rsidRPr="00545E9B" w:rsidRDefault="00433642" w:rsidP="00C826A0">
      <w:pPr>
        <w:pStyle w:val="FootnoteText"/>
        <w:spacing w:after="120"/>
        <w:rPr>
          <w:rFonts w:ascii="Times New Roman" w:hAnsi="Times New Roman" w:cs="Times New Roman"/>
        </w:rPr>
      </w:pPr>
      <w:r w:rsidRPr="00545E9B">
        <w:rPr>
          <w:rStyle w:val="FootnoteReference"/>
          <w:rFonts w:ascii="Times New Roman" w:hAnsi="Times New Roman" w:cs="Times New Roman"/>
        </w:rPr>
        <w:footnoteRef/>
      </w:r>
      <w:r>
        <w:rPr>
          <w:rFonts w:ascii="Times New Roman" w:hAnsi="Times New Roman" w:cs="Times New Roman"/>
        </w:rPr>
        <w:t xml:space="preserve"> PUCO Case No. 12-426-EL-SSO.</w:t>
      </w:r>
    </w:p>
  </w:footnote>
  <w:footnote w:id="12">
    <w:p w14:paraId="27CA159A" w14:textId="77777777" w:rsidR="00433642" w:rsidRDefault="00433642" w:rsidP="00C826A0">
      <w:pPr>
        <w:pStyle w:val="FootnoteText"/>
        <w:spacing w:after="120"/>
      </w:pPr>
      <w:r>
        <w:rPr>
          <w:rStyle w:val="FootnoteReference"/>
        </w:rPr>
        <w:footnoteRef/>
      </w:r>
      <w:r>
        <w:t xml:space="preserve"> </w:t>
      </w:r>
      <w:r w:rsidRPr="00545E9B">
        <w:rPr>
          <w:rFonts w:ascii="Times New Roman" w:hAnsi="Times New Roman" w:cs="Times New Roman"/>
        </w:rPr>
        <w:t xml:space="preserve">Direct Testimony of PUCO Staff </w:t>
      </w:r>
      <w:r>
        <w:rPr>
          <w:rFonts w:ascii="Times New Roman" w:hAnsi="Times New Roman" w:cs="Times New Roman"/>
        </w:rPr>
        <w:t xml:space="preserve">witness David M. Lipthratt, </w:t>
      </w:r>
      <w:r w:rsidRPr="00545E9B">
        <w:rPr>
          <w:rFonts w:ascii="Times New Roman" w:hAnsi="Times New Roman" w:cs="Times New Roman"/>
        </w:rPr>
        <w:t>PUCO Case No. 12-426-EL-SSO</w:t>
      </w:r>
      <w:r>
        <w:rPr>
          <w:rFonts w:ascii="Times New Roman" w:hAnsi="Times New Roman" w:cs="Times New Roman"/>
        </w:rPr>
        <w:t xml:space="preserve"> at 5 (Mar. 12, 2013).</w:t>
      </w:r>
    </w:p>
  </w:footnote>
  <w:footnote w:id="13">
    <w:p w14:paraId="0EAB7E3B" w14:textId="7DC33016" w:rsidR="00433642" w:rsidRDefault="00433642" w:rsidP="00C826A0">
      <w:pPr>
        <w:pStyle w:val="FootnoteText"/>
        <w:spacing w:after="120"/>
      </w:pPr>
      <w:r>
        <w:rPr>
          <w:rStyle w:val="FootnoteReference"/>
        </w:rPr>
        <w:footnoteRef/>
      </w:r>
      <w:r>
        <w:t xml:space="preserve"> </w:t>
      </w:r>
      <w:r w:rsidRPr="00545E9B">
        <w:rPr>
          <w:rFonts w:ascii="Times New Roman" w:hAnsi="Times New Roman" w:cs="Times New Roman"/>
        </w:rPr>
        <w:t xml:space="preserve">Direct Testimony of PUCO Staff </w:t>
      </w:r>
      <w:r>
        <w:rPr>
          <w:rFonts w:ascii="Times New Roman" w:hAnsi="Times New Roman" w:cs="Times New Roman"/>
        </w:rPr>
        <w:t xml:space="preserve">witness David M. Lipthratt, </w:t>
      </w:r>
      <w:r w:rsidRPr="00545E9B">
        <w:rPr>
          <w:rFonts w:ascii="Times New Roman" w:hAnsi="Times New Roman" w:cs="Times New Roman"/>
        </w:rPr>
        <w:t>PUCO Case No. 12-426-EL-SSO</w:t>
      </w:r>
      <w:r>
        <w:rPr>
          <w:rFonts w:ascii="Times New Roman" w:hAnsi="Times New Roman" w:cs="Times New Roman"/>
        </w:rPr>
        <w:t xml:space="preserve"> at Attachment A (Mar. 12, 2013).</w:t>
      </w:r>
    </w:p>
  </w:footnote>
  <w:footnote w:id="14">
    <w:p w14:paraId="64164345" w14:textId="77777777" w:rsidR="00433642" w:rsidRDefault="00433642" w:rsidP="00C826A0">
      <w:pPr>
        <w:pStyle w:val="FootnoteText"/>
        <w:spacing w:after="120"/>
      </w:pPr>
      <w:r>
        <w:rPr>
          <w:rStyle w:val="FootnoteReference"/>
        </w:rPr>
        <w:footnoteRef/>
      </w:r>
      <w:r>
        <w:t xml:space="preserve"> </w:t>
      </w:r>
      <w:r w:rsidRPr="00545E9B">
        <w:rPr>
          <w:rFonts w:ascii="Times New Roman" w:hAnsi="Times New Roman" w:cs="Times New Roman"/>
        </w:rPr>
        <w:t xml:space="preserve">Direct Testimony of PUCO Staff </w:t>
      </w:r>
      <w:r>
        <w:rPr>
          <w:rFonts w:ascii="Times New Roman" w:hAnsi="Times New Roman" w:cs="Times New Roman"/>
        </w:rPr>
        <w:t xml:space="preserve">witness David M. Lipthratt, </w:t>
      </w:r>
      <w:r w:rsidRPr="00545E9B">
        <w:rPr>
          <w:rFonts w:ascii="Times New Roman" w:hAnsi="Times New Roman" w:cs="Times New Roman"/>
        </w:rPr>
        <w:t>PUCO Case No. 12-426-EL-SSO</w:t>
      </w:r>
      <w:r>
        <w:rPr>
          <w:rFonts w:ascii="Times New Roman" w:hAnsi="Times New Roman" w:cs="Times New Roman"/>
        </w:rPr>
        <w:t xml:space="preserve"> at Attachment A (Mar. 12, 2013).</w:t>
      </w:r>
    </w:p>
  </w:footnote>
  <w:footnote w:id="15">
    <w:p w14:paraId="451FA3DB" w14:textId="77777777" w:rsidR="00433642" w:rsidRDefault="00433642" w:rsidP="00C826A0">
      <w:pPr>
        <w:pStyle w:val="FootnoteText"/>
        <w:spacing w:after="120"/>
      </w:pPr>
      <w:r>
        <w:rPr>
          <w:rStyle w:val="FootnoteReference"/>
        </w:rPr>
        <w:footnoteRef/>
      </w:r>
      <w:r>
        <w:t xml:space="preserve"> </w:t>
      </w:r>
      <w:r w:rsidRPr="00545E9B">
        <w:rPr>
          <w:rFonts w:ascii="Times New Roman" w:hAnsi="Times New Roman" w:cs="Times New Roman"/>
        </w:rPr>
        <w:t xml:space="preserve">Direct Testimony of PUCO Staff </w:t>
      </w:r>
      <w:r>
        <w:rPr>
          <w:rFonts w:ascii="Times New Roman" w:hAnsi="Times New Roman" w:cs="Times New Roman"/>
        </w:rPr>
        <w:t xml:space="preserve">witness David M. Lipthratt, </w:t>
      </w:r>
      <w:r w:rsidRPr="00545E9B">
        <w:rPr>
          <w:rFonts w:ascii="Times New Roman" w:hAnsi="Times New Roman" w:cs="Times New Roman"/>
        </w:rPr>
        <w:t>PUCO Case No. 12-426-EL-SSO</w:t>
      </w:r>
      <w:r>
        <w:rPr>
          <w:rFonts w:ascii="Times New Roman" w:hAnsi="Times New Roman" w:cs="Times New Roman"/>
        </w:rPr>
        <w:t xml:space="preserve"> at Attachment A (Mar. 12, 2013).</w:t>
      </w:r>
    </w:p>
  </w:footnote>
  <w:footnote w:id="16">
    <w:p w14:paraId="69DDD0B6" w14:textId="77777777" w:rsidR="00433642" w:rsidRDefault="00433642" w:rsidP="00C826A0">
      <w:pPr>
        <w:pStyle w:val="FootnoteText"/>
        <w:spacing w:after="120"/>
      </w:pPr>
      <w:r>
        <w:rPr>
          <w:rStyle w:val="FootnoteReference"/>
        </w:rPr>
        <w:footnoteRef/>
      </w:r>
      <w:r>
        <w:t xml:space="preserve"> </w:t>
      </w:r>
      <w:r w:rsidRPr="006C257B">
        <w:rPr>
          <w:rFonts w:ascii="Times New Roman" w:hAnsi="Times New Roman" w:cs="Times New Roman"/>
          <w:i/>
        </w:rPr>
        <w:t>In the Matter of the Application of The Dayton Power and Light Company for Authority to Modify its Accounting Procedure for Certain Storm-Related Services Restoration Costs</w:t>
      </w:r>
      <w:r w:rsidRPr="006C257B">
        <w:rPr>
          <w:rFonts w:ascii="Times New Roman" w:hAnsi="Times New Roman" w:cs="Times New Roman"/>
        </w:rPr>
        <w:t>, Case No. 08-1332-EL-AAM, Findin</w:t>
      </w:r>
      <w:r>
        <w:rPr>
          <w:rFonts w:ascii="Times New Roman" w:hAnsi="Times New Roman" w:cs="Times New Roman"/>
        </w:rPr>
        <w:t xml:space="preserve">g and Order, (January 14, 2009) </w:t>
      </w:r>
      <w:r w:rsidRPr="00A4548D">
        <w:rPr>
          <w:rFonts w:ascii="Times New Roman" w:hAnsi="Times New Roman" w:cs="Times New Roman"/>
        </w:rPr>
        <w:t>at paragraph 4</w:t>
      </w:r>
      <w:r>
        <w:t>.</w:t>
      </w:r>
    </w:p>
  </w:footnote>
  <w:footnote w:id="17">
    <w:p w14:paraId="7D9CD33E" w14:textId="77777777" w:rsidR="00433642" w:rsidRPr="006C257B" w:rsidRDefault="00433642" w:rsidP="00C826A0">
      <w:pPr>
        <w:pStyle w:val="FootnoteText"/>
        <w:spacing w:after="120"/>
        <w:rPr>
          <w:rFonts w:ascii="Times New Roman" w:hAnsi="Times New Roman" w:cs="Times New Roman"/>
        </w:rPr>
      </w:pPr>
      <w:r w:rsidRPr="006C257B">
        <w:rPr>
          <w:rStyle w:val="FootnoteReference"/>
          <w:rFonts w:ascii="Times New Roman" w:hAnsi="Times New Roman" w:cs="Times New Roman"/>
        </w:rPr>
        <w:footnoteRef/>
      </w:r>
      <w:r w:rsidRPr="006C257B">
        <w:rPr>
          <w:rFonts w:ascii="Times New Roman" w:hAnsi="Times New Roman" w:cs="Times New Roman"/>
        </w:rPr>
        <w:t xml:space="preserve"> </w:t>
      </w:r>
      <w:r w:rsidRPr="00DE2451">
        <w:rPr>
          <w:rFonts w:ascii="Times New Roman" w:hAnsi="Times New Roman" w:cs="Times New Roman"/>
          <w:i/>
        </w:rPr>
        <w:t>Id.</w:t>
      </w:r>
      <w:r>
        <w:rPr>
          <w:rFonts w:ascii="Times New Roman" w:hAnsi="Times New Roman" w:cs="Times New Roman"/>
        </w:rPr>
        <w:t xml:space="preserve"> at paragraphs 2 and 4.  </w:t>
      </w:r>
    </w:p>
  </w:footnote>
  <w:footnote w:id="18">
    <w:p w14:paraId="0460FEC4" w14:textId="2F952C3E" w:rsidR="00433642" w:rsidRDefault="00433642" w:rsidP="00C826A0">
      <w:pPr>
        <w:pStyle w:val="FootnoteText"/>
        <w:spacing w:after="120"/>
      </w:pPr>
      <w:r>
        <w:rPr>
          <w:rStyle w:val="FootnoteReference"/>
        </w:rPr>
        <w:footnoteRef/>
      </w:r>
      <w:r>
        <w:t xml:space="preserve"> </w:t>
      </w:r>
      <w:r w:rsidRPr="00A4548D">
        <w:rPr>
          <w:rFonts w:ascii="Times New Roman" w:hAnsi="Times New Roman" w:cs="Times New Roman"/>
        </w:rPr>
        <w:t>Application at 3-4.</w:t>
      </w:r>
    </w:p>
  </w:footnote>
  <w:footnote w:id="19">
    <w:p w14:paraId="181A67D1" w14:textId="77777777" w:rsidR="00433642" w:rsidRPr="005E7ABC" w:rsidRDefault="00433642" w:rsidP="00C826A0">
      <w:pPr>
        <w:pStyle w:val="FootnoteText"/>
        <w:spacing w:after="120"/>
        <w:rPr>
          <w:rFonts w:ascii="Times New Roman" w:hAnsi="Times New Roman" w:cs="Times New Roman"/>
        </w:rPr>
      </w:pPr>
      <w:r w:rsidRPr="005E7ABC">
        <w:rPr>
          <w:rStyle w:val="FootnoteReference"/>
          <w:rFonts w:ascii="Times New Roman" w:hAnsi="Times New Roman" w:cs="Times New Roman"/>
        </w:rPr>
        <w:footnoteRef/>
      </w:r>
      <w:r w:rsidRPr="005E7ABC">
        <w:rPr>
          <w:rFonts w:ascii="Times New Roman" w:hAnsi="Times New Roman" w:cs="Times New Roman"/>
        </w:rPr>
        <w:t xml:space="preserve"> </w:t>
      </w:r>
      <w:r w:rsidRPr="005E7ABC">
        <w:rPr>
          <w:rFonts w:ascii="Times New Roman" w:hAnsi="Times New Roman" w:cs="Times New Roman"/>
          <w:i/>
        </w:rPr>
        <w:t>In the Matter of the Application of The Dayton Power and Light Company for Authority to Modify its Accounting Procedures for Certain Storm-Related Services Restoration Costs</w:t>
      </w:r>
      <w:r w:rsidRPr="005E7ABC">
        <w:rPr>
          <w:rFonts w:ascii="Times New Roman" w:hAnsi="Times New Roman" w:cs="Times New Roman"/>
        </w:rPr>
        <w:t>, Case No. 08-1332-EL-AAM, Finding and Order at 2 (Jan. 14, 2009).</w:t>
      </w:r>
    </w:p>
  </w:footnote>
  <w:footnote w:id="20">
    <w:p w14:paraId="480D82C2" w14:textId="77777777" w:rsidR="00433642" w:rsidRPr="00DE2451" w:rsidRDefault="00433642" w:rsidP="00C826A0">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hAnsi="Times New Roman" w:cs="Times New Roman"/>
        </w:rPr>
      </w:pPr>
      <w:r w:rsidRPr="00DE2451">
        <w:rPr>
          <w:rStyle w:val="FootnoteReference"/>
          <w:rFonts w:ascii="Times New Roman" w:hAnsi="Times New Roman" w:cs="Times New Roman"/>
        </w:rPr>
        <w:footnoteRef/>
      </w:r>
      <w:r w:rsidRPr="00DE2451">
        <w:rPr>
          <w:rFonts w:ascii="Times New Roman" w:hAnsi="Times New Roman" w:cs="Times New Roman"/>
        </w:rPr>
        <w:t xml:space="preserve"> </w:t>
      </w:r>
      <w:r w:rsidRPr="00DE2451">
        <w:rPr>
          <w:rFonts w:ascii="Times New Roman" w:hAnsi="Times New Roman" w:cs="Times New Roman"/>
          <w:i/>
          <w:iCs/>
        </w:rPr>
        <w:t>New Winchester Gardens, Ltd. v. Franklin Cty. Bd. of Revision</w:t>
      </w:r>
      <w:r w:rsidRPr="00DE2451">
        <w:rPr>
          <w:rFonts w:ascii="Times New Roman" w:hAnsi="Times New Roman" w:cs="Times New Roman"/>
        </w:rPr>
        <w:t>, 80 Ohio St. 3d 36, 41; 684 N.E.2d 312 (Oct. 8, 1997).</w:t>
      </w:r>
    </w:p>
  </w:footnote>
  <w:footnote w:id="21">
    <w:p w14:paraId="495E3168" w14:textId="77777777" w:rsidR="00433642" w:rsidRPr="00DE2451" w:rsidRDefault="00433642" w:rsidP="00C826A0">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hAnsi="Times New Roman" w:cs="Times New Roman"/>
        </w:rPr>
      </w:pPr>
      <w:r w:rsidRPr="00DE2451">
        <w:rPr>
          <w:rStyle w:val="FootnoteReference"/>
          <w:rFonts w:ascii="Times New Roman" w:hAnsi="Times New Roman" w:cs="Times New Roman"/>
        </w:rPr>
        <w:footnoteRef/>
      </w:r>
      <w:r w:rsidRPr="00DE2451">
        <w:rPr>
          <w:rFonts w:ascii="Times New Roman" w:hAnsi="Times New Roman" w:cs="Times New Roman"/>
        </w:rPr>
        <w:t xml:space="preserve"> Restatement of the Law, Second, Judgments, Section 27.</w:t>
      </w:r>
    </w:p>
  </w:footnote>
  <w:footnote w:id="22">
    <w:p w14:paraId="3D9A2FF5" w14:textId="77777777" w:rsidR="00433642" w:rsidRPr="00DE2451" w:rsidRDefault="00433642" w:rsidP="00C826A0">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hAnsi="Times New Roman" w:cs="Times New Roman"/>
        </w:rPr>
      </w:pPr>
      <w:r w:rsidRPr="00DE2451">
        <w:rPr>
          <w:rStyle w:val="FootnoteReference"/>
          <w:rFonts w:ascii="Times New Roman" w:hAnsi="Times New Roman" w:cs="Times New Roman"/>
        </w:rPr>
        <w:footnoteRef/>
      </w:r>
      <w:r w:rsidRPr="00DE2451">
        <w:rPr>
          <w:rFonts w:ascii="Times New Roman" w:hAnsi="Times New Roman" w:cs="Times New Roman"/>
        </w:rPr>
        <w:t xml:space="preserve"> </w:t>
      </w:r>
      <w:r w:rsidRPr="00DE2451">
        <w:rPr>
          <w:rFonts w:ascii="Times New Roman" w:hAnsi="Times New Roman" w:cs="Times New Roman"/>
          <w:i/>
          <w:iCs/>
        </w:rPr>
        <w:t>Superior’s Brand Meats, Inc. v Lindley</w:t>
      </w:r>
      <w:r w:rsidRPr="00DE2451">
        <w:rPr>
          <w:rFonts w:ascii="Times New Roman" w:hAnsi="Times New Roman" w:cs="Times New Roman"/>
        </w:rPr>
        <w:t xml:space="preserve">, 62 Ohio St.2d 133, </w:t>
      </w:r>
      <w:bookmarkStart w:id="10" w:name="BM4912_"/>
      <w:bookmarkEnd w:id="10"/>
      <w:r w:rsidRPr="0065534A">
        <w:rPr>
          <w:rStyle w:val="Emphasis"/>
          <w:color w:val="000000"/>
          <w:shd w:val="clear" w:color="auto" w:fill="FFFFFF"/>
        </w:rPr>
        <w:t xml:space="preserve">403 N.E.2d 996, (1980), syllabus. </w:t>
      </w:r>
      <w:r w:rsidRPr="00DE2451">
        <w:rPr>
          <w:rStyle w:val="Emphasis"/>
          <w:iCs/>
          <w:color w:val="000000"/>
          <w:shd w:val="clear" w:color="auto" w:fill="FFFFFF"/>
        </w:rPr>
        <w:t>Office of Consumers’ Counsel v. Pub. Util. Comm.</w:t>
      </w:r>
      <w:r w:rsidRPr="00DE2451">
        <w:rPr>
          <w:rStyle w:val="Emphasis"/>
          <w:color w:val="000000"/>
          <w:shd w:val="clear" w:color="auto" w:fill="FFFFFF"/>
        </w:rPr>
        <w:t>, 16 Ohio St.3d 9, 10, 475 N.E.2d 782, (1985).</w:t>
      </w:r>
    </w:p>
  </w:footnote>
  <w:footnote w:id="23">
    <w:p w14:paraId="5F2EA74A" w14:textId="77777777" w:rsidR="00433642" w:rsidRPr="00DE2451" w:rsidRDefault="00433642" w:rsidP="00C826A0">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hAnsi="Times New Roman" w:cs="Times New Roman"/>
        </w:rPr>
      </w:pPr>
      <w:r w:rsidRPr="00DE2451">
        <w:rPr>
          <w:rStyle w:val="FootnoteReference"/>
          <w:rFonts w:ascii="Times New Roman" w:hAnsi="Times New Roman" w:cs="Times New Roman"/>
        </w:rPr>
        <w:footnoteRef/>
      </w:r>
      <w:r w:rsidRPr="00DE2451">
        <w:rPr>
          <w:rFonts w:ascii="Times New Roman" w:hAnsi="Times New Roman" w:cs="Times New Roman"/>
        </w:rPr>
        <w:t xml:space="preserve"> </w:t>
      </w:r>
      <w:r w:rsidRPr="00DE2451">
        <w:rPr>
          <w:rFonts w:ascii="Times New Roman" w:hAnsi="Times New Roman" w:cs="Times New Roman"/>
          <w:i/>
          <w:iCs/>
        </w:rPr>
        <w:t>Superior’ Brand Meats, Inc. v. Lindley</w:t>
      </w:r>
      <w:r w:rsidRPr="00DE2451">
        <w:rPr>
          <w:rFonts w:ascii="Times New Roman" w:hAnsi="Times New Roman" w:cs="Times New Roman"/>
        </w:rPr>
        <w:t xml:space="preserve">, 62 Ohio St.2d 133(syllabus).  </w:t>
      </w:r>
    </w:p>
  </w:footnote>
  <w:footnote w:id="24">
    <w:p w14:paraId="1BD4A132" w14:textId="77777777" w:rsidR="00433642" w:rsidRPr="00C054A4" w:rsidRDefault="00433642" w:rsidP="00C826A0">
      <w:pPr>
        <w:pStyle w:val="FootnoteText"/>
        <w:spacing w:after="120"/>
        <w:rPr>
          <w:rFonts w:ascii="Times New Roman" w:hAnsi="Times New Roman" w:cs="Times New Roman"/>
        </w:rPr>
      </w:pPr>
      <w:r w:rsidRPr="00DE2451">
        <w:rPr>
          <w:rStyle w:val="FootnoteReference"/>
          <w:rFonts w:ascii="Times New Roman" w:hAnsi="Times New Roman" w:cs="Times New Roman"/>
        </w:rPr>
        <w:footnoteRef/>
      </w:r>
      <w:r w:rsidRPr="00DE2451">
        <w:rPr>
          <w:rFonts w:ascii="Times New Roman" w:hAnsi="Times New Roman" w:cs="Times New Roman"/>
        </w:rPr>
        <w:t xml:space="preserve"> </w:t>
      </w:r>
      <w:r w:rsidRPr="00C054A4">
        <w:rPr>
          <w:rFonts w:ascii="Times New Roman" w:hAnsi="Times New Roman" w:cs="Times New Roman"/>
          <w:i/>
        </w:rPr>
        <w:t>In the Matter of the Application of The Dayton Power and Light Company for Authority to Modify its Accounting Procedure for Certain Storm-Related Services Restoration Costs</w:t>
      </w:r>
      <w:r w:rsidRPr="00C054A4">
        <w:rPr>
          <w:rFonts w:ascii="Times New Roman" w:hAnsi="Times New Roman" w:cs="Times New Roman"/>
        </w:rPr>
        <w:t>, Case No. 08-1332-EL-AAM, Application, (December 26, 2008) at paragraph 3. (Emphasis added.)</w:t>
      </w:r>
    </w:p>
  </w:footnote>
  <w:footnote w:id="25">
    <w:p w14:paraId="4738B070" w14:textId="77777777" w:rsidR="00433642" w:rsidRDefault="00433642" w:rsidP="00C826A0">
      <w:pPr>
        <w:pStyle w:val="FootnoteText"/>
        <w:spacing w:after="120"/>
      </w:pPr>
      <w:r w:rsidRPr="00C054A4">
        <w:rPr>
          <w:rStyle w:val="FootnoteReference"/>
          <w:rFonts w:ascii="Times New Roman" w:hAnsi="Times New Roman" w:cs="Times New Roman"/>
        </w:rPr>
        <w:footnoteRef/>
      </w:r>
      <w:r w:rsidRPr="00C054A4">
        <w:rPr>
          <w:rFonts w:ascii="Times New Roman" w:hAnsi="Times New Roman" w:cs="Times New Roman"/>
        </w:rPr>
        <w:t xml:space="preserve"> </w:t>
      </w:r>
      <w:r w:rsidRPr="00C054A4">
        <w:rPr>
          <w:rFonts w:ascii="Times New Roman" w:hAnsi="Times New Roman" w:cs="Times New Roman"/>
          <w:i/>
        </w:rPr>
        <w:t>In the Matter of the Application of The Dayton Power and Light Company for Authority to Modify its Accounting Procedure for Certain Storm-Related Services Restoration Costs</w:t>
      </w:r>
      <w:r w:rsidRPr="00C054A4">
        <w:rPr>
          <w:rFonts w:ascii="Times New Roman" w:hAnsi="Times New Roman" w:cs="Times New Roman"/>
        </w:rPr>
        <w:t>, Case No. 08-1332-EL-AAM, Finding and Order, (January 14, 2009) at paragraph 4.</w:t>
      </w:r>
    </w:p>
  </w:footnote>
  <w:footnote w:id="26">
    <w:p w14:paraId="64D59825" w14:textId="77777777" w:rsidR="00433642" w:rsidRPr="00C054A4" w:rsidRDefault="00433642" w:rsidP="00C826A0">
      <w:pPr>
        <w:pStyle w:val="FootnoteText"/>
        <w:spacing w:after="120"/>
        <w:rPr>
          <w:rFonts w:ascii="Times New Roman" w:hAnsi="Times New Roman" w:cs="Times New Roman"/>
        </w:rPr>
      </w:pPr>
      <w:r w:rsidRPr="00C054A4">
        <w:rPr>
          <w:rStyle w:val="FootnoteReference"/>
          <w:rFonts w:ascii="Times New Roman" w:hAnsi="Times New Roman" w:cs="Times New Roman"/>
        </w:rPr>
        <w:footnoteRef/>
      </w:r>
      <w:r w:rsidRPr="00C054A4">
        <w:rPr>
          <w:rFonts w:ascii="Times New Roman" w:hAnsi="Times New Roman" w:cs="Times New Roman"/>
        </w:rPr>
        <w:t xml:space="preserve"> </w:t>
      </w:r>
      <w:r w:rsidRPr="00C054A4">
        <w:rPr>
          <w:rFonts w:ascii="Times New Roman" w:hAnsi="Times New Roman" w:cs="Times New Roman"/>
          <w:i/>
        </w:rPr>
        <w:t>In the Matter of the Application of The Dayton Power and Light Company for Authority to Recover Certain Storm- Related Service Restoration Costs</w:t>
      </w:r>
      <w:r w:rsidRPr="00C054A4">
        <w:rPr>
          <w:rFonts w:ascii="Times New Roman" w:hAnsi="Times New Roman" w:cs="Times New Roman"/>
        </w:rPr>
        <w:t>, Case No. 12-3062-EL-RDR, Calculation of Total Storm O&amp;M, Schedule C-1, (December 21 , 2012).</w:t>
      </w:r>
    </w:p>
  </w:footnote>
  <w:footnote w:id="27">
    <w:p w14:paraId="713AAD03" w14:textId="4418B4A0" w:rsidR="00433642" w:rsidRPr="007D6B14" w:rsidRDefault="00433642" w:rsidP="00C826A0">
      <w:pPr>
        <w:spacing w:after="120" w:line="240" w:lineRule="auto"/>
        <w:rPr>
          <w:rFonts w:ascii="Times New Roman" w:hAnsi="Times New Roman" w:cs="Times New Roman"/>
          <w:sz w:val="20"/>
          <w:szCs w:val="20"/>
          <w:u w:val="single"/>
        </w:rPr>
      </w:pPr>
      <w:r w:rsidRPr="009037D2">
        <w:rPr>
          <w:rStyle w:val="FootnoteReference"/>
          <w:rFonts w:ascii="Times New Roman" w:hAnsi="Times New Roman" w:cs="Times New Roman"/>
          <w:sz w:val="20"/>
          <w:szCs w:val="20"/>
        </w:rPr>
        <w:footnoteRef/>
      </w:r>
      <w:r w:rsidRPr="009037D2">
        <w:rPr>
          <w:rFonts w:ascii="Times New Roman" w:hAnsi="Times New Roman" w:cs="Times New Roman"/>
          <w:sz w:val="20"/>
          <w:szCs w:val="20"/>
        </w:rPr>
        <w:t xml:space="preserve"> $13,661,050 (2008 Hurricane Ike O&amp;M, Schedule C-1</w:t>
      </w:r>
      <w:r w:rsidRPr="009037D2">
        <w:rPr>
          <w:sz w:val="20"/>
          <w:szCs w:val="20"/>
        </w:rPr>
        <w:t xml:space="preserve">) </w:t>
      </w:r>
      <w:r w:rsidRPr="009037D2">
        <w:rPr>
          <w:rFonts w:ascii="Times New Roman" w:hAnsi="Times New Roman" w:cs="Times New Roman"/>
          <w:sz w:val="20"/>
          <w:szCs w:val="20"/>
        </w:rPr>
        <w:t>- $2,893,949 (</w:t>
      </w:r>
      <w:r w:rsidRPr="009037D2">
        <w:rPr>
          <w:rFonts w:ascii="Times New Roman" w:hAnsi="Times New Roman" w:cs="Times New Roman"/>
          <w:sz w:val="20"/>
          <w:szCs w:val="20"/>
          <w:u w:val="single"/>
        </w:rPr>
        <w:t>Three-Year Average of O&amp;M Storm Expense</w:t>
      </w:r>
      <w:r w:rsidRPr="007D6B14">
        <w:rPr>
          <w:rFonts w:ascii="Times New Roman" w:hAnsi="Times New Roman" w:cs="Times New Roman"/>
          <w:sz w:val="20"/>
          <w:szCs w:val="20"/>
          <w:u w:val="single"/>
        </w:rPr>
        <w:t>) = $10,767,101</w:t>
      </w:r>
      <w:r>
        <w:rPr>
          <w:rFonts w:ascii="Times New Roman" w:hAnsi="Times New Roman" w:cs="Times New Roman"/>
          <w:sz w:val="20"/>
          <w:szCs w:val="20"/>
          <w:u w:val="single"/>
        </w:rPr>
        <w:t>.</w:t>
      </w:r>
    </w:p>
  </w:footnote>
  <w:footnote w:id="28">
    <w:p w14:paraId="730C49AB" w14:textId="02D648E7" w:rsidR="00433642" w:rsidRPr="009037D2" w:rsidRDefault="00433642" w:rsidP="00C826A0">
      <w:pPr>
        <w:pStyle w:val="FootnoteText"/>
        <w:spacing w:after="120"/>
        <w:rPr>
          <w:rFonts w:ascii="Times New Roman" w:hAnsi="Times New Roman" w:cs="Times New Roman"/>
        </w:rPr>
      </w:pPr>
      <w:r>
        <w:rPr>
          <w:rStyle w:val="FootnoteReference"/>
        </w:rPr>
        <w:footnoteRef/>
      </w:r>
      <w:r>
        <w:t xml:space="preserve"> </w:t>
      </w:r>
      <w:r>
        <w:rPr>
          <w:rFonts w:ascii="Times New Roman" w:hAnsi="Times New Roman" w:cs="Times New Roman"/>
        </w:rPr>
        <w:t>Application Schedule C-1.</w:t>
      </w:r>
    </w:p>
  </w:footnote>
  <w:footnote w:id="29">
    <w:p w14:paraId="39730F72" w14:textId="71B7732C" w:rsidR="00433642" w:rsidRPr="009037D2" w:rsidRDefault="00433642" w:rsidP="00C826A0">
      <w:pPr>
        <w:pStyle w:val="FootnoteText"/>
        <w:spacing w:after="120"/>
        <w:rPr>
          <w:rFonts w:ascii="Times New Roman" w:hAnsi="Times New Roman" w:cs="Times New Roman"/>
        </w:rPr>
      </w:pPr>
      <w:r w:rsidRPr="009037D2">
        <w:rPr>
          <w:rStyle w:val="FootnoteReference"/>
          <w:rFonts w:ascii="Times New Roman" w:hAnsi="Times New Roman" w:cs="Times New Roman"/>
        </w:rPr>
        <w:footnoteRef/>
      </w:r>
      <w:r w:rsidRPr="009037D2">
        <w:rPr>
          <w:rFonts w:ascii="Times New Roman" w:hAnsi="Times New Roman" w:cs="Times New Roman"/>
        </w:rPr>
        <w:t xml:space="preserve"> Application Schedule C-1</w:t>
      </w:r>
      <w:r>
        <w:rPr>
          <w:rFonts w:ascii="Times New Roman" w:hAnsi="Times New Roman" w:cs="Times New Roman"/>
        </w:rPr>
        <w:t>.</w:t>
      </w:r>
    </w:p>
  </w:footnote>
  <w:footnote w:id="30">
    <w:p w14:paraId="0E2458AA" w14:textId="25CA541A" w:rsidR="00433642" w:rsidRDefault="00433642" w:rsidP="00C826A0">
      <w:pPr>
        <w:pStyle w:val="FootnoteText"/>
        <w:spacing w:after="120"/>
      </w:pPr>
      <w:r>
        <w:rPr>
          <w:rStyle w:val="FootnoteReference"/>
        </w:rPr>
        <w:footnoteRef/>
      </w:r>
      <w:r>
        <w:t xml:space="preserve"> </w:t>
      </w:r>
      <w:r w:rsidRPr="009037D2">
        <w:rPr>
          <w:rFonts w:ascii="Times New Roman" w:hAnsi="Times New Roman" w:cs="Times New Roman"/>
        </w:rPr>
        <w:t xml:space="preserve">DP&amp;L acknowledges that the PUCO ordered it to defer </w:t>
      </w:r>
      <w:r>
        <w:rPr>
          <w:rFonts w:ascii="Times New Roman" w:hAnsi="Times New Roman" w:cs="Times New Roman"/>
        </w:rPr>
        <w:t xml:space="preserve">only the </w:t>
      </w:r>
      <w:r w:rsidRPr="009037D2">
        <w:rPr>
          <w:rFonts w:ascii="Times New Roman" w:hAnsi="Times New Roman" w:cs="Times New Roman"/>
        </w:rPr>
        <w:t>2012 derecho costs less the three year average of major storm, it states that “However, DP&amp;L requests recovery through the Storm Cost Recovery Rider of the total 2012 derecho cost.” Application at 5-6</w:t>
      </w:r>
      <w:r>
        <w:rPr>
          <w:rFonts w:ascii="Times New Roman" w:hAnsi="Times New Roman" w:cs="Times New Roman"/>
        </w:rPr>
        <w:t>.</w:t>
      </w:r>
    </w:p>
  </w:footnote>
  <w:footnote w:id="31">
    <w:p w14:paraId="236A39D7" w14:textId="77777777" w:rsidR="00433642" w:rsidRPr="006C257B" w:rsidRDefault="00433642" w:rsidP="00C826A0">
      <w:pPr>
        <w:pStyle w:val="FootnoteText"/>
        <w:spacing w:after="120"/>
        <w:rPr>
          <w:rFonts w:ascii="Times New Roman" w:hAnsi="Times New Roman" w:cs="Times New Roman"/>
        </w:rPr>
      </w:pPr>
      <w:r w:rsidRPr="00C054A4">
        <w:rPr>
          <w:rStyle w:val="FootnoteReference"/>
          <w:rFonts w:ascii="Times New Roman" w:hAnsi="Times New Roman" w:cs="Times New Roman"/>
        </w:rPr>
        <w:footnoteRef/>
      </w:r>
      <w:r w:rsidRPr="00C054A4">
        <w:rPr>
          <w:rFonts w:ascii="Times New Roman" w:hAnsi="Times New Roman" w:cs="Times New Roman"/>
        </w:rPr>
        <w:t xml:space="preserve"> </w:t>
      </w:r>
      <w:r w:rsidRPr="00C054A4">
        <w:rPr>
          <w:rFonts w:ascii="Times New Roman" w:hAnsi="Times New Roman" w:cs="Times New Roman"/>
          <w:i/>
        </w:rPr>
        <w:t>In the Matter of the Application of The Dayton Power and Light Company for Authority to Modify its Accounting Procedure for Certain Storm-Related Service Restoration Costs,</w:t>
      </w:r>
      <w:r w:rsidRPr="00C054A4">
        <w:rPr>
          <w:rFonts w:ascii="Times New Roman" w:hAnsi="Times New Roman" w:cs="Times New Roman"/>
        </w:rPr>
        <w:t xml:space="preserve"> Case No. 12-2281-EL-AAM, Finding and Order, at page 3, paragraph (8) (December 19, 2012); </w:t>
      </w:r>
      <w:r w:rsidRPr="00C054A4">
        <w:rPr>
          <w:rFonts w:ascii="Times New Roman" w:hAnsi="Times New Roman" w:cs="Times New Roman"/>
          <w:i/>
        </w:rPr>
        <w:t>In the Matter of the Application of The Dayton Power and Light Company for Authority to Modify its Accounting Procedure for Certain Storm-Related Services Restoration Costs</w:t>
      </w:r>
      <w:r w:rsidRPr="00C054A4">
        <w:rPr>
          <w:rFonts w:ascii="Times New Roman" w:hAnsi="Times New Roman" w:cs="Times New Roman"/>
        </w:rPr>
        <w:t>, Case No. 08-1332-EL-AAM, Finding and Order, (January 14, 2009) at paragraphs 2 and 4.</w:t>
      </w:r>
      <w:r>
        <w:rPr>
          <w:rFonts w:ascii="Times New Roman" w:hAnsi="Times New Roman" w:cs="Times New Roman"/>
        </w:rPr>
        <w:t xml:space="preserve"> </w:t>
      </w:r>
    </w:p>
  </w:footnote>
  <w:footnote w:id="32">
    <w:p w14:paraId="3D39BCE8" w14:textId="77777777" w:rsidR="00433642" w:rsidRPr="00A81370" w:rsidRDefault="00433642" w:rsidP="00C826A0">
      <w:pPr>
        <w:pStyle w:val="FootnoteText"/>
        <w:spacing w:after="120"/>
        <w:rPr>
          <w:rFonts w:ascii="Times New Roman" w:hAnsi="Times New Roman" w:cs="Times New Roman"/>
        </w:rPr>
      </w:pPr>
      <w:r w:rsidRPr="00A81370">
        <w:rPr>
          <w:rStyle w:val="FootnoteReference"/>
          <w:rFonts w:ascii="Times New Roman" w:hAnsi="Times New Roman" w:cs="Times New Roman"/>
        </w:rPr>
        <w:footnoteRef/>
      </w:r>
      <w:r w:rsidRPr="00A81370">
        <w:rPr>
          <w:rFonts w:ascii="Times New Roman" w:hAnsi="Times New Roman" w:cs="Times New Roman"/>
        </w:rPr>
        <w:t xml:space="preserve"> OCC maintains that DP&amp;L should be prevented from seeking deferral of its 2011 storm costs because it</w:t>
      </w:r>
      <w:r>
        <w:rPr>
          <w:rFonts w:ascii="Times New Roman" w:hAnsi="Times New Roman" w:cs="Times New Roman"/>
        </w:rPr>
        <w:t xml:space="preserve">s request </w:t>
      </w:r>
      <w:r w:rsidRPr="00A81370">
        <w:rPr>
          <w:rFonts w:ascii="Times New Roman" w:hAnsi="Times New Roman" w:cs="Times New Roman"/>
        </w:rPr>
        <w:t xml:space="preserve">was untimely and the Utility failed to show financial need.  </w:t>
      </w:r>
      <w:r w:rsidRPr="00A81370">
        <w:rPr>
          <w:rFonts w:ascii="Times New Roman" w:hAnsi="Times New Roman" w:cs="Times New Roman"/>
          <w:i/>
        </w:rPr>
        <w:t>See infra</w:t>
      </w:r>
      <w:r w:rsidRPr="00A81370">
        <w:rPr>
          <w:rFonts w:ascii="Times New Roman" w:hAnsi="Times New Roman" w:cs="Times New Roman"/>
        </w:rPr>
        <w:t>, S</w:t>
      </w:r>
      <w:r>
        <w:rPr>
          <w:rFonts w:ascii="Times New Roman" w:hAnsi="Times New Roman" w:cs="Times New Roman"/>
        </w:rPr>
        <w:t>ection III (F</w:t>
      </w:r>
      <w:r w:rsidRPr="00A81370">
        <w:rPr>
          <w:rFonts w:ascii="Times New Roman" w:hAnsi="Times New Roman" w:cs="Times New Roman"/>
        </w:rPr>
        <w:t>) of these Comments.</w:t>
      </w:r>
    </w:p>
  </w:footnote>
  <w:footnote w:id="33">
    <w:p w14:paraId="6B10D4EA" w14:textId="77777777" w:rsidR="00433642" w:rsidRPr="006C257B" w:rsidRDefault="00433642" w:rsidP="00C826A0">
      <w:pPr>
        <w:pStyle w:val="FootnoteText"/>
        <w:spacing w:after="120"/>
        <w:rPr>
          <w:rFonts w:ascii="Times New Roman" w:hAnsi="Times New Roman" w:cs="Times New Roman"/>
        </w:rPr>
      </w:pPr>
      <w:r w:rsidRPr="006C257B">
        <w:rPr>
          <w:rStyle w:val="FootnoteReference"/>
          <w:rFonts w:ascii="Times New Roman" w:hAnsi="Times New Roman" w:cs="Times New Roman"/>
        </w:rPr>
        <w:footnoteRef/>
      </w:r>
      <w:r w:rsidRPr="006C257B">
        <w:rPr>
          <w:rFonts w:ascii="Times New Roman" w:hAnsi="Times New Roman" w:cs="Times New Roman"/>
        </w:rPr>
        <w:t xml:space="preserve"> </w:t>
      </w:r>
      <w:r w:rsidRPr="006C257B">
        <w:rPr>
          <w:rFonts w:ascii="Times New Roman" w:hAnsi="Times New Roman" w:cs="Times New Roman"/>
          <w:i/>
        </w:rPr>
        <w:t>In the Matter of the Application of The Dayton Power and Light Company for Authority to Recover Certain Storm-Related Service Restoration Costs,</w:t>
      </w:r>
      <w:r w:rsidRPr="006C257B">
        <w:rPr>
          <w:rFonts w:ascii="Times New Roman" w:hAnsi="Times New Roman" w:cs="Times New Roman"/>
        </w:rPr>
        <w:t xml:space="preserve"> Case No. 12-3062-EL-RDR, Prefiled Testimony of Dona R. Seger-Lawson, at page 6.</w:t>
      </w:r>
    </w:p>
  </w:footnote>
  <w:footnote w:id="34">
    <w:p w14:paraId="7FC4FD87" w14:textId="6119CE3C" w:rsidR="00433642" w:rsidRPr="00A4548D" w:rsidRDefault="00433642" w:rsidP="00C826A0">
      <w:pPr>
        <w:spacing w:after="120" w:line="240" w:lineRule="auto"/>
        <w:rPr>
          <w:rFonts w:ascii="Times New Roman" w:hAnsi="Times New Roman" w:cs="Times New Roman"/>
          <w:sz w:val="24"/>
          <w:szCs w:val="24"/>
        </w:rPr>
      </w:pPr>
      <w:r>
        <w:rPr>
          <w:rStyle w:val="FootnoteReference"/>
        </w:rPr>
        <w:footnoteRef/>
      </w:r>
      <w:r>
        <w:t xml:space="preserve"> </w:t>
      </w:r>
      <w:r w:rsidRPr="00A4548D">
        <w:rPr>
          <w:rFonts w:ascii="Times New Roman" w:hAnsi="Times New Roman" w:cs="Times New Roman"/>
          <w:i/>
          <w:sz w:val="20"/>
          <w:szCs w:val="20"/>
        </w:rPr>
        <w:t>See In the Matter of the Application of the Columbus S. Power Co. and Ohio Power Co.</w:t>
      </w:r>
      <w:r w:rsidRPr="00A4548D">
        <w:rPr>
          <w:rFonts w:ascii="Times New Roman" w:hAnsi="Times New Roman" w:cs="Times New Roman"/>
          <w:sz w:val="20"/>
          <w:szCs w:val="20"/>
        </w:rPr>
        <w:t xml:space="preserve">, Pub. Util. Comm. No. 06-412-EL-UNC, 2006 Ohio PUC LEXIS 455, at *4 (August 9, 2006). (Approving storm costs riders that were “designed to recover a portion of non-capitalized costs related to the storm damage December 2004 and January 2005.”); </w:t>
      </w:r>
      <w:r w:rsidRPr="00A4548D">
        <w:rPr>
          <w:rFonts w:ascii="Times New Roman" w:hAnsi="Times New Roman" w:cs="Times New Roman"/>
          <w:i/>
          <w:sz w:val="20"/>
          <w:szCs w:val="20"/>
        </w:rPr>
        <w:t>In the Matter of the Application of the Ohio Edison Co.</w:t>
      </w:r>
      <w:r w:rsidRPr="00A4548D">
        <w:rPr>
          <w:rFonts w:ascii="Times New Roman" w:hAnsi="Times New Roman" w:cs="Times New Roman"/>
          <w:sz w:val="20"/>
          <w:szCs w:val="20"/>
        </w:rPr>
        <w:t xml:space="preserve">, Pub. Util. Comm. No 07-551-EL-AIR, 2009 Ohio PUC LEXIS 58, at *93 (January 21, 2009). (Granting limited authority for the deferral of “expenses” associated with storm damage.); </w:t>
      </w:r>
      <w:r w:rsidRPr="00A4548D">
        <w:rPr>
          <w:rFonts w:ascii="Times New Roman" w:hAnsi="Times New Roman" w:cs="Times New Roman"/>
          <w:i/>
          <w:sz w:val="20"/>
          <w:szCs w:val="20"/>
        </w:rPr>
        <w:t>In the Matter of the Application of Columbus S. Power Co. and Ohio Power Co.</w:t>
      </w:r>
      <w:r w:rsidRPr="00A4548D">
        <w:rPr>
          <w:rFonts w:ascii="Times New Roman" w:hAnsi="Times New Roman" w:cs="Times New Roman"/>
          <w:sz w:val="20"/>
          <w:szCs w:val="20"/>
        </w:rPr>
        <w:t xml:space="preserve">, Pub. Util. Comm. No. 08-1301-EL-AAM, 2008 Ohio PUC LEXIS 775, at *5 (December 19, 2008). (Authorizing the deferral of incremental “O&amp;M expenses associated with the September 14, 2008, wind storm.”); </w:t>
      </w:r>
      <w:r w:rsidRPr="00A4548D">
        <w:rPr>
          <w:rFonts w:ascii="Times New Roman" w:hAnsi="Times New Roman" w:cs="Times New Roman"/>
          <w:i/>
          <w:sz w:val="20"/>
          <w:szCs w:val="20"/>
        </w:rPr>
        <w:t>In the Matter of the Application of Duke Energy Ohio</w:t>
      </w:r>
      <w:r w:rsidRPr="00A4548D">
        <w:rPr>
          <w:rFonts w:ascii="Times New Roman" w:hAnsi="Times New Roman" w:cs="Times New Roman"/>
          <w:sz w:val="20"/>
          <w:szCs w:val="20"/>
        </w:rPr>
        <w:t>, Pub. Util. Comm. No. 08-709-EL-AIR, 2009 Ohio PUC LEXIS 33, at *5 (January 14, 2009). (Authorizing the deferral of incremental “O&amp;M expenses associated with the September 14, 2008, wind storm.”).</w:t>
      </w:r>
    </w:p>
  </w:footnote>
  <w:footnote w:id="35">
    <w:p w14:paraId="2D311F58" w14:textId="77777777" w:rsidR="00433642" w:rsidRPr="006C257B" w:rsidRDefault="00433642" w:rsidP="00C826A0">
      <w:pPr>
        <w:pStyle w:val="FootnoteText"/>
        <w:spacing w:after="120"/>
        <w:rPr>
          <w:rFonts w:ascii="Times New Roman" w:hAnsi="Times New Roman" w:cs="Times New Roman"/>
        </w:rPr>
      </w:pPr>
      <w:r w:rsidRPr="006C257B">
        <w:rPr>
          <w:rStyle w:val="FootnoteReference"/>
          <w:rFonts w:ascii="Times New Roman" w:hAnsi="Times New Roman" w:cs="Times New Roman"/>
        </w:rPr>
        <w:footnoteRef/>
      </w:r>
      <w:r w:rsidRPr="006C257B">
        <w:rPr>
          <w:rFonts w:ascii="Times New Roman" w:hAnsi="Times New Roman" w:cs="Times New Roman"/>
        </w:rPr>
        <w:t xml:space="preserve"> </w:t>
      </w:r>
      <w:r w:rsidRPr="006C257B">
        <w:rPr>
          <w:rFonts w:ascii="Times New Roman" w:hAnsi="Times New Roman" w:cs="Times New Roman"/>
          <w:i/>
        </w:rPr>
        <w:t>In the Matter of the Application of The Dayton Power and Light Company for Approval of its Electric Security Plan</w:t>
      </w:r>
      <w:r w:rsidRPr="006C257B">
        <w:rPr>
          <w:rFonts w:ascii="Times New Roman" w:hAnsi="Times New Roman" w:cs="Times New Roman"/>
        </w:rPr>
        <w:t>, Case No. 08-1094-EL-SSO, Opinion and Order,( June 24, 2009), Approving Stipulation, (February 24, 2009), at page 10, paragraph 18.</w:t>
      </w:r>
    </w:p>
  </w:footnote>
  <w:footnote w:id="36">
    <w:p w14:paraId="508C3B46" w14:textId="77777777" w:rsidR="00433642" w:rsidRPr="006C257B" w:rsidRDefault="00433642" w:rsidP="00C826A0">
      <w:pPr>
        <w:pStyle w:val="FootnoteText"/>
        <w:spacing w:after="120"/>
        <w:rPr>
          <w:rFonts w:ascii="Times New Roman" w:hAnsi="Times New Roman" w:cs="Times New Roman"/>
        </w:rPr>
      </w:pPr>
      <w:r w:rsidRPr="006C257B">
        <w:rPr>
          <w:rStyle w:val="FootnoteReference"/>
          <w:rFonts w:ascii="Times New Roman" w:hAnsi="Times New Roman" w:cs="Times New Roman"/>
        </w:rPr>
        <w:footnoteRef/>
      </w:r>
      <w:r w:rsidRPr="006C257B">
        <w:rPr>
          <w:rFonts w:ascii="Times New Roman" w:hAnsi="Times New Roman" w:cs="Times New Roman"/>
        </w:rPr>
        <w:t xml:space="preserve"> </w:t>
      </w:r>
      <w:r w:rsidRPr="006C257B">
        <w:rPr>
          <w:rFonts w:ascii="Times New Roman" w:hAnsi="Times New Roman" w:cs="Times New Roman"/>
          <w:i/>
        </w:rPr>
        <w:t>In the Matter of the Application of The Dayton Power and Light Company for Approval of its Electric Security Plan</w:t>
      </w:r>
      <w:r w:rsidRPr="006C257B">
        <w:rPr>
          <w:rFonts w:ascii="Times New Roman" w:hAnsi="Times New Roman" w:cs="Times New Roman"/>
        </w:rPr>
        <w:t>, Case No. 12-426-EL-SSO, Prefiled Testimony of Mr. David M. Lipthratt, at page 8, (March 12, 2013).</w:t>
      </w:r>
    </w:p>
  </w:footnote>
  <w:footnote w:id="37">
    <w:p w14:paraId="2ECAD122" w14:textId="77777777" w:rsidR="00433642" w:rsidRPr="006C257B" w:rsidRDefault="00433642" w:rsidP="00C826A0">
      <w:pPr>
        <w:pStyle w:val="FootnoteText"/>
        <w:spacing w:after="120"/>
        <w:rPr>
          <w:rFonts w:ascii="Times New Roman" w:hAnsi="Times New Roman" w:cs="Times New Roman"/>
        </w:rPr>
      </w:pPr>
      <w:r w:rsidRPr="006C257B">
        <w:rPr>
          <w:rStyle w:val="FootnoteReference"/>
          <w:rFonts w:ascii="Times New Roman" w:hAnsi="Times New Roman" w:cs="Times New Roman"/>
        </w:rPr>
        <w:footnoteRef/>
      </w:r>
      <w:r w:rsidRPr="006C257B">
        <w:rPr>
          <w:rFonts w:ascii="Times New Roman" w:hAnsi="Times New Roman" w:cs="Times New Roman"/>
        </w:rPr>
        <w:t xml:space="preserve"> </w:t>
      </w:r>
      <w:r w:rsidRPr="00DE2451">
        <w:rPr>
          <w:rFonts w:ascii="Times New Roman" w:hAnsi="Times New Roman" w:cs="Times New Roman"/>
          <w:i/>
        </w:rPr>
        <w:t>Id.</w:t>
      </w:r>
      <w:r w:rsidRPr="006C257B">
        <w:rPr>
          <w:rFonts w:ascii="Times New Roman" w:hAnsi="Times New Roman" w:cs="Times New Roman"/>
        </w:rPr>
        <w:t xml:space="preserve"> at 4-5.</w:t>
      </w:r>
    </w:p>
  </w:footnote>
  <w:footnote w:id="38">
    <w:p w14:paraId="35C5E3FD" w14:textId="77777777" w:rsidR="00433642" w:rsidRPr="006C257B" w:rsidRDefault="00433642" w:rsidP="00C826A0">
      <w:pPr>
        <w:pStyle w:val="FootnoteText"/>
        <w:spacing w:after="120"/>
        <w:rPr>
          <w:rFonts w:ascii="Times New Roman" w:hAnsi="Times New Roman" w:cs="Times New Roman"/>
        </w:rPr>
      </w:pPr>
      <w:r w:rsidRPr="006C257B">
        <w:rPr>
          <w:rStyle w:val="FootnoteReference"/>
          <w:rFonts w:ascii="Times New Roman" w:hAnsi="Times New Roman" w:cs="Times New Roman"/>
        </w:rPr>
        <w:footnoteRef/>
      </w:r>
      <w:r w:rsidRPr="006C257B">
        <w:rPr>
          <w:rFonts w:ascii="Times New Roman" w:hAnsi="Times New Roman" w:cs="Times New Roman"/>
        </w:rPr>
        <w:t xml:space="preserve"> </w:t>
      </w:r>
      <w:r w:rsidRPr="00DE2451">
        <w:rPr>
          <w:rFonts w:ascii="Times New Roman" w:hAnsi="Times New Roman" w:cs="Times New Roman"/>
          <w:i/>
        </w:rPr>
        <w:t>Id.</w:t>
      </w:r>
      <w:r w:rsidRPr="006C257B">
        <w:rPr>
          <w:rFonts w:ascii="Times New Roman" w:hAnsi="Times New Roman" w:cs="Times New Roman"/>
        </w:rPr>
        <w:t xml:space="preserve"> at 3.</w:t>
      </w:r>
    </w:p>
  </w:footnote>
  <w:footnote w:id="39">
    <w:p w14:paraId="03C82433" w14:textId="77777777" w:rsidR="00433642" w:rsidRPr="006C257B" w:rsidRDefault="00433642" w:rsidP="00C826A0">
      <w:pPr>
        <w:pStyle w:val="FootnoteText"/>
        <w:spacing w:after="120"/>
        <w:rPr>
          <w:rFonts w:ascii="Times New Roman" w:hAnsi="Times New Roman" w:cs="Times New Roman"/>
        </w:rPr>
      </w:pPr>
      <w:r w:rsidRPr="006C257B">
        <w:rPr>
          <w:rStyle w:val="FootnoteReference"/>
          <w:rFonts w:ascii="Times New Roman" w:hAnsi="Times New Roman" w:cs="Times New Roman"/>
        </w:rPr>
        <w:footnoteRef/>
      </w:r>
      <w:r w:rsidRPr="006C257B">
        <w:rPr>
          <w:rFonts w:ascii="Times New Roman" w:hAnsi="Times New Roman" w:cs="Times New Roman"/>
        </w:rPr>
        <w:t xml:space="preserve"> </w:t>
      </w:r>
      <w:r w:rsidRPr="00DE2451">
        <w:rPr>
          <w:rFonts w:ascii="Times New Roman" w:hAnsi="Times New Roman" w:cs="Times New Roman"/>
          <w:i/>
        </w:rPr>
        <w:t>Id</w:t>
      </w:r>
      <w:r w:rsidRPr="006C257B">
        <w:rPr>
          <w:rFonts w:ascii="Times New Roman" w:hAnsi="Times New Roman" w:cs="Times New Roman"/>
        </w:rPr>
        <w:t>. at 5.</w:t>
      </w:r>
    </w:p>
  </w:footnote>
  <w:footnote w:id="40">
    <w:p w14:paraId="3021705A" w14:textId="77777777" w:rsidR="00433642" w:rsidRPr="006C257B" w:rsidRDefault="00433642" w:rsidP="00C826A0">
      <w:pPr>
        <w:pStyle w:val="FootnoteText"/>
        <w:spacing w:after="120"/>
        <w:rPr>
          <w:rFonts w:ascii="Times New Roman" w:hAnsi="Times New Roman" w:cs="Times New Roman"/>
          <w:i/>
        </w:rPr>
      </w:pPr>
      <w:r w:rsidRPr="006C257B">
        <w:rPr>
          <w:rStyle w:val="FootnoteReference"/>
          <w:rFonts w:ascii="Times New Roman" w:hAnsi="Times New Roman" w:cs="Times New Roman"/>
        </w:rPr>
        <w:footnoteRef/>
      </w:r>
      <w:r w:rsidRPr="006C257B">
        <w:rPr>
          <w:rFonts w:ascii="Times New Roman" w:hAnsi="Times New Roman" w:cs="Times New Roman"/>
        </w:rPr>
        <w:t xml:space="preserve"> </w:t>
      </w:r>
      <w:r w:rsidRPr="006C257B">
        <w:rPr>
          <w:rFonts w:ascii="Times New Roman" w:hAnsi="Times New Roman" w:cs="Times New Roman"/>
          <w:i/>
        </w:rPr>
        <w:t xml:space="preserve">In the Matter of the Application of Ohio-American Water Company To Increase its Rates for Water and Sewer Service Provided to its Entire Service Area, </w:t>
      </w:r>
      <w:r w:rsidRPr="006C257B">
        <w:rPr>
          <w:rFonts w:ascii="Times New Roman" w:hAnsi="Times New Roman" w:cs="Times New Roman"/>
        </w:rPr>
        <w:t>Case Nos. 03-2390-WS-AIR, et al., Staff Report at 20 (September 30, 2004) (Emphasis added.)</w:t>
      </w:r>
    </w:p>
  </w:footnote>
  <w:footnote w:id="41">
    <w:p w14:paraId="0DDFEC8A" w14:textId="77777777" w:rsidR="00433642" w:rsidRPr="006C257B" w:rsidRDefault="00433642" w:rsidP="00C826A0">
      <w:pPr>
        <w:pStyle w:val="FootnoteText"/>
        <w:spacing w:after="120"/>
        <w:rPr>
          <w:rFonts w:ascii="Times New Roman" w:hAnsi="Times New Roman" w:cs="Times New Roman"/>
        </w:rPr>
      </w:pPr>
      <w:r w:rsidRPr="006C257B">
        <w:rPr>
          <w:rStyle w:val="FootnoteReference"/>
          <w:rFonts w:ascii="Times New Roman" w:hAnsi="Times New Roman" w:cs="Times New Roman"/>
        </w:rPr>
        <w:footnoteRef/>
      </w:r>
      <w:r w:rsidRPr="006C257B">
        <w:rPr>
          <w:rFonts w:ascii="Times New Roman" w:hAnsi="Times New Roman" w:cs="Times New Roman"/>
        </w:rPr>
        <w:t xml:space="preserve"> </w:t>
      </w:r>
      <w:r w:rsidRPr="006C257B">
        <w:rPr>
          <w:rFonts w:ascii="Times New Roman" w:hAnsi="Times New Roman" w:cs="Times New Roman"/>
          <w:i/>
        </w:rPr>
        <w:t>See, e.g. In the Matter of the Commission’s Investigation into the Financial Impact of FASB Statement No. 106, “Employer’s Accounting for Postretirement Benefits Other than Pensions</w:t>
      </w:r>
      <w:r w:rsidRPr="006C257B">
        <w:rPr>
          <w:rFonts w:ascii="Times New Roman" w:hAnsi="Times New Roman" w:cs="Times New Roman"/>
        </w:rPr>
        <w:t xml:space="preserve">,” Case No. 92-1751-AU-COI, Finding and Order, at 19 (Feb. 25, 1993); </w:t>
      </w:r>
      <w:r w:rsidRPr="006C257B">
        <w:rPr>
          <w:rFonts w:ascii="Times New Roman" w:hAnsi="Times New Roman" w:cs="Times New Roman"/>
          <w:i/>
        </w:rPr>
        <w:t>Cincinnati Gas &amp; Electric Company</w:t>
      </w:r>
      <w:r w:rsidRPr="006C257B">
        <w:rPr>
          <w:rFonts w:ascii="Times New Roman" w:hAnsi="Times New Roman" w:cs="Times New Roman"/>
        </w:rPr>
        <w:t xml:space="preserve">, Case No. 92-946-EL-AAM, Entry, at 1-2 (Oct. 1, 1992); </w:t>
      </w:r>
      <w:r w:rsidRPr="006C257B">
        <w:rPr>
          <w:rFonts w:ascii="Times New Roman" w:hAnsi="Times New Roman" w:cs="Times New Roman"/>
          <w:i/>
        </w:rPr>
        <w:t>Ohio Edison Company</w:t>
      </w:r>
      <w:r w:rsidRPr="006C257B">
        <w:rPr>
          <w:rFonts w:ascii="Times New Roman" w:hAnsi="Times New Roman" w:cs="Times New Roman"/>
        </w:rPr>
        <w:t xml:space="preserve">, Case No. 88-144-EL-AAM, Entry, at 1-2 (Feb. 2, 1988); </w:t>
      </w:r>
      <w:r w:rsidRPr="006C257B">
        <w:rPr>
          <w:rFonts w:ascii="Times New Roman" w:hAnsi="Times New Roman" w:cs="Times New Roman"/>
          <w:i/>
        </w:rPr>
        <w:t>Cleveland Electric Illuminating Company</w:t>
      </w:r>
      <w:r w:rsidRPr="006C257B">
        <w:rPr>
          <w:rFonts w:ascii="Times New Roman" w:hAnsi="Times New Roman" w:cs="Times New Roman"/>
        </w:rPr>
        <w:t xml:space="preserve">, Case No. 87-109-EL-AAM et al., Entry, at 2 (Feb. 2, 1988); </w:t>
      </w:r>
      <w:r w:rsidRPr="006C257B">
        <w:rPr>
          <w:rFonts w:ascii="Times New Roman" w:hAnsi="Times New Roman" w:cs="Times New Roman"/>
          <w:i/>
        </w:rPr>
        <w:t>Ohio Edison Company</w:t>
      </w:r>
      <w:r w:rsidRPr="006C257B">
        <w:rPr>
          <w:rFonts w:ascii="Times New Roman" w:hAnsi="Times New Roman" w:cs="Times New Roman"/>
        </w:rPr>
        <w:t xml:space="preserve">, Case No. 87-995-EL-AAM et al., Entry, at 2 (Oct. 20, 1987).  </w:t>
      </w:r>
    </w:p>
  </w:footnote>
  <w:footnote w:id="42">
    <w:p w14:paraId="62821451" w14:textId="0B6B77A4" w:rsidR="00433642" w:rsidRPr="006C257B" w:rsidRDefault="00433642" w:rsidP="00C826A0">
      <w:pPr>
        <w:pStyle w:val="FootnoteText"/>
        <w:spacing w:after="120"/>
        <w:rPr>
          <w:rFonts w:ascii="Times New Roman" w:hAnsi="Times New Roman" w:cs="Times New Roman"/>
        </w:rPr>
      </w:pPr>
      <w:r w:rsidRPr="006C257B">
        <w:rPr>
          <w:rStyle w:val="FootnoteReference"/>
          <w:rFonts w:ascii="Times New Roman" w:hAnsi="Times New Roman" w:cs="Times New Roman"/>
        </w:rPr>
        <w:footnoteRef/>
      </w:r>
      <w:r w:rsidRPr="006C257B">
        <w:rPr>
          <w:rFonts w:ascii="Times New Roman" w:hAnsi="Times New Roman" w:cs="Times New Roman"/>
        </w:rPr>
        <w:t xml:space="preserve"> DP&amp;L Annual Report 2011 filed 4/17/12 in Case No. 12-0001-EL-RPT.</w:t>
      </w:r>
    </w:p>
    <w:tbl>
      <w:tblPr>
        <w:tblW w:w="8656" w:type="dxa"/>
        <w:tblLook w:val="04A0" w:firstRow="1" w:lastRow="0" w:firstColumn="1" w:lastColumn="0" w:noHBand="0" w:noVBand="1"/>
      </w:tblPr>
      <w:tblGrid>
        <w:gridCol w:w="3893"/>
        <w:gridCol w:w="810"/>
        <w:gridCol w:w="2070"/>
        <w:gridCol w:w="1872"/>
        <w:gridCol w:w="11"/>
      </w:tblGrid>
      <w:tr w:rsidR="00433642" w:rsidRPr="006C257B" w14:paraId="480F8607" w14:textId="77777777" w:rsidTr="00D87EFB">
        <w:trPr>
          <w:gridAfter w:val="1"/>
          <w:wAfter w:w="11" w:type="dxa"/>
          <w:trHeight w:val="300"/>
        </w:trPr>
        <w:tc>
          <w:tcPr>
            <w:tcW w:w="3893" w:type="dxa"/>
            <w:shd w:val="clear" w:color="auto" w:fill="auto"/>
            <w:noWrap/>
          </w:tcPr>
          <w:p w14:paraId="33524B62" w14:textId="77777777" w:rsidR="00433642" w:rsidRPr="006C257B" w:rsidRDefault="00433642" w:rsidP="00C826A0">
            <w:pPr>
              <w:pStyle w:val="FootnoteText"/>
              <w:spacing w:after="120"/>
              <w:rPr>
                <w:rFonts w:ascii="Times New Roman" w:hAnsi="Times New Roman" w:cs="Times New Roman"/>
              </w:rPr>
            </w:pPr>
            <w:r w:rsidRPr="006C257B">
              <w:rPr>
                <w:rFonts w:ascii="Times New Roman" w:hAnsi="Times New Roman" w:cs="Times New Roman"/>
              </w:rPr>
              <w:t>2011 Net Income Before Preferred Dividends</w:t>
            </w:r>
          </w:p>
        </w:tc>
        <w:tc>
          <w:tcPr>
            <w:tcW w:w="810" w:type="dxa"/>
            <w:shd w:val="clear" w:color="auto" w:fill="auto"/>
            <w:noWrap/>
          </w:tcPr>
          <w:p w14:paraId="7722ADEA" w14:textId="77777777" w:rsidR="00433642" w:rsidRPr="006C257B" w:rsidRDefault="00433642" w:rsidP="00C826A0">
            <w:pPr>
              <w:pStyle w:val="FootnoteText"/>
              <w:spacing w:after="120"/>
              <w:rPr>
                <w:rFonts w:ascii="Times New Roman" w:hAnsi="Times New Roman" w:cs="Times New Roman"/>
              </w:rPr>
            </w:pPr>
            <w:r w:rsidRPr="006C257B">
              <w:rPr>
                <w:rFonts w:ascii="Times New Roman" w:hAnsi="Times New Roman" w:cs="Times New Roman"/>
              </w:rPr>
              <w:t>Pg 117</w:t>
            </w:r>
          </w:p>
        </w:tc>
        <w:tc>
          <w:tcPr>
            <w:tcW w:w="2070" w:type="dxa"/>
            <w:shd w:val="clear" w:color="auto" w:fill="auto"/>
            <w:noWrap/>
          </w:tcPr>
          <w:p w14:paraId="0876D682" w14:textId="77777777" w:rsidR="00433642" w:rsidRPr="006C257B" w:rsidRDefault="00433642" w:rsidP="00C826A0">
            <w:pPr>
              <w:pStyle w:val="FootnoteText"/>
              <w:spacing w:after="120"/>
              <w:rPr>
                <w:rFonts w:ascii="Times New Roman" w:hAnsi="Times New Roman" w:cs="Times New Roman"/>
              </w:rPr>
            </w:pPr>
            <w:r w:rsidRPr="006C257B">
              <w:rPr>
                <w:rFonts w:ascii="Times New Roman" w:hAnsi="Times New Roman" w:cs="Times New Roman"/>
              </w:rPr>
              <w:t xml:space="preserve"> $            193,214,970 </w:t>
            </w:r>
          </w:p>
        </w:tc>
        <w:tc>
          <w:tcPr>
            <w:tcW w:w="1872" w:type="dxa"/>
            <w:shd w:val="clear" w:color="auto" w:fill="auto"/>
            <w:noWrap/>
          </w:tcPr>
          <w:p w14:paraId="520FED4D" w14:textId="77777777" w:rsidR="00433642" w:rsidRPr="006C257B" w:rsidRDefault="00433642" w:rsidP="00C826A0">
            <w:pPr>
              <w:pStyle w:val="FootnoteText"/>
              <w:spacing w:after="120"/>
              <w:rPr>
                <w:rFonts w:ascii="Times New Roman" w:hAnsi="Times New Roman" w:cs="Times New Roman"/>
              </w:rPr>
            </w:pPr>
          </w:p>
        </w:tc>
      </w:tr>
      <w:tr w:rsidR="00433642" w:rsidRPr="006C257B" w14:paraId="61DD670F" w14:textId="77777777" w:rsidTr="00D87EFB">
        <w:trPr>
          <w:gridAfter w:val="1"/>
          <w:wAfter w:w="11" w:type="dxa"/>
          <w:trHeight w:val="300"/>
        </w:trPr>
        <w:tc>
          <w:tcPr>
            <w:tcW w:w="3893" w:type="dxa"/>
            <w:shd w:val="clear" w:color="auto" w:fill="auto"/>
            <w:noWrap/>
          </w:tcPr>
          <w:p w14:paraId="16959955" w14:textId="77777777" w:rsidR="00433642" w:rsidRPr="006C257B" w:rsidRDefault="00433642" w:rsidP="00C826A0">
            <w:pPr>
              <w:pStyle w:val="FootnoteText"/>
              <w:spacing w:after="120"/>
              <w:rPr>
                <w:rFonts w:ascii="Times New Roman" w:hAnsi="Times New Roman" w:cs="Times New Roman"/>
              </w:rPr>
            </w:pPr>
            <w:r w:rsidRPr="006C257B">
              <w:rPr>
                <w:rFonts w:ascii="Times New Roman" w:hAnsi="Times New Roman" w:cs="Times New Roman"/>
              </w:rPr>
              <w:t>Less: Preferred Dividends</w:t>
            </w:r>
          </w:p>
        </w:tc>
        <w:tc>
          <w:tcPr>
            <w:tcW w:w="810" w:type="dxa"/>
            <w:shd w:val="clear" w:color="auto" w:fill="auto"/>
            <w:noWrap/>
          </w:tcPr>
          <w:p w14:paraId="0427FCBE" w14:textId="77777777" w:rsidR="00433642" w:rsidRPr="006C257B" w:rsidRDefault="00433642" w:rsidP="00C826A0">
            <w:pPr>
              <w:pStyle w:val="FootnoteText"/>
              <w:spacing w:after="120"/>
              <w:rPr>
                <w:rFonts w:ascii="Times New Roman" w:hAnsi="Times New Roman" w:cs="Times New Roman"/>
              </w:rPr>
            </w:pPr>
            <w:r w:rsidRPr="006C257B">
              <w:rPr>
                <w:rFonts w:ascii="Times New Roman" w:hAnsi="Times New Roman" w:cs="Times New Roman"/>
              </w:rPr>
              <w:t>Pg 118</w:t>
            </w:r>
          </w:p>
        </w:tc>
        <w:tc>
          <w:tcPr>
            <w:tcW w:w="2070" w:type="dxa"/>
            <w:shd w:val="clear" w:color="auto" w:fill="auto"/>
            <w:noWrap/>
          </w:tcPr>
          <w:p w14:paraId="0D17B49B" w14:textId="77777777" w:rsidR="00433642" w:rsidRPr="006C257B" w:rsidRDefault="00433642" w:rsidP="00C826A0">
            <w:pPr>
              <w:pStyle w:val="FootnoteText"/>
              <w:spacing w:after="120"/>
              <w:rPr>
                <w:rFonts w:ascii="Times New Roman" w:hAnsi="Times New Roman" w:cs="Times New Roman"/>
              </w:rPr>
            </w:pPr>
            <w:r w:rsidRPr="006C257B">
              <w:rPr>
                <w:rFonts w:ascii="Times New Roman" w:hAnsi="Times New Roman" w:cs="Times New Roman"/>
              </w:rPr>
              <w:t xml:space="preserve"> $                    866,781 </w:t>
            </w:r>
          </w:p>
        </w:tc>
        <w:tc>
          <w:tcPr>
            <w:tcW w:w="1872" w:type="dxa"/>
            <w:shd w:val="clear" w:color="auto" w:fill="auto"/>
            <w:noWrap/>
          </w:tcPr>
          <w:p w14:paraId="61785EE5" w14:textId="77777777" w:rsidR="00433642" w:rsidRPr="006C257B" w:rsidRDefault="00433642" w:rsidP="00C826A0">
            <w:pPr>
              <w:pStyle w:val="FootnoteText"/>
              <w:spacing w:after="120"/>
              <w:rPr>
                <w:rFonts w:ascii="Times New Roman" w:hAnsi="Times New Roman" w:cs="Times New Roman"/>
              </w:rPr>
            </w:pPr>
          </w:p>
        </w:tc>
      </w:tr>
      <w:tr w:rsidR="00433642" w:rsidRPr="006C257B" w14:paraId="3FA2AFE8" w14:textId="77777777" w:rsidTr="00D87EFB">
        <w:trPr>
          <w:gridAfter w:val="1"/>
          <w:wAfter w:w="11" w:type="dxa"/>
          <w:trHeight w:val="300"/>
        </w:trPr>
        <w:tc>
          <w:tcPr>
            <w:tcW w:w="3893" w:type="dxa"/>
            <w:shd w:val="clear" w:color="auto" w:fill="auto"/>
            <w:noWrap/>
          </w:tcPr>
          <w:p w14:paraId="05C78B8F" w14:textId="77777777" w:rsidR="00433642" w:rsidRPr="006C257B" w:rsidRDefault="00433642" w:rsidP="00C826A0">
            <w:pPr>
              <w:pStyle w:val="FootnoteText"/>
              <w:spacing w:after="120"/>
              <w:rPr>
                <w:rFonts w:ascii="Times New Roman" w:hAnsi="Times New Roman" w:cs="Times New Roman"/>
              </w:rPr>
            </w:pPr>
            <w:r w:rsidRPr="006C257B">
              <w:rPr>
                <w:rFonts w:ascii="Times New Roman" w:hAnsi="Times New Roman" w:cs="Times New Roman"/>
              </w:rPr>
              <w:t>2011 Net Income After Preferred Dividends</w:t>
            </w:r>
          </w:p>
        </w:tc>
        <w:tc>
          <w:tcPr>
            <w:tcW w:w="810" w:type="dxa"/>
            <w:shd w:val="clear" w:color="auto" w:fill="auto"/>
            <w:noWrap/>
          </w:tcPr>
          <w:p w14:paraId="5341B002" w14:textId="77777777" w:rsidR="00433642" w:rsidRPr="006C257B" w:rsidRDefault="00433642" w:rsidP="00C826A0">
            <w:pPr>
              <w:pStyle w:val="FootnoteText"/>
              <w:spacing w:after="120"/>
              <w:rPr>
                <w:rFonts w:ascii="Times New Roman" w:hAnsi="Times New Roman" w:cs="Times New Roman"/>
              </w:rPr>
            </w:pPr>
          </w:p>
        </w:tc>
        <w:tc>
          <w:tcPr>
            <w:tcW w:w="2070" w:type="dxa"/>
            <w:shd w:val="clear" w:color="auto" w:fill="auto"/>
            <w:noWrap/>
          </w:tcPr>
          <w:p w14:paraId="1A0A2C5F" w14:textId="77777777" w:rsidR="00433642" w:rsidRPr="006C257B" w:rsidRDefault="00433642" w:rsidP="00C826A0">
            <w:pPr>
              <w:pStyle w:val="FootnoteText"/>
              <w:spacing w:after="120"/>
              <w:rPr>
                <w:rFonts w:ascii="Times New Roman" w:hAnsi="Times New Roman" w:cs="Times New Roman"/>
              </w:rPr>
            </w:pPr>
            <w:r w:rsidRPr="006C257B">
              <w:rPr>
                <w:rFonts w:ascii="Times New Roman" w:hAnsi="Times New Roman" w:cs="Times New Roman"/>
              </w:rPr>
              <w:t xml:space="preserve"> $            192,348,189 </w:t>
            </w:r>
          </w:p>
        </w:tc>
        <w:tc>
          <w:tcPr>
            <w:tcW w:w="1872" w:type="dxa"/>
            <w:shd w:val="clear" w:color="auto" w:fill="auto"/>
            <w:noWrap/>
          </w:tcPr>
          <w:p w14:paraId="135504B8" w14:textId="77777777" w:rsidR="00433642" w:rsidRPr="006C257B" w:rsidRDefault="00433642" w:rsidP="00C826A0">
            <w:pPr>
              <w:pStyle w:val="FootnoteText"/>
              <w:spacing w:after="120"/>
              <w:rPr>
                <w:rFonts w:ascii="Times New Roman" w:hAnsi="Times New Roman" w:cs="Times New Roman"/>
              </w:rPr>
            </w:pPr>
          </w:p>
        </w:tc>
      </w:tr>
      <w:tr w:rsidR="00433642" w:rsidRPr="006C257B" w14:paraId="6E0C56EC" w14:textId="77777777" w:rsidTr="00D87EFB">
        <w:trPr>
          <w:gridAfter w:val="1"/>
          <w:wAfter w:w="11" w:type="dxa"/>
          <w:trHeight w:val="300"/>
        </w:trPr>
        <w:tc>
          <w:tcPr>
            <w:tcW w:w="3893" w:type="dxa"/>
            <w:shd w:val="clear" w:color="auto" w:fill="auto"/>
            <w:noWrap/>
          </w:tcPr>
          <w:p w14:paraId="5F431F70" w14:textId="77777777" w:rsidR="00433642" w:rsidRPr="006C257B" w:rsidRDefault="00433642" w:rsidP="00C826A0">
            <w:pPr>
              <w:pStyle w:val="FootnoteText"/>
              <w:spacing w:after="120"/>
              <w:rPr>
                <w:rFonts w:ascii="Times New Roman" w:hAnsi="Times New Roman" w:cs="Times New Roman"/>
              </w:rPr>
            </w:pPr>
          </w:p>
        </w:tc>
        <w:tc>
          <w:tcPr>
            <w:tcW w:w="810" w:type="dxa"/>
            <w:shd w:val="clear" w:color="auto" w:fill="auto"/>
            <w:noWrap/>
          </w:tcPr>
          <w:p w14:paraId="2D19E275" w14:textId="77777777" w:rsidR="00433642" w:rsidRPr="006C257B" w:rsidRDefault="00433642" w:rsidP="00C826A0">
            <w:pPr>
              <w:pStyle w:val="FootnoteText"/>
              <w:spacing w:after="120"/>
              <w:rPr>
                <w:rFonts w:ascii="Times New Roman" w:hAnsi="Times New Roman" w:cs="Times New Roman"/>
              </w:rPr>
            </w:pPr>
          </w:p>
        </w:tc>
        <w:tc>
          <w:tcPr>
            <w:tcW w:w="2070" w:type="dxa"/>
            <w:shd w:val="clear" w:color="auto" w:fill="auto"/>
            <w:noWrap/>
          </w:tcPr>
          <w:p w14:paraId="55116304" w14:textId="77777777" w:rsidR="00433642" w:rsidRPr="006C257B" w:rsidRDefault="00433642" w:rsidP="00C826A0">
            <w:pPr>
              <w:pStyle w:val="FootnoteText"/>
              <w:spacing w:after="120"/>
              <w:jc w:val="center"/>
              <w:rPr>
                <w:rFonts w:ascii="Times New Roman" w:hAnsi="Times New Roman" w:cs="Times New Roman"/>
              </w:rPr>
            </w:pPr>
            <w:r w:rsidRPr="006C257B">
              <w:rPr>
                <w:rFonts w:ascii="Times New Roman" w:hAnsi="Times New Roman" w:cs="Times New Roman"/>
              </w:rPr>
              <w:t>12/31/11</w:t>
            </w:r>
          </w:p>
        </w:tc>
        <w:tc>
          <w:tcPr>
            <w:tcW w:w="1872" w:type="dxa"/>
            <w:shd w:val="clear" w:color="auto" w:fill="auto"/>
            <w:noWrap/>
          </w:tcPr>
          <w:p w14:paraId="1710795B" w14:textId="77777777" w:rsidR="00433642" w:rsidRPr="006C257B" w:rsidRDefault="00433642" w:rsidP="00C826A0">
            <w:pPr>
              <w:pStyle w:val="FootnoteText"/>
              <w:spacing w:after="120"/>
              <w:jc w:val="center"/>
              <w:rPr>
                <w:rFonts w:ascii="Times New Roman" w:hAnsi="Times New Roman" w:cs="Times New Roman"/>
              </w:rPr>
            </w:pPr>
            <w:r w:rsidRPr="006C257B">
              <w:rPr>
                <w:rFonts w:ascii="Times New Roman" w:hAnsi="Times New Roman" w:cs="Times New Roman"/>
              </w:rPr>
              <w:t>12/31/10</w:t>
            </w:r>
          </w:p>
        </w:tc>
      </w:tr>
      <w:tr w:rsidR="00433642" w:rsidRPr="006C257B" w14:paraId="69A4D905" w14:textId="77777777" w:rsidTr="00D87EFB">
        <w:trPr>
          <w:gridAfter w:val="1"/>
          <w:wAfter w:w="11" w:type="dxa"/>
          <w:trHeight w:val="300"/>
        </w:trPr>
        <w:tc>
          <w:tcPr>
            <w:tcW w:w="3893" w:type="dxa"/>
            <w:shd w:val="clear" w:color="auto" w:fill="auto"/>
            <w:noWrap/>
          </w:tcPr>
          <w:p w14:paraId="6A6F84C8" w14:textId="77777777" w:rsidR="00433642" w:rsidRPr="006C257B" w:rsidRDefault="00433642" w:rsidP="00C826A0">
            <w:pPr>
              <w:pStyle w:val="FootnoteText"/>
              <w:spacing w:after="120"/>
              <w:rPr>
                <w:rFonts w:ascii="Times New Roman" w:hAnsi="Times New Roman" w:cs="Times New Roman"/>
              </w:rPr>
            </w:pPr>
            <w:r w:rsidRPr="006C257B">
              <w:rPr>
                <w:rFonts w:ascii="Times New Roman" w:hAnsi="Times New Roman" w:cs="Times New Roman"/>
              </w:rPr>
              <w:t xml:space="preserve">Total Proprietary Capital </w:t>
            </w:r>
          </w:p>
        </w:tc>
        <w:tc>
          <w:tcPr>
            <w:tcW w:w="810" w:type="dxa"/>
            <w:shd w:val="clear" w:color="auto" w:fill="auto"/>
            <w:noWrap/>
          </w:tcPr>
          <w:p w14:paraId="5345DFF8" w14:textId="77777777" w:rsidR="00433642" w:rsidRPr="006C257B" w:rsidRDefault="00433642" w:rsidP="00C826A0">
            <w:pPr>
              <w:pStyle w:val="FootnoteText"/>
              <w:spacing w:after="120"/>
              <w:rPr>
                <w:rFonts w:ascii="Times New Roman" w:hAnsi="Times New Roman" w:cs="Times New Roman"/>
              </w:rPr>
            </w:pPr>
            <w:r w:rsidRPr="006C257B">
              <w:rPr>
                <w:rFonts w:ascii="Times New Roman" w:hAnsi="Times New Roman" w:cs="Times New Roman"/>
              </w:rPr>
              <w:t>Pg 112</w:t>
            </w:r>
          </w:p>
        </w:tc>
        <w:tc>
          <w:tcPr>
            <w:tcW w:w="2070" w:type="dxa"/>
            <w:shd w:val="clear" w:color="auto" w:fill="auto"/>
            <w:noWrap/>
          </w:tcPr>
          <w:p w14:paraId="3AAE1BD7" w14:textId="77777777" w:rsidR="00433642" w:rsidRPr="006C257B" w:rsidRDefault="00433642" w:rsidP="00C826A0">
            <w:pPr>
              <w:pStyle w:val="FootnoteText"/>
              <w:spacing w:after="120"/>
              <w:rPr>
                <w:rFonts w:ascii="Times New Roman" w:hAnsi="Times New Roman" w:cs="Times New Roman"/>
              </w:rPr>
            </w:pPr>
            <w:r w:rsidRPr="006C257B">
              <w:rPr>
                <w:rFonts w:ascii="Times New Roman" w:hAnsi="Times New Roman" w:cs="Times New Roman"/>
              </w:rPr>
              <w:t xml:space="preserve"> $        1,380,734,977 </w:t>
            </w:r>
          </w:p>
        </w:tc>
        <w:tc>
          <w:tcPr>
            <w:tcW w:w="1872" w:type="dxa"/>
            <w:shd w:val="clear" w:color="auto" w:fill="auto"/>
            <w:noWrap/>
          </w:tcPr>
          <w:p w14:paraId="446ECC6A" w14:textId="77777777" w:rsidR="00433642" w:rsidRPr="006C257B" w:rsidRDefault="00433642" w:rsidP="00C826A0">
            <w:pPr>
              <w:pStyle w:val="FootnoteText"/>
              <w:spacing w:after="120"/>
              <w:rPr>
                <w:rFonts w:ascii="Times New Roman" w:hAnsi="Times New Roman" w:cs="Times New Roman"/>
              </w:rPr>
            </w:pPr>
            <w:r w:rsidRPr="006C257B">
              <w:rPr>
                <w:rFonts w:ascii="Times New Roman" w:hAnsi="Times New Roman" w:cs="Times New Roman"/>
              </w:rPr>
              <w:t xml:space="preserve"> $   1,402,333,872 </w:t>
            </w:r>
          </w:p>
        </w:tc>
      </w:tr>
      <w:tr w:rsidR="00433642" w:rsidRPr="006C257B" w14:paraId="477CC957" w14:textId="77777777" w:rsidTr="00D87EFB">
        <w:trPr>
          <w:gridAfter w:val="1"/>
          <w:wAfter w:w="11" w:type="dxa"/>
          <w:trHeight w:val="300"/>
        </w:trPr>
        <w:tc>
          <w:tcPr>
            <w:tcW w:w="3893" w:type="dxa"/>
            <w:shd w:val="clear" w:color="auto" w:fill="auto"/>
            <w:noWrap/>
          </w:tcPr>
          <w:p w14:paraId="74267ED6" w14:textId="77777777" w:rsidR="00433642" w:rsidRPr="006C257B" w:rsidRDefault="00433642" w:rsidP="00C826A0">
            <w:pPr>
              <w:pStyle w:val="FootnoteText"/>
              <w:spacing w:after="120"/>
              <w:rPr>
                <w:rFonts w:ascii="Times New Roman" w:hAnsi="Times New Roman" w:cs="Times New Roman"/>
              </w:rPr>
            </w:pPr>
            <w:r w:rsidRPr="006C257B">
              <w:rPr>
                <w:rFonts w:ascii="Times New Roman" w:hAnsi="Times New Roman" w:cs="Times New Roman"/>
              </w:rPr>
              <w:t xml:space="preserve">Less: Total Preferred Stock </w:t>
            </w:r>
          </w:p>
        </w:tc>
        <w:tc>
          <w:tcPr>
            <w:tcW w:w="810" w:type="dxa"/>
            <w:shd w:val="clear" w:color="auto" w:fill="auto"/>
            <w:noWrap/>
          </w:tcPr>
          <w:p w14:paraId="03DCD8C6" w14:textId="77777777" w:rsidR="00433642" w:rsidRPr="006C257B" w:rsidRDefault="00433642" w:rsidP="00C826A0">
            <w:pPr>
              <w:pStyle w:val="FootnoteText"/>
              <w:spacing w:after="120"/>
              <w:rPr>
                <w:rFonts w:ascii="Times New Roman" w:hAnsi="Times New Roman" w:cs="Times New Roman"/>
              </w:rPr>
            </w:pPr>
            <w:r w:rsidRPr="006C257B">
              <w:rPr>
                <w:rFonts w:ascii="Times New Roman" w:hAnsi="Times New Roman" w:cs="Times New Roman"/>
              </w:rPr>
              <w:t>Pg 112</w:t>
            </w:r>
          </w:p>
        </w:tc>
        <w:tc>
          <w:tcPr>
            <w:tcW w:w="2070" w:type="dxa"/>
            <w:shd w:val="clear" w:color="auto" w:fill="auto"/>
            <w:noWrap/>
          </w:tcPr>
          <w:p w14:paraId="4A74CF50" w14:textId="77777777" w:rsidR="00433642" w:rsidRPr="006C257B" w:rsidRDefault="00433642" w:rsidP="00C826A0">
            <w:pPr>
              <w:pStyle w:val="FootnoteText"/>
              <w:spacing w:after="120"/>
              <w:rPr>
                <w:rFonts w:ascii="Times New Roman" w:hAnsi="Times New Roman" w:cs="Times New Roman"/>
              </w:rPr>
            </w:pPr>
            <w:r w:rsidRPr="006C257B">
              <w:rPr>
                <w:rFonts w:ascii="Times New Roman" w:hAnsi="Times New Roman" w:cs="Times New Roman"/>
              </w:rPr>
              <w:t xml:space="preserve"> $              22,850,800 </w:t>
            </w:r>
          </w:p>
        </w:tc>
        <w:tc>
          <w:tcPr>
            <w:tcW w:w="1872" w:type="dxa"/>
            <w:shd w:val="clear" w:color="auto" w:fill="auto"/>
            <w:noWrap/>
          </w:tcPr>
          <w:p w14:paraId="7E42106B" w14:textId="77777777" w:rsidR="00433642" w:rsidRPr="006C257B" w:rsidRDefault="00433642" w:rsidP="00C826A0">
            <w:pPr>
              <w:pStyle w:val="FootnoteText"/>
              <w:spacing w:after="120"/>
              <w:rPr>
                <w:rFonts w:ascii="Times New Roman" w:hAnsi="Times New Roman" w:cs="Times New Roman"/>
              </w:rPr>
            </w:pPr>
            <w:r w:rsidRPr="006C257B">
              <w:rPr>
                <w:rFonts w:ascii="Times New Roman" w:hAnsi="Times New Roman" w:cs="Times New Roman"/>
              </w:rPr>
              <w:t xml:space="preserve"> $         22,850,800 </w:t>
            </w:r>
          </w:p>
        </w:tc>
      </w:tr>
      <w:tr w:rsidR="00433642" w:rsidRPr="006C257B" w14:paraId="3C02E013" w14:textId="77777777" w:rsidTr="00D87EFB">
        <w:trPr>
          <w:gridAfter w:val="1"/>
          <w:wAfter w:w="11" w:type="dxa"/>
          <w:trHeight w:val="300"/>
        </w:trPr>
        <w:tc>
          <w:tcPr>
            <w:tcW w:w="3893" w:type="dxa"/>
            <w:shd w:val="clear" w:color="auto" w:fill="auto"/>
            <w:noWrap/>
          </w:tcPr>
          <w:p w14:paraId="1944DACF" w14:textId="77777777" w:rsidR="00433642" w:rsidRPr="006C257B" w:rsidRDefault="00433642" w:rsidP="00C826A0">
            <w:pPr>
              <w:pStyle w:val="FootnoteText"/>
              <w:spacing w:after="120"/>
              <w:rPr>
                <w:rFonts w:ascii="Times New Roman" w:hAnsi="Times New Roman" w:cs="Times New Roman"/>
              </w:rPr>
            </w:pPr>
            <w:r w:rsidRPr="006C257B">
              <w:rPr>
                <w:rFonts w:ascii="Times New Roman" w:hAnsi="Times New Roman" w:cs="Times New Roman"/>
              </w:rPr>
              <w:t xml:space="preserve">Total Common Equity </w:t>
            </w:r>
          </w:p>
        </w:tc>
        <w:tc>
          <w:tcPr>
            <w:tcW w:w="810" w:type="dxa"/>
            <w:shd w:val="clear" w:color="auto" w:fill="auto"/>
            <w:noWrap/>
          </w:tcPr>
          <w:p w14:paraId="018B06A1" w14:textId="77777777" w:rsidR="00433642" w:rsidRPr="006C257B" w:rsidRDefault="00433642" w:rsidP="00C826A0">
            <w:pPr>
              <w:pStyle w:val="FootnoteText"/>
              <w:spacing w:after="120"/>
              <w:rPr>
                <w:rFonts w:ascii="Times New Roman" w:hAnsi="Times New Roman" w:cs="Times New Roman"/>
              </w:rPr>
            </w:pPr>
          </w:p>
        </w:tc>
        <w:tc>
          <w:tcPr>
            <w:tcW w:w="2070" w:type="dxa"/>
            <w:shd w:val="clear" w:color="auto" w:fill="auto"/>
            <w:noWrap/>
          </w:tcPr>
          <w:p w14:paraId="4D89F048" w14:textId="77777777" w:rsidR="00433642" w:rsidRPr="006C257B" w:rsidRDefault="00433642" w:rsidP="00C826A0">
            <w:pPr>
              <w:pStyle w:val="FootnoteText"/>
              <w:spacing w:after="120"/>
              <w:rPr>
                <w:rFonts w:ascii="Times New Roman" w:hAnsi="Times New Roman" w:cs="Times New Roman"/>
              </w:rPr>
            </w:pPr>
            <w:r w:rsidRPr="006C257B">
              <w:rPr>
                <w:rFonts w:ascii="Times New Roman" w:hAnsi="Times New Roman" w:cs="Times New Roman"/>
              </w:rPr>
              <w:t xml:space="preserve"> $        1,357,884,177 </w:t>
            </w:r>
          </w:p>
        </w:tc>
        <w:tc>
          <w:tcPr>
            <w:tcW w:w="1872" w:type="dxa"/>
            <w:shd w:val="clear" w:color="auto" w:fill="auto"/>
            <w:noWrap/>
          </w:tcPr>
          <w:p w14:paraId="3FD3D0ED" w14:textId="77777777" w:rsidR="00433642" w:rsidRPr="006C257B" w:rsidRDefault="00433642" w:rsidP="00C826A0">
            <w:pPr>
              <w:pStyle w:val="FootnoteText"/>
              <w:spacing w:after="120"/>
              <w:rPr>
                <w:rFonts w:ascii="Times New Roman" w:hAnsi="Times New Roman" w:cs="Times New Roman"/>
              </w:rPr>
            </w:pPr>
            <w:r w:rsidRPr="006C257B">
              <w:rPr>
                <w:rFonts w:ascii="Times New Roman" w:hAnsi="Times New Roman" w:cs="Times New Roman"/>
              </w:rPr>
              <w:t xml:space="preserve"> $   1,379,483,072 </w:t>
            </w:r>
          </w:p>
        </w:tc>
      </w:tr>
      <w:tr w:rsidR="00433642" w:rsidRPr="006C257B" w14:paraId="6A082280" w14:textId="77777777" w:rsidTr="00D87EFB">
        <w:trPr>
          <w:gridAfter w:val="1"/>
          <w:wAfter w:w="11" w:type="dxa"/>
          <w:trHeight w:val="300"/>
        </w:trPr>
        <w:tc>
          <w:tcPr>
            <w:tcW w:w="3893" w:type="dxa"/>
            <w:shd w:val="clear" w:color="auto" w:fill="auto"/>
            <w:noWrap/>
          </w:tcPr>
          <w:p w14:paraId="555B19C9" w14:textId="77777777" w:rsidR="00433642" w:rsidRPr="006C257B" w:rsidRDefault="00433642" w:rsidP="00C826A0">
            <w:pPr>
              <w:pStyle w:val="FootnoteText"/>
              <w:spacing w:after="120"/>
              <w:rPr>
                <w:rFonts w:ascii="Times New Roman" w:hAnsi="Times New Roman" w:cs="Times New Roman"/>
              </w:rPr>
            </w:pPr>
          </w:p>
        </w:tc>
        <w:tc>
          <w:tcPr>
            <w:tcW w:w="810" w:type="dxa"/>
            <w:shd w:val="clear" w:color="auto" w:fill="auto"/>
            <w:noWrap/>
          </w:tcPr>
          <w:p w14:paraId="22F9088A" w14:textId="77777777" w:rsidR="00433642" w:rsidRPr="006C257B" w:rsidRDefault="00433642" w:rsidP="00C826A0">
            <w:pPr>
              <w:pStyle w:val="FootnoteText"/>
              <w:spacing w:after="120"/>
              <w:rPr>
                <w:rFonts w:ascii="Times New Roman" w:hAnsi="Times New Roman" w:cs="Times New Roman"/>
              </w:rPr>
            </w:pPr>
          </w:p>
        </w:tc>
        <w:tc>
          <w:tcPr>
            <w:tcW w:w="2070" w:type="dxa"/>
            <w:shd w:val="clear" w:color="auto" w:fill="auto"/>
            <w:noWrap/>
          </w:tcPr>
          <w:p w14:paraId="46C96BC7" w14:textId="77777777" w:rsidR="00433642" w:rsidRPr="006C257B" w:rsidRDefault="00433642" w:rsidP="00C826A0">
            <w:pPr>
              <w:pStyle w:val="FootnoteText"/>
              <w:spacing w:after="120"/>
              <w:rPr>
                <w:rFonts w:ascii="Times New Roman" w:hAnsi="Times New Roman" w:cs="Times New Roman"/>
              </w:rPr>
            </w:pPr>
          </w:p>
        </w:tc>
        <w:tc>
          <w:tcPr>
            <w:tcW w:w="1872" w:type="dxa"/>
            <w:shd w:val="clear" w:color="auto" w:fill="auto"/>
            <w:noWrap/>
          </w:tcPr>
          <w:p w14:paraId="38387C5F" w14:textId="77777777" w:rsidR="00433642" w:rsidRPr="006C257B" w:rsidRDefault="00433642" w:rsidP="00C826A0">
            <w:pPr>
              <w:pStyle w:val="FootnoteText"/>
              <w:spacing w:after="120"/>
              <w:rPr>
                <w:rFonts w:ascii="Times New Roman" w:hAnsi="Times New Roman" w:cs="Times New Roman"/>
              </w:rPr>
            </w:pPr>
          </w:p>
        </w:tc>
      </w:tr>
      <w:tr w:rsidR="00433642" w:rsidRPr="006C257B" w14:paraId="44166023" w14:textId="77777777" w:rsidTr="00D87EFB">
        <w:trPr>
          <w:gridAfter w:val="1"/>
          <w:wAfter w:w="11" w:type="dxa"/>
          <w:trHeight w:val="300"/>
        </w:trPr>
        <w:tc>
          <w:tcPr>
            <w:tcW w:w="3893" w:type="dxa"/>
            <w:shd w:val="clear" w:color="auto" w:fill="auto"/>
            <w:noWrap/>
          </w:tcPr>
          <w:p w14:paraId="5520681C" w14:textId="77777777" w:rsidR="00433642" w:rsidRPr="006C257B" w:rsidRDefault="00433642" w:rsidP="00C826A0">
            <w:pPr>
              <w:pStyle w:val="FootnoteText"/>
              <w:spacing w:after="120"/>
              <w:rPr>
                <w:rFonts w:ascii="Times New Roman" w:hAnsi="Times New Roman" w:cs="Times New Roman"/>
              </w:rPr>
            </w:pPr>
            <w:r w:rsidRPr="006C257B">
              <w:rPr>
                <w:rFonts w:ascii="Times New Roman" w:hAnsi="Times New Roman" w:cs="Times New Roman"/>
              </w:rPr>
              <w:t>Average Total Common Equity</w:t>
            </w:r>
          </w:p>
        </w:tc>
        <w:tc>
          <w:tcPr>
            <w:tcW w:w="810" w:type="dxa"/>
            <w:shd w:val="clear" w:color="auto" w:fill="auto"/>
            <w:noWrap/>
          </w:tcPr>
          <w:p w14:paraId="5746CB51" w14:textId="77777777" w:rsidR="00433642" w:rsidRPr="006C257B" w:rsidRDefault="00433642" w:rsidP="00C826A0">
            <w:pPr>
              <w:pStyle w:val="FootnoteText"/>
              <w:spacing w:after="120"/>
              <w:rPr>
                <w:rFonts w:ascii="Times New Roman" w:hAnsi="Times New Roman" w:cs="Times New Roman"/>
              </w:rPr>
            </w:pPr>
          </w:p>
        </w:tc>
        <w:tc>
          <w:tcPr>
            <w:tcW w:w="2070" w:type="dxa"/>
            <w:shd w:val="clear" w:color="auto" w:fill="auto"/>
            <w:noWrap/>
          </w:tcPr>
          <w:p w14:paraId="51F2D7C3" w14:textId="77777777" w:rsidR="00433642" w:rsidRPr="006C257B" w:rsidRDefault="00433642" w:rsidP="00C826A0">
            <w:pPr>
              <w:pStyle w:val="FootnoteText"/>
              <w:spacing w:after="120"/>
              <w:rPr>
                <w:rFonts w:ascii="Times New Roman" w:hAnsi="Times New Roman" w:cs="Times New Roman"/>
              </w:rPr>
            </w:pPr>
            <w:r w:rsidRPr="006C257B">
              <w:rPr>
                <w:rFonts w:ascii="Times New Roman" w:hAnsi="Times New Roman" w:cs="Times New Roman"/>
              </w:rPr>
              <w:t xml:space="preserve"> $        1,368,683,625 </w:t>
            </w:r>
          </w:p>
        </w:tc>
        <w:tc>
          <w:tcPr>
            <w:tcW w:w="1872" w:type="dxa"/>
            <w:shd w:val="clear" w:color="auto" w:fill="auto"/>
            <w:noWrap/>
          </w:tcPr>
          <w:p w14:paraId="6C4C3EE9" w14:textId="77777777" w:rsidR="00433642" w:rsidRPr="006C257B" w:rsidRDefault="00433642" w:rsidP="00C826A0">
            <w:pPr>
              <w:pStyle w:val="FootnoteText"/>
              <w:spacing w:after="120"/>
              <w:rPr>
                <w:rFonts w:ascii="Times New Roman" w:hAnsi="Times New Roman" w:cs="Times New Roman"/>
              </w:rPr>
            </w:pPr>
          </w:p>
        </w:tc>
      </w:tr>
      <w:tr w:rsidR="00433642" w:rsidRPr="006C257B" w14:paraId="1C6B81C5" w14:textId="77777777" w:rsidTr="00D87EFB">
        <w:trPr>
          <w:gridAfter w:val="1"/>
          <w:wAfter w:w="11" w:type="dxa"/>
          <w:trHeight w:val="300"/>
        </w:trPr>
        <w:tc>
          <w:tcPr>
            <w:tcW w:w="3893" w:type="dxa"/>
            <w:shd w:val="clear" w:color="auto" w:fill="auto"/>
            <w:noWrap/>
          </w:tcPr>
          <w:p w14:paraId="29730358" w14:textId="77777777" w:rsidR="00433642" w:rsidRPr="006C257B" w:rsidRDefault="00433642" w:rsidP="00C826A0">
            <w:pPr>
              <w:pStyle w:val="FootnoteText"/>
              <w:spacing w:after="120"/>
              <w:rPr>
                <w:rFonts w:ascii="Times New Roman" w:hAnsi="Times New Roman" w:cs="Times New Roman"/>
              </w:rPr>
            </w:pPr>
            <w:r w:rsidRPr="006C257B">
              <w:rPr>
                <w:rFonts w:ascii="Times New Roman" w:hAnsi="Times New Roman" w:cs="Times New Roman"/>
              </w:rPr>
              <w:t>Return on Equity:</w:t>
            </w:r>
          </w:p>
        </w:tc>
        <w:tc>
          <w:tcPr>
            <w:tcW w:w="810" w:type="dxa"/>
            <w:shd w:val="clear" w:color="auto" w:fill="auto"/>
            <w:noWrap/>
          </w:tcPr>
          <w:p w14:paraId="3C541EA3" w14:textId="77777777" w:rsidR="00433642" w:rsidRPr="006C257B" w:rsidRDefault="00433642" w:rsidP="00C826A0">
            <w:pPr>
              <w:pStyle w:val="FootnoteText"/>
              <w:spacing w:after="120"/>
              <w:rPr>
                <w:rFonts w:ascii="Times New Roman" w:hAnsi="Times New Roman" w:cs="Times New Roman"/>
              </w:rPr>
            </w:pPr>
          </w:p>
        </w:tc>
        <w:tc>
          <w:tcPr>
            <w:tcW w:w="2070" w:type="dxa"/>
            <w:shd w:val="clear" w:color="auto" w:fill="auto"/>
            <w:noWrap/>
          </w:tcPr>
          <w:p w14:paraId="02281AA0" w14:textId="77777777" w:rsidR="00433642" w:rsidRPr="006C257B" w:rsidRDefault="00433642" w:rsidP="00C826A0">
            <w:pPr>
              <w:pStyle w:val="FootnoteText"/>
              <w:spacing w:after="120"/>
              <w:rPr>
                <w:rFonts w:ascii="Times New Roman" w:hAnsi="Times New Roman" w:cs="Times New Roman"/>
              </w:rPr>
            </w:pPr>
          </w:p>
        </w:tc>
        <w:tc>
          <w:tcPr>
            <w:tcW w:w="1872" w:type="dxa"/>
            <w:shd w:val="clear" w:color="auto" w:fill="auto"/>
            <w:noWrap/>
          </w:tcPr>
          <w:p w14:paraId="57922392" w14:textId="77777777" w:rsidR="00433642" w:rsidRPr="006C257B" w:rsidRDefault="00433642" w:rsidP="00C826A0">
            <w:pPr>
              <w:pStyle w:val="FootnoteText"/>
              <w:spacing w:after="120"/>
              <w:rPr>
                <w:rFonts w:ascii="Times New Roman" w:hAnsi="Times New Roman" w:cs="Times New Roman"/>
              </w:rPr>
            </w:pPr>
          </w:p>
        </w:tc>
      </w:tr>
      <w:tr w:rsidR="00433642" w:rsidRPr="006C257B" w14:paraId="03F54CC2" w14:textId="77777777" w:rsidTr="00D87EFB">
        <w:trPr>
          <w:trHeight w:val="300"/>
        </w:trPr>
        <w:tc>
          <w:tcPr>
            <w:tcW w:w="3893" w:type="dxa"/>
            <w:shd w:val="clear" w:color="auto" w:fill="auto"/>
            <w:noWrap/>
          </w:tcPr>
          <w:p w14:paraId="635E11FF" w14:textId="77777777" w:rsidR="00433642" w:rsidRPr="006C257B" w:rsidRDefault="00433642" w:rsidP="00C826A0">
            <w:pPr>
              <w:pStyle w:val="FootnoteText"/>
              <w:spacing w:after="120"/>
              <w:rPr>
                <w:rFonts w:ascii="Times New Roman" w:hAnsi="Times New Roman" w:cs="Times New Roman"/>
              </w:rPr>
            </w:pPr>
            <w:r w:rsidRPr="006C257B">
              <w:rPr>
                <w:rFonts w:ascii="Times New Roman" w:hAnsi="Times New Roman" w:cs="Times New Roman"/>
              </w:rPr>
              <w:t>(2011 Net Income/Average Common Equity)</w:t>
            </w:r>
          </w:p>
        </w:tc>
        <w:tc>
          <w:tcPr>
            <w:tcW w:w="810" w:type="dxa"/>
            <w:shd w:val="clear" w:color="auto" w:fill="auto"/>
            <w:noWrap/>
          </w:tcPr>
          <w:p w14:paraId="2AE53CA7" w14:textId="77777777" w:rsidR="00433642" w:rsidRPr="006C257B" w:rsidRDefault="00433642" w:rsidP="00C826A0">
            <w:pPr>
              <w:pStyle w:val="FootnoteText"/>
              <w:spacing w:after="120"/>
              <w:rPr>
                <w:rFonts w:ascii="Times New Roman" w:hAnsi="Times New Roman" w:cs="Times New Roman"/>
              </w:rPr>
            </w:pPr>
          </w:p>
        </w:tc>
        <w:tc>
          <w:tcPr>
            <w:tcW w:w="2070" w:type="dxa"/>
            <w:shd w:val="clear" w:color="auto" w:fill="auto"/>
            <w:noWrap/>
          </w:tcPr>
          <w:p w14:paraId="3754A46A" w14:textId="77777777" w:rsidR="00433642" w:rsidRPr="006C257B" w:rsidRDefault="00433642" w:rsidP="00C826A0">
            <w:pPr>
              <w:pStyle w:val="FootnoteText"/>
              <w:spacing w:after="120"/>
              <w:rPr>
                <w:rFonts w:ascii="Times New Roman" w:hAnsi="Times New Roman" w:cs="Times New Roman"/>
              </w:rPr>
            </w:pPr>
            <w:r w:rsidRPr="006C257B">
              <w:rPr>
                <w:rFonts w:ascii="Times New Roman" w:hAnsi="Times New Roman" w:cs="Times New Roman"/>
              </w:rPr>
              <w:t>14.05%</w:t>
            </w:r>
          </w:p>
        </w:tc>
        <w:tc>
          <w:tcPr>
            <w:tcW w:w="1883" w:type="dxa"/>
            <w:gridSpan w:val="2"/>
            <w:shd w:val="clear" w:color="auto" w:fill="auto"/>
            <w:noWrap/>
          </w:tcPr>
          <w:p w14:paraId="453456DE" w14:textId="77777777" w:rsidR="00433642" w:rsidRPr="006C257B" w:rsidRDefault="00433642" w:rsidP="00C826A0">
            <w:pPr>
              <w:pStyle w:val="FootnoteText"/>
              <w:spacing w:after="120"/>
              <w:rPr>
                <w:rFonts w:ascii="Times New Roman" w:hAnsi="Times New Roman" w:cs="Times New Roman"/>
              </w:rPr>
            </w:pPr>
          </w:p>
        </w:tc>
      </w:tr>
    </w:tbl>
    <w:p w14:paraId="748E543D" w14:textId="31685AAD" w:rsidR="00433642" w:rsidRPr="006C257B" w:rsidRDefault="00433642" w:rsidP="00C826A0">
      <w:pPr>
        <w:pStyle w:val="FootnoteText"/>
        <w:spacing w:after="120"/>
        <w:rPr>
          <w:rFonts w:ascii="Times New Roman" w:hAnsi="Times New Roman" w:cs="Times New Roman"/>
        </w:rPr>
      </w:pPr>
    </w:p>
  </w:footnote>
  <w:footnote w:id="43">
    <w:p w14:paraId="134296FB" w14:textId="77777777" w:rsidR="00433642" w:rsidRPr="006C257B" w:rsidRDefault="00433642" w:rsidP="00C826A0">
      <w:pPr>
        <w:pStyle w:val="FootnoteText"/>
        <w:spacing w:after="120"/>
        <w:rPr>
          <w:rFonts w:ascii="Times New Roman" w:hAnsi="Times New Roman" w:cs="Times New Roman"/>
        </w:rPr>
      </w:pPr>
      <w:r w:rsidRPr="006C257B">
        <w:rPr>
          <w:rStyle w:val="FootnoteReference"/>
          <w:rFonts w:ascii="Times New Roman" w:hAnsi="Times New Roman" w:cs="Times New Roman"/>
        </w:rPr>
        <w:footnoteRef/>
      </w:r>
      <w:r w:rsidRPr="006C257B">
        <w:rPr>
          <w:rFonts w:ascii="Times New Roman" w:hAnsi="Times New Roman" w:cs="Times New Roman"/>
        </w:rPr>
        <w:t xml:space="preserve"> 12/21/12 Direct Testimony of DP&amp;L Witness Campbell at 8 and Application, Schedule D-1, line 4.</w:t>
      </w:r>
    </w:p>
  </w:footnote>
  <w:footnote w:id="44">
    <w:p w14:paraId="7CA6E788" w14:textId="77777777" w:rsidR="00433642" w:rsidRPr="008B2D73" w:rsidRDefault="00433642" w:rsidP="00C826A0">
      <w:pPr>
        <w:pStyle w:val="FootnoteText"/>
        <w:spacing w:after="120"/>
        <w:rPr>
          <w:rFonts w:ascii="Times New Roman" w:hAnsi="Times New Roman" w:cs="Times New Roman"/>
        </w:rPr>
      </w:pPr>
      <w:r w:rsidRPr="008B2D73">
        <w:rPr>
          <w:rStyle w:val="FootnoteReference"/>
          <w:rFonts w:ascii="Times New Roman" w:hAnsi="Times New Roman" w:cs="Times New Roman"/>
        </w:rPr>
        <w:footnoteRef/>
      </w:r>
      <w:r w:rsidRPr="008B2D73">
        <w:rPr>
          <w:rFonts w:ascii="Times New Roman" w:hAnsi="Times New Roman" w:cs="Times New Roman"/>
        </w:rPr>
        <w:t xml:space="preserve"> Motion to Dismiss the Application of the Dayton Power and Light Company Requesting Approval of Certain Accounting Authority to Defer 2011 Storm Costs by The Office of the Ohio Consumers’ Counsel</w:t>
      </w:r>
      <w:r>
        <w:rPr>
          <w:rFonts w:ascii="Times New Roman" w:hAnsi="Times New Roman" w:cs="Times New Roman"/>
        </w:rPr>
        <w:t xml:space="preserve"> (“OCC Motion to Dismiss”)</w:t>
      </w:r>
      <w:r w:rsidRPr="008B2D73">
        <w:rPr>
          <w:rFonts w:ascii="Times New Roman" w:hAnsi="Times New Roman" w:cs="Times New Roman"/>
        </w:rPr>
        <w:t>, 4-5 (Jan. 30, 2013).</w:t>
      </w:r>
    </w:p>
  </w:footnote>
  <w:footnote w:id="45">
    <w:p w14:paraId="2A0D5022" w14:textId="77777777" w:rsidR="00433642" w:rsidRPr="006B5818" w:rsidRDefault="00433642" w:rsidP="00C826A0">
      <w:pPr>
        <w:pStyle w:val="FootnoteText"/>
        <w:spacing w:after="120"/>
        <w:rPr>
          <w:rFonts w:ascii="Times New Roman" w:hAnsi="Times New Roman" w:cs="Times New Roman"/>
        </w:rPr>
      </w:pPr>
      <w:r w:rsidRPr="006B5818">
        <w:rPr>
          <w:rStyle w:val="FootnoteReference"/>
          <w:rFonts w:ascii="Times New Roman" w:hAnsi="Times New Roman" w:cs="Times New Roman"/>
        </w:rPr>
        <w:footnoteRef/>
      </w:r>
      <w:r>
        <w:rPr>
          <w:rFonts w:ascii="Times New Roman" w:hAnsi="Times New Roman" w:cs="Times New Roman"/>
        </w:rPr>
        <w:t xml:space="preserve"> </w:t>
      </w:r>
      <w:r w:rsidRPr="006B5818">
        <w:rPr>
          <w:rFonts w:ascii="Times New Roman" w:hAnsi="Times New Roman" w:cs="Times New Roman"/>
        </w:rPr>
        <w:t xml:space="preserve"> </w:t>
      </w:r>
      <w:r>
        <w:rPr>
          <w:rFonts w:ascii="Times New Roman" w:hAnsi="Times New Roman" w:cs="Times New Roman"/>
        </w:rPr>
        <w:t xml:space="preserve">The Dayton Power and Light Company’s </w:t>
      </w:r>
      <w:r w:rsidRPr="006B5818">
        <w:rPr>
          <w:rFonts w:ascii="Times New Roman" w:hAnsi="Times New Roman" w:cs="Times New Roman"/>
        </w:rPr>
        <w:t>Memorandum in Opposition to OCC’s Motion t</w:t>
      </w:r>
      <w:r>
        <w:rPr>
          <w:rFonts w:ascii="Times New Roman" w:hAnsi="Times New Roman" w:cs="Times New Roman"/>
        </w:rPr>
        <w:t>o Dismiss, at 3 (Feb. 6, 2013)</w:t>
      </w:r>
      <w:r w:rsidRPr="006B5818">
        <w:rPr>
          <w:rFonts w:ascii="Times New Roman" w:hAnsi="Times New Roman" w:cs="Times New Roman"/>
        </w:rPr>
        <w:t>.</w:t>
      </w:r>
    </w:p>
  </w:footnote>
  <w:footnote w:id="46">
    <w:p w14:paraId="5BC7E86A" w14:textId="77777777" w:rsidR="00433642" w:rsidRPr="006B5818" w:rsidRDefault="00433642" w:rsidP="00C826A0">
      <w:pPr>
        <w:pStyle w:val="FootnoteText"/>
        <w:spacing w:after="120"/>
        <w:rPr>
          <w:rFonts w:ascii="Times New Roman" w:hAnsi="Times New Roman" w:cs="Times New Roman"/>
        </w:rPr>
      </w:pPr>
      <w:r w:rsidRPr="006B5818">
        <w:rPr>
          <w:rStyle w:val="FootnoteReference"/>
          <w:rFonts w:ascii="Times New Roman" w:hAnsi="Times New Roman" w:cs="Times New Roman"/>
        </w:rPr>
        <w:footnoteRef/>
      </w:r>
      <w:r w:rsidRPr="006B5818">
        <w:rPr>
          <w:rFonts w:ascii="Times New Roman" w:hAnsi="Times New Roman" w:cs="Times New Roman"/>
        </w:rPr>
        <w:t xml:space="preserve"> </w:t>
      </w:r>
      <w:r w:rsidRPr="006B5818">
        <w:rPr>
          <w:rFonts w:ascii="Times New Roman" w:hAnsi="Times New Roman" w:cs="Times New Roman"/>
          <w:i/>
        </w:rPr>
        <w:t xml:space="preserve">In the Matter of the Application of The Dayton Power and light Company For Approval of its Electric Security </w:t>
      </w:r>
      <w:r w:rsidRPr="006B5818">
        <w:rPr>
          <w:rFonts w:ascii="Times New Roman" w:hAnsi="Times New Roman" w:cs="Times New Roman"/>
        </w:rPr>
        <w:t xml:space="preserve">Plan, Case No. 08-1094-EL-SSO, </w:t>
      </w:r>
      <w:r w:rsidRPr="006B5818">
        <w:rPr>
          <w:rFonts w:ascii="Times New Roman" w:hAnsi="Times New Roman" w:cs="Times New Roman"/>
          <w:i/>
        </w:rPr>
        <w:t>DP</w:t>
      </w:r>
      <w:r w:rsidRPr="006B5818">
        <w:rPr>
          <w:rFonts w:ascii="Times New Roman" w:hAnsi="Times New Roman" w:cs="Times New Roman"/>
        </w:rPr>
        <w:t>&amp;L ESP Stipulation at 10-11 (Feb. 24, 2009) (emphasis added).</w:t>
      </w:r>
    </w:p>
  </w:footnote>
  <w:footnote w:id="47">
    <w:p w14:paraId="1F2C0FF7" w14:textId="77777777" w:rsidR="00433642" w:rsidRPr="008B2D73" w:rsidRDefault="00433642" w:rsidP="00C826A0">
      <w:pPr>
        <w:pStyle w:val="FootnoteText"/>
        <w:spacing w:after="120"/>
        <w:rPr>
          <w:rFonts w:ascii="Times New Roman" w:hAnsi="Times New Roman" w:cs="Times New Roman"/>
        </w:rPr>
      </w:pPr>
      <w:r w:rsidRPr="008B2D73">
        <w:rPr>
          <w:rStyle w:val="FootnoteReference"/>
          <w:rFonts w:ascii="Times New Roman" w:hAnsi="Times New Roman" w:cs="Times New Roman"/>
        </w:rPr>
        <w:footnoteRef/>
      </w:r>
      <w:r w:rsidRPr="008B2D73">
        <w:rPr>
          <w:rFonts w:ascii="Times New Roman" w:hAnsi="Times New Roman" w:cs="Times New Roman"/>
        </w:rPr>
        <w:t xml:space="preserve"> </w:t>
      </w:r>
      <w:r w:rsidRPr="008B2D73">
        <w:rPr>
          <w:rFonts w:ascii="Times New Roman" w:hAnsi="Times New Roman" w:cs="Times New Roman"/>
          <w:i/>
        </w:rPr>
        <w:t xml:space="preserve">In the Matter of the Application of The Dayton Power and light Company For Approval of its Electric Security </w:t>
      </w:r>
      <w:r w:rsidRPr="008B2D73">
        <w:rPr>
          <w:rFonts w:ascii="Times New Roman" w:hAnsi="Times New Roman" w:cs="Times New Roman"/>
        </w:rPr>
        <w:t>Plan, Case No. 08-1094-EL-SSO, Opinion and Order at 5-6 (Jun. 24, 2009) (emphasis added).</w:t>
      </w:r>
    </w:p>
  </w:footnote>
  <w:footnote w:id="48">
    <w:p w14:paraId="786D27F5" w14:textId="77777777" w:rsidR="00433642" w:rsidRPr="006C257B" w:rsidRDefault="00433642" w:rsidP="00C826A0">
      <w:pPr>
        <w:pStyle w:val="FootnoteText"/>
        <w:spacing w:after="120"/>
        <w:rPr>
          <w:rFonts w:ascii="Times New Roman" w:hAnsi="Times New Roman" w:cs="Times New Roman"/>
        </w:rPr>
      </w:pPr>
      <w:r w:rsidRPr="006C257B">
        <w:rPr>
          <w:rStyle w:val="FootnoteReference"/>
          <w:rFonts w:ascii="Times New Roman" w:hAnsi="Times New Roman" w:cs="Times New Roman"/>
        </w:rPr>
        <w:footnoteRef/>
      </w:r>
      <w:r w:rsidRPr="006C257B">
        <w:rPr>
          <w:rFonts w:ascii="Times New Roman" w:hAnsi="Times New Roman" w:cs="Times New Roman"/>
        </w:rPr>
        <w:t xml:space="preserve"> </w:t>
      </w:r>
      <w:r w:rsidRPr="006C257B">
        <w:rPr>
          <w:rFonts w:ascii="Times New Roman" w:hAnsi="Times New Roman" w:cs="Times New Roman"/>
          <w:i/>
        </w:rPr>
        <w:t xml:space="preserve">In the Matter of the Application of Columbus Southern Power Company for Authority to Establish a Standard Service Offer Pursuant to Section 4928.143, Revised Code, in the Form of an Electric Security Plan, </w:t>
      </w:r>
      <w:r w:rsidRPr="006C257B">
        <w:rPr>
          <w:rFonts w:ascii="Times New Roman" w:hAnsi="Times New Roman" w:cs="Times New Roman"/>
        </w:rPr>
        <w:t>Case No. 11-346-EL-SSO, et al., Opinion and Order at 36 (August 8, 2012) (Emphasis added).</w:t>
      </w:r>
    </w:p>
  </w:footnote>
  <w:footnote w:id="49">
    <w:p w14:paraId="0EA2C8CF" w14:textId="755FFEE3" w:rsidR="00433642" w:rsidRPr="006C257B" w:rsidRDefault="00433642" w:rsidP="00C826A0">
      <w:pPr>
        <w:pStyle w:val="FootnoteText"/>
        <w:spacing w:after="120"/>
        <w:rPr>
          <w:rFonts w:ascii="Times New Roman" w:hAnsi="Times New Roman" w:cs="Times New Roman"/>
        </w:rPr>
      </w:pPr>
      <w:r w:rsidRPr="006C257B">
        <w:rPr>
          <w:rStyle w:val="FootnoteReference"/>
          <w:rFonts w:ascii="Times New Roman" w:hAnsi="Times New Roman" w:cs="Times New Roman"/>
        </w:rPr>
        <w:footnoteRef/>
      </w:r>
      <w:r w:rsidRPr="006C257B">
        <w:rPr>
          <w:rFonts w:ascii="Times New Roman" w:hAnsi="Times New Roman" w:cs="Times New Roman"/>
        </w:rPr>
        <w:t xml:space="preserve"> </w:t>
      </w:r>
      <w:r>
        <w:rPr>
          <w:rFonts w:ascii="Times New Roman" w:hAnsi="Times New Roman" w:cs="Times New Roman"/>
        </w:rPr>
        <w:t>DP&amp;L</w:t>
      </w:r>
      <w:r w:rsidRPr="006C257B">
        <w:rPr>
          <w:rFonts w:ascii="Times New Roman" w:hAnsi="Times New Roman" w:cs="Times New Roman"/>
        </w:rPr>
        <w:t xml:space="preserve"> Response to Staff Data Request #1.</w:t>
      </w:r>
    </w:p>
  </w:footnote>
  <w:footnote w:id="50">
    <w:p w14:paraId="15FE68C5" w14:textId="77777777" w:rsidR="00433642" w:rsidRDefault="00433642" w:rsidP="00C826A0">
      <w:pPr>
        <w:pStyle w:val="FootnoteText"/>
        <w:spacing w:after="120"/>
      </w:pPr>
      <w:r>
        <w:rPr>
          <w:rStyle w:val="FootnoteReference"/>
        </w:rPr>
        <w:footnoteRef/>
      </w:r>
      <w:r>
        <w:t xml:space="preserve"> </w:t>
      </w:r>
      <w:r w:rsidRPr="006C257B">
        <w:rPr>
          <w:rFonts w:ascii="Times New Roman" w:hAnsi="Times New Roman" w:cs="Times New Roman"/>
          <w:i/>
        </w:rPr>
        <w:t xml:space="preserve">In the Matter of the Application of </w:t>
      </w:r>
      <w:r>
        <w:rPr>
          <w:rFonts w:ascii="Times New Roman" w:hAnsi="Times New Roman" w:cs="Times New Roman"/>
          <w:i/>
        </w:rPr>
        <w:t xml:space="preserve">Duke Energy Ohio </w:t>
      </w:r>
      <w:r w:rsidRPr="006C257B">
        <w:rPr>
          <w:rFonts w:ascii="Times New Roman" w:hAnsi="Times New Roman" w:cs="Times New Roman"/>
          <w:i/>
        </w:rPr>
        <w:t xml:space="preserve">to Establish </w:t>
      </w:r>
      <w:r>
        <w:rPr>
          <w:rFonts w:ascii="Times New Roman" w:hAnsi="Times New Roman" w:cs="Times New Roman"/>
          <w:i/>
        </w:rPr>
        <w:t>and Adjust the Initial Level of its Distribution Reliability Rider</w:t>
      </w:r>
      <w:r w:rsidRPr="006C257B">
        <w:rPr>
          <w:rFonts w:ascii="Times New Roman" w:hAnsi="Times New Roman" w:cs="Times New Roman"/>
          <w:i/>
        </w:rPr>
        <w:t xml:space="preserve">, </w:t>
      </w:r>
      <w:r w:rsidRPr="006C257B">
        <w:rPr>
          <w:rFonts w:ascii="Times New Roman" w:hAnsi="Times New Roman" w:cs="Times New Roman"/>
        </w:rPr>
        <w:t xml:space="preserve">Case No. </w:t>
      </w:r>
      <w:r>
        <w:rPr>
          <w:rFonts w:ascii="Times New Roman" w:hAnsi="Times New Roman" w:cs="Times New Roman"/>
        </w:rPr>
        <w:t>09-1946-EL-RDR</w:t>
      </w:r>
      <w:r w:rsidRPr="006C257B">
        <w:rPr>
          <w:rFonts w:ascii="Times New Roman" w:hAnsi="Times New Roman" w:cs="Times New Roman"/>
        </w:rPr>
        <w:t xml:space="preserve">, Opinion and Order at </w:t>
      </w:r>
      <w:r>
        <w:rPr>
          <w:rFonts w:ascii="Times New Roman" w:hAnsi="Times New Roman" w:cs="Times New Roman"/>
        </w:rPr>
        <w:t>10</w:t>
      </w:r>
      <w:r w:rsidRPr="006C257B">
        <w:rPr>
          <w:rFonts w:ascii="Times New Roman" w:hAnsi="Times New Roman" w:cs="Times New Roman"/>
        </w:rPr>
        <w:t xml:space="preserve"> (</w:t>
      </w:r>
      <w:r>
        <w:rPr>
          <w:rFonts w:ascii="Times New Roman" w:hAnsi="Times New Roman" w:cs="Times New Roman"/>
        </w:rPr>
        <w:t>January 11, 2011</w:t>
      </w:r>
      <w:r w:rsidRPr="006C257B">
        <w:rPr>
          <w:rFonts w:ascii="Times New Roman" w:hAnsi="Times New Roman" w:cs="Times New Roman"/>
        </w:rPr>
        <w:t>)</w:t>
      </w:r>
    </w:p>
  </w:footnote>
  <w:footnote w:id="51">
    <w:p w14:paraId="5C06108D" w14:textId="5E093040" w:rsidR="00433642" w:rsidRPr="006C257B" w:rsidRDefault="00433642" w:rsidP="00C826A0">
      <w:pPr>
        <w:pStyle w:val="FootnoteText"/>
        <w:spacing w:after="120"/>
        <w:rPr>
          <w:rFonts w:ascii="Times New Roman" w:hAnsi="Times New Roman" w:cs="Times New Roman"/>
        </w:rPr>
      </w:pPr>
      <w:r w:rsidRPr="006C257B">
        <w:rPr>
          <w:rStyle w:val="FootnoteReference"/>
          <w:rFonts w:ascii="Times New Roman" w:hAnsi="Times New Roman" w:cs="Times New Roman"/>
        </w:rPr>
        <w:footnoteRef/>
      </w:r>
      <w:r w:rsidRPr="006C257B">
        <w:rPr>
          <w:rFonts w:ascii="Times New Roman" w:hAnsi="Times New Roman" w:cs="Times New Roman"/>
        </w:rPr>
        <w:t xml:space="preserve"> </w:t>
      </w:r>
      <w:r>
        <w:rPr>
          <w:rFonts w:ascii="Times New Roman" w:hAnsi="Times New Roman" w:cs="Times New Roman"/>
        </w:rPr>
        <w:t xml:space="preserve">For example, in DP&amp;L’s </w:t>
      </w:r>
      <w:r w:rsidRPr="006C257B">
        <w:rPr>
          <w:rFonts w:ascii="Times New Roman" w:hAnsi="Times New Roman" w:cs="Times New Roman"/>
        </w:rPr>
        <w:t>Response to Staff Data Request #1</w:t>
      </w:r>
      <w:r>
        <w:rPr>
          <w:rFonts w:ascii="Times New Roman" w:hAnsi="Times New Roman" w:cs="Times New Roman"/>
        </w:rPr>
        <w:t>, portions of Internal Labor are identified by various categories, including “Incentive – MGT/PT/CO-OP” and “Bonus/NonProd-Wholly.”</w:t>
      </w:r>
    </w:p>
  </w:footnote>
  <w:footnote w:id="52">
    <w:p w14:paraId="6FB5D9E5" w14:textId="77777777" w:rsidR="00433642" w:rsidRPr="006C257B" w:rsidRDefault="00433642" w:rsidP="00C826A0">
      <w:pPr>
        <w:pStyle w:val="FootnoteText"/>
        <w:spacing w:after="120"/>
        <w:rPr>
          <w:rFonts w:ascii="Times New Roman" w:hAnsi="Times New Roman" w:cs="Times New Roman"/>
        </w:rPr>
      </w:pPr>
      <w:r w:rsidRPr="006C257B">
        <w:rPr>
          <w:rStyle w:val="FootnoteReference"/>
          <w:rFonts w:ascii="Times New Roman" w:hAnsi="Times New Roman" w:cs="Times New Roman"/>
        </w:rPr>
        <w:footnoteRef/>
      </w:r>
      <w:r w:rsidRPr="006C257B">
        <w:rPr>
          <w:rFonts w:ascii="Times New Roman" w:hAnsi="Times New Roman" w:cs="Times New Roman"/>
        </w:rPr>
        <w:t xml:space="preserve"> </w:t>
      </w:r>
      <w:r w:rsidRPr="00A81370">
        <w:rPr>
          <w:rFonts w:ascii="Times New Roman" w:hAnsi="Times New Roman" w:cs="Times New Roman"/>
          <w:i/>
        </w:rPr>
        <w:t>See</w:t>
      </w:r>
      <w:r w:rsidRPr="006C257B">
        <w:rPr>
          <w:rFonts w:ascii="Times New Roman" w:hAnsi="Times New Roman" w:cs="Times New Roman"/>
        </w:rPr>
        <w:t xml:space="preserve"> </w:t>
      </w:r>
      <w:r w:rsidRPr="006C257B">
        <w:rPr>
          <w:rFonts w:ascii="Times New Roman" w:hAnsi="Times New Roman" w:cs="Times New Roman"/>
          <w:i/>
        </w:rPr>
        <w:t>In the Matter of the Application of Duke Energy Ohio, Inc. to Establish and Adjust the Initial Level of Its Distribution Reliability Rider</w:t>
      </w:r>
      <w:r w:rsidRPr="006C257B">
        <w:rPr>
          <w:rFonts w:ascii="Times New Roman" w:hAnsi="Times New Roman" w:cs="Times New Roman"/>
        </w:rPr>
        <w:t>, Case No. 09-1946-EL-RDR, Opinion and Order (January 11, 2011) at page 13.</w:t>
      </w:r>
    </w:p>
  </w:footnote>
  <w:footnote w:id="53">
    <w:p w14:paraId="2E751CE1" w14:textId="04600087" w:rsidR="00433642" w:rsidRPr="006C257B" w:rsidRDefault="00433642" w:rsidP="00C826A0">
      <w:pPr>
        <w:pStyle w:val="FootnoteText"/>
        <w:spacing w:after="120"/>
        <w:rPr>
          <w:rFonts w:ascii="Times New Roman" w:hAnsi="Times New Roman" w:cs="Times New Roman"/>
        </w:rPr>
      </w:pPr>
      <w:r w:rsidRPr="006C257B">
        <w:rPr>
          <w:rStyle w:val="FootnoteReference"/>
          <w:rFonts w:ascii="Times New Roman" w:hAnsi="Times New Roman" w:cs="Times New Roman"/>
          <w:i/>
        </w:rPr>
        <w:footnoteRef/>
      </w:r>
      <w:r w:rsidRPr="006C257B">
        <w:rPr>
          <w:rFonts w:ascii="Times New Roman" w:hAnsi="Times New Roman" w:cs="Times New Roman"/>
          <w:i/>
        </w:rPr>
        <w:t xml:space="preserve"> In re Duke Energy Ohio, Inc.</w:t>
      </w:r>
      <w:r w:rsidRPr="006C257B">
        <w:rPr>
          <w:rFonts w:ascii="Times New Roman" w:hAnsi="Times New Roman" w:cs="Times New Roman"/>
        </w:rPr>
        <w:t xml:space="preserve"> (2012), 131 Ohio St.3d 487, 489-490; 2012 Ohio 1509; 967 N.E.2d 201.</w:t>
      </w:r>
    </w:p>
  </w:footnote>
  <w:footnote w:id="54">
    <w:p w14:paraId="5DE1B2C9" w14:textId="77777777" w:rsidR="00433642" w:rsidRPr="00A81370" w:rsidRDefault="00433642" w:rsidP="00C826A0">
      <w:pPr>
        <w:pStyle w:val="FootnoteText"/>
        <w:spacing w:after="120"/>
        <w:rPr>
          <w:rFonts w:ascii="Times New Roman" w:eastAsia="Times New Roman" w:hAnsi="Times New Roman" w:cs="Times New Roman"/>
        </w:rPr>
      </w:pPr>
      <w:r w:rsidRPr="00A81370">
        <w:rPr>
          <w:rStyle w:val="FootnoteReference"/>
          <w:rFonts w:ascii="Times New Roman" w:hAnsi="Times New Roman" w:cs="Times New Roman"/>
        </w:rPr>
        <w:footnoteRef/>
      </w:r>
      <w:r w:rsidRPr="00A81370">
        <w:rPr>
          <w:rFonts w:ascii="Times New Roman" w:hAnsi="Times New Roman" w:cs="Times New Roman"/>
        </w:rPr>
        <w:t xml:space="preserve"> Application at 2.</w:t>
      </w:r>
    </w:p>
  </w:footnote>
  <w:footnote w:id="55">
    <w:p w14:paraId="3694BB10" w14:textId="77777777" w:rsidR="00433642" w:rsidRDefault="00433642" w:rsidP="00C826A0">
      <w:pPr>
        <w:pStyle w:val="FootnoteText"/>
        <w:spacing w:after="120"/>
      </w:pPr>
      <w:r w:rsidRPr="00A81370">
        <w:rPr>
          <w:rStyle w:val="FootnoteReference"/>
          <w:rFonts w:ascii="Times New Roman" w:hAnsi="Times New Roman" w:cs="Times New Roman"/>
        </w:rPr>
        <w:footnoteRef/>
      </w:r>
      <w:r w:rsidRPr="00A81370">
        <w:rPr>
          <w:rFonts w:ascii="Times New Roman" w:hAnsi="Times New Roman" w:cs="Times New Roman"/>
        </w:rPr>
        <w:t xml:space="preserve"> </w:t>
      </w:r>
      <w:r w:rsidRPr="00A81370">
        <w:rPr>
          <w:rFonts w:ascii="Times New Roman" w:hAnsi="Times New Roman" w:cs="Times New Roman"/>
          <w:i/>
        </w:rPr>
        <w:t>Id.</w:t>
      </w:r>
    </w:p>
  </w:footnote>
  <w:footnote w:id="56">
    <w:p w14:paraId="02D919D3" w14:textId="77777777" w:rsidR="00433642" w:rsidRPr="00DE2451" w:rsidRDefault="00433642" w:rsidP="00C826A0">
      <w:pPr>
        <w:pStyle w:val="FootnoteText"/>
        <w:spacing w:after="120"/>
        <w:rPr>
          <w:rFonts w:ascii="Times New Roman" w:hAnsi="Times New Roman" w:cs="Times New Roman"/>
        </w:rPr>
      </w:pPr>
      <w:r w:rsidRPr="00DE2451">
        <w:rPr>
          <w:rStyle w:val="FootnoteReference"/>
          <w:rFonts w:ascii="Times New Roman" w:hAnsi="Times New Roman" w:cs="Times New Roman"/>
        </w:rPr>
        <w:footnoteRef/>
      </w:r>
      <w:r w:rsidRPr="00DE2451">
        <w:rPr>
          <w:rFonts w:ascii="Times New Roman" w:hAnsi="Times New Roman" w:cs="Times New Roman"/>
        </w:rPr>
        <w:t xml:space="preserve"> </w:t>
      </w:r>
      <w:r w:rsidRPr="00DE2451">
        <w:rPr>
          <w:rFonts w:ascii="Times New Roman" w:hAnsi="Times New Roman" w:cs="Times New Roman"/>
          <w:i/>
        </w:rPr>
        <w:t>In the Matter of the Application of Columbus Southern Power Company</w:t>
      </w:r>
      <w:r w:rsidRPr="00DE2451">
        <w:rPr>
          <w:rFonts w:ascii="Times New Roman" w:hAnsi="Times New Roman" w:cs="Times New Roman"/>
        </w:rPr>
        <w:t xml:space="preserve">, Case No. 11-346-EL-SSO </w:t>
      </w:r>
      <w:r w:rsidRPr="00DE2451">
        <w:rPr>
          <w:rFonts w:ascii="Times New Roman" w:hAnsi="Times New Roman" w:cs="Times New Roman"/>
          <w:i/>
        </w:rPr>
        <w:t>et al.</w:t>
      </w:r>
      <w:r w:rsidRPr="00DE2451">
        <w:rPr>
          <w:rFonts w:ascii="Times New Roman" w:hAnsi="Times New Roman" w:cs="Times New Roman"/>
        </w:rPr>
        <w:t>,</w:t>
      </w:r>
      <w:r w:rsidRPr="00DE2451">
        <w:rPr>
          <w:rFonts w:ascii="Times New Roman" w:hAnsi="Times New Roman" w:cs="Times New Roman"/>
          <w:color w:val="333333"/>
          <w:shd w:val="clear" w:color="auto" w:fill="FFFFFF"/>
        </w:rPr>
        <w:t xml:space="preserve"> </w:t>
      </w:r>
      <w:r w:rsidRPr="00DE2451">
        <w:rPr>
          <w:rFonts w:ascii="Times New Roman" w:hAnsi="Times New Roman" w:cs="Times New Roman"/>
        </w:rPr>
        <w:t>2012 Ohio PUC LEXIS 738 at *88, Opinion and Order (Aug. 8, 2012).</w:t>
      </w:r>
    </w:p>
  </w:footnote>
  <w:footnote w:id="57">
    <w:p w14:paraId="5DC0724A" w14:textId="77777777" w:rsidR="00433642" w:rsidRDefault="00433642" w:rsidP="00C826A0">
      <w:pPr>
        <w:pStyle w:val="FootnoteText"/>
        <w:spacing w:after="120"/>
      </w:pPr>
      <w:r w:rsidRPr="00DE2451">
        <w:rPr>
          <w:rStyle w:val="FootnoteReference"/>
          <w:rFonts w:ascii="Times New Roman" w:hAnsi="Times New Roman" w:cs="Times New Roman"/>
        </w:rPr>
        <w:footnoteRef/>
      </w:r>
      <w:r w:rsidRPr="00DE2451">
        <w:rPr>
          <w:rFonts w:ascii="Times New Roman" w:hAnsi="Times New Roman" w:cs="Times New Roman"/>
        </w:rPr>
        <w:t xml:space="preserve"> </w:t>
      </w:r>
      <w:r w:rsidRPr="00DE2451">
        <w:rPr>
          <w:rFonts w:ascii="Times New Roman" w:hAnsi="Times New Roman" w:cs="Times New Roman"/>
          <w:i/>
        </w:rPr>
        <w:t>Id.</w:t>
      </w:r>
      <w:r>
        <w:rPr>
          <w:i/>
        </w:rPr>
        <w:t xml:space="preserve"> </w:t>
      </w:r>
    </w:p>
  </w:footnote>
  <w:footnote w:id="58">
    <w:p w14:paraId="3AED7B65" w14:textId="77777777" w:rsidR="00433642" w:rsidRPr="00A81370" w:rsidRDefault="00433642" w:rsidP="00C826A0">
      <w:pPr>
        <w:pStyle w:val="FootnoteText"/>
        <w:spacing w:after="120"/>
        <w:rPr>
          <w:rFonts w:ascii="Times New Roman" w:hAnsi="Times New Roman" w:cs="Times New Roman"/>
        </w:rPr>
      </w:pPr>
      <w:r w:rsidRPr="00A81370">
        <w:rPr>
          <w:rStyle w:val="FootnoteReference"/>
          <w:rFonts w:ascii="Times New Roman" w:hAnsi="Times New Roman" w:cs="Times New Roman"/>
        </w:rPr>
        <w:footnoteRef/>
      </w:r>
      <w:r w:rsidRPr="00A81370">
        <w:rPr>
          <w:rFonts w:ascii="Times New Roman" w:hAnsi="Times New Roman" w:cs="Times New Roman"/>
        </w:rPr>
        <w:t xml:space="preserve"> Post-He</w:t>
      </w:r>
      <w:r w:rsidRPr="002C5FAF">
        <w:rPr>
          <w:rFonts w:ascii="Times New Roman" w:hAnsi="Times New Roman" w:cs="Times New Roman"/>
        </w:rPr>
        <w:t>aring Brief of PUCO Staff at 25</w:t>
      </w:r>
      <w:r>
        <w:rPr>
          <w:rFonts w:ascii="Times New Roman" w:hAnsi="Times New Roman" w:cs="Times New Roman"/>
        </w:rPr>
        <w:t xml:space="preserve">, </w:t>
      </w:r>
      <w:r w:rsidRPr="00545E9B">
        <w:rPr>
          <w:rFonts w:ascii="Times New Roman" w:hAnsi="Times New Roman" w:cs="Times New Roman"/>
        </w:rPr>
        <w:t>PUCO Case No. 12-426-EL-SSO,</w:t>
      </w:r>
    </w:p>
  </w:footnote>
  <w:footnote w:id="59">
    <w:p w14:paraId="43A39B7F" w14:textId="4868A6ED" w:rsidR="00433642" w:rsidRPr="00A81370" w:rsidRDefault="00433642" w:rsidP="00C826A0">
      <w:pPr>
        <w:pStyle w:val="FootnoteText"/>
        <w:spacing w:after="120"/>
        <w:rPr>
          <w:rFonts w:ascii="Times New Roman" w:hAnsi="Times New Roman" w:cs="Times New Roman"/>
        </w:rPr>
      </w:pPr>
      <w:r w:rsidRPr="00A81370">
        <w:rPr>
          <w:rStyle w:val="FootnoteReference"/>
          <w:rFonts w:ascii="Times New Roman" w:hAnsi="Times New Roman" w:cs="Times New Roman"/>
        </w:rPr>
        <w:footnoteRef/>
      </w:r>
      <w:r w:rsidRPr="00A81370">
        <w:rPr>
          <w:rFonts w:ascii="Times New Roman" w:hAnsi="Times New Roman" w:cs="Times New Roman"/>
        </w:rPr>
        <w:t xml:space="preserve"> Direct Testimony of PUCO Staff </w:t>
      </w:r>
      <w:r w:rsidRPr="002C5FAF">
        <w:rPr>
          <w:rFonts w:ascii="Times New Roman" w:hAnsi="Times New Roman" w:cs="Times New Roman"/>
        </w:rPr>
        <w:t>witness David M. Lipthratt at 5</w:t>
      </w:r>
      <w:r>
        <w:rPr>
          <w:rFonts w:ascii="Times New Roman" w:hAnsi="Times New Roman" w:cs="Times New Roman"/>
        </w:rPr>
        <w:t xml:space="preserve">, </w:t>
      </w:r>
      <w:r w:rsidRPr="00545E9B">
        <w:rPr>
          <w:rFonts w:ascii="Times New Roman" w:hAnsi="Times New Roman" w:cs="Times New Roman"/>
        </w:rPr>
        <w:t>PUCO Case No. 12-426-EL-SSO</w:t>
      </w:r>
      <w:r>
        <w:rPr>
          <w:rFonts w:ascii="Times New Roman" w:hAnsi="Times New Roman" w:cs="Times New Roman"/>
        </w:rPr>
        <w:t>.</w:t>
      </w:r>
    </w:p>
  </w:footnote>
  <w:footnote w:id="60">
    <w:p w14:paraId="76912DC0" w14:textId="71D8ACAF" w:rsidR="00433642" w:rsidRDefault="00433642" w:rsidP="00C826A0">
      <w:pPr>
        <w:pStyle w:val="FootnoteText"/>
        <w:spacing w:after="120"/>
      </w:pPr>
      <w:r>
        <w:rPr>
          <w:rStyle w:val="FootnoteReference"/>
        </w:rPr>
        <w:footnoteRef/>
      </w:r>
      <w:r>
        <w:t xml:space="preserve"> </w:t>
      </w:r>
      <w:r w:rsidRPr="00A81370">
        <w:rPr>
          <w:rFonts w:ascii="Times New Roman" w:hAnsi="Times New Roman" w:cs="Times New Roman"/>
        </w:rPr>
        <w:t xml:space="preserve">Direct Testimony of PUCO Staff </w:t>
      </w:r>
      <w:r w:rsidRPr="002C5FAF">
        <w:rPr>
          <w:rFonts w:ascii="Times New Roman" w:hAnsi="Times New Roman" w:cs="Times New Roman"/>
        </w:rPr>
        <w:t xml:space="preserve">witness David M. Lipthratt at </w:t>
      </w:r>
      <w:r>
        <w:rPr>
          <w:rFonts w:ascii="Times New Roman" w:hAnsi="Times New Roman" w:cs="Times New Roman"/>
        </w:rPr>
        <w:t xml:space="preserve">7, </w:t>
      </w:r>
      <w:r w:rsidRPr="00545E9B">
        <w:rPr>
          <w:rFonts w:ascii="Times New Roman" w:hAnsi="Times New Roman" w:cs="Times New Roman"/>
        </w:rPr>
        <w:t>PUCO Case No. 12-426-EL-SSO</w:t>
      </w:r>
      <w:r>
        <w:rPr>
          <w:rFonts w:ascii="Times New Roman" w:hAnsi="Times New Roman" w:cs="Times New Roman"/>
        </w:rPr>
        <w:t>.</w:t>
      </w:r>
    </w:p>
  </w:footnote>
  <w:footnote w:id="61">
    <w:p w14:paraId="3A951E0E" w14:textId="2065A691" w:rsidR="00433642" w:rsidRDefault="00433642" w:rsidP="00C826A0">
      <w:pPr>
        <w:pStyle w:val="FootnoteText"/>
        <w:spacing w:after="120"/>
      </w:pPr>
      <w:r>
        <w:rPr>
          <w:rStyle w:val="FootnoteReference"/>
        </w:rPr>
        <w:footnoteRef/>
      </w:r>
      <w:r>
        <w:t xml:space="preserve"> </w:t>
      </w:r>
      <w:r w:rsidRPr="00A81370">
        <w:rPr>
          <w:rFonts w:ascii="Times New Roman" w:hAnsi="Times New Roman" w:cs="Times New Roman"/>
        </w:rPr>
        <w:t xml:space="preserve">Direct Testimony of PUCO Staff </w:t>
      </w:r>
      <w:r>
        <w:rPr>
          <w:rFonts w:ascii="Times New Roman" w:hAnsi="Times New Roman" w:cs="Times New Roman"/>
        </w:rPr>
        <w:t xml:space="preserve">witness David M. Lipthratt at 6, </w:t>
      </w:r>
      <w:r w:rsidRPr="00545E9B">
        <w:rPr>
          <w:rFonts w:ascii="Times New Roman" w:hAnsi="Times New Roman" w:cs="Times New Roman"/>
        </w:rPr>
        <w:t>PUCO Case No. 12-426-EL-SSO</w:t>
      </w:r>
      <w:r>
        <w:rPr>
          <w:rFonts w:ascii="Times New Roman" w:hAnsi="Times New Roman" w:cs="Times New Roman"/>
        </w:rPr>
        <w:t>.</w:t>
      </w:r>
    </w:p>
  </w:footnote>
  <w:footnote w:id="62">
    <w:p w14:paraId="05AEC9F1" w14:textId="2880795A" w:rsidR="00433642" w:rsidRPr="00DE2451" w:rsidRDefault="00433642" w:rsidP="00C826A0">
      <w:pPr>
        <w:pStyle w:val="FootnoteText"/>
        <w:spacing w:after="120"/>
        <w:rPr>
          <w:rFonts w:ascii="Times New Roman" w:hAnsi="Times New Roman" w:cs="Times New Roman"/>
        </w:rPr>
      </w:pPr>
      <w:r w:rsidRPr="0065534A">
        <w:rPr>
          <w:rStyle w:val="FootnoteReference"/>
          <w:rFonts w:ascii="Times New Roman" w:hAnsi="Times New Roman" w:cs="Times New Roman"/>
        </w:rPr>
        <w:footnoteRef/>
      </w:r>
      <w:r w:rsidRPr="0049180E">
        <w:rPr>
          <w:rFonts w:ascii="Times New Roman" w:hAnsi="Times New Roman" w:cs="Times New Roman"/>
        </w:rPr>
        <w:t xml:space="preserve"> Post-He</w:t>
      </w:r>
      <w:r w:rsidRPr="00DE2451">
        <w:rPr>
          <w:rFonts w:ascii="Times New Roman" w:hAnsi="Times New Roman" w:cs="Times New Roman"/>
        </w:rPr>
        <w:t>aring Brief of PUCO Staff at 25, PUCO Case No. 12-426-EL-SSO</w:t>
      </w:r>
      <w:r>
        <w:rPr>
          <w:rFonts w:ascii="Times New Roman" w:hAnsi="Times New Roman" w:cs="Times New Roman"/>
        </w:rPr>
        <w:t>.</w:t>
      </w:r>
    </w:p>
  </w:footnote>
  <w:footnote w:id="63">
    <w:p w14:paraId="1D85E7A3" w14:textId="6D873950" w:rsidR="00433642" w:rsidRPr="00DE2451" w:rsidRDefault="00433642" w:rsidP="00C826A0">
      <w:pPr>
        <w:pStyle w:val="FootnoteText"/>
        <w:spacing w:after="120"/>
        <w:rPr>
          <w:rFonts w:ascii="Times New Roman" w:hAnsi="Times New Roman" w:cs="Times New Roman"/>
        </w:rPr>
      </w:pPr>
      <w:r w:rsidRPr="00DE2451">
        <w:rPr>
          <w:rStyle w:val="FootnoteReference"/>
          <w:rFonts w:ascii="Times New Roman" w:hAnsi="Times New Roman" w:cs="Times New Roman"/>
        </w:rPr>
        <w:footnoteRef/>
      </w:r>
      <w:r w:rsidRPr="00DE2451">
        <w:rPr>
          <w:rFonts w:ascii="Times New Roman" w:hAnsi="Times New Roman" w:cs="Times New Roman"/>
        </w:rPr>
        <w:t xml:space="preserve"> </w:t>
      </w:r>
      <w:r w:rsidRPr="00DE2451">
        <w:rPr>
          <w:rFonts w:ascii="Times New Roman" w:hAnsi="Times New Roman" w:cs="Times New Roman"/>
          <w:i/>
        </w:rPr>
        <w:t>See</w:t>
      </w:r>
      <w:r w:rsidRPr="00DE2451">
        <w:rPr>
          <w:rFonts w:ascii="Times New Roman" w:hAnsi="Times New Roman" w:cs="Times New Roman"/>
        </w:rPr>
        <w:t xml:space="preserve"> Direct Testimony of PUCO Staff witness David M. Lipthratt at 7, </w:t>
      </w:r>
      <w:r w:rsidRPr="0065534A">
        <w:rPr>
          <w:rFonts w:ascii="Times New Roman" w:hAnsi="Times New Roman" w:cs="Times New Roman"/>
        </w:rPr>
        <w:t>PUCO Case No. 12-426-EL-SSO</w:t>
      </w:r>
      <w:r>
        <w:rPr>
          <w:rFonts w:ascii="Times New Roman" w:hAnsi="Times New Roman" w:cs="Times New Roman"/>
        </w:rPr>
        <w:t>.</w:t>
      </w:r>
    </w:p>
  </w:footnote>
  <w:footnote w:id="64">
    <w:p w14:paraId="35141DD3" w14:textId="77777777" w:rsidR="00433642" w:rsidRPr="00DE2451" w:rsidRDefault="00433642" w:rsidP="00C826A0">
      <w:pPr>
        <w:pStyle w:val="FootnoteText"/>
        <w:spacing w:after="120"/>
        <w:rPr>
          <w:rFonts w:ascii="Times New Roman" w:hAnsi="Times New Roman" w:cs="Times New Roman"/>
        </w:rPr>
      </w:pPr>
      <w:r w:rsidRPr="00DE2451">
        <w:rPr>
          <w:rStyle w:val="FootnoteReference"/>
          <w:rFonts w:ascii="Times New Roman" w:hAnsi="Times New Roman" w:cs="Times New Roman"/>
        </w:rPr>
        <w:footnoteRef/>
      </w:r>
      <w:r w:rsidRPr="00DE2451">
        <w:rPr>
          <w:rFonts w:ascii="Times New Roman" w:hAnsi="Times New Roman" w:cs="Times New Roman"/>
        </w:rPr>
        <w:t xml:space="preserve"> </w:t>
      </w:r>
      <w:r w:rsidRPr="00DE2451">
        <w:rPr>
          <w:rFonts w:ascii="Times New Roman" w:hAnsi="Times New Roman" w:cs="Times New Roman"/>
          <w:i/>
        </w:rPr>
        <w:t>Id.</w:t>
      </w:r>
      <w:r w:rsidRPr="00DE2451">
        <w:rPr>
          <w:rFonts w:ascii="Times New Roman" w:hAnsi="Times New Roman" w:cs="Times New Roman"/>
        </w:rPr>
        <w:t xml:space="preserve"> at 6-7.</w:t>
      </w:r>
    </w:p>
  </w:footnote>
  <w:footnote w:id="65">
    <w:p w14:paraId="5FC8F7AD" w14:textId="77777777" w:rsidR="00433642" w:rsidRDefault="00433642" w:rsidP="00C826A0">
      <w:pPr>
        <w:pStyle w:val="FootnoteText"/>
        <w:spacing w:after="120"/>
      </w:pPr>
      <w:r w:rsidRPr="00DE2451">
        <w:rPr>
          <w:rStyle w:val="FootnoteReference"/>
          <w:rFonts w:ascii="Times New Roman" w:hAnsi="Times New Roman" w:cs="Times New Roman"/>
        </w:rPr>
        <w:footnoteRef/>
      </w:r>
      <w:r w:rsidRPr="00DE2451">
        <w:rPr>
          <w:rFonts w:ascii="Times New Roman" w:hAnsi="Times New Roman" w:cs="Times New Roman"/>
        </w:rPr>
        <w:t xml:space="preserve"> </w:t>
      </w:r>
      <w:r w:rsidRPr="00DE2451">
        <w:rPr>
          <w:rFonts w:ascii="Times New Roman" w:hAnsi="Times New Roman" w:cs="Times New Roman"/>
          <w:i/>
        </w:rPr>
        <w:t>Id.</w:t>
      </w:r>
      <w:r w:rsidRPr="00DE2451">
        <w:rPr>
          <w:rFonts w:ascii="Times New Roman" w:hAnsi="Times New Roman" w:cs="Times New Roman"/>
        </w:rPr>
        <w:t xml:space="preserve"> at 8.</w:t>
      </w:r>
    </w:p>
  </w:footnote>
  <w:footnote w:id="66">
    <w:p w14:paraId="3BD28163" w14:textId="77777777" w:rsidR="00433642" w:rsidRDefault="00433642" w:rsidP="00C826A0">
      <w:pPr>
        <w:pStyle w:val="FootnoteText"/>
        <w:spacing w:after="120"/>
      </w:pPr>
      <w:r>
        <w:rPr>
          <w:rStyle w:val="FootnoteReference"/>
        </w:rPr>
        <w:footnoteRef/>
      </w:r>
      <w:r>
        <w:t xml:space="preserve"> </w:t>
      </w:r>
      <w:r w:rsidRPr="00DE2451">
        <w:rPr>
          <w:rFonts w:ascii="Times New Roman" w:hAnsi="Times New Roman" w:cs="Times New Roman"/>
          <w:i/>
        </w:rPr>
        <w:t>Id.</w:t>
      </w:r>
      <w:r w:rsidRPr="00DE2451">
        <w:rPr>
          <w:rFonts w:ascii="Times New Roman" w:hAnsi="Times New Roman" w:cs="Times New Roman"/>
        </w:rPr>
        <w:t xml:space="preserve"> at 7.</w:t>
      </w:r>
    </w:p>
  </w:footnote>
  <w:footnote w:id="67">
    <w:p w14:paraId="15BA8F21" w14:textId="77777777" w:rsidR="00433642" w:rsidRPr="00DE2451" w:rsidRDefault="00433642" w:rsidP="00C826A0">
      <w:pPr>
        <w:pStyle w:val="FootnoteText"/>
        <w:spacing w:after="120"/>
        <w:rPr>
          <w:rFonts w:ascii="Times New Roman" w:hAnsi="Times New Roman" w:cs="Times New Roman"/>
        </w:rPr>
      </w:pPr>
      <w:r w:rsidRPr="00DE2451">
        <w:rPr>
          <w:rStyle w:val="FootnoteReference"/>
          <w:rFonts w:ascii="Times New Roman" w:hAnsi="Times New Roman" w:cs="Times New Roman"/>
        </w:rPr>
        <w:footnoteRef/>
      </w:r>
      <w:r w:rsidRPr="00DE2451">
        <w:rPr>
          <w:rFonts w:ascii="Times New Roman" w:hAnsi="Times New Roman" w:cs="Times New Roman"/>
        </w:rPr>
        <w:t xml:space="preserve"> </w:t>
      </w:r>
      <w:r w:rsidRPr="00DE2451">
        <w:rPr>
          <w:rFonts w:ascii="Times New Roman" w:hAnsi="Times New Roman" w:cs="Times New Roman"/>
          <w:i/>
        </w:rPr>
        <w:t>Id.</w:t>
      </w:r>
      <w:r w:rsidRPr="00DE2451">
        <w:rPr>
          <w:rFonts w:ascii="Times New Roman" w:hAnsi="Times New Roman" w:cs="Times New Roman"/>
        </w:rPr>
        <w:t xml:space="preserve"> at 8.</w:t>
      </w:r>
    </w:p>
  </w:footnote>
  <w:footnote w:id="68">
    <w:p w14:paraId="3111A880" w14:textId="77777777" w:rsidR="00433642" w:rsidRPr="00A81370" w:rsidRDefault="00433642" w:rsidP="00C826A0">
      <w:pPr>
        <w:pStyle w:val="FootnoteText"/>
        <w:spacing w:after="120"/>
        <w:rPr>
          <w:rFonts w:ascii="Times New Roman" w:hAnsi="Times New Roman" w:cs="Times New Roman"/>
        </w:rPr>
      </w:pPr>
      <w:r w:rsidRPr="0049180E">
        <w:rPr>
          <w:rStyle w:val="FootnoteReference"/>
          <w:rFonts w:ascii="Times New Roman" w:hAnsi="Times New Roman" w:cs="Times New Roman"/>
        </w:rPr>
        <w:footnoteRef/>
      </w:r>
      <w:r w:rsidRPr="00DE2451">
        <w:rPr>
          <w:rFonts w:ascii="Times New Roman" w:hAnsi="Times New Roman" w:cs="Times New Roman"/>
        </w:rPr>
        <w:t xml:space="preserve"> </w:t>
      </w:r>
      <w:r w:rsidRPr="00DE2451">
        <w:rPr>
          <w:rFonts w:ascii="Times New Roman" w:hAnsi="Times New Roman" w:cs="Times New Roman"/>
          <w:i/>
        </w:rPr>
        <w:t>In the Matter of the Application of Columbus Southern Power Company and Ohio Power Company for Authority to Establish a Standard Service Offer Pursuant to Section 4928.143, Revised Code, in the Form of an Electric Security Plan,</w:t>
      </w:r>
      <w:r w:rsidRPr="00DE2451">
        <w:rPr>
          <w:rFonts w:ascii="Times New Roman" w:hAnsi="Times New Roman" w:cs="Times New Roman"/>
        </w:rPr>
        <w:t xml:space="preserve"> Case No. 11-346-EL-SSO </w:t>
      </w:r>
      <w:r w:rsidRPr="00DE2451">
        <w:rPr>
          <w:rFonts w:ascii="Times New Roman" w:hAnsi="Times New Roman" w:cs="Times New Roman"/>
          <w:i/>
        </w:rPr>
        <w:t>et al.</w:t>
      </w:r>
      <w:r w:rsidRPr="00DE2451">
        <w:rPr>
          <w:rFonts w:ascii="Times New Roman" w:hAnsi="Times New Roman" w:cs="Times New Roman"/>
        </w:rPr>
        <w:t>, Opinion and Order at 68-69 (Aug. 8,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377B5" w14:textId="77777777" w:rsidR="00CB0244" w:rsidRDefault="00CB02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3BC1D" w14:textId="77777777" w:rsidR="00CB0244" w:rsidRDefault="00CB02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5D729" w14:textId="77777777" w:rsidR="00CB0244" w:rsidRDefault="00CB02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9CDA0" w14:textId="77777777" w:rsidR="00433642" w:rsidRDefault="0043364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BE8D4" w14:textId="77777777" w:rsidR="00433642" w:rsidRDefault="0043364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28757" w14:textId="77777777" w:rsidR="00433642" w:rsidRDefault="0043364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13E38" w14:textId="77777777" w:rsidR="00433642" w:rsidRDefault="0043364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B2818" w14:textId="77777777" w:rsidR="00433642" w:rsidRDefault="0043364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6D6E1" w14:textId="77777777" w:rsidR="00433642" w:rsidRDefault="004336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B6D"/>
    <w:multiLevelType w:val="hybridMultilevel"/>
    <w:tmpl w:val="06728C52"/>
    <w:lvl w:ilvl="0" w:tplc="527A86E2">
      <w:start w:val="3"/>
      <w:numFmt w:val="bullet"/>
      <w:lvlText w:val=""/>
      <w:lvlJc w:val="left"/>
      <w:pPr>
        <w:ind w:left="630" w:hanging="360"/>
      </w:pPr>
      <w:rPr>
        <w:rFonts w:ascii="Symbol" w:eastAsiaTheme="minorHAnsi"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045A1206"/>
    <w:multiLevelType w:val="hybridMultilevel"/>
    <w:tmpl w:val="B9EE8432"/>
    <w:lvl w:ilvl="0" w:tplc="A684B90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9CC7841"/>
    <w:multiLevelType w:val="hybridMultilevel"/>
    <w:tmpl w:val="C7AE161A"/>
    <w:lvl w:ilvl="0" w:tplc="25CA1C66">
      <w:start w:val="1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245633"/>
    <w:multiLevelType w:val="hybridMultilevel"/>
    <w:tmpl w:val="36746886"/>
    <w:lvl w:ilvl="0" w:tplc="BEFA32AC">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0593294"/>
    <w:multiLevelType w:val="hybridMultilevel"/>
    <w:tmpl w:val="FC143462"/>
    <w:lvl w:ilvl="0" w:tplc="A6CAFCCE">
      <w:start w:val="3"/>
      <w:numFmt w:val="bullet"/>
      <w:lvlText w:val=""/>
      <w:lvlJc w:val="left"/>
      <w:pPr>
        <w:ind w:left="720" w:hanging="360"/>
      </w:pPr>
      <w:rPr>
        <w:rFonts w:ascii="Symbol" w:eastAsiaTheme="minorHAnsi" w:hAnsi="Symbol" w:cs="Times New Roman" w:hint="default"/>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76136"/>
    <w:multiLevelType w:val="hybridMultilevel"/>
    <w:tmpl w:val="DFFA1DD6"/>
    <w:lvl w:ilvl="0" w:tplc="556EB8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C7242E"/>
    <w:multiLevelType w:val="hybridMultilevel"/>
    <w:tmpl w:val="995A794A"/>
    <w:lvl w:ilvl="0" w:tplc="4142E52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E15BF2"/>
    <w:multiLevelType w:val="hybridMultilevel"/>
    <w:tmpl w:val="3A927DB8"/>
    <w:lvl w:ilvl="0" w:tplc="9620CB3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F568FE"/>
    <w:multiLevelType w:val="hybridMultilevel"/>
    <w:tmpl w:val="AF889752"/>
    <w:lvl w:ilvl="0" w:tplc="128CEFA8">
      <w:start w:val="3"/>
      <w:numFmt w:val="bullet"/>
      <w:lvlText w:val=""/>
      <w:lvlJc w:val="left"/>
      <w:pPr>
        <w:ind w:left="720" w:hanging="360"/>
      </w:pPr>
      <w:rPr>
        <w:rFonts w:ascii="Symbol" w:eastAsiaTheme="minorHAnsi" w:hAnsi="Symbol" w:cs="Times New Roman" w:hint="default"/>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F3F65"/>
    <w:multiLevelType w:val="hybridMultilevel"/>
    <w:tmpl w:val="697ACD8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nsid w:val="39C44F52"/>
    <w:multiLevelType w:val="hybridMultilevel"/>
    <w:tmpl w:val="C71285B0"/>
    <w:lvl w:ilvl="0" w:tplc="D0C822B4">
      <w:start w:val="200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EBC6A09"/>
    <w:multiLevelType w:val="hybridMultilevel"/>
    <w:tmpl w:val="4978D0AA"/>
    <w:lvl w:ilvl="0" w:tplc="DCE0FFE2">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404B80"/>
    <w:multiLevelType w:val="hybridMultilevel"/>
    <w:tmpl w:val="8B9A0358"/>
    <w:lvl w:ilvl="0" w:tplc="E5E0429A">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007C3C"/>
    <w:multiLevelType w:val="hybridMultilevel"/>
    <w:tmpl w:val="DFFA1DD6"/>
    <w:lvl w:ilvl="0" w:tplc="556EB8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16D1804"/>
    <w:multiLevelType w:val="hybridMultilevel"/>
    <w:tmpl w:val="C4489F3A"/>
    <w:lvl w:ilvl="0" w:tplc="AC98D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F2F49A1"/>
    <w:multiLevelType w:val="hybridMultilevel"/>
    <w:tmpl w:val="B1CECDB0"/>
    <w:lvl w:ilvl="0" w:tplc="5ACCA2F8">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010119C"/>
    <w:multiLevelType w:val="hybridMultilevel"/>
    <w:tmpl w:val="2C60C136"/>
    <w:lvl w:ilvl="0" w:tplc="47DC3016">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E64219B"/>
    <w:multiLevelType w:val="hybridMultilevel"/>
    <w:tmpl w:val="551EE5C8"/>
    <w:lvl w:ilvl="0" w:tplc="93B61BD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0"/>
  </w:num>
  <w:num w:numId="3">
    <w:abstractNumId w:val="12"/>
  </w:num>
  <w:num w:numId="4">
    <w:abstractNumId w:val="16"/>
  </w:num>
  <w:num w:numId="5">
    <w:abstractNumId w:val="10"/>
  </w:num>
  <w:num w:numId="6">
    <w:abstractNumId w:val="11"/>
  </w:num>
  <w:num w:numId="7">
    <w:abstractNumId w:val="4"/>
  </w:num>
  <w:num w:numId="8">
    <w:abstractNumId w:val="8"/>
  </w:num>
  <w:num w:numId="9">
    <w:abstractNumId w:val="2"/>
  </w:num>
  <w:num w:numId="10">
    <w:abstractNumId w:val="1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15"/>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C1"/>
    <w:rsid w:val="00004749"/>
    <w:rsid w:val="0001059D"/>
    <w:rsid w:val="00010E70"/>
    <w:rsid w:val="000118E5"/>
    <w:rsid w:val="00011993"/>
    <w:rsid w:val="0001247C"/>
    <w:rsid w:val="00016480"/>
    <w:rsid w:val="000206E5"/>
    <w:rsid w:val="00025748"/>
    <w:rsid w:val="00026885"/>
    <w:rsid w:val="0003500A"/>
    <w:rsid w:val="0003648D"/>
    <w:rsid w:val="00045600"/>
    <w:rsid w:val="000467EB"/>
    <w:rsid w:val="000529B0"/>
    <w:rsid w:val="000543DB"/>
    <w:rsid w:val="00061888"/>
    <w:rsid w:val="0006338D"/>
    <w:rsid w:val="00070027"/>
    <w:rsid w:val="00073834"/>
    <w:rsid w:val="00075F9B"/>
    <w:rsid w:val="00083D69"/>
    <w:rsid w:val="00086AC6"/>
    <w:rsid w:val="00087034"/>
    <w:rsid w:val="00093E3D"/>
    <w:rsid w:val="0009708C"/>
    <w:rsid w:val="000A2307"/>
    <w:rsid w:val="000A3B4F"/>
    <w:rsid w:val="000B20E8"/>
    <w:rsid w:val="000B28F7"/>
    <w:rsid w:val="000B58F2"/>
    <w:rsid w:val="000B5E63"/>
    <w:rsid w:val="000B61AF"/>
    <w:rsid w:val="000C0B83"/>
    <w:rsid w:val="000C7F0C"/>
    <w:rsid w:val="000D088A"/>
    <w:rsid w:val="000D6C0F"/>
    <w:rsid w:val="000E064E"/>
    <w:rsid w:val="000E3645"/>
    <w:rsid w:val="000E3C97"/>
    <w:rsid w:val="000E6FA5"/>
    <w:rsid w:val="000F0D06"/>
    <w:rsid w:val="000F37C4"/>
    <w:rsid w:val="000F5D04"/>
    <w:rsid w:val="00102F61"/>
    <w:rsid w:val="001035EE"/>
    <w:rsid w:val="0010546F"/>
    <w:rsid w:val="00111503"/>
    <w:rsid w:val="0011336B"/>
    <w:rsid w:val="0011398E"/>
    <w:rsid w:val="00120DFA"/>
    <w:rsid w:val="00127EF5"/>
    <w:rsid w:val="001304D3"/>
    <w:rsid w:val="001450EA"/>
    <w:rsid w:val="001474DE"/>
    <w:rsid w:val="00150EB5"/>
    <w:rsid w:val="00152CFD"/>
    <w:rsid w:val="00153145"/>
    <w:rsid w:val="00153701"/>
    <w:rsid w:val="001559A2"/>
    <w:rsid w:val="001572F0"/>
    <w:rsid w:val="00160280"/>
    <w:rsid w:val="001617F9"/>
    <w:rsid w:val="00161C05"/>
    <w:rsid w:val="0016546A"/>
    <w:rsid w:val="00166F55"/>
    <w:rsid w:val="00174B3D"/>
    <w:rsid w:val="00182CDC"/>
    <w:rsid w:val="001837EA"/>
    <w:rsid w:val="001852DD"/>
    <w:rsid w:val="00185E40"/>
    <w:rsid w:val="001931CF"/>
    <w:rsid w:val="00193959"/>
    <w:rsid w:val="001A4E73"/>
    <w:rsid w:val="001A673B"/>
    <w:rsid w:val="001A6E93"/>
    <w:rsid w:val="001A7C4D"/>
    <w:rsid w:val="001B2E1D"/>
    <w:rsid w:val="001B543B"/>
    <w:rsid w:val="001C3EC1"/>
    <w:rsid w:val="001C3FCB"/>
    <w:rsid w:val="001D0209"/>
    <w:rsid w:val="001D61E3"/>
    <w:rsid w:val="001D6764"/>
    <w:rsid w:val="001E60D0"/>
    <w:rsid w:val="001F3AD3"/>
    <w:rsid w:val="001F6768"/>
    <w:rsid w:val="001F7144"/>
    <w:rsid w:val="001F7DEA"/>
    <w:rsid w:val="00207618"/>
    <w:rsid w:val="002110A0"/>
    <w:rsid w:val="002113E0"/>
    <w:rsid w:val="00212914"/>
    <w:rsid w:val="002129B0"/>
    <w:rsid w:val="00213236"/>
    <w:rsid w:val="002142F8"/>
    <w:rsid w:val="00214924"/>
    <w:rsid w:val="002161D4"/>
    <w:rsid w:val="0022035A"/>
    <w:rsid w:val="00222635"/>
    <w:rsid w:val="002250AF"/>
    <w:rsid w:val="00227BF1"/>
    <w:rsid w:val="00231D26"/>
    <w:rsid w:val="00232599"/>
    <w:rsid w:val="00234453"/>
    <w:rsid w:val="00236513"/>
    <w:rsid w:val="00237915"/>
    <w:rsid w:val="00237A23"/>
    <w:rsid w:val="002421CB"/>
    <w:rsid w:val="0025375D"/>
    <w:rsid w:val="00253879"/>
    <w:rsid w:val="00256F5F"/>
    <w:rsid w:val="00263E1A"/>
    <w:rsid w:val="00266727"/>
    <w:rsid w:val="002773E1"/>
    <w:rsid w:val="00281D1A"/>
    <w:rsid w:val="00282066"/>
    <w:rsid w:val="002860CF"/>
    <w:rsid w:val="00286B4D"/>
    <w:rsid w:val="00294CFA"/>
    <w:rsid w:val="00296A26"/>
    <w:rsid w:val="002A38E0"/>
    <w:rsid w:val="002B0BEF"/>
    <w:rsid w:val="002B32D7"/>
    <w:rsid w:val="002B44A8"/>
    <w:rsid w:val="002B5411"/>
    <w:rsid w:val="002B762D"/>
    <w:rsid w:val="002C17B9"/>
    <w:rsid w:val="002C5FAF"/>
    <w:rsid w:val="002D0B4F"/>
    <w:rsid w:val="002D52CD"/>
    <w:rsid w:val="002D5ED8"/>
    <w:rsid w:val="002D6747"/>
    <w:rsid w:val="002E55AA"/>
    <w:rsid w:val="002F105E"/>
    <w:rsid w:val="002F3240"/>
    <w:rsid w:val="002F45E3"/>
    <w:rsid w:val="002F63D5"/>
    <w:rsid w:val="002F7988"/>
    <w:rsid w:val="00302DBE"/>
    <w:rsid w:val="00306690"/>
    <w:rsid w:val="00310444"/>
    <w:rsid w:val="00312613"/>
    <w:rsid w:val="00313EA5"/>
    <w:rsid w:val="00314718"/>
    <w:rsid w:val="00317D0B"/>
    <w:rsid w:val="003225B9"/>
    <w:rsid w:val="0032271D"/>
    <w:rsid w:val="00323D88"/>
    <w:rsid w:val="00325E89"/>
    <w:rsid w:val="003270E0"/>
    <w:rsid w:val="00331679"/>
    <w:rsid w:val="003362ED"/>
    <w:rsid w:val="00336ACF"/>
    <w:rsid w:val="00346534"/>
    <w:rsid w:val="0035113A"/>
    <w:rsid w:val="0035547B"/>
    <w:rsid w:val="003578C1"/>
    <w:rsid w:val="0036281E"/>
    <w:rsid w:val="00362C72"/>
    <w:rsid w:val="00365328"/>
    <w:rsid w:val="003656F6"/>
    <w:rsid w:val="00366803"/>
    <w:rsid w:val="00366C0C"/>
    <w:rsid w:val="00385486"/>
    <w:rsid w:val="003A16E9"/>
    <w:rsid w:val="003A5458"/>
    <w:rsid w:val="003A5606"/>
    <w:rsid w:val="003A73F6"/>
    <w:rsid w:val="003C3266"/>
    <w:rsid w:val="003C40D9"/>
    <w:rsid w:val="003C50D5"/>
    <w:rsid w:val="003C58C0"/>
    <w:rsid w:val="003C7B13"/>
    <w:rsid w:val="003D1935"/>
    <w:rsid w:val="003D2E7F"/>
    <w:rsid w:val="003E55B5"/>
    <w:rsid w:val="003E78D5"/>
    <w:rsid w:val="003F06A1"/>
    <w:rsid w:val="003F11F6"/>
    <w:rsid w:val="003F6F28"/>
    <w:rsid w:val="00406E7C"/>
    <w:rsid w:val="00414AB6"/>
    <w:rsid w:val="00414B24"/>
    <w:rsid w:val="0041508D"/>
    <w:rsid w:val="00417BE2"/>
    <w:rsid w:val="00420EAB"/>
    <w:rsid w:val="0042743F"/>
    <w:rsid w:val="00433642"/>
    <w:rsid w:val="00436B63"/>
    <w:rsid w:val="0043738F"/>
    <w:rsid w:val="00445927"/>
    <w:rsid w:val="0046325D"/>
    <w:rsid w:val="004652DA"/>
    <w:rsid w:val="004675E4"/>
    <w:rsid w:val="00477AE8"/>
    <w:rsid w:val="0048390D"/>
    <w:rsid w:val="004873A4"/>
    <w:rsid w:val="0049180E"/>
    <w:rsid w:val="004918C2"/>
    <w:rsid w:val="00491C83"/>
    <w:rsid w:val="004A6396"/>
    <w:rsid w:val="004A6986"/>
    <w:rsid w:val="004B1E00"/>
    <w:rsid w:val="004B57E7"/>
    <w:rsid w:val="004B695D"/>
    <w:rsid w:val="004C1881"/>
    <w:rsid w:val="004C492A"/>
    <w:rsid w:val="004C54E5"/>
    <w:rsid w:val="004C7EBD"/>
    <w:rsid w:val="004D1707"/>
    <w:rsid w:val="004D263F"/>
    <w:rsid w:val="004D6C52"/>
    <w:rsid w:val="004D7CFF"/>
    <w:rsid w:val="004E2BD9"/>
    <w:rsid w:val="004E7B76"/>
    <w:rsid w:val="0050118A"/>
    <w:rsid w:val="00505D45"/>
    <w:rsid w:val="0051385C"/>
    <w:rsid w:val="00515293"/>
    <w:rsid w:val="005169D0"/>
    <w:rsid w:val="0052121A"/>
    <w:rsid w:val="00527FD3"/>
    <w:rsid w:val="0053301F"/>
    <w:rsid w:val="00533969"/>
    <w:rsid w:val="00535F95"/>
    <w:rsid w:val="005447D4"/>
    <w:rsid w:val="005449CB"/>
    <w:rsid w:val="00545CB7"/>
    <w:rsid w:val="0054701D"/>
    <w:rsid w:val="00547C88"/>
    <w:rsid w:val="00550D7B"/>
    <w:rsid w:val="00554BEC"/>
    <w:rsid w:val="00555D9A"/>
    <w:rsid w:val="005573E0"/>
    <w:rsid w:val="0056193A"/>
    <w:rsid w:val="00562D8B"/>
    <w:rsid w:val="0056302C"/>
    <w:rsid w:val="005637AC"/>
    <w:rsid w:val="00563C61"/>
    <w:rsid w:val="005711C7"/>
    <w:rsid w:val="00582DD8"/>
    <w:rsid w:val="00582EE5"/>
    <w:rsid w:val="00583061"/>
    <w:rsid w:val="00584D0F"/>
    <w:rsid w:val="00590B4D"/>
    <w:rsid w:val="00592F7F"/>
    <w:rsid w:val="005944D5"/>
    <w:rsid w:val="00594F5F"/>
    <w:rsid w:val="005A0E53"/>
    <w:rsid w:val="005A312B"/>
    <w:rsid w:val="005A49EF"/>
    <w:rsid w:val="005A7EE7"/>
    <w:rsid w:val="005B3D92"/>
    <w:rsid w:val="005B4C76"/>
    <w:rsid w:val="005B6BBE"/>
    <w:rsid w:val="005C2814"/>
    <w:rsid w:val="005C32DA"/>
    <w:rsid w:val="005C47DA"/>
    <w:rsid w:val="005C49D1"/>
    <w:rsid w:val="005C5B3C"/>
    <w:rsid w:val="005D12B6"/>
    <w:rsid w:val="005E01C2"/>
    <w:rsid w:val="005E20D0"/>
    <w:rsid w:val="005E3891"/>
    <w:rsid w:val="005E3C99"/>
    <w:rsid w:val="005E7ABC"/>
    <w:rsid w:val="005F08C4"/>
    <w:rsid w:val="005F0C5D"/>
    <w:rsid w:val="005F355C"/>
    <w:rsid w:val="005F4832"/>
    <w:rsid w:val="005F7603"/>
    <w:rsid w:val="006051D3"/>
    <w:rsid w:val="00605685"/>
    <w:rsid w:val="00606245"/>
    <w:rsid w:val="00607659"/>
    <w:rsid w:val="00610956"/>
    <w:rsid w:val="00615264"/>
    <w:rsid w:val="00621534"/>
    <w:rsid w:val="00624D3C"/>
    <w:rsid w:val="006251A3"/>
    <w:rsid w:val="006253C9"/>
    <w:rsid w:val="00625B7C"/>
    <w:rsid w:val="006279A7"/>
    <w:rsid w:val="00636BEE"/>
    <w:rsid w:val="0064153C"/>
    <w:rsid w:val="00642F2C"/>
    <w:rsid w:val="00643BA3"/>
    <w:rsid w:val="0064719A"/>
    <w:rsid w:val="006518B1"/>
    <w:rsid w:val="0065534A"/>
    <w:rsid w:val="00656158"/>
    <w:rsid w:val="00656B8D"/>
    <w:rsid w:val="00656BF7"/>
    <w:rsid w:val="00665D5A"/>
    <w:rsid w:val="006676D9"/>
    <w:rsid w:val="006722EB"/>
    <w:rsid w:val="006939F8"/>
    <w:rsid w:val="0069448F"/>
    <w:rsid w:val="006A0256"/>
    <w:rsid w:val="006A1131"/>
    <w:rsid w:val="006B4396"/>
    <w:rsid w:val="006B5818"/>
    <w:rsid w:val="006B625B"/>
    <w:rsid w:val="006B7474"/>
    <w:rsid w:val="006C0FC5"/>
    <w:rsid w:val="006C20A6"/>
    <w:rsid w:val="006C257B"/>
    <w:rsid w:val="006C7794"/>
    <w:rsid w:val="006C7843"/>
    <w:rsid w:val="006C7E7C"/>
    <w:rsid w:val="006D01D0"/>
    <w:rsid w:val="006D5BCD"/>
    <w:rsid w:val="006D619E"/>
    <w:rsid w:val="006D6F6C"/>
    <w:rsid w:val="006D77F6"/>
    <w:rsid w:val="006D7E23"/>
    <w:rsid w:val="006E1C54"/>
    <w:rsid w:val="006E317B"/>
    <w:rsid w:val="006E43E4"/>
    <w:rsid w:val="006F6D51"/>
    <w:rsid w:val="006F7244"/>
    <w:rsid w:val="006F7EBD"/>
    <w:rsid w:val="00705A7A"/>
    <w:rsid w:val="0070769D"/>
    <w:rsid w:val="00707DE9"/>
    <w:rsid w:val="00712F6F"/>
    <w:rsid w:val="0071631B"/>
    <w:rsid w:val="00717B9F"/>
    <w:rsid w:val="00720C71"/>
    <w:rsid w:val="00721A36"/>
    <w:rsid w:val="00724014"/>
    <w:rsid w:val="00724DF6"/>
    <w:rsid w:val="00726F06"/>
    <w:rsid w:val="00732C8C"/>
    <w:rsid w:val="00737876"/>
    <w:rsid w:val="00741681"/>
    <w:rsid w:val="00745714"/>
    <w:rsid w:val="007461C9"/>
    <w:rsid w:val="007527B7"/>
    <w:rsid w:val="00764063"/>
    <w:rsid w:val="007669B8"/>
    <w:rsid w:val="007778CC"/>
    <w:rsid w:val="00780B9B"/>
    <w:rsid w:val="00787ECF"/>
    <w:rsid w:val="00795A12"/>
    <w:rsid w:val="007A0C62"/>
    <w:rsid w:val="007A3E57"/>
    <w:rsid w:val="007A61F8"/>
    <w:rsid w:val="007B3A2D"/>
    <w:rsid w:val="007B3DBB"/>
    <w:rsid w:val="007B7A3A"/>
    <w:rsid w:val="007C621C"/>
    <w:rsid w:val="007C728E"/>
    <w:rsid w:val="007D0838"/>
    <w:rsid w:val="007D4B5D"/>
    <w:rsid w:val="007D51F9"/>
    <w:rsid w:val="007D6B14"/>
    <w:rsid w:val="007E3217"/>
    <w:rsid w:val="007F4039"/>
    <w:rsid w:val="007F4FF5"/>
    <w:rsid w:val="007F6D8E"/>
    <w:rsid w:val="007F7658"/>
    <w:rsid w:val="0080211A"/>
    <w:rsid w:val="008043F8"/>
    <w:rsid w:val="00806E23"/>
    <w:rsid w:val="008079C4"/>
    <w:rsid w:val="00810526"/>
    <w:rsid w:val="00811B0B"/>
    <w:rsid w:val="008150F9"/>
    <w:rsid w:val="008217C9"/>
    <w:rsid w:val="00821B1E"/>
    <w:rsid w:val="00822899"/>
    <w:rsid w:val="0082744E"/>
    <w:rsid w:val="00827715"/>
    <w:rsid w:val="0082779C"/>
    <w:rsid w:val="00827CE9"/>
    <w:rsid w:val="00837CDA"/>
    <w:rsid w:val="00844614"/>
    <w:rsid w:val="00851509"/>
    <w:rsid w:val="008538A0"/>
    <w:rsid w:val="00864D53"/>
    <w:rsid w:val="00865F69"/>
    <w:rsid w:val="0087298E"/>
    <w:rsid w:val="008748DA"/>
    <w:rsid w:val="0088065A"/>
    <w:rsid w:val="00881221"/>
    <w:rsid w:val="00881FAD"/>
    <w:rsid w:val="00882E94"/>
    <w:rsid w:val="00895A5A"/>
    <w:rsid w:val="0089615B"/>
    <w:rsid w:val="008A2278"/>
    <w:rsid w:val="008A228C"/>
    <w:rsid w:val="008A6381"/>
    <w:rsid w:val="008B2D73"/>
    <w:rsid w:val="008B32C9"/>
    <w:rsid w:val="008B48B8"/>
    <w:rsid w:val="008B5FDF"/>
    <w:rsid w:val="008C0ECC"/>
    <w:rsid w:val="008C6D4D"/>
    <w:rsid w:val="008C79D9"/>
    <w:rsid w:val="008D3792"/>
    <w:rsid w:val="008D6A00"/>
    <w:rsid w:val="008E0E15"/>
    <w:rsid w:val="008E76BB"/>
    <w:rsid w:val="008E7E62"/>
    <w:rsid w:val="008F00E3"/>
    <w:rsid w:val="008F14DC"/>
    <w:rsid w:val="008F23E3"/>
    <w:rsid w:val="008F39CB"/>
    <w:rsid w:val="008F6315"/>
    <w:rsid w:val="00900A92"/>
    <w:rsid w:val="009037D2"/>
    <w:rsid w:val="00904157"/>
    <w:rsid w:val="00906229"/>
    <w:rsid w:val="00907D53"/>
    <w:rsid w:val="00912B5A"/>
    <w:rsid w:val="00913F2B"/>
    <w:rsid w:val="0092158B"/>
    <w:rsid w:val="00922A48"/>
    <w:rsid w:val="00923F89"/>
    <w:rsid w:val="00925710"/>
    <w:rsid w:val="00925EA1"/>
    <w:rsid w:val="009352B7"/>
    <w:rsid w:val="009368D9"/>
    <w:rsid w:val="00936E48"/>
    <w:rsid w:val="00937789"/>
    <w:rsid w:val="00942E87"/>
    <w:rsid w:val="0094382E"/>
    <w:rsid w:val="00947ACD"/>
    <w:rsid w:val="0095003B"/>
    <w:rsid w:val="0095079D"/>
    <w:rsid w:val="0095133E"/>
    <w:rsid w:val="00953F04"/>
    <w:rsid w:val="00955393"/>
    <w:rsid w:val="00955944"/>
    <w:rsid w:val="00956AE0"/>
    <w:rsid w:val="00957ACA"/>
    <w:rsid w:val="00960052"/>
    <w:rsid w:val="00960135"/>
    <w:rsid w:val="00961921"/>
    <w:rsid w:val="00962D41"/>
    <w:rsid w:val="009663D7"/>
    <w:rsid w:val="00974788"/>
    <w:rsid w:val="00980E5A"/>
    <w:rsid w:val="00980FCC"/>
    <w:rsid w:val="0098583A"/>
    <w:rsid w:val="009912C2"/>
    <w:rsid w:val="009925EC"/>
    <w:rsid w:val="00994FFC"/>
    <w:rsid w:val="009A2A18"/>
    <w:rsid w:val="009B0D33"/>
    <w:rsid w:val="009B489E"/>
    <w:rsid w:val="009C066A"/>
    <w:rsid w:val="009C6758"/>
    <w:rsid w:val="009D380A"/>
    <w:rsid w:val="009D56AD"/>
    <w:rsid w:val="009E1C9F"/>
    <w:rsid w:val="009E5742"/>
    <w:rsid w:val="009E6E2A"/>
    <w:rsid w:val="009E74C8"/>
    <w:rsid w:val="009F412E"/>
    <w:rsid w:val="009F61F3"/>
    <w:rsid w:val="00A05525"/>
    <w:rsid w:val="00A07E21"/>
    <w:rsid w:val="00A12363"/>
    <w:rsid w:val="00A228B5"/>
    <w:rsid w:val="00A24B71"/>
    <w:rsid w:val="00A2501B"/>
    <w:rsid w:val="00A253F4"/>
    <w:rsid w:val="00A27193"/>
    <w:rsid w:val="00A2779D"/>
    <w:rsid w:val="00A27E3E"/>
    <w:rsid w:val="00A3327B"/>
    <w:rsid w:val="00A358D4"/>
    <w:rsid w:val="00A408C1"/>
    <w:rsid w:val="00A43888"/>
    <w:rsid w:val="00A44AF2"/>
    <w:rsid w:val="00A4548D"/>
    <w:rsid w:val="00A45905"/>
    <w:rsid w:val="00A521CE"/>
    <w:rsid w:val="00A55BDB"/>
    <w:rsid w:val="00A579E5"/>
    <w:rsid w:val="00A602D3"/>
    <w:rsid w:val="00A643E6"/>
    <w:rsid w:val="00A649EF"/>
    <w:rsid w:val="00A729FD"/>
    <w:rsid w:val="00A73D8F"/>
    <w:rsid w:val="00A744EC"/>
    <w:rsid w:val="00A750BA"/>
    <w:rsid w:val="00A810D5"/>
    <w:rsid w:val="00A81370"/>
    <w:rsid w:val="00A819E2"/>
    <w:rsid w:val="00A84852"/>
    <w:rsid w:val="00A866C2"/>
    <w:rsid w:val="00A86B4D"/>
    <w:rsid w:val="00A87E96"/>
    <w:rsid w:val="00A93D29"/>
    <w:rsid w:val="00AA11F1"/>
    <w:rsid w:val="00AA6977"/>
    <w:rsid w:val="00AB151C"/>
    <w:rsid w:val="00AB3A74"/>
    <w:rsid w:val="00AB7EDB"/>
    <w:rsid w:val="00AC25F8"/>
    <w:rsid w:val="00AC270A"/>
    <w:rsid w:val="00AC334D"/>
    <w:rsid w:val="00AC403E"/>
    <w:rsid w:val="00AD7090"/>
    <w:rsid w:val="00AD7BBC"/>
    <w:rsid w:val="00AE00EB"/>
    <w:rsid w:val="00AE37BF"/>
    <w:rsid w:val="00AE7852"/>
    <w:rsid w:val="00AF3394"/>
    <w:rsid w:val="00AF3F55"/>
    <w:rsid w:val="00B00112"/>
    <w:rsid w:val="00B00CE8"/>
    <w:rsid w:val="00B02C44"/>
    <w:rsid w:val="00B0329F"/>
    <w:rsid w:val="00B05032"/>
    <w:rsid w:val="00B1095B"/>
    <w:rsid w:val="00B119BD"/>
    <w:rsid w:val="00B13F50"/>
    <w:rsid w:val="00B1452B"/>
    <w:rsid w:val="00B15C21"/>
    <w:rsid w:val="00B16BE3"/>
    <w:rsid w:val="00B21F6F"/>
    <w:rsid w:val="00B303EE"/>
    <w:rsid w:val="00B30ABB"/>
    <w:rsid w:val="00B3102F"/>
    <w:rsid w:val="00B3658F"/>
    <w:rsid w:val="00B448F3"/>
    <w:rsid w:val="00B50544"/>
    <w:rsid w:val="00B54C06"/>
    <w:rsid w:val="00B55774"/>
    <w:rsid w:val="00B56266"/>
    <w:rsid w:val="00B5672D"/>
    <w:rsid w:val="00B60D80"/>
    <w:rsid w:val="00B642D5"/>
    <w:rsid w:val="00B64986"/>
    <w:rsid w:val="00B64B88"/>
    <w:rsid w:val="00B8592C"/>
    <w:rsid w:val="00B91F24"/>
    <w:rsid w:val="00B941DF"/>
    <w:rsid w:val="00B9742E"/>
    <w:rsid w:val="00BA0EDD"/>
    <w:rsid w:val="00BA0F0C"/>
    <w:rsid w:val="00BA10FB"/>
    <w:rsid w:val="00BA3BF4"/>
    <w:rsid w:val="00BA461F"/>
    <w:rsid w:val="00BA4933"/>
    <w:rsid w:val="00BB1766"/>
    <w:rsid w:val="00BB1A21"/>
    <w:rsid w:val="00BB4C3D"/>
    <w:rsid w:val="00BB7D12"/>
    <w:rsid w:val="00BC2405"/>
    <w:rsid w:val="00BC51C2"/>
    <w:rsid w:val="00BC5A20"/>
    <w:rsid w:val="00BC64A2"/>
    <w:rsid w:val="00BC6C8A"/>
    <w:rsid w:val="00BC7CE4"/>
    <w:rsid w:val="00BD3550"/>
    <w:rsid w:val="00BD3FEF"/>
    <w:rsid w:val="00BD421F"/>
    <w:rsid w:val="00BD4DB0"/>
    <w:rsid w:val="00BE6CEA"/>
    <w:rsid w:val="00BF19B2"/>
    <w:rsid w:val="00BF4911"/>
    <w:rsid w:val="00BF5D1E"/>
    <w:rsid w:val="00BF7F86"/>
    <w:rsid w:val="00C00CD3"/>
    <w:rsid w:val="00C00D2D"/>
    <w:rsid w:val="00C054A4"/>
    <w:rsid w:val="00C063B6"/>
    <w:rsid w:val="00C10FB0"/>
    <w:rsid w:val="00C13C47"/>
    <w:rsid w:val="00C14DCE"/>
    <w:rsid w:val="00C160C1"/>
    <w:rsid w:val="00C258D4"/>
    <w:rsid w:val="00C31022"/>
    <w:rsid w:val="00C36BE3"/>
    <w:rsid w:val="00C3787F"/>
    <w:rsid w:val="00C40EC7"/>
    <w:rsid w:val="00C4109F"/>
    <w:rsid w:val="00C425F6"/>
    <w:rsid w:val="00C45294"/>
    <w:rsid w:val="00C45B60"/>
    <w:rsid w:val="00C46EAF"/>
    <w:rsid w:val="00C54486"/>
    <w:rsid w:val="00C546A2"/>
    <w:rsid w:val="00C554A6"/>
    <w:rsid w:val="00C56990"/>
    <w:rsid w:val="00C62E1D"/>
    <w:rsid w:val="00C6766A"/>
    <w:rsid w:val="00C70A88"/>
    <w:rsid w:val="00C7375D"/>
    <w:rsid w:val="00C74FC6"/>
    <w:rsid w:val="00C826A0"/>
    <w:rsid w:val="00C8738B"/>
    <w:rsid w:val="00C9460B"/>
    <w:rsid w:val="00C94A5A"/>
    <w:rsid w:val="00CA08EC"/>
    <w:rsid w:val="00CA2ECF"/>
    <w:rsid w:val="00CA454A"/>
    <w:rsid w:val="00CA6AD1"/>
    <w:rsid w:val="00CB0244"/>
    <w:rsid w:val="00CB2114"/>
    <w:rsid w:val="00CB5B78"/>
    <w:rsid w:val="00CC01E1"/>
    <w:rsid w:val="00CC115A"/>
    <w:rsid w:val="00CC2FC0"/>
    <w:rsid w:val="00CC36FE"/>
    <w:rsid w:val="00CD5022"/>
    <w:rsid w:val="00CD73FB"/>
    <w:rsid w:val="00CE1766"/>
    <w:rsid w:val="00CE5EAB"/>
    <w:rsid w:val="00CE6EF7"/>
    <w:rsid w:val="00CF1322"/>
    <w:rsid w:val="00CF7955"/>
    <w:rsid w:val="00D0141C"/>
    <w:rsid w:val="00D02999"/>
    <w:rsid w:val="00D02A13"/>
    <w:rsid w:val="00D11897"/>
    <w:rsid w:val="00D13202"/>
    <w:rsid w:val="00D161AC"/>
    <w:rsid w:val="00D16C56"/>
    <w:rsid w:val="00D16CBE"/>
    <w:rsid w:val="00D21C23"/>
    <w:rsid w:val="00D21F3A"/>
    <w:rsid w:val="00D22A74"/>
    <w:rsid w:val="00D35C80"/>
    <w:rsid w:val="00D36761"/>
    <w:rsid w:val="00D40DC8"/>
    <w:rsid w:val="00D451B6"/>
    <w:rsid w:val="00D4634F"/>
    <w:rsid w:val="00D53811"/>
    <w:rsid w:val="00D55E87"/>
    <w:rsid w:val="00D6075C"/>
    <w:rsid w:val="00D60C10"/>
    <w:rsid w:val="00D61122"/>
    <w:rsid w:val="00D678EF"/>
    <w:rsid w:val="00D71BAA"/>
    <w:rsid w:val="00D72B96"/>
    <w:rsid w:val="00D75251"/>
    <w:rsid w:val="00D75CA6"/>
    <w:rsid w:val="00D7780C"/>
    <w:rsid w:val="00D80C9D"/>
    <w:rsid w:val="00D81514"/>
    <w:rsid w:val="00D87EFB"/>
    <w:rsid w:val="00D9231C"/>
    <w:rsid w:val="00D9577D"/>
    <w:rsid w:val="00D9657F"/>
    <w:rsid w:val="00DA17B7"/>
    <w:rsid w:val="00DA5009"/>
    <w:rsid w:val="00DA5E9D"/>
    <w:rsid w:val="00DB1ED7"/>
    <w:rsid w:val="00DB61BB"/>
    <w:rsid w:val="00DB70ED"/>
    <w:rsid w:val="00DC1E44"/>
    <w:rsid w:val="00DC2839"/>
    <w:rsid w:val="00DC4D37"/>
    <w:rsid w:val="00DD30F1"/>
    <w:rsid w:val="00DD3BEB"/>
    <w:rsid w:val="00DD50F5"/>
    <w:rsid w:val="00DD551D"/>
    <w:rsid w:val="00DD7703"/>
    <w:rsid w:val="00DD7A74"/>
    <w:rsid w:val="00DE16D7"/>
    <w:rsid w:val="00DE2451"/>
    <w:rsid w:val="00DE6D1D"/>
    <w:rsid w:val="00DF0495"/>
    <w:rsid w:val="00DF73DE"/>
    <w:rsid w:val="00E037E2"/>
    <w:rsid w:val="00E052C8"/>
    <w:rsid w:val="00E054F9"/>
    <w:rsid w:val="00E07CB5"/>
    <w:rsid w:val="00E07EAE"/>
    <w:rsid w:val="00E10CEB"/>
    <w:rsid w:val="00E13015"/>
    <w:rsid w:val="00E21CDB"/>
    <w:rsid w:val="00E30133"/>
    <w:rsid w:val="00E307A2"/>
    <w:rsid w:val="00E40D52"/>
    <w:rsid w:val="00E43E2F"/>
    <w:rsid w:val="00E4688E"/>
    <w:rsid w:val="00E50CC2"/>
    <w:rsid w:val="00E51EDD"/>
    <w:rsid w:val="00E554F8"/>
    <w:rsid w:val="00E571D2"/>
    <w:rsid w:val="00E61F9B"/>
    <w:rsid w:val="00E67BBC"/>
    <w:rsid w:val="00E740E3"/>
    <w:rsid w:val="00E74F89"/>
    <w:rsid w:val="00E80B92"/>
    <w:rsid w:val="00E84EDD"/>
    <w:rsid w:val="00E9289A"/>
    <w:rsid w:val="00E92B7E"/>
    <w:rsid w:val="00E94972"/>
    <w:rsid w:val="00E97794"/>
    <w:rsid w:val="00EA3E05"/>
    <w:rsid w:val="00EA4F28"/>
    <w:rsid w:val="00EA7C0A"/>
    <w:rsid w:val="00EB213B"/>
    <w:rsid w:val="00EB3CDA"/>
    <w:rsid w:val="00EB6423"/>
    <w:rsid w:val="00EC0BEF"/>
    <w:rsid w:val="00EC0C90"/>
    <w:rsid w:val="00EC1CD9"/>
    <w:rsid w:val="00EC24BE"/>
    <w:rsid w:val="00EC4172"/>
    <w:rsid w:val="00EE4697"/>
    <w:rsid w:val="00EF197B"/>
    <w:rsid w:val="00EF5A72"/>
    <w:rsid w:val="00EF5AA2"/>
    <w:rsid w:val="00F00B8A"/>
    <w:rsid w:val="00F02757"/>
    <w:rsid w:val="00F029B1"/>
    <w:rsid w:val="00F04EA9"/>
    <w:rsid w:val="00F06ABA"/>
    <w:rsid w:val="00F06C0F"/>
    <w:rsid w:val="00F108AF"/>
    <w:rsid w:val="00F15CB0"/>
    <w:rsid w:val="00F210C2"/>
    <w:rsid w:val="00F36010"/>
    <w:rsid w:val="00F36BBD"/>
    <w:rsid w:val="00F36D74"/>
    <w:rsid w:val="00F4230D"/>
    <w:rsid w:val="00F4332B"/>
    <w:rsid w:val="00F44B3A"/>
    <w:rsid w:val="00F44F7D"/>
    <w:rsid w:val="00F512B2"/>
    <w:rsid w:val="00F602C1"/>
    <w:rsid w:val="00F64951"/>
    <w:rsid w:val="00F71209"/>
    <w:rsid w:val="00F74C66"/>
    <w:rsid w:val="00F75FC0"/>
    <w:rsid w:val="00F7709C"/>
    <w:rsid w:val="00F775BA"/>
    <w:rsid w:val="00F82529"/>
    <w:rsid w:val="00F83BA3"/>
    <w:rsid w:val="00F84DA1"/>
    <w:rsid w:val="00F90664"/>
    <w:rsid w:val="00F91FCF"/>
    <w:rsid w:val="00F9379C"/>
    <w:rsid w:val="00FA1107"/>
    <w:rsid w:val="00FA5377"/>
    <w:rsid w:val="00FA6155"/>
    <w:rsid w:val="00FA7D7E"/>
    <w:rsid w:val="00FB196C"/>
    <w:rsid w:val="00FB2021"/>
    <w:rsid w:val="00FC5AF4"/>
    <w:rsid w:val="00FD2C45"/>
    <w:rsid w:val="00FD3968"/>
    <w:rsid w:val="00FE3AC5"/>
    <w:rsid w:val="00FE4E48"/>
    <w:rsid w:val="00FF318B"/>
    <w:rsid w:val="00FF61AC"/>
    <w:rsid w:val="00FF748A"/>
    <w:rsid w:val="00FF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A82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80211A"/>
    <w:pPr>
      <w:keepNext/>
      <w:keepLines/>
      <w:spacing w:after="240" w:line="240" w:lineRule="auto"/>
      <w:ind w:left="720" w:hanging="720"/>
      <w:outlineLvl w:val="0"/>
    </w:pPr>
    <w:rPr>
      <w:rFonts w:ascii="Times New Roman Bold" w:eastAsiaTheme="majorEastAsia" w:hAnsi="Times New Roman Bold" w:cstheme="majorBidi"/>
      <w:b/>
      <w:bCs/>
      <w:caps/>
      <w:sz w:val="24"/>
      <w:szCs w:val="28"/>
    </w:rPr>
  </w:style>
  <w:style w:type="paragraph" w:styleId="Heading2">
    <w:name w:val="heading 2"/>
    <w:basedOn w:val="ListParagraph"/>
    <w:next w:val="Normal"/>
    <w:link w:val="Heading2Char"/>
    <w:autoRedefine/>
    <w:uiPriority w:val="9"/>
    <w:unhideWhenUsed/>
    <w:qFormat/>
    <w:rsid w:val="0080211A"/>
    <w:pPr>
      <w:spacing w:after="240" w:line="240" w:lineRule="auto"/>
      <w:ind w:left="1440" w:hanging="720"/>
      <w:outlineLvl w:val="1"/>
    </w:pPr>
    <w:rPr>
      <w:rFonts w:ascii="Times New Roman Bold" w:hAnsi="Times New Roman Bold" w:cs="Times New Roman"/>
      <w:b/>
      <w:sz w:val="24"/>
      <w:szCs w:val="24"/>
    </w:rPr>
  </w:style>
  <w:style w:type="paragraph" w:styleId="Heading3">
    <w:name w:val="heading 3"/>
    <w:basedOn w:val="Normal"/>
    <w:next w:val="Normal"/>
    <w:link w:val="Heading3Char"/>
    <w:autoRedefine/>
    <w:uiPriority w:val="9"/>
    <w:unhideWhenUsed/>
    <w:qFormat/>
    <w:rsid w:val="0080211A"/>
    <w:pPr>
      <w:keepNext/>
      <w:keepLines/>
      <w:spacing w:after="240" w:line="240" w:lineRule="auto"/>
      <w:ind w:left="2160" w:hanging="720"/>
      <w:outlineLvl w:val="2"/>
    </w:pPr>
    <w:rPr>
      <w:rFonts w:ascii="Times New Roman" w:eastAsia="Calibri"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2C1"/>
    <w:pPr>
      <w:ind w:left="720"/>
      <w:contextualSpacing/>
    </w:pPr>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ft,fn C"/>
    <w:basedOn w:val="Normal"/>
    <w:link w:val="FootnoteTextChar"/>
    <w:uiPriority w:val="99"/>
    <w:unhideWhenUsed/>
    <w:rsid w:val="004E7B76"/>
    <w:pPr>
      <w:spacing w:after="0" w:line="240" w:lineRule="auto"/>
    </w:pPr>
    <w:rPr>
      <w:sz w:val="20"/>
      <w:szCs w:val="20"/>
    </w:rPr>
  </w:style>
  <w:style w:type="character" w:customStyle="1" w:styleId="FootnoteTextChar">
    <w:name w:val="Footnote Text Char"/>
    <w:aliases w:val="Footnote Text Char1 Char1,Footnote Text Char Char Char1,Footnote Text Char1 Char Char1 Char1,Footnote Text Char Char Char Char Char1,Footnote Text Char2 Char Char Char Char1 Char1,Footnote Text Char1 Char Char1 Char Char Char Char1"/>
    <w:basedOn w:val="DefaultParagraphFont"/>
    <w:link w:val="FootnoteText"/>
    <w:rsid w:val="004E7B76"/>
    <w:rPr>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
    <w:basedOn w:val="DefaultParagraphFont"/>
    <w:uiPriority w:val="99"/>
    <w:unhideWhenUsed/>
    <w:rsid w:val="004E7B76"/>
    <w:rPr>
      <w:vertAlign w:val="superscript"/>
    </w:rPr>
  </w:style>
  <w:style w:type="paragraph" w:styleId="BalloonText">
    <w:name w:val="Balloon Text"/>
    <w:basedOn w:val="Normal"/>
    <w:link w:val="BalloonTextChar"/>
    <w:uiPriority w:val="99"/>
    <w:semiHidden/>
    <w:unhideWhenUsed/>
    <w:rsid w:val="00923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F89"/>
    <w:rPr>
      <w:rFonts w:ascii="Tahoma" w:hAnsi="Tahoma" w:cs="Tahoma"/>
      <w:sz w:val="16"/>
      <w:szCs w:val="16"/>
    </w:rPr>
  </w:style>
  <w:style w:type="table" w:styleId="TableGrid">
    <w:name w:val="Table Grid"/>
    <w:basedOn w:val="TableNormal"/>
    <w:uiPriority w:val="59"/>
    <w:rsid w:val="00606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89615B"/>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89615B"/>
    <w:rPr>
      <w:rFonts w:ascii="Times New Roman" w:eastAsia="Times New Roman" w:hAnsi="Times New Roman" w:cs="Times New Roman"/>
      <w:sz w:val="24"/>
      <w:szCs w:val="24"/>
    </w:rPr>
  </w:style>
  <w:style w:type="character" w:styleId="CommentReference">
    <w:name w:val="annotation reference"/>
    <w:semiHidden/>
    <w:rsid w:val="0089615B"/>
    <w:rPr>
      <w:sz w:val="16"/>
      <w:szCs w:val="16"/>
    </w:rPr>
  </w:style>
  <w:style w:type="paragraph" w:styleId="Header">
    <w:name w:val="header"/>
    <w:basedOn w:val="Normal"/>
    <w:link w:val="HeaderChar"/>
    <w:uiPriority w:val="99"/>
    <w:unhideWhenUsed/>
    <w:rsid w:val="00157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2F0"/>
  </w:style>
  <w:style w:type="paragraph" w:styleId="Footer">
    <w:name w:val="footer"/>
    <w:basedOn w:val="Normal"/>
    <w:link w:val="FooterChar"/>
    <w:uiPriority w:val="99"/>
    <w:unhideWhenUsed/>
    <w:rsid w:val="00157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2F0"/>
  </w:style>
  <w:style w:type="character" w:customStyle="1" w:styleId="Heading2Char">
    <w:name w:val="Heading 2 Char"/>
    <w:basedOn w:val="DefaultParagraphFont"/>
    <w:link w:val="Heading2"/>
    <w:uiPriority w:val="9"/>
    <w:rsid w:val="0080211A"/>
    <w:rPr>
      <w:rFonts w:ascii="Times New Roman Bold" w:hAnsi="Times New Roman Bold" w:cs="Times New Roman"/>
      <w:b/>
      <w:sz w:val="24"/>
      <w:szCs w:val="24"/>
    </w:rPr>
  </w:style>
  <w:style w:type="paragraph" w:styleId="BodyTextIndent3">
    <w:name w:val="Body Text Indent 3"/>
    <w:basedOn w:val="Normal"/>
    <w:link w:val="BodyTextIndent3Char"/>
    <w:rsid w:val="006C257B"/>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6C257B"/>
    <w:rPr>
      <w:rFonts w:ascii="Times New Roman" w:eastAsia="Times New Roman" w:hAnsi="Times New Roman" w:cs="Times New Roman"/>
      <w:sz w:val="24"/>
      <w:szCs w:val="20"/>
    </w:rPr>
  </w:style>
  <w:style w:type="paragraph" w:styleId="HTMLPreformatted">
    <w:name w:val="HTML Preformatted"/>
    <w:basedOn w:val="Normal"/>
    <w:link w:val="HTMLPreformattedChar"/>
    <w:unhideWhenUsed/>
    <w:rsid w:val="00F04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F04EA9"/>
    <w:rPr>
      <w:rFonts w:ascii="Courier New" w:eastAsia="Courier New" w:hAnsi="Courier New" w:cs="Courier New"/>
      <w:sz w:val="20"/>
      <w:szCs w:val="20"/>
    </w:rPr>
  </w:style>
  <w:style w:type="paragraph" w:styleId="CommentSubject">
    <w:name w:val="annotation subject"/>
    <w:basedOn w:val="CommentText"/>
    <w:next w:val="CommentText"/>
    <w:link w:val="CommentSubjectChar"/>
    <w:uiPriority w:val="99"/>
    <w:semiHidden/>
    <w:unhideWhenUsed/>
    <w:rsid w:val="00D02A13"/>
    <w:pPr>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D02A13"/>
    <w:rPr>
      <w:rFonts w:ascii="Times New Roman" w:eastAsia="Times New Roman" w:hAnsi="Times New Roman" w:cs="Times New Roman"/>
      <w:b/>
      <w:bCs/>
      <w:sz w:val="20"/>
      <w:szCs w:val="20"/>
    </w:rPr>
  </w:style>
  <w:style w:type="paragraph" w:styleId="Revision">
    <w:name w:val="Revision"/>
    <w:hidden/>
    <w:uiPriority w:val="99"/>
    <w:semiHidden/>
    <w:rsid w:val="00A55BDB"/>
    <w:pPr>
      <w:spacing w:after="0" w:line="240" w:lineRule="auto"/>
    </w:pPr>
  </w:style>
  <w:style w:type="character" w:customStyle="1" w:styleId="Heading3Char">
    <w:name w:val="Heading 3 Char"/>
    <w:basedOn w:val="DefaultParagraphFont"/>
    <w:link w:val="Heading3"/>
    <w:uiPriority w:val="9"/>
    <w:rsid w:val="0080211A"/>
    <w:rPr>
      <w:rFonts w:ascii="Times New Roman" w:eastAsia="Calibri" w:hAnsi="Times New Roman" w:cs="Times New Roman"/>
      <w:b/>
      <w:bCs/>
      <w:sz w:val="24"/>
      <w:szCs w:val="24"/>
    </w:rPr>
  </w:style>
  <w:style w:type="character" w:styleId="Emphasis">
    <w:name w:val="Emphasis"/>
    <w:uiPriority w:val="99"/>
    <w:qFormat/>
    <w:rsid w:val="00953F04"/>
    <w:rPr>
      <w:rFonts w:ascii="Times New Roman" w:hAnsi="Times New Roman" w:cs="Times New Roman" w:hint="default"/>
      <w:i/>
      <w:iCs w:val="0"/>
    </w:rPr>
  </w:style>
  <w:style w:type="character" w:customStyle="1" w:styleId="FootnoteTextChar2">
    <w:name w:val="Footnote Text Char2"/>
    <w:aliases w:val="Footnote Text Char1 Char,Footnote Text Char Char Char,Footnote Text Char1 Char Char1 Char,Footnote Text Char Char Char Char Char,Footnote Text Char2 Char Char Char Char1 Char,Footnote Text Char1 Char Char1 Char Char Char Char,fn Char"/>
    <w:uiPriority w:val="99"/>
    <w:semiHidden/>
    <w:locked/>
    <w:rsid w:val="00953F04"/>
  </w:style>
  <w:style w:type="paragraph" w:customStyle="1" w:styleId="Default">
    <w:name w:val="Default"/>
    <w:rsid w:val="0030669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80211A"/>
    <w:rPr>
      <w:rFonts w:ascii="Times New Roman Bold" w:eastAsiaTheme="majorEastAsia" w:hAnsi="Times New Roman Bold" w:cstheme="majorBidi"/>
      <w:b/>
      <w:bCs/>
      <w:caps/>
      <w:sz w:val="24"/>
      <w:szCs w:val="28"/>
    </w:rPr>
  </w:style>
  <w:style w:type="paragraph" w:styleId="BodyText">
    <w:name w:val="Body Text"/>
    <w:basedOn w:val="Normal"/>
    <w:link w:val="BodyTextChar"/>
    <w:uiPriority w:val="99"/>
    <w:semiHidden/>
    <w:unhideWhenUsed/>
    <w:rsid w:val="00D161AC"/>
    <w:pPr>
      <w:spacing w:after="120"/>
    </w:pPr>
  </w:style>
  <w:style w:type="character" w:customStyle="1" w:styleId="BodyTextChar">
    <w:name w:val="Body Text Char"/>
    <w:basedOn w:val="DefaultParagraphFont"/>
    <w:link w:val="BodyText"/>
    <w:uiPriority w:val="99"/>
    <w:semiHidden/>
    <w:rsid w:val="00D161AC"/>
  </w:style>
  <w:style w:type="paragraph" w:styleId="BodyText2">
    <w:name w:val="Body Text 2"/>
    <w:basedOn w:val="Normal"/>
    <w:link w:val="BodyText2Char"/>
    <w:uiPriority w:val="99"/>
    <w:semiHidden/>
    <w:unhideWhenUsed/>
    <w:rsid w:val="00D161AC"/>
    <w:pPr>
      <w:spacing w:after="120" w:line="480" w:lineRule="auto"/>
    </w:pPr>
  </w:style>
  <w:style w:type="character" w:customStyle="1" w:styleId="BodyText2Char">
    <w:name w:val="Body Text 2 Char"/>
    <w:basedOn w:val="DefaultParagraphFont"/>
    <w:link w:val="BodyText2"/>
    <w:uiPriority w:val="99"/>
    <w:semiHidden/>
    <w:rsid w:val="00D161AC"/>
  </w:style>
  <w:style w:type="paragraph" w:styleId="TOC1">
    <w:name w:val="toc 1"/>
    <w:basedOn w:val="Normal"/>
    <w:next w:val="Normal"/>
    <w:autoRedefine/>
    <w:uiPriority w:val="39"/>
    <w:unhideWhenUsed/>
    <w:rsid w:val="00F44F7D"/>
    <w:pPr>
      <w:tabs>
        <w:tab w:val="left" w:pos="720"/>
        <w:tab w:val="decimal" w:leader="dot" w:pos="8640"/>
      </w:tabs>
      <w:spacing w:after="12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rsid w:val="00F44F7D"/>
    <w:pPr>
      <w:tabs>
        <w:tab w:val="left" w:pos="720"/>
        <w:tab w:val="left" w:pos="1440"/>
        <w:tab w:val="decimal" w:leader="dot" w:pos="8640"/>
      </w:tabs>
      <w:spacing w:after="120" w:line="240" w:lineRule="auto"/>
      <w:ind w:left="1440" w:hanging="720"/>
    </w:pPr>
    <w:rPr>
      <w:rFonts w:ascii="Times New Roman" w:hAnsi="Times New Roman"/>
      <w:sz w:val="24"/>
    </w:rPr>
  </w:style>
  <w:style w:type="paragraph" w:styleId="TOC3">
    <w:name w:val="toc 3"/>
    <w:basedOn w:val="Normal"/>
    <w:next w:val="Normal"/>
    <w:autoRedefine/>
    <w:uiPriority w:val="39"/>
    <w:unhideWhenUsed/>
    <w:rsid w:val="00F44F7D"/>
    <w:pPr>
      <w:tabs>
        <w:tab w:val="left" w:pos="720"/>
        <w:tab w:val="left" w:pos="1440"/>
        <w:tab w:val="decimal" w:leader="dot" w:pos="8640"/>
      </w:tabs>
      <w:spacing w:after="120" w:line="240" w:lineRule="auto"/>
      <w:ind w:left="2160" w:hanging="720"/>
    </w:pPr>
    <w:rPr>
      <w:rFonts w:ascii="Times New Roman" w:hAnsi="Times New Roman"/>
      <w:sz w:val="24"/>
    </w:rPr>
  </w:style>
  <w:style w:type="character" w:styleId="Hyperlink">
    <w:name w:val="Hyperlink"/>
    <w:basedOn w:val="DefaultParagraphFont"/>
    <w:uiPriority w:val="99"/>
    <w:unhideWhenUsed/>
    <w:rsid w:val="00F44F7D"/>
    <w:rPr>
      <w:color w:val="0000FF" w:themeColor="hyperlink"/>
      <w:u w:val="single"/>
    </w:rPr>
  </w:style>
  <w:style w:type="paragraph" w:styleId="EndnoteText">
    <w:name w:val="endnote text"/>
    <w:basedOn w:val="Normal"/>
    <w:link w:val="EndnoteTextChar"/>
    <w:uiPriority w:val="99"/>
    <w:semiHidden/>
    <w:unhideWhenUsed/>
    <w:rsid w:val="00BF5D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5D1E"/>
    <w:rPr>
      <w:sz w:val="20"/>
      <w:szCs w:val="20"/>
    </w:rPr>
  </w:style>
  <w:style w:type="character" w:styleId="EndnoteReference">
    <w:name w:val="endnote reference"/>
    <w:basedOn w:val="DefaultParagraphFont"/>
    <w:uiPriority w:val="99"/>
    <w:semiHidden/>
    <w:unhideWhenUsed/>
    <w:rsid w:val="00BF5D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80211A"/>
    <w:pPr>
      <w:keepNext/>
      <w:keepLines/>
      <w:spacing w:after="240" w:line="240" w:lineRule="auto"/>
      <w:ind w:left="720" w:hanging="720"/>
      <w:outlineLvl w:val="0"/>
    </w:pPr>
    <w:rPr>
      <w:rFonts w:ascii="Times New Roman Bold" w:eastAsiaTheme="majorEastAsia" w:hAnsi="Times New Roman Bold" w:cstheme="majorBidi"/>
      <w:b/>
      <w:bCs/>
      <w:caps/>
      <w:sz w:val="24"/>
      <w:szCs w:val="28"/>
    </w:rPr>
  </w:style>
  <w:style w:type="paragraph" w:styleId="Heading2">
    <w:name w:val="heading 2"/>
    <w:basedOn w:val="ListParagraph"/>
    <w:next w:val="Normal"/>
    <w:link w:val="Heading2Char"/>
    <w:autoRedefine/>
    <w:uiPriority w:val="9"/>
    <w:unhideWhenUsed/>
    <w:qFormat/>
    <w:rsid w:val="0080211A"/>
    <w:pPr>
      <w:spacing w:after="240" w:line="240" w:lineRule="auto"/>
      <w:ind w:left="1440" w:hanging="720"/>
      <w:outlineLvl w:val="1"/>
    </w:pPr>
    <w:rPr>
      <w:rFonts w:ascii="Times New Roman Bold" w:hAnsi="Times New Roman Bold" w:cs="Times New Roman"/>
      <w:b/>
      <w:sz w:val="24"/>
      <w:szCs w:val="24"/>
    </w:rPr>
  </w:style>
  <w:style w:type="paragraph" w:styleId="Heading3">
    <w:name w:val="heading 3"/>
    <w:basedOn w:val="Normal"/>
    <w:next w:val="Normal"/>
    <w:link w:val="Heading3Char"/>
    <w:autoRedefine/>
    <w:uiPriority w:val="9"/>
    <w:unhideWhenUsed/>
    <w:qFormat/>
    <w:rsid w:val="0080211A"/>
    <w:pPr>
      <w:keepNext/>
      <w:keepLines/>
      <w:spacing w:after="240" w:line="240" w:lineRule="auto"/>
      <w:ind w:left="2160" w:hanging="720"/>
      <w:outlineLvl w:val="2"/>
    </w:pPr>
    <w:rPr>
      <w:rFonts w:ascii="Times New Roman" w:eastAsia="Calibri"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2C1"/>
    <w:pPr>
      <w:ind w:left="720"/>
      <w:contextualSpacing/>
    </w:pPr>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ft,fn C"/>
    <w:basedOn w:val="Normal"/>
    <w:link w:val="FootnoteTextChar"/>
    <w:uiPriority w:val="99"/>
    <w:unhideWhenUsed/>
    <w:rsid w:val="004E7B76"/>
    <w:pPr>
      <w:spacing w:after="0" w:line="240" w:lineRule="auto"/>
    </w:pPr>
    <w:rPr>
      <w:sz w:val="20"/>
      <w:szCs w:val="20"/>
    </w:rPr>
  </w:style>
  <w:style w:type="character" w:customStyle="1" w:styleId="FootnoteTextChar">
    <w:name w:val="Footnote Text Char"/>
    <w:aliases w:val="Footnote Text Char1 Char1,Footnote Text Char Char Char1,Footnote Text Char1 Char Char1 Char1,Footnote Text Char Char Char Char Char1,Footnote Text Char2 Char Char Char Char1 Char1,Footnote Text Char1 Char Char1 Char Char Char Char1"/>
    <w:basedOn w:val="DefaultParagraphFont"/>
    <w:link w:val="FootnoteText"/>
    <w:rsid w:val="004E7B76"/>
    <w:rPr>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
    <w:basedOn w:val="DefaultParagraphFont"/>
    <w:uiPriority w:val="99"/>
    <w:unhideWhenUsed/>
    <w:rsid w:val="004E7B76"/>
    <w:rPr>
      <w:vertAlign w:val="superscript"/>
    </w:rPr>
  </w:style>
  <w:style w:type="paragraph" w:styleId="BalloonText">
    <w:name w:val="Balloon Text"/>
    <w:basedOn w:val="Normal"/>
    <w:link w:val="BalloonTextChar"/>
    <w:uiPriority w:val="99"/>
    <w:semiHidden/>
    <w:unhideWhenUsed/>
    <w:rsid w:val="00923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F89"/>
    <w:rPr>
      <w:rFonts w:ascii="Tahoma" w:hAnsi="Tahoma" w:cs="Tahoma"/>
      <w:sz w:val="16"/>
      <w:szCs w:val="16"/>
    </w:rPr>
  </w:style>
  <w:style w:type="table" w:styleId="TableGrid">
    <w:name w:val="Table Grid"/>
    <w:basedOn w:val="TableNormal"/>
    <w:uiPriority w:val="59"/>
    <w:rsid w:val="00606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89615B"/>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89615B"/>
    <w:rPr>
      <w:rFonts w:ascii="Times New Roman" w:eastAsia="Times New Roman" w:hAnsi="Times New Roman" w:cs="Times New Roman"/>
      <w:sz w:val="24"/>
      <w:szCs w:val="24"/>
    </w:rPr>
  </w:style>
  <w:style w:type="character" w:styleId="CommentReference">
    <w:name w:val="annotation reference"/>
    <w:semiHidden/>
    <w:rsid w:val="0089615B"/>
    <w:rPr>
      <w:sz w:val="16"/>
      <w:szCs w:val="16"/>
    </w:rPr>
  </w:style>
  <w:style w:type="paragraph" w:styleId="Header">
    <w:name w:val="header"/>
    <w:basedOn w:val="Normal"/>
    <w:link w:val="HeaderChar"/>
    <w:uiPriority w:val="99"/>
    <w:unhideWhenUsed/>
    <w:rsid w:val="00157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2F0"/>
  </w:style>
  <w:style w:type="paragraph" w:styleId="Footer">
    <w:name w:val="footer"/>
    <w:basedOn w:val="Normal"/>
    <w:link w:val="FooterChar"/>
    <w:uiPriority w:val="99"/>
    <w:unhideWhenUsed/>
    <w:rsid w:val="00157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2F0"/>
  </w:style>
  <w:style w:type="character" w:customStyle="1" w:styleId="Heading2Char">
    <w:name w:val="Heading 2 Char"/>
    <w:basedOn w:val="DefaultParagraphFont"/>
    <w:link w:val="Heading2"/>
    <w:uiPriority w:val="9"/>
    <w:rsid w:val="0080211A"/>
    <w:rPr>
      <w:rFonts w:ascii="Times New Roman Bold" w:hAnsi="Times New Roman Bold" w:cs="Times New Roman"/>
      <w:b/>
      <w:sz w:val="24"/>
      <w:szCs w:val="24"/>
    </w:rPr>
  </w:style>
  <w:style w:type="paragraph" w:styleId="BodyTextIndent3">
    <w:name w:val="Body Text Indent 3"/>
    <w:basedOn w:val="Normal"/>
    <w:link w:val="BodyTextIndent3Char"/>
    <w:rsid w:val="006C257B"/>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6C257B"/>
    <w:rPr>
      <w:rFonts w:ascii="Times New Roman" w:eastAsia="Times New Roman" w:hAnsi="Times New Roman" w:cs="Times New Roman"/>
      <w:sz w:val="24"/>
      <w:szCs w:val="20"/>
    </w:rPr>
  </w:style>
  <w:style w:type="paragraph" w:styleId="HTMLPreformatted">
    <w:name w:val="HTML Preformatted"/>
    <w:basedOn w:val="Normal"/>
    <w:link w:val="HTMLPreformattedChar"/>
    <w:unhideWhenUsed/>
    <w:rsid w:val="00F04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F04EA9"/>
    <w:rPr>
      <w:rFonts w:ascii="Courier New" w:eastAsia="Courier New" w:hAnsi="Courier New" w:cs="Courier New"/>
      <w:sz w:val="20"/>
      <w:szCs w:val="20"/>
    </w:rPr>
  </w:style>
  <w:style w:type="paragraph" w:styleId="CommentSubject">
    <w:name w:val="annotation subject"/>
    <w:basedOn w:val="CommentText"/>
    <w:next w:val="CommentText"/>
    <w:link w:val="CommentSubjectChar"/>
    <w:uiPriority w:val="99"/>
    <w:semiHidden/>
    <w:unhideWhenUsed/>
    <w:rsid w:val="00D02A13"/>
    <w:pPr>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D02A13"/>
    <w:rPr>
      <w:rFonts w:ascii="Times New Roman" w:eastAsia="Times New Roman" w:hAnsi="Times New Roman" w:cs="Times New Roman"/>
      <w:b/>
      <w:bCs/>
      <w:sz w:val="20"/>
      <w:szCs w:val="20"/>
    </w:rPr>
  </w:style>
  <w:style w:type="paragraph" w:styleId="Revision">
    <w:name w:val="Revision"/>
    <w:hidden/>
    <w:uiPriority w:val="99"/>
    <w:semiHidden/>
    <w:rsid w:val="00A55BDB"/>
    <w:pPr>
      <w:spacing w:after="0" w:line="240" w:lineRule="auto"/>
    </w:pPr>
  </w:style>
  <w:style w:type="character" w:customStyle="1" w:styleId="Heading3Char">
    <w:name w:val="Heading 3 Char"/>
    <w:basedOn w:val="DefaultParagraphFont"/>
    <w:link w:val="Heading3"/>
    <w:uiPriority w:val="9"/>
    <w:rsid w:val="0080211A"/>
    <w:rPr>
      <w:rFonts w:ascii="Times New Roman" w:eastAsia="Calibri" w:hAnsi="Times New Roman" w:cs="Times New Roman"/>
      <w:b/>
      <w:bCs/>
      <w:sz w:val="24"/>
      <w:szCs w:val="24"/>
    </w:rPr>
  </w:style>
  <w:style w:type="character" w:styleId="Emphasis">
    <w:name w:val="Emphasis"/>
    <w:uiPriority w:val="99"/>
    <w:qFormat/>
    <w:rsid w:val="00953F04"/>
    <w:rPr>
      <w:rFonts w:ascii="Times New Roman" w:hAnsi="Times New Roman" w:cs="Times New Roman" w:hint="default"/>
      <w:i/>
      <w:iCs w:val="0"/>
    </w:rPr>
  </w:style>
  <w:style w:type="character" w:customStyle="1" w:styleId="FootnoteTextChar2">
    <w:name w:val="Footnote Text Char2"/>
    <w:aliases w:val="Footnote Text Char1 Char,Footnote Text Char Char Char,Footnote Text Char1 Char Char1 Char,Footnote Text Char Char Char Char Char,Footnote Text Char2 Char Char Char Char1 Char,Footnote Text Char1 Char Char1 Char Char Char Char,fn Char"/>
    <w:uiPriority w:val="99"/>
    <w:semiHidden/>
    <w:locked/>
    <w:rsid w:val="00953F04"/>
  </w:style>
  <w:style w:type="paragraph" w:customStyle="1" w:styleId="Default">
    <w:name w:val="Default"/>
    <w:rsid w:val="0030669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80211A"/>
    <w:rPr>
      <w:rFonts w:ascii="Times New Roman Bold" w:eastAsiaTheme="majorEastAsia" w:hAnsi="Times New Roman Bold" w:cstheme="majorBidi"/>
      <w:b/>
      <w:bCs/>
      <w:caps/>
      <w:sz w:val="24"/>
      <w:szCs w:val="28"/>
    </w:rPr>
  </w:style>
  <w:style w:type="paragraph" w:styleId="BodyText">
    <w:name w:val="Body Text"/>
    <w:basedOn w:val="Normal"/>
    <w:link w:val="BodyTextChar"/>
    <w:uiPriority w:val="99"/>
    <w:semiHidden/>
    <w:unhideWhenUsed/>
    <w:rsid w:val="00D161AC"/>
    <w:pPr>
      <w:spacing w:after="120"/>
    </w:pPr>
  </w:style>
  <w:style w:type="character" w:customStyle="1" w:styleId="BodyTextChar">
    <w:name w:val="Body Text Char"/>
    <w:basedOn w:val="DefaultParagraphFont"/>
    <w:link w:val="BodyText"/>
    <w:uiPriority w:val="99"/>
    <w:semiHidden/>
    <w:rsid w:val="00D161AC"/>
  </w:style>
  <w:style w:type="paragraph" w:styleId="BodyText2">
    <w:name w:val="Body Text 2"/>
    <w:basedOn w:val="Normal"/>
    <w:link w:val="BodyText2Char"/>
    <w:uiPriority w:val="99"/>
    <w:semiHidden/>
    <w:unhideWhenUsed/>
    <w:rsid w:val="00D161AC"/>
    <w:pPr>
      <w:spacing w:after="120" w:line="480" w:lineRule="auto"/>
    </w:pPr>
  </w:style>
  <w:style w:type="character" w:customStyle="1" w:styleId="BodyText2Char">
    <w:name w:val="Body Text 2 Char"/>
    <w:basedOn w:val="DefaultParagraphFont"/>
    <w:link w:val="BodyText2"/>
    <w:uiPriority w:val="99"/>
    <w:semiHidden/>
    <w:rsid w:val="00D161AC"/>
  </w:style>
  <w:style w:type="paragraph" w:styleId="TOC1">
    <w:name w:val="toc 1"/>
    <w:basedOn w:val="Normal"/>
    <w:next w:val="Normal"/>
    <w:autoRedefine/>
    <w:uiPriority w:val="39"/>
    <w:unhideWhenUsed/>
    <w:rsid w:val="00F44F7D"/>
    <w:pPr>
      <w:tabs>
        <w:tab w:val="left" w:pos="720"/>
        <w:tab w:val="decimal" w:leader="dot" w:pos="8640"/>
      </w:tabs>
      <w:spacing w:after="12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rsid w:val="00F44F7D"/>
    <w:pPr>
      <w:tabs>
        <w:tab w:val="left" w:pos="720"/>
        <w:tab w:val="left" w:pos="1440"/>
        <w:tab w:val="decimal" w:leader="dot" w:pos="8640"/>
      </w:tabs>
      <w:spacing w:after="120" w:line="240" w:lineRule="auto"/>
      <w:ind w:left="1440" w:hanging="720"/>
    </w:pPr>
    <w:rPr>
      <w:rFonts w:ascii="Times New Roman" w:hAnsi="Times New Roman"/>
      <w:sz w:val="24"/>
    </w:rPr>
  </w:style>
  <w:style w:type="paragraph" w:styleId="TOC3">
    <w:name w:val="toc 3"/>
    <w:basedOn w:val="Normal"/>
    <w:next w:val="Normal"/>
    <w:autoRedefine/>
    <w:uiPriority w:val="39"/>
    <w:unhideWhenUsed/>
    <w:rsid w:val="00F44F7D"/>
    <w:pPr>
      <w:tabs>
        <w:tab w:val="left" w:pos="720"/>
        <w:tab w:val="left" w:pos="1440"/>
        <w:tab w:val="decimal" w:leader="dot" w:pos="8640"/>
      </w:tabs>
      <w:spacing w:after="120" w:line="240" w:lineRule="auto"/>
      <w:ind w:left="2160" w:hanging="720"/>
    </w:pPr>
    <w:rPr>
      <w:rFonts w:ascii="Times New Roman" w:hAnsi="Times New Roman"/>
      <w:sz w:val="24"/>
    </w:rPr>
  </w:style>
  <w:style w:type="character" w:styleId="Hyperlink">
    <w:name w:val="Hyperlink"/>
    <w:basedOn w:val="DefaultParagraphFont"/>
    <w:uiPriority w:val="99"/>
    <w:unhideWhenUsed/>
    <w:rsid w:val="00F44F7D"/>
    <w:rPr>
      <w:color w:val="0000FF" w:themeColor="hyperlink"/>
      <w:u w:val="single"/>
    </w:rPr>
  </w:style>
  <w:style w:type="paragraph" w:styleId="EndnoteText">
    <w:name w:val="endnote text"/>
    <w:basedOn w:val="Normal"/>
    <w:link w:val="EndnoteTextChar"/>
    <w:uiPriority w:val="99"/>
    <w:semiHidden/>
    <w:unhideWhenUsed/>
    <w:rsid w:val="00BF5D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5D1E"/>
    <w:rPr>
      <w:sz w:val="20"/>
      <w:szCs w:val="20"/>
    </w:rPr>
  </w:style>
  <w:style w:type="character" w:styleId="EndnoteReference">
    <w:name w:val="endnote reference"/>
    <w:basedOn w:val="DefaultParagraphFont"/>
    <w:uiPriority w:val="99"/>
    <w:semiHidden/>
    <w:unhideWhenUsed/>
    <w:rsid w:val="00BF5D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72101">
      <w:bodyDiv w:val="1"/>
      <w:marLeft w:val="0"/>
      <w:marRight w:val="0"/>
      <w:marTop w:val="0"/>
      <w:marBottom w:val="0"/>
      <w:divBdr>
        <w:top w:val="none" w:sz="0" w:space="0" w:color="auto"/>
        <w:left w:val="none" w:sz="0" w:space="0" w:color="auto"/>
        <w:bottom w:val="none" w:sz="0" w:space="0" w:color="auto"/>
        <w:right w:val="none" w:sz="0" w:space="0" w:color="auto"/>
      </w:divBdr>
    </w:div>
    <w:div w:id="1698387147">
      <w:bodyDiv w:val="1"/>
      <w:marLeft w:val="0"/>
      <w:marRight w:val="0"/>
      <w:marTop w:val="0"/>
      <w:marBottom w:val="0"/>
      <w:divBdr>
        <w:top w:val="none" w:sz="0" w:space="0" w:color="auto"/>
        <w:left w:val="none" w:sz="0" w:space="0" w:color="auto"/>
        <w:bottom w:val="none" w:sz="0" w:space="0" w:color="auto"/>
        <w:right w:val="none" w:sz="0" w:space="0" w:color="auto"/>
      </w:divBdr>
    </w:div>
    <w:div w:id="1784305713">
      <w:bodyDiv w:val="1"/>
      <w:marLeft w:val="0"/>
      <w:marRight w:val="0"/>
      <w:marTop w:val="0"/>
      <w:marBottom w:val="0"/>
      <w:divBdr>
        <w:top w:val="none" w:sz="0" w:space="0" w:color="auto"/>
        <w:left w:val="none" w:sz="0" w:space="0" w:color="auto"/>
        <w:bottom w:val="none" w:sz="0" w:space="0" w:color="auto"/>
        <w:right w:val="none" w:sz="0" w:space="0" w:color="auto"/>
      </w:divBdr>
    </w:div>
    <w:div w:id="214106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6465</Words>
  <Characters>34611</Characters>
  <Application>Microsoft Office Word</Application>
  <DocSecurity>0</DocSecurity>
  <Lines>784</Lines>
  <Paragraphs>265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41030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2013-06-17T13:50:00Z</cp:lastPrinted>
  <dcterms:created xsi:type="dcterms:W3CDTF">2013-06-17T20:08:00Z</dcterms:created>
  <dcterms:modified xsi:type="dcterms:W3CDTF">2013-06-17T20:08:00Z</dcterms:modified>
  <cp:category> </cp:category>
  <cp:contentStatus> </cp:contentStatus>
</cp:coreProperties>
</file>