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9 -->
  <w:body>
    <w:p w:rsidR="002C72C1" w:rsidRPr="005128DC" w14:paraId="67225716" w14:textId="77777777">
      <w:pPr>
        <w:pStyle w:val="HTMLPreformatte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28DC">
        <w:rPr>
          <w:rFonts w:ascii="Times New Roman" w:hAnsi="Times New Roman" w:cs="Times New Roman"/>
          <w:b/>
          <w:bCs/>
          <w:sz w:val="24"/>
          <w:szCs w:val="24"/>
        </w:rPr>
        <w:t>BEFORE</w:t>
      </w:r>
    </w:p>
    <w:p w:rsidR="002C72C1" w:rsidRPr="005128DC" w14:paraId="2B73C9AD" w14:textId="77777777">
      <w:pPr>
        <w:pStyle w:val="HTMLPreformatte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28DC">
        <w:rPr>
          <w:rFonts w:ascii="Times New Roman" w:hAnsi="Times New Roman" w:cs="Times New Roman"/>
          <w:b/>
          <w:bCs/>
          <w:sz w:val="24"/>
          <w:szCs w:val="24"/>
        </w:rPr>
        <w:t>THE PUBLIC UTILITIES COMMISSION OF OHIO</w:t>
      </w:r>
    </w:p>
    <w:p w:rsidR="002C72C1" w:rsidRPr="005128DC" w14:paraId="140CADCB" w14:textId="77777777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838" w:type="dxa"/>
        <w:tblLook w:val="01E0"/>
      </w:tblPr>
      <w:tblGrid>
        <w:gridCol w:w="4228"/>
        <w:gridCol w:w="464"/>
        <w:gridCol w:w="4146"/>
      </w:tblGrid>
      <w:tr w14:paraId="0EC4B612" w14:textId="77777777">
        <w:tblPrEx>
          <w:tblW w:w="8838" w:type="dxa"/>
          <w:tblLook w:val="01E0"/>
        </w:tblPrEx>
        <w:trPr>
          <w:trHeight w:val="807"/>
        </w:trPr>
        <w:tc>
          <w:tcPr>
            <w:tcW w:w="4228" w:type="dxa"/>
            <w:shd w:val="clear" w:color="auto" w:fill="auto"/>
          </w:tcPr>
          <w:p w:rsidR="002C72C1" w:rsidRPr="005128DC" w14:paraId="45740436" w14:textId="77777777">
            <w:pPr>
              <w:rPr>
                <w:rFonts w:ascii="Times New Roman" w:hAnsi="Times New Roman" w:cs="Times New Roman"/>
              </w:rPr>
            </w:pPr>
            <w:r w:rsidRPr="005128DC">
              <w:rPr>
                <w:rFonts w:ascii="Times New Roman" w:hAnsi="Times New Roman" w:cs="Times New Roman"/>
                <w:color w:val="232323"/>
              </w:rPr>
              <w:t>In the Matter of the Commission’s Investigation into the Implementation of the Federal Infrastructure Investment and Jobs Act’s Electric Vehicle Charging PURPA Standard.</w:t>
            </w:r>
          </w:p>
        </w:tc>
        <w:tc>
          <w:tcPr>
            <w:tcW w:w="464" w:type="dxa"/>
            <w:shd w:val="clear" w:color="auto" w:fill="auto"/>
          </w:tcPr>
          <w:p w:rsidR="002C72C1" w:rsidRPr="005128DC" w14:paraId="0ED25FB1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5128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C72C1" w:rsidRPr="005128DC" w14:paraId="37ADB522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5128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C72C1" w:rsidRPr="005128DC" w14:paraId="1E0ABD29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5128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C72C1" w:rsidRPr="005128DC" w14:paraId="1D077F46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5128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C72C1" w:rsidRPr="005128DC" w14:paraId="43AA6ECE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5128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46" w:type="dxa"/>
            <w:shd w:val="clear" w:color="auto" w:fill="auto"/>
          </w:tcPr>
          <w:p w:rsidR="002C72C1" w:rsidRPr="005128DC" w14:paraId="7C69AE86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2C1" w:rsidRPr="005128DC" w14:paraId="7D5934C6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2C1" w:rsidRPr="005128DC" w14:paraId="624A97EC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5128DC">
              <w:rPr>
                <w:rFonts w:ascii="Times New Roman" w:hAnsi="Times New Roman" w:cs="Times New Roman"/>
                <w:sz w:val="24"/>
                <w:szCs w:val="24"/>
              </w:rPr>
              <w:t>Case No. 22-1025-AU-COI</w:t>
            </w:r>
          </w:p>
          <w:p w:rsidR="002C72C1" w:rsidRPr="005128DC" w14:paraId="62B32CA6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72C1" w:rsidRPr="005128DC" w14:paraId="2B899B3F" w14:textId="77777777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2C72C1" w:rsidRPr="005128DC" w14:paraId="59157708" w14:textId="77777777">
      <w:pPr>
        <w:pStyle w:val="HTMLPreformatted"/>
        <w:pBdr>
          <w:top w:val="single" w:sz="12" w:space="1" w:color="00000A"/>
        </w:pBdr>
        <w:rPr>
          <w:rFonts w:ascii="Times New Roman" w:hAnsi="Times New Roman" w:cs="Times New Roman"/>
          <w:sz w:val="24"/>
          <w:szCs w:val="24"/>
        </w:rPr>
      </w:pPr>
    </w:p>
    <w:p w:rsidR="002C72C1" w:rsidRPr="005128DC" w14:paraId="2784621F" w14:textId="061EA5B1">
      <w:pPr>
        <w:jc w:val="center"/>
        <w:rPr>
          <w:rFonts w:ascii="Times New Roman" w:hAnsi="Times New Roman" w:cs="Times New Roman"/>
        </w:rPr>
      </w:pPr>
      <w:r w:rsidRPr="005128DC">
        <w:rPr>
          <w:rFonts w:ascii="Times New Roman" w:hAnsi="Times New Roman" w:cs="Times New Roman"/>
          <w:b/>
          <w:bCs/>
        </w:rPr>
        <w:t xml:space="preserve">CONSUMER PROTECTION </w:t>
      </w:r>
      <w:r w:rsidRPr="005128DC" w:rsidR="00B4286E">
        <w:rPr>
          <w:rFonts w:ascii="Times New Roman" w:hAnsi="Times New Roman" w:cs="Times New Roman"/>
          <w:b/>
          <w:bCs/>
        </w:rPr>
        <w:t>REPLY COMMENTS</w:t>
      </w:r>
    </w:p>
    <w:p w:rsidR="002C72C1" w:rsidRPr="005128DC" w14:paraId="1CB50E8A" w14:textId="77777777">
      <w:pPr>
        <w:jc w:val="center"/>
        <w:rPr>
          <w:rFonts w:ascii="Times New Roman" w:hAnsi="Times New Roman" w:cs="Times New Roman"/>
          <w:b/>
          <w:bCs/>
        </w:rPr>
      </w:pPr>
      <w:r w:rsidRPr="005128DC">
        <w:rPr>
          <w:rFonts w:ascii="Times New Roman" w:hAnsi="Times New Roman" w:cs="Times New Roman"/>
          <w:b/>
          <w:bCs/>
        </w:rPr>
        <w:t>BY</w:t>
      </w:r>
    </w:p>
    <w:p w:rsidR="002C72C1" w:rsidRPr="005128DC" w14:paraId="68FB7E5A" w14:textId="77777777">
      <w:pPr>
        <w:jc w:val="center"/>
        <w:rPr>
          <w:rFonts w:ascii="Times New Roman" w:hAnsi="Times New Roman" w:cs="Times New Roman"/>
          <w:b/>
          <w:bCs/>
        </w:rPr>
      </w:pPr>
      <w:r w:rsidRPr="005128DC">
        <w:rPr>
          <w:rFonts w:ascii="Times New Roman" w:hAnsi="Times New Roman" w:cs="Times New Roman"/>
          <w:b/>
          <w:bCs/>
        </w:rPr>
        <w:t>OFFICE OF THE OHIO CONSUMERS’ COUNSEL</w:t>
      </w:r>
    </w:p>
    <w:p w:rsidR="002C72C1" w:rsidRPr="005128DC" w14:paraId="132B21B5" w14:textId="77777777">
      <w:pPr>
        <w:pBdr>
          <w:bottom w:val="single" w:sz="12" w:space="1" w:color="00000A"/>
        </w:pBdr>
        <w:tabs>
          <w:tab w:val="left" w:pos="4320"/>
        </w:tabs>
        <w:rPr>
          <w:rFonts w:ascii="Times New Roman" w:hAnsi="Times New Roman" w:cs="Times New Roman"/>
        </w:rPr>
      </w:pPr>
    </w:p>
    <w:p w:rsidR="002C72C1" w:rsidRPr="005128DC" w14:paraId="78B8DC84" w14:textId="77777777">
      <w:pPr>
        <w:tabs>
          <w:tab w:val="left" w:pos="4320"/>
        </w:tabs>
        <w:rPr>
          <w:rFonts w:ascii="Times New Roman" w:hAnsi="Times New Roman" w:cs="Times New Roman"/>
        </w:rPr>
      </w:pPr>
    </w:p>
    <w:p w:rsidR="007F1C30" w:rsidRPr="005128DC" w:rsidP="00437E25" w14:paraId="2572A8D8" w14:textId="300D4D81">
      <w:pPr>
        <w:pStyle w:val="Heading"/>
      </w:pPr>
      <w:r w:rsidRPr="005128DC">
        <w:t>INTRODUCTION</w:t>
      </w:r>
    </w:p>
    <w:p w:rsidR="002C72C1" w:rsidRPr="005128DC" w14:paraId="66F0A3E5" w14:textId="5D7D605D">
      <w:pPr>
        <w:spacing w:line="480" w:lineRule="auto"/>
        <w:ind w:firstLine="720"/>
        <w:rPr>
          <w:rFonts w:ascii="Times New Roman" w:hAnsi="Times New Roman" w:cs="Times New Roman"/>
        </w:rPr>
      </w:pPr>
      <w:r w:rsidRPr="005128DC">
        <w:rPr>
          <w:rFonts w:ascii="Times New Roman" w:hAnsi="Times New Roman" w:cs="Times New Roman"/>
        </w:rPr>
        <w:t>The</w:t>
      </w:r>
      <w:r w:rsidRPr="005128DC" w:rsidR="00B4286E">
        <w:rPr>
          <w:rFonts w:ascii="Times New Roman" w:hAnsi="Times New Roman" w:cs="Times New Roman"/>
        </w:rPr>
        <w:t xml:space="preserve"> Public Utilities Commission of Ohio (“PUCO”) is seeking comments regarding its consideration of amended electric-vehicle-charging (“EVC”) standards in </w:t>
      </w:r>
      <w:r w:rsidRPr="005128DC" w:rsidR="007F1C30">
        <w:rPr>
          <w:rFonts w:ascii="Times New Roman" w:hAnsi="Times New Roman" w:cs="Times New Roman"/>
        </w:rPr>
        <w:t xml:space="preserve">the </w:t>
      </w:r>
      <w:r w:rsidRPr="005128DC" w:rsidR="00B4286E">
        <w:rPr>
          <w:rFonts w:ascii="Times New Roman" w:hAnsi="Times New Roman" w:cs="Times New Roman"/>
        </w:rPr>
        <w:t xml:space="preserve">Public Utility Regulatory Policies Act (“PURPA”). In its initial comments in this case, </w:t>
      </w:r>
      <w:r w:rsidRPr="005128DC" w:rsidR="007F1C30">
        <w:rPr>
          <w:rFonts w:ascii="Times New Roman" w:hAnsi="Times New Roman" w:cs="Times New Roman"/>
        </w:rPr>
        <w:t xml:space="preserve">the </w:t>
      </w:r>
      <w:r w:rsidRPr="005128DC" w:rsidR="00B4286E">
        <w:rPr>
          <w:rFonts w:ascii="Times New Roman" w:hAnsi="Times New Roman" w:cs="Times New Roman"/>
        </w:rPr>
        <w:t xml:space="preserve">Office of the Ohio Consumers’ Counsel (“OCC”) made the following two overarching consumer-protection recommendations </w:t>
      </w:r>
      <w:r w:rsidRPr="005128DC" w:rsidR="007F1C30">
        <w:rPr>
          <w:rFonts w:ascii="Times New Roman" w:hAnsi="Times New Roman" w:cs="Times New Roman"/>
        </w:rPr>
        <w:t>about</w:t>
      </w:r>
      <w:r w:rsidRPr="005128DC" w:rsidR="00B4286E">
        <w:rPr>
          <w:rFonts w:ascii="Times New Roman" w:hAnsi="Times New Roman" w:cs="Times New Roman"/>
        </w:rPr>
        <w:t xml:space="preserve"> EVC.</w:t>
      </w:r>
    </w:p>
    <w:p w:rsidR="002C72C1" w:rsidRPr="005128DC" w:rsidP="009E6CE2" w14:paraId="38CC706B" w14:textId="79D307EB">
      <w:pPr>
        <w:numPr>
          <w:ilvl w:val="0"/>
          <w:numId w:val="1"/>
        </w:numPr>
        <w:spacing w:line="480" w:lineRule="auto"/>
        <w:ind w:left="1440" w:hanging="720"/>
        <w:rPr>
          <w:rFonts w:ascii="Times New Roman" w:hAnsi="Times New Roman" w:cs="Times New Roman"/>
        </w:rPr>
      </w:pPr>
      <w:r w:rsidRPr="005128DC">
        <w:rPr>
          <w:rFonts w:ascii="Times New Roman" w:hAnsi="Times New Roman" w:cs="Times New Roman"/>
        </w:rPr>
        <w:t xml:space="preserve">OCC supports a requirement that EVC and enabling infrastructure </w:t>
      </w:r>
      <w:r w:rsidRPr="005128DC" w:rsidR="00936BCF">
        <w:rPr>
          <w:rFonts w:ascii="Times New Roman" w:hAnsi="Times New Roman" w:cs="Times New Roman"/>
        </w:rPr>
        <w:t>to be</w:t>
      </w:r>
      <w:r w:rsidRPr="005128DC">
        <w:rPr>
          <w:rFonts w:ascii="Times New Roman" w:hAnsi="Times New Roman" w:cs="Times New Roman"/>
        </w:rPr>
        <w:t xml:space="preserve"> built, operated, and implemented in a fully competitive manner.</w:t>
      </w:r>
    </w:p>
    <w:p w:rsidR="002C72C1" w:rsidRPr="005128DC" w:rsidP="009E6CE2" w14:paraId="160185C0" w14:textId="159560C8">
      <w:pPr>
        <w:numPr>
          <w:ilvl w:val="0"/>
          <w:numId w:val="1"/>
        </w:numPr>
        <w:spacing w:line="480" w:lineRule="auto"/>
        <w:ind w:left="1440" w:hanging="720"/>
        <w:rPr>
          <w:rFonts w:ascii="Times New Roman" w:hAnsi="Times New Roman" w:cs="Times New Roman"/>
        </w:rPr>
      </w:pPr>
      <w:r w:rsidRPr="005128DC">
        <w:rPr>
          <w:rFonts w:ascii="Times New Roman" w:hAnsi="Times New Roman" w:cs="Times New Roman"/>
        </w:rPr>
        <w:t xml:space="preserve">OCC supports a requirement that any tariff or remuneration </w:t>
      </w:r>
      <w:r w:rsidRPr="005128DC" w:rsidR="007F1C30">
        <w:rPr>
          <w:rFonts w:ascii="Times New Roman" w:hAnsi="Times New Roman" w:cs="Times New Roman"/>
        </w:rPr>
        <w:t xml:space="preserve">plans </w:t>
      </w:r>
      <w:r w:rsidRPr="005128DC">
        <w:rPr>
          <w:rFonts w:ascii="Times New Roman" w:hAnsi="Times New Roman" w:cs="Times New Roman"/>
        </w:rPr>
        <w:t xml:space="preserve">that are developed in support of EVC or enabling infrastructure </w:t>
      </w:r>
      <w:r w:rsidRPr="005128DC" w:rsidR="00936BCF">
        <w:rPr>
          <w:rFonts w:ascii="Times New Roman" w:hAnsi="Times New Roman" w:cs="Times New Roman"/>
        </w:rPr>
        <w:t>to be</w:t>
      </w:r>
      <w:r w:rsidRPr="005128DC">
        <w:rPr>
          <w:rFonts w:ascii="Times New Roman" w:hAnsi="Times New Roman" w:cs="Times New Roman"/>
        </w:rPr>
        <w:t xml:space="preserve"> designed in a manner that does not create cross subsidies from non-users of the services and infrastructure.</w:t>
      </w:r>
    </w:p>
    <w:p w:rsidR="00DC63FE" w:rsidRPr="005128DC" w14:paraId="03461FE1" w14:textId="5D2B1F76">
      <w:pPr>
        <w:spacing w:line="480" w:lineRule="auto"/>
        <w:ind w:firstLine="720"/>
        <w:rPr>
          <w:rFonts w:ascii="Times New Roman" w:hAnsi="Times New Roman" w:cs="Times New Roman"/>
        </w:rPr>
      </w:pPr>
      <w:r w:rsidRPr="005128DC">
        <w:rPr>
          <w:rFonts w:ascii="Times New Roman" w:hAnsi="Times New Roman" w:cs="Times New Roman"/>
        </w:rPr>
        <w:t xml:space="preserve">OCC is encouraged that a diverse set of parties filed similar comments in this case. </w:t>
      </w:r>
      <w:r w:rsidRPr="005128DC" w:rsidR="007F1C30">
        <w:rPr>
          <w:rFonts w:ascii="Times New Roman" w:hAnsi="Times New Roman" w:cs="Times New Roman"/>
        </w:rPr>
        <w:t>OCC appreciates this opportunity to provide consumer protection reply comments.</w:t>
      </w:r>
    </w:p>
    <w:p w:rsidR="00DC63FE" w:rsidRPr="005128DC" w14:paraId="5A62E2C8" w14:textId="77777777">
      <w:pPr>
        <w:widowControl/>
        <w:suppressAutoHyphens w:val="0"/>
        <w:rPr>
          <w:rFonts w:ascii="Times New Roman" w:hAnsi="Times New Roman" w:cs="Times New Roman"/>
        </w:rPr>
      </w:pPr>
      <w:r w:rsidRPr="005128DC">
        <w:rPr>
          <w:rFonts w:ascii="Times New Roman" w:hAnsi="Times New Roman" w:cs="Times New Roman"/>
        </w:rPr>
        <w:br w:type="page"/>
      </w:r>
    </w:p>
    <w:p w:rsidR="007F1C30" w:rsidRPr="005128DC" w:rsidP="00DC63FE" w14:paraId="237B9051" w14:textId="1280B24B">
      <w:pPr>
        <w:pStyle w:val="Heading"/>
      </w:pPr>
      <w:r w:rsidRPr="005128DC">
        <w:t>CONSUMER PROTECTION REPLY COMMENTS</w:t>
      </w:r>
    </w:p>
    <w:p w:rsidR="002C72C1" w:rsidRPr="005128DC" w:rsidP="00173661" w14:paraId="5374D829" w14:textId="7A713BD5">
      <w:pPr>
        <w:spacing w:line="480" w:lineRule="auto"/>
        <w:ind w:firstLine="709"/>
        <w:rPr>
          <w:rFonts w:ascii="Times New Roman" w:hAnsi="Times New Roman" w:cs="Times New Roman"/>
        </w:rPr>
      </w:pPr>
      <w:r w:rsidRPr="005128DC">
        <w:rPr>
          <w:rFonts w:ascii="Times New Roman" w:hAnsi="Times New Roman" w:cs="Times New Roman"/>
        </w:rPr>
        <w:t xml:space="preserve">Sheetz, Inc. (“Sheetz”) advocates that </w:t>
      </w:r>
      <w:r w:rsidRPr="005128DC" w:rsidR="007F1C30">
        <w:rPr>
          <w:rFonts w:ascii="Times New Roman" w:hAnsi="Times New Roman" w:cs="Times New Roman"/>
        </w:rPr>
        <w:t xml:space="preserve">the </w:t>
      </w:r>
      <w:r w:rsidRPr="005128DC">
        <w:rPr>
          <w:rFonts w:ascii="Times New Roman" w:hAnsi="Times New Roman" w:cs="Times New Roman"/>
        </w:rPr>
        <w:t>PUCO pursue fully competitive provision of EVC and enabling infrastructure.</w:t>
      </w:r>
      <w:r>
        <w:rPr>
          <w:rStyle w:val="FootnoteAnchor"/>
          <w:rFonts w:ascii="Times New Roman" w:hAnsi="Times New Roman" w:cs="Times New Roman"/>
        </w:rPr>
        <w:footnoteReference w:id="2"/>
      </w:r>
      <w:r w:rsidRPr="005128DC">
        <w:rPr>
          <w:rFonts w:ascii="Times New Roman" w:hAnsi="Times New Roman" w:cs="Times New Roman"/>
        </w:rPr>
        <w:t xml:space="preserve"> Sheetz explains further that allowing electric distribution utilities to own and operate EVC infrastructure</w:t>
      </w:r>
      <w:r w:rsidRPr="005128DC" w:rsidR="007F1C30">
        <w:rPr>
          <w:rFonts w:ascii="Times New Roman" w:hAnsi="Times New Roman" w:cs="Times New Roman"/>
        </w:rPr>
        <w:t xml:space="preserve"> and collect costs from consumers through</w:t>
      </w:r>
      <w:r w:rsidRPr="005128DC">
        <w:rPr>
          <w:rFonts w:ascii="Times New Roman" w:hAnsi="Times New Roman" w:cs="Times New Roman"/>
        </w:rPr>
        <w:t xml:space="preserve"> rate</w:t>
      </w:r>
      <w:r w:rsidRPr="005128DC" w:rsidR="0031453C">
        <w:rPr>
          <w:rFonts w:ascii="Times New Roman" w:hAnsi="Times New Roman" w:cs="Times New Roman"/>
        </w:rPr>
        <w:t xml:space="preserve"> </w:t>
      </w:r>
      <w:r w:rsidRPr="005128DC">
        <w:rPr>
          <w:rFonts w:ascii="Times New Roman" w:hAnsi="Times New Roman" w:cs="Times New Roman"/>
        </w:rPr>
        <w:t>base would hamper private-sector investment in EVC.</w:t>
      </w:r>
      <w:r>
        <w:rPr>
          <w:rStyle w:val="FootnoteAnchor"/>
          <w:rFonts w:ascii="Times New Roman" w:hAnsi="Times New Roman" w:cs="Times New Roman"/>
        </w:rPr>
        <w:footnoteReference w:id="3"/>
      </w:r>
      <w:r w:rsidRPr="005128DC">
        <w:rPr>
          <w:rFonts w:ascii="Times New Roman" w:hAnsi="Times New Roman" w:cs="Times New Roman"/>
        </w:rPr>
        <w:t xml:space="preserve"> OCC </w:t>
      </w:r>
      <w:r w:rsidRPr="005128DC" w:rsidR="00772588">
        <w:rPr>
          <w:rFonts w:ascii="Times New Roman" w:hAnsi="Times New Roman" w:cs="Times New Roman"/>
        </w:rPr>
        <w:t xml:space="preserve">wholeheartedly </w:t>
      </w:r>
      <w:r w:rsidRPr="005128DC">
        <w:rPr>
          <w:rFonts w:ascii="Times New Roman" w:hAnsi="Times New Roman" w:cs="Times New Roman"/>
        </w:rPr>
        <w:t>agrees with these recommendations</w:t>
      </w:r>
      <w:r w:rsidRPr="005128DC" w:rsidR="00B24649">
        <w:rPr>
          <w:rFonts w:ascii="Times New Roman" w:hAnsi="Times New Roman" w:cs="Times New Roman"/>
        </w:rPr>
        <w:t>.</w:t>
      </w:r>
    </w:p>
    <w:p w:rsidR="002645A9" w:rsidRPr="005128DC" w14:paraId="5A530983" w14:textId="157BD722">
      <w:pPr>
        <w:spacing w:line="480" w:lineRule="auto"/>
        <w:ind w:firstLine="720"/>
        <w:rPr>
          <w:rFonts w:ascii="Times New Roman" w:hAnsi="Times New Roman" w:cs="Times New Roman"/>
        </w:rPr>
      </w:pPr>
      <w:r w:rsidRPr="005128DC">
        <w:rPr>
          <w:rFonts w:ascii="Times New Roman" w:hAnsi="Times New Roman" w:cs="Times New Roman"/>
        </w:rPr>
        <w:t xml:space="preserve">ChargePoint, Inc. (“ChargePoint”) advocates for </w:t>
      </w:r>
      <w:r w:rsidRPr="005128DC">
        <w:rPr>
          <w:rFonts w:ascii="Times New Roman" w:hAnsi="Times New Roman" w:cs="Times New Roman"/>
        </w:rPr>
        <w:t xml:space="preserve">the </w:t>
      </w:r>
      <w:r w:rsidRPr="005128DC">
        <w:rPr>
          <w:rFonts w:ascii="Times New Roman" w:hAnsi="Times New Roman" w:cs="Times New Roman"/>
        </w:rPr>
        <w:t>PUCO to examine, in a holistic manner, the development of measures to promote greater transportation electrification, including the development of EVC-specific rates.</w:t>
      </w:r>
      <w:r>
        <w:rPr>
          <w:rStyle w:val="FootnoteAnchor"/>
          <w:rFonts w:ascii="Times New Roman" w:hAnsi="Times New Roman" w:cs="Times New Roman"/>
        </w:rPr>
        <w:footnoteReference w:id="4"/>
      </w:r>
      <w:r w:rsidRPr="005128DC">
        <w:rPr>
          <w:rFonts w:ascii="Times New Roman" w:hAnsi="Times New Roman" w:cs="Times New Roman"/>
        </w:rPr>
        <w:t xml:space="preserve"> Specifically, ChargePoint advocates for reducing or eliminating the use of demand charges for EVC.</w:t>
      </w:r>
      <w:r>
        <w:rPr>
          <w:rStyle w:val="FootnoteAnchor"/>
          <w:rFonts w:ascii="Times New Roman" w:hAnsi="Times New Roman" w:cs="Times New Roman"/>
        </w:rPr>
        <w:footnoteReference w:id="5"/>
      </w:r>
      <w:r w:rsidRPr="005128DC">
        <w:rPr>
          <w:rFonts w:ascii="Times New Roman" w:hAnsi="Times New Roman" w:cs="Times New Roman"/>
        </w:rPr>
        <w:t xml:space="preserve"> Sheetz advocates for the same.</w:t>
      </w:r>
      <w:r>
        <w:rPr>
          <w:rStyle w:val="FootnoteAnchor"/>
          <w:rFonts w:ascii="Times New Roman" w:hAnsi="Times New Roman" w:cs="Times New Roman"/>
        </w:rPr>
        <w:footnoteReference w:id="6"/>
      </w:r>
      <w:r w:rsidRPr="005128DC">
        <w:rPr>
          <w:rFonts w:ascii="Times New Roman" w:hAnsi="Times New Roman" w:cs="Times New Roman"/>
        </w:rPr>
        <w:t xml:space="preserve"> </w:t>
      </w:r>
      <w:r w:rsidRPr="005128DC">
        <w:rPr>
          <w:rFonts w:ascii="Times New Roman" w:hAnsi="Times New Roman" w:cs="Times New Roman"/>
        </w:rPr>
        <w:t>Such proposals, if adopted, should be</w:t>
      </w:r>
      <w:r w:rsidRPr="005128DC">
        <w:rPr>
          <w:rFonts w:ascii="Times New Roman" w:hAnsi="Times New Roman" w:cs="Times New Roman"/>
        </w:rPr>
        <w:t xml:space="preserve"> designed in a manner that avoids cross subsidies for users of EVC and enabling infrastructure</w:t>
      </w:r>
      <w:r w:rsidRPr="005128DC">
        <w:rPr>
          <w:rFonts w:ascii="Times New Roman" w:hAnsi="Times New Roman" w:cs="Times New Roman"/>
        </w:rPr>
        <w:t xml:space="preserve"> to protect consumers</w:t>
      </w:r>
      <w:r w:rsidRPr="005128DC">
        <w:rPr>
          <w:rFonts w:ascii="Times New Roman" w:hAnsi="Times New Roman" w:cs="Times New Roman"/>
        </w:rPr>
        <w:t>. OCC advocates that rate design follow the basic principles of beneficiary pays (</w:t>
      </w:r>
      <w:r w:rsidRPr="005128DC">
        <w:rPr>
          <w:rFonts w:ascii="Times New Roman" w:hAnsi="Times New Roman" w:cs="Times New Roman"/>
          <w:i/>
          <w:iCs/>
        </w:rPr>
        <w:t>e</w:t>
      </w:r>
      <w:r w:rsidRPr="005128DC">
        <w:rPr>
          <w:rFonts w:ascii="Times New Roman" w:hAnsi="Times New Roman" w:cs="Times New Roman"/>
        </w:rPr>
        <w:t>.</w:t>
      </w:r>
      <w:r w:rsidRPr="005128DC">
        <w:rPr>
          <w:rFonts w:ascii="Times New Roman" w:hAnsi="Times New Roman" w:cs="Times New Roman"/>
          <w:i/>
          <w:iCs/>
        </w:rPr>
        <w:t>g</w:t>
      </w:r>
      <w:r w:rsidRPr="005128DC">
        <w:rPr>
          <w:rFonts w:ascii="Times New Roman" w:hAnsi="Times New Roman" w:cs="Times New Roman"/>
        </w:rPr>
        <w:t>., an entity or consumer who benefits from the provision of a service pays the associated cost) and cost causation (</w:t>
      </w:r>
      <w:r w:rsidRPr="005128DC">
        <w:rPr>
          <w:rFonts w:ascii="Times New Roman" w:hAnsi="Times New Roman" w:cs="Times New Roman"/>
          <w:i/>
          <w:iCs/>
        </w:rPr>
        <w:t>e</w:t>
      </w:r>
      <w:r w:rsidRPr="005128DC">
        <w:rPr>
          <w:rFonts w:ascii="Times New Roman" w:hAnsi="Times New Roman" w:cs="Times New Roman"/>
        </w:rPr>
        <w:t>.</w:t>
      </w:r>
      <w:r w:rsidRPr="005128DC">
        <w:rPr>
          <w:rFonts w:ascii="Times New Roman" w:hAnsi="Times New Roman" w:cs="Times New Roman"/>
          <w:i/>
          <w:iCs/>
        </w:rPr>
        <w:t>g</w:t>
      </w:r>
      <w:r w:rsidRPr="005128DC">
        <w:rPr>
          <w:rFonts w:ascii="Times New Roman" w:hAnsi="Times New Roman" w:cs="Times New Roman"/>
        </w:rPr>
        <w:t xml:space="preserve">., an entity or consumer whose action incurs a cost pays a rate that is associated with that cost). </w:t>
      </w:r>
    </w:p>
    <w:p w:rsidR="002645A9" w:rsidRPr="005128DC" w14:paraId="2EAFD081" w14:textId="4AF8E93A">
      <w:pPr>
        <w:spacing w:line="480" w:lineRule="auto"/>
        <w:ind w:firstLine="720"/>
        <w:rPr>
          <w:rFonts w:ascii="Times New Roman" w:hAnsi="Times New Roman" w:cs="Times New Roman"/>
        </w:rPr>
      </w:pPr>
      <w:r w:rsidRPr="005128DC">
        <w:rPr>
          <w:rFonts w:ascii="Times New Roman" w:hAnsi="Times New Roman" w:cs="Times New Roman"/>
        </w:rPr>
        <w:t xml:space="preserve">In some instances, demand charges can be used as a mechanism to </w:t>
      </w:r>
      <w:r w:rsidRPr="005128DC">
        <w:rPr>
          <w:rFonts w:ascii="Times New Roman" w:hAnsi="Times New Roman" w:cs="Times New Roman"/>
        </w:rPr>
        <w:t xml:space="preserve">collect </w:t>
      </w:r>
      <w:r w:rsidRPr="005128DC">
        <w:rPr>
          <w:rFonts w:ascii="Times New Roman" w:hAnsi="Times New Roman" w:cs="Times New Roman"/>
        </w:rPr>
        <w:t>the fixed costs of building and maintaining electricity-supply infrastructure (</w:t>
      </w:r>
      <w:r w:rsidRPr="005128DC">
        <w:rPr>
          <w:rFonts w:ascii="Times New Roman" w:hAnsi="Times New Roman" w:cs="Times New Roman"/>
          <w:i/>
          <w:iCs/>
        </w:rPr>
        <w:t>e</w:t>
      </w:r>
      <w:r w:rsidRPr="005128DC">
        <w:rPr>
          <w:rFonts w:ascii="Times New Roman" w:hAnsi="Times New Roman" w:cs="Times New Roman"/>
        </w:rPr>
        <w:t>.</w:t>
      </w:r>
      <w:r w:rsidRPr="005128DC">
        <w:rPr>
          <w:rFonts w:ascii="Times New Roman" w:hAnsi="Times New Roman" w:cs="Times New Roman"/>
          <w:i/>
          <w:iCs/>
        </w:rPr>
        <w:t>g</w:t>
      </w:r>
      <w:r w:rsidRPr="005128DC">
        <w:rPr>
          <w:rFonts w:ascii="Times New Roman" w:hAnsi="Times New Roman" w:cs="Times New Roman"/>
        </w:rPr>
        <w:t xml:space="preserve">., generation, transmission, and distribution infrastructure). Should </w:t>
      </w:r>
      <w:r w:rsidRPr="005128DC">
        <w:rPr>
          <w:rFonts w:ascii="Times New Roman" w:hAnsi="Times New Roman" w:cs="Times New Roman"/>
        </w:rPr>
        <w:t xml:space="preserve">the </w:t>
      </w:r>
      <w:r w:rsidRPr="005128DC">
        <w:rPr>
          <w:rFonts w:ascii="Times New Roman" w:hAnsi="Times New Roman" w:cs="Times New Roman"/>
        </w:rPr>
        <w:t xml:space="preserve">PUCO opt to develop EVC-specific rates that do not employ demand charges, OCC advocates that the rates be designed in a manner that EVC owners and operators pay fully for the costs of electricity-supply infrastructure that is built and maintained for them. For instance, time-of-use rates can be designed in a manner that recovers fixed electricity-supply-infrastructure costs. </w:t>
      </w:r>
    </w:p>
    <w:p w:rsidR="002C72C1" w:rsidRPr="005128DC" w14:paraId="44958CB0" w14:textId="6D098C09">
      <w:pPr>
        <w:spacing w:line="480" w:lineRule="auto"/>
        <w:ind w:firstLine="720"/>
        <w:rPr>
          <w:rFonts w:ascii="Times New Roman" w:hAnsi="Times New Roman" w:cs="Times New Roman"/>
        </w:rPr>
      </w:pPr>
      <w:r w:rsidRPr="005128DC">
        <w:rPr>
          <w:rFonts w:ascii="Times New Roman" w:hAnsi="Times New Roman" w:cs="Times New Roman"/>
        </w:rPr>
        <w:t>F</w:t>
      </w:r>
      <w:r w:rsidRPr="005128DC" w:rsidR="002645A9">
        <w:rPr>
          <w:rFonts w:ascii="Times New Roman" w:hAnsi="Times New Roman" w:cs="Times New Roman"/>
        </w:rPr>
        <w:t xml:space="preserve">or consumer protection </w:t>
      </w:r>
      <w:r w:rsidRPr="005128DC" w:rsidR="00B4286E">
        <w:rPr>
          <w:rFonts w:ascii="Times New Roman" w:hAnsi="Times New Roman" w:cs="Times New Roman"/>
        </w:rPr>
        <w:t xml:space="preserve">rates </w:t>
      </w:r>
      <w:r w:rsidRPr="005128DC" w:rsidR="002645A9">
        <w:rPr>
          <w:rFonts w:ascii="Times New Roman" w:hAnsi="Times New Roman" w:cs="Times New Roman"/>
        </w:rPr>
        <w:t xml:space="preserve">should </w:t>
      </w:r>
      <w:r w:rsidRPr="005128DC" w:rsidR="00B4286E">
        <w:rPr>
          <w:rFonts w:ascii="Times New Roman" w:hAnsi="Times New Roman" w:cs="Times New Roman"/>
        </w:rPr>
        <w:t>be designed in anticipation of potential changes in electricity-consumption patterns of EVC owners and operators. For instance, if infrastructure costs are recovered fully through volumetric rates on energy consumption, an EVC owner</w:t>
      </w:r>
      <w:r w:rsidRPr="005128DC" w:rsidR="0031453C">
        <w:rPr>
          <w:rFonts w:ascii="Times New Roman" w:hAnsi="Times New Roman" w:cs="Times New Roman"/>
        </w:rPr>
        <w:t xml:space="preserve"> </w:t>
      </w:r>
      <w:r w:rsidRPr="005128DC" w:rsidR="00B4286E">
        <w:rPr>
          <w:rFonts w:ascii="Times New Roman" w:hAnsi="Times New Roman" w:cs="Times New Roman"/>
        </w:rPr>
        <w:t>could avoid</w:t>
      </w:r>
      <w:r w:rsidRPr="005128DC" w:rsidR="008948B6">
        <w:rPr>
          <w:rFonts w:ascii="Times New Roman" w:hAnsi="Times New Roman" w:cs="Times New Roman"/>
        </w:rPr>
        <w:t xml:space="preserve"> paying</w:t>
      </w:r>
      <w:r w:rsidRPr="005128DC" w:rsidR="00B4286E">
        <w:rPr>
          <w:rFonts w:ascii="Times New Roman" w:hAnsi="Times New Roman" w:cs="Times New Roman"/>
        </w:rPr>
        <w:t xml:space="preserve"> such </w:t>
      </w:r>
      <w:r w:rsidRPr="005128DC" w:rsidR="008948B6">
        <w:rPr>
          <w:rFonts w:ascii="Times New Roman" w:hAnsi="Times New Roman" w:cs="Times New Roman"/>
        </w:rPr>
        <w:t xml:space="preserve">infrastructure </w:t>
      </w:r>
      <w:r w:rsidRPr="005128DC" w:rsidR="00B4286E">
        <w:rPr>
          <w:rFonts w:ascii="Times New Roman" w:hAnsi="Times New Roman" w:cs="Times New Roman"/>
        </w:rPr>
        <w:t>costs</w:t>
      </w:r>
      <w:r w:rsidRPr="005128DC" w:rsidR="008948B6">
        <w:rPr>
          <w:rFonts w:ascii="Times New Roman" w:hAnsi="Times New Roman" w:cs="Times New Roman"/>
        </w:rPr>
        <w:t xml:space="preserve"> (although they themselves are the ones benefiting from the infrastructure)</w:t>
      </w:r>
      <w:r w:rsidRPr="005128DC" w:rsidR="00B4286E">
        <w:rPr>
          <w:rFonts w:ascii="Times New Roman" w:hAnsi="Times New Roman" w:cs="Times New Roman"/>
        </w:rPr>
        <w:t xml:space="preserve"> through </w:t>
      </w:r>
      <w:r w:rsidRPr="005128DC" w:rsidR="008948B6">
        <w:rPr>
          <w:rFonts w:ascii="Times New Roman" w:hAnsi="Times New Roman" w:cs="Times New Roman"/>
        </w:rPr>
        <w:t>using</w:t>
      </w:r>
      <w:r w:rsidRPr="005128DC" w:rsidR="00B4286E">
        <w:rPr>
          <w:rFonts w:ascii="Times New Roman" w:hAnsi="Times New Roman" w:cs="Times New Roman"/>
        </w:rPr>
        <w:t xml:space="preserve"> on-site behind-the-meter distributed generation resources. As an example, </w:t>
      </w:r>
      <w:r w:rsidRPr="005128DC" w:rsidR="002645A9">
        <w:rPr>
          <w:rFonts w:ascii="Times New Roman" w:hAnsi="Times New Roman" w:cs="Times New Roman"/>
        </w:rPr>
        <w:t xml:space="preserve">the </w:t>
      </w:r>
      <w:r w:rsidRPr="005128DC" w:rsidR="00B4286E">
        <w:rPr>
          <w:rFonts w:ascii="Times New Roman" w:hAnsi="Times New Roman" w:cs="Times New Roman"/>
        </w:rPr>
        <w:t>Public Utilities Commission of the State of California (“CPUC”) recently updated rates for consumers with on-site behind-the-meter solar generation for this exact reason.</w:t>
      </w:r>
      <w:r>
        <w:rPr>
          <w:rStyle w:val="FootnoteAnchor"/>
          <w:rFonts w:ascii="Times New Roman" w:hAnsi="Times New Roman" w:cs="Times New Roman"/>
        </w:rPr>
        <w:footnoteReference w:id="7"/>
      </w:r>
      <w:r w:rsidRPr="005128DC" w:rsidR="00B4286E">
        <w:rPr>
          <w:rFonts w:ascii="Times New Roman" w:hAnsi="Times New Roman" w:cs="Times New Roman"/>
        </w:rPr>
        <w:t xml:space="preserve"> Thus, </w:t>
      </w:r>
      <w:r w:rsidRPr="005128DC" w:rsidR="002645A9">
        <w:rPr>
          <w:rFonts w:ascii="Times New Roman" w:hAnsi="Times New Roman" w:cs="Times New Roman"/>
        </w:rPr>
        <w:t>the PUCO should</w:t>
      </w:r>
      <w:r w:rsidRPr="005128DC" w:rsidR="00B4286E">
        <w:rPr>
          <w:rFonts w:ascii="Times New Roman" w:hAnsi="Times New Roman" w:cs="Times New Roman"/>
        </w:rPr>
        <w:t xml:space="preserve"> be proactive in developing EVC-specific rates that </w:t>
      </w:r>
      <w:r w:rsidRPr="005128DC" w:rsidR="0031453C">
        <w:rPr>
          <w:rFonts w:ascii="Times New Roman" w:hAnsi="Times New Roman" w:cs="Times New Roman"/>
        </w:rPr>
        <w:t xml:space="preserve">result in </w:t>
      </w:r>
      <w:r w:rsidRPr="005128DC" w:rsidR="00D37AA9">
        <w:rPr>
          <w:rFonts w:ascii="Times New Roman" w:hAnsi="Times New Roman" w:cs="Times New Roman"/>
        </w:rPr>
        <w:t>cost</w:t>
      </w:r>
      <w:r w:rsidRPr="005128DC" w:rsidR="0031453C">
        <w:rPr>
          <w:rFonts w:ascii="Times New Roman" w:hAnsi="Times New Roman" w:cs="Times New Roman"/>
        </w:rPr>
        <w:t xml:space="preserve">-savings benefits for </w:t>
      </w:r>
      <w:r w:rsidRPr="005128DC" w:rsidR="00D37AA9">
        <w:rPr>
          <w:rFonts w:ascii="Times New Roman" w:hAnsi="Times New Roman" w:cs="Times New Roman"/>
          <w:i/>
          <w:iCs/>
        </w:rPr>
        <w:t xml:space="preserve">all </w:t>
      </w:r>
      <w:r w:rsidRPr="005128DC" w:rsidR="0031453C">
        <w:rPr>
          <w:rFonts w:ascii="Times New Roman" w:hAnsi="Times New Roman" w:cs="Times New Roman"/>
        </w:rPr>
        <w:t>consumers</w:t>
      </w:r>
      <w:r w:rsidRPr="005128DC" w:rsidR="00D37AA9">
        <w:rPr>
          <w:rFonts w:ascii="Times New Roman" w:hAnsi="Times New Roman" w:cs="Times New Roman"/>
        </w:rPr>
        <w:t xml:space="preserve"> by making sure that EVC owners </w:t>
      </w:r>
      <w:r w:rsidRPr="005128DC" w:rsidR="00183849">
        <w:rPr>
          <w:rFonts w:ascii="Times New Roman" w:hAnsi="Times New Roman" w:cs="Times New Roman"/>
        </w:rPr>
        <w:t xml:space="preserve">(the cost causers) </w:t>
      </w:r>
      <w:r w:rsidRPr="005128DC" w:rsidR="00D37AA9">
        <w:rPr>
          <w:rFonts w:ascii="Times New Roman" w:hAnsi="Times New Roman" w:cs="Times New Roman"/>
        </w:rPr>
        <w:t>pay for EVC infrastructure</w:t>
      </w:r>
      <w:r w:rsidRPr="005128DC" w:rsidR="00183849">
        <w:rPr>
          <w:rFonts w:ascii="Times New Roman" w:hAnsi="Times New Roman" w:cs="Times New Roman"/>
        </w:rPr>
        <w:t xml:space="preserve"> necessary to reliably serve them</w:t>
      </w:r>
      <w:r w:rsidRPr="005128DC" w:rsidR="0031453C">
        <w:rPr>
          <w:rFonts w:ascii="Times New Roman" w:hAnsi="Times New Roman" w:cs="Times New Roman"/>
        </w:rPr>
        <w:t xml:space="preserve">. </w:t>
      </w:r>
    </w:p>
    <w:p w:rsidR="007D3018" w:rsidP="002645A9" w14:paraId="29C7FF6E" w14:textId="77777777">
      <w:pPr>
        <w:spacing w:line="480" w:lineRule="auto"/>
        <w:ind w:firstLine="720"/>
        <w:rPr>
          <w:rFonts w:ascii="Times New Roman" w:hAnsi="Times New Roman" w:cs="Times New Roman"/>
        </w:rPr>
      </w:pPr>
      <w:r w:rsidRPr="005128DC">
        <w:rPr>
          <w:rFonts w:ascii="Times New Roman" w:hAnsi="Times New Roman" w:cs="Times New Roman"/>
        </w:rPr>
        <w:t xml:space="preserve">ChargePoint and Duke Energy Ohio, Inc. (“Duke”) advocate that </w:t>
      </w:r>
      <w:r w:rsidRPr="005128DC" w:rsidR="002645A9">
        <w:rPr>
          <w:rFonts w:ascii="Times New Roman" w:hAnsi="Times New Roman" w:cs="Times New Roman"/>
        </w:rPr>
        <w:t xml:space="preserve">the </w:t>
      </w:r>
      <w:r w:rsidRPr="005128DC">
        <w:rPr>
          <w:rFonts w:ascii="Times New Roman" w:hAnsi="Times New Roman" w:cs="Times New Roman"/>
        </w:rPr>
        <w:t>PUCO develop and implement make-ready programs, which offset the cost of make-ready infrastructure that is incurred by entities that plan to install EVC infrastructure.</w:t>
      </w:r>
      <w:r>
        <w:rPr>
          <w:rStyle w:val="FootnoteAnchor"/>
          <w:rFonts w:ascii="Times New Roman" w:hAnsi="Times New Roman" w:cs="Times New Roman"/>
        </w:rPr>
        <w:footnoteReference w:id="8"/>
      </w:r>
      <w:r w:rsidRPr="005128DC">
        <w:rPr>
          <w:rFonts w:ascii="Times New Roman" w:hAnsi="Times New Roman" w:cs="Times New Roman"/>
        </w:rPr>
        <w:t xml:space="preserve"> </w:t>
      </w:r>
      <w:r>
        <w:rPr>
          <w:rStyle w:val="FootnoteAnchor"/>
          <w:rFonts w:ascii="Times New Roman" w:hAnsi="Times New Roman" w:cs="Times New Roman"/>
        </w:rPr>
        <w:footnoteReference w:id="9"/>
      </w:r>
      <w:r w:rsidRPr="005128DC">
        <w:rPr>
          <w:rFonts w:ascii="Times New Roman" w:hAnsi="Times New Roman" w:cs="Times New Roman"/>
        </w:rPr>
        <w:t xml:space="preserve"> </w:t>
      </w:r>
      <w:r w:rsidRPr="005128DC" w:rsidR="002645A9">
        <w:rPr>
          <w:rFonts w:ascii="Times New Roman" w:hAnsi="Times New Roman" w:cs="Times New Roman"/>
        </w:rPr>
        <w:t>Additionally</w:t>
      </w:r>
      <w:r w:rsidRPr="005128DC">
        <w:rPr>
          <w:rFonts w:ascii="Times New Roman" w:hAnsi="Times New Roman" w:cs="Times New Roman"/>
        </w:rPr>
        <w:t xml:space="preserve">, ChargePoint advocates for </w:t>
      </w:r>
      <w:r w:rsidRPr="005128DC" w:rsidR="002645A9">
        <w:rPr>
          <w:rFonts w:ascii="Times New Roman" w:hAnsi="Times New Roman" w:cs="Times New Roman"/>
        </w:rPr>
        <w:t xml:space="preserve">the </w:t>
      </w:r>
      <w:r w:rsidRPr="005128DC">
        <w:rPr>
          <w:rFonts w:ascii="Times New Roman" w:hAnsi="Times New Roman" w:cs="Times New Roman"/>
        </w:rPr>
        <w:t xml:space="preserve">PUCO to allow for </w:t>
      </w:r>
      <w:r w:rsidRPr="005128DC" w:rsidR="002645A9">
        <w:rPr>
          <w:rFonts w:ascii="Times New Roman" w:hAnsi="Times New Roman" w:cs="Times New Roman"/>
        </w:rPr>
        <w:t>including in base rates</w:t>
      </w:r>
      <w:r w:rsidRPr="005128DC">
        <w:rPr>
          <w:rFonts w:ascii="Times New Roman" w:hAnsi="Times New Roman" w:cs="Times New Roman"/>
        </w:rPr>
        <w:t xml:space="preserve"> </w:t>
      </w:r>
    </w:p>
    <w:p w:rsidR="007D3018" w14:paraId="00C23B71" w14:textId="77777777">
      <w:pPr>
        <w:widowControl/>
        <w:suppressAutoHyphens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645A9" w:rsidRPr="005128DC" w:rsidP="007D3018" w14:paraId="69DC2267" w14:textId="789ED79B">
      <w:pPr>
        <w:spacing w:line="480" w:lineRule="auto"/>
        <w:rPr>
          <w:rFonts w:ascii="Times New Roman" w:hAnsi="Times New Roman" w:cs="Times New Roman"/>
        </w:rPr>
      </w:pPr>
      <w:r w:rsidRPr="005128DC">
        <w:rPr>
          <w:rFonts w:ascii="Times New Roman" w:hAnsi="Times New Roman" w:cs="Times New Roman"/>
        </w:rPr>
        <w:t>make-ready and other EVC infrastructure</w:t>
      </w:r>
      <w:r>
        <w:rPr>
          <w:rStyle w:val="FootnoteAnchor"/>
          <w:rFonts w:ascii="Times New Roman" w:hAnsi="Times New Roman" w:cs="Times New Roman"/>
        </w:rPr>
        <w:footnoteReference w:id="10"/>
      </w:r>
      <w:r w:rsidRPr="005128DC">
        <w:rPr>
          <w:rFonts w:ascii="Times New Roman" w:hAnsi="Times New Roman" w:cs="Times New Roman"/>
        </w:rPr>
        <w:t xml:space="preserve"> and Duke advocates for </w:t>
      </w:r>
      <w:r w:rsidRPr="005128DC">
        <w:rPr>
          <w:rFonts w:ascii="Times New Roman" w:hAnsi="Times New Roman" w:cs="Times New Roman"/>
        </w:rPr>
        <w:t xml:space="preserve">the </w:t>
      </w:r>
      <w:r w:rsidRPr="005128DC">
        <w:rPr>
          <w:rFonts w:ascii="Times New Roman" w:hAnsi="Times New Roman" w:cs="Times New Roman"/>
        </w:rPr>
        <w:t>PUCO to develop a rider mechanism for recovering the cost of circuit upgrades to support EVC.</w:t>
      </w:r>
      <w:r>
        <w:rPr>
          <w:rStyle w:val="FootnoteAnchor"/>
          <w:rFonts w:ascii="Times New Roman" w:hAnsi="Times New Roman" w:cs="Times New Roman"/>
        </w:rPr>
        <w:footnoteReference w:id="11"/>
      </w:r>
      <w:r w:rsidRPr="005128DC">
        <w:rPr>
          <w:rFonts w:ascii="Times New Roman" w:hAnsi="Times New Roman" w:cs="Times New Roman"/>
        </w:rPr>
        <w:t xml:space="preserve"> </w:t>
      </w:r>
    </w:p>
    <w:p w:rsidR="002C72C1" w:rsidRPr="005128DC" w:rsidP="002645A9" w14:paraId="38431614" w14:textId="527F3B2D">
      <w:pPr>
        <w:spacing w:line="480" w:lineRule="auto"/>
        <w:ind w:firstLine="720"/>
        <w:rPr>
          <w:rFonts w:ascii="Times New Roman" w:hAnsi="Times New Roman" w:cs="Times New Roman"/>
        </w:rPr>
      </w:pPr>
      <w:r w:rsidRPr="005128DC">
        <w:rPr>
          <w:rFonts w:ascii="Times New Roman" w:hAnsi="Times New Roman" w:cs="Times New Roman"/>
        </w:rPr>
        <w:t xml:space="preserve">OCC reiterates that any steps that are taken to encourage the deployment and use of EVC and enabling infrastructure should not create cross subsidies from </w:t>
      </w:r>
      <w:r w:rsidRPr="005128DC" w:rsidR="00420059">
        <w:rPr>
          <w:rFonts w:ascii="Times New Roman" w:hAnsi="Times New Roman" w:cs="Times New Roman"/>
        </w:rPr>
        <w:t>EVC market participants</w:t>
      </w:r>
      <w:r w:rsidRPr="005128DC" w:rsidR="00911B17">
        <w:rPr>
          <w:rFonts w:ascii="Times New Roman" w:hAnsi="Times New Roman" w:cs="Times New Roman"/>
        </w:rPr>
        <w:t xml:space="preserve"> </w:t>
      </w:r>
      <w:r w:rsidRPr="005128DC">
        <w:rPr>
          <w:rFonts w:ascii="Times New Roman" w:hAnsi="Times New Roman" w:cs="Times New Roman"/>
        </w:rPr>
        <w:t>to</w:t>
      </w:r>
      <w:r w:rsidRPr="005128DC" w:rsidR="00420059">
        <w:rPr>
          <w:rFonts w:ascii="Times New Roman" w:hAnsi="Times New Roman" w:cs="Times New Roman"/>
        </w:rPr>
        <w:t xml:space="preserve"> captive </w:t>
      </w:r>
      <w:r w:rsidRPr="005128DC" w:rsidR="006C578B">
        <w:rPr>
          <w:rFonts w:ascii="Times New Roman" w:hAnsi="Times New Roman" w:cs="Times New Roman"/>
        </w:rPr>
        <w:t>consumers.</w:t>
      </w:r>
      <w:r w:rsidRPr="005128DC">
        <w:rPr>
          <w:rFonts w:ascii="Times New Roman" w:hAnsi="Times New Roman" w:cs="Times New Roman"/>
        </w:rPr>
        <w:t xml:space="preserve"> This concern is especially </w:t>
      </w:r>
      <w:r w:rsidRPr="005128DC" w:rsidR="00D37AA9">
        <w:rPr>
          <w:rFonts w:ascii="Times New Roman" w:hAnsi="Times New Roman" w:cs="Times New Roman"/>
        </w:rPr>
        <w:t>important</w:t>
      </w:r>
      <w:r w:rsidRPr="005128DC">
        <w:rPr>
          <w:rFonts w:ascii="Times New Roman" w:hAnsi="Times New Roman" w:cs="Times New Roman"/>
        </w:rPr>
        <w:t xml:space="preserve"> because </w:t>
      </w:r>
      <w:r w:rsidRPr="005128DC" w:rsidR="00D37AA9">
        <w:rPr>
          <w:rFonts w:ascii="Times New Roman" w:hAnsi="Times New Roman" w:cs="Times New Roman"/>
        </w:rPr>
        <w:t>electric vehicle drivers</w:t>
      </w:r>
      <w:r w:rsidRPr="005128DC" w:rsidR="00173661">
        <w:rPr>
          <w:rFonts w:ascii="Times New Roman" w:hAnsi="Times New Roman" w:cs="Times New Roman"/>
        </w:rPr>
        <w:t xml:space="preserve"> </w:t>
      </w:r>
      <w:r w:rsidRPr="005128DC">
        <w:rPr>
          <w:rFonts w:ascii="Times New Roman" w:hAnsi="Times New Roman" w:cs="Times New Roman"/>
        </w:rPr>
        <w:t xml:space="preserve">tend to be </w:t>
      </w:r>
      <w:r w:rsidRPr="005128DC" w:rsidR="00D37AA9">
        <w:rPr>
          <w:rFonts w:ascii="Times New Roman" w:hAnsi="Times New Roman" w:cs="Times New Roman"/>
        </w:rPr>
        <w:t xml:space="preserve">of a </w:t>
      </w:r>
      <w:r w:rsidRPr="005128DC">
        <w:rPr>
          <w:rFonts w:ascii="Times New Roman" w:hAnsi="Times New Roman" w:cs="Times New Roman"/>
        </w:rPr>
        <w:t xml:space="preserve">higher socioeconomic </w:t>
      </w:r>
      <w:r w:rsidRPr="005128DC" w:rsidR="00D37AA9">
        <w:rPr>
          <w:rFonts w:ascii="Times New Roman" w:hAnsi="Times New Roman" w:cs="Times New Roman"/>
        </w:rPr>
        <w:t>status</w:t>
      </w:r>
      <w:r w:rsidRPr="005128DC">
        <w:rPr>
          <w:rFonts w:ascii="Times New Roman" w:hAnsi="Times New Roman" w:cs="Times New Roman"/>
        </w:rPr>
        <w:t xml:space="preserve">. As such, cross subsidies </w:t>
      </w:r>
      <w:r w:rsidRPr="005128DC" w:rsidR="00420059">
        <w:rPr>
          <w:rFonts w:ascii="Times New Roman" w:hAnsi="Times New Roman" w:cs="Times New Roman"/>
        </w:rPr>
        <w:t>of EVC place risk on safe, reliable</w:t>
      </w:r>
      <w:r w:rsidRPr="005128DC" w:rsidR="002645A9">
        <w:rPr>
          <w:rFonts w:ascii="Times New Roman" w:hAnsi="Times New Roman" w:cs="Times New Roman"/>
        </w:rPr>
        <w:t>,</w:t>
      </w:r>
      <w:r w:rsidRPr="005128DC" w:rsidR="00420059">
        <w:rPr>
          <w:rFonts w:ascii="Times New Roman" w:hAnsi="Times New Roman" w:cs="Times New Roman"/>
        </w:rPr>
        <w:t xml:space="preserve"> and affordable service for residential consumers</w:t>
      </w:r>
      <w:r w:rsidRPr="005128DC" w:rsidR="002645A9">
        <w:rPr>
          <w:rFonts w:ascii="Times New Roman" w:hAnsi="Times New Roman" w:cs="Times New Roman"/>
        </w:rPr>
        <w:t>.</w:t>
      </w:r>
    </w:p>
    <w:p w:rsidR="002C72C1" w14:paraId="00B2C474" w14:textId="366F0158">
      <w:pPr>
        <w:spacing w:line="480" w:lineRule="auto"/>
        <w:ind w:firstLine="720"/>
        <w:rPr>
          <w:rFonts w:ascii="Times New Roman" w:hAnsi="Times New Roman" w:cs="Times New Roman"/>
        </w:rPr>
      </w:pPr>
      <w:r w:rsidRPr="005128DC">
        <w:rPr>
          <w:rFonts w:ascii="Times New Roman" w:hAnsi="Times New Roman" w:cs="Times New Roman"/>
        </w:rPr>
        <w:t xml:space="preserve">ChargePoint and Duke </w:t>
      </w:r>
      <w:r w:rsidRPr="005128DC" w:rsidR="002645A9">
        <w:rPr>
          <w:rFonts w:ascii="Times New Roman" w:hAnsi="Times New Roman" w:cs="Times New Roman"/>
        </w:rPr>
        <w:t xml:space="preserve">also </w:t>
      </w:r>
      <w:r w:rsidRPr="005128DC">
        <w:rPr>
          <w:rFonts w:ascii="Times New Roman" w:hAnsi="Times New Roman" w:cs="Times New Roman"/>
        </w:rPr>
        <w:t xml:space="preserve">recommend that </w:t>
      </w:r>
      <w:r w:rsidRPr="005128DC" w:rsidR="002645A9">
        <w:rPr>
          <w:rFonts w:ascii="Times New Roman" w:hAnsi="Times New Roman" w:cs="Times New Roman"/>
        </w:rPr>
        <w:t xml:space="preserve">the </w:t>
      </w:r>
      <w:r w:rsidRPr="005128DC">
        <w:rPr>
          <w:rFonts w:ascii="Times New Roman" w:hAnsi="Times New Roman" w:cs="Times New Roman"/>
        </w:rPr>
        <w:t>PUCO develop EVC-customer retail rates and programs to incentivize the management of EVC loads.</w:t>
      </w:r>
      <w:r>
        <w:rPr>
          <w:rStyle w:val="FootnoteReference"/>
          <w:rFonts w:ascii="Times New Roman" w:hAnsi="Times New Roman" w:cs="Times New Roman"/>
        </w:rPr>
        <w:footnoteReference w:id="12"/>
      </w:r>
      <w:r w:rsidRPr="005128DC">
        <w:rPr>
          <w:rFonts w:ascii="Times New Roman" w:hAnsi="Times New Roman" w:cs="Times New Roman"/>
        </w:rPr>
        <w:t xml:space="preserve"> OCC believes that such efforts can be beneficial to consumers and the electricity system as a whole, insomuch as EVC-load management can be viewed as a form of demand response.</w:t>
      </w:r>
      <w:r>
        <w:rPr>
          <w:rStyle w:val="FootnoteAnchor"/>
          <w:rFonts w:ascii="Times New Roman" w:hAnsi="Times New Roman" w:cs="Times New Roman"/>
        </w:rPr>
        <w:footnoteReference w:id="13"/>
      </w:r>
      <w:r w:rsidRPr="005128DC">
        <w:rPr>
          <w:rFonts w:ascii="Times New Roman" w:hAnsi="Times New Roman" w:cs="Times New Roman"/>
        </w:rPr>
        <w:t xml:space="preserve"> </w:t>
      </w:r>
      <w:r w:rsidRPr="005128DC" w:rsidR="0072583B">
        <w:rPr>
          <w:rFonts w:ascii="Times New Roman" w:hAnsi="Times New Roman" w:cs="Times New Roman"/>
        </w:rPr>
        <w:t xml:space="preserve">This is because proper EVC-load management </w:t>
      </w:r>
      <w:r w:rsidRPr="005128DC" w:rsidR="00183849">
        <w:rPr>
          <w:rFonts w:ascii="Times New Roman" w:hAnsi="Times New Roman" w:cs="Times New Roman"/>
        </w:rPr>
        <w:t xml:space="preserve">rate design </w:t>
      </w:r>
      <w:r w:rsidRPr="005128DC" w:rsidR="0072583B">
        <w:rPr>
          <w:rFonts w:ascii="Times New Roman" w:hAnsi="Times New Roman" w:cs="Times New Roman"/>
        </w:rPr>
        <w:t xml:space="preserve">would incentivize electric vehicle drivers to charge their vehicles when demand is lower. </w:t>
      </w:r>
      <w:r w:rsidRPr="005128DC" w:rsidR="00952DDE">
        <w:rPr>
          <w:rFonts w:ascii="Times New Roman" w:hAnsi="Times New Roman" w:cs="Times New Roman"/>
        </w:rPr>
        <w:t>But</w:t>
      </w:r>
      <w:r w:rsidRPr="005128DC">
        <w:rPr>
          <w:rFonts w:ascii="Times New Roman" w:hAnsi="Times New Roman" w:cs="Times New Roman"/>
        </w:rPr>
        <w:t xml:space="preserve"> OCC reiterates that any EVC-specific retail </w:t>
      </w:r>
      <w:r w:rsidRPr="005128DC" w:rsidR="00952DDE">
        <w:rPr>
          <w:rFonts w:ascii="Times New Roman" w:hAnsi="Times New Roman" w:cs="Times New Roman"/>
        </w:rPr>
        <w:t xml:space="preserve">charges </w:t>
      </w:r>
      <w:r w:rsidRPr="005128DC">
        <w:rPr>
          <w:rFonts w:ascii="Times New Roman" w:hAnsi="Times New Roman" w:cs="Times New Roman"/>
        </w:rPr>
        <w:t xml:space="preserve">that are developed </w:t>
      </w:r>
      <w:r w:rsidRPr="005128DC" w:rsidR="00ED2F66">
        <w:rPr>
          <w:rFonts w:ascii="Times New Roman" w:hAnsi="Times New Roman" w:cs="Times New Roman"/>
        </w:rPr>
        <w:t xml:space="preserve">should </w:t>
      </w:r>
      <w:r w:rsidRPr="005128DC">
        <w:rPr>
          <w:rFonts w:ascii="Times New Roman" w:hAnsi="Times New Roman" w:cs="Times New Roman"/>
        </w:rPr>
        <w:t xml:space="preserve">not create </w:t>
      </w:r>
      <w:r w:rsidRPr="005128DC" w:rsidR="00001FE0">
        <w:rPr>
          <w:rFonts w:ascii="Times New Roman" w:hAnsi="Times New Roman" w:cs="Times New Roman"/>
        </w:rPr>
        <w:t xml:space="preserve">a </w:t>
      </w:r>
      <w:r w:rsidRPr="005128DC">
        <w:rPr>
          <w:rFonts w:ascii="Times New Roman" w:hAnsi="Times New Roman" w:cs="Times New Roman"/>
        </w:rPr>
        <w:t>cross subsid</w:t>
      </w:r>
      <w:r w:rsidRPr="005128DC" w:rsidR="00B13B21">
        <w:rPr>
          <w:rFonts w:ascii="Times New Roman" w:hAnsi="Times New Roman" w:cs="Times New Roman"/>
        </w:rPr>
        <w:t xml:space="preserve">y </w:t>
      </w:r>
      <w:r w:rsidRPr="005128DC" w:rsidR="00001FE0">
        <w:rPr>
          <w:rFonts w:ascii="Times New Roman" w:hAnsi="Times New Roman" w:cs="Times New Roman"/>
        </w:rPr>
        <w:t>whereby costs</w:t>
      </w:r>
      <w:r w:rsidRPr="005128DC">
        <w:rPr>
          <w:rFonts w:ascii="Times New Roman" w:hAnsi="Times New Roman" w:cs="Times New Roman"/>
        </w:rPr>
        <w:t xml:space="preserve"> </w:t>
      </w:r>
      <w:r w:rsidRPr="005128DC" w:rsidR="00001FE0">
        <w:rPr>
          <w:rFonts w:ascii="Times New Roman" w:hAnsi="Times New Roman" w:cs="Times New Roman"/>
        </w:rPr>
        <w:t>caused by</w:t>
      </w:r>
      <w:r w:rsidRPr="005128DC">
        <w:rPr>
          <w:rFonts w:ascii="Times New Roman" w:hAnsi="Times New Roman" w:cs="Times New Roman"/>
        </w:rPr>
        <w:t xml:space="preserve"> market participants of EVC </w:t>
      </w:r>
      <w:r w:rsidRPr="005128DC" w:rsidR="00001FE0">
        <w:rPr>
          <w:rFonts w:ascii="Times New Roman" w:hAnsi="Times New Roman" w:cs="Times New Roman"/>
        </w:rPr>
        <w:t xml:space="preserve">are shifted </w:t>
      </w:r>
      <w:r w:rsidRPr="005128DC">
        <w:rPr>
          <w:rFonts w:ascii="Times New Roman" w:hAnsi="Times New Roman" w:cs="Times New Roman"/>
        </w:rPr>
        <w:t>to captive consumers.</w:t>
      </w:r>
    </w:p>
    <w:p w:rsidR="007D3018" w:rsidRPr="005128DC" w:rsidP="007D3018" w14:paraId="5B9355A6" w14:textId="77777777">
      <w:pPr>
        <w:ind w:firstLine="720"/>
        <w:rPr>
          <w:rFonts w:ascii="Times New Roman" w:hAnsi="Times New Roman" w:cs="Times New Roman"/>
        </w:rPr>
      </w:pPr>
    </w:p>
    <w:p w:rsidR="0072583B" w:rsidRPr="005128DC" w:rsidP="00A969CA" w14:paraId="29D666DD" w14:textId="48CA947B">
      <w:pPr>
        <w:pStyle w:val="Heading"/>
      </w:pPr>
      <w:r w:rsidRPr="005128DC">
        <w:t>CONCLUSION</w:t>
      </w:r>
    </w:p>
    <w:p w:rsidR="00746E9A" w:rsidRPr="005128DC" w:rsidP="00BC43DF" w14:paraId="3D925159" w14:textId="06AB0487">
      <w:pPr>
        <w:spacing w:line="480" w:lineRule="auto"/>
        <w:ind w:firstLine="709"/>
        <w:rPr>
          <w:rFonts w:ascii="Times New Roman" w:eastAsia="Times New Roman" w:hAnsi="Times New Roman" w:cs="Times New Roman"/>
          <w:lang w:eastAsia="en-US" w:bidi="ar-SA"/>
        </w:rPr>
      </w:pPr>
      <w:r w:rsidRPr="005128DC">
        <w:rPr>
          <w:rFonts w:ascii="Times New Roman" w:hAnsi="Times New Roman" w:cs="Times New Roman"/>
        </w:rPr>
        <w:t xml:space="preserve"> OCC supports a requirement that EVC and enabling infrastructure be built, operated, and implemented in a fully competitive manner. </w:t>
      </w:r>
      <w:r w:rsidRPr="005128DC" w:rsidR="00DB4868">
        <w:rPr>
          <w:rFonts w:ascii="Times New Roman" w:hAnsi="Times New Roman" w:cs="Times New Roman"/>
        </w:rPr>
        <w:t>Further</w:t>
      </w:r>
      <w:r w:rsidRPr="005128DC" w:rsidR="00092FE4">
        <w:rPr>
          <w:rFonts w:ascii="Times New Roman" w:hAnsi="Times New Roman" w:cs="Times New Roman"/>
        </w:rPr>
        <w:t xml:space="preserve">, </w:t>
      </w:r>
      <w:r w:rsidRPr="005128DC" w:rsidR="0072583B">
        <w:rPr>
          <w:rFonts w:ascii="Times New Roman" w:hAnsi="Times New Roman" w:cs="Times New Roman"/>
        </w:rPr>
        <w:t xml:space="preserve">EVC must be </w:t>
      </w:r>
      <w:r w:rsidRPr="005128DC" w:rsidR="00B4286E">
        <w:rPr>
          <w:rFonts w:ascii="Times New Roman" w:hAnsi="Times New Roman" w:cs="Times New Roman"/>
        </w:rPr>
        <w:t xml:space="preserve">implemented </w:t>
      </w:r>
      <w:r w:rsidRPr="005128DC" w:rsidR="00185944">
        <w:rPr>
          <w:rFonts w:ascii="Times New Roman" w:hAnsi="Times New Roman" w:cs="Times New Roman"/>
        </w:rPr>
        <w:t xml:space="preserve">(if at all) </w:t>
      </w:r>
      <w:r w:rsidRPr="005128DC" w:rsidR="00B4286E">
        <w:rPr>
          <w:rFonts w:ascii="Times New Roman" w:hAnsi="Times New Roman" w:cs="Times New Roman"/>
        </w:rPr>
        <w:t>as a competitive service</w:t>
      </w:r>
      <w:r w:rsidRPr="005128DC" w:rsidR="0072583B">
        <w:rPr>
          <w:rFonts w:ascii="Times New Roman" w:hAnsi="Times New Roman" w:cs="Times New Roman"/>
        </w:rPr>
        <w:t xml:space="preserve"> to avoid cross subsidies</w:t>
      </w:r>
      <w:r w:rsidRPr="005128DC" w:rsidR="00B4286E">
        <w:rPr>
          <w:rFonts w:ascii="Times New Roman" w:hAnsi="Times New Roman" w:cs="Times New Roman"/>
        </w:rPr>
        <w:t xml:space="preserve">. </w:t>
      </w:r>
      <w:r w:rsidRPr="005128DC" w:rsidR="00952DDE">
        <w:rPr>
          <w:rFonts w:ascii="Times New Roman" w:hAnsi="Times New Roman" w:cs="Times New Roman"/>
        </w:rPr>
        <w:t>As we describe in these reply comments (and as we did in our initial comments), there are measures that the PUCO should take</w:t>
      </w:r>
      <w:r w:rsidRPr="005128DC" w:rsidR="00173661">
        <w:rPr>
          <w:rFonts w:ascii="Times New Roman" w:hAnsi="Times New Roman" w:cs="Times New Roman"/>
        </w:rPr>
        <w:t xml:space="preserve"> </w:t>
      </w:r>
      <w:r w:rsidRPr="005128DC" w:rsidR="00B4286E">
        <w:rPr>
          <w:rFonts w:ascii="Times New Roman" w:hAnsi="Times New Roman" w:cs="Times New Roman"/>
        </w:rPr>
        <w:t>to ensure that consumers are protected as these programs are contemplated or implemented.</w:t>
      </w:r>
    </w:p>
    <w:p w:rsidR="00746E9A" w:rsidRPr="005128DC" w:rsidP="00746E9A" w14:paraId="056549D8" w14:textId="77777777">
      <w:pPr>
        <w:ind w:left="3874"/>
        <w:rPr>
          <w:rFonts w:ascii="Times New Roman" w:eastAsia="Times New Roman" w:hAnsi="Times New Roman" w:cs="Times New Roman"/>
          <w:lang w:eastAsia="en-US" w:bidi="ar-SA"/>
        </w:rPr>
      </w:pPr>
      <w:r w:rsidRPr="005128DC">
        <w:rPr>
          <w:rFonts w:ascii="Times New Roman" w:eastAsia="Times New Roman" w:hAnsi="Times New Roman" w:cs="Times New Roman"/>
          <w:lang w:eastAsia="en-US" w:bidi="ar-SA"/>
        </w:rPr>
        <w:t>Respectfully submitted,</w:t>
      </w:r>
    </w:p>
    <w:p w:rsidR="00746E9A" w:rsidRPr="005128DC" w:rsidP="00746E9A" w14:paraId="19CEA03D" w14:textId="77777777">
      <w:pPr>
        <w:suppressAutoHyphens w:val="0"/>
        <w:ind w:left="3870" w:right="-672" w:firstLine="4"/>
        <w:rPr>
          <w:rFonts w:ascii="Times New Roman" w:eastAsia="Times New Roman" w:hAnsi="Times New Roman" w:cs="Times New Roman"/>
          <w:lang w:eastAsia="en-US" w:bidi="ar-SA"/>
        </w:rPr>
      </w:pPr>
    </w:p>
    <w:p w:rsidR="00746E9A" w:rsidRPr="005128DC" w:rsidP="00746E9A" w14:paraId="26E6038D" w14:textId="77777777">
      <w:pPr>
        <w:widowControl/>
        <w:tabs>
          <w:tab w:val="left" w:pos="4320"/>
        </w:tabs>
        <w:suppressAutoHyphens w:val="0"/>
        <w:ind w:left="3870" w:firstLine="4"/>
        <w:rPr>
          <w:rFonts w:ascii="Times New Roman" w:eastAsia="Times New Roman" w:hAnsi="Times New Roman" w:cs="Times New Roman"/>
          <w:lang w:eastAsia="en-US" w:bidi="ar-SA"/>
        </w:rPr>
      </w:pPr>
      <w:r w:rsidRPr="005128DC">
        <w:rPr>
          <w:rFonts w:ascii="Times New Roman" w:eastAsia="Times New Roman" w:hAnsi="Times New Roman" w:cs="Times New Roman"/>
          <w:lang w:eastAsia="en-US" w:bidi="ar-SA"/>
        </w:rPr>
        <w:t>Bruce Weston (0016973)</w:t>
      </w:r>
    </w:p>
    <w:p w:rsidR="00746E9A" w:rsidRPr="005128DC" w:rsidP="00746E9A" w14:paraId="61230552" w14:textId="77777777">
      <w:pPr>
        <w:widowControl/>
        <w:tabs>
          <w:tab w:val="left" w:pos="4320"/>
        </w:tabs>
        <w:suppressAutoHyphens w:val="0"/>
        <w:ind w:left="3870" w:firstLine="4"/>
        <w:rPr>
          <w:rFonts w:ascii="Times New Roman" w:hAnsi="Times New Roman" w:cs="Times New Roman"/>
        </w:rPr>
      </w:pPr>
      <w:r w:rsidRPr="005128DC">
        <w:rPr>
          <w:rFonts w:ascii="Times New Roman" w:eastAsia="Times New Roman" w:hAnsi="Times New Roman" w:cs="Times New Roman"/>
          <w:lang w:eastAsia="en-US" w:bidi="ar-SA"/>
        </w:rPr>
        <w:t>Ohio Consumers’ Counsel</w:t>
      </w:r>
    </w:p>
    <w:p w:rsidR="00746E9A" w:rsidRPr="005128DC" w:rsidP="00746E9A" w14:paraId="17901779" w14:textId="77777777">
      <w:pPr>
        <w:widowControl/>
        <w:tabs>
          <w:tab w:val="left" w:pos="4320"/>
        </w:tabs>
        <w:suppressAutoHyphens w:val="0"/>
        <w:ind w:left="3870" w:firstLine="4"/>
        <w:rPr>
          <w:rFonts w:ascii="Times New Roman" w:eastAsia="Times New Roman" w:hAnsi="Times New Roman" w:cs="Times New Roman"/>
          <w:lang w:eastAsia="en-US" w:bidi="ar-SA"/>
        </w:rPr>
      </w:pPr>
    </w:p>
    <w:p w:rsidR="00746E9A" w:rsidRPr="005128DC" w:rsidP="00746E9A" w14:paraId="0DE13A07" w14:textId="77777777">
      <w:pPr>
        <w:widowControl/>
        <w:tabs>
          <w:tab w:val="left" w:pos="4320"/>
        </w:tabs>
        <w:suppressAutoHyphens w:val="0"/>
        <w:ind w:left="3870" w:firstLine="4"/>
        <w:rPr>
          <w:rFonts w:ascii="Times New Roman" w:hAnsi="Times New Roman" w:cs="Times New Roman"/>
        </w:rPr>
      </w:pPr>
      <w:r w:rsidRPr="005128DC">
        <w:rPr>
          <w:rFonts w:ascii="Times New Roman" w:eastAsia="Times New Roman" w:hAnsi="Times New Roman" w:cs="Times New Roman"/>
          <w:i/>
          <w:iCs/>
          <w:u w:val="single"/>
          <w:lang w:eastAsia="en-US" w:bidi="ar-SA"/>
        </w:rPr>
        <w:t>/s/ William J. Michael</w:t>
      </w:r>
    </w:p>
    <w:p w:rsidR="00746E9A" w:rsidRPr="005128DC" w:rsidP="00746E9A" w14:paraId="147BD372" w14:textId="77777777">
      <w:pPr>
        <w:widowControl/>
        <w:tabs>
          <w:tab w:val="left" w:pos="4320"/>
        </w:tabs>
        <w:suppressAutoHyphens w:val="0"/>
        <w:ind w:left="3870" w:firstLine="4"/>
        <w:rPr>
          <w:rFonts w:ascii="Times New Roman" w:hAnsi="Times New Roman" w:cs="Times New Roman"/>
        </w:rPr>
      </w:pPr>
      <w:bookmarkStart w:id="0" w:name="__DdeLink__773_2876318816"/>
      <w:bookmarkEnd w:id="0"/>
      <w:r w:rsidRPr="005128DC">
        <w:rPr>
          <w:rFonts w:ascii="Times New Roman" w:eastAsia="Times New Roman" w:hAnsi="Times New Roman" w:cs="Times New Roman"/>
          <w:lang w:eastAsia="en-US" w:bidi="ar-SA"/>
        </w:rPr>
        <w:t>William J. Michael (0070921)</w:t>
      </w:r>
    </w:p>
    <w:p w:rsidR="00746E9A" w:rsidRPr="005128DC" w:rsidP="00746E9A" w14:paraId="6D6B7907" w14:textId="77777777">
      <w:pPr>
        <w:widowControl/>
        <w:tabs>
          <w:tab w:val="left" w:pos="4320"/>
        </w:tabs>
        <w:suppressAutoHyphens w:val="0"/>
        <w:ind w:left="3870" w:firstLine="4"/>
        <w:rPr>
          <w:rFonts w:ascii="Times New Roman" w:hAnsi="Times New Roman" w:cs="Times New Roman"/>
        </w:rPr>
      </w:pPr>
      <w:r w:rsidRPr="005128DC">
        <w:rPr>
          <w:rFonts w:ascii="Times New Roman" w:eastAsia="Times New Roman" w:hAnsi="Times New Roman" w:cs="Times New Roman"/>
          <w:lang w:eastAsia="en-US" w:bidi="ar-SA"/>
        </w:rPr>
        <w:t>Counsel of Record</w:t>
      </w:r>
    </w:p>
    <w:p w:rsidR="00746E9A" w:rsidRPr="005128DC" w:rsidP="00746E9A" w14:paraId="4F0EFFB9" w14:textId="77777777">
      <w:pPr>
        <w:widowControl/>
        <w:tabs>
          <w:tab w:val="left" w:pos="4320"/>
        </w:tabs>
        <w:suppressAutoHyphens w:val="0"/>
        <w:ind w:left="3870" w:firstLine="4"/>
        <w:rPr>
          <w:rFonts w:ascii="Times New Roman" w:hAnsi="Times New Roman" w:cs="Times New Roman"/>
        </w:rPr>
      </w:pPr>
      <w:r w:rsidRPr="005128DC">
        <w:rPr>
          <w:rFonts w:ascii="Times New Roman" w:hAnsi="Times New Roman" w:cs="Times New Roman"/>
        </w:rPr>
        <w:t>Connor D. Semple (0101102)</w:t>
      </w:r>
    </w:p>
    <w:p w:rsidR="00746E9A" w:rsidRPr="005128DC" w:rsidP="00746E9A" w14:paraId="0D75318E" w14:textId="77777777">
      <w:pPr>
        <w:widowControl/>
        <w:tabs>
          <w:tab w:val="left" w:pos="4320"/>
        </w:tabs>
        <w:suppressAutoHyphens w:val="0"/>
        <w:ind w:left="3870" w:firstLine="4"/>
        <w:rPr>
          <w:rFonts w:ascii="Times New Roman" w:eastAsia="Times New Roman" w:hAnsi="Times New Roman" w:cs="Times New Roman"/>
          <w:lang w:eastAsia="en-US" w:bidi="ar-SA"/>
        </w:rPr>
      </w:pPr>
      <w:r w:rsidRPr="005128DC">
        <w:rPr>
          <w:rFonts w:ascii="Times New Roman" w:eastAsia="Times New Roman" w:hAnsi="Times New Roman" w:cs="Times New Roman"/>
          <w:lang w:eastAsia="en-US" w:bidi="ar-SA"/>
        </w:rPr>
        <w:t>Assistant Consumers’ Counsel</w:t>
      </w:r>
    </w:p>
    <w:p w:rsidR="00746E9A" w:rsidRPr="005128DC" w:rsidP="00746E9A" w14:paraId="63FAC3CA" w14:textId="77777777">
      <w:pPr>
        <w:keepNext/>
        <w:widowControl/>
        <w:suppressAutoHyphens w:val="0"/>
        <w:ind w:left="3870" w:right="-648" w:firstLine="4"/>
        <w:outlineLvl w:val="0"/>
        <w:rPr>
          <w:rFonts w:ascii="Times New Roman" w:eastAsia="Times New Roman" w:hAnsi="Times New Roman" w:cs="Times New Roman"/>
          <w:b/>
          <w:lang w:eastAsia="en-US" w:bidi="ar-SA"/>
        </w:rPr>
      </w:pPr>
    </w:p>
    <w:p w:rsidR="00746E9A" w:rsidRPr="005128DC" w:rsidP="00746E9A" w14:paraId="263606DC" w14:textId="77777777">
      <w:pPr>
        <w:keepNext/>
        <w:widowControl/>
        <w:suppressAutoHyphens w:val="0"/>
        <w:ind w:left="3870" w:right="-648" w:firstLine="4"/>
        <w:outlineLvl w:val="0"/>
        <w:rPr>
          <w:rFonts w:ascii="Times New Roman" w:eastAsia="Times New Roman" w:hAnsi="Times New Roman" w:cs="Times New Roman"/>
          <w:b/>
          <w:lang w:eastAsia="en-US" w:bidi="ar-SA"/>
        </w:rPr>
      </w:pPr>
      <w:r w:rsidRPr="005128DC">
        <w:rPr>
          <w:rFonts w:ascii="Times New Roman" w:eastAsia="Times New Roman" w:hAnsi="Times New Roman" w:cs="Times New Roman"/>
          <w:b/>
          <w:lang w:eastAsia="en-US" w:bidi="ar-SA"/>
        </w:rPr>
        <w:t>Office of the Ohio Consumers’ Counsel</w:t>
      </w:r>
    </w:p>
    <w:p w:rsidR="00746E9A" w:rsidRPr="005128DC" w:rsidP="00746E9A" w14:paraId="01B1DDAC" w14:textId="77777777">
      <w:pPr>
        <w:keepNext/>
        <w:widowControl/>
        <w:suppressAutoHyphens w:val="0"/>
        <w:ind w:left="3870" w:right="-648" w:firstLine="4"/>
        <w:outlineLvl w:val="0"/>
        <w:rPr>
          <w:rFonts w:ascii="Times New Roman" w:eastAsia="Times New Roman" w:hAnsi="Times New Roman" w:cs="Times New Roman"/>
          <w:lang w:eastAsia="en-US" w:bidi="ar-SA"/>
        </w:rPr>
      </w:pPr>
      <w:r w:rsidRPr="005128DC">
        <w:rPr>
          <w:rFonts w:ascii="Times New Roman" w:eastAsia="Times New Roman" w:hAnsi="Times New Roman" w:cs="Times New Roman"/>
          <w:lang w:eastAsia="en-US" w:bidi="ar-SA"/>
        </w:rPr>
        <w:t>65 East State Street, Suite 700</w:t>
      </w:r>
    </w:p>
    <w:p w:rsidR="00746E9A" w:rsidRPr="005128DC" w:rsidP="00746E9A" w14:paraId="1F91C85B" w14:textId="77777777">
      <w:pPr>
        <w:keepNext/>
        <w:widowControl/>
        <w:suppressAutoHyphens w:val="0"/>
        <w:ind w:left="3870" w:right="-648" w:firstLine="4"/>
        <w:outlineLvl w:val="0"/>
        <w:rPr>
          <w:rFonts w:ascii="Times New Roman" w:hAnsi="Times New Roman" w:cs="Times New Roman"/>
        </w:rPr>
      </w:pPr>
      <w:r w:rsidRPr="005128DC">
        <w:rPr>
          <w:rFonts w:ascii="Times New Roman" w:eastAsia="Times New Roman" w:hAnsi="Times New Roman" w:cs="Times New Roman"/>
          <w:lang w:eastAsia="en-US" w:bidi="ar-SA"/>
        </w:rPr>
        <w:t>Columbus, Ohio 43215</w:t>
      </w:r>
    </w:p>
    <w:p w:rsidR="00746E9A" w:rsidRPr="005128DC" w:rsidP="00746E9A" w14:paraId="36C01FBB" w14:textId="77777777">
      <w:pPr>
        <w:widowControl/>
        <w:suppressAutoHyphens w:val="0"/>
        <w:ind w:left="3870" w:right="-648" w:firstLine="4"/>
        <w:outlineLvl w:val="0"/>
        <w:rPr>
          <w:rFonts w:ascii="Times New Roman" w:hAnsi="Times New Roman" w:cs="Times New Roman"/>
        </w:rPr>
      </w:pPr>
      <w:r w:rsidRPr="005128DC">
        <w:rPr>
          <w:rFonts w:ascii="Times New Roman" w:eastAsia="Times New Roman" w:hAnsi="Times New Roman" w:cs="Times New Roman"/>
          <w:lang w:eastAsia="en-US" w:bidi="ar-SA"/>
        </w:rPr>
        <w:t>Telephone [Michael]: (614) 466-1291</w:t>
      </w:r>
    </w:p>
    <w:p w:rsidR="00746E9A" w:rsidRPr="005128DC" w:rsidP="00746E9A" w14:paraId="038E1D28" w14:textId="77777777">
      <w:pPr>
        <w:widowControl/>
        <w:suppressAutoHyphens w:val="0"/>
        <w:ind w:left="3870" w:firstLine="4"/>
        <w:rPr>
          <w:rFonts w:ascii="Times New Roman" w:eastAsia="Times New Roman" w:hAnsi="Times New Roman" w:cs="Times New Roman"/>
          <w:lang w:eastAsia="en-US" w:bidi="ar-SA"/>
        </w:rPr>
      </w:pPr>
      <w:r w:rsidRPr="005128DC">
        <w:rPr>
          <w:rFonts w:ascii="Times New Roman" w:eastAsia="Times New Roman" w:hAnsi="Times New Roman" w:cs="Times New Roman"/>
          <w:lang w:eastAsia="en-US" w:bidi="ar-SA"/>
        </w:rPr>
        <w:t>Telephone [Semple]: (614) 466-9565</w:t>
      </w:r>
    </w:p>
    <w:p w:rsidR="00746E9A" w:rsidRPr="005128DC" w:rsidP="00746E9A" w14:paraId="7E01414C" w14:textId="77777777">
      <w:pPr>
        <w:widowControl/>
        <w:suppressAutoHyphens w:val="0"/>
        <w:ind w:left="3870" w:firstLine="4"/>
        <w:rPr>
          <w:rStyle w:val="InternetLink"/>
          <w:rFonts w:ascii="Times New Roman" w:eastAsia="Times New Roman" w:hAnsi="Times New Roman" w:cs="Times New Roman"/>
          <w:color w:val="00000A"/>
          <w:lang w:eastAsia="en-US" w:bidi="ar-SA"/>
        </w:rPr>
      </w:pPr>
      <w:hyperlink r:id="rId6" w:history="1">
        <w:r w:rsidRPr="005128DC">
          <w:rPr>
            <w:rStyle w:val="Hyperlink"/>
            <w:rFonts w:ascii="Times New Roman" w:eastAsia="Times New Roman" w:hAnsi="Times New Roman" w:cs="Times New Roman"/>
            <w:lang w:eastAsia="en-US" w:bidi="ar-SA"/>
          </w:rPr>
          <w:t>william.michael@occ.ohio.gov</w:t>
        </w:r>
      </w:hyperlink>
    </w:p>
    <w:p w:rsidR="00746E9A" w:rsidRPr="005128DC" w:rsidP="00746E9A" w14:paraId="1133028A" w14:textId="77777777">
      <w:pPr>
        <w:widowControl/>
        <w:suppressAutoHyphens w:val="0"/>
        <w:ind w:left="3870" w:firstLine="4"/>
        <w:rPr>
          <w:rFonts w:ascii="Times New Roman" w:hAnsi="Times New Roman" w:cs="Times New Roman"/>
        </w:rPr>
      </w:pPr>
      <w:hyperlink r:id="rId7" w:history="1">
        <w:r w:rsidRPr="005128DC">
          <w:rPr>
            <w:rStyle w:val="Hyperlink"/>
            <w:rFonts w:ascii="Times New Roman" w:hAnsi="Times New Roman" w:cs="Times New Roman"/>
          </w:rPr>
          <w:t>connor.semple@occ.ohio.gov</w:t>
        </w:r>
      </w:hyperlink>
    </w:p>
    <w:p w:rsidR="002C72C1" w:rsidRPr="005128DC" w:rsidP="00746E9A" w14:paraId="28C265C6" w14:textId="6CF51A68">
      <w:pPr>
        <w:widowControl/>
        <w:suppressAutoHyphens w:val="0"/>
        <w:ind w:left="3870" w:firstLine="4"/>
        <w:rPr>
          <w:rFonts w:ascii="Times New Roman" w:hAnsi="Times New Roman" w:cs="Times New Roman"/>
        </w:rPr>
      </w:pPr>
      <w:r w:rsidRPr="005128DC">
        <w:rPr>
          <w:rFonts w:ascii="Times New Roman" w:eastAsia="Times New Roman" w:hAnsi="Times New Roman" w:cs="Times New Roman"/>
          <w:lang w:eastAsia="en-US" w:bidi="ar-SA"/>
        </w:rPr>
        <w:t>(willing to accept service by e-mail)</w:t>
      </w:r>
      <w:r w:rsidRPr="005128DC" w:rsidR="00B4286E">
        <w:rPr>
          <w:rFonts w:ascii="Times New Roman" w:hAnsi="Times New Roman" w:cs="Times New Roman"/>
        </w:rPr>
        <w:br w:type="page"/>
      </w:r>
    </w:p>
    <w:p w:rsidR="002C72C1" w:rsidRPr="005128DC" w14:paraId="44C737E5" w14:textId="77777777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5128DC">
        <w:rPr>
          <w:rFonts w:ascii="Times New Roman" w:hAnsi="Times New Roman" w:cs="Times New Roman"/>
          <w:b/>
          <w:bCs/>
          <w:u w:val="single"/>
        </w:rPr>
        <w:t>CERTIFICATE OF SERVICE</w:t>
      </w:r>
    </w:p>
    <w:p w:rsidR="002C72C1" w:rsidRPr="005128DC" w:rsidP="00EF1A02" w14:paraId="15C932EA" w14:textId="4EAD995F">
      <w:pPr>
        <w:spacing w:line="480" w:lineRule="atLeast"/>
        <w:ind w:firstLine="720"/>
        <w:rPr>
          <w:rFonts w:ascii="Times New Roman" w:hAnsi="Times New Roman" w:cs="Times New Roman"/>
        </w:rPr>
      </w:pPr>
      <w:r w:rsidRPr="005128DC">
        <w:rPr>
          <w:rFonts w:ascii="Times New Roman" w:hAnsi="Times New Roman" w:cs="Times New Roman"/>
        </w:rPr>
        <w:t xml:space="preserve">I certify hereby that a copy of these </w:t>
      </w:r>
      <w:r w:rsidRPr="005128DC" w:rsidR="00EF1A02">
        <w:rPr>
          <w:rFonts w:ascii="Times New Roman" w:hAnsi="Times New Roman" w:cs="Times New Roman"/>
        </w:rPr>
        <w:t xml:space="preserve">Consumer Protection </w:t>
      </w:r>
      <w:r w:rsidRPr="005128DC">
        <w:rPr>
          <w:rFonts w:ascii="Times New Roman" w:hAnsi="Times New Roman" w:cs="Times New Roman"/>
        </w:rPr>
        <w:t xml:space="preserve">Reply Comments was served on the persons stated below </w:t>
      </w:r>
      <w:r w:rsidRPr="005128DC">
        <w:rPr>
          <w:rFonts w:ascii="Times New Roman" w:hAnsi="Times New Roman" w:cs="Times New Roman"/>
          <w:iCs/>
        </w:rPr>
        <w:t>via</w:t>
      </w:r>
      <w:r w:rsidRPr="005128DC">
        <w:rPr>
          <w:rFonts w:ascii="Times New Roman" w:hAnsi="Times New Roman" w:cs="Times New Roman"/>
        </w:rPr>
        <w:t xml:space="preserve"> electronic transmission, this </w:t>
      </w:r>
      <w:r w:rsidRPr="005128DC" w:rsidR="00EF1A02">
        <w:rPr>
          <w:rFonts w:ascii="Times New Roman" w:hAnsi="Times New Roman" w:cs="Times New Roman"/>
        </w:rPr>
        <w:t>16</w:t>
      </w:r>
      <w:r w:rsidRPr="005128DC">
        <w:rPr>
          <w:rFonts w:ascii="Times New Roman" w:hAnsi="Times New Roman" w:cs="Times New Roman"/>
          <w:vertAlign w:val="superscript"/>
        </w:rPr>
        <w:t>th</w:t>
      </w:r>
      <w:r w:rsidRPr="005128DC">
        <w:rPr>
          <w:rFonts w:ascii="Times New Roman" w:hAnsi="Times New Roman" w:cs="Times New Roman"/>
        </w:rPr>
        <w:t xml:space="preserve"> day of February 2023.</w:t>
      </w:r>
    </w:p>
    <w:p w:rsidR="002C72C1" w:rsidRPr="005128DC" w14:paraId="62B2E87D" w14:textId="77777777">
      <w:pPr>
        <w:tabs>
          <w:tab w:val="left" w:pos="4320"/>
        </w:tabs>
        <w:rPr>
          <w:rFonts w:ascii="Times New Roman" w:hAnsi="Times New Roman" w:cs="Times New Roman"/>
        </w:rPr>
      </w:pPr>
      <w:r w:rsidRPr="005128DC">
        <w:rPr>
          <w:rFonts w:ascii="Times New Roman" w:hAnsi="Times New Roman" w:cs="Times New Roman"/>
        </w:rPr>
        <w:tab/>
      </w:r>
      <w:r w:rsidRPr="005128DC">
        <w:rPr>
          <w:rFonts w:ascii="Times New Roman" w:hAnsi="Times New Roman" w:cs="Times New Roman"/>
          <w:i/>
          <w:iCs/>
          <w:u w:val="single"/>
        </w:rPr>
        <w:t>/s/ William J. Michael</w:t>
      </w:r>
    </w:p>
    <w:p w:rsidR="002C72C1" w:rsidRPr="005128DC" w14:paraId="048DE712" w14:textId="77777777">
      <w:pPr>
        <w:tabs>
          <w:tab w:val="left" w:pos="4320"/>
        </w:tabs>
        <w:rPr>
          <w:rFonts w:ascii="Times New Roman" w:hAnsi="Times New Roman" w:cs="Times New Roman"/>
        </w:rPr>
      </w:pPr>
      <w:r w:rsidRPr="005128DC">
        <w:rPr>
          <w:rFonts w:ascii="Times New Roman" w:hAnsi="Times New Roman" w:cs="Times New Roman"/>
        </w:rPr>
        <w:tab/>
        <w:t>William J. Michael</w:t>
      </w:r>
    </w:p>
    <w:p w:rsidR="002C72C1" w:rsidRPr="005128DC" w14:paraId="52E640FB" w14:textId="77777777">
      <w:pPr>
        <w:tabs>
          <w:tab w:val="left" w:pos="4320"/>
        </w:tabs>
        <w:rPr>
          <w:rFonts w:ascii="Times New Roman" w:hAnsi="Times New Roman" w:cs="Times New Roman"/>
        </w:rPr>
      </w:pPr>
      <w:r w:rsidRPr="005128DC">
        <w:rPr>
          <w:rFonts w:ascii="Times New Roman" w:hAnsi="Times New Roman" w:cs="Times New Roman"/>
        </w:rPr>
        <w:tab/>
        <w:t>Assistant Consumers’ Counsel</w:t>
      </w:r>
    </w:p>
    <w:p w:rsidR="002C72C1" w:rsidRPr="005128DC" w14:paraId="6657B3CC" w14:textId="77777777">
      <w:pPr>
        <w:pStyle w:val="CommentSubject"/>
        <w:rPr>
          <w:rFonts w:ascii="Times New Roman" w:hAnsi="Times New Roman" w:cs="Times New Roman"/>
          <w:sz w:val="24"/>
          <w:szCs w:val="24"/>
        </w:rPr>
      </w:pPr>
    </w:p>
    <w:p w:rsidR="002C72C1" w:rsidRPr="005128DC" w14:paraId="4D999869" w14:textId="77777777">
      <w:pPr>
        <w:rPr>
          <w:rFonts w:ascii="Times New Roman" w:hAnsi="Times New Roman" w:cs="Times New Roman"/>
        </w:rPr>
      </w:pPr>
      <w:r w:rsidRPr="005128DC">
        <w:rPr>
          <w:rFonts w:ascii="Times New Roman" w:hAnsi="Times New Roman" w:cs="Times New Roman"/>
        </w:rPr>
        <w:t>The PUCO’s e-filing system will electronically serve notice of the filing of this document on the following parties:</w:t>
      </w:r>
    </w:p>
    <w:p w:rsidR="002C72C1" w:rsidRPr="005128DC" w14:paraId="1878E54A" w14:textId="77777777">
      <w:pPr>
        <w:pStyle w:val="CommentText"/>
        <w:rPr>
          <w:rFonts w:ascii="Times New Roman" w:hAnsi="Times New Roman" w:cs="Times New Roman"/>
          <w:sz w:val="24"/>
          <w:szCs w:val="24"/>
        </w:rPr>
      </w:pPr>
    </w:p>
    <w:p w:rsidR="002C72C1" w:rsidRPr="005128DC" w14:paraId="710105FF" w14:textId="77777777">
      <w:pPr>
        <w:pStyle w:val="CommentTex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28DC">
        <w:rPr>
          <w:rFonts w:ascii="Times New Roman" w:hAnsi="Times New Roman" w:cs="Times New Roman"/>
          <w:b/>
          <w:sz w:val="24"/>
          <w:szCs w:val="24"/>
          <w:u w:val="single"/>
        </w:rPr>
        <w:t>SERVICE LIST</w:t>
      </w:r>
    </w:p>
    <w:p w:rsidR="002C72C1" w:rsidRPr="005128DC" w14:paraId="4F4FF7BB" w14:textId="77777777">
      <w:pPr>
        <w:pStyle w:val="BodyText"/>
        <w:rPr>
          <w:b/>
          <w:bCs/>
          <w:szCs w:val="24"/>
        </w:rPr>
      </w:pPr>
    </w:p>
    <w:tbl>
      <w:tblPr>
        <w:tblW w:w="8640" w:type="dxa"/>
        <w:tblInd w:w="108" w:type="dxa"/>
        <w:tblLook w:val="04A0"/>
      </w:tblPr>
      <w:tblGrid>
        <w:gridCol w:w="4396"/>
        <w:gridCol w:w="4244"/>
      </w:tblGrid>
      <w:tr w14:paraId="22B71C2F" w14:textId="77777777">
        <w:tblPrEx>
          <w:tblW w:w="8640" w:type="dxa"/>
          <w:tblInd w:w="108" w:type="dxa"/>
          <w:tblLook w:val="04A0"/>
        </w:tblPrEx>
        <w:tc>
          <w:tcPr>
            <w:tcW w:w="4333" w:type="dxa"/>
            <w:shd w:val="clear" w:color="auto" w:fill="auto"/>
          </w:tcPr>
          <w:p w:rsidR="002C72C1" w:rsidRPr="005128DC" w14:paraId="49DF9095" w14:textId="3FEB4862">
            <w:pPr>
              <w:snapToGrid w:val="0"/>
              <w:jc w:val="both"/>
              <w:rPr>
                <w:rFonts w:ascii="Times New Roman" w:eastAsia="Calibri" w:hAnsi="Times New Roman" w:cs="Times New Roman"/>
                <w:color w:val="0000FF"/>
                <w:u w:val="single"/>
              </w:rPr>
            </w:pPr>
            <w:hyperlink r:id="rId8" w:history="1">
              <w:r w:rsidRPr="005128DC" w:rsidR="005B4DAB">
                <w:rPr>
                  <w:rStyle w:val="Hyperlink"/>
                  <w:rFonts w:ascii="Times New Roman" w:eastAsia="Calibri" w:hAnsi="Times New Roman" w:cs="Times New Roman"/>
                </w:rPr>
                <w:t>john.jones@ohioAGO.gov</w:t>
              </w:r>
            </w:hyperlink>
          </w:p>
          <w:p w:rsidR="005B4DAB" w:rsidRPr="005128DC" w14:paraId="70CC6B0A" w14:textId="2A58472D">
            <w:pPr>
              <w:snapToGrid w:val="0"/>
              <w:jc w:val="both"/>
              <w:rPr>
                <w:rFonts w:ascii="Times New Roman" w:eastAsia="Calibri" w:hAnsi="Times New Roman" w:cs="Times New Roman"/>
                <w:color w:val="0000FF"/>
                <w:u w:val="single"/>
              </w:rPr>
            </w:pPr>
            <w:hyperlink r:id="rId9" w:history="1">
              <w:r w:rsidRPr="005128DC">
                <w:rPr>
                  <w:rStyle w:val="Hyperlink"/>
                  <w:rFonts w:ascii="Times New Roman" w:eastAsia="Calibri" w:hAnsi="Times New Roman" w:cs="Times New Roman"/>
                </w:rPr>
                <w:t>emccrum@sheetz.com</w:t>
              </w:r>
            </w:hyperlink>
          </w:p>
          <w:p w:rsidR="005B4DAB" w:rsidRPr="005128DC" w14:paraId="604FEACE" w14:textId="18A53231">
            <w:pPr>
              <w:snapToGrid w:val="0"/>
              <w:jc w:val="both"/>
              <w:rPr>
                <w:rFonts w:ascii="Times New Roman" w:eastAsia="Calibri" w:hAnsi="Times New Roman" w:cs="Times New Roman"/>
                <w:color w:val="0000FF"/>
                <w:u w:val="single"/>
              </w:rPr>
            </w:pPr>
            <w:hyperlink r:id="rId10" w:history="1">
              <w:r w:rsidRPr="005128DC">
                <w:rPr>
                  <w:rStyle w:val="Hyperlink"/>
                  <w:rFonts w:ascii="Times New Roman" w:eastAsia="Calibri" w:hAnsi="Times New Roman" w:cs="Times New Roman"/>
                </w:rPr>
                <w:t>knordstrom@theoec.org</w:t>
              </w:r>
            </w:hyperlink>
          </w:p>
          <w:p w:rsidR="005B4DAB" w:rsidRPr="005128DC" w14:paraId="63B3A39E" w14:textId="60032DC0">
            <w:pPr>
              <w:snapToGrid w:val="0"/>
              <w:jc w:val="both"/>
              <w:rPr>
                <w:rFonts w:ascii="Times New Roman" w:eastAsia="Calibri" w:hAnsi="Times New Roman" w:cs="Times New Roman"/>
                <w:color w:val="0000FF"/>
                <w:u w:val="single"/>
              </w:rPr>
            </w:pPr>
            <w:hyperlink r:id="rId11" w:history="1">
              <w:r w:rsidRPr="005128DC">
                <w:rPr>
                  <w:rStyle w:val="Hyperlink"/>
                  <w:rFonts w:ascii="Times New Roman" w:eastAsia="Calibri" w:hAnsi="Times New Roman" w:cs="Times New Roman"/>
                </w:rPr>
                <w:t>cwatchorn@firstenergycorp.com</w:t>
              </w:r>
            </w:hyperlink>
          </w:p>
          <w:p w:rsidR="005B4DAB" w:rsidRPr="005128DC" w14:paraId="2145F3EE" w14:textId="241552FF">
            <w:pPr>
              <w:snapToGrid w:val="0"/>
              <w:jc w:val="both"/>
              <w:rPr>
                <w:rFonts w:ascii="Times New Roman" w:eastAsia="Calibri" w:hAnsi="Times New Roman" w:cs="Times New Roman"/>
                <w:color w:val="0000FF"/>
                <w:u w:val="single"/>
              </w:rPr>
            </w:pPr>
            <w:hyperlink r:id="rId12" w:history="1">
              <w:r w:rsidRPr="005128DC">
                <w:rPr>
                  <w:rStyle w:val="Hyperlink"/>
                  <w:rFonts w:ascii="Times New Roman" w:eastAsia="Calibri" w:hAnsi="Times New Roman" w:cs="Times New Roman"/>
                </w:rPr>
                <w:t>christopher.hollon@aes.com</w:t>
              </w:r>
            </w:hyperlink>
          </w:p>
          <w:p w:rsidR="005B4DAB" w:rsidRPr="005128DC" w14:paraId="7AED3C94" w14:textId="4358FCE6">
            <w:pPr>
              <w:snapToGrid w:val="0"/>
              <w:jc w:val="both"/>
              <w:rPr>
                <w:rFonts w:ascii="Times New Roman" w:eastAsia="Calibri" w:hAnsi="Times New Roman" w:cs="Times New Roman"/>
                <w:color w:val="0000FF"/>
                <w:u w:val="single"/>
              </w:rPr>
            </w:pPr>
            <w:r w:rsidRPr="005128DC">
              <w:rPr>
                <w:rFonts w:ascii="Times New Roman" w:eastAsia="Calibri" w:hAnsi="Times New Roman" w:cs="Times New Roman"/>
                <w:color w:val="0000FF"/>
                <w:u w:val="single"/>
              </w:rPr>
              <w:t>anthony.willingham@electrifyamerica.com</w:t>
            </w:r>
          </w:p>
          <w:p w:rsidR="002C72C1" w:rsidRPr="005128DC" w14:paraId="20BA8131" w14:textId="44927818">
            <w:pPr>
              <w:snapToGrid w:val="0"/>
              <w:jc w:val="both"/>
              <w:rPr>
                <w:rFonts w:ascii="Times New Roman" w:eastAsia="Calibri" w:hAnsi="Times New Roman" w:cs="Times New Roman"/>
                <w:color w:val="0000FF"/>
              </w:rPr>
            </w:pPr>
            <w:hyperlink r:id="rId13" w:history="1">
              <w:r w:rsidRPr="005128DC" w:rsidR="00C31894">
                <w:rPr>
                  <w:rStyle w:val="Hyperlink"/>
                  <w:rFonts w:ascii="Times New Roman" w:eastAsia="Calibri" w:hAnsi="Times New Roman" w:cs="Times New Roman"/>
                </w:rPr>
                <w:t>jay@chargeaheadpartnership.com</w:t>
              </w:r>
            </w:hyperlink>
          </w:p>
          <w:p w:rsidR="00BC166D" w:rsidRPr="005128DC" w14:paraId="7851DE7E" w14:textId="5DCB2D00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hyperlink r:id="rId14" w:history="1">
              <w:r w:rsidRPr="005128DC">
                <w:rPr>
                  <w:rStyle w:val="Hyperlink"/>
                  <w:rFonts w:ascii="Times New Roman" w:hAnsi="Times New Roman" w:cs="Times New Roman"/>
                </w:rPr>
                <w:t>bojko@carpenterlipps.com</w:t>
              </w:r>
            </w:hyperlink>
          </w:p>
          <w:p w:rsidR="00C31894" w:rsidRPr="005128DC" w14:paraId="156DBF4D" w14:textId="4EAEE00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hyperlink r:id="rId15" w:history="1">
              <w:r w:rsidRPr="005128DC" w:rsidR="00BC166D">
                <w:rPr>
                  <w:rStyle w:val="Hyperlink"/>
                  <w:rFonts w:ascii="Times New Roman" w:hAnsi="Times New Roman" w:cs="Times New Roman"/>
                </w:rPr>
                <w:t>wygonski@carpenterlipps.com</w:t>
              </w:r>
            </w:hyperlink>
          </w:p>
          <w:p w:rsidR="00BC166D" w:rsidRPr="005128DC" w14:paraId="23E09608" w14:textId="77777777">
            <w:pPr>
              <w:snapToGrid w:val="0"/>
              <w:jc w:val="both"/>
              <w:rPr>
                <w:rFonts w:ascii="Times New Roman" w:eastAsia="Calibri" w:hAnsi="Times New Roman" w:cs="Times New Roman"/>
                <w:color w:val="0000FF"/>
              </w:rPr>
            </w:pPr>
          </w:p>
          <w:p w:rsidR="002C72C1" w:rsidRPr="005128DC" w14:paraId="2DFAFF35" w14:textId="77777777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5128DC">
              <w:rPr>
                <w:rFonts w:ascii="Times New Roman" w:eastAsia="Calibri" w:hAnsi="Times New Roman" w:cs="Times New Roman"/>
              </w:rPr>
              <w:t>Attorney Examiners:</w:t>
            </w:r>
          </w:p>
          <w:p w:rsidR="002C72C1" w:rsidRPr="005128DC" w14:paraId="111D55E5" w14:textId="77777777">
            <w:pPr>
              <w:rPr>
                <w:rFonts w:ascii="Times New Roman" w:hAnsi="Times New Roman" w:cs="Times New Roman"/>
              </w:rPr>
            </w:pPr>
            <w:hyperlink r:id="rId16" w:history="1">
              <w:r w:rsidRPr="005128DC" w:rsidR="00B4286E">
                <w:rPr>
                  <w:rStyle w:val="InternetLink"/>
                  <w:rFonts w:ascii="Times New Roman" w:hAnsi="Times New Roman" w:cs="Times New Roman"/>
                  <w:bCs/>
                </w:rPr>
                <w:t>jesse.davis@puco.ohio.gov</w:t>
              </w:r>
            </w:hyperlink>
          </w:p>
        </w:tc>
        <w:tc>
          <w:tcPr>
            <w:tcW w:w="4306" w:type="dxa"/>
            <w:shd w:val="clear" w:color="auto" w:fill="auto"/>
          </w:tcPr>
          <w:p w:rsidR="000A3A9A" w:rsidRPr="005128DC" w14:paraId="29B0D2B3" w14:textId="37030B8B">
            <w:pPr>
              <w:rPr>
                <w:rStyle w:val="InternetLink"/>
                <w:rFonts w:ascii="Times New Roman" w:hAnsi="Times New Roman" w:cs="Times New Roman"/>
              </w:rPr>
            </w:pPr>
            <w:hyperlink r:id="rId17" w:history="1">
              <w:r w:rsidRPr="005128DC">
                <w:rPr>
                  <w:rStyle w:val="Hyperlink"/>
                  <w:rFonts w:ascii="Times New Roman" w:hAnsi="Times New Roman" w:cs="Times New Roman"/>
                </w:rPr>
                <w:t>tlong@ohiochamber.com</w:t>
              </w:r>
            </w:hyperlink>
          </w:p>
          <w:p w:rsidR="000A3A9A" w:rsidRPr="005128DC" w14:paraId="0ADEA433" w14:textId="69465B6A">
            <w:pPr>
              <w:rPr>
                <w:rStyle w:val="InternetLink"/>
                <w:rFonts w:ascii="Times New Roman" w:hAnsi="Times New Roman" w:cs="Times New Roman"/>
              </w:rPr>
            </w:pPr>
            <w:hyperlink r:id="rId18" w:history="1">
              <w:r w:rsidRPr="005128DC" w:rsidR="00AA2835">
                <w:rPr>
                  <w:rStyle w:val="Hyperlink"/>
                  <w:rFonts w:ascii="Times New Roman" w:hAnsi="Times New Roman" w:cs="Times New Roman"/>
                </w:rPr>
                <w:t>whitney.richardson@evgo.com</w:t>
              </w:r>
            </w:hyperlink>
          </w:p>
          <w:p w:rsidR="00AA2835" w:rsidRPr="005128DC" w14:paraId="388853DD" w14:textId="271F277B">
            <w:pPr>
              <w:rPr>
                <w:rFonts w:ascii="Times New Roman" w:hAnsi="Times New Roman" w:cs="Times New Roman"/>
              </w:rPr>
            </w:pPr>
            <w:hyperlink r:id="rId19" w:history="1">
              <w:r w:rsidRPr="005128DC">
                <w:rPr>
                  <w:rStyle w:val="Hyperlink"/>
                  <w:rFonts w:ascii="Times New Roman" w:hAnsi="Times New Roman" w:cs="Times New Roman"/>
                </w:rPr>
                <w:t>dborchers@bricker.com</w:t>
              </w:r>
            </w:hyperlink>
          </w:p>
          <w:p w:rsidR="00F63636" w:rsidRPr="005128DC" w14:paraId="6C4A0908" w14:textId="499B2C47">
            <w:pPr>
              <w:rPr>
                <w:rFonts w:ascii="Times New Roman" w:hAnsi="Times New Roman" w:cs="Times New Roman"/>
              </w:rPr>
            </w:pPr>
            <w:hyperlink r:id="rId20" w:history="1">
              <w:r w:rsidRPr="005128DC" w:rsidR="00AA2835">
                <w:rPr>
                  <w:rStyle w:val="Hyperlink"/>
                  <w:rFonts w:ascii="Times New Roman" w:hAnsi="Times New Roman" w:cs="Times New Roman"/>
                </w:rPr>
                <w:t>kherrnstein@bricker.com</w:t>
              </w:r>
            </w:hyperlink>
          </w:p>
          <w:p w:rsidR="00AA2835" w:rsidRPr="005128DC" w14:paraId="7A40DEEA" w14:textId="6F4332F6">
            <w:pPr>
              <w:rPr>
                <w:rStyle w:val="InternetLink"/>
                <w:rFonts w:ascii="Times New Roman" w:hAnsi="Times New Roman" w:cs="Times New Roman"/>
              </w:rPr>
            </w:pPr>
            <w:hyperlink r:id="rId21" w:history="1">
              <w:r w:rsidRPr="005128DC">
                <w:rPr>
                  <w:rStyle w:val="Hyperlink"/>
                  <w:rFonts w:ascii="Times New Roman" w:hAnsi="Times New Roman" w:cs="Times New Roman"/>
                </w:rPr>
                <w:t>matthew.deal@chargepoint.com</w:t>
              </w:r>
            </w:hyperlink>
          </w:p>
          <w:p w:rsidR="00AA2835" w:rsidRPr="005128DC" w14:paraId="41B9E305" w14:textId="4FA2B45B">
            <w:pPr>
              <w:rPr>
                <w:rFonts w:ascii="Times New Roman" w:hAnsi="Times New Roman" w:cs="Times New Roman"/>
              </w:rPr>
            </w:pPr>
            <w:hyperlink r:id="rId22" w:history="1">
              <w:r w:rsidRPr="005128DC">
                <w:rPr>
                  <w:rStyle w:val="Hyperlink"/>
                  <w:rFonts w:ascii="Times New Roman" w:hAnsi="Times New Roman" w:cs="Times New Roman"/>
                </w:rPr>
                <w:t>rocco.dascenzo@duke-energy.com</w:t>
              </w:r>
            </w:hyperlink>
          </w:p>
          <w:p w:rsidR="00AA2835" w:rsidRPr="005128DC" w14:paraId="03D038CA" w14:textId="19CCE3C6">
            <w:pPr>
              <w:rPr>
                <w:rFonts w:ascii="Times New Roman" w:hAnsi="Times New Roman" w:cs="Times New Roman"/>
              </w:rPr>
            </w:pPr>
            <w:hyperlink r:id="rId23" w:history="1">
              <w:r w:rsidRPr="005128DC">
                <w:rPr>
                  <w:rStyle w:val="Hyperlink"/>
                  <w:rFonts w:ascii="Times New Roman" w:hAnsi="Times New Roman" w:cs="Times New Roman"/>
                </w:rPr>
                <w:t>larisa.vaysman@duke-energy.com</w:t>
              </w:r>
            </w:hyperlink>
          </w:p>
          <w:p w:rsidR="00AA2835" w:rsidRPr="005128DC" w14:paraId="3BEFEA5D" w14:textId="53ACF083">
            <w:pPr>
              <w:rPr>
                <w:rFonts w:ascii="Times New Roman" w:hAnsi="Times New Roman" w:cs="Times New Roman"/>
              </w:rPr>
            </w:pPr>
            <w:hyperlink r:id="rId24" w:history="1">
              <w:r w:rsidRPr="005128DC">
                <w:rPr>
                  <w:rStyle w:val="Hyperlink"/>
                  <w:rFonts w:ascii="Times New Roman" w:hAnsi="Times New Roman" w:cs="Times New Roman"/>
                </w:rPr>
                <w:t>elyse.akhbari@duke-energy.com</w:t>
              </w:r>
            </w:hyperlink>
          </w:p>
          <w:p w:rsidR="00AA2835" w:rsidRPr="005128DC" w14:paraId="7D251082" w14:textId="73B4698C">
            <w:pPr>
              <w:rPr>
                <w:rStyle w:val="InternetLink"/>
                <w:rFonts w:ascii="Times New Roman" w:hAnsi="Times New Roman" w:cs="Times New Roman"/>
              </w:rPr>
            </w:pPr>
            <w:hyperlink r:id="rId25" w:history="1">
              <w:r w:rsidRPr="005128DC" w:rsidR="007C3D79">
                <w:rPr>
                  <w:rStyle w:val="Hyperlink"/>
                  <w:rFonts w:ascii="Times New Roman" w:hAnsi="Times New Roman" w:cs="Times New Roman"/>
                </w:rPr>
                <w:t>stacie.cathcart@igs.com</w:t>
              </w:r>
            </w:hyperlink>
          </w:p>
          <w:p w:rsidR="007C3D79" w:rsidRPr="005128DC" w14:paraId="71BDBCF6" w14:textId="4F53255B">
            <w:pPr>
              <w:rPr>
                <w:rStyle w:val="InternetLink"/>
                <w:rFonts w:ascii="Times New Roman" w:hAnsi="Times New Roman" w:cs="Times New Roman"/>
              </w:rPr>
            </w:pPr>
            <w:hyperlink r:id="rId26" w:history="1">
              <w:r w:rsidRPr="005128DC">
                <w:rPr>
                  <w:rStyle w:val="Hyperlink"/>
                  <w:rFonts w:ascii="Times New Roman" w:hAnsi="Times New Roman" w:cs="Times New Roman"/>
                </w:rPr>
                <w:t>evan.betterton@igs.com</w:t>
              </w:r>
            </w:hyperlink>
          </w:p>
          <w:p w:rsidR="007C3D79" w:rsidRPr="005128DC" w14:paraId="735D9EAB" w14:textId="1EC11C25">
            <w:pPr>
              <w:rPr>
                <w:rFonts w:ascii="Times New Roman" w:hAnsi="Times New Roman" w:cs="Times New Roman"/>
              </w:rPr>
            </w:pPr>
            <w:hyperlink r:id="rId27" w:history="1">
              <w:r w:rsidRPr="005128DC">
                <w:rPr>
                  <w:rStyle w:val="Hyperlink"/>
                  <w:rFonts w:ascii="Times New Roman" w:hAnsi="Times New Roman" w:cs="Times New Roman"/>
                </w:rPr>
                <w:t>stnourse@aep.com</w:t>
              </w:r>
            </w:hyperlink>
          </w:p>
          <w:p w:rsidR="002C72C1" w:rsidRPr="005128DC" w14:paraId="5E41F093" w14:textId="159CE0DF">
            <w:pPr>
              <w:rPr>
                <w:rFonts w:ascii="Times New Roman" w:hAnsi="Times New Roman" w:cs="Times New Roman"/>
              </w:rPr>
            </w:pPr>
            <w:hyperlink r:id="rId28" w:history="1">
              <w:r w:rsidRPr="005128DC" w:rsidR="007C3D79">
                <w:rPr>
                  <w:rStyle w:val="Hyperlink"/>
                  <w:rFonts w:ascii="Times New Roman" w:hAnsi="Times New Roman" w:cs="Times New Roman"/>
                </w:rPr>
                <w:t>mjschuler@aep.com</w:t>
              </w:r>
            </w:hyperlink>
          </w:p>
        </w:tc>
      </w:tr>
    </w:tbl>
    <w:p w:rsidR="002C72C1" w:rsidRPr="005128DC" w14:paraId="65C0F650" w14:textId="77777777">
      <w:pPr>
        <w:tabs>
          <w:tab w:val="left" w:pos="4325"/>
        </w:tabs>
        <w:rPr>
          <w:rFonts w:ascii="Times New Roman" w:hAnsi="Times New Roman" w:cs="Times New Roman"/>
        </w:rPr>
      </w:pPr>
    </w:p>
    <w:sectPr>
      <w:headerReference w:type="default" r:id="rId29"/>
      <w:footerReference w:type="default" r:id="rId30"/>
      <w:pgSz w:w="12240" w:h="15840"/>
      <w:pgMar w:top="1440" w:right="1800" w:bottom="1440" w:left="1800" w:header="720" w:footer="720" w:gutter="0"/>
      <w:cols w:space="720"/>
      <w:formProt w:val="0"/>
      <w:titlePg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Micro Hei">
    <w:altName w:val="Cambria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OpenSymbol">
    <w:altName w:val="Cambria"/>
    <w:charset w:val="01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66894783"/>
      <w:docPartObj>
        <w:docPartGallery w:val="Page Numbers (Bottom of Page)"/>
        <w:docPartUnique/>
      </w:docPartObj>
    </w:sdtPr>
    <w:sdtContent>
      <w:p w:rsidR="002C72C1" w14:paraId="696461B9" w14:textId="77777777">
        <w:pPr>
          <w:pStyle w:val="Footer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536F8D" w14:paraId="3C1A1FB5" w14:textId="77777777">
      <w:r>
        <w:separator/>
      </w:r>
    </w:p>
  </w:footnote>
  <w:footnote w:type="continuationSeparator" w:id="1">
    <w:p w:rsidR="00536F8D" w14:paraId="7F8C0157" w14:textId="77777777">
      <w:r>
        <w:continuationSeparator/>
      </w:r>
    </w:p>
  </w:footnote>
  <w:footnote w:id="2">
    <w:p w:rsidR="002C72C1" w:rsidRPr="00173661" w:rsidP="00173661" w14:paraId="1B7F206D" w14:textId="4DD9AEEF">
      <w:pPr>
        <w:pStyle w:val="FootnoteText"/>
        <w:spacing w:after="120"/>
        <w:rPr>
          <w:rFonts w:ascii="Times New Roman" w:hAnsi="Times New Roman" w:cs="Times New Roman"/>
          <w:sz w:val="20"/>
          <w:szCs w:val="20"/>
        </w:rPr>
      </w:pPr>
      <w:r w:rsidRPr="00173661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="00173661">
        <w:rPr>
          <w:rFonts w:ascii="Times New Roman" w:hAnsi="Times New Roman" w:cs="Times New Roman"/>
          <w:sz w:val="20"/>
          <w:szCs w:val="20"/>
        </w:rPr>
        <w:t xml:space="preserve"> </w:t>
      </w:r>
      <w:r w:rsidRPr="00173661">
        <w:rPr>
          <w:rFonts w:ascii="Times New Roman" w:hAnsi="Times New Roman" w:cs="Times New Roman"/>
          <w:sz w:val="20"/>
          <w:szCs w:val="20"/>
        </w:rPr>
        <w:t>Sheetz’s Comments (February 1, 2023) at 1 and 3–4.</w:t>
      </w:r>
    </w:p>
  </w:footnote>
  <w:footnote w:id="3">
    <w:p w:rsidR="002C72C1" w:rsidRPr="00173661" w:rsidP="00173661" w14:paraId="770BC372" w14:textId="5AF15CA1">
      <w:pPr>
        <w:pStyle w:val="FootnoteText"/>
        <w:spacing w:after="120"/>
        <w:rPr>
          <w:rFonts w:ascii="Times New Roman" w:hAnsi="Times New Roman" w:cs="Times New Roman"/>
          <w:sz w:val="20"/>
          <w:szCs w:val="20"/>
        </w:rPr>
      </w:pPr>
      <w:r w:rsidRPr="00173661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173661" w:rsidR="00173661">
        <w:rPr>
          <w:rFonts w:ascii="Times New Roman" w:hAnsi="Times New Roman" w:cs="Times New Roman"/>
          <w:sz w:val="20"/>
          <w:szCs w:val="20"/>
        </w:rPr>
        <w:t xml:space="preserve"> </w:t>
      </w:r>
      <w:r w:rsidRPr="00173661">
        <w:rPr>
          <w:rFonts w:ascii="Times New Roman" w:hAnsi="Times New Roman" w:cs="Times New Roman"/>
          <w:sz w:val="20"/>
          <w:szCs w:val="20"/>
        </w:rPr>
        <w:t>Sheetz’s Comments (February 1, 2023) at 3–4.</w:t>
      </w:r>
    </w:p>
  </w:footnote>
  <w:footnote w:id="4">
    <w:p w:rsidR="002C72C1" w:rsidRPr="00173661" w:rsidP="00173661" w14:paraId="1955E20E" w14:textId="32A6C3F4">
      <w:pPr>
        <w:pStyle w:val="FootnoteText"/>
        <w:spacing w:after="120"/>
        <w:rPr>
          <w:rFonts w:ascii="Times New Roman" w:hAnsi="Times New Roman" w:cs="Times New Roman"/>
          <w:sz w:val="20"/>
          <w:szCs w:val="20"/>
        </w:rPr>
      </w:pPr>
      <w:r w:rsidRPr="00173661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="00173661">
        <w:rPr>
          <w:rFonts w:ascii="Times New Roman" w:hAnsi="Times New Roman" w:cs="Times New Roman"/>
          <w:sz w:val="20"/>
          <w:szCs w:val="20"/>
        </w:rPr>
        <w:t xml:space="preserve"> </w:t>
      </w:r>
      <w:r w:rsidRPr="00173661">
        <w:rPr>
          <w:rFonts w:ascii="Times New Roman" w:hAnsi="Times New Roman" w:cs="Times New Roman"/>
          <w:sz w:val="20"/>
          <w:szCs w:val="20"/>
        </w:rPr>
        <w:t>ChargePoint’s Comments (February 1, 2023) at 2.</w:t>
      </w:r>
    </w:p>
  </w:footnote>
  <w:footnote w:id="5">
    <w:p w:rsidR="002C72C1" w:rsidRPr="00173661" w:rsidP="00173661" w14:paraId="0ECDED75" w14:textId="4B768AC8">
      <w:pPr>
        <w:pStyle w:val="FootnoteText"/>
        <w:spacing w:after="120"/>
        <w:rPr>
          <w:rFonts w:ascii="Times New Roman" w:hAnsi="Times New Roman" w:cs="Times New Roman"/>
          <w:i/>
          <w:iCs/>
          <w:sz w:val="20"/>
          <w:szCs w:val="20"/>
        </w:rPr>
      </w:pPr>
      <w:r w:rsidRPr="00173661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="00173661">
        <w:rPr>
          <w:rFonts w:ascii="Times New Roman" w:hAnsi="Times New Roman" w:cs="Times New Roman"/>
          <w:i/>
          <w:iCs/>
          <w:sz w:val="20"/>
          <w:szCs w:val="20"/>
        </w:rPr>
        <w:t xml:space="preserve"> I</w:t>
      </w:r>
      <w:r w:rsidRPr="00173661">
        <w:rPr>
          <w:rFonts w:ascii="Times New Roman" w:hAnsi="Times New Roman" w:cs="Times New Roman"/>
          <w:i/>
          <w:iCs/>
          <w:sz w:val="20"/>
          <w:szCs w:val="20"/>
        </w:rPr>
        <w:t>d</w:t>
      </w:r>
      <w:r w:rsidRPr="00173661">
        <w:rPr>
          <w:rFonts w:ascii="Times New Roman" w:hAnsi="Times New Roman" w:cs="Times New Roman"/>
          <w:sz w:val="20"/>
          <w:szCs w:val="20"/>
        </w:rPr>
        <w:t>. at 4–10.</w:t>
      </w:r>
    </w:p>
  </w:footnote>
  <w:footnote w:id="6">
    <w:p w:rsidR="002C72C1" w:rsidRPr="00173661" w:rsidP="00173661" w14:paraId="0D1B6817" w14:textId="0EABFF5D">
      <w:pPr>
        <w:pStyle w:val="FootnoteText"/>
        <w:spacing w:after="120"/>
        <w:rPr>
          <w:rFonts w:ascii="Times New Roman" w:hAnsi="Times New Roman" w:cs="Times New Roman"/>
          <w:sz w:val="20"/>
          <w:szCs w:val="20"/>
        </w:rPr>
      </w:pPr>
      <w:r w:rsidRPr="00173661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="00173661">
        <w:rPr>
          <w:rFonts w:ascii="Times New Roman" w:hAnsi="Times New Roman" w:cs="Times New Roman"/>
          <w:sz w:val="20"/>
          <w:szCs w:val="20"/>
        </w:rPr>
        <w:t xml:space="preserve"> </w:t>
      </w:r>
      <w:r w:rsidRPr="00173661">
        <w:rPr>
          <w:rFonts w:ascii="Times New Roman" w:hAnsi="Times New Roman" w:cs="Times New Roman"/>
          <w:sz w:val="20"/>
          <w:szCs w:val="20"/>
        </w:rPr>
        <w:t>Sheetz’s Comments (February 1, 2023) at 1–3.</w:t>
      </w:r>
    </w:p>
  </w:footnote>
  <w:footnote w:id="7">
    <w:p w:rsidR="002C72C1" w:rsidRPr="00173661" w:rsidP="00173661" w14:paraId="6F74F1E0" w14:textId="2ADC77A6">
      <w:pPr>
        <w:pStyle w:val="FootnoteText"/>
        <w:spacing w:after="120"/>
        <w:rPr>
          <w:rFonts w:ascii="Times New Roman" w:hAnsi="Times New Roman" w:cs="Times New Roman"/>
          <w:sz w:val="20"/>
          <w:szCs w:val="20"/>
        </w:rPr>
      </w:pPr>
      <w:r w:rsidRPr="00173661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="00173661">
        <w:rPr>
          <w:rFonts w:ascii="Times New Roman" w:hAnsi="Times New Roman" w:cs="Times New Roman"/>
          <w:sz w:val="20"/>
          <w:szCs w:val="20"/>
        </w:rPr>
        <w:t xml:space="preserve"> </w:t>
      </w:r>
      <w:r w:rsidRPr="00173661">
        <w:rPr>
          <w:rFonts w:ascii="Times New Roman" w:hAnsi="Times New Roman" w:cs="Times New Roman"/>
          <w:sz w:val="20"/>
          <w:szCs w:val="20"/>
        </w:rPr>
        <w:t>CPUC Rulemaking 20-08-020.</w:t>
      </w:r>
    </w:p>
  </w:footnote>
  <w:footnote w:id="8">
    <w:p w:rsidR="002C72C1" w:rsidRPr="00173661" w:rsidP="00173661" w14:paraId="74700F10" w14:textId="43D06FB4">
      <w:pPr>
        <w:pStyle w:val="FootnoteText"/>
        <w:spacing w:after="120"/>
        <w:rPr>
          <w:rFonts w:ascii="Times New Roman" w:hAnsi="Times New Roman" w:cs="Times New Roman"/>
          <w:sz w:val="20"/>
          <w:szCs w:val="20"/>
        </w:rPr>
      </w:pPr>
      <w:r w:rsidRPr="00173661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="00173661">
        <w:rPr>
          <w:rFonts w:ascii="Times New Roman" w:hAnsi="Times New Roman" w:cs="Times New Roman"/>
          <w:sz w:val="20"/>
          <w:szCs w:val="20"/>
        </w:rPr>
        <w:t xml:space="preserve"> </w:t>
      </w:r>
      <w:r w:rsidRPr="00173661">
        <w:rPr>
          <w:rFonts w:ascii="Times New Roman" w:hAnsi="Times New Roman" w:cs="Times New Roman"/>
          <w:sz w:val="20"/>
          <w:szCs w:val="20"/>
        </w:rPr>
        <w:t>ChargePoint’s Comments (February 1, 2023) at 11–12.</w:t>
      </w:r>
    </w:p>
  </w:footnote>
  <w:footnote w:id="9">
    <w:p w:rsidR="002C72C1" w:rsidRPr="00173661" w:rsidP="00173661" w14:paraId="09FEE036" w14:textId="512951BF">
      <w:pPr>
        <w:pStyle w:val="FootnoteText"/>
        <w:spacing w:after="120"/>
        <w:rPr>
          <w:rFonts w:ascii="Times New Roman" w:hAnsi="Times New Roman" w:cs="Times New Roman"/>
          <w:sz w:val="20"/>
          <w:szCs w:val="20"/>
        </w:rPr>
      </w:pPr>
      <w:r w:rsidRPr="00173661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="00173661">
        <w:rPr>
          <w:rFonts w:ascii="Times New Roman" w:hAnsi="Times New Roman" w:cs="Times New Roman"/>
          <w:sz w:val="20"/>
          <w:szCs w:val="20"/>
        </w:rPr>
        <w:t xml:space="preserve"> </w:t>
      </w:r>
      <w:r w:rsidRPr="00173661">
        <w:rPr>
          <w:rFonts w:ascii="Times New Roman" w:hAnsi="Times New Roman" w:cs="Times New Roman"/>
          <w:sz w:val="20"/>
          <w:szCs w:val="20"/>
        </w:rPr>
        <w:t>Duke’s Comments (February 1, 2023) at 4–5.</w:t>
      </w:r>
    </w:p>
  </w:footnote>
  <w:footnote w:id="10">
    <w:p w:rsidR="002C72C1" w:rsidRPr="00173661" w:rsidP="00173661" w14:paraId="11EC33CA" w14:textId="4B0688FB">
      <w:pPr>
        <w:pStyle w:val="FootnoteText"/>
        <w:spacing w:after="120"/>
        <w:rPr>
          <w:rFonts w:ascii="Times New Roman" w:hAnsi="Times New Roman" w:cs="Times New Roman"/>
          <w:sz w:val="20"/>
          <w:szCs w:val="20"/>
        </w:rPr>
      </w:pPr>
      <w:r w:rsidRPr="00173661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="00173661">
        <w:rPr>
          <w:rFonts w:ascii="Times New Roman" w:hAnsi="Times New Roman" w:cs="Times New Roman"/>
          <w:sz w:val="20"/>
          <w:szCs w:val="20"/>
        </w:rPr>
        <w:t xml:space="preserve"> </w:t>
      </w:r>
      <w:r w:rsidRPr="00173661">
        <w:rPr>
          <w:rFonts w:ascii="Times New Roman" w:hAnsi="Times New Roman" w:cs="Times New Roman"/>
          <w:sz w:val="20"/>
          <w:szCs w:val="20"/>
        </w:rPr>
        <w:t>ChargePoint’s Comments (February 1, 2023) at 13–15.</w:t>
      </w:r>
    </w:p>
  </w:footnote>
  <w:footnote w:id="11">
    <w:p w:rsidR="002C72C1" w:rsidRPr="00173661" w:rsidP="00173661" w14:paraId="2D8B7A64" w14:textId="2FB4D6E6">
      <w:pPr>
        <w:pStyle w:val="FootnoteText"/>
        <w:spacing w:after="120"/>
        <w:rPr>
          <w:rFonts w:ascii="Times New Roman" w:hAnsi="Times New Roman" w:cs="Times New Roman"/>
          <w:sz w:val="20"/>
          <w:szCs w:val="20"/>
        </w:rPr>
      </w:pPr>
      <w:r w:rsidRPr="00173661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="00173661">
        <w:rPr>
          <w:rFonts w:ascii="Times New Roman" w:hAnsi="Times New Roman" w:cs="Times New Roman"/>
          <w:sz w:val="20"/>
          <w:szCs w:val="20"/>
        </w:rPr>
        <w:t xml:space="preserve"> </w:t>
      </w:r>
      <w:r w:rsidRPr="00173661">
        <w:rPr>
          <w:rFonts w:ascii="Times New Roman" w:hAnsi="Times New Roman" w:cs="Times New Roman"/>
          <w:sz w:val="20"/>
          <w:szCs w:val="20"/>
        </w:rPr>
        <w:t>Duke’s Comments (February 1, 2023) at 6.</w:t>
      </w:r>
    </w:p>
  </w:footnote>
  <w:footnote w:id="12">
    <w:p w:rsidR="004A2887" w:rsidRPr="00173661" w:rsidP="00173661" w14:paraId="5F13E106" w14:textId="04383EC8">
      <w:pPr>
        <w:pStyle w:val="FootnoteText"/>
        <w:spacing w:after="120"/>
        <w:rPr>
          <w:rFonts w:ascii="Times New Roman" w:hAnsi="Times New Roman" w:cs="Times New Roman"/>
          <w:sz w:val="20"/>
          <w:szCs w:val="20"/>
        </w:rPr>
      </w:pPr>
      <w:r w:rsidRPr="00173661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173661">
        <w:rPr>
          <w:rFonts w:ascii="Times New Roman" w:hAnsi="Times New Roman" w:cs="Times New Roman"/>
          <w:sz w:val="20"/>
          <w:szCs w:val="20"/>
        </w:rPr>
        <w:t xml:space="preserve"> ChargePoint’s Comments (February 1, 2023) at 2; Duke’s Comments (February 1, 2023)</w:t>
      </w:r>
      <w:r w:rsidR="00785A85">
        <w:rPr>
          <w:rFonts w:ascii="Times New Roman" w:hAnsi="Times New Roman" w:cs="Times New Roman"/>
          <w:sz w:val="20"/>
          <w:szCs w:val="20"/>
        </w:rPr>
        <w:t xml:space="preserve"> at 2</w:t>
      </w:r>
      <w:r w:rsidRPr="00173661">
        <w:rPr>
          <w:rFonts w:ascii="Times New Roman" w:hAnsi="Times New Roman" w:cs="Times New Roman"/>
          <w:sz w:val="20"/>
          <w:szCs w:val="20"/>
        </w:rPr>
        <w:t>.</w:t>
      </w:r>
    </w:p>
  </w:footnote>
  <w:footnote w:id="13">
    <w:p w:rsidR="002C72C1" w:rsidRPr="00173661" w:rsidP="00173661" w14:paraId="5AE31608" w14:textId="23045F17">
      <w:pPr>
        <w:pStyle w:val="FootnoteText"/>
        <w:spacing w:after="120"/>
        <w:rPr>
          <w:rFonts w:ascii="Times New Roman" w:hAnsi="Times New Roman" w:cs="Times New Roman"/>
          <w:sz w:val="20"/>
          <w:szCs w:val="20"/>
        </w:rPr>
      </w:pPr>
      <w:r w:rsidRPr="00173661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9C1DAF" w:rsidR="00173661">
        <w:rPr>
          <w:rFonts w:ascii="Times New Roman" w:hAnsi="Times New Roman" w:cs="Times New Roman"/>
          <w:sz w:val="20"/>
          <w:szCs w:val="20"/>
        </w:rPr>
        <w:t xml:space="preserve"> </w:t>
      </w:r>
      <w:r w:rsidRPr="00173661">
        <w:rPr>
          <w:rFonts w:ascii="Times New Roman" w:hAnsi="Times New Roman" w:cs="Times New Roman"/>
          <w:sz w:val="20"/>
          <w:szCs w:val="20"/>
        </w:rPr>
        <w:t>OCC’s Comments (January 10, 2023) and Reply Comments (January 24, 2023) in 22-1024-AU-COI.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C72C1" w14:paraId="2F087F8B" w14:textId="77777777">
    <w:pPr>
      <w:suppressLineNumbers/>
      <w:jc w:val="center"/>
      <w:rPr>
        <w:rFonts w:cs="Times New Roman"/>
        <w:bCs/>
        <w:i/>
        <w:iCs/>
      </w:rPr>
    </w:pPr>
  </w:p>
  <w:p w:rsidR="002C72C1" w14:paraId="7411BB3A" w14:textId="77777777">
    <w:pPr>
      <w:suppressLineNumbers/>
      <w:jc w:val="center"/>
      <w:rPr>
        <w:rFonts w:cs="Times New Roman"/>
        <w:bCs/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7332D36"/>
    <w:multiLevelType w:val="hybridMultilevel"/>
    <w:tmpl w:val="B6160ECA"/>
    <w:lvl w:ilvl="0">
      <w:start w:val="1"/>
      <w:numFmt w:val="upperRoman"/>
      <w:pStyle w:val="Heading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903D1"/>
    <w:multiLevelType w:val="multilevel"/>
    <w:tmpl w:val="325C7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39B11AA"/>
    <w:multiLevelType w:val="multilevel"/>
    <w:tmpl w:val="C57C9B5C"/>
    <w:lvl w:ilvl="0">
      <w:start w:val="1"/>
      <w:numFmt w:val="none"/>
      <w:suff w:val="nothing"/>
      <w:lvlJc w:val="left"/>
      <w:pPr>
        <w:ind w:left="0" w:firstLine="0"/>
      </w:pPr>
    </w:lvl>
    <w:lvl w:ilvl="1">
      <w:start w:val="1"/>
      <w:numFmt w:val="none"/>
      <w:suff w:val="nothing"/>
      <w:lvlJc w:val="left"/>
      <w:pPr>
        <w:ind w:left="0" w:firstLine="0"/>
      </w:pPr>
    </w:lvl>
    <w:lvl w:ilvl="2">
      <w:start w:val="1"/>
      <w:numFmt w:val="none"/>
      <w:suff w:val="nothing"/>
      <w:lvlJc w:val="left"/>
      <w:pPr>
        <w:ind w:left="0" w:firstLine="0"/>
      </w:pPr>
    </w:lvl>
    <w:lvl w:ilvl="3">
      <w:start w:val="1"/>
      <w:numFmt w:val="none"/>
      <w:suff w:val="nothing"/>
      <w:lvlJc w:val="left"/>
      <w:pPr>
        <w:ind w:left="0" w:firstLine="0"/>
      </w:pPr>
    </w:lvl>
    <w:lvl w:ilvl="4">
      <w:start w:val="1"/>
      <w:numFmt w:val="none"/>
      <w:suff w:val="nothing"/>
      <w:lvlJc w:val="left"/>
      <w:pPr>
        <w:ind w:left="0" w:firstLine="0"/>
      </w:pPr>
    </w:lvl>
    <w:lvl w:ilvl="5">
      <w:start w:val="1"/>
      <w:numFmt w:val="none"/>
      <w:suff w:val="nothing"/>
      <w:lvlJc w:val="left"/>
      <w:pPr>
        <w:ind w:left="0" w:firstLine="0"/>
      </w:pPr>
    </w:lvl>
    <w:lvl w:ilvl="6">
      <w:start w:val="1"/>
      <w:numFmt w:val="none"/>
      <w:suff w:val="nothing"/>
      <w:lvlJc w:val="left"/>
      <w:pPr>
        <w:ind w:left="0" w:firstLine="0"/>
      </w:pPr>
    </w:lvl>
    <w:lvl w:ilvl="7">
      <w:start w:val="1"/>
      <w:numFmt w:val="none"/>
      <w:suff w:val="nothing"/>
      <w:lvlJc w:val="left"/>
      <w:pPr>
        <w:ind w:left="0" w:firstLine="0"/>
      </w:pPr>
    </w:lvl>
    <w:lvl w:ilvl="8">
      <w:start w:val="1"/>
      <w:numFmt w:val="none"/>
      <w:suff w:val="nothing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defaultTabStop w:val="709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2C1"/>
    <w:rsid w:val="00001FE0"/>
    <w:rsid w:val="000033B0"/>
    <w:rsid w:val="00041A4F"/>
    <w:rsid w:val="00054767"/>
    <w:rsid w:val="00092FE4"/>
    <w:rsid w:val="000A3A9A"/>
    <w:rsid w:val="000A6C34"/>
    <w:rsid w:val="00154189"/>
    <w:rsid w:val="00173661"/>
    <w:rsid w:val="001812DA"/>
    <w:rsid w:val="00183849"/>
    <w:rsid w:val="00185944"/>
    <w:rsid w:val="001B5E96"/>
    <w:rsid w:val="00260A17"/>
    <w:rsid w:val="002645A9"/>
    <w:rsid w:val="002B59FA"/>
    <w:rsid w:val="002C72C1"/>
    <w:rsid w:val="0031453C"/>
    <w:rsid w:val="00383EC7"/>
    <w:rsid w:val="003E0DD4"/>
    <w:rsid w:val="00420059"/>
    <w:rsid w:val="00437E25"/>
    <w:rsid w:val="004A2887"/>
    <w:rsid w:val="005128DC"/>
    <w:rsid w:val="00536F8D"/>
    <w:rsid w:val="005B4DAB"/>
    <w:rsid w:val="006463DD"/>
    <w:rsid w:val="006C578B"/>
    <w:rsid w:val="006C705A"/>
    <w:rsid w:val="00701C7B"/>
    <w:rsid w:val="0072583B"/>
    <w:rsid w:val="00746E9A"/>
    <w:rsid w:val="00747947"/>
    <w:rsid w:val="00772588"/>
    <w:rsid w:val="00785A85"/>
    <w:rsid w:val="007C3D79"/>
    <w:rsid w:val="007D3018"/>
    <w:rsid w:val="007F1C30"/>
    <w:rsid w:val="008948B6"/>
    <w:rsid w:val="008C5E2F"/>
    <w:rsid w:val="00911B17"/>
    <w:rsid w:val="00936BCF"/>
    <w:rsid w:val="00952DDE"/>
    <w:rsid w:val="009C1DAF"/>
    <w:rsid w:val="009E6CE2"/>
    <w:rsid w:val="00A34364"/>
    <w:rsid w:val="00A969CA"/>
    <w:rsid w:val="00AA2835"/>
    <w:rsid w:val="00B13B21"/>
    <w:rsid w:val="00B24649"/>
    <w:rsid w:val="00B4286E"/>
    <w:rsid w:val="00B8032E"/>
    <w:rsid w:val="00BC166D"/>
    <w:rsid w:val="00BC31C7"/>
    <w:rsid w:val="00BC43DF"/>
    <w:rsid w:val="00BC5B21"/>
    <w:rsid w:val="00C2569F"/>
    <w:rsid w:val="00C31894"/>
    <w:rsid w:val="00C912C3"/>
    <w:rsid w:val="00CE6623"/>
    <w:rsid w:val="00D37AA9"/>
    <w:rsid w:val="00D76A45"/>
    <w:rsid w:val="00DB4868"/>
    <w:rsid w:val="00DC63FE"/>
    <w:rsid w:val="00E32FCC"/>
    <w:rsid w:val="00E74D9B"/>
    <w:rsid w:val="00ED2F66"/>
    <w:rsid w:val="00EE167F"/>
    <w:rsid w:val="00EF1A02"/>
    <w:rsid w:val="00EF6F4B"/>
    <w:rsid w:val="00F63636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WenQuanYi Micro Hei" w:hAnsi="Liberation Serif" w:cs="Lohit Devanagari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C80"/>
    <w:pPr>
      <w:widowControl w:val="0"/>
      <w:suppressAutoHyphens/>
    </w:pPr>
    <w:rPr>
      <w:color w:val="00000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7046"/>
    <w:pPr>
      <w:spacing w:after="240"/>
      <w:ind w:left="720" w:hanging="720"/>
      <w:outlineLvl w:val="0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qFormat/>
    <w:rsid w:val="00692C80"/>
    <w:rPr>
      <w:rFonts w:ascii="OpenSymbol" w:eastAsia="OpenSymbol" w:hAnsi="OpenSymbol" w:cs="OpenSymbol"/>
    </w:rPr>
  </w:style>
  <w:style w:type="character" w:styleId="LineNumber">
    <w:name w:val="line number"/>
    <w:qFormat/>
    <w:rsid w:val="00692C80"/>
    <w:rPr>
      <w:rFonts w:ascii="Times New Roman" w:hAnsi="Times New Roman"/>
      <w:sz w:val="24"/>
    </w:rPr>
  </w:style>
  <w:style w:type="character" w:customStyle="1" w:styleId="FootnoteAnchor">
    <w:name w:val="Footnote Anchor"/>
    <w:rsid w:val="00692C80"/>
    <w:rPr>
      <w:vertAlign w:val="superscript"/>
    </w:rPr>
  </w:style>
  <w:style w:type="character" w:customStyle="1" w:styleId="EndnoteAnchor">
    <w:name w:val="Endnote Anchor"/>
    <w:rsid w:val="00692C80"/>
    <w:rPr>
      <w:vertAlign w:val="superscript"/>
    </w:rPr>
  </w:style>
  <w:style w:type="character" w:customStyle="1" w:styleId="FootnoteCharacters">
    <w:name w:val="Footnote Characters"/>
    <w:qFormat/>
    <w:rsid w:val="00692C80"/>
  </w:style>
  <w:style w:type="character" w:customStyle="1" w:styleId="EndnoteCharacters">
    <w:name w:val="Endnote Characters"/>
    <w:qFormat/>
    <w:rsid w:val="00692C80"/>
  </w:style>
  <w:style w:type="character" w:customStyle="1" w:styleId="CommentTextChar">
    <w:name w:val="Comment Text Char"/>
    <w:basedOn w:val="DefaultParagraphFont"/>
    <w:link w:val="CommentText"/>
    <w:qFormat/>
    <w:rsid w:val="00692C80"/>
    <w:rPr>
      <w:rFonts w:cs="Mangal"/>
      <w:color w:val="00000A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692C80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A598C"/>
    <w:rPr>
      <w:rFonts w:ascii="Tahoma" w:hAnsi="Tahoma" w:cs="Mangal"/>
      <w:color w:val="00000A"/>
      <w:sz w:val="16"/>
      <w:szCs w:val="1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8A598C"/>
    <w:rPr>
      <w:rFonts w:cs="Mangal"/>
      <w:color w:val="00000A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8A598C"/>
    <w:rPr>
      <w:vertAlign w:val="superscript"/>
    </w:rPr>
  </w:style>
  <w:style w:type="character" w:customStyle="1" w:styleId="CommentSubjectChar">
    <w:name w:val="Comment Subject Char"/>
    <w:basedOn w:val="CommentTextChar"/>
    <w:link w:val="CommentSubject"/>
    <w:semiHidden/>
    <w:qFormat/>
    <w:rsid w:val="003527E5"/>
    <w:rPr>
      <w:rFonts w:cs="Mangal"/>
      <w:b/>
      <w:bCs/>
      <w:color w:val="00000A"/>
      <w:szCs w:val="18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567F4A"/>
    <w:rPr>
      <w:rFonts w:cs="Mangal"/>
      <w:color w:val="00000A"/>
      <w:sz w:val="24"/>
      <w:szCs w:val="21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567F4A"/>
    <w:rPr>
      <w:rFonts w:cs="Mangal"/>
      <w:color w:val="00000A"/>
      <w:sz w:val="24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0C7046"/>
    <w:rPr>
      <w:rFonts w:ascii="Times New Roman" w:hAnsi="Times New Roman" w:cs="Times New Roman"/>
      <w:b/>
      <w:bCs/>
      <w:color w:val="00000A"/>
      <w:sz w:val="24"/>
    </w:rPr>
  </w:style>
  <w:style w:type="character" w:customStyle="1" w:styleId="InternetLink">
    <w:name w:val="Internet Link"/>
    <w:rsid w:val="00E70FA5"/>
    <w:rPr>
      <w:color w:val="0000FF"/>
      <w:u w:val="single"/>
    </w:rPr>
  </w:style>
  <w:style w:type="character" w:customStyle="1" w:styleId="DocID">
    <w:name w:val="DocID"/>
    <w:basedOn w:val="DefaultParagraphFont"/>
    <w:qFormat/>
    <w:rsid w:val="001A54B6"/>
    <w:rPr>
      <w:rFonts w:ascii="Times New Roman" w:hAnsi="Times New Roman" w:cs="Times New Roman"/>
      <w:b w:val="0"/>
      <w:i w:val="0"/>
      <w:iCs/>
      <w:caps w:val="0"/>
      <w:smallCaps w:val="0"/>
      <w:vanish w:val="0"/>
      <w:color w:val="000000"/>
      <w:sz w:val="16"/>
      <w:szCs w:val="24"/>
      <w:u w:val="none"/>
    </w:rPr>
  </w:style>
  <w:style w:type="character" w:customStyle="1" w:styleId="LineNumbering">
    <w:name w:val="Line Numbering"/>
  </w:style>
  <w:style w:type="character" w:customStyle="1" w:styleId="IndexLink">
    <w:name w:val="Index Link"/>
    <w:qFormat/>
  </w:style>
  <w:style w:type="character" w:customStyle="1" w:styleId="HTMLPreformattedChar">
    <w:name w:val="HTML Preformatted Char"/>
    <w:basedOn w:val="DefaultParagraphFont"/>
    <w:link w:val="HTMLPreformatted"/>
    <w:qFormat/>
    <w:rsid w:val="004A74A3"/>
    <w:rPr>
      <w:rFonts w:ascii="Courier New" w:eastAsia="Courier New" w:hAnsi="Courier New" w:cs="Courier New"/>
      <w:szCs w:val="20"/>
      <w:lang w:eastAsia="en-US" w:bidi="ar-SA"/>
    </w:rPr>
  </w:style>
  <w:style w:type="character" w:customStyle="1" w:styleId="BodyTextChar">
    <w:name w:val="Body Text Char"/>
    <w:basedOn w:val="DefaultParagraphFont"/>
    <w:link w:val="BodyText"/>
    <w:qFormat/>
    <w:rsid w:val="00E70FA5"/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qFormat/>
    <w:rsid w:val="00441D9D"/>
    <w:rPr>
      <w:rFonts w:cs="Mangal"/>
      <w:color w:val="00000A"/>
      <w:sz w:val="16"/>
      <w:szCs w:val="14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ListParagraph"/>
    <w:next w:val="BodyText"/>
    <w:qFormat/>
    <w:rsid w:val="00437E25"/>
    <w:pPr>
      <w:numPr>
        <w:numId w:val="3"/>
      </w:numPr>
      <w:spacing w:after="240"/>
      <w:ind w:left="720"/>
    </w:pPr>
    <w:rPr>
      <w:rFonts w:ascii="Times New Roman" w:hAnsi="Times New Roman" w:cs="Times New Roman"/>
      <w:b/>
      <w:bCs/>
      <w:szCs w:val="24"/>
    </w:rPr>
  </w:style>
  <w:style w:type="paragraph" w:styleId="BodyText">
    <w:name w:val="Body Text"/>
    <w:basedOn w:val="Normal"/>
    <w:link w:val="BodyTextChar"/>
    <w:rsid w:val="00E70FA5"/>
    <w:pPr>
      <w:widowControl/>
      <w:suppressAutoHyphens w:val="0"/>
      <w:jc w:val="both"/>
    </w:pPr>
    <w:rPr>
      <w:rFonts w:ascii="Times New Roman" w:eastAsia="Times New Roman" w:hAnsi="Times New Roman" w:cs="Times New Roman"/>
      <w:szCs w:val="20"/>
      <w:lang w:eastAsia="en-US" w:bidi="ar-SA"/>
    </w:rPr>
  </w:style>
  <w:style w:type="paragraph" w:styleId="List">
    <w:name w:val="List"/>
    <w:basedOn w:val="Normal"/>
    <w:rsid w:val="00692C80"/>
  </w:style>
  <w:style w:type="paragraph" w:styleId="Caption">
    <w:name w:val="caption"/>
    <w:basedOn w:val="Normal"/>
    <w:qFormat/>
    <w:rsid w:val="00692C8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692C80"/>
    <w:pPr>
      <w:suppressLineNumbers/>
    </w:pPr>
  </w:style>
  <w:style w:type="paragraph" w:customStyle="1" w:styleId="BodyText1">
    <w:name w:val="Body Text1"/>
    <w:basedOn w:val="Normal"/>
    <w:qFormat/>
    <w:rsid w:val="00692C80"/>
    <w:pPr>
      <w:spacing w:after="140" w:line="288" w:lineRule="auto"/>
    </w:pPr>
  </w:style>
  <w:style w:type="paragraph" w:customStyle="1" w:styleId="FootnoteText1">
    <w:name w:val="Footnote Text1"/>
    <w:basedOn w:val="Normal"/>
    <w:qFormat/>
    <w:rsid w:val="00692C80"/>
  </w:style>
  <w:style w:type="paragraph" w:styleId="CommentText">
    <w:name w:val="annotation text"/>
    <w:basedOn w:val="Normal"/>
    <w:link w:val="CommentTextChar"/>
    <w:unhideWhenUsed/>
    <w:qFormat/>
    <w:rsid w:val="00692C80"/>
    <w:rPr>
      <w:rFonts w:cs="Mangal"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A598C"/>
    <w:rPr>
      <w:rFonts w:ascii="Tahoma" w:hAnsi="Tahoma" w:cs="Mangal"/>
      <w:sz w:val="16"/>
      <w:szCs w:val="14"/>
    </w:rPr>
  </w:style>
  <w:style w:type="paragraph" w:styleId="FootnoteText">
    <w:name w:val="footnote text"/>
    <w:basedOn w:val="Normal"/>
    <w:link w:val="FootnoteTextChar"/>
  </w:style>
  <w:style w:type="paragraph" w:styleId="CommentSubject">
    <w:name w:val="annotation subject"/>
    <w:basedOn w:val="CommentText"/>
    <w:link w:val="CommentSubjectChar"/>
    <w:semiHidden/>
    <w:unhideWhenUsed/>
    <w:qFormat/>
    <w:rsid w:val="003527E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67F4A"/>
    <w:pPr>
      <w:suppressLineNumbers/>
      <w:tabs>
        <w:tab w:val="center" w:pos="4680"/>
        <w:tab w:val="right" w:pos="9360"/>
      </w:tabs>
    </w:pPr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567F4A"/>
    <w:pPr>
      <w:suppressLineNumbers/>
      <w:tabs>
        <w:tab w:val="center" w:pos="4680"/>
        <w:tab w:val="right" w:pos="9360"/>
      </w:tabs>
    </w:pPr>
    <w:rPr>
      <w:rFonts w:cs="Mangal"/>
      <w:szCs w:val="21"/>
    </w:rPr>
  </w:style>
  <w:style w:type="paragraph" w:styleId="ListParagraph">
    <w:name w:val="List Paragraph"/>
    <w:basedOn w:val="Normal"/>
    <w:uiPriority w:val="34"/>
    <w:qFormat/>
    <w:rsid w:val="006620F4"/>
    <w:pPr>
      <w:ind w:left="720"/>
      <w:contextualSpacing/>
    </w:pPr>
    <w:rPr>
      <w:rFonts w:cs="Mangal"/>
      <w:szCs w:val="21"/>
    </w:rPr>
  </w:style>
  <w:style w:type="paragraph" w:styleId="TOC1">
    <w:name w:val="toc 1"/>
    <w:basedOn w:val="Normal"/>
    <w:next w:val="Normal"/>
    <w:autoRedefine/>
    <w:uiPriority w:val="39"/>
    <w:unhideWhenUsed/>
    <w:rsid w:val="00845CB3"/>
    <w:pPr>
      <w:tabs>
        <w:tab w:val="left" w:pos="720"/>
        <w:tab w:val="right" w:leader="dot" w:pos="8630"/>
      </w:tabs>
      <w:spacing w:after="240"/>
    </w:pPr>
    <w:rPr>
      <w:rFonts w:cs="Mangal"/>
      <w:szCs w:val="21"/>
    </w:rPr>
  </w:style>
  <w:style w:type="paragraph" w:styleId="Revision">
    <w:name w:val="Revision"/>
    <w:uiPriority w:val="99"/>
    <w:semiHidden/>
    <w:qFormat/>
    <w:rsid w:val="00660572"/>
    <w:rPr>
      <w:rFonts w:cs="Mangal"/>
      <w:color w:val="00000A"/>
      <w:sz w:val="24"/>
      <w:szCs w:val="21"/>
    </w:rPr>
  </w:style>
  <w:style w:type="paragraph" w:styleId="HTMLPreformatted">
    <w:name w:val="HTML Preformatted"/>
    <w:basedOn w:val="Normal"/>
    <w:link w:val="HTMLPreformattedChar"/>
    <w:qFormat/>
    <w:rsid w:val="004A74A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ourier New" w:hAnsi="Courier New" w:cs="Courier New"/>
      <w:sz w:val="20"/>
      <w:szCs w:val="20"/>
      <w:lang w:eastAsia="en-US" w:bidi="ar-S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qFormat/>
    <w:rsid w:val="00441D9D"/>
    <w:pPr>
      <w:spacing w:after="120"/>
      <w:ind w:left="360"/>
    </w:pPr>
    <w:rPr>
      <w:rFonts w:cs="Mangal"/>
      <w:sz w:val="16"/>
      <w:szCs w:val="14"/>
    </w:rPr>
  </w:style>
  <w:style w:type="character" w:styleId="Hyperlink">
    <w:name w:val="Hyperlink"/>
    <w:basedOn w:val="DefaultParagraphFont"/>
    <w:unhideWhenUsed/>
    <w:rsid w:val="00746E9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A3A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yperlink" Target="mailto:knordstrom@theoec.org" TargetMode="External" /><Relationship Id="rId11" Type="http://schemas.openxmlformats.org/officeDocument/2006/relationships/hyperlink" Target="mailto:cwatchorn@firstenergycorp.com" TargetMode="External" /><Relationship Id="rId12" Type="http://schemas.openxmlformats.org/officeDocument/2006/relationships/hyperlink" Target="mailto:christopher.hollon@aes.com" TargetMode="External" /><Relationship Id="rId13" Type="http://schemas.openxmlformats.org/officeDocument/2006/relationships/hyperlink" Target="mailto:jay@chargeaheadpartnership.com" TargetMode="External" /><Relationship Id="rId14" Type="http://schemas.openxmlformats.org/officeDocument/2006/relationships/hyperlink" Target="mailto:bojko@carpenterlipps.com" TargetMode="External" /><Relationship Id="rId15" Type="http://schemas.openxmlformats.org/officeDocument/2006/relationships/hyperlink" Target="mailto:wygonski@carpenterlipps.com" TargetMode="External" /><Relationship Id="rId16" Type="http://schemas.openxmlformats.org/officeDocument/2006/relationships/hyperlink" Target="mailto:jesse.davis@puco.ohio.gov" TargetMode="External" /><Relationship Id="rId17" Type="http://schemas.openxmlformats.org/officeDocument/2006/relationships/hyperlink" Target="mailto:tlong@ohiochamber.com" TargetMode="External" /><Relationship Id="rId18" Type="http://schemas.openxmlformats.org/officeDocument/2006/relationships/hyperlink" Target="mailto:whitney.richardson@evgo.com" TargetMode="External" /><Relationship Id="rId19" Type="http://schemas.openxmlformats.org/officeDocument/2006/relationships/hyperlink" Target="mailto:dborchers@bricker.com" TargetMode="External" /><Relationship Id="rId2" Type="http://schemas.openxmlformats.org/officeDocument/2006/relationships/settings" Target="settings.xml" /><Relationship Id="rId20" Type="http://schemas.openxmlformats.org/officeDocument/2006/relationships/hyperlink" Target="mailto:kherrnstein@bricker.com" TargetMode="External" /><Relationship Id="rId21" Type="http://schemas.openxmlformats.org/officeDocument/2006/relationships/hyperlink" Target="mailto:matthew.deal@chargepoint.com" TargetMode="External" /><Relationship Id="rId22" Type="http://schemas.openxmlformats.org/officeDocument/2006/relationships/hyperlink" Target="mailto:rocco.dascenzo@duke-energy.com" TargetMode="External" /><Relationship Id="rId23" Type="http://schemas.openxmlformats.org/officeDocument/2006/relationships/hyperlink" Target="mailto:larisa.vaysman@duke-energy.com" TargetMode="External" /><Relationship Id="rId24" Type="http://schemas.openxmlformats.org/officeDocument/2006/relationships/hyperlink" Target="mailto:elyse.akhbari@duke-energy.com" TargetMode="External" /><Relationship Id="rId25" Type="http://schemas.openxmlformats.org/officeDocument/2006/relationships/hyperlink" Target="mailto:stacie.cathcart@igs.com" TargetMode="External" /><Relationship Id="rId26" Type="http://schemas.openxmlformats.org/officeDocument/2006/relationships/hyperlink" Target="mailto:evan.betterton@igs.com" TargetMode="External" /><Relationship Id="rId27" Type="http://schemas.openxmlformats.org/officeDocument/2006/relationships/hyperlink" Target="mailto:stnourse@aep.com" TargetMode="External" /><Relationship Id="rId28" Type="http://schemas.openxmlformats.org/officeDocument/2006/relationships/hyperlink" Target="mailto:mjschuler@aep.com" TargetMode="External" /><Relationship Id="rId29" Type="http://schemas.openxmlformats.org/officeDocument/2006/relationships/header" Target="header1.xml" /><Relationship Id="rId3" Type="http://schemas.openxmlformats.org/officeDocument/2006/relationships/webSettings" Target="webSettings.xml" /><Relationship Id="rId30" Type="http://schemas.openxmlformats.org/officeDocument/2006/relationships/footer" Target="footer1.xml" /><Relationship Id="rId31" Type="http://schemas.openxmlformats.org/officeDocument/2006/relationships/theme" Target="theme/theme1.xml" /><Relationship Id="rId32" Type="http://schemas.openxmlformats.org/officeDocument/2006/relationships/numbering" Target="numbering.xml" /><Relationship Id="rId3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yperlink" Target="mailto:william.michael@occ.ohio.gov" TargetMode="External" /><Relationship Id="rId7" Type="http://schemas.openxmlformats.org/officeDocument/2006/relationships/hyperlink" Target="mailto:connor.semple@occ.ohio.gov" TargetMode="External" /><Relationship Id="rId8" Type="http://schemas.openxmlformats.org/officeDocument/2006/relationships/hyperlink" Target="mailto:john.jones@ohioAGO.gov" TargetMode="External" /><Relationship Id="rId9" Type="http://schemas.openxmlformats.org/officeDocument/2006/relationships/hyperlink" Target="mailto:emccrum@sheetz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B1B50-FFC0-49B5-BF55-4020377C9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1279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/>
  <LinksUpToDate>false</LinksUpToDate>
  <CharactersWithSpaces>8558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cp:revision>1</cp:revision>
  <dcterms:created xsi:type="dcterms:W3CDTF">2023-02-15T20:04:43Z</dcterms:created>
  <dcterms:modified xsi:type="dcterms:W3CDTF">2023-02-15T20:04:43Z</dcterms:modified>
  <dc:language>en-US</dc:language>
</cp:coreProperties>
</file>