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D120B" w:rsidRPr="000B1CB4" w:rsidP="00ED120B" w14:paraId="2595852B" w14:textId="77777777">
      <w:pPr>
        <w:pStyle w:val="HTMLPreformatted"/>
        <w:jc w:val="center"/>
        <w:rPr>
          <w:rFonts w:ascii="Times New Roman" w:hAnsi="Times New Roman" w:cs="Times New Roman"/>
          <w:b/>
          <w:bCs/>
          <w:sz w:val="24"/>
          <w:szCs w:val="24"/>
        </w:rPr>
      </w:pPr>
      <w:r w:rsidRPr="000B1CB4">
        <w:rPr>
          <w:rFonts w:ascii="Times New Roman" w:hAnsi="Times New Roman" w:cs="Times New Roman"/>
          <w:b/>
          <w:bCs/>
          <w:sz w:val="24"/>
          <w:szCs w:val="24"/>
        </w:rPr>
        <w:t>BEFORE</w:t>
      </w:r>
    </w:p>
    <w:p w:rsidR="00ED120B" w:rsidRPr="000B1CB4" w:rsidP="00ED120B" w14:paraId="742277AB" w14:textId="77777777">
      <w:pPr>
        <w:pStyle w:val="HTMLPreformatted"/>
        <w:jc w:val="center"/>
        <w:rPr>
          <w:rFonts w:ascii="Times New Roman" w:hAnsi="Times New Roman" w:cs="Times New Roman"/>
          <w:sz w:val="24"/>
          <w:szCs w:val="24"/>
        </w:rPr>
      </w:pPr>
      <w:r w:rsidRPr="000B1CB4">
        <w:rPr>
          <w:rFonts w:ascii="Times New Roman" w:hAnsi="Times New Roman" w:cs="Times New Roman"/>
          <w:b/>
          <w:bCs/>
          <w:sz w:val="24"/>
          <w:szCs w:val="24"/>
        </w:rPr>
        <w:t>THE PUBLIC UTILITIES COMMISSION OF OHIO</w:t>
      </w:r>
    </w:p>
    <w:p w:rsidR="00ED120B" w:rsidRPr="000B1CB4" w:rsidP="00ED120B" w14:paraId="6955CC09" w14:textId="77777777">
      <w:pPr>
        <w:pStyle w:val="HTMLPreformatted"/>
        <w:rPr>
          <w:rFonts w:ascii="Times New Roman" w:hAnsi="Times New Roman" w:cs="Times New Roman"/>
          <w:sz w:val="24"/>
          <w:szCs w:val="24"/>
        </w:rPr>
      </w:pPr>
    </w:p>
    <w:tbl>
      <w:tblPr>
        <w:tblW w:w="8730" w:type="dxa"/>
        <w:tblLook w:val="01E0"/>
      </w:tblPr>
      <w:tblGrid>
        <w:gridCol w:w="4230"/>
        <w:gridCol w:w="468"/>
        <w:gridCol w:w="4032"/>
      </w:tblGrid>
      <w:tr w14:paraId="30648621" w14:textId="77777777" w:rsidTr="00FE0412">
        <w:tblPrEx>
          <w:tblW w:w="8730" w:type="dxa"/>
          <w:tblLook w:val="01E0"/>
        </w:tblPrEx>
        <w:trPr>
          <w:trHeight w:val="807"/>
        </w:trPr>
        <w:tc>
          <w:tcPr>
            <w:tcW w:w="4230" w:type="dxa"/>
            <w:shd w:val="clear" w:color="auto" w:fill="auto"/>
          </w:tcPr>
          <w:p w:rsidR="00ED120B" w:rsidRPr="000B1CB4" w:rsidP="00FE0412" w14:paraId="1B816B49"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 xml:space="preserve">In the Matter of the Commission’s </w:t>
            </w:r>
          </w:p>
          <w:p w:rsidR="00ED120B" w:rsidRPr="000B1CB4" w:rsidP="00FE0412" w14:paraId="4EFD8637"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Investigation of RPA Energy, Inc.’s Compliance with the Ohio Administrative Code and Potential Remedial Actions for Non-Compliance</w:t>
            </w:r>
          </w:p>
          <w:p w:rsidR="00ED120B" w:rsidRPr="000B1CB4" w:rsidP="00FE0412" w14:paraId="6F12DCBF" w14:textId="77777777">
            <w:pPr>
              <w:pStyle w:val="HTMLPreformatted"/>
              <w:rPr>
                <w:rFonts w:ascii="Times New Roman" w:hAnsi="Times New Roman" w:cs="Times New Roman"/>
                <w:sz w:val="24"/>
                <w:szCs w:val="24"/>
              </w:rPr>
            </w:pPr>
          </w:p>
        </w:tc>
        <w:tc>
          <w:tcPr>
            <w:tcW w:w="468" w:type="dxa"/>
            <w:shd w:val="clear" w:color="auto" w:fill="auto"/>
          </w:tcPr>
          <w:p w:rsidR="00ED120B" w:rsidRPr="000B1CB4" w:rsidP="00FE0412" w14:paraId="41AB7363"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ED120B" w:rsidRPr="000B1CB4" w:rsidP="00FE0412" w14:paraId="69767B4C"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ED120B" w:rsidRPr="000B1CB4" w:rsidP="00FE0412" w14:paraId="016506C1"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ED120B" w:rsidRPr="000B1CB4" w:rsidP="00FE0412" w14:paraId="1BC0BC0F"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ED120B" w:rsidRPr="000B1CB4" w:rsidP="00FE0412" w14:paraId="4BFB49CA"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ED120B" w:rsidRPr="000B1CB4" w:rsidP="00FE0412" w14:paraId="024AB486" w14:textId="77777777">
            <w:pPr>
              <w:pStyle w:val="HTMLPreformatted"/>
              <w:rPr>
                <w:rFonts w:ascii="Times New Roman" w:hAnsi="Times New Roman" w:cs="Times New Roman"/>
                <w:sz w:val="24"/>
                <w:szCs w:val="24"/>
              </w:rPr>
            </w:pPr>
          </w:p>
        </w:tc>
        <w:tc>
          <w:tcPr>
            <w:tcW w:w="4032" w:type="dxa"/>
            <w:shd w:val="clear" w:color="auto" w:fill="auto"/>
          </w:tcPr>
          <w:p w:rsidR="00ED120B" w:rsidRPr="000B1CB4" w:rsidP="00FE0412" w14:paraId="06FC244B" w14:textId="77777777">
            <w:pPr>
              <w:pStyle w:val="HTMLPreformatted"/>
              <w:rPr>
                <w:rFonts w:ascii="Times New Roman" w:hAnsi="Times New Roman" w:cs="Times New Roman"/>
                <w:sz w:val="24"/>
                <w:szCs w:val="24"/>
              </w:rPr>
            </w:pPr>
          </w:p>
          <w:p w:rsidR="00ED120B" w:rsidRPr="000B1CB4" w:rsidP="00FE0412" w14:paraId="1208F9CA" w14:textId="77777777">
            <w:pPr>
              <w:pStyle w:val="HTMLPreformatted"/>
              <w:rPr>
                <w:rFonts w:ascii="Times New Roman" w:hAnsi="Times New Roman" w:cs="Times New Roman"/>
                <w:sz w:val="24"/>
                <w:szCs w:val="24"/>
              </w:rPr>
            </w:pPr>
          </w:p>
          <w:p w:rsidR="00ED120B" w:rsidRPr="000B1CB4" w:rsidP="00FE0412" w14:paraId="7D6368C0"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Case No. 22-441-GE-COI</w:t>
            </w:r>
          </w:p>
          <w:p w:rsidR="00ED120B" w:rsidRPr="000B1CB4" w:rsidP="00FE0412" w14:paraId="69B68F69" w14:textId="77777777">
            <w:pPr>
              <w:pStyle w:val="HTMLPreformatted"/>
              <w:rPr>
                <w:rFonts w:ascii="Times New Roman" w:hAnsi="Times New Roman" w:cs="Times New Roman"/>
                <w:sz w:val="24"/>
                <w:szCs w:val="24"/>
              </w:rPr>
            </w:pPr>
          </w:p>
          <w:p w:rsidR="00ED120B" w:rsidRPr="000B1CB4" w:rsidP="00FE0412" w14:paraId="1BA8A8E8" w14:textId="77777777">
            <w:pPr>
              <w:pStyle w:val="HTMLPreformatted"/>
              <w:rPr>
                <w:rFonts w:ascii="Times New Roman" w:hAnsi="Times New Roman" w:cs="Times New Roman"/>
                <w:sz w:val="24"/>
                <w:szCs w:val="24"/>
              </w:rPr>
            </w:pPr>
          </w:p>
        </w:tc>
      </w:tr>
    </w:tbl>
    <w:p w:rsidR="00ED120B" w:rsidRPr="000B1CB4" w:rsidP="00ED120B" w14:paraId="1B7A5C29" w14:textId="77777777">
      <w:pPr>
        <w:pStyle w:val="HTMLPreformatted"/>
        <w:pBdr>
          <w:top w:val="single" w:sz="12" w:space="1" w:color="auto"/>
        </w:pBdr>
        <w:rPr>
          <w:rFonts w:ascii="Times New Roman" w:hAnsi="Times New Roman" w:cs="Times New Roman"/>
          <w:sz w:val="24"/>
          <w:szCs w:val="24"/>
        </w:rPr>
      </w:pPr>
    </w:p>
    <w:p w:rsidR="00ED120B" w:rsidRPr="000B1CB4" w:rsidP="00475A03" w14:paraId="492FEBA0" w14:textId="0E36EE5D">
      <w:pPr>
        <w:jc w:val="center"/>
        <w:rPr>
          <w:b/>
          <w:bCs/>
          <w:szCs w:val="24"/>
        </w:rPr>
      </w:pPr>
      <w:r>
        <w:rPr>
          <w:b/>
          <w:bCs/>
          <w:szCs w:val="24"/>
        </w:rPr>
        <w:t xml:space="preserve">INITIAL BRIEF </w:t>
      </w:r>
      <w:r w:rsidRPr="000B1CB4" w:rsidR="00562DA9">
        <w:rPr>
          <w:b/>
          <w:bCs/>
          <w:szCs w:val="24"/>
        </w:rPr>
        <w:t>TO PROTECT CONSUMERS</w:t>
      </w:r>
    </w:p>
    <w:p w:rsidR="00ED120B" w:rsidRPr="000B1CB4" w:rsidP="00ED120B" w14:paraId="4E6F2C72" w14:textId="77777777">
      <w:pPr>
        <w:jc w:val="center"/>
        <w:rPr>
          <w:b/>
          <w:bCs/>
          <w:szCs w:val="24"/>
        </w:rPr>
      </w:pPr>
      <w:r w:rsidRPr="000B1CB4">
        <w:rPr>
          <w:b/>
          <w:bCs/>
          <w:szCs w:val="24"/>
        </w:rPr>
        <w:t>BY</w:t>
      </w:r>
    </w:p>
    <w:p w:rsidR="00ED120B" w:rsidRPr="000B1CB4" w:rsidP="00ED120B" w14:paraId="1A08EAA8" w14:textId="77777777">
      <w:pPr>
        <w:jc w:val="center"/>
        <w:rPr>
          <w:b/>
          <w:bCs/>
          <w:szCs w:val="24"/>
        </w:rPr>
      </w:pPr>
      <w:r w:rsidRPr="000B1CB4">
        <w:rPr>
          <w:b/>
          <w:bCs/>
          <w:szCs w:val="24"/>
        </w:rPr>
        <w:t>OFFICE OF THE OHIO CONSUMERS’ COUNSEL</w:t>
      </w:r>
    </w:p>
    <w:p w:rsidR="00ED120B" w:rsidRPr="000B1CB4" w:rsidP="00ED120B" w14:paraId="631EEF51" w14:textId="77777777">
      <w:pPr>
        <w:pBdr>
          <w:bottom w:val="single" w:sz="12" w:space="1" w:color="auto"/>
        </w:pBdr>
        <w:tabs>
          <w:tab w:val="left" w:pos="4320"/>
        </w:tabs>
        <w:rPr>
          <w:szCs w:val="24"/>
        </w:rPr>
      </w:pPr>
    </w:p>
    <w:p w:rsidR="00ED120B" w:rsidRPr="000B1CB4" w14:paraId="7EBFD6CE" w14:textId="5362591C">
      <w:pPr>
        <w:pStyle w:val="HTMLPreformatted"/>
        <w:jc w:val="center"/>
        <w:rPr>
          <w:rFonts w:ascii="Times New Roman" w:hAnsi="Times New Roman" w:cs="Times New Roman"/>
          <w:b/>
          <w:bCs/>
          <w:sz w:val="24"/>
          <w:szCs w:val="24"/>
        </w:rPr>
      </w:pPr>
    </w:p>
    <w:p w:rsidR="004629B7" w:rsidRPr="000B1CB4" w14:paraId="7F015CF6" w14:textId="77777777">
      <w:pPr>
        <w:pStyle w:val="HTMLPreformatted"/>
        <w:jc w:val="center"/>
        <w:rPr>
          <w:rFonts w:ascii="Times New Roman" w:hAnsi="Times New Roman" w:cs="Times New Roman"/>
          <w:b/>
          <w:bCs/>
          <w:sz w:val="24"/>
          <w:szCs w:val="24"/>
        </w:rPr>
      </w:pPr>
    </w:p>
    <w:p w:rsidR="004629B7" w:rsidRPr="000B1CB4" w:rsidP="004629B7" w14:paraId="1C18792C" w14:textId="77777777">
      <w:pPr>
        <w:rPr>
          <w:szCs w:val="24"/>
        </w:rPr>
      </w:pPr>
      <w:r w:rsidRPr="000B1CB4">
        <w:rPr>
          <w:szCs w:val="24"/>
        </w:rPr>
        <w:tab/>
      </w:r>
      <w:r w:rsidRPr="000B1CB4">
        <w:rPr>
          <w:szCs w:val="24"/>
        </w:rPr>
        <w:tab/>
      </w:r>
      <w:r w:rsidRPr="000B1CB4">
        <w:rPr>
          <w:szCs w:val="24"/>
        </w:rPr>
        <w:tab/>
      </w:r>
      <w:r w:rsidRPr="000B1CB4">
        <w:rPr>
          <w:szCs w:val="24"/>
        </w:rPr>
        <w:tab/>
      </w:r>
      <w:r w:rsidRPr="000B1CB4">
        <w:rPr>
          <w:szCs w:val="24"/>
        </w:rPr>
        <w:tab/>
      </w:r>
      <w:r w:rsidRPr="000B1CB4">
        <w:rPr>
          <w:szCs w:val="24"/>
        </w:rPr>
        <w:tab/>
        <w:t>Bruce Weston (0016973)</w:t>
      </w:r>
    </w:p>
    <w:p w:rsidR="004629B7" w:rsidRPr="000B1CB4" w:rsidP="004629B7" w14:paraId="71ED5091" w14:textId="77777777">
      <w:pPr>
        <w:tabs>
          <w:tab w:val="left" w:pos="4320"/>
        </w:tabs>
        <w:ind w:left="4320" w:hanging="450"/>
        <w:rPr>
          <w:szCs w:val="24"/>
        </w:rPr>
      </w:pPr>
      <w:r w:rsidRPr="000B1CB4">
        <w:rPr>
          <w:szCs w:val="24"/>
        </w:rPr>
        <w:tab/>
        <w:t>Ohio Consumers’ Counsel</w:t>
      </w:r>
    </w:p>
    <w:p w:rsidR="004629B7" w:rsidRPr="000B1CB4" w:rsidP="004629B7" w14:paraId="74E03616" w14:textId="21F46995">
      <w:pPr>
        <w:tabs>
          <w:tab w:val="left" w:pos="4320"/>
        </w:tabs>
        <w:rPr>
          <w:i/>
          <w:iCs/>
          <w:szCs w:val="24"/>
          <w:u w:val="single"/>
        </w:rPr>
      </w:pPr>
    </w:p>
    <w:p w:rsidR="004629B7" w:rsidRPr="000B1CB4" w:rsidP="004629B7" w14:paraId="5887E95E" w14:textId="77777777">
      <w:pPr>
        <w:tabs>
          <w:tab w:val="left" w:pos="4320"/>
        </w:tabs>
        <w:ind w:left="4320"/>
        <w:rPr>
          <w:szCs w:val="24"/>
        </w:rPr>
      </w:pPr>
      <w:r w:rsidRPr="000B1CB4">
        <w:rPr>
          <w:szCs w:val="24"/>
        </w:rPr>
        <w:t>Angela D. O’Brien (0097579)</w:t>
      </w:r>
    </w:p>
    <w:p w:rsidR="004629B7" w:rsidRPr="000B1CB4" w:rsidP="004629B7" w14:paraId="7110B341" w14:textId="77777777">
      <w:pPr>
        <w:tabs>
          <w:tab w:val="left" w:pos="4320"/>
        </w:tabs>
        <w:ind w:left="4320"/>
        <w:rPr>
          <w:szCs w:val="24"/>
        </w:rPr>
      </w:pPr>
      <w:r w:rsidRPr="000B1CB4">
        <w:rPr>
          <w:szCs w:val="24"/>
        </w:rPr>
        <w:t>Counsel of Record</w:t>
      </w:r>
    </w:p>
    <w:p w:rsidR="004629B7" w:rsidRPr="000B1CB4" w:rsidP="004629B7" w14:paraId="28B9CB56" w14:textId="77777777">
      <w:pPr>
        <w:tabs>
          <w:tab w:val="left" w:pos="3870"/>
          <w:tab w:val="left" w:pos="4320"/>
        </w:tabs>
        <w:ind w:left="4320"/>
        <w:rPr>
          <w:szCs w:val="24"/>
        </w:rPr>
      </w:pPr>
      <w:r w:rsidRPr="000B1CB4">
        <w:rPr>
          <w:szCs w:val="24"/>
        </w:rPr>
        <w:t>Ambrosia Wilson (0096598)</w:t>
      </w:r>
    </w:p>
    <w:p w:rsidR="004629B7" w:rsidRPr="000B1CB4" w:rsidP="004629B7" w14:paraId="7ABA6C7E" w14:textId="77777777">
      <w:pPr>
        <w:tabs>
          <w:tab w:val="left" w:pos="3870"/>
          <w:tab w:val="left" w:pos="4320"/>
        </w:tabs>
        <w:ind w:left="4320"/>
        <w:rPr>
          <w:szCs w:val="24"/>
        </w:rPr>
      </w:pPr>
      <w:r w:rsidRPr="000B1CB4">
        <w:rPr>
          <w:szCs w:val="24"/>
        </w:rPr>
        <w:t>Assistant Consumers’ Counsel</w:t>
      </w:r>
    </w:p>
    <w:p w:rsidR="004629B7" w:rsidRPr="000B1CB4" w:rsidP="004629B7" w14:paraId="5CE11E33" w14:textId="77777777">
      <w:pPr>
        <w:tabs>
          <w:tab w:val="left" w:pos="3870"/>
          <w:tab w:val="left" w:pos="4320"/>
        </w:tabs>
        <w:ind w:left="4320"/>
        <w:rPr>
          <w:szCs w:val="24"/>
        </w:rPr>
      </w:pPr>
    </w:p>
    <w:p w:rsidR="004629B7" w:rsidRPr="000B1CB4" w:rsidP="004629B7" w14:paraId="43507141" w14:textId="77777777">
      <w:pPr>
        <w:ind w:left="4320"/>
        <w:rPr>
          <w:b/>
          <w:bCs/>
          <w:szCs w:val="24"/>
        </w:rPr>
      </w:pPr>
      <w:r w:rsidRPr="000B1CB4">
        <w:rPr>
          <w:b/>
          <w:bCs/>
          <w:szCs w:val="24"/>
        </w:rPr>
        <w:t>Office of the Ohio Consumers' Counsel</w:t>
      </w:r>
    </w:p>
    <w:p w:rsidR="004629B7" w:rsidRPr="000B1CB4" w:rsidP="004629B7" w14:paraId="0015A595" w14:textId="77777777">
      <w:pPr>
        <w:ind w:left="4320"/>
        <w:rPr>
          <w:szCs w:val="24"/>
        </w:rPr>
      </w:pPr>
      <w:r w:rsidRPr="000B1CB4">
        <w:rPr>
          <w:szCs w:val="24"/>
        </w:rPr>
        <w:t>65 East State Street, Suite 700</w:t>
      </w:r>
    </w:p>
    <w:p w:rsidR="004629B7" w:rsidRPr="000B1CB4" w:rsidP="004629B7" w14:paraId="597DE5DF" w14:textId="77777777">
      <w:pPr>
        <w:ind w:left="4320"/>
        <w:rPr>
          <w:szCs w:val="24"/>
        </w:rPr>
      </w:pPr>
      <w:r w:rsidRPr="000B1CB4">
        <w:rPr>
          <w:szCs w:val="24"/>
        </w:rPr>
        <w:t>Columbus, Ohio 43215</w:t>
      </w:r>
    </w:p>
    <w:p w:rsidR="004629B7" w:rsidRPr="000B1CB4" w:rsidP="004629B7" w14:paraId="4DE88450" w14:textId="77777777">
      <w:pPr>
        <w:autoSpaceDE w:val="0"/>
        <w:autoSpaceDN w:val="0"/>
        <w:adjustRightInd w:val="0"/>
        <w:ind w:left="4320"/>
        <w:rPr>
          <w:szCs w:val="24"/>
        </w:rPr>
      </w:pPr>
      <w:r w:rsidRPr="000B1CB4">
        <w:rPr>
          <w:szCs w:val="24"/>
        </w:rPr>
        <w:t>Telephone: [O’Brien]: (614) 466-9531</w:t>
      </w:r>
    </w:p>
    <w:p w:rsidR="004629B7" w:rsidRPr="000B1CB4" w:rsidP="004629B7" w14:paraId="6C28D28B" w14:textId="77777777">
      <w:pPr>
        <w:pStyle w:val="ListParagraph"/>
        <w:autoSpaceDE w:val="0"/>
        <w:autoSpaceDN w:val="0"/>
        <w:adjustRightInd w:val="0"/>
        <w:ind w:left="3600" w:firstLine="720"/>
      </w:pPr>
      <w:r w:rsidRPr="000B1CB4">
        <w:t>Telephone [Wilson]: (614) 466-1292</w:t>
      </w:r>
    </w:p>
    <w:p w:rsidR="004629B7" w:rsidRPr="000B1CB4" w:rsidP="004629B7" w14:paraId="75220465" w14:textId="77777777">
      <w:pPr>
        <w:ind w:left="4320"/>
        <w:rPr>
          <w:szCs w:val="24"/>
        </w:rPr>
      </w:pPr>
      <w:hyperlink r:id="rId6" w:history="1">
        <w:r w:rsidRPr="000B1CB4" w:rsidR="00562DA9">
          <w:rPr>
            <w:rStyle w:val="Hyperlink"/>
            <w:szCs w:val="24"/>
          </w:rPr>
          <w:t>angela.obrien@occ.ohio.gov</w:t>
        </w:r>
      </w:hyperlink>
    </w:p>
    <w:p w:rsidR="004629B7" w:rsidRPr="000B1CB4" w:rsidP="004629B7" w14:paraId="350F9818" w14:textId="77777777">
      <w:pPr>
        <w:pStyle w:val="ListParagraph"/>
        <w:autoSpaceDE w:val="0"/>
        <w:autoSpaceDN w:val="0"/>
        <w:adjustRightInd w:val="0"/>
        <w:ind w:left="3600" w:firstLine="720"/>
        <w:rPr>
          <w:rStyle w:val="Hyperlink"/>
        </w:rPr>
      </w:pPr>
      <w:hyperlink r:id="rId7" w:history="1">
        <w:r w:rsidRPr="000B1CB4" w:rsidR="00562DA9">
          <w:rPr>
            <w:rStyle w:val="Hyperlink"/>
          </w:rPr>
          <w:t>ambrosia.wilson@occ.ohio.gov</w:t>
        </w:r>
      </w:hyperlink>
      <w:r w:rsidRPr="000B1CB4" w:rsidR="00562DA9">
        <w:tab/>
      </w:r>
    </w:p>
    <w:p w:rsidR="004629B7" w:rsidRPr="000B1CB4" w:rsidP="004629B7" w14:paraId="324A9EDF" w14:textId="063E53FA">
      <w:pPr>
        <w:ind w:left="4320" w:hanging="4320"/>
        <w:rPr>
          <w:szCs w:val="24"/>
        </w:rPr>
      </w:pPr>
      <w:r>
        <w:rPr>
          <w:szCs w:val="24"/>
        </w:rPr>
        <w:t xml:space="preserve">January </w:t>
      </w:r>
      <w:r w:rsidR="00EC6282">
        <w:rPr>
          <w:szCs w:val="24"/>
        </w:rPr>
        <w:t>6</w:t>
      </w:r>
      <w:r w:rsidRPr="000B1CB4" w:rsidR="00562DA9">
        <w:rPr>
          <w:szCs w:val="24"/>
        </w:rPr>
        <w:t>, 202</w:t>
      </w:r>
      <w:r w:rsidR="00FF15A1">
        <w:rPr>
          <w:szCs w:val="24"/>
        </w:rPr>
        <w:t>3</w:t>
      </w:r>
      <w:r w:rsidRPr="000B1CB4" w:rsidR="00562DA9">
        <w:rPr>
          <w:szCs w:val="24"/>
        </w:rPr>
        <w:tab/>
        <w:t>(willing to accept service by e-mail)</w:t>
      </w:r>
    </w:p>
    <w:p w:rsidR="00700A8A" w:rsidRPr="000B1CB4" w:rsidP="00700A8A" w14:paraId="51E5461B" w14:textId="77777777">
      <w:pPr>
        <w:rPr>
          <w:szCs w:val="24"/>
        </w:rPr>
      </w:pPr>
    </w:p>
    <w:p w:rsidR="00700A8A" w:rsidRPr="000B1CB4" w:rsidP="00700A8A" w14:paraId="3FC7A428" w14:textId="1B62577F">
      <w:pPr>
        <w:tabs>
          <w:tab w:val="left" w:pos="1630"/>
        </w:tabs>
        <w:rPr>
          <w:rFonts w:eastAsia="Courier New"/>
          <w:b/>
          <w:bCs/>
          <w:szCs w:val="24"/>
        </w:rPr>
      </w:pPr>
    </w:p>
    <w:p w:rsidR="00D12276" w:rsidRPr="000B1CB4" w:rsidP="00700A8A" w14:paraId="3F158238" w14:textId="77777777">
      <w:pPr>
        <w:tabs>
          <w:tab w:val="left" w:pos="1630"/>
        </w:tabs>
        <w:rPr>
          <w:szCs w:val="24"/>
        </w:rPr>
        <w:sectPr w:rsidSect="00DB56AA">
          <w:footerReference w:type="default" r:id="rId8"/>
          <w:footerReference w:type="first" r:id="rId9"/>
          <w:pgSz w:w="12240" w:h="15840"/>
          <w:pgMar w:top="1440" w:right="1800" w:bottom="1440" w:left="1800" w:header="720" w:footer="720" w:gutter="0"/>
          <w:cols w:space="720"/>
          <w:titlePg/>
          <w:docGrid w:linePitch="65"/>
        </w:sectPr>
      </w:pPr>
      <w:r w:rsidRPr="000B1CB4">
        <w:rPr>
          <w:szCs w:val="24"/>
        </w:rPr>
        <w:tab/>
      </w:r>
    </w:p>
    <w:p w:rsidR="00BA685C" w:rsidRPr="000B1CB4" w:rsidP="00BA685C" w14:paraId="2135DC30" w14:textId="77777777">
      <w:pPr>
        <w:jc w:val="center"/>
        <w:rPr>
          <w:b/>
          <w:caps/>
          <w:szCs w:val="24"/>
          <w:u w:val="single"/>
          <w:lang w:eastAsia="ja-JP"/>
        </w:rPr>
      </w:pPr>
      <w:r w:rsidRPr="000B1CB4">
        <w:rPr>
          <w:b/>
          <w:caps/>
          <w:szCs w:val="24"/>
          <w:u w:val="single"/>
          <w:lang w:eastAsia="ja-JP"/>
        </w:rPr>
        <w:t>TABLE OF CONTENTS</w:t>
      </w:r>
    </w:p>
    <w:p w:rsidR="00BA685C" w:rsidRPr="000B1CB4" w:rsidP="00BA685C" w14:paraId="2A4CDB41" w14:textId="77777777">
      <w:pPr>
        <w:jc w:val="right"/>
        <w:rPr>
          <w:b/>
          <w:caps/>
          <w:szCs w:val="24"/>
          <w:lang w:eastAsia="ja-JP"/>
        </w:rPr>
      </w:pPr>
      <w:r w:rsidRPr="000B1CB4">
        <w:rPr>
          <w:b/>
          <w:caps/>
          <w:szCs w:val="24"/>
          <w:lang w:eastAsia="ja-JP"/>
        </w:rPr>
        <w:t>PAGE</w:t>
      </w:r>
    </w:p>
    <w:p w:rsidR="00BA685C" w:rsidRPr="000B1CB4" w:rsidP="00BA685C" w14:paraId="618420D5" w14:textId="77777777">
      <w:pPr>
        <w:rPr>
          <w:szCs w:val="24"/>
        </w:rPr>
      </w:pPr>
    </w:p>
    <w:p w:rsidR="002951DF" w14:paraId="1B83659C" w14:textId="6B882D8C">
      <w:pPr>
        <w:pStyle w:val="TOC1"/>
        <w:rPr>
          <w:rFonts w:asciiTheme="minorHAnsi" w:eastAsiaTheme="minorEastAsia" w:hAnsiTheme="minorHAnsi" w:cstheme="minorBidi"/>
          <w:noProof/>
          <w:sz w:val="22"/>
          <w:szCs w:val="22"/>
        </w:rPr>
      </w:pPr>
      <w:r>
        <w:rPr>
          <w:szCs w:val="24"/>
        </w:rPr>
        <w:fldChar w:fldCharType="begin"/>
      </w:r>
      <w:r>
        <w:rPr>
          <w:szCs w:val="24"/>
        </w:rPr>
        <w:instrText xml:space="preserve"> TOC \o "1-3" \h \z \u </w:instrText>
      </w:r>
      <w:r>
        <w:rPr>
          <w:szCs w:val="24"/>
        </w:rPr>
        <w:fldChar w:fldCharType="separate"/>
      </w:r>
      <w:hyperlink w:anchor="_Toc123892011" w:history="1">
        <w:r w:rsidRPr="008E0F2E">
          <w:rPr>
            <w:rStyle w:val="Hyperlink"/>
            <w:noProof/>
          </w:rPr>
          <w:t>I.</w:t>
        </w:r>
        <w:r>
          <w:rPr>
            <w:rFonts w:asciiTheme="minorHAnsi" w:eastAsiaTheme="minorEastAsia" w:hAnsiTheme="minorHAnsi" w:cstheme="minorBidi"/>
            <w:noProof/>
            <w:sz w:val="22"/>
            <w:szCs w:val="22"/>
          </w:rPr>
          <w:tab/>
        </w:r>
        <w:r w:rsidRPr="008E0F2E">
          <w:rPr>
            <w:rStyle w:val="Hyperlink"/>
            <w:noProof/>
          </w:rPr>
          <w:t>INTRODUCTION</w:t>
        </w:r>
        <w:r>
          <w:rPr>
            <w:noProof/>
            <w:webHidden/>
          </w:rPr>
          <w:tab/>
        </w:r>
        <w:r>
          <w:rPr>
            <w:noProof/>
            <w:webHidden/>
          </w:rPr>
          <w:fldChar w:fldCharType="begin"/>
        </w:r>
        <w:r>
          <w:rPr>
            <w:noProof/>
            <w:webHidden/>
          </w:rPr>
          <w:instrText xml:space="preserve"> PAGEREF _Toc123892011 \h </w:instrText>
        </w:r>
        <w:r>
          <w:rPr>
            <w:noProof/>
            <w:webHidden/>
          </w:rPr>
          <w:fldChar w:fldCharType="separate"/>
        </w:r>
        <w:r>
          <w:rPr>
            <w:noProof/>
            <w:webHidden/>
          </w:rPr>
          <w:t>1</w:t>
        </w:r>
        <w:r>
          <w:rPr>
            <w:noProof/>
            <w:webHidden/>
          </w:rPr>
          <w:fldChar w:fldCharType="end"/>
        </w:r>
      </w:hyperlink>
    </w:p>
    <w:p w:rsidR="002951DF" w14:paraId="1ADDD5C9" w14:textId="5916FF33">
      <w:pPr>
        <w:pStyle w:val="TOC1"/>
        <w:rPr>
          <w:rFonts w:asciiTheme="minorHAnsi" w:eastAsiaTheme="minorEastAsia" w:hAnsiTheme="minorHAnsi" w:cstheme="minorBidi"/>
          <w:noProof/>
          <w:sz w:val="22"/>
          <w:szCs w:val="22"/>
        </w:rPr>
      </w:pPr>
      <w:hyperlink w:anchor="_Toc123892012" w:history="1">
        <w:r w:rsidRPr="008E0F2E">
          <w:rPr>
            <w:rStyle w:val="Hyperlink"/>
            <w:noProof/>
          </w:rPr>
          <w:t>II.</w:t>
        </w:r>
        <w:r>
          <w:rPr>
            <w:rFonts w:asciiTheme="minorHAnsi" w:eastAsiaTheme="minorEastAsia" w:hAnsiTheme="minorHAnsi" w:cstheme="minorBidi"/>
            <w:noProof/>
            <w:sz w:val="22"/>
            <w:szCs w:val="22"/>
          </w:rPr>
          <w:tab/>
        </w:r>
        <w:r w:rsidRPr="008E0F2E">
          <w:rPr>
            <w:rStyle w:val="Hyperlink"/>
            <w:noProof/>
          </w:rPr>
          <w:t>STANDARD OF REVIEW</w:t>
        </w:r>
        <w:r>
          <w:rPr>
            <w:noProof/>
            <w:webHidden/>
          </w:rPr>
          <w:tab/>
        </w:r>
        <w:r>
          <w:rPr>
            <w:noProof/>
            <w:webHidden/>
          </w:rPr>
          <w:fldChar w:fldCharType="begin"/>
        </w:r>
        <w:r>
          <w:rPr>
            <w:noProof/>
            <w:webHidden/>
          </w:rPr>
          <w:instrText xml:space="preserve"> PAGEREF _Toc123892012 \h </w:instrText>
        </w:r>
        <w:r>
          <w:rPr>
            <w:noProof/>
            <w:webHidden/>
          </w:rPr>
          <w:fldChar w:fldCharType="separate"/>
        </w:r>
        <w:r>
          <w:rPr>
            <w:noProof/>
            <w:webHidden/>
          </w:rPr>
          <w:t>2</w:t>
        </w:r>
        <w:r>
          <w:rPr>
            <w:noProof/>
            <w:webHidden/>
          </w:rPr>
          <w:fldChar w:fldCharType="end"/>
        </w:r>
      </w:hyperlink>
    </w:p>
    <w:p w:rsidR="002951DF" w14:paraId="4B5F37C4" w14:textId="1690F976">
      <w:pPr>
        <w:pStyle w:val="TOC1"/>
        <w:rPr>
          <w:rFonts w:asciiTheme="minorHAnsi" w:eastAsiaTheme="minorEastAsia" w:hAnsiTheme="minorHAnsi" w:cstheme="minorBidi"/>
          <w:noProof/>
          <w:sz w:val="22"/>
          <w:szCs w:val="22"/>
        </w:rPr>
      </w:pPr>
      <w:hyperlink w:anchor="_Toc123892013" w:history="1">
        <w:r w:rsidRPr="008E0F2E">
          <w:rPr>
            <w:rStyle w:val="Hyperlink"/>
            <w:noProof/>
          </w:rPr>
          <w:t>III.</w:t>
        </w:r>
        <w:r>
          <w:rPr>
            <w:rFonts w:asciiTheme="minorHAnsi" w:eastAsiaTheme="minorEastAsia" w:hAnsiTheme="minorHAnsi" w:cstheme="minorBidi"/>
            <w:noProof/>
            <w:sz w:val="22"/>
            <w:szCs w:val="22"/>
          </w:rPr>
          <w:tab/>
        </w:r>
        <w:r w:rsidRPr="008E0F2E">
          <w:rPr>
            <w:rStyle w:val="Hyperlink"/>
            <w:noProof/>
          </w:rPr>
          <w:t>ARGUMENT</w:t>
        </w:r>
        <w:r>
          <w:rPr>
            <w:noProof/>
            <w:webHidden/>
          </w:rPr>
          <w:tab/>
        </w:r>
        <w:r>
          <w:rPr>
            <w:noProof/>
            <w:webHidden/>
          </w:rPr>
          <w:fldChar w:fldCharType="begin"/>
        </w:r>
        <w:r>
          <w:rPr>
            <w:noProof/>
            <w:webHidden/>
          </w:rPr>
          <w:instrText xml:space="preserve"> PAGEREF _Toc123892013 \h </w:instrText>
        </w:r>
        <w:r>
          <w:rPr>
            <w:noProof/>
            <w:webHidden/>
          </w:rPr>
          <w:fldChar w:fldCharType="separate"/>
        </w:r>
        <w:r>
          <w:rPr>
            <w:noProof/>
            <w:webHidden/>
          </w:rPr>
          <w:t>3</w:t>
        </w:r>
        <w:r>
          <w:rPr>
            <w:noProof/>
            <w:webHidden/>
          </w:rPr>
          <w:fldChar w:fldCharType="end"/>
        </w:r>
      </w:hyperlink>
    </w:p>
    <w:p w:rsidR="002951DF" w14:paraId="1EEB3970" w14:textId="6B1244D9">
      <w:pPr>
        <w:pStyle w:val="TOC2"/>
        <w:tabs>
          <w:tab w:val="left" w:pos="1440"/>
          <w:tab w:val="right" w:leader="dot" w:pos="8630"/>
        </w:tabs>
        <w:rPr>
          <w:rFonts w:asciiTheme="minorHAnsi" w:eastAsiaTheme="minorEastAsia" w:hAnsiTheme="minorHAnsi" w:cstheme="minorBidi"/>
          <w:noProof/>
          <w:sz w:val="22"/>
          <w:szCs w:val="22"/>
        </w:rPr>
      </w:pPr>
      <w:hyperlink w:anchor="_Toc123892014" w:history="1">
        <w:r w:rsidRPr="008E0F2E">
          <w:rPr>
            <w:rStyle w:val="Hyperlink"/>
            <w:bCs/>
            <w:noProof/>
            <w:lang w:bidi="en-US"/>
          </w:rPr>
          <w:t>A.</w:t>
        </w:r>
        <w:r>
          <w:rPr>
            <w:rFonts w:asciiTheme="minorHAnsi" w:eastAsiaTheme="minorEastAsia" w:hAnsiTheme="minorHAnsi" w:cstheme="minorBidi"/>
            <w:noProof/>
            <w:sz w:val="22"/>
            <w:szCs w:val="22"/>
          </w:rPr>
          <w:tab/>
        </w:r>
        <w:r w:rsidRPr="008E0F2E">
          <w:rPr>
            <w:rStyle w:val="Hyperlink"/>
            <w:noProof/>
            <w:lang w:bidi="en-US"/>
          </w:rPr>
          <w:t xml:space="preserve">The Staff Report and evidence presented during the hearing </w:t>
        </w:r>
        <w:r>
          <w:rPr>
            <w:rStyle w:val="Hyperlink"/>
            <w:noProof/>
            <w:lang w:bidi="en-US"/>
          </w:rPr>
          <w:br/>
        </w:r>
        <w:r w:rsidRPr="008E0F2E">
          <w:rPr>
            <w:rStyle w:val="Hyperlink"/>
            <w:noProof/>
            <w:lang w:bidi="en-US"/>
          </w:rPr>
          <w:t xml:space="preserve">demonstrate that Green Choice engaged in misleading and deceptive </w:t>
        </w:r>
        <w:r>
          <w:rPr>
            <w:rStyle w:val="Hyperlink"/>
            <w:noProof/>
            <w:lang w:bidi="en-US"/>
          </w:rPr>
          <w:br/>
        </w:r>
        <w:r w:rsidRPr="008E0F2E">
          <w:rPr>
            <w:rStyle w:val="Hyperlink"/>
            <w:noProof/>
            <w:lang w:bidi="en-US"/>
          </w:rPr>
          <w:t xml:space="preserve">acts to market electric and natural gas service to Ohio consumers. </w:t>
        </w:r>
        <w:r>
          <w:rPr>
            <w:rStyle w:val="Hyperlink"/>
            <w:noProof/>
            <w:lang w:bidi="en-US"/>
          </w:rPr>
          <w:br/>
        </w:r>
        <w:r w:rsidRPr="008E0F2E">
          <w:rPr>
            <w:rStyle w:val="Hyperlink"/>
            <w:noProof/>
            <w:lang w:bidi="en-US"/>
          </w:rPr>
          <w:t xml:space="preserve">To protect consumers, Green Choice’s certificates should be </w:t>
        </w:r>
        <w:r>
          <w:rPr>
            <w:rStyle w:val="Hyperlink"/>
            <w:noProof/>
            <w:lang w:bidi="en-US"/>
          </w:rPr>
          <w:br/>
        </w:r>
        <w:r w:rsidRPr="008E0F2E">
          <w:rPr>
            <w:rStyle w:val="Hyperlink"/>
            <w:noProof/>
            <w:lang w:bidi="en-US"/>
          </w:rPr>
          <w:t>permanently rescinded.</w:t>
        </w:r>
        <w:r>
          <w:rPr>
            <w:noProof/>
            <w:webHidden/>
          </w:rPr>
          <w:tab/>
        </w:r>
        <w:r>
          <w:rPr>
            <w:noProof/>
            <w:webHidden/>
          </w:rPr>
          <w:fldChar w:fldCharType="begin"/>
        </w:r>
        <w:r>
          <w:rPr>
            <w:noProof/>
            <w:webHidden/>
          </w:rPr>
          <w:instrText xml:space="preserve"> PAGEREF _Toc123892014 \h </w:instrText>
        </w:r>
        <w:r>
          <w:rPr>
            <w:noProof/>
            <w:webHidden/>
          </w:rPr>
          <w:fldChar w:fldCharType="separate"/>
        </w:r>
        <w:r>
          <w:rPr>
            <w:noProof/>
            <w:webHidden/>
          </w:rPr>
          <w:t>3</w:t>
        </w:r>
        <w:r>
          <w:rPr>
            <w:noProof/>
            <w:webHidden/>
          </w:rPr>
          <w:fldChar w:fldCharType="end"/>
        </w:r>
      </w:hyperlink>
    </w:p>
    <w:p w:rsidR="002951DF" w14:paraId="4107525B" w14:textId="0376DBC0">
      <w:pPr>
        <w:pStyle w:val="TOC2"/>
        <w:tabs>
          <w:tab w:val="left" w:pos="1440"/>
          <w:tab w:val="right" w:leader="dot" w:pos="8630"/>
        </w:tabs>
        <w:rPr>
          <w:rFonts w:asciiTheme="minorHAnsi" w:eastAsiaTheme="minorEastAsia" w:hAnsiTheme="minorHAnsi" w:cstheme="minorBidi"/>
          <w:noProof/>
          <w:sz w:val="22"/>
          <w:szCs w:val="22"/>
        </w:rPr>
      </w:pPr>
      <w:hyperlink w:anchor="_Toc123892015" w:history="1">
        <w:r w:rsidRPr="008E0F2E">
          <w:rPr>
            <w:rStyle w:val="Hyperlink"/>
            <w:noProof/>
            <w:lang w:bidi="en-US"/>
          </w:rPr>
          <w:t>B.</w:t>
        </w:r>
        <w:r>
          <w:rPr>
            <w:rFonts w:asciiTheme="minorHAnsi" w:eastAsiaTheme="minorEastAsia" w:hAnsiTheme="minorHAnsi" w:cstheme="minorBidi"/>
            <w:noProof/>
            <w:sz w:val="22"/>
            <w:szCs w:val="22"/>
          </w:rPr>
          <w:tab/>
        </w:r>
        <w:r w:rsidRPr="008E0F2E">
          <w:rPr>
            <w:rStyle w:val="Hyperlink"/>
            <w:noProof/>
            <w:lang w:bidi="en-US"/>
          </w:rPr>
          <w:t xml:space="preserve">The evidence of Green Choice’s misleading and deceptive marketing practices demonstrates that Green Choice lacks the managerial </w:t>
        </w:r>
        <w:r>
          <w:rPr>
            <w:rStyle w:val="Hyperlink"/>
            <w:noProof/>
            <w:lang w:bidi="en-US"/>
          </w:rPr>
          <w:br/>
        </w:r>
        <w:r w:rsidRPr="008E0F2E">
          <w:rPr>
            <w:rStyle w:val="Hyperlink"/>
            <w:noProof/>
            <w:lang w:bidi="en-US"/>
          </w:rPr>
          <w:t xml:space="preserve">capabilities to market electric and natural gas service in Ohio. To </w:t>
        </w:r>
        <w:r>
          <w:rPr>
            <w:rStyle w:val="Hyperlink"/>
            <w:noProof/>
            <w:lang w:bidi="en-US"/>
          </w:rPr>
          <w:br/>
        </w:r>
        <w:r w:rsidRPr="008E0F2E">
          <w:rPr>
            <w:rStyle w:val="Hyperlink"/>
            <w:noProof/>
            <w:lang w:bidi="en-US"/>
          </w:rPr>
          <w:t>protect consumers, Green Choice’s certificates to market to Ohio consumers should be permanently rescinded.</w:t>
        </w:r>
        <w:r>
          <w:rPr>
            <w:noProof/>
            <w:webHidden/>
          </w:rPr>
          <w:tab/>
        </w:r>
        <w:r>
          <w:rPr>
            <w:noProof/>
            <w:webHidden/>
          </w:rPr>
          <w:fldChar w:fldCharType="begin"/>
        </w:r>
        <w:r>
          <w:rPr>
            <w:noProof/>
            <w:webHidden/>
          </w:rPr>
          <w:instrText xml:space="preserve"> PAGEREF _Toc123892015 \h </w:instrText>
        </w:r>
        <w:r>
          <w:rPr>
            <w:noProof/>
            <w:webHidden/>
          </w:rPr>
          <w:fldChar w:fldCharType="separate"/>
        </w:r>
        <w:r>
          <w:rPr>
            <w:noProof/>
            <w:webHidden/>
          </w:rPr>
          <w:t>12</w:t>
        </w:r>
        <w:r>
          <w:rPr>
            <w:noProof/>
            <w:webHidden/>
          </w:rPr>
          <w:fldChar w:fldCharType="end"/>
        </w:r>
      </w:hyperlink>
    </w:p>
    <w:p w:rsidR="002951DF" w14:paraId="50EF50A3" w14:textId="01D90B74">
      <w:pPr>
        <w:pStyle w:val="TOC2"/>
        <w:tabs>
          <w:tab w:val="left" w:pos="1440"/>
          <w:tab w:val="right" w:leader="dot" w:pos="8630"/>
        </w:tabs>
        <w:rPr>
          <w:rFonts w:asciiTheme="minorHAnsi" w:eastAsiaTheme="minorEastAsia" w:hAnsiTheme="minorHAnsi" w:cstheme="minorBidi"/>
          <w:noProof/>
          <w:sz w:val="22"/>
          <w:szCs w:val="22"/>
        </w:rPr>
      </w:pPr>
      <w:hyperlink w:anchor="_Toc123892016" w:history="1">
        <w:r w:rsidRPr="008E0F2E">
          <w:rPr>
            <w:rStyle w:val="Hyperlink"/>
            <w:noProof/>
            <w:lang w:bidi="en-US"/>
          </w:rPr>
          <w:t>C.</w:t>
        </w:r>
        <w:r>
          <w:rPr>
            <w:rFonts w:asciiTheme="minorHAnsi" w:eastAsiaTheme="minorEastAsia" w:hAnsiTheme="minorHAnsi" w:cstheme="minorBidi"/>
            <w:noProof/>
            <w:sz w:val="22"/>
            <w:szCs w:val="22"/>
          </w:rPr>
          <w:tab/>
        </w:r>
        <w:r w:rsidRPr="008E0F2E">
          <w:rPr>
            <w:rStyle w:val="Hyperlink"/>
            <w:noProof/>
            <w:lang w:bidi="en-US"/>
          </w:rPr>
          <w:t xml:space="preserve">Green Choice’s misleading and deceptive acts and lack of managerial capabilities are amplified by Green Choice’s refusal to cooperate </w:t>
        </w:r>
        <w:r>
          <w:rPr>
            <w:rStyle w:val="Hyperlink"/>
            <w:noProof/>
            <w:lang w:bidi="en-US"/>
          </w:rPr>
          <w:br/>
        </w:r>
        <w:r w:rsidRPr="008E0F2E">
          <w:rPr>
            <w:rStyle w:val="Hyperlink"/>
            <w:noProof/>
            <w:lang w:bidi="en-US"/>
          </w:rPr>
          <w:t>with the PUCO Staff and OCC regarding this investigation. To protect consumers, Green Choice’s certificates to market to Ohio consumers should be permanently rescinded.</w:t>
        </w:r>
        <w:r>
          <w:rPr>
            <w:noProof/>
            <w:webHidden/>
          </w:rPr>
          <w:tab/>
        </w:r>
        <w:r>
          <w:rPr>
            <w:noProof/>
            <w:webHidden/>
          </w:rPr>
          <w:fldChar w:fldCharType="begin"/>
        </w:r>
        <w:r>
          <w:rPr>
            <w:noProof/>
            <w:webHidden/>
          </w:rPr>
          <w:instrText xml:space="preserve"> PAGEREF _Toc123892016 \h </w:instrText>
        </w:r>
        <w:r>
          <w:rPr>
            <w:noProof/>
            <w:webHidden/>
          </w:rPr>
          <w:fldChar w:fldCharType="separate"/>
        </w:r>
        <w:r>
          <w:rPr>
            <w:noProof/>
            <w:webHidden/>
          </w:rPr>
          <w:t>15</w:t>
        </w:r>
        <w:r>
          <w:rPr>
            <w:noProof/>
            <w:webHidden/>
          </w:rPr>
          <w:fldChar w:fldCharType="end"/>
        </w:r>
      </w:hyperlink>
    </w:p>
    <w:p w:rsidR="002951DF" w14:paraId="07F5666B" w14:textId="7B774487">
      <w:pPr>
        <w:pStyle w:val="TOC2"/>
        <w:tabs>
          <w:tab w:val="left" w:pos="1440"/>
          <w:tab w:val="right" w:leader="dot" w:pos="8630"/>
        </w:tabs>
        <w:rPr>
          <w:rFonts w:asciiTheme="minorHAnsi" w:eastAsiaTheme="minorEastAsia" w:hAnsiTheme="minorHAnsi" w:cstheme="minorBidi"/>
          <w:noProof/>
          <w:sz w:val="22"/>
          <w:szCs w:val="22"/>
        </w:rPr>
      </w:pPr>
      <w:hyperlink w:anchor="_Toc123892017" w:history="1">
        <w:r w:rsidRPr="008E0F2E">
          <w:rPr>
            <w:rStyle w:val="Hyperlink"/>
            <w:noProof/>
            <w:lang w:bidi="en-US"/>
          </w:rPr>
          <w:t>D.</w:t>
        </w:r>
        <w:r>
          <w:rPr>
            <w:rFonts w:asciiTheme="minorHAnsi" w:eastAsiaTheme="minorEastAsia" w:hAnsiTheme="minorHAnsi" w:cstheme="minorBidi"/>
            <w:noProof/>
            <w:sz w:val="22"/>
            <w:szCs w:val="22"/>
          </w:rPr>
          <w:tab/>
        </w:r>
        <w:r w:rsidRPr="008E0F2E">
          <w:rPr>
            <w:rStyle w:val="Hyperlink"/>
            <w:noProof/>
            <w:lang w:bidi="en-US"/>
          </w:rPr>
          <w:t xml:space="preserve">Green Choice’s bad acts and contempt for the PUCO’s rules and </w:t>
        </w:r>
        <w:r>
          <w:rPr>
            <w:rStyle w:val="Hyperlink"/>
            <w:noProof/>
            <w:lang w:bidi="en-US"/>
          </w:rPr>
          <w:br/>
        </w:r>
        <w:r w:rsidRPr="008E0F2E">
          <w:rPr>
            <w:rStyle w:val="Hyperlink"/>
            <w:noProof/>
            <w:lang w:bidi="en-US"/>
          </w:rPr>
          <w:t xml:space="preserve">orders warrant a Green Choice forfeiture of at least $1.5 million, in addition to permanently rescinding Green Choice’s certificates to </w:t>
        </w:r>
        <w:r>
          <w:rPr>
            <w:rStyle w:val="Hyperlink"/>
            <w:noProof/>
            <w:lang w:bidi="en-US"/>
          </w:rPr>
          <w:br/>
        </w:r>
        <w:r w:rsidRPr="008E0F2E">
          <w:rPr>
            <w:rStyle w:val="Hyperlink"/>
            <w:noProof/>
            <w:lang w:bidi="en-US"/>
          </w:rPr>
          <w:t xml:space="preserve">market electric and natural gas service in Ohio. Other modifications </w:t>
        </w:r>
        <w:r>
          <w:rPr>
            <w:rStyle w:val="Hyperlink"/>
            <w:noProof/>
            <w:lang w:bidi="en-US"/>
          </w:rPr>
          <w:br/>
        </w:r>
        <w:r w:rsidRPr="008E0F2E">
          <w:rPr>
            <w:rStyle w:val="Hyperlink"/>
            <w:noProof/>
            <w:lang w:bidi="en-US"/>
          </w:rPr>
          <w:t>to the PUCO Staff’s recommendations are also necessary for greater consumer protection.</w:t>
        </w:r>
        <w:r>
          <w:rPr>
            <w:noProof/>
            <w:webHidden/>
          </w:rPr>
          <w:tab/>
        </w:r>
        <w:r>
          <w:rPr>
            <w:noProof/>
            <w:webHidden/>
          </w:rPr>
          <w:fldChar w:fldCharType="begin"/>
        </w:r>
        <w:r>
          <w:rPr>
            <w:noProof/>
            <w:webHidden/>
          </w:rPr>
          <w:instrText xml:space="preserve"> PAGEREF _Toc123892017 \h </w:instrText>
        </w:r>
        <w:r>
          <w:rPr>
            <w:noProof/>
            <w:webHidden/>
          </w:rPr>
          <w:fldChar w:fldCharType="separate"/>
        </w:r>
        <w:r>
          <w:rPr>
            <w:noProof/>
            <w:webHidden/>
          </w:rPr>
          <w:t>17</w:t>
        </w:r>
        <w:r>
          <w:rPr>
            <w:noProof/>
            <w:webHidden/>
          </w:rPr>
          <w:fldChar w:fldCharType="end"/>
        </w:r>
      </w:hyperlink>
    </w:p>
    <w:p w:rsidR="002951DF" w14:paraId="6C66CB3E" w14:textId="5635BEA9">
      <w:pPr>
        <w:pStyle w:val="TOC1"/>
        <w:rPr>
          <w:rFonts w:asciiTheme="minorHAnsi" w:eastAsiaTheme="minorEastAsia" w:hAnsiTheme="minorHAnsi" w:cstheme="minorBidi"/>
          <w:noProof/>
          <w:sz w:val="22"/>
          <w:szCs w:val="22"/>
        </w:rPr>
      </w:pPr>
      <w:hyperlink w:anchor="_Toc123892018" w:history="1">
        <w:r w:rsidRPr="008E0F2E">
          <w:rPr>
            <w:rStyle w:val="Hyperlink"/>
            <w:noProof/>
          </w:rPr>
          <w:t>IV.</w:t>
        </w:r>
        <w:r>
          <w:rPr>
            <w:rFonts w:asciiTheme="minorHAnsi" w:eastAsiaTheme="minorEastAsia" w:hAnsiTheme="minorHAnsi" w:cstheme="minorBidi"/>
            <w:noProof/>
            <w:sz w:val="22"/>
            <w:szCs w:val="22"/>
          </w:rPr>
          <w:tab/>
        </w:r>
        <w:r w:rsidRPr="008E0F2E">
          <w:rPr>
            <w:rStyle w:val="Hyperlink"/>
            <w:noProof/>
          </w:rPr>
          <w:t>CONCLUSION</w:t>
        </w:r>
        <w:r>
          <w:rPr>
            <w:noProof/>
            <w:webHidden/>
          </w:rPr>
          <w:tab/>
        </w:r>
        <w:r>
          <w:rPr>
            <w:noProof/>
            <w:webHidden/>
          </w:rPr>
          <w:fldChar w:fldCharType="begin"/>
        </w:r>
        <w:r>
          <w:rPr>
            <w:noProof/>
            <w:webHidden/>
          </w:rPr>
          <w:instrText xml:space="preserve"> PAGEREF _Toc123892018 \h </w:instrText>
        </w:r>
        <w:r>
          <w:rPr>
            <w:noProof/>
            <w:webHidden/>
          </w:rPr>
          <w:fldChar w:fldCharType="separate"/>
        </w:r>
        <w:r>
          <w:rPr>
            <w:noProof/>
            <w:webHidden/>
          </w:rPr>
          <w:t>23</w:t>
        </w:r>
        <w:r>
          <w:rPr>
            <w:noProof/>
            <w:webHidden/>
          </w:rPr>
          <w:fldChar w:fldCharType="end"/>
        </w:r>
      </w:hyperlink>
    </w:p>
    <w:p w:rsidR="00700A8A" w:rsidRPr="000B1CB4" w:rsidP="00BA685C" w14:paraId="68F1F6CA" w14:textId="3E900874">
      <w:pPr>
        <w:tabs>
          <w:tab w:val="left" w:pos="1630"/>
        </w:tabs>
        <w:rPr>
          <w:szCs w:val="24"/>
        </w:rPr>
        <w:sectPr w:rsidSect="003E0E94">
          <w:footerReference w:type="first" r:id="rId10"/>
          <w:pgSz w:w="12240" w:h="15840"/>
          <w:pgMar w:top="1440" w:right="1800" w:bottom="1440" w:left="1800" w:header="720" w:footer="720" w:gutter="0"/>
          <w:pgNumType w:fmt="lowerRoman" w:start="1"/>
          <w:cols w:space="720"/>
          <w:titlePg/>
          <w:docGrid w:linePitch="65"/>
        </w:sectPr>
      </w:pPr>
      <w:r>
        <w:rPr>
          <w:szCs w:val="24"/>
        </w:rPr>
        <w:fldChar w:fldCharType="end"/>
      </w:r>
    </w:p>
    <w:p w:rsidR="00B52F65" w:rsidRPr="000B1CB4" w14:paraId="2174E089" w14:textId="68C976B0">
      <w:pPr>
        <w:pStyle w:val="HTMLPreformatted"/>
        <w:jc w:val="center"/>
        <w:rPr>
          <w:rFonts w:ascii="Times New Roman" w:hAnsi="Times New Roman" w:cs="Times New Roman"/>
          <w:b/>
          <w:bCs/>
          <w:sz w:val="24"/>
          <w:szCs w:val="24"/>
        </w:rPr>
      </w:pPr>
      <w:r w:rsidRPr="000B1CB4">
        <w:rPr>
          <w:rFonts w:ascii="Times New Roman" w:hAnsi="Times New Roman" w:cs="Times New Roman"/>
          <w:b/>
          <w:bCs/>
          <w:sz w:val="24"/>
          <w:szCs w:val="24"/>
        </w:rPr>
        <w:t>BEFORE</w:t>
      </w:r>
    </w:p>
    <w:p w:rsidR="00B52F65" w:rsidRPr="000B1CB4" w14:paraId="1BD69D0C" w14:textId="77777777">
      <w:pPr>
        <w:pStyle w:val="HTMLPreformatted"/>
        <w:jc w:val="center"/>
        <w:rPr>
          <w:rFonts w:ascii="Times New Roman" w:hAnsi="Times New Roman" w:cs="Times New Roman"/>
          <w:sz w:val="24"/>
          <w:szCs w:val="24"/>
        </w:rPr>
      </w:pPr>
      <w:r w:rsidRPr="000B1CB4">
        <w:rPr>
          <w:rFonts w:ascii="Times New Roman" w:hAnsi="Times New Roman" w:cs="Times New Roman"/>
          <w:b/>
          <w:bCs/>
          <w:sz w:val="24"/>
          <w:szCs w:val="24"/>
        </w:rPr>
        <w:t>THE PUBLIC UTILITIES COMMISSION OF OHIO</w:t>
      </w:r>
    </w:p>
    <w:p w:rsidR="00B52F65" w:rsidRPr="000B1CB4" w14:paraId="13538E75" w14:textId="77777777">
      <w:pPr>
        <w:pStyle w:val="HTMLPreformatted"/>
        <w:rPr>
          <w:rFonts w:ascii="Times New Roman" w:hAnsi="Times New Roman" w:cs="Times New Roman"/>
          <w:sz w:val="24"/>
          <w:szCs w:val="24"/>
        </w:rPr>
      </w:pPr>
    </w:p>
    <w:tbl>
      <w:tblPr>
        <w:tblW w:w="8730" w:type="dxa"/>
        <w:tblLook w:val="01E0"/>
      </w:tblPr>
      <w:tblGrid>
        <w:gridCol w:w="4230"/>
        <w:gridCol w:w="468"/>
        <w:gridCol w:w="4032"/>
      </w:tblGrid>
      <w:tr w14:paraId="49E4A012" w14:textId="77777777" w:rsidTr="00A46FA3">
        <w:tblPrEx>
          <w:tblW w:w="8730" w:type="dxa"/>
          <w:tblLook w:val="01E0"/>
        </w:tblPrEx>
        <w:trPr>
          <w:trHeight w:val="807"/>
        </w:trPr>
        <w:tc>
          <w:tcPr>
            <w:tcW w:w="4230" w:type="dxa"/>
            <w:shd w:val="clear" w:color="auto" w:fill="auto"/>
          </w:tcPr>
          <w:p w:rsidR="0060598B" w:rsidRPr="000B1CB4" w:rsidP="0060598B" w14:paraId="5F40D936" w14:textId="6835DF20">
            <w:pPr>
              <w:pStyle w:val="HTMLPreformatted"/>
              <w:rPr>
                <w:rFonts w:ascii="Times New Roman" w:hAnsi="Times New Roman" w:cs="Times New Roman"/>
                <w:sz w:val="24"/>
                <w:szCs w:val="24"/>
              </w:rPr>
            </w:pPr>
            <w:r w:rsidRPr="000B1CB4">
              <w:rPr>
                <w:rFonts w:ascii="Times New Roman" w:hAnsi="Times New Roman" w:cs="Times New Roman"/>
                <w:sz w:val="24"/>
                <w:szCs w:val="24"/>
              </w:rPr>
              <w:t xml:space="preserve">In the Matter of the Commission’s </w:t>
            </w:r>
          </w:p>
          <w:p w:rsidR="00C926BE" w:rsidRPr="000B1CB4" w:rsidP="0060598B" w14:paraId="75BDC502" w14:textId="141239D4">
            <w:pPr>
              <w:pStyle w:val="HTMLPreformatted"/>
              <w:rPr>
                <w:rFonts w:ascii="Times New Roman" w:hAnsi="Times New Roman" w:cs="Times New Roman"/>
                <w:sz w:val="24"/>
                <w:szCs w:val="24"/>
              </w:rPr>
            </w:pPr>
            <w:r w:rsidRPr="000B1CB4">
              <w:rPr>
                <w:rFonts w:ascii="Times New Roman" w:hAnsi="Times New Roman" w:cs="Times New Roman"/>
                <w:sz w:val="24"/>
                <w:szCs w:val="24"/>
              </w:rPr>
              <w:t xml:space="preserve">Investigation of RPA Energy, Inc.’s Compliance with the Ohio Administrative Code </w:t>
            </w:r>
            <w:r w:rsidRPr="000B1CB4" w:rsidR="00FE302C">
              <w:rPr>
                <w:rFonts w:ascii="Times New Roman" w:hAnsi="Times New Roman" w:cs="Times New Roman"/>
                <w:sz w:val="24"/>
                <w:szCs w:val="24"/>
              </w:rPr>
              <w:t>and Potential Remedial Actions for Non-Compliance</w:t>
            </w:r>
          </w:p>
          <w:p w:rsidR="00C926BE" w:rsidRPr="000B1CB4" w:rsidP="0060598B" w14:paraId="42BC00B2" w14:textId="152FA104">
            <w:pPr>
              <w:pStyle w:val="HTMLPreformatted"/>
              <w:rPr>
                <w:rFonts w:ascii="Times New Roman" w:hAnsi="Times New Roman" w:cs="Times New Roman"/>
                <w:sz w:val="24"/>
                <w:szCs w:val="24"/>
              </w:rPr>
            </w:pPr>
          </w:p>
        </w:tc>
        <w:tc>
          <w:tcPr>
            <w:tcW w:w="468" w:type="dxa"/>
            <w:shd w:val="clear" w:color="auto" w:fill="auto"/>
          </w:tcPr>
          <w:p w:rsidR="00B52F65" w:rsidRPr="000B1CB4" w14:paraId="417396FD"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B52F65" w:rsidRPr="000B1CB4" w14:paraId="0A743816"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B52F65" w:rsidRPr="000B1CB4" w14:paraId="2798651B"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B52F65" w:rsidRPr="000B1CB4" w14:paraId="21E3B54A"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C83423" w:rsidRPr="000B1CB4" w14:paraId="47B6094D" w14:textId="77777777">
            <w:pPr>
              <w:pStyle w:val="HTMLPreformatted"/>
              <w:rPr>
                <w:rFonts w:ascii="Times New Roman" w:hAnsi="Times New Roman" w:cs="Times New Roman"/>
                <w:sz w:val="24"/>
                <w:szCs w:val="24"/>
              </w:rPr>
            </w:pPr>
            <w:r w:rsidRPr="000B1CB4">
              <w:rPr>
                <w:rFonts w:ascii="Times New Roman" w:hAnsi="Times New Roman" w:cs="Times New Roman"/>
                <w:sz w:val="24"/>
                <w:szCs w:val="24"/>
              </w:rPr>
              <w:t>)</w:t>
            </w:r>
          </w:p>
          <w:p w:rsidR="00C83423" w:rsidRPr="000B1CB4" w14:paraId="1C6B90BB" w14:textId="5FC61B5C">
            <w:pPr>
              <w:pStyle w:val="HTMLPreformatted"/>
              <w:rPr>
                <w:rFonts w:ascii="Times New Roman" w:hAnsi="Times New Roman" w:cs="Times New Roman"/>
                <w:sz w:val="24"/>
                <w:szCs w:val="24"/>
              </w:rPr>
            </w:pPr>
          </w:p>
        </w:tc>
        <w:tc>
          <w:tcPr>
            <w:tcW w:w="4032" w:type="dxa"/>
            <w:shd w:val="clear" w:color="auto" w:fill="auto"/>
          </w:tcPr>
          <w:p w:rsidR="00B52F65" w:rsidRPr="000B1CB4" w14:paraId="659C1A31" w14:textId="77777777">
            <w:pPr>
              <w:pStyle w:val="HTMLPreformatted"/>
              <w:rPr>
                <w:rFonts w:ascii="Times New Roman" w:hAnsi="Times New Roman" w:cs="Times New Roman"/>
                <w:sz w:val="24"/>
                <w:szCs w:val="24"/>
              </w:rPr>
            </w:pPr>
          </w:p>
          <w:p w:rsidR="00B52F65" w:rsidRPr="000B1CB4" w:rsidP="00C83423" w14:paraId="1AF93408" w14:textId="77777777">
            <w:pPr>
              <w:pStyle w:val="HTMLPreformatted"/>
              <w:rPr>
                <w:rFonts w:ascii="Times New Roman" w:hAnsi="Times New Roman" w:cs="Times New Roman"/>
                <w:sz w:val="24"/>
                <w:szCs w:val="24"/>
              </w:rPr>
            </w:pPr>
          </w:p>
          <w:p w:rsidR="00C83423" w:rsidRPr="000B1CB4" w:rsidP="00C83423" w14:paraId="79226C2D" w14:textId="1F63A5C8">
            <w:pPr>
              <w:pStyle w:val="HTMLPreformatted"/>
              <w:rPr>
                <w:rFonts w:ascii="Times New Roman" w:hAnsi="Times New Roman" w:cs="Times New Roman"/>
                <w:sz w:val="24"/>
                <w:szCs w:val="24"/>
              </w:rPr>
            </w:pPr>
            <w:r w:rsidRPr="000B1CB4">
              <w:rPr>
                <w:rFonts w:ascii="Times New Roman" w:hAnsi="Times New Roman" w:cs="Times New Roman"/>
                <w:sz w:val="24"/>
                <w:szCs w:val="24"/>
              </w:rPr>
              <w:t xml:space="preserve">Case No. </w:t>
            </w:r>
            <w:r w:rsidRPr="000B1CB4" w:rsidR="00F55F19">
              <w:rPr>
                <w:rFonts w:ascii="Times New Roman" w:hAnsi="Times New Roman" w:cs="Times New Roman"/>
                <w:sz w:val="24"/>
                <w:szCs w:val="24"/>
              </w:rPr>
              <w:t>22</w:t>
            </w:r>
            <w:r w:rsidRPr="000B1CB4">
              <w:rPr>
                <w:rFonts w:ascii="Times New Roman" w:hAnsi="Times New Roman" w:cs="Times New Roman"/>
                <w:sz w:val="24"/>
                <w:szCs w:val="24"/>
              </w:rPr>
              <w:t>-</w:t>
            </w:r>
            <w:r w:rsidRPr="000B1CB4" w:rsidR="00F55F19">
              <w:rPr>
                <w:rFonts w:ascii="Times New Roman" w:hAnsi="Times New Roman" w:cs="Times New Roman"/>
                <w:sz w:val="24"/>
                <w:szCs w:val="24"/>
              </w:rPr>
              <w:t>44</w:t>
            </w:r>
            <w:r w:rsidRPr="000B1CB4" w:rsidR="00BD68D3">
              <w:rPr>
                <w:rFonts w:ascii="Times New Roman" w:hAnsi="Times New Roman" w:cs="Times New Roman"/>
                <w:sz w:val="24"/>
                <w:szCs w:val="24"/>
              </w:rPr>
              <w:t>1</w:t>
            </w:r>
            <w:r w:rsidRPr="000B1CB4">
              <w:rPr>
                <w:rFonts w:ascii="Times New Roman" w:hAnsi="Times New Roman" w:cs="Times New Roman"/>
                <w:sz w:val="24"/>
                <w:szCs w:val="24"/>
              </w:rPr>
              <w:t>-GE-COI</w:t>
            </w:r>
          </w:p>
          <w:p w:rsidR="00C83423" w:rsidRPr="000B1CB4" w:rsidP="00C83423" w14:paraId="389D033E" w14:textId="149624FB">
            <w:pPr>
              <w:pStyle w:val="HTMLPreformatted"/>
              <w:rPr>
                <w:rFonts w:ascii="Times New Roman" w:hAnsi="Times New Roman" w:cs="Times New Roman"/>
                <w:sz w:val="24"/>
                <w:szCs w:val="24"/>
              </w:rPr>
            </w:pPr>
          </w:p>
          <w:p w:rsidR="00C83423" w:rsidRPr="000B1CB4" w:rsidP="00C83423" w14:paraId="603E1CD2" w14:textId="654DEA4D">
            <w:pPr>
              <w:pStyle w:val="HTMLPreformatted"/>
              <w:rPr>
                <w:rFonts w:ascii="Times New Roman" w:hAnsi="Times New Roman" w:cs="Times New Roman"/>
                <w:sz w:val="24"/>
                <w:szCs w:val="24"/>
              </w:rPr>
            </w:pPr>
          </w:p>
        </w:tc>
      </w:tr>
    </w:tbl>
    <w:p w:rsidR="00B52F65" w:rsidRPr="000B1CB4" w14:paraId="62DDAF13" w14:textId="77777777">
      <w:pPr>
        <w:pStyle w:val="HTMLPreformatted"/>
        <w:pBdr>
          <w:top w:val="single" w:sz="12" w:space="1" w:color="auto"/>
        </w:pBdr>
        <w:rPr>
          <w:rFonts w:ascii="Times New Roman" w:hAnsi="Times New Roman" w:cs="Times New Roman"/>
          <w:sz w:val="24"/>
          <w:szCs w:val="24"/>
        </w:rPr>
      </w:pPr>
    </w:p>
    <w:p w:rsidR="0034156F" w:rsidRPr="000B1CB4" w:rsidP="0034156F" w14:paraId="503D5674" w14:textId="22DF5E37">
      <w:pPr>
        <w:jc w:val="center"/>
        <w:rPr>
          <w:b/>
          <w:bCs/>
          <w:szCs w:val="24"/>
        </w:rPr>
      </w:pPr>
      <w:r>
        <w:rPr>
          <w:b/>
          <w:bCs/>
          <w:szCs w:val="24"/>
        </w:rPr>
        <w:t xml:space="preserve">INITIAL BRIEF </w:t>
      </w:r>
      <w:r w:rsidRPr="000B1CB4" w:rsidR="00FE302C">
        <w:rPr>
          <w:b/>
          <w:bCs/>
          <w:szCs w:val="24"/>
        </w:rPr>
        <w:t>TO PROTECT CONSUMERS</w:t>
      </w:r>
    </w:p>
    <w:p w:rsidR="0034156F" w:rsidRPr="000B1CB4" w:rsidP="0034156F" w14:paraId="5C2A8478" w14:textId="77777777">
      <w:pPr>
        <w:jc w:val="center"/>
        <w:rPr>
          <w:b/>
          <w:bCs/>
          <w:szCs w:val="24"/>
        </w:rPr>
      </w:pPr>
      <w:r w:rsidRPr="000B1CB4">
        <w:rPr>
          <w:b/>
          <w:bCs/>
          <w:szCs w:val="24"/>
        </w:rPr>
        <w:t>BY</w:t>
      </w:r>
    </w:p>
    <w:p w:rsidR="0034156F" w:rsidRPr="000B1CB4" w:rsidP="0034156F" w14:paraId="6628D1BF" w14:textId="56C1BDA3">
      <w:pPr>
        <w:jc w:val="center"/>
        <w:rPr>
          <w:b/>
          <w:bCs/>
          <w:szCs w:val="24"/>
        </w:rPr>
      </w:pPr>
      <w:r w:rsidRPr="000B1CB4">
        <w:rPr>
          <w:b/>
          <w:bCs/>
          <w:szCs w:val="24"/>
        </w:rPr>
        <w:t>OFFICE OF THE OHIO CONSUMERS’ COUNSEL</w:t>
      </w:r>
    </w:p>
    <w:p w:rsidR="00B52F65" w:rsidRPr="000B1CB4" w14:paraId="4AEA3A0B" w14:textId="77777777">
      <w:pPr>
        <w:pBdr>
          <w:bottom w:val="single" w:sz="12" w:space="1" w:color="auto"/>
        </w:pBdr>
        <w:tabs>
          <w:tab w:val="left" w:pos="4320"/>
        </w:tabs>
        <w:rPr>
          <w:szCs w:val="24"/>
        </w:rPr>
      </w:pPr>
    </w:p>
    <w:p w:rsidR="0060598B" w:rsidRPr="000B1CB4" w:rsidP="00D971A3" w14:paraId="15933385" w14:textId="77777777">
      <w:pPr>
        <w:pStyle w:val="BodyTextIndent3"/>
        <w:widowControl w:val="0"/>
        <w:spacing w:line="240" w:lineRule="auto"/>
        <w:ind w:right="-312" w:firstLine="0"/>
        <w:rPr>
          <w:szCs w:val="24"/>
        </w:rPr>
      </w:pPr>
    </w:p>
    <w:p w:rsidR="00FD35F6" w:rsidRPr="000B1CB4" w:rsidP="00DD02C2" w14:paraId="39CFA1C6" w14:textId="1EFB2413">
      <w:pPr>
        <w:pStyle w:val="Heading1"/>
        <w:numPr>
          <w:ilvl w:val="0"/>
          <w:numId w:val="15"/>
        </w:numPr>
        <w:ind w:left="720"/>
      </w:pPr>
      <w:bookmarkStart w:id="0" w:name="_Toc30075653"/>
      <w:bookmarkStart w:id="1" w:name="_Toc103677690"/>
      <w:bookmarkStart w:id="2" w:name="_Toc123892011"/>
      <w:r w:rsidRPr="000B1CB4">
        <w:t>INTRODUCTION</w:t>
      </w:r>
      <w:bookmarkEnd w:id="0"/>
      <w:bookmarkEnd w:id="1"/>
      <w:bookmarkEnd w:id="2"/>
    </w:p>
    <w:p w:rsidR="00512F13" w:rsidP="00AB061A" w14:paraId="217492ED" w14:textId="776DCB9F">
      <w:pPr>
        <w:pStyle w:val="BodyTextIndent3"/>
        <w:widowControl w:val="0"/>
        <w:spacing w:line="480" w:lineRule="auto"/>
        <w:rPr>
          <w:szCs w:val="24"/>
        </w:rPr>
      </w:pPr>
      <w:r>
        <w:rPr>
          <w:szCs w:val="24"/>
        </w:rPr>
        <w:t xml:space="preserve">This investigation concerns the alleged “unfair, deceptive, or unconscionable acts or practices” of </w:t>
      </w:r>
      <w:r w:rsidRPr="000B1CB4" w:rsidR="00562DA9">
        <w:rPr>
          <w:szCs w:val="24"/>
        </w:rPr>
        <w:t>Green Choice</w:t>
      </w:r>
      <w:r>
        <w:rPr>
          <w:rStyle w:val="FootnoteReference"/>
          <w:szCs w:val="24"/>
        </w:rPr>
        <w:footnoteReference w:id="2"/>
      </w:r>
      <w:r>
        <w:rPr>
          <w:szCs w:val="24"/>
        </w:rPr>
        <w:t xml:space="preserve"> </w:t>
      </w:r>
      <w:r w:rsidR="004A76B5">
        <w:rPr>
          <w:szCs w:val="24"/>
        </w:rPr>
        <w:t>in marketing electric and natural gas services to Ohio consumers</w:t>
      </w:r>
      <w:r>
        <w:rPr>
          <w:szCs w:val="24"/>
        </w:rPr>
        <w:t xml:space="preserve">. Marketing electric and natural gas </w:t>
      </w:r>
      <w:r w:rsidR="004A76B5">
        <w:rPr>
          <w:szCs w:val="24"/>
        </w:rPr>
        <w:t>in</w:t>
      </w:r>
      <w:r>
        <w:rPr>
          <w:szCs w:val="24"/>
        </w:rPr>
        <w:t xml:space="preserve"> Ohio is a </w:t>
      </w:r>
      <w:r w:rsidRPr="009711E5">
        <w:rPr>
          <w:szCs w:val="24"/>
        </w:rPr>
        <w:t>privilege</w:t>
      </w:r>
      <w:r>
        <w:rPr>
          <w:rStyle w:val="FootnoteReference"/>
          <w:szCs w:val="24"/>
        </w:rPr>
        <w:footnoteReference w:id="3"/>
      </w:r>
      <w:r w:rsidR="004A76B5">
        <w:rPr>
          <w:szCs w:val="24"/>
        </w:rPr>
        <w:t xml:space="preserve"> that Green Choice</w:t>
      </w:r>
      <w:r w:rsidR="002E7260">
        <w:rPr>
          <w:szCs w:val="24"/>
        </w:rPr>
        <w:t xml:space="preserve"> has abused by deceiving consumers and violating the PUCO’s rules.</w:t>
      </w:r>
      <w:r w:rsidR="004A76B5">
        <w:rPr>
          <w:szCs w:val="24"/>
        </w:rPr>
        <w:t xml:space="preserve"> </w:t>
      </w:r>
      <w:r>
        <w:rPr>
          <w:szCs w:val="24"/>
        </w:rPr>
        <w:t xml:space="preserve">The PUCO should </w:t>
      </w:r>
      <w:r w:rsidR="004A76B5">
        <w:rPr>
          <w:szCs w:val="24"/>
        </w:rPr>
        <w:t xml:space="preserve">protect consumers </w:t>
      </w:r>
      <w:r w:rsidR="00895EAF">
        <w:rPr>
          <w:szCs w:val="24"/>
        </w:rPr>
        <w:t>by</w:t>
      </w:r>
      <w:r w:rsidR="004A76B5">
        <w:rPr>
          <w:szCs w:val="24"/>
        </w:rPr>
        <w:t xml:space="preserve"> </w:t>
      </w:r>
      <w:r>
        <w:rPr>
          <w:szCs w:val="24"/>
        </w:rPr>
        <w:t>permanently re</w:t>
      </w:r>
      <w:r w:rsidR="0055283B">
        <w:rPr>
          <w:szCs w:val="24"/>
        </w:rPr>
        <w:t>scind</w:t>
      </w:r>
      <w:r w:rsidR="00895EAF">
        <w:rPr>
          <w:szCs w:val="24"/>
        </w:rPr>
        <w:t>ing</w:t>
      </w:r>
      <w:r>
        <w:rPr>
          <w:szCs w:val="24"/>
        </w:rPr>
        <w:t xml:space="preserve"> Green Choice’s </w:t>
      </w:r>
      <w:r w:rsidR="00895EAF">
        <w:rPr>
          <w:szCs w:val="24"/>
        </w:rPr>
        <w:t xml:space="preserve">marketing </w:t>
      </w:r>
      <w:r>
        <w:rPr>
          <w:szCs w:val="24"/>
        </w:rPr>
        <w:t>certificates</w:t>
      </w:r>
      <w:r w:rsidR="004A76B5">
        <w:rPr>
          <w:szCs w:val="24"/>
        </w:rPr>
        <w:t xml:space="preserve">. </w:t>
      </w:r>
      <w:r>
        <w:rPr>
          <w:szCs w:val="24"/>
        </w:rPr>
        <w:t>Green Choice</w:t>
      </w:r>
      <w:r w:rsidR="0055283B">
        <w:rPr>
          <w:szCs w:val="24"/>
        </w:rPr>
        <w:t xml:space="preserve">’s egregious acts further warrant a forfeiture of </w:t>
      </w:r>
      <w:r>
        <w:rPr>
          <w:szCs w:val="24"/>
        </w:rPr>
        <w:t xml:space="preserve">a </w:t>
      </w:r>
      <w:r w:rsidR="00BA3EC2">
        <w:rPr>
          <w:szCs w:val="24"/>
        </w:rPr>
        <w:t xml:space="preserve">minimum </w:t>
      </w:r>
      <w:r w:rsidR="00FD04E8">
        <w:rPr>
          <w:szCs w:val="24"/>
        </w:rPr>
        <w:t xml:space="preserve">of </w:t>
      </w:r>
      <w:r>
        <w:rPr>
          <w:szCs w:val="24"/>
        </w:rPr>
        <w:t>$1.5 million.</w:t>
      </w:r>
      <w:r w:rsidRPr="000B1CB4" w:rsidR="00241D43">
        <w:rPr>
          <w:szCs w:val="24"/>
        </w:rPr>
        <w:t xml:space="preserve"> </w:t>
      </w:r>
    </w:p>
    <w:p w:rsidR="004A76B5" w:rsidP="00292709" w14:paraId="662A1C11" w14:textId="2C7D5F41">
      <w:pPr>
        <w:pStyle w:val="BodyTextIndent3"/>
        <w:widowControl w:val="0"/>
        <w:spacing w:line="480" w:lineRule="auto"/>
        <w:rPr>
          <w:szCs w:val="24"/>
        </w:rPr>
      </w:pPr>
      <w:r>
        <w:rPr>
          <w:szCs w:val="24"/>
        </w:rPr>
        <w:t xml:space="preserve">The Office of the Ohio Consumers’ Counsel (“OCC”), the statutory advocate for Ohio residential consumers, intervened in this case for consumer protection. Green Choice’s alleged deceptive marketing and enrollment practices are among the worst OCC has </w:t>
      </w:r>
      <w:r w:rsidR="00895EAF">
        <w:rPr>
          <w:szCs w:val="24"/>
        </w:rPr>
        <w:t xml:space="preserve">ever </w:t>
      </w:r>
      <w:r>
        <w:rPr>
          <w:szCs w:val="24"/>
        </w:rPr>
        <w:t>seen. The e</w:t>
      </w:r>
      <w:r w:rsidR="00292709">
        <w:rPr>
          <w:szCs w:val="24"/>
        </w:rPr>
        <w:t>vidence shows that Green Choice</w:t>
      </w:r>
      <w:r w:rsidR="00AB061A">
        <w:rPr>
          <w:szCs w:val="24"/>
        </w:rPr>
        <w:t xml:space="preserve"> falsified third-party verification (“TPV”) calls and altered sales calls.</w:t>
      </w:r>
      <w:r>
        <w:rPr>
          <w:rStyle w:val="FootnoteReference"/>
          <w:szCs w:val="24"/>
        </w:rPr>
        <w:footnoteReference w:id="4"/>
      </w:r>
      <w:r w:rsidR="00AB061A">
        <w:rPr>
          <w:szCs w:val="24"/>
        </w:rPr>
        <w:t xml:space="preserve"> </w:t>
      </w:r>
      <w:r w:rsidR="00EE2930">
        <w:rPr>
          <w:szCs w:val="24"/>
        </w:rPr>
        <w:t xml:space="preserve">Consumer witnesses testified that </w:t>
      </w:r>
      <w:r w:rsidR="008310A9">
        <w:rPr>
          <w:szCs w:val="24"/>
        </w:rPr>
        <w:t xml:space="preserve">Green Choice </w:t>
      </w:r>
      <w:r w:rsidR="00EE2930">
        <w:rPr>
          <w:szCs w:val="24"/>
        </w:rPr>
        <w:t>falsified enrollment</w:t>
      </w:r>
      <w:r w:rsidR="00950317">
        <w:rPr>
          <w:szCs w:val="24"/>
        </w:rPr>
        <w:t xml:space="preserve"> contracts.</w:t>
      </w:r>
      <w:r>
        <w:rPr>
          <w:rStyle w:val="FootnoteReference"/>
          <w:szCs w:val="24"/>
        </w:rPr>
        <w:footnoteReference w:id="5"/>
      </w:r>
      <w:r w:rsidR="008310A9">
        <w:rPr>
          <w:szCs w:val="24"/>
        </w:rPr>
        <w:t xml:space="preserve"> </w:t>
      </w:r>
      <w:r w:rsidR="00E64C32">
        <w:rPr>
          <w:szCs w:val="24"/>
        </w:rPr>
        <w:t>Green Choice</w:t>
      </w:r>
      <w:r w:rsidR="00EE2930">
        <w:rPr>
          <w:szCs w:val="24"/>
        </w:rPr>
        <w:t xml:space="preserve"> also</w:t>
      </w:r>
      <w:r w:rsidR="00E64C32">
        <w:rPr>
          <w:szCs w:val="24"/>
        </w:rPr>
        <w:t xml:space="preserve"> charged consumers exorbitant variable rates for service</w:t>
      </w:r>
      <w:r w:rsidRPr="000B1CB4" w:rsidR="00562DA9">
        <w:rPr>
          <w:szCs w:val="24"/>
        </w:rPr>
        <w:t>.</w:t>
      </w:r>
      <w:r>
        <w:rPr>
          <w:rStyle w:val="FootnoteReference"/>
          <w:szCs w:val="24"/>
        </w:rPr>
        <w:footnoteReference w:id="6"/>
      </w:r>
      <w:r w:rsidR="00CF322A">
        <w:rPr>
          <w:szCs w:val="24"/>
        </w:rPr>
        <w:t xml:space="preserve"> </w:t>
      </w:r>
      <w:r>
        <w:rPr>
          <w:szCs w:val="24"/>
        </w:rPr>
        <w:t>Moreover, when</w:t>
      </w:r>
      <w:r w:rsidR="00EE2930">
        <w:rPr>
          <w:szCs w:val="24"/>
        </w:rPr>
        <w:t xml:space="preserve"> PUCO Sta</w:t>
      </w:r>
      <w:r w:rsidR="00AD7CCC">
        <w:rPr>
          <w:szCs w:val="24"/>
        </w:rPr>
        <w:t xml:space="preserve">ff tried to investigate consumer complaints, </w:t>
      </w:r>
      <w:r w:rsidR="00104858">
        <w:rPr>
          <w:szCs w:val="24"/>
        </w:rPr>
        <w:t xml:space="preserve">Green Choice </w:t>
      </w:r>
      <w:r w:rsidR="00AD7CCC">
        <w:rPr>
          <w:szCs w:val="24"/>
        </w:rPr>
        <w:t xml:space="preserve">refused to </w:t>
      </w:r>
      <w:r>
        <w:rPr>
          <w:szCs w:val="24"/>
        </w:rPr>
        <w:t xml:space="preserve">cooperate and </w:t>
      </w:r>
      <w:r w:rsidR="00AD7CCC">
        <w:rPr>
          <w:szCs w:val="24"/>
        </w:rPr>
        <w:t xml:space="preserve">provide </w:t>
      </w:r>
      <w:r w:rsidR="00104858">
        <w:rPr>
          <w:szCs w:val="24"/>
        </w:rPr>
        <w:t>information.</w:t>
      </w:r>
      <w:r>
        <w:rPr>
          <w:rStyle w:val="FootnoteReference"/>
          <w:szCs w:val="24"/>
        </w:rPr>
        <w:footnoteReference w:id="7"/>
      </w:r>
    </w:p>
    <w:p w:rsidR="000412B5" w:rsidP="001A49B1" w14:paraId="34EC4BD0" w14:textId="14A16429">
      <w:pPr>
        <w:pStyle w:val="BodyTextIndent3"/>
        <w:widowControl w:val="0"/>
        <w:spacing w:line="480" w:lineRule="auto"/>
        <w:rPr>
          <w:szCs w:val="24"/>
        </w:rPr>
      </w:pPr>
      <w:r>
        <w:rPr>
          <w:szCs w:val="24"/>
        </w:rPr>
        <w:t>PUCO Staff witnesses</w:t>
      </w:r>
      <w:r w:rsidR="00577C93">
        <w:rPr>
          <w:szCs w:val="24"/>
        </w:rPr>
        <w:t xml:space="preserve"> </w:t>
      </w:r>
      <w:r>
        <w:rPr>
          <w:szCs w:val="24"/>
        </w:rPr>
        <w:t>testified that Green Choice</w:t>
      </w:r>
      <w:r w:rsidRPr="000B1CB4">
        <w:rPr>
          <w:szCs w:val="24"/>
        </w:rPr>
        <w:t xml:space="preserve"> “spoof</w:t>
      </w:r>
      <w:r>
        <w:rPr>
          <w:szCs w:val="24"/>
        </w:rPr>
        <w:t>ed</w:t>
      </w:r>
      <w:r w:rsidRPr="000B1CB4">
        <w:rPr>
          <w:szCs w:val="24"/>
        </w:rPr>
        <w:t>”</w:t>
      </w:r>
      <w:r>
        <w:rPr>
          <w:rStyle w:val="FootnoteReference"/>
          <w:szCs w:val="24"/>
        </w:rPr>
        <w:footnoteReference w:id="8"/>
      </w:r>
      <w:r w:rsidRPr="000B1CB4">
        <w:rPr>
          <w:szCs w:val="24"/>
        </w:rPr>
        <w:t xml:space="preserve"> (fak</w:t>
      </w:r>
      <w:r>
        <w:rPr>
          <w:szCs w:val="24"/>
        </w:rPr>
        <w:t>ed</w:t>
      </w:r>
      <w:r w:rsidRPr="000B1CB4">
        <w:rPr>
          <w:szCs w:val="24"/>
        </w:rPr>
        <w:t>) Caller ID so</w:t>
      </w:r>
      <w:r>
        <w:rPr>
          <w:szCs w:val="24"/>
        </w:rPr>
        <w:t xml:space="preserve"> that consumers believe</w:t>
      </w:r>
      <w:r w:rsidR="009711E5">
        <w:rPr>
          <w:szCs w:val="24"/>
        </w:rPr>
        <w:t>d that</w:t>
      </w:r>
      <w:r>
        <w:rPr>
          <w:szCs w:val="24"/>
        </w:rPr>
        <w:t xml:space="preserve"> </w:t>
      </w:r>
      <w:r w:rsidRPr="000B1CB4">
        <w:rPr>
          <w:szCs w:val="24"/>
        </w:rPr>
        <w:t xml:space="preserve">someone other than Green Choice </w:t>
      </w:r>
      <w:r w:rsidR="009711E5">
        <w:rPr>
          <w:szCs w:val="24"/>
        </w:rPr>
        <w:t>wa</w:t>
      </w:r>
      <w:r w:rsidRPr="000B1CB4">
        <w:rPr>
          <w:szCs w:val="24"/>
        </w:rPr>
        <w:t>s calling them.</w:t>
      </w:r>
      <w:r>
        <w:rPr>
          <w:rStyle w:val="FootnoteReference"/>
          <w:szCs w:val="24"/>
        </w:rPr>
        <w:footnoteReference w:id="9"/>
      </w:r>
      <w:r w:rsidR="00277B52">
        <w:rPr>
          <w:szCs w:val="24"/>
        </w:rPr>
        <w:t xml:space="preserve"> OCC’s position on spoofing by </w:t>
      </w:r>
      <w:r w:rsidR="00895EAF">
        <w:rPr>
          <w:szCs w:val="24"/>
        </w:rPr>
        <w:t xml:space="preserve">a </w:t>
      </w:r>
      <w:r w:rsidR="00277B52">
        <w:rPr>
          <w:szCs w:val="24"/>
        </w:rPr>
        <w:t>marketer is “one and done”</w:t>
      </w:r>
      <w:r w:rsidR="009711E5">
        <w:rPr>
          <w:szCs w:val="24"/>
        </w:rPr>
        <w:t xml:space="preserve"> – meaning</w:t>
      </w:r>
      <w:r w:rsidR="00277B52">
        <w:rPr>
          <w:szCs w:val="24"/>
        </w:rPr>
        <w:t xml:space="preserve"> that the PUCO should have zero tolerance for spoofing. </w:t>
      </w:r>
      <w:r w:rsidR="004C7A51">
        <w:rPr>
          <w:szCs w:val="24"/>
        </w:rPr>
        <w:t>Ample evidence demonstrates Green Choice’s spoofing and other abuse of consumers. The PUCO should permanently rescind Green Choice’s certificates to market electric and natural gas to Ohioans</w:t>
      </w:r>
      <w:r w:rsidR="00BA3EC2">
        <w:rPr>
          <w:szCs w:val="24"/>
        </w:rPr>
        <w:t xml:space="preserve"> and not let them or an affiliate receive a certificate again. It is time for the PUCO to stand up to energy marketers that knowingly deceive consumers to enrich their bottom line</w:t>
      </w:r>
      <w:r w:rsidR="004C7A51">
        <w:rPr>
          <w:szCs w:val="24"/>
        </w:rPr>
        <w:t>.</w:t>
      </w:r>
      <w:r w:rsidR="00055C43">
        <w:rPr>
          <w:szCs w:val="24"/>
        </w:rPr>
        <w:t xml:space="preserve"> </w:t>
      </w:r>
    </w:p>
    <w:p w:rsidR="00002598" w:rsidRPr="000B1CB4" w:rsidP="00002598" w14:paraId="2A6274AB" w14:textId="77777777">
      <w:pPr>
        <w:pStyle w:val="BodyTextIndent3"/>
        <w:widowControl w:val="0"/>
        <w:spacing w:line="240" w:lineRule="auto"/>
        <w:rPr>
          <w:szCs w:val="24"/>
        </w:rPr>
      </w:pPr>
    </w:p>
    <w:p w:rsidR="009378AB" w:rsidRPr="009378AB" w:rsidP="009378AB" w14:paraId="78124C01" w14:textId="5C466C9D">
      <w:pPr>
        <w:pStyle w:val="Heading1"/>
        <w:numPr>
          <w:ilvl w:val="0"/>
          <w:numId w:val="15"/>
        </w:numPr>
        <w:ind w:left="720"/>
      </w:pPr>
      <w:bookmarkStart w:id="3" w:name="_Toc123892012"/>
      <w:r w:rsidRPr="009378AB">
        <w:t>STANDARD OF REVIEW</w:t>
      </w:r>
      <w:bookmarkEnd w:id="3"/>
    </w:p>
    <w:p w:rsidR="007D1109" w:rsidP="007D1109" w14:paraId="3B06F7D7" w14:textId="10458ED6">
      <w:pPr>
        <w:pStyle w:val="BodyTextIndent3"/>
        <w:widowControl w:val="0"/>
        <w:spacing w:line="480" w:lineRule="auto"/>
        <w:rPr>
          <w:szCs w:val="24"/>
        </w:rPr>
      </w:pPr>
      <w:r>
        <w:rPr>
          <w:szCs w:val="24"/>
        </w:rPr>
        <w:t xml:space="preserve">To be certified by the PUCO to </w:t>
      </w:r>
      <w:r w:rsidR="00BF345C">
        <w:rPr>
          <w:szCs w:val="24"/>
        </w:rPr>
        <w:t>market electric and natural gas service in Ohio, a marketer must have the “managerial, technical, and financial capability” to provide service.</w:t>
      </w:r>
      <w:r>
        <w:rPr>
          <w:rStyle w:val="FootnoteReference"/>
          <w:szCs w:val="24"/>
        </w:rPr>
        <w:footnoteReference w:id="10"/>
      </w:r>
      <w:r>
        <w:rPr>
          <w:szCs w:val="24"/>
        </w:rPr>
        <w:t xml:space="preserve"> </w:t>
      </w:r>
      <w:r w:rsidR="009378AB">
        <w:rPr>
          <w:szCs w:val="24"/>
        </w:rPr>
        <w:t>R.C. 4928.08(D) and R.C. 4929.20</w:t>
      </w:r>
      <w:r w:rsidR="00EC1FCE">
        <w:rPr>
          <w:szCs w:val="24"/>
        </w:rPr>
        <w:t xml:space="preserve">(C)(1) provide that the PUCO may “suspend, rescind, or conditionally rescind” the certification of an electric or natural gas marketer if the PUCO determines after an opportunity for hearing that the marketer </w:t>
      </w:r>
      <w:r w:rsidR="0023667E">
        <w:rPr>
          <w:szCs w:val="24"/>
        </w:rPr>
        <w:t>“</w:t>
      </w:r>
      <w:r w:rsidR="00EC1FCE">
        <w:rPr>
          <w:szCs w:val="24"/>
        </w:rPr>
        <w:t xml:space="preserve">has failed to comply with </w:t>
      </w:r>
      <w:r w:rsidR="0023667E">
        <w:rPr>
          <w:szCs w:val="24"/>
        </w:rPr>
        <w:t xml:space="preserve">any applicable certification standards </w:t>
      </w:r>
      <w:r w:rsidR="0023667E">
        <w:t>or has engaged in anticompetitive or unfair, deceptive, or unconscionable acts or practices in this state.”</w:t>
      </w:r>
      <w:r>
        <w:rPr>
          <w:rStyle w:val="FootnoteReference"/>
        </w:rPr>
        <w:footnoteReference w:id="11"/>
      </w:r>
      <w:r w:rsidR="0023667E">
        <w:rPr>
          <w:szCs w:val="24"/>
        </w:rPr>
        <w:t xml:space="preserve"> </w:t>
      </w:r>
      <w:r w:rsidR="00C81D6E">
        <w:rPr>
          <w:szCs w:val="24"/>
        </w:rPr>
        <w:t>The PUCO may also suspend, rescind, or conditionally rescind a marketer’s certificate if the PUCO finds that the marketer has violated any PUCO order or rule.</w:t>
      </w:r>
      <w:r>
        <w:rPr>
          <w:rStyle w:val="FootnoteReference"/>
          <w:szCs w:val="24"/>
        </w:rPr>
        <w:footnoteReference w:id="12"/>
      </w:r>
    </w:p>
    <w:p w:rsidR="00BF345C" w:rsidRPr="009378AB" w:rsidP="0064520B" w14:paraId="7A7633F2" w14:textId="2CDF925C">
      <w:pPr>
        <w:pStyle w:val="BodyTextIndent3"/>
        <w:widowControl w:val="0"/>
        <w:spacing w:line="480" w:lineRule="auto"/>
        <w:rPr>
          <w:szCs w:val="24"/>
        </w:rPr>
      </w:pPr>
      <w:r w:rsidRPr="00312306">
        <w:rPr>
          <w:szCs w:val="24"/>
        </w:rPr>
        <w:t>R.C. 4928.10 and R.C. 4929.22 require the PUCO to protect consumers through the establishment of minimum service requirements that prohibit unfair, deceptive,</w:t>
      </w:r>
      <w:r w:rsidR="00767A31">
        <w:rPr>
          <w:szCs w:val="24"/>
        </w:rPr>
        <w:t xml:space="preserve"> and</w:t>
      </w:r>
      <w:r w:rsidRPr="00312306">
        <w:rPr>
          <w:szCs w:val="24"/>
        </w:rPr>
        <w:t xml:space="preserve"> unconscionable acts and practices in the marketing, solicitation, and sale of competitive electric and natural gas services.</w:t>
      </w:r>
      <w:r>
        <w:rPr>
          <w:szCs w:val="24"/>
        </w:rPr>
        <w:t xml:space="preserve"> These </w:t>
      </w:r>
      <w:r w:rsidRPr="00312306" w:rsidR="00476DF5">
        <w:rPr>
          <w:szCs w:val="24"/>
        </w:rPr>
        <w:t xml:space="preserve">minimum </w:t>
      </w:r>
      <w:r>
        <w:rPr>
          <w:szCs w:val="24"/>
        </w:rPr>
        <w:t>service standards are set forth in</w:t>
      </w:r>
      <w:r w:rsidRPr="00312306" w:rsidR="00476DF5">
        <w:rPr>
          <w:szCs w:val="24"/>
        </w:rPr>
        <w:t xml:space="preserve"> </w:t>
      </w:r>
      <w:r w:rsidRPr="00312306" w:rsidR="00476DF5">
        <w:rPr>
          <w:szCs w:val="24"/>
        </w:rPr>
        <w:t xml:space="preserve">O.A.C. </w:t>
      </w:r>
      <w:r w:rsidRPr="00312306" w:rsidR="00476DF5">
        <w:rPr>
          <w:szCs w:val="24"/>
        </w:rPr>
        <w:t xml:space="preserve">4901:1-21 and </w:t>
      </w:r>
      <w:r w:rsidRPr="00312306" w:rsidR="00476DF5">
        <w:rPr>
          <w:szCs w:val="24"/>
        </w:rPr>
        <w:t>O.A.C.</w:t>
      </w:r>
      <w:r w:rsidRPr="00312306" w:rsidR="00476DF5">
        <w:rPr>
          <w:szCs w:val="24"/>
        </w:rPr>
        <w:t xml:space="preserve"> 4901:1-29.</w:t>
      </w:r>
      <w:r w:rsidRPr="00312306" w:rsidR="00476DF5">
        <w:rPr>
          <w:szCs w:val="24"/>
        </w:rPr>
        <w:t xml:space="preserve"> </w:t>
      </w:r>
      <w:r>
        <w:rPr>
          <w:szCs w:val="24"/>
        </w:rPr>
        <w:t>In addition to</w:t>
      </w:r>
      <w:r w:rsidRPr="00312306" w:rsidR="00476DF5">
        <w:rPr>
          <w:szCs w:val="24"/>
        </w:rPr>
        <w:t xml:space="preserve"> protect</w:t>
      </w:r>
      <w:r>
        <w:rPr>
          <w:szCs w:val="24"/>
        </w:rPr>
        <w:t>ing</w:t>
      </w:r>
      <w:r w:rsidRPr="00312306" w:rsidR="00476DF5">
        <w:rPr>
          <w:szCs w:val="24"/>
        </w:rPr>
        <w:t xml:space="preserve"> consumers against misleading, deceptive, </w:t>
      </w:r>
      <w:r>
        <w:rPr>
          <w:szCs w:val="24"/>
        </w:rPr>
        <w:t>and</w:t>
      </w:r>
      <w:r w:rsidRPr="00312306" w:rsidR="00476DF5">
        <w:rPr>
          <w:szCs w:val="24"/>
        </w:rPr>
        <w:t xml:space="preserve"> unconscionable acts and practices in the marketing and solicitation of electric and natural gas services</w:t>
      </w:r>
      <w:r>
        <w:rPr>
          <w:szCs w:val="24"/>
        </w:rPr>
        <w:t xml:space="preserve">, the standards govern marketers’ </w:t>
      </w:r>
      <w:r w:rsidRPr="00312306" w:rsidR="00476DF5">
        <w:rPr>
          <w:szCs w:val="24"/>
        </w:rPr>
        <w:t xml:space="preserve">administration of </w:t>
      </w:r>
      <w:r>
        <w:rPr>
          <w:szCs w:val="24"/>
        </w:rPr>
        <w:t xml:space="preserve">enrollment </w:t>
      </w:r>
      <w:r w:rsidRPr="00312306" w:rsidR="00476DF5">
        <w:rPr>
          <w:szCs w:val="24"/>
        </w:rPr>
        <w:t>contracts.</w:t>
      </w:r>
      <w:r w:rsidR="00476DF5">
        <w:rPr>
          <w:szCs w:val="24"/>
        </w:rPr>
        <w:t xml:space="preserve"> </w:t>
      </w:r>
    </w:p>
    <w:p w:rsidR="0060598B" w:rsidRPr="000B1CB4" w:rsidP="0060598B" w14:paraId="7B1F8325" w14:textId="77777777">
      <w:pPr>
        <w:pStyle w:val="BodyTextIndent3"/>
        <w:widowControl w:val="0"/>
        <w:spacing w:line="240" w:lineRule="auto"/>
        <w:ind w:right="-312"/>
        <w:rPr>
          <w:szCs w:val="24"/>
        </w:rPr>
      </w:pPr>
    </w:p>
    <w:p w:rsidR="00D7611D" w:rsidRPr="00D7611D" w:rsidP="00D7611D" w14:paraId="40701A32" w14:textId="1ECA2DAB">
      <w:pPr>
        <w:pStyle w:val="Heading1"/>
        <w:numPr>
          <w:ilvl w:val="0"/>
          <w:numId w:val="15"/>
        </w:numPr>
        <w:ind w:left="720"/>
      </w:pPr>
      <w:bookmarkStart w:id="4" w:name="_Toc24990819"/>
      <w:bookmarkStart w:id="5" w:name="_Toc25220735"/>
      <w:bookmarkStart w:id="6" w:name="_Toc30075654"/>
      <w:bookmarkStart w:id="7" w:name="_Toc103677691"/>
      <w:bookmarkStart w:id="8" w:name="_Toc123892013"/>
      <w:r w:rsidRPr="000B1CB4">
        <w:t>ARGUMENT</w:t>
      </w:r>
      <w:bookmarkEnd w:id="4"/>
      <w:bookmarkEnd w:id="5"/>
      <w:bookmarkEnd w:id="6"/>
      <w:bookmarkEnd w:id="7"/>
      <w:bookmarkEnd w:id="8"/>
    </w:p>
    <w:p w:rsidR="00D62029" w:rsidP="00002598" w14:paraId="2A467618" w14:textId="203476C0">
      <w:pPr>
        <w:pStyle w:val="ListParagraph"/>
        <w:numPr>
          <w:ilvl w:val="0"/>
          <w:numId w:val="21"/>
        </w:numPr>
        <w:tabs>
          <w:tab w:val="left" w:pos="1440"/>
          <w:tab w:val="left" w:leader="dot" w:pos="8640"/>
        </w:tabs>
        <w:ind w:left="1440" w:hanging="720"/>
        <w:rPr>
          <w:b/>
          <w:bCs/>
        </w:rPr>
      </w:pPr>
      <w:bookmarkStart w:id="9" w:name="_Toc123892014"/>
      <w:r w:rsidRPr="00002598">
        <w:rPr>
          <w:rStyle w:val="Heading2Char"/>
        </w:rPr>
        <w:t>The Staff Report and</w:t>
      </w:r>
      <w:r w:rsidRPr="00002598" w:rsidR="005107CC">
        <w:rPr>
          <w:rStyle w:val="Heading2Char"/>
        </w:rPr>
        <w:t xml:space="preserve"> evidence</w:t>
      </w:r>
      <w:r w:rsidRPr="00002598" w:rsidR="00F57CCE">
        <w:rPr>
          <w:rStyle w:val="Heading2Char"/>
        </w:rPr>
        <w:t xml:space="preserve"> </w:t>
      </w:r>
      <w:r w:rsidRPr="00002598" w:rsidR="00FE2F3D">
        <w:rPr>
          <w:rStyle w:val="Heading2Char"/>
        </w:rPr>
        <w:t>presented during the hearing</w:t>
      </w:r>
      <w:r w:rsidRPr="00002598" w:rsidR="005107CC">
        <w:rPr>
          <w:rStyle w:val="Heading2Char"/>
        </w:rPr>
        <w:t xml:space="preserve"> demonstrate </w:t>
      </w:r>
      <w:r w:rsidRPr="00002598" w:rsidR="003874E3">
        <w:rPr>
          <w:rStyle w:val="Heading2Char"/>
        </w:rPr>
        <w:t xml:space="preserve">that </w:t>
      </w:r>
      <w:r w:rsidRPr="00002598" w:rsidR="005107CC">
        <w:rPr>
          <w:rStyle w:val="Heading2Char"/>
        </w:rPr>
        <w:t>Green Choice</w:t>
      </w:r>
      <w:r w:rsidRPr="00002598" w:rsidR="003874E3">
        <w:rPr>
          <w:rStyle w:val="Heading2Char"/>
        </w:rPr>
        <w:t xml:space="preserve"> engaged in misleading and deceptive </w:t>
      </w:r>
      <w:r w:rsidRPr="00002598" w:rsidR="00F57CCE">
        <w:rPr>
          <w:rStyle w:val="Heading2Char"/>
        </w:rPr>
        <w:t xml:space="preserve">acts to </w:t>
      </w:r>
      <w:r w:rsidRPr="00002598" w:rsidR="003874E3">
        <w:rPr>
          <w:rStyle w:val="Heading2Char"/>
        </w:rPr>
        <w:t>market electric and natural gas service to</w:t>
      </w:r>
      <w:r w:rsidRPr="00002598" w:rsidR="00F57CCE">
        <w:rPr>
          <w:rStyle w:val="Heading2Char"/>
        </w:rPr>
        <w:t xml:space="preserve"> Ohio consumers</w:t>
      </w:r>
      <w:r w:rsidRPr="00002598">
        <w:rPr>
          <w:rStyle w:val="Heading2Char"/>
        </w:rPr>
        <w:t>.</w:t>
      </w:r>
      <w:r w:rsidRPr="00002598" w:rsidR="003874E3">
        <w:rPr>
          <w:rStyle w:val="Heading2Char"/>
        </w:rPr>
        <w:t xml:space="preserve"> </w:t>
      </w:r>
      <w:r w:rsidR="00380EC1">
        <w:rPr>
          <w:rStyle w:val="Heading2Char"/>
        </w:rPr>
        <w:t xml:space="preserve">To protect consumers, </w:t>
      </w:r>
      <w:r w:rsidRPr="00002598" w:rsidR="009711E5">
        <w:rPr>
          <w:rStyle w:val="Heading2Char"/>
        </w:rPr>
        <w:t>Green Choice’s certificates should be permanently rescinded.</w:t>
      </w:r>
      <w:bookmarkEnd w:id="9"/>
    </w:p>
    <w:p w:rsidR="009711E5" w:rsidRPr="009711E5" w:rsidP="009711E5" w14:paraId="13CAFFFD" w14:textId="77777777">
      <w:pPr>
        <w:pStyle w:val="ListParagraph"/>
        <w:tabs>
          <w:tab w:val="left" w:pos="720"/>
          <w:tab w:val="left" w:pos="1440"/>
          <w:tab w:val="left" w:leader="dot" w:pos="8640"/>
        </w:tabs>
        <w:rPr>
          <w:b/>
          <w:bCs/>
        </w:rPr>
      </w:pPr>
    </w:p>
    <w:p w:rsidR="003B0B72" w:rsidP="00C62BF6" w14:paraId="1BD15B12" w14:textId="7EA3DAEA">
      <w:pPr>
        <w:tabs>
          <w:tab w:val="left" w:pos="720"/>
          <w:tab w:val="left" w:pos="1440"/>
          <w:tab w:val="left" w:leader="dot" w:pos="8640"/>
        </w:tabs>
        <w:spacing w:line="480" w:lineRule="auto"/>
        <w:rPr>
          <w:szCs w:val="24"/>
        </w:rPr>
      </w:pPr>
      <w:r w:rsidRPr="00312306">
        <w:rPr>
          <w:szCs w:val="24"/>
        </w:rPr>
        <w:tab/>
      </w:r>
      <w:r w:rsidRPr="001B5005">
        <w:rPr>
          <w:szCs w:val="24"/>
        </w:rPr>
        <w:t>On April 18, 2022, the PUCO Staff requested that the PUCO open an investigation to review Green Choice’s compliance with Ohio law and PUCO rules regarding marketing and enrollment practices in the state.</w:t>
      </w:r>
      <w:r>
        <w:rPr>
          <w:szCs w:val="24"/>
          <w:vertAlign w:val="superscript"/>
        </w:rPr>
        <w:footnoteReference w:id="13"/>
      </w:r>
      <w:r w:rsidRPr="001B5005">
        <w:rPr>
          <w:szCs w:val="24"/>
        </w:rPr>
        <w:t xml:space="preserve"> </w:t>
      </w:r>
      <w:r>
        <w:rPr>
          <w:szCs w:val="24"/>
        </w:rPr>
        <w:t>On April 20, 2022, the PUCO opened an investigation and directed Green Choice to “show cause” as to why its certifications as an electric and natural gas marketer should not be suspended, rescinded, or conditionally rescinded in accordance with Ohio law.</w:t>
      </w:r>
      <w:r>
        <w:rPr>
          <w:rStyle w:val="FootnoteReference"/>
          <w:szCs w:val="24"/>
        </w:rPr>
        <w:footnoteReference w:id="14"/>
      </w:r>
      <w:r>
        <w:rPr>
          <w:szCs w:val="24"/>
        </w:rPr>
        <w:t xml:space="preserve"> Green Choice has failed to show cause why</w:t>
      </w:r>
      <w:r w:rsidR="00BA3EC2">
        <w:rPr>
          <w:szCs w:val="24"/>
        </w:rPr>
        <w:t xml:space="preserve"> it should not be fined and</w:t>
      </w:r>
      <w:r>
        <w:rPr>
          <w:szCs w:val="24"/>
        </w:rPr>
        <w:t xml:space="preserve"> its certificates should not be permanently rescinded. </w:t>
      </w:r>
    </w:p>
    <w:p w:rsidR="00C62BF6" w:rsidRPr="001B5005" w:rsidP="00C62BF6" w14:paraId="3096EFAB" w14:textId="242CDC51">
      <w:pPr>
        <w:tabs>
          <w:tab w:val="left" w:pos="720"/>
          <w:tab w:val="left" w:pos="1440"/>
          <w:tab w:val="left" w:leader="dot" w:pos="8640"/>
        </w:tabs>
        <w:spacing w:line="480" w:lineRule="auto"/>
        <w:rPr>
          <w:szCs w:val="24"/>
        </w:rPr>
      </w:pPr>
      <w:r>
        <w:rPr>
          <w:szCs w:val="24"/>
        </w:rPr>
        <w:tab/>
      </w:r>
      <w:r w:rsidRPr="001B5005">
        <w:rPr>
          <w:szCs w:val="24"/>
        </w:rPr>
        <w:t xml:space="preserve">Prior to </w:t>
      </w:r>
      <w:r w:rsidR="00846B8F">
        <w:rPr>
          <w:szCs w:val="24"/>
        </w:rPr>
        <w:t>its</w:t>
      </w:r>
      <w:r w:rsidRPr="001B5005">
        <w:rPr>
          <w:szCs w:val="24"/>
        </w:rPr>
        <w:t xml:space="preserve"> request for a</w:t>
      </w:r>
      <w:r w:rsidR="00846B8F">
        <w:rPr>
          <w:szCs w:val="24"/>
        </w:rPr>
        <w:t>n investigation into Green Choice</w:t>
      </w:r>
      <w:r w:rsidRPr="001B5005">
        <w:rPr>
          <w:szCs w:val="24"/>
        </w:rPr>
        <w:t xml:space="preserve">, </w:t>
      </w:r>
      <w:r w:rsidR="00895EAF">
        <w:rPr>
          <w:szCs w:val="24"/>
        </w:rPr>
        <w:t xml:space="preserve">the </w:t>
      </w:r>
      <w:r>
        <w:rPr>
          <w:szCs w:val="24"/>
        </w:rPr>
        <w:t xml:space="preserve">PUCO </w:t>
      </w:r>
      <w:r w:rsidRPr="001B5005">
        <w:rPr>
          <w:szCs w:val="24"/>
        </w:rPr>
        <w:t>Staff issued a Notice of Probable Non-Compliance</w:t>
      </w:r>
      <w:r w:rsidR="00846B8F">
        <w:rPr>
          <w:szCs w:val="24"/>
        </w:rPr>
        <w:t xml:space="preserve"> to Green Choice identifying </w:t>
      </w:r>
      <w:r w:rsidR="00895EAF">
        <w:rPr>
          <w:szCs w:val="24"/>
        </w:rPr>
        <w:t>numerous</w:t>
      </w:r>
      <w:r w:rsidRPr="001B5005">
        <w:rPr>
          <w:szCs w:val="24"/>
        </w:rPr>
        <w:t xml:space="preserve"> instances </w:t>
      </w:r>
      <w:r w:rsidR="00846B8F">
        <w:rPr>
          <w:szCs w:val="24"/>
        </w:rPr>
        <w:t xml:space="preserve">where </w:t>
      </w:r>
      <w:r w:rsidR="000C1C75">
        <w:rPr>
          <w:szCs w:val="24"/>
        </w:rPr>
        <w:t xml:space="preserve">Green Choice’s telemarketing and door-to-door sales agents provided </w:t>
      </w:r>
      <w:r w:rsidR="00846B8F">
        <w:rPr>
          <w:szCs w:val="24"/>
        </w:rPr>
        <w:t>misleading and deceptive</w:t>
      </w:r>
      <w:r w:rsidRPr="001B5005">
        <w:rPr>
          <w:szCs w:val="24"/>
        </w:rPr>
        <w:t xml:space="preserve"> information to consumers.</w:t>
      </w:r>
      <w:r>
        <w:rPr>
          <w:szCs w:val="24"/>
          <w:vertAlign w:val="superscript"/>
        </w:rPr>
        <w:footnoteReference w:id="15"/>
      </w:r>
      <w:r w:rsidRPr="001B5005">
        <w:rPr>
          <w:szCs w:val="24"/>
        </w:rPr>
        <w:t xml:space="preserve"> </w:t>
      </w:r>
      <w:r w:rsidR="000C1C75">
        <w:rPr>
          <w:szCs w:val="24"/>
        </w:rPr>
        <w:t>OCC witness Williams testified that t</w:t>
      </w:r>
      <w:r w:rsidR="00846B8F">
        <w:rPr>
          <w:szCs w:val="24"/>
        </w:rPr>
        <w:t>he</w:t>
      </w:r>
      <w:r w:rsidRPr="001B5005">
        <w:rPr>
          <w:szCs w:val="24"/>
        </w:rPr>
        <w:t xml:space="preserve"> Notice of Probable Non-Compliance</w:t>
      </w:r>
      <w:r w:rsidR="00B82F6F">
        <w:rPr>
          <w:szCs w:val="24"/>
        </w:rPr>
        <w:t xml:space="preserve"> alleged rampant</w:t>
      </w:r>
      <w:r w:rsidRPr="001B5005">
        <w:rPr>
          <w:szCs w:val="24"/>
        </w:rPr>
        <w:t xml:space="preserve"> unfair, deceptive</w:t>
      </w:r>
      <w:r w:rsidRPr="00312306">
        <w:rPr>
          <w:szCs w:val="24"/>
        </w:rPr>
        <w:t>,</w:t>
      </w:r>
      <w:r w:rsidRPr="001B5005">
        <w:rPr>
          <w:szCs w:val="24"/>
        </w:rPr>
        <w:t xml:space="preserve"> and unconscionable acts and practices</w:t>
      </w:r>
      <w:r w:rsidR="00B82F6F">
        <w:rPr>
          <w:szCs w:val="24"/>
        </w:rPr>
        <w:t xml:space="preserve"> by Green Choice</w:t>
      </w:r>
      <w:r w:rsidRPr="001B5005">
        <w:rPr>
          <w:szCs w:val="24"/>
        </w:rPr>
        <w:t xml:space="preserve"> in the marketing, solicitation, and sales of electric and natural gas service.</w:t>
      </w:r>
      <w:r>
        <w:rPr>
          <w:szCs w:val="24"/>
          <w:vertAlign w:val="superscript"/>
        </w:rPr>
        <w:footnoteReference w:id="16"/>
      </w:r>
      <w:r w:rsidR="00846B8F">
        <w:rPr>
          <w:szCs w:val="24"/>
        </w:rPr>
        <w:t xml:space="preserve"> </w:t>
      </w:r>
      <w:r w:rsidR="00B82F6F">
        <w:rPr>
          <w:szCs w:val="24"/>
        </w:rPr>
        <w:t xml:space="preserve">Among other things, the </w:t>
      </w:r>
      <w:r w:rsidR="00846B8F">
        <w:rPr>
          <w:szCs w:val="24"/>
        </w:rPr>
        <w:t xml:space="preserve">PUCO Staff alleged that Green Choice did </w:t>
      </w:r>
      <w:r w:rsidRPr="001B5005">
        <w:rPr>
          <w:szCs w:val="24"/>
        </w:rPr>
        <w:t>the following</w:t>
      </w:r>
      <w:r w:rsidR="003D48D3">
        <w:rPr>
          <w:szCs w:val="24"/>
        </w:rPr>
        <w:t xml:space="preserve"> in violation of the PUCO’s rules</w:t>
      </w:r>
      <w:r w:rsidRPr="001B5005">
        <w:rPr>
          <w:szCs w:val="24"/>
        </w:rPr>
        <w:t>:</w:t>
      </w:r>
    </w:p>
    <w:p w:rsidR="00C62BF6" w:rsidRPr="00312306" w:rsidP="00C62BF6" w14:paraId="2975520F" w14:textId="77777777">
      <w:pPr>
        <w:numPr>
          <w:ilvl w:val="0"/>
          <w:numId w:val="16"/>
        </w:numPr>
        <w:tabs>
          <w:tab w:val="left" w:pos="1530"/>
          <w:tab w:val="left" w:leader="dot" w:pos="8640"/>
        </w:tabs>
        <w:ind w:left="1440" w:hanging="720"/>
        <w:contextualSpacing/>
        <w:rPr>
          <w:szCs w:val="24"/>
        </w:rPr>
      </w:pPr>
      <w:r w:rsidRPr="001B5005">
        <w:rPr>
          <w:szCs w:val="24"/>
        </w:rPr>
        <w:t>Manipulated recordings to make it appear that sales calls were legitimate;</w:t>
      </w:r>
    </w:p>
    <w:p w:rsidR="00C62BF6" w:rsidRPr="001B5005" w:rsidP="00C62BF6" w14:paraId="14D9C23F" w14:textId="77777777">
      <w:pPr>
        <w:tabs>
          <w:tab w:val="left" w:pos="1530"/>
          <w:tab w:val="left" w:leader="dot" w:pos="8640"/>
        </w:tabs>
        <w:ind w:left="1440"/>
        <w:contextualSpacing/>
        <w:rPr>
          <w:szCs w:val="24"/>
        </w:rPr>
      </w:pPr>
    </w:p>
    <w:p w:rsidR="00C62BF6" w:rsidRPr="00312306" w:rsidP="00C62BF6" w14:paraId="00FDB897" w14:textId="1F2EF036">
      <w:pPr>
        <w:numPr>
          <w:ilvl w:val="0"/>
          <w:numId w:val="16"/>
        </w:numPr>
        <w:tabs>
          <w:tab w:val="left" w:pos="1530"/>
          <w:tab w:val="left" w:leader="dot" w:pos="8640"/>
        </w:tabs>
        <w:ind w:left="1440" w:hanging="720"/>
        <w:contextualSpacing/>
        <w:rPr>
          <w:szCs w:val="24"/>
        </w:rPr>
      </w:pPr>
      <w:r w:rsidRPr="001B5005">
        <w:rPr>
          <w:szCs w:val="24"/>
        </w:rPr>
        <w:t>Used spoofing technology (the practice where the caller uses a fake caller ID so that the person receiving the call thinks the call is coming from</w:t>
      </w:r>
      <w:r w:rsidR="00992055">
        <w:rPr>
          <w:szCs w:val="24"/>
        </w:rPr>
        <w:t xml:space="preserve"> someone the person knows</w:t>
      </w:r>
      <w:r w:rsidRPr="001B5005">
        <w:rPr>
          <w:szCs w:val="24"/>
        </w:rPr>
        <w:t>)</w:t>
      </w:r>
      <w:r w:rsidRPr="00312306">
        <w:rPr>
          <w:szCs w:val="24"/>
        </w:rPr>
        <w:t>;</w:t>
      </w:r>
    </w:p>
    <w:p w:rsidR="00C62BF6" w:rsidRPr="001B5005" w:rsidP="00C62BF6" w14:paraId="209F3A32" w14:textId="77777777">
      <w:pPr>
        <w:tabs>
          <w:tab w:val="left" w:pos="1530"/>
          <w:tab w:val="left" w:leader="dot" w:pos="8640"/>
        </w:tabs>
        <w:ind w:left="1440"/>
        <w:contextualSpacing/>
        <w:rPr>
          <w:szCs w:val="24"/>
        </w:rPr>
      </w:pPr>
    </w:p>
    <w:p w:rsidR="00C62BF6" w:rsidRPr="00312306" w:rsidP="00C62BF6" w14:paraId="178852A1" w14:textId="5BA746C8">
      <w:pPr>
        <w:numPr>
          <w:ilvl w:val="0"/>
          <w:numId w:val="16"/>
        </w:numPr>
        <w:tabs>
          <w:tab w:val="left" w:pos="1530"/>
          <w:tab w:val="left" w:leader="dot" w:pos="8640"/>
        </w:tabs>
        <w:ind w:left="1440" w:hanging="720"/>
        <w:contextualSpacing/>
        <w:rPr>
          <w:szCs w:val="24"/>
        </w:rPr>
      </w:pPr>
      <w:r w:rsidRPr="001B5005">
        <w:rPr>
          <w:szCs w:val="24"/>
        </w:rPr>
        <w:t xml:space="preserve">Provided misleading and deceptive information to consumers at their front doors like they </w:t>
      </w:r>
      <w:r w:rsidR="00767A31">
        <w:rPr>
          <w:szCs w:val="24"/>
        </w:rPr>
        <w:t>were</w:t>
      </w:r>
      <w:r w:rsidRPr="001B5005">
        <w:rPr>
          <w:szCs w:val="24"/>
        </w:rPr>
        <w:t xml:space="preserve"> representing the utility, or falsified reasons why they needed to see the bill, etc.;</w:t>
      </w:r>
    </w:p>
    <w:p w:rsidR="00C62BF6" w:rsidRPr="001B5005" w:rsidP="00C62BF6" w14:paraId="63D6ADE2" w14:textId="77777777">
      <w:pPr>
        <w:tabs>
          <w:tab w:val="left" w:pos="1530"/>
          <w:tab w:val="left" w:leader="dot" w:pos="8640"/>
        </w:tabs>
        <w:ind w:left="1440"/>
        <w:contextualSpacing/>
        <w:rPr>
          <w:szCs w:val="24"/>
        </w:rPr>
      </w:pPr>
    </w:p>
    <w:p w:rsidR="00C62BF6" w:rsidRPr="001B5005" w:rsidP="00C62BF6" w14:paraId="3DD9B2EC" w14:textId="62263F0C">
      <w:pPr>
        <w:numPr>
          <w:ilvl w:val="0"/>
          <w:numId w:val="16"/>
        </w:numPr>
        <w:tabs>
          <w:tab w:val="left" w:pos="1530"/>
          <w:tab w:val="left" w:leader="dot" w:pos="8640"/>
        </w:tabs>
        <w:ind w:left="1440" w:hanging="720"/>
        <w:contextualSpacing/>
        <w:rPr>
          <w:szCs w:val="24"/>
        </w:rPr>
      </w:pPr>
      <w:r w:rsidRPr="001B5005">
        <w:rPr>
          <w:szCs w:val="24"/>
        </w:rPr>
        <w:t>Engaged in the unlawful anticompetitive behavior of changing consumers</w:t>
      </w:r>
      <w:r w:rsidR="00895EAF">
        <w:rPr>
          <w:szCs w:val="24"/>
        </w:rPr>
        <w:t>’</w:t>
      </w:r>
      <w:r w:rsidRPr="001B5005">
        <w:rPr>
          <w:szCs w:val="24"/>
        </w:rPr>
        <w:t xml:space="preserve"> supplier without consent</w:t>
      </w:r>
      <w:r w:rsidRPr="00312306">
        <w:rPr>
          <w:szCs w:val="24"/>
        </w:rPr>
        <w:t>—</w:t>
      </w:r>
      <w:r w:rsidRPr="001B5005">
        <w:rPr>
          <w:szCs w:val="24"/>
        </w:rPr>
        <w:t>known as “slamming”;</w:t>
      </w:r>
      <w:r>
        <w:rPr>
          <w:szCs w:val="24"/>
          <w:vertAlign w:val="superscript"/>
        </w:rPr>
        <w:footnoteReference w:id="17"/>
      </w:r>
    </w:p>
    <w:p w:rsidR="00C62BF6" w:rsidRPr="00312306" w:rsidP="00C62BF6" w14:paraId="63B1D49C" w14:textId="77777777">
      <w:pPr>
        <w:tabs>
          <w:tab w:val="left" w:pos="1530"/>
          <w:tab w:val="left" w:leader="dot" w:pos="8640"/>
        </w:tabs>
        <w:ind w:left="1440"/>
        <w:contextualSpacing/>
        <w:rPr>
          <w:szCs w:val="24"/>
        </w:rPr>
      </w:pPr>
    </w:p>
    <w:p w:rsidR="00C62BF6" w:rsidRPr="001B5005" w:rsidP="00C62BF6" w14:paraId="38364C73" w14:textId="77777777">
      <w:pPr>
        <w:numPr>
          <w:ilvl w:val="0"/>
          <w:numId w:val="16"/>
        </w:numPr>
        <w:tabs>
          <w:tab w:val="left" w:pos="1530"/>
          <w:tab w:val="left" w:leader="dot" w:pos="8640"/>
        </w:tabs>
        <w:ind w:left="1440" w:hanging="720"/>
        <w:contextualSpacing/>
        <w:rPr>
          <w:szCs w:val="24"/>
        </w:rPr>
      </w:pPr>
      <w:r w:rsidRPr="001B5005">
        <w:rPr>
          <w:szCs w:val="24"/>
        </w:rPr>
        <w:t>Misrepresented the high rates that consumers would be charged for Green Choice products and services compared to the utility’s standard offer;</w:t>
      </w:r>
    </w:p>
    <w:p w:rsidR="00C62BF6" w:rsidRPr="00312306" w:rsidP="00C62BF6" w14:paraId="161FA136" w14:textId="77777777">
      <w:pPr>
        <w:tabs>
          <w:tab w:val="left" w:pos="1530"/>
          <w:tab w:val="left" w:leader="dot" w:pos="8640"/>
        </w:tabs>
        <w:ind w:left="1440"/>
        <w:contextualSpacing/>
        <w:rPr>
          <w:szCs w:val="24"/>
        </w:rPr>
      </w:pPr>
    </w:p>
    <w:p w:rsidR="00C62BF6" w:rsidRPr="001B5005" w:rsidP="00C62BF6" w14:paraId="56784864" w14:textId="52899A2F">
      <w:pPr>
        <w:numPr>
          <w:ilvl w:val="0"/>
          <w:numId w:val="16"/>
        </w:numPr>
        <w:tabs>
          <w:tab w:val="left" w:pos="1530"/>
          <w:tab w:val="left" w:leader="dot" w:pos="8640"/>
        </w:tabs>
        <w:ind w:left="1440" w:hanging="720"/>
        <w:contextualSpacing/>
        <w:rPr>
          <w:szCs w:val="24"/>
        </w:rPr>
      </w:pPr>
      <w:r w:rsidRPr="001B5005">
        <w:rPr>
          <w:szCs w:val="24"/>
        </w:rPr>
        <w:t xml:space="preserve">Misrepresented the potential for saving money on consumer bills when in fact, any savings </w:t>
      </w:r>
      <w:r w:rsidR="00846B8F">
        <w:rPr>
          <w:szCs w:val="24"/>
        </w:rPr>
        <w:t>were</w:t>
      </w:r>
      <w:r w:rsidRPr="001B5005">
        <w:rPr>
          <w:szCs w:val="24"/>
        </w:rPr>
        <w:t xml:space="preserve"> highly doubtful;</w:t>
      </w:r>
    </w:p>
    <w:p w:rsidR="00C62BF6" w:rsidRPr="00312306" w:rsidP="00C62BF6" w14:paraId="5F7E11DF" w14:textId="77777777">
      <w:pPr>
        <w:tabs>
          <w:tab w:val="left" w:pos="1530"/>
          <w:tab w:val="left" w:leader="dot" w:pos="8640"/>
        </w:tabs>
        <w:ind w:left="1440"/>
        <w:contextualSpacing/>
        <w:rPr>
          <w:szCs w:val="24"/>
        </w:rPr>
      </w:pPr>
    </w:p>
    <w:p w:rsidR="00C62BF6" w:rsidRPr="001B5005" w:rsidP="00C62BF6" w14:paraId="02808749" w14:textId="77777777">
      <w:pPr>
        <w:numPr>
          <w:ilvl w:val="0"/>
          <w:numId w:val="16"/>
        </w:numPr>
        <w:tabs>
          <w:tab w:val="left" w:pos="1530"/>
          <w:tab w:val="left" w:leader="dot" w:pos="8640"/>
        </w:tabs>
        <w:ind w:left="1440" w:hanging="720"/>
        <w:contextualSpacing/>
        <w:rPr>
          <w:szCs w:val="24"/>
        </w:rPr>
      </w:pPr>
      <w:r w:rsidRPr="001B5005">
        <w:rPr>
          <w:szCs w:val="24"/>
        </w:rPr>
        <w:t>Caused consumer initials to be forged on contract documents;</w:t>
      </w:r>
    </w:p>
    <w:p w:rsidR="00C62BF6" w:rsidRPr="00312306" w:rsidP="00C62BF6" w14:paraId="17D2A4E2" w14:textId="77777777">
      <w:pPr>
        <w:tabs>
          <w:tab w:val="left" w:pos="1530"/>
          <w:tab w:val="left" w:leader="dot" w:pos="8640"/>
        </w:tabs>
        <w:ind w:left="1440"/>
        <w:contextualSpacing/>
        <w:rPr>
          <w:szCs w:val="24"/>
        </w:rPr>
      </w:pPr>
    </w:p>
    <w:p w:rsidR="00C62BF6" w:rsidRPr="00312306" w:rsidP="00C62BF6" w14:paraId="070C2FC6" w14:textId="0BFEFF2A">
      <w:pPr>
        <w:numPr>
          <w:ilvl w:val="0"/>
          <w:numId w:val="16"/>
        </w:numPr>
        <w:tabs>
          <w:tab w:val="left" w:pos="1530"/>
          <w:tab w:val="left" w:leader="dot" w:pos="8640"/>
        </w:tabs>
        <w:ind w:left="1440" w:hanging="720"/>
        <w:contextualSpacing/>
        <w:rPr>
          <w:szCs w:val="24"/>
        </w:rPr>
      </w:pPr>
      <w:r w:rsidRPr="001B5005">
        <w:rPr>
          <w:szCs w:val="24"/>
        </w:rPr>
        <w:t xml:space="preserve">Violated PUCO rules by Green Choice </w:t>
      </w:r>
      <w:r w:rsidR="00992055">
        <w:rPr>
          <w:szCs w:val="24"/>
        </w:rPr>
        <w:t>sales agents</w:t>
      </w:r>
      <w:r w:rsidRPr="001B5005">
        <w:rPr>
          <w:szCs w:val="24"/>
        </w:rPr>
        <w:t xml:space="preserve"> remaining at the consumer</w:t>
      </w:r>
      <w:r w:rsidR="00461250">
        <w:rPr>
          <w:szCs w:val="24"/>
        </w:rPr>
        <w:t>’</w:t>
      </w:r>
      <w:r w:rsidRPr="001B5005">
        <w:rPr>
          <w:szCs w:val="24"/>
        </w:rPr>
        <w:t>s home during the conduct of independent third-party verification of the enrollments;</w:t>
      </w:r>
    </w:p>
    <w:p w:rsidR="00C62BF6" w:rsidRPr="001B5005" w:rsidP="00C62BF6" w14:paraId="799175D9" w14:textId="77777777">
      <w:pPr>
        <w:tabs>
          <w:tab w:val="left" w:pos="1530"/>
          <w:tab w:val="left" w:leader="dot" w:pos="8640"/>
        </w:tabs>
        <w:contextualSpacing/>
        <w:rPr>
          <w:szCs w:val="24"/>
        </w:rPr>
      </w:pPr>
    </w:p>
    <w:p w:rsidR="00C62BF6" w:rsidRPr="001B5005" w:rsidP="00C62BF6" w14:paraId="5C630B81" w14:textId="77777777">
      <w:pPr>
        <w:numPr>
          <w:ilvl w:val="0"/>
          <w:numId w:val="16"/>
        </w:numPr>
        <w:tabs>
          <w:tab w:val="left" w:pos="1530"/>
          <w:tab w:val="left" w:leader="dot" w:pos="8640"/>
        </w:tabs>
        <w:ind w:left="1440" w:hanging="720"/>
        <w:contextualSpacing/>
        <w:rPr>
          <w:szCs w:val="24"/>
        </w:rPr>
      </w:pPr>
      <w:r w:rsidRPr="001B5005">
        <w:rPr>
          <w:szCs w:val="24"/>
        </w:rPr>
        <w:t>Violated PUCO rules regarding contracting practices and the disclosure of the $5.00 monthly fee charged to consumers for Green Choice service;</w:t>
      </w:r>
    </w:p>
    <w:p w:rsidR="00C62BF6" w:rsidRPr="00312306" w:rsidP="00C62BF6" w14:paraId="5EBD2F80" w14:textId="77777777">
      <w:pPr>
        <w:tabs>
          <w:tab w:val="left" w:pos="1530"/>
          <w:tab w:val="left" w:leader="dot" w:pos="8640"/>
        </w:tabs>
        <w:ind w:left="1440"/>
        <w:contextualSpacing/>
        <w:rPr>
          <w:szCs w:val="24"/>
        </w:rPr>
      </w:pPr>
    </w:p>
    <w:p w:rsidR="00C62BF6" w:rsidRPr="001B5005" w:rsidP="00C62BF6" w14:paraId="1AD420F6" w14:textId="34391892">
      <w:pPr>
        <w:numPr>
          <w:ilvl w:val="0"/>
          <w:numId w:val="16"/>
        </w:numPr>
        <w:tabs>
          <w:tab w:val="left" w:pos="1530"/>
          <w:tab w:val="left" w:leader="dot" w:pos="8640"/>
        </w:tabs>
        <w:ind w:left="1440" w:hanging="720"/>
        <w:contextualSpacing/>
        <w:rPr>
          <w:szCs w:val="24"/>
        </w:rPr>
      </w:pPr>
      <w:r w:rsidRPr="001B5005">
        <w:rPr>
          <w:szCs w:val="24"/>
        </w:rPr>
        <w:t xml:space="preserve">Placed consumers’ health and safety at risk by failing to comply with PUCO orders to inform the PUCO Staff before resuming door-to-door marketing during the </w:t>
      </w:r>
      <w:r w:rsidR="00461250">
        <w:rPr>
          <w:szCs w:val="24"/>
        </w:rPr>
        <w:t>c</w:t>
      </w:r>
      <w:r w:rsidRPr="001B5005">
        <w:rPr>
          <w:szCs w:val="24"/>
        </w:rPr>
        <w:t>oronavirus pandemic;</w:t>
      </w:r>
    </w:p>
    <w:p w:rsidR="00C62BF6" w:rsidRPr="00312306" w:rsidP="00C62BF6" w14:paraId="57014094" w14:textId="77777777">
      <w:pPr>
        <w:tabs>
          <w:tab w:val="left" w:pos="1530"/>
          <w:tab w:val="left" w:leader="dot" w:pos="8640"/>
        </w:tabs>
        <w:ind w:left="1440"/>
        <w:contextualSpacing/>
        <w:rPr>
          <w:szCs w:val="24"/>
        </w:rPr>
      </w:pPr>
    </w:p>
    <w:p w:rsidR="00C62BF6" w:rsidRPr="001B5005" w:rsidP="00C62BF6" w14:paraId="661744FB" w14:textId="77777777">
      <w:pPr>
        <w:numPr>
          <w:ilvl w:val="0"/>
          <w:numId w:val="16"/>
        </w:numPr>
        <w:tabs>
          <w:tab w:val="left" w:pos="1530"/>
          <w:tab w:val="left" w:leader="dot" w:pos="8640"/>
        </w:tabs>
        <w:ind w:left="1440" w:hanging="720"/>
        <w:contextualSpacing/>
        <w:rPr>
          <w:szCs w:val="24"/>
        </w:rPr>
      </w:pPr>
      <w:r w:rsidRPr="001B5005">
        <w:rPr>
          <w:szCs w:val="24"/>
        </w:rPr>
        <w:t>Failed to manage agents working on behalf of Green Choice to comply with PUCO mandates over competitive sales, marketing and enrollments;</w:t>
      </w:r>
    </w:p>
    <w:p w:rsidR="00C62BF6" w:rsidRPr="00312306" w:rsidP="00C62BF6" w14:paraId="25BE3B82" w14:textId="77777777">
      <w:pPr>
        <w:tabs>
          <w:tab w:val="left" w:pos="1530"/>
          <w:tab w:val="left" w:leader="dot" w:pos="8640"/>
        </w:tabs>
        <w:ind w:left="1440"/>
        <w:contextualSpacing/>
        <w:rPr>
          <w:szCs w:val="24"/>
        </w:rPr>
      </w:pPr>
    </w:p>
    <w:p w:rsidR="00C62BF6" w:rsidRPr="001B5005" w:rsidP="00C62BF6" w14:paraId="0DFDBA67" w14:textId="77777777">
      <w:pPr>
        <w:numPr>
          <w:ilvl w:val="0"/>
          <w:numId w:val="16"/>
        </w:numPr>
        <w:tabs>
          <w:tab w:val="left" w:pos="1530"/>
          <w:tab w:val="left" w:leader="dot" w:pos="8640"/>
        </w:tabs>
        <w:ind w:left="1440" w:hanging="720"/>
        <w:contextualSpacing/>
        <w:rPr>
          <w:szCs w:val="24"/>
        </w:rPr>
      </w:pPr>
      <w:r w:rsidRPr="001B5005">
        <w:rPr>
          <w:szCs w:val="24"/>
        </w:rPr>
        <w:t xml:space="preserve">Failed to ensure adequate quality control over sales calls and the independent third-party verification of enrollments to weed out unlawful enrollments; </w:t>
      </w:r>
    </w:p>
    <w:p w:rsidR="00C62BF6" w:rsidRPr="00312306" w:rsidP="00C62BF6" w14:paraId="59E4C288" w14:textId="77777777">
      <w:pPr>
        <w:tabs>
          <w:tab w:val="left" w:pos="1530"/>
          <w:tab w:val="left" w:leader="dot" w:pos="8640"/>
        </w:tabs>
        <w:ind w:left="1440"/>
        <w:contextualSpacing/>
        <w:rPr>
          <w:szCs w:val="24"/>
        </w:rPr>
      </w:pPr>
    </w:p>
    <w:p w:rsidR="00C62BF6" w:rsidRPr="00312306" w:rsidP="00C62BF6" w14:paraId="3807AF54" w14:textId="77777777">
      <w:pPr>
        <w:numPr>
          <w:ilvl w:val="0"/>
          <w:numId w:val="16"/>
        </w:numPr>
        <w:tabs>
          <w:tab w:val="left" w:pos="1530"/>
          <w:tab w:val="left" w:leader="dot" w:pos="8640"/>
        </w:tabs>
        <w:ind w:left="1440" w:hanging="720"/>
        <w:contextualSpacing/>
        <w:rPr>
          <w:szCs w:val="24"/>
        </w:rPr>
      </w:pPr>
      <w:r w:rsidRPr="001B5005">
        <w:rPr>
          <w:szCs w:val="24"/>
        </w:rPr>
        <w:t>Violated the PUCO’s telephonic third-party verification rules by sending contracts to consumers by text message to engage in third-party verification over their computer without independent consumer protections.</w:t>
      </w:r>
      <w:r>
        <w:rPr>
          <w:szCs w:val="24"/>
          <w:vertAlign w:val="superscript"/>
        </w:rPr>
        <w:footnoteReference w:id="18"/>
      </w:r>
    </w:p>
    <w:p w:rsidR="00C62BF6" w:rsidRPr="00312306" w:rsidP="00C62BF6" w14:paraId="71F7B0F9" w14:textId="77777777">
      <w:pPr>
        <w:tabs>
          <w:tab w:val="left" w:pos="1530"/>
          <w:tab w:val="left" w:leader="dot" w:pos="8640"/>
        </w:tabs>
        <w:contextualSpacing/>
        <w:rPr>
          <w:szCs w:val="24"/>
        </w:rPr>
      </w:pPr>
    </w:p>
    <w:p w:rsidR="0077248A" w:rsidP="00C62BF6" w14:paraId="14A421B8" w14:textId="78E62DD1">
      <w:pPr>
        <w:tabs>
          <w:tab w:val="left" w:pos="720"/>
          <w:tab w:val="left" w:leader="dot" w:pos="8640"/>
        </w:tabs>
        <w:spacing w:line="480" w:lineRule="auto"/>
        <w:rPr>
          <w:szCs w:val="24"/>
        </w:rPr>
      </w:pPr>
      <w:r w:rsidRPr="00312306">
        <w:rPr>
          <w:szCs w:val="24"/>
        </w:rPr>
        <w:t>According to</w:t>
      </w:r>
      <w:r w:rsidR="003D48D3">
        <w:rPr>
          <w:szCs w:val="24"/>
        </w:rPr>
        <w:t xml:space="preserve"> OCC witness</w:t>
      </w:r>
      <w:r w:rsidRPr="00312306">
        <w:rPr>
          <w:szCs w:val="24"/>
        </w:rPr>
        <w:t xml:space="preserve"> Williams’ analysis, t</w:t>
      </w:r>
      <w:r w:rsidRPr="001B5005">
        <w:rPr>
          <w:szCs w:val="24"/>
        </w:rPr>
        <w:t>he PUCO Staff identified no less than sixteen specific violations of the PUCO</w:t>
      </w:r>
      <w:r w:rsidR="00380EC1">
        <w:rPr>
          <w:szCs w:val="24"/>
        </w:rPr>
        <w:t>’s</w:t>
      </w:r>
      <w:r w:rsidRPr="001B5005">
        <w:rPr>
          <w:szCs w:val="24"/>
        </w:rPr>
        <w:t xml:space="preserve"> standards for marketing and enrollments that were allegedly committed by Green Choice.</w:t>
      </w:r>
      <w:r>
        <w:rPr>
          <w:szCs w:val="24"/>
          <w:vertAlign w:val="superscript"/>
        </w:rPr>
        <w:footnoteReference w:id="19"/>
      </w:r>
    </w:p>
    <w:p w:rsidR="00C62BF6" w:rsidP="00C62BF6" w14:paraId="464D3DD0" w14:textId="159AF762">
      <w:pPr>
        <w:tabs>
          <w:tab w:val="left" w:pos="720"/>
          <w:tab w:val="left" w:leader="dot" w:pos="8640"/>
        </w:tabs>
        <w:spacing w:line="480" w:lineRule="auto"/>
        <w:rPr>
          <w:szCs w:val="24"/>
        </w:rPr>
      </w:pPr>
      <w:r>
        <w:rPr>
          <w:szCs w:val="24"/>
        </w:rPr>
        <w:tab/>
      </w:r>
      <w:r w:rsidR="00697CA2">
        <w:rPr>
          <w:szCs w:val="24"/>
        </w:rPr>
        <w:t xml:space="preserve">On July 21, 2022, the PUCO Staff issued an amended Staff Report of its investigation of Green Choice. </w:t>
      </w:r>
      <w:r w:rsidR="00D7611D">
        <w:rPr>
          <w:szCs w:val="24"/>
        </w:rPr>
        <w:t>According to the Staff Report, the PUCO received 25 contacts from consumers regarding Green Choice between January 1, 2021 to July 20, 2021.</w:t>
      </w:r>
      <w:r>
        <w:rPr>
          <w:rStyle w:val="FootnoteReference"/>
          <w:szCs w:val="24"/>
        </w:rPr>
        <w:footnoteReference w:id="20"/>
      </w:r>
      <w:r w:rsidR="00D7611D">
        <w:rPr>
          <w:szCs w:val="24"/>
        </w:rPr>
        <w:t xml:space="preserve"> </w:t>
      </w:r>
      <w:r w:rsidR="00FC15BC">
        <w:rPr>
          <w:szCs w:val="24"/>
        </w:rPr>
        <w:t xml:space="preserve">These contacts related primarily to enrollment disputes. </w:t>
      </w:r>
      <w:r w:rsidR="00697CA2">
        <w:rPr>
          <w:szCs w:val="24"/>
        </w:rPr>
        <w:t xml:space="preserve">In addition to </w:t>
      </w:r>
      <w:r w:rsidR="00D7611D">
        <w:rPr>
          <w:szCs w:val="24"/>
        </w:rPr>
        <w:t>the</w:t>
      </w:r>
      <w:r w:rsidR="00697CA2">
        <w:rPr>
          <w:szCs w:val="24"/>
        </w:rPr>
        <w:t xml:space="preserve"> misleading and deceptive acts and practices identified in the Notice of Probable Non-Compliance</w:t>
      </w:r>
      <w:r w:rsidR="00D7611D">
        <w:rPr>
          <w:szCs w:val="24"/>
        </w:rPr>
        <w:t xml:space="preserve"> and Staff Report</w:t>
      </w:r>
      <w:r w:rsidR="00697CA2">
        <w:rPr>
          <w:szCs w:val="24"/>
        </w:rPr>
        <w:t xml:space="preserve">, the PUCO Staff found that </w:t>
      </w:r>
      <w:r w:rsidR="00D7611D">
        <w:rPr>
          <w:szCs w:val="24"/>
        </w:rPr>
        <w:t>Green Choice refused to provide important information regarding sales call recordings in response to PUCO Staff’s data requests.</w:t>
      </w:r>
      <w:r>
        <w:rPr>
          <w:rStyle w:val="FootnoteReference"/>
          <w:szCs w:val="24"/>
        </w:rPr>
        <w:footnoteReference w:id="21"/>
      </w:r>
      <w:r w:rsidR="00697CA2">
        <w:rPr>
          <w:szCs w:val="24"/>
        </w:rPr>
        <w:t xml:space="preserve"> </w:t>
      </w:r>
    </w:p>
    <w:p w:rsidR="003B0B72" w:rsidP="00992055" w14:paraId="048755A7" w14:textId="3159B5ED">
      <w:pPr>
        <w:tabs>
          <w:tab w:val="left" w:pos="720"/>
          <w:tab w:val="left" w:leader="dot" w:pos="8640"/>
        </w:tabs>
        <w:spacing w:line="480" w:lineRule="auto"/>
        <w:rPr>
          <w:szCs w:val="24"/>
        </w:rPr>
      </w:pPr>
      <w:r>
        <w:rPr>
          <w:szCs w:val="24"/>
        </w:rPr>
        <w:tab/>
        <w:t>Evidence presented during the hearing supports the allegations in the Notice of Probable Non-Compliance and the Staff Report. PUCO Staff witness</w:t>
      </w:r>
      <w:r w:rsidR="008A435E">
        <w:rPr>
          <w:szCs w:val="24"/>
        </w:rPr>
        <w:t>es</w:t>
      </w:r>
      <w:r>
        <w:rPr>
          <w:szCs w:val="24"/>
        </w:rPr>
        <w:t xml:space="preserve"> Ramsey</w:t>
      </w:r>
      <w:r w:rsidR="008A435E">
        <w:rPr>
          <w:szCs w:val="24"/>
        </w:rPr>
        <w:t xml:space="preserve"> and Boerstler testified </w:t>
      </w:r>
      <w:r w:rsidR="00461250">
        <w:rPr>
          <w:szCs w:val="24"/>
        </w:rPr>
        <w:t>about the</w:t>
      </w:r>
      <w:r w:rsidR="008A435E">
        <w:rPr>
          <w:szCs w:val="24"/>
        </w:rPr>
        <w:t xml:space="preserve"> complaints the PUCO received from consumers</w:t>
      </w:r>
      <w:r w:rsidR="00461250">
        <w:rPr>
          <w:szCs w:val="24"/>
        </w:rPr>
        <w:t xml:space="preserve"> regarding Green Choice</w:t>
      </w:r>
      <w:r w:rsidR="008A435E">
        <w:rPr>
          <w:szCs w:val="24"/>
        </w:rPr>
        <w:t>.</w:t>
      </w:r>
      <w:r>
        <w:rPr>
          <w:rStyle w:val="FootnoteReference"/>
          <w:szCs w:val="24"/>
        </w:rPr>
        <w:footnoteReference w:id="22"/>
      </w:r>
      <w:r>
        <w:rPr>
          <w:szCs w:val="24"/>
        </w:rPr>
        <w:t xml:space="preserve"> PUCO Staff witness Bossart</w:t>
      </w:r>
      <w:r w:rsidR="008A435E">
        <w:rPr>
          <w:szCs w:val="24"/>
        </w:rPr>
        <w:t xml:space="preserve"> further</w:t>
      </w:r>
      <w:r>
        <w:rPr>
          <w:szCs w:val="24"/>
        </w:rPr>
        <w:t xml:space="preserve"> testified regarding two separate misleading and deceptive telemarketing calls</w:t>
      </w:r>
      <w:r>
        <w:rPr>
          <w:szCs w:val="24"/>
        </w:rPr>
        <w:t xml:space="preserve"> that</w:t>
      </w:r>
      <w:r>
        <w:rPr>
          <w:szCs w:val="24"/>
        </w:rPr>
        <w:t xml:space="preserve"> she</w:t>
      </w:r>
      <w:r w:rsidR="009C15C5">
        <w:rPr>
          <w:szCs w:val="24"/>
        </w:rPr>
        <w:t xml:space="preserve"> personally</w:t>
      </w:r>
      <w:r>
        <w:rPr>
          <w:szCs w:val="24"/>
        </w:rPr>
        <w:t xml:space="preserve"> received from Green Choice.</w:t>
      </w:r>
      <w:r>
        <w:rPr>
          <w:rStyle w:val="FootnoteReference"/>
          <w:szCs w:val="24"/>
        </w:rPr>
        <w:footnoteReference w:id="23"/>
      </w:r>
      <w:r>
        <w:rPr>
          <w:szCs w:val="24"/>
        </w:rPr>
        <w:t xml:space="preserve"> </w:t>
      </w:r>
    </w:p>
    <w:p w:rsidR="00B86D93" w:rsidRPr="009C15C5" w:rsidP="00992055" w14:paraId="66B22174" w14:textId="498DD37A">
      <w:pPr>
        <w:tabs>
          <w:tab w:val="left" w:pos="720"/>
          <w:tab w:val="left" w:leader="dot" w:pos="8640"/>
        </w:tabs>
        <w:spacing w:line="480" w:lineRule="auto"/>
        <w:rPr>
          <w:szCs w:val="24"/>
        </w:rPr>
      </w:pPr>
      <w:r>
        <w:rPr>
          <w:szCs w:val="24"/>
        </w:rPr>
        <w:tab/>
      </w:r>
      <w:r w:rsidR="00B11235">
        <w:rPr>
          <w:szCs w:val="24"/>
        </w:rPr>
        <w:t xml:space="preserve">Ms. Bossart testified </w:t>
      </w:r>
      <w:r>
        <w:rPr>
          <w:szCs w:val="24"/>
        </w:rPr>
        <w:t>that the first call she received from Green Choice appeared to be spoofed, because the phone number on the caller identification had the same prefix as the local high school.</w:t>
      </w:r>
      <w:r>
        <w:rPr>
          <w:rStyle w:val="FootnoteReference"/>
          <w:szCs w:val="24"/>
        </w:rPr>
        <w:footnoteReference w:id="24"/>
      </w:r>
      <w:r>
        <w:rPr>
          <w:szCs w:val="24"/>
        </w:rPr>
        <w:t xml:space="preserve"> </w:t>
      </w:r>
      <w:r w:rsidR="009C15C5">
        <w:rPr>
          <w:szCs w:val="24"/>
        </w:rPr>
        <w:t>During the call, the</w:t>
      </w:r>
      <w:r>
        <w:rPr>
          <w:szCs w:val="24"/>
        </w:rPr>
        <w:t xml:space="preserve"> Green Choice sales agent informed Ms. Bossart that she was currently on a commercial rate and would be switched to a residential rate with Green Choice.</w:t>
      </w:r>
      <w:r>
        <w:rPr>
          <w:rStyle w:val="FootnoteReference"/>
          <w:szCs w:val="24"/>
        </w:rPr>
        <w:footnoteReference w:id="25"/>
      </w:r>
      <w:r>
        <w:rPr>
          <w:szCs w:val="24"/>
        </w:rPr>
        <w:t xml:space="preserve"> </w:t>
      </w:r>
      <w:r w:rsidR="009C15C5">
        <w:rPr>
          <w:szCs w:val="24"/>
        </w:rPr>
        <w:t>When Ms. Bossart proceeded to the third-party-verification portion of the call, she hung up because she did not want to enroll with Green Choice.</w:t>
      </w:r>
      <w:r>
        <w:rPr>
          <w:rStyle w:val="FootnoteReference"/>
          <w:szCs w:val="24"/>
        </w:rPr>
        <w:footnoteReference w:id="26"/>
      </w:r>
      <w:r w:rsidR="00B11235">
        <w:rPr>
          <w:szCs w:val="24"/>
        </w:rPr>
        <w:t xml:space="preserve"> </w:t>
      </w:r>
      <w:r w:rsidR="009C15C5">
        <w:rPr>
          <w:szCs w:val="24"/>
        </w:rPr>
        <w:t>That prompted the Green Choice sales agent to call Ms. Bossart back to resume the third-party-verification. Ms. Bossart disconnected the call again because she would not agree to receive text messages from Green Choice.</w:t>
      </w:r>
      <w:r>
        <w:rPr>
          <w:rStyle w:val="FootnoteReference"/>
          <w:szCs w:val="24"/>
        </w:rPr>
        <w:footnoteReference w:id="27"/>
      </w:r>
      <w:r w:rsidR="009C15C5">
        <w:rPr>
          <w:szCs w:val="24"/>
        </w:rPr>
        <w:t xml:space="preserve"> The Green Choice sales agent called Ms. Bossart back</w:t>
      </w:r>
      <w:r>
        <w:rPr>
          <w:szCs w:val="24"/>
        </w:rPr>
        <w:t xml:space="preserve"> yet</w:t>
      </w:r>
      <w:r w:rsidR="009C15C5">
        <w:rPr>
          <w:szCs w:val="24"/>
        </w:rPr>
        <w:t xml:space="preserve"> </w:t>
      </w:r>
      <w:r w:rsidRPr="003B0B72" w:rsidR="009C15C5">
        <w:rPr>
          <w:szCs w:val="24"/>
        </w:rPr>
        <w:t>again</w:t>
      </w:r>
      <w:r w:rsidR="009C15C5">
        <w:rPr>
          <w:szCs w:val="24"/>
        </w:rPr>
        <w:t xml:space="preserve"> and t</w:t>
      </w:r>
      <w:r w:rsidR="00B2502C">
        <w:rPr>
          <w:szCs w:val="24"/>
        </w:rPr>
        <w:t>old</w:t>
      </w:r>
      <w:r w:rsidR="009C15C5">
        <w:rPr>
          <w:szCs w:val="24"/>
        </w:rPr>
        <w:t xml:space="preserve"> Ms. Bossart to answer “yes” to receiving text messages from Green Choice.</w:t>
      </w:r>
      <w:r>
        <w:rPr>
          <w:rStyle w:val="FootnoteReference"/>
          <w:szCs w:val="24"/>
        </w:rPr>
        <w:footnoteReference w:id="28"/>
      </w:r>
      <w:r w:rsidR="009C15C5">
        <w:rPr>
          <w:szCs w:val="24"/>
        </w:rPr>
        <w:t xml:space="preserve"> Ms. Bossart again terminated the call, at which point the Green Choice sales agent called back twice</w:t>
      </w:r>
      <w:r w:rsidR="00B75793">
        <w:rPr>
          <w:szCs w:val="24"/>
        </w:rPr>
        <w:t xml:space="preserve"> (as indicated by the phone number on the caller identification).</w:t>
      </w:r>
      <w:r>
        <w:rPr>
          <w:rStyle w:val="FootnoteReference"/>
          <w:szCs w:val="24"/>
        </w:rPr>
        <w:footnoteReference w:id="29"/>
      </w:r>
      <w:r w:rsidR="0041706C">
        <w:rPr>
          <w:szCs w:val="24"/>
        </w:rPr>
        <w:t xml:space="preserve"> </w:t>
      </w:r>
      <w:r>
        <w:rPr>
          <w:szCs w:val="24"/>
        </w:rPr>
        <w:t xml:space="preserve">But </w:t>
      </w:r>
      <w:r w:rsidR="0041706C">
        <w:rPr>
          <w:szCs w:val="24"/>
        </w:rPr>
        <w:t xml:space="preserve">Ms. Bossart refused to </w:t>
      </w:r>
      <w:r w:rsidR="00461250">
        <w:rPr>
          <w:szCs w:val="24"/>
        </w:rPr>
        <w:t>answer</w:t>
      </w:r>
      <w:r w:rsidR="0041706C">
        <w:rPr>
          <w:szCs w:val="24"/>
        </w:rPr>
        <w:t xml:space="preserve"> any more calls.</w:t>
      </w:r>
      <w:r>
        <w:rPr>
          <w:rStyle w:val="FootnoteReference"/>
          <w:szCs w:val="24"/>
        </w:rPr>
        <w:footnoteReference w:id="30"/>
      </w:r>
    </w:p>
    <w:p w:rsidR="00992055" w:rsidP="00992055" w14:paraId="281CE53B" w14:textId="4D5B728E">
      <w:pPr>
        <w:tabs>
          <w:tab w:val="left" w:pos="720"/>
          <w:tab w:val="left" w:leader="dot" w:pos="8640"/>
        </w:tabs>
        <w:spacing w:line="480" w:lineRule="auto"/>
        <w:rPr>
          <w:szCs w:val="24"/>
        </w:rPr>
      </w:pPr>
      <w:r>
        <w:rPr>
          <w:szCs w:val="24"/>
        </w:rPr>
        <w:tab/>
        <w:t>In another call from Green Choice (unrelated to the first marketing attempt) a</w:t>
      </w:r>
      <w:r w:rsidR="000B166E">
        <w:rPr>
          <w:szCs w:val="24"/>
        </w:rPr>
        <w:t>n automated recording (robo-cal</w:t>
      </w:r>
      <w:r w:rsidR="000B727C">
        <w:rPr>
          <w:szCs w:val="24"/>
        </w:rPr>
        <w:t>l) informed Ms. Bossart that she would receive $50 and a gift card for enrolling.</w:t>
      </w:r>
      <w:r>
        <w:rPr>
          <w:rStyle w:val="FootnoteReference"/>
          <w:szCs w:val="24"/>
        </w:rPr>
        <w:footnoteReference w:id="31"/>
      </w:r>
      <w:r w:rsidR="000B727C">
        <w:rPr>
          <w:szCs w:val="24"/>
        </w:rPr>
        <w:t xml:space="preserve"> However, when Ms. Bossart continued the call with a live sales agent, the sales agent informed Ms. Bossart that the $50 would be in “rewards”.</w:t>
      </w:r>
      <w:r>
        <w:rPr>
          <w:rStyle w:val="FootnoteReference"/>
          <w:szCs w:val="24"/>
        </w:rPr>
        <w:footnoteReference w:id="32"/>
      </w:r>
      <w:r w:rsidR="000B727C">
        <w:rPr>
          <w:szCs w:val="24"/>
        </w:rPr>
        <w:t xml:space="preserve"> The </w:t>
      </w:r>
      <w:r w:rsidR="00B11235">
        <w:rPr>
          <w:szCs w:val="24"/>
        </w:rPr>
        <w:t xml:space="preserve">Green Choice sales agent </w:t>
      </w:r>
      <w:r w:rsidR="00DB5885">
        <w:rPr>
          <w:szCs w:val="24"/>
        </w:rPr>
        <w:t xml:space="preserve">again </w:t>
      </w:r>
      <w:r w:rsidR="00B11235">
        <w:rPr>
          <w:szCs w:val="24"/>
        </w:rPr>
        <w:t>informed Ms. Bossart that she was on a commercial rate (</w:t>
      </w:r>
      <w:r w:rsidR="00CB4317">
        <w:rPr>
          <w:szCs w:val="24"/>
        </w:rPr>
        <w:t xml:space="preserve">when </w:t>
      </w:r>
      <w:r w:rsidR="00B11235">
        <w:rPr>
          <w:szCs w:val="24"/>
        </w:rPr>
        <w:t>she was not)</w:t>
      </w:r>
      <w:r w:rsidR="000B727C">
        <w:rPr>
          <w:szCs w:val="24"/>
        </w:rPr>
        <w:t xml:space="preserve"> and</w:t>
      </w:r>
      <w:r w:rsidR="00B11235">
        <w:rPr>
          <w:szCs w:val="24"/>
        </w:rPr>
        <w:t xml:space="preserve"> that she would receive 30%-40% off her bill by enrolling with Green Choice.</w:t>
      </w:r>
      <w:r>
        <w:rPr>
          <w:rStyle w:val="FootnoteReference"/>
          <w:szCs w:val="24"/>
        </w:rPr>
        <w:footnoteReference w:id="33"/>
      </w:r>
      <w:r w:rsidR="00CD4E3B">
        <w:rPr>
          <w:szCs w:val="24"/>
        </w:rPr>
        <w:t xml:space="preserve"> </w:t>
      </w:r>
      <w:r w:rsidR="00CB4317">
        <w:rPr>
          <w:szCs w:val="24"/>
        </w:rPr>
        <w:t>For this call, Ms. Bossart completed the third-party-verification portion of the call</w:t>
      </w:r>
      <w:r w:rsidR="00DB5885">
        <w:rPr>
          <w:szCs w:val="24"/>
        </w:rPr>
        <w:t xml:space="preserve"> to enroll, but later rescinded the enrollment.</w:t>
      </w:r>
      <w:r>
        <w:rPr>
          <w:rStyle w:val="FootnoteReference"/>
          <w:szCs w:val="24"/>
        </w:rPr>
        <w:footnoteReference w:id="34"/>
      </w:r>
      <w:r w:rsidR="00DB5885">
        <w:rPr>
          <w:szCs w:val="24"/>
        </w:rPr>
        <w:t xml:space="preserve"> Ms. Bossart testified that she completed the enrollment with Green Choice so that the recordings of the enrollment would be saved.</w:t>
      </w:r>
      <w:r>
        <w:rPr>
          <w:rStyle w:val="FootnoteReference"/>
          <w:szCs w:val="24"/>
        </w:rPr>
        <w:footnoteReference w:id="35"/>
      </w:r>
      <w:r w:rsidR="00DB5885">
        <w:rPr>
          <w:szCs w:val="24"/>
        </w:rPr>
        <w:t xml:space="preserve"> </w:t>
      </w:r>
    </w:p>
    <w:p w:rsidR="002F6CFC" w:rsidP="00992055" w14:paraId="11776781" w14:textId="5A118D37">
      <w:pPr>
        <w:tabs>
          <w:tab w:val="left" w:pos="720"/>
          <w:tab w:val="left" w:leader="dot" w:pos="8640"/>
        </w:tabs>
        <w:spacing w:line="480" w:lineRule="auto"/>
        <w:rPr>
          <w:szCs w:val="24"/>
        </w:rPr>
      </w:pPr>
      <w:r>
        <w:rPr>
          <w:szCs w:val="24"/>
        </w:rPr>
        <w:tab/>
        <w:t>The PUCO Staff subsequently reviewed the recordings of Ms. Bossart’s enrollment with Green Choice. Ms. Bossart testified that in her opinion, the recordings of her enrollment received from Green Choice were altered.</w:t>
      </w:r>
      <w:r>
        <w:rPr>
          <w:rStyle w:val="FootnoteReference"/>
          <w:szCs w:val="24"/>
        </w:rPr>
        <w:footnoteReference w:id="36"/>
      </w:r>
      <w:r w:rsidR="000F35C5">
        <w:rPr>
          <w:szCs w:val="24"/>
        </w:rPr>
        <w:t xml:space="preserve"> The recordings identified a different sales agent</w:t>
      </w:r>
      <w:r w:rsidR="003B0B72">
        <w:rPr>
          <w:szCs w:val="24"/>
        </w:rPr>
        <w:t xml:space="preserve"> than the agent Ms. Bossart spoke with</w:t>
      </w:r>
      <w:r w:rsidR="000F35C5">
        <w:rPr>
          <w:szCs w:val="24"/>
        </w:rPr>
        <w:t>, did not contain the sales agent’s representations of a 30%-40% savings, and did not contain the sales agent's representations that Ms. Bossart was on a commercial rate.</w:t>
      </w:r>
      <w:r>
        <w:rPr>
          <w:rStyle w:val="FootnoteReference"/>
          <w:szCs w:val="24"/>
        </w:rPr>
        <w:footnoteReference w:id="37"/>
      </w:r>
      <w:r w:rsidR="000F35C5">
        <w:rPr>
          <w:szCs w:val="24"/>
        </w:rPr>
        <w:t xml:space="preserve"> </w:t>
      </w:r>
      <w:r w:rsidR="000B727C">
        <w:rPr>
          <w:szCs w:val="24"/>
        </w:rPr>
        <w:t xml:space="preserve">In addition, Ms. Bossart testified that her cell phone records show that the sales call was 24 minutes, but the recording of the call </w:t>
      </w:r>
      <w:r w:rsidR="00D374D4">
        <w:rPr>
          <w:szCs w:val="24"/>
        </w:rPr>
        <w:t xml:space="preserve">sent to the PUCO </w:t>
      </w:r>
      <w:r w:rsidR="00461250">
        <w:rPr>
          <w:szCs w:val="24"/>
        </w:rPr>
        <w:t xml:space="preserve">for review </w:t>
      </w:r>
      <w:r w:rsidR="00D374D4">
        <w:rPr>
          <w:szCs w:val="24"/>
        </w:rPr>
        <w:t>was just under 15 minutes.</w:t>
      </w:r>
      <w:r>
        <w:rPr>
          <w:rStyle w:val="FootnoteReference"/>
          <w:szCs w:val="24"/>
        </w:rPr>
        <w:footnoteReference w:id="38"/>
      </w:r>
      <w:r w:rsidR="00A61ED6">
        <w:rPr>
          <w:szCs w:val="24"/>
        </w:rPr>
        <w:t xml:space="preserve"> </w:t>
      </w:r>
    </w:p>
    <w:p w:rsidR="0005382F" w:rsidP="00992055" w14:paraId="333F65F3" w14:textId="41E1B72C">
      <w:pPr>
        <w:tabs>
          <w:tab w:val="left" w:pos="720"/>
          <w:tab w:val="left" w:leader="dot" w:pos="8640"/>
        </w:tabs>
        <w:spacing w:line="480" w:lineRule="auto"/>
        <w:rPr>
          <w:szCs w:val="24"/>
        </w:rPr>
      </w:pPr>
      <w:r>
        <w:rPr>
          <w:szCs w:val="24"/>
        </w:rPr>
        <w:tab/>
        <w:t xml:space="preserve">Other evidence supports the PUCO Staff’s allegations that Green Choice altered telephone solicitation recordings. </w:t>
      </w:r>
      <w:r w:rsidR="00E12FB3">
        <w:rPr>
          <w:szCs w:val="24"/>
        </w:rPr>
        <w:t>PUCO Staff witness Ramsey testified that the PUCO Staff reviewed several call recordings that were “peculiar” and unlike other call recordings that PUCO Staff has reviewed in the past.</w:t>
      </w:r>
      <w:r>
        <w:rPr>
          <w:rStyle w:val="FootnoteReference"/>
          <w:szCs w:val="24"/>
        </w:rPr>
        <w:footnoteReference w:id="39"/>
      </w:r>
      <w:r w:rsidR="00E12FB3">
        <w:rPr>
          <w:szCs w:val="24"/>
        </w:rPr>
        <w:t xml:space="preserve"> Ms. Ramsey testified that there were sound anomalies, echo</w:t>
      </w:r>
      <w:r w:rsidR="00206778">
        <w:rPr>
          <w:szCs w:val="24"/>
        </w:rPr>
        <w:t>e</w:t>
      </w:r>
      <w:r w:rsidR="00E12FB3">
        <w:rPr>
          <w:szCs w:val="24"/>
        </w:rPr>
        <w:t xml:space="preserve">s, and </w:t>
      </w:r>
      <w:r w:rsidR="00206778">
        <w:rPr>
          <w:szCs w:val="24"/>
        </w:rPr>
        <w:t>multiple voices on some recordings that were concerning.</w:t>
      </w:r>
      <w:r>
        <w:rPr>
          <w:rStyle w:val="FootnoteReference"/>
          <w:szCs w:val="24"/>
        </w:rPr>
        <w:footnoteReference w:id="40"/>
      </w:r>
      <w:r w:rsidR="002F6CFC">
        <w:rPr>
          <w:szCs w:val="24"/>
        </w:rPr>
        <w:t xml:space="preserve"> </w:t>
      </w:r>
      <w:r w:rsidR="00206778">
        <w:rPr>
          <w:szCs w:val="24"/>
        </w:rPr>
        <w:t>Ms. Ramsey explained that those particular calls could not be analyzed forensically because Green Choice did not provide the uncompressed bit for bit recording or recording equipment information.</w:t>
      </w:r>
      <w:r>
        <w:rPr>
          <w:rStyle w:val="FootnoteReference"/>
          <w:szCs w:val="24"/>
        </w:rPr>
        <w:footnoteReference w:id="41"/>
      </w:r>
      <w:r w:rsidR="00E1302D">
        <w:rPr>
          <w:szCs w:val="24"/>
        </w:rPr>
        <w:t xml:space="preserve"> Nonetheless, Ms. Ramsey concluded that “more likely than not” Green Choice altered the recordings.</w:t>
      </w:r>
    </w:p>
    <w:p w:rsidR="002F6CFC" w:rsidP="00992055" w14:paraId="0B3CE2A3" w14:textId="592C76D7">
      <w:pPr>
        <w:tabs>
          <w:tab w:val="left" w:pos="720"/>
          <w:tab w:val="left" w:leader="dot" w:pos="8640"/>
        </w:tabs>
        <w:spacing w:line="480" w:lineRule="auto"/>
        <w:rPr>
          <w:szCs w:val="24"/>
        </w:rPr>
      </w:pPr>
      <w:r>
        <w:rPr>
          <w:szCs w:val="24"/>
        </w:rPr>
        <w:tab/>
      </w:r>
      <w:r w:rsidR="007D234C">
        <w:rPr>
          <w:szCs w:val="24"/>
        </w:rPr>
        <w:t>The PUCO Staff also presented</w:t>
      </w:r>
      <w:r>
        <w:rPr>
          <w:szCs w:val="24"/>
        </w:rPr>
        <w:t xml:space="preserve"> the testimony of audio forensic expert Jennifer Owen, who reviewed the audio recordings of Ms. Bossart’s enrollment and another suspicious enrollment.</w:t>
      </w:r>
      <w:r>
        <w:rPr>
          <w:rStyle w:val="FootnoteReference"/>
          <w:szCs w:val="24"/>
        </w:rPr>
        <w:footnoteReference w:id="42"/>
      </w:r>
      <w:r>
        <w:rPr>
          <w:szCs w:val="24"/>
        </w:rPr>
        <w:t xml:space="preserve"> </w:t>
      </w:r>
      <w:r w:rsidR="003B68C2">
        <w:rPr>
          <w:szCs w:val="24"/>
        </w:rPr>
        <w:t xml:space="preserve">Ms. Owen discovered “red flags” </w:t>
      </w:r>
      <w:r w:rsidR="00911714">
        <w:rPr>
          <w:szCs w:val="24"/>
        </w:rPr>
        <w:t xml:space="preserve">consisting of </w:t>
      </w:r>
      <w:r w:rsidR="0094163B">
        <w:rPr>
          <w:szCs w:val="24"/>
        </w:rPr>
        <w:t xml:space="preserve">visual and acoustic </w:t>
      </w:r>
      <w:r w:rsidR="003B68C2">
        <w:rPr>
          <w:szCs w:val="24"/>
        </w:rPr>
        <w:t>anomalies on the call recordings.</w:t>
      </w:r>
      <w:r>
        <w:rPr>
          <w:rStyle w:val="FootnoteReference"/>
          <w:szCs w:val="24"/>
        </w:rPr>
        <w:footnoteReference w:id="43"/>
      </w:r>
      <w:r w:rsidR="003B68C2">
        <w:rPr>
          <w:szCs w:val="24"/>
        </w:rPr>
        <w:t xml:space="preserve"> </w:t>
      </w:r>
      <w:r w:rsidR="007D234C">
        <w:rPr>
          <w:szCs w:val="24"/>
        </w:rPr>
        <w:t xml:space="preserve">Ms. Owen </w:t>
      </w:r>
      <w:r w:rsidR="003B68C2">
        <w:rPr>
          <w:szCs w:val="24"/>
        </w:rPr>
        <w:t xml:space="preserve">was unable to make a definitive conclusion </w:t>
      </w:r>
      <w:r w:rsidR="00A04394">
        <w:rPr>
          <w:szCs w:val="24"/>
        </w:rPr>
        <w:t>as to whether the recordings were altered because she did not have sufficient information regarding</w:t>
      </w:r>
      <w:r w:rsidR="0094163B">
        <w:rPr>
          <w:szCs w:val="24"/>
        </w:rPr>
        <w:t xml:space="preserve"> the recording</w:t>
      </w:r>
      <w:r w:rsidR="00A04394">
        <w:rPr>
          <w:szCs w:val="24"/>
        </w:rPr>
        <w:t xml:space="preserve"> software, hardware, and the chain of control.</w:t>
      </w:r>
      <w:r>
        <w:rPr>
          <w:rStyle w:val="FootnoteReference"/>
          <w:szCs w:val="24"/>
        </w:rPr>
        <w:footnoteReference w:id="44"/>
      </w:r>
      <w:r w:rsidR="00BA61FA">
        <w:rPr>
          <w:szCs w:val="24"/>
        </w:rPr>
        <w:t xml:space="preserve"> </w:t>
      </w:r>
      <w:r w:rsidR="00AF7262">
        <w:rPr>
          <w:szCs w:val="24"/>
        </w:rPr>
        <w:t xml:space="preserve">Green Choice claimed that this information was not available because </w:t>
      </w:r>
      <w:r w:rsidR="00340C68">
        <w:rPr>
          <w:szCs w:val="24"/>
        </w:rPr>
        <w:t>Green Choice’s vendors kept the information, not Green Choice.</w:t>
      </w:r>
      <w:r>
        <w:rPr>
          <w:rStyle w:val="FootnoteReference"/>
          <w:szCs w:val="24"/>
        </w:rPr>
        <w:footnoteReference w:id="45"/>
      </w:r>
      <w:r w:rsidR="00340C68">
        <w:rPr>
          <w:szCs w:val="24"/>
        </w:rPr>
        <w:t xml:space="preserve"> </w:t>
      </w:r>
      <w:r w:rsidR="00911714">
        <w:rPr>
          <w:szCs w:val="24"/>
        </w:rPr>
        <w:t>Regardless</w:t>
      </w:r>
      <w:r w:rsidR="00BA61FA">
        <w:rPr>
          <w:szCs w:val="24"/>
        </w:rPr>
        <w:t>, Ms. Owen testified that the call recordings were “highly suspect.”</w:t>
      </w:r>
      <w:r>
        <w:rPr>
          <w:rStyle w:val="FootnoteReference"/>
          <w:szCs w:val="24"/>
        </w:rPr>
        <w:footnoteReference w:id="46"/>
      </w:r>
    </w:p>
    <w:p w:rsidR="00DB5885" w:rsidP="00992055" w14:paraId="247252E0" w14:textId="7AE34B4E">
      <w:pPr>
        <w:tabs>
          <w:tab w:val="left" w:pos="720"/>
          <w:tab w:val="left" w:leader="dot" w:pos="8640"/>
        </w:tabs>
        <w:spacing w:line="480" w:lineRule="auto"/>
        <w:rPr>
          <w:szCs w:val="24"/>
        </w:rPr>
      </w:pPr>
      <w:r>
        <w:rPr>
          <w:szCs w:val="24"/>
        </w:rPr>
        <w:tab/>
        <w:t xml:space="preserve">PUCO Staff witness Ramsey further testified </w:t>
      </w:r>
      <w:r w:rsidR="00AF7262">
        <w:rPr>
          <w:szCs w:val="24"/>
        </w:rPr>
        <w:t>that Green Choice altered (forged) enrollment contracts.</w:t>
      </w:r>
      <w:r>
        <w:rPr>
          <w:rStyle w:val="FootnoteReference"/>
          <w:szCs w:val="24"/>
        </w:rPr>
        <w:footnoteReference w:id="47"/>
      </w:r>
      <w:r w:rsidR="00AF7262">
        <w:rPr>
          <w:szCs w:val="24"/>
        </w:rPr>
        <w:t xml:space="preserve"> According to Ms. Ramsey,</w:t>
      </w:r>
      <w:r>
        <w:rPr>
          <w:szCs w:val="24"/>
        </w:rPr>
        <w:t xml:space="preserve"> the contract that Green Choice texted to Ms. Bossart was initialed “BB”, as if Ms. Bossart had signed it.</w:t>
      </w:r>
      <w:r>
        <w:rPr>
          <w:rStyle w:val="FootnoteReference"/>
          <w:szCs w:val="24"/>
        </w:rPr>
        <w:footnoteReference w:id="48"/>
      </w:r>
      <w:r>
        <w:rPr>
          <w:szCs w:val="24"/>
        </w:rPr>
        <w:t xml:space="preserve"> But Ms. Bossart couldn’t have initialed the contract because the enrollment was by telephone.</w:t>
      </w:r>
      <w:r>
        <w:rPr>
          <w:rStyle w:val="FootnoteReference"/>
          <w:szCs w:val="24"/>
        </w:rPr>
        <w:footnoteReference w:id="49"/>
      </w:r>
      <w:r>
        <w:rPr>
          <w:szCs w:val="24"/>
        </w:rPr>
        <w:t xml:space="preserve"> </w:t>
      </w:r>
      <w:r w:rsidR="0008253D">
        <w:rPr>
          <w:szCs w:val="24"/>
        </w:rPr>
        <w:t>In another case involving a door-to-door solicitation, the complaining consumer indicated to PUCO Staff that the signature on the contract was not his.</w:t>
      </w:r>
      <w:r>
        <w:rPr>
          <w:rStyle w:val="FootnoteReference"/>
          <w:szCs w:val="24"/>
        </w:rPr>
        <w:footnoteReference w:id="50"/>
      </w:r>
    </w:p>
    <w:p w:rsidR="00992055" w:rsidP="00992055" w14:paraId="25D2EEB9" w14:textId="5056D998">
      <w:pPr>
        <w:tabs>
          <w:tab w:val="left" w:pos="720"/>
          <w:tab w:val="left" w:leader="dot" w:pos="8640"/>
        </w:tabs>
        <w:spacing w:line="480" w:lineRule="auto"/>
        <w:rPr>
          <w:szCs w:val="24"/>
        </w:rPr>
      </w:pPr>
      <w:r>
        <w:rPr>
          <w:szCs w:val="24"/>
        </w:rPr>
        <w:tab/>
        <w:t>Consumer witnesses appeared during the evidentiary hearing to testify regarding their experiences with Green Choice’s misleading and deceptive practices.</w:t>
      </w:r>
      <w:r>
        <w:rPr>
          <w:rStyle w:val="FootnoteReference"/>
          <w:szCs w:val="24"/>
        </w:rPr>
        <w:footnoteReference w:id="51"/>
      </w:r>
      <w:r>
        <w:rPr>
          <w:szCs w:val="24"/>
        </w:rPr>
        <w:t xml:space="preserve"> </w:t>
      </w:r>
      <w:r w:rsidR="00D374D4">
        <w:rPr>
          <w:szCs w:val="24"/>
        </w:rPr>
        <w:t>For example, c</w:t>
      </w:r>
      <w:r>
        <w:rPr>
          <w:szCs w:val="24"/>
        </w:rPr>
        <w:t>onsumer witness Tyler Beauregard testified that he was switched to Green Choice despite rejecting Green Choice’s sales pitch.</w:t>
      </w:r>
      <w:r>
        <w:rPr>
          <w:rStyle w:val="FootnoteReference"/>
          <w:szCs w:val="24"/>
        </w:rPr>
        <w:footnoteReference w:id="52"/>
      </w:r>
      <w:r>
        <w:rPr>
          <w:szCs w:val="24"/>
        </w:rPr>
        <w:t xml:space="preserve"> </w:t>
      </w:r>
      <w:r w:rsidR="00FC15BC">
        <w:rPr>
          <w:szCs w:val="24"/>
        </w:rPr>
        <w:t>Alarmingly</w:t>
      </w:r>
      <w:r>
        <w:rPr>
          <w:szCs w:val="24"/>
        </w:rPr>
        <w:t xml:space="preserve">, </w:t>
      </w:r>
      <w:r w:rsidR="00F14C25">
        <w:rPr>
          <w:szCs w:val="24"/>
        </w:rPr>
        <w:t xml:space="preserve">the </w:t>
      </w:r>
      <w:r>
        <w:rPr>
          <w:szCs w:val="24"/>
        </w:rPr>
        <w:t xml:space="preserve">PUCO Staff </w:t>
      </w:r>
      <w:r w:rsidR="00C912DB">
        <w:rPr>
          <w:szCs w:val="24"/>
        </w:rPr>
        <w:t>presented</w:t>
      </w:r>
      <w:r>
        <w:rPr>
          <w:szCs w:val="24"/>
        </w:rPr>
        <w:t xml:space="preserve"> evidence of a third-party-verification call where someone</w:t>
      </w:r>
      <w:r w:rsidR="009E14DA">
        <w:rPr>
          <w:szCs w:val="24"/>
        </w:rPr>
        <w:t xml:space="preserve"> </w:t>
      </w:r>
      <w:r>
        <w:rPr>
          <w:szCs w:val="24"/>
        </w:rPr>
        <w:t>impersonate</w:t>
      </w:r>
      <w:r w:rsidR="00F14C25">
        <w:rPr>
          <w:szCs w:val="24"/>
        </w:rPr>
        <w:t>d</w:t>
      </w:r>
      <w:r>
        <w:rPr>
          <w:szCs w:val="24"/>
        </w:rPr>
        <w:t xml:space="preserve"> Mr. Beauregard </w:t>
      </w:r>
      <w:r w:rsidR="009E14DA">
        <w:rPr>
          <w:szCs w:val="24"/>
        </w:rPr>
        <w:t xml:space="preserve">in order </w:t>
      </w:r>
      <w:r>
        <w:rPr>
          <w:szCs w:val="24"/>
        </w:rPr>
        <w:t>to complete the enrollment.</w:t>
      </w:r>
      <w:r>
        <w:rPr>
          <w:rStyle w:val="FootnoteReference"/>
          <w:szCs w:val="24"/>
        </w:rPr>
        <w:footnoteReference w:id="53"/>
      </w:r>
      <w:r>
        <w:rPr>
          <w:szCs w:val="24"/>
        </w:rPr>
        <w:t xml:space="preserve"> At the hearing, Green Choice </w:t>
      </w:r>
      <w:r w:rsidR="009E14DA">
        <w:rPr>
          <w:szCs w:val="24"/>
        </w:rPr>
        <w:t>stipulated</w:t>
      </w:r>
      <w:r>
        <w:rPr>
          <w:szCs w:val="24"/>
        </w:rPr>
        <w:t xml:space="preserve"> that the voice on the third-party-verification call was not Mr. Beauregard’s voice.</w:t>
      </w:r>
      <w:r>
        <w:rPr>
          <w:rStyle w:val="FootnoteReference"/>
          <w:szCs w:val="24"/>
        </w:rPr>
        <w:footnoteReference w:id="54"/>
      </w:r>
    </w:p>
    <w:p w:rsidR="000C1C75" w:rsidP="00C62BF6" w14:paraId="613EF6EF" w14:textId="252366C9">
      <w:pPr>
        <w:tabs>
          <w:tab w:val="left" w:pos="720"/>
          <w:tab w:val="left" w:leader="dot" w:pos="8640"/>
        </w:tabs>
        <w:spacing w:line="480" w:lineRule="auto"/>
        <w:rPr>
          <w:szCs w:val="24"/>
        </w:rPr>
      </w:pPr>
      <w:r>
        <w:rPr>
          <w:szCs w:val="24"/>
        </w:rPr>
        <w:tab/>
        <w:t>Consumer witness Ms. Sheila Barton-Johnson</w:t>
      </w:r>
      <w:r w:rsidR="00784A42">
        <w:rPr>
          <w:szCs w:val="24"/>
        </w:rPr>
        <w:t xml:space="preserve"> testified that Green Choice enrolled her in service without her consent.</w:t>
      </w:r>
      <w:r>
        <w:rPr>
          <w:rStyle w:val="FootnoteReference"/>
          <w:szCs w:val="24"/>
        </w:rPr>
        <w:footnoteReference w:id="55"/>
      </w:r>
      <w:r w:rsidR="00784A42">
        <w:rPr>
          <w:szCs w:val="24"/>
        </w:rPr>
        <w:t xml:space="preserve"> The </w:t>
      </w:r>
      <w:r w:rsidR="00F168DE">
        <w:rPr>
          <w:szCs w:val="24"/>
        </w:rPr>
        <w:t>third-party-verification call for Ms. Barton-Johnson’s enrollment with Green Choice was completed by someone identifying himself as James Johnson.</w:t>
      </w:r>
      <w:r>
        <w:rPr>
          <w:rStyle w:val="FootnoteReference"/>
          <w:szCs w:val="24"/>
        </w:rPr>
        <w:footnoteReference w:id="56"/>
      </w:r>
      <w:r w:rsidR="00F168DE">
        <w:rPr>
          <w:szCs w:val="24"/>
        </w:rPr>
        <w:t xml:space="preserve"> Ms. Barton-Johnson testified that she did not know</w:t>
      </w:r>
      <w:r w:rsidR="009E14DA">
        <w:rPr>
          <w:szCs w:val="24"/>
        </w:rPr>
        <w:t xml:space="preserve"> of</w:t>
      </w:r>
      <w:r w:rsidR="00F168DE">
        <w:rPr>
          <w:szCs w:val="24"/>
        </w:rPr>
        <w:t xml:space="preserve"> any James Johnson, although she was married at one time to a Donald Johnson.</w:t>
      </w:r>
      <w:r>
        <w:rPr>
          <w:rStyle w:val="FootnoteReference"/>
          <w:szCs w:val="24"/>
        </w:rPr>
        <w:footnoteReference w:id="57"/>
      </w:r>
      <w:r w:rsidR="00F168DE">
        <w:rPr>
          <w:szCs w:val="24"/>
        </w:rPr>
        <w:t xml:space="preserve"> However, Ms. Barton-Johnson ha</w:t>
      </w:r>
      <w:r w:rsidR="009E14DA">
        <w:rPr>
          <w:szCs w:val="24"/>
        </w:rPr>
        <w:t>d</w:t>
      </w:r>
      <w:r w:rsidR="00F168DE">
        <w:rPr>
          <w:szCs w:val="24"/>
        </w:rPr>
        <w:t xml:space="preserve"> been separated from Donald Johnson “for years” and he </w:t>
      </w:r>
      <w:r w:rsidR="00C912DB">
        <w:rPr>
          <w:szCs w:val="24"/>
        </w:rPr>
        <w:t>was deceased at the time of the enrollment</w:t>
      </w:r>
      <w:r w:rsidR="00F168DE">
        <w:rPr>
          <w:szCs w:val="24"/>
        </w:rPr>
        <w:t>.</w:t>
      </w:r>
      <w:r>
        <w:rPr>
          <w:rStyle w:val="FootnoteReference"/>
          <w:szCs w:val="24"/>
        </w:rPr>
        <w:footnoteReference w:id="58"/>
      </w:r>
      <w:r w:rsidR="00F168DE">
        <w:rPr>
          <w:szCs w:val="24"/>
        </w:rPr>
        <w:t xml:space="preserve"> </w:t>
      </w:r>
    </w:p>
    <w:p w:rsidR="000C1C75" w:rsidP="00C62BF6" w14:paraId="16D21FC6" w14:textId="53A6EE9A">
      <w:pPr>
        <w:tabs>
          <w:tab w:val="left" w:pos="720"/>
          <w:tab w:val="left" w:leader="dot" w:pos="8640"/>
        </w:tabs>
        <w:spacing w:line="480" w:lineRule="auto"/>
        <w:rPr>
          <w:szCs w:val="24"/>
        </w:rPr>
      </w:pPr>
      <w:r>
        <w:rPr>
          <w:szCs w:val="24"/>
        </w:rPr>
        <w:tab/>
        <w:t xml:space="preserve">Consumer witness </w:t>
      </w:r>
      <w:r w:rsidR="0081139F">
        <w:rPr>
          <w:szCs w:val="24"/>
        </w:rPr>
        <w:t xml:space="preserve">Edward Tokar testified about his encounter with an </w:t>
      </w:r>
      <w:r w:rsidR="00445FC2">
        <w:rPr>
          <w:szCs w:val="24"/>
        </w:rPr>
        <w:t>“</w:t>
      </w:r>
      <w:r w:rsidR="0081139F">
        <w:rPr>
          <w:szCs w:val="24"/>
        </w:rPr>
        <w:t>aggressive</w:t>
      </w:r>
      <w:r w:rsidR="00445FC2">
        <w:rPr>
          <w:szCs w:val="24"/>
        </w:rPr>
        <w:t>”</w:t>
      </w:r>
      <w:r w:rsidR="009E14DA">
        <w:rPr>
          <w:szCs w:val="24"/>
        </w:rPr>
        <w:t xml:space="preserve"> Green Choice</w:t>
      </w:r>
      <w:r w:rsidR="0081139F">
        <w:rPr>
          <w:szCs w:val="24"/>
        </w:rPr>
        <w:t xml:space="preserve"> door-to-door sales agent.</w:t>
      </w:r>
      <w:r>
        <w:rPr>
          <w:rStyle w:val="FootnoteReference"/>
          <w:szCs w:val="24"/>
        </w:rPr>
        <w:footnoteReference w:id="59"/>
      </w:r>
      <w:r w:rsidR="0081139F">
        <w:rPr>
          <w:szCs w:val="24"/>
        </w:rPr>
        <w:t xml:space="preserve"> Mr. Tokar testified that the </w:t>
      </w:r>
      <w:r w:rsidR="009E14DA">
        <w:rPr>
          <w:szCs w:val="24"/>
        </w:rPr>
        <w:t>sales agent became argumentative when Mr. Tokar expressed that he was not interested in enrolling with Green Choice.</w:t>
      </w:r>
      <w:r>
        <w:rPr>
          <w:rStyle w:val="FootnoteReference"/>
          <w:szCs w:val="24"/>
        </w:rPr>
        <w:footnoteReference w:id="60"/>
      </w:r>
      <w:r w:rsidR="009E14DA">
        <w:rPr>
          <w:szCs w:val="24"/>
        </w:rPr>
        <w:t xml:space="preserve"> Mr. Tokar’s account of the incident was captured by his doorbell video camera.</w:t>
      </w:r>
      <w:r>
        <w:rPr>
          <w:rStyle w:val="FootnoteReference"/>
          <w:szCs w:val="24"/>
        </w:rPr>
        <w:footnoteReference w:id="61"/>
      </w:r>
    </w:p>
    <w:p w:rsidR="00F14C25" w:rsidP="00C62BF6" w14:paraId="461C65A8" w14:textId="194A8476">
      <w:pPr>
        <w:tabs>
          <w:tab w:val="left" w:pos="720"/>
          <w:tab w:val="left" w:leader="dot" w:pos="8640"/>
        </w:tabs>
        <w:spacing w:line="480" w:lineRule="auto"/>
        <w:rPr>
          <w:szCs w:val="24"/>
        </w:rPr>
      </w:pPr>
      <w:r>
        <w:rPr>
          <w:szCs w:val="24"/>
        </w:rPr>
        <w:tab/>
        <w:t xml:space="preserve">The evidence also demonstrates that Green Choice put consumers’ health at risk by </w:t>
      </w:r>
      <w:r w:rsidR="00606308">
        <w:rPr>
          <w:szCs w:val="24"/>
        </w:rPr>
        <w:t xml:space="preserve">resuming door-to-door sales during the </w:t>
      </w:r>
      <w:r w:rsidR="006F4F3B">
        <w:rPr>
          <w:szCs w:val="24"/>
        </w:rPr>
        <w:t>coronavirus pandemic without providing prior notification to the PUCO Staff, in violation of the PUCO’s June 17, 2020 Entry in Case No. 20-591-AU-ORD.</w:t>
      </w:r>
      <w:r>
        <w:rPr>
          <w:rStyle w:val="FootnoteReference"/>
          <w:szCs w:val="24"/>
        </w:rPr>
        <w:footnoteReference w:id="62"/>
      </w:r>
      <w:r w:rsidR="006F4F3B">
        <w:rPr>
          <w:szCs w:val="24"/>
        </w:rPr>
        <w:t xml:space="preserve"> When questioned by the PUCO Staff as to why Green Choice did not comply with the notification requirements, Green Choice responded by placing the blame on its third-party sales vendors for not following the PUC</w:t>
      </w:r>
      <w:r w:rsidR="00F551D0">
        <w:rPr>
          <w:szCs w:val="24"/>
        </w:rPr>
        <w:t>O orders</w:t>
      </w:r>
      <w:r w:rsidR="006F4F3B">
        <w:rPr>
          <w:szCs w:val="24"/>
        </w:rPr>
        <w:t>.</w:t>
      </w:r>
      <w:r>
        <w:rPr>
          <w:rStyle w:val="FootnoteReference"/>
          <w:szCs w:val="24"/>
        </w:rPr>
        <w:footnoteReference w:id="63"/>
      </w:r>
      <w:r w:rsidR="006F4F3B">
        <w:rPr>
          <w:szCs w:val="24"/>
        </w:rPr>
        <w:t xml:space="preserve"> </w:t>
      </w:r>
    </w:p>
    <w:p w:rsidR="00731F55" w:rsidP="00C62BF6" w14:paraId="1F46DD2A" w14:textId="737FDB09">
      <w:pPr>
        <w:tabs>
          <w:tab w:val="left" w:pos="720"/>
          <w:tab w:val="left" w:leader="dot" w:pos="8640"/>
        </w:tabs>
        <w:spacing w:line="480" w:lineRule="auto"/>
        <w:rPr>
          <w:szCs w:val="24"/>
        </w:rPr>
      </w:pPr>
      <w:r>
        <w:rPr>
          <w:szCs w:val="24"/>
        </w:rPr>
        <w:tab/>
      </w:r>
      <w:r w:rsidR="00F551D0">
        <w:rPr>
          <w:szCs w:val="24"/>
        </w:rPr>
        <w:t>In addition to the above-mentioned evidence of abuse, the PUCO Staff found numerous other instances of Green Choice’s non-compliance with the PUCO’s rules and orders. For example, the PUCO Staff found that in a door-to-door enrollment, the Green Choice sales agent remained on the consumer’s premises during the third-party-verification.</w:t>
      </w:r>
      <w:r>
        <w:rPr>
          <w:rStyle w:val="FootnoteReference"/>
          <w:szCs w:val="24"/>
        </w:rPr>
        <w:footnoteReference w:id="64"/>
      </w:r>
      <w:r w:rsidR="00F551D0">
        <w:rPr>
          <w:szCs w:val="24"/>
        </w:rPr>
        <w:t xml:space="preserve"> </w:t>
      </w:r>
      <w:r w:rsidR="00D43FC4">
        <w:rPr>
          <w:szCs w:val="24"/>
        </w:rPr>
        <w:t>Green Choice also failed to disclose a monthly $5 fee to consumers.</w:t>
      </w:r>
      <w:r>
        <w:rPr>
          <w:rStyle w:val="FootnoteReference"/>
          <w:szCs w:val="24"/>
        </w:rPr>
        <w:footnoteReference w:id="65"/>
      </w:r>
      <w:r w:rsidR="00D83849">
        <w:rPr>
          <w:szCs w:val="24"/>
        </w:rPr>
        <w:t xml:space="preserve"> Green Choice texted contracts to consumers without obtaining a waiver from the PUCO’s rules to do so.</w:t>
      </w:r>
      <w:r>
        <w:rPr>
          <w:rStyle w:val="FootnoteReference"/>
          <w:szCs w:val="24"/>
        </w:rPr>
        <w:footnoteReference w:id="66"/>
      </w:r>
      <w:r w:rsidR="00D83849">
        <w:rPr>
          <w:szCs w:val="24"/>
        </w:rPr>
        <w:t xml:space="preserve"> And Green Choice failed to provide necessary records to the PUCO Staff to support its enrollments. </w:t>
      </w:r>
    </w:p>
    <w:p w:rsidR="0085600E" w:rsidP="00C62BF6" w14:paraId="3D15F5AD" w14:textId="77777777">
      <w:pPr>
        <w:tabs>
          <w:tab w:val="left" w:pos="720"/>
          <w:tab w:val="left" w:leader="dot" w:pos="8640"/>
        </w:tabs>
        <w:spacing w:line="480" w:lineRule="auto"/>
        <w:rPr>
          <w:szCs w:val="24"/>
        </w:rPr>
      </w:pPr>
      <w:r>
        <w:rPr>
          <w:szCs w:val="24"/>
        </w:rPr>
        <w:tab/>
        <w:t xml:space="preserve">The evidence of Green Choice’s misleading and deceptive solicitation and enrollment practices was largely unrefuted by Green Choice at the evidentiary hearing. Green Choice </w:t>
      </w:r>
      <w:r w:rsidR="00C912DB">
        <w:rPr>
          <w:szCs w:val="24"/>
        </w:rPr>
        <w:t>presented the testimony of Brian</w:t>
      </w:r>
      <w:r>
        <w:rPr>
          <w:szCs w:val="24"/>
        </w:rPr>
        <w:t xml:space="preserve"> Trombino, president and sole shareholder of Green Choice</w:t>
      </w:r>
      <w:r w:rsidR="00C912DB">
        <w:rPr>
          <w:szCs w:val="24"/>
        </w:rPr>
        <w:t xml:space="preserve">. </w:t>
      </w:r>
    </w:p>
    <w:p w:rsidR="00C912DB" w:rsidP="00C62BF6" w14:paraId="0DC7283C" w14:textId="7C8B8974">
      <w:pPr>
        <w:tabs>
          <w:tab w:val="left" w:pos="720"/>
          <w:tab w:val="left" w:leader="dot" w:pos="8640"/>
        </w:tabs>
        <w:spacing w:line="480" w:lineRule="auto"/>
        <w:rPr>
          <w:szCs w:val="24"/>
        </w:rPr>
      </w:pPr>
      <w:r>
        <w:rPr>
          <w:szCs w:val="24"/>
        </w:rPr>
        <w:tab/>
      </w:r>
      <w:r>
        <w:rPr>
          <w:szCs w:val="24"/>
        </w:rPr>
        <w:t>Mr. Trombino</w:t>
      </w:r>
      <w:r w:rsidR="00AB343F">
        <w:rPr>
          <w:szCs w:val="24"/>
        </w:rPr>
        <w:t xml:space="preserve"> testified that Green Choice’s sales and customer service functions are conducted</w:t>
      </w:r>
      <w:r>
        <w:rPr>
          <w:szCs w:val="24"/>
        </w:rPr>
        <w:t xml:space="preserve"> exclusively</w:t>
      </w:r>
      <w:r w:rsidR="00AB343F">
        <w:rPr>
          <w:szCs w:val="24"/>
        </w:rPr>
        <w:t xml:space="preserve"> by third</w:t>
      </w:r>
      <w:r w:rsidR="00A952BA">
        <w:rPr>
          <w:szCs w:val="24"/>
        </w:rPr>
        <w:t>-</w:t>
      </w:r>
      <w:r w:rsidR="00AB343F">
        <w:rPr>
          <w:szCs w:val="24"/>
        </w:rPr>
        <w:t>party vendors.</w:t>
      </w:r>
      <w:r>
        <w:rPr>
          <w:rStyle w:val="FootnoteReference"/>
          <w:szCs w:val="24"/>
        </w:rPr>
        <w:footnoteReference w:id="67"/>
      </w:r>
      <w:r w:rsidR="00AB343F">
        <w:rPr>
          <w:szCs w:val="24"/>
        </w:rPr>
        <w:t xml:space="preserve"> Mr. Trombino acknowledged </w:t>
      </w:r>
      <w:r>
        <w:rPr>
          <w:szCs w:val="24"/>
        </w:rPr>
        <w:t xml:space="preserve">though </w:t>
      </w:r>
      <w:r w:rsidR="00AB343F">
        <w:rPr>
          <w:szCs w:val="24"/>
        </w:rPr>
        <w:t>that Green Choice “is responsible for the actions of people who interact with new and existing customers on the Company’s behalf, regardless of their employment status.”</w:t>
      </w:r>
      <w:r>
        <w:rPr>
          <w:rStyle w:val="FootnoteReference"/>
          <w:szCs w:val="24"/>
        </w:rPr>
        <w:footnoteReference w:id="68"/>
      </w:r>
      <w:r w:rsidR="00A952BA">
        <w:rPr>
          <w:szCs w:val="24"/>
        </w:rPr>
        <w:t xml:space="preserve"> </w:t>
      </w:r>
      <w:r>
        <w:rPr>
          <w:szCs w:val="24"/>
        </w:rPr>
        <w:t xml:space="preserve">But </w:t>
      </w:r>
      <w:r w:rsidR="00A952BA">
        <w:rPr>
          <w:szCs w:val="24"/>
        </w:rPr>
        <w:t xml:space="preserve">in response to the evidence of misleading and deceptive marketing and enrollments, Green Choice placed </w:t>
      </w:r>
      <w:r>
        <w:rPr>
          <w:szCs w:val="24"/>
        </w:rPr>
        <w:t xml:space="preserve">the </w:t>
      </w:r>
      <w:r w:rsidR="00A952BA">
        <w:rPr>
          <w:szCs w:val="24"/>
        </w:rPr>
        <w:t>blame on its vendors</w:t>
      </w:r>
      <w:r>
        <w:rPr>
          <w:szCs w:val="24"/>
        </w:rPr>
        <w:t xml:space="preserve"> instead of itself,</w:t>
      </w:r>
      <w:r w:rsidR="00A952BA">
        <w:rPr>
          <w:szCs w:val="24"/>
        </w:rPr>
        <w:t xml:space="preserve"> and business disruptions during the coronavirus pandemic.</w:t>
      </w:r>
      <w:r>
        <w:rPr>
          <w:rStyle w:val="FootnoteReference"/>
          <w:szCs w:val="24"/>
        </w:rPr>
        <w:footnoteReference w:id="69"/>
      </w:r>
      <w:r w:rsidR="00E71B98">
        <w:rPr>
          <w:szCs w:val="24"/>
        </w:rPr>
        <w:t xml:space="preserve"> </w:t>
      </w:r>
      <w:r w:rsidR="00230CF7">
        <w:rPr>
          <w:szCs w:val="24"/>
        </w:rPr>
        <w:t xml:space="preserve">Green Choice was granted a certificate to market in Ohio and is responsible for the marketing and enrollment, not its vendors. </w:t>
      </w:r>
    </w:p>
    <w:p w:rsidR="00FC15BC" w:rsidP="00C62BF6" w14:paraId="0E63254C" w14:textId="63FA5010">
      <w:pPr>
        <w:tabs>
          <w:tab w:val="left" w:pos="720"/>
          <w:tab w:val="left" w:leader="dot" w:pos="8640"/>
        </w:tabs>
        <w:spacing w:line="480" w:lineRule="auto"/>
        <w:rPr>
          <w:szCs w:val="24"/>
        </w:rPr>
      </w:pPr>
      <w:r>
        <w:rPr>
          <w:szCs w:val="24"/>
        </w:rPr>
        <w:tab/>
        <w:t>Th</w:t>
      </w:r>
      <w:r w:rsidR="0085600E">
        <w:rPr>
          <w:szCs w:val="24"/>
        </w:rPr>
        <w:t>e</w:t>
      </w:r>
      <w:r>
        <w:rPr>
          <w:szCs w:val="24"/>
        </w:rPr>
        <w:t xml:space="preserve"> evidence overwhelming</w:t>
      </w:r>
      <w:r w:rsidR="0085600E">
        <w:rPr>
          <w:szCs w:val="24"/>
        </w:rPr>
        <w:t>ly</w:t>
      </w:r>
      <w:r>
        <w:rPr>
          <w:szCs w:val="24"/>
        </w:rPr>
        <w:t xml:space="preserve"> demonstrates</w:t>
      </w:r>
      <w:r w:rsidR="0085600E">
        <w:rPr>
          <w:szCs w:val="24"/>
        </w:rPr>
        <w:t xml:space="preserve"> Green Choice’s misleading and deceptive acts and practices.</w:t>
      </w:r>
      <w:r>
        <w:rPr>
          <w:szCs w:val="24"/>
        </w:rPr>
        <w:t xml:space="preserve"> </w:t>
      </w:r>
      <w:r w:rsidR="00E71B98">
        <w:rPr>
          <w:szCs w:val="24"/>
        </w:rPr>
        <w:t>Green Choice is not fit to market electric and natural gas service to Ohioans</w:t>
      </w:r>
      <w:r>
        <w:rPr>
          <w:szCs w:val="24"/>
        </w:rPr>
        <w:t>. The</w:t>
      </w:r>
      <w:r w:rsidR="00E71B98">
        <w:rPr>
          <w:szCs w:val="24"/>
        </w:rPr>
        <w:t xml:space="preserve"> PUCO should permanently rescind Green Choice’s certificates.</w:t>
      </w:r>
    </w:p>
    <w:p w:rsidR="00D7611D" w:rsidRPr="00002598" w:rsidP="00002598" w14:paraId="1B443409" w14:textId="5BDCFFF3">
      <w:pPr>
        <w:pStyle w:val="ListParagraph"/>
        <w:numPr>
          <w:ilvl w:val="0"/>
          <w:numId w:val="21"/>
        </w:numPr>
        <w:tabs>
          <w:tab w:val="left" w:pos="1440"/>
          <w:tab w:val="left" w:leader="dot" w:pos="8640"/>
        </w:tabs>
        <w:ind w:left="1440" w:hanging="720"/>
        <w:rPr>
          <w:rStyle w:val="Heading2Char"/>
        </w:rPr>
      </w:pPr>
      <w:bookmarkStart w:id="10" w:name="_Toc123892015"/>
      <w:r w:rsidRPr="00002598">
        <w:rPr>
          <w:rStyle w:val="Heading2Char"/>
        </w:rPr>
        <w:t>The evidence of Green Choice’s</w:t>
      </w:r>
      <w:r w:rsidRPr="00002598" w:rsidR="0086538C">
        <w:rPr>
          <w:rStyle w:val="Heading2Char"/>
        </w:rPr>
        <w:t xml:space="preserve"> misleading</w:t>
      </w:r>
      <w:r w:rsidRPr="00002598">
        <w:rPr>
          <w:rStyle w:val="Heading2Char"/>
        </w:rPr>
        <w:t xml:space="preserve"> and deceptive marketing practices</w:t>
      </w:r>
      <w:r w:rsidRPr="00002598">
        <w:rPr>
          <w:rStyle w:val="Heading2Char"/>
        </w:rPr>
        <w:t xml:space="preserve"> </w:t>
      </w:r>
      <w:r w:rsidRPr="00002598">
        <w:rPr>
          <w:rStyle w:val="Heading2Char"/>
        </w:rPr>
        <w:t xml:space="preserve">demonstrates that Green Choice lacks the managerial </w:t>
      </w:r>
      <w:r w:rsidRPr="00002598">
        <w:rPr>
          <w:rStyle w:val="Heading2Char"/>
        </w:rPr>
        <w:t>capabilit</w:t>
      </w:r>
      <w:r w:rsidRPr="00002598">
        <w:rPr>
          <w:rStyle w:val="Heading2Char"/>
        </w:rPr>
        <w:t>ies</w:t>
      </w:r>
      <w:r w:rsidRPr="00002598">
        <w:rPr>
          <w:rStyle w:val="Heading2Char"/>
        </w:rPr>
        <w:t xml:space="preserve"> to market </w:t>
      </w:r>
      <w:r w:rsidRPr="00002598">
        <w:rPr>
          <w:rStyle w:val="Heading2Char"/>
        </w:rPr>
        <w:t>electric and natural gas service</w:t>
      </w:r>
      <w:r w:rsidRPr="00002598">
        <w:rPr>
          <w:rStyle w:val="Heading2Char"/>
        </w:rPr>
        <w:t xml:space="preserve"> in Ohio</w:t>
      </w:r>
      <w:r w:rsidRPr="00002598">
        <w:rPr>
          <w:rStyle w:val="Heading2Char"/>
        </w:rPr>
        <w:t xml:space="preserve">. </w:t>
      </w:r>
      <w:r w:rsidR="00687AFF">
        <w:rPr>
          <w:rStyle w:val="Heading2Char"/>
        </w:rPr>
        <w:t xml:space="preserve">To protect consumers, </w:t>
      </w:r>
      <w:r w:rsidRPr="00002598">
        <w:rPr>
          <w:rStyle w:val="Heading2Char"/>
        </w:rPr>
        <w:t>Green Choice’s certificates to market to Ohio consumers</w:t>
      </w:r>
      <w:r w:rsidRPr="00002598">
        <w:rPr>
          <w:rStyle w:val="Heading2Char"/>
        </w:rPr>
        <w:t xml:space="preserve"> should be permanently rescinded</w:t>
      </w:r>
      <w:r w:rsidRPr="00002598">
        <w:rPr>
          <w:rStyle w:val="Heading2Char"/>
        </w:rPr>
        <w:t>.</w:t>
      </w:r>
      <w:bookmarkEnd w:id="10"/>
    </w:p>
    <w:p w:rsidR="00D62029" w:rsidP="00D62029" w14:paraId="7DB28424" w14:textId="77777777">
      <w:pPr>
        <w:pStyle w:val="ListParagraph"/>
        <w:tabs>
          <w:tab w:val="left" w:pos="720"/>
          <w:tab w:val="left" w:pos="1440"/>
          <w:tab w:val="left" w:leader="dot" w:pos="8640"/>
        </w:tabs>
        <w:ind w:left="1440"/>
      </w:pPr>
    </w:p>
    <w:p w:rsidR="00242169" w:rsidP="009F504E" w14:paraId="032B270D" w14:textId="77777777">
      <w:pPr>
        <w:tabs>
          <w:tab w:val="left" w:pos="720"/>
          <w:tab w:val="left" w:leader="dot" w:pos="8640"/>
        </w:tabs>
        <w:spacing w:line="480" w:lineRule="auto"/>
      </w:pPr>
      <w:r>
        <w:rPr>
          <w:szCs w:val="24"/>
        </w:rPr>
        <w:tab/>
      </w:r>
      <w:r>
        <w:rPr>
          <w:szCs w:val="24"/>
        </w:rPr>
        <w:t>The Staff Report concluded that there are “systemic issue[s]” with Green Choice’s “management oversight” of third-party vendors.</w:t>
      </w:r>
      <w:r>
        <w:rPr>
          <w:rStyle w:val="FootnoteReference"/>
          <w:szCs w:val="24"/>
        </w:rPr>
        <w:footnoteReference w:id="70"/>
      </w:r>
      <w:r>
        <w:rPr>
          <w:szCs w:val="24"/>
        </w:rPr>
        <w:t xml:space="preserve"> According to the PUCO Staff, “[t]hese issues are not related to one rogue agent or one vendor.”</w:t>
      </w:r>
      <w:r>
        <w:rPr>
          <w:rStyle w:val="FootnoteReference"/>
          <w:szCs w:val="24"/>
        </w:rPr>
        <w:footnoteReference w:id="71"/>
      </w:r>
      <w:r>
        <w:rPr>
          <w:szCs w:val="24"/>
        </w:rPr>
        <w:t xml:space="preserve"> The PUCO Staff found that “</w:t>
      </w:r>
      <w:r>
        <w:t>these issues are companywide as a result of how the Company is managed.”</w:t>
      </w:r>
      <w:r>
        <w:rPr>
          <w:rStyle w:val="FootnoteReference"/>
        </w:rPr>
        <w:footnoteReference w:id="72"/>
      </w:r>
      <w:r>
        <w:t xml:space="preserve"> </w:t>
      </w:r>
    </w:p>
    <w:p w:rsidR="00D34631" w:rsidP="009F504E" w14:paraId="5E04278E" w14:textId="2985D04D">
      <w:pPr>
        <w:tabs>
          <w:tab w:val="left" w:pos="720"/>
          <w:tab w:val="left" w:leader="dot" w:pos="8640"/>
        </w:tabs>
        <w:spacing w:line="480" w:lineRule="auto"/>
        <w:rPr>
          <w:szCs w:val="24"/>
        </w:rPr>
      </w:pPr>
      <w:r>
        <w:tab/>
      </w:r>
      <w:r w:rsidRPr="00312306" w:rsidR="00D7611D">
        <w:rPr>
          <w:szCs w:val="24"/>
        </w:rPr>
        <w:t xml:space="preserve">OCC witness Williams </w:t>
      </w:r>
      <w:r>
        <w:rPr>
          <w:szCs w:val="24"/>
        </w:rPr>
        <w:t>also testified that</w:t>
      </w:r>
      <w:r w:rsidRPr="00312306" w:rsidR="00D7611D">
        <w:rPr>
          <w:szCs w:val="24"/>
        </w:rPr>
        <w:t xml:space="preserve"> Green Choice’s operations in Ohio demonstrate that it does not have the managerial capabilities to market energy services in the state as required by Ohio law.</w:t>
      </w:r>
      <w:r>
        <w:rPr>
          <w:rStyle w:val="FootnoteReference"/>
          <w:szCs w:val="24"/>
        </w:rPr>
        <w:footnoteReference w:id="73"/>
      </w:r>
      <w:r w:rsidR="009F504E">
        <w:rPr>
          <w:szCs w:val="24"/>
        </w:rPr>
        <w:t xml:space="preserve"> </w:t>
      </w:r>
      <w:r>
        <w:rPr>
          <w:szCs w:val="24"/>
        </w:rPr>
        <w:t>T</w:t>
      </w:r>
      <w:r w:rsidR="0041524D">
        <w:rPr>
          <w:szCs w:val="24"/>
        </w:rPr>
        <w:t xml:space="preserve">he PUCO’s minimum service standards set forth in </w:t>
      </w:r>
      <w:r w:rsidRPr="00312306" w:rsidR="00D16C36">
        <w:rPr>
          <w:szCs w:val="24"/>
        </w:rPr>
        <w:t xml:space="preserve">O.A.C. </w:t>
      </w:r>
      <w:r w:rsidRPr="00312306" w:rsidR="00D16C36">
        <w:rPr>
          <w:szCs w:val="24"/>
        </w:rPr>
        <w:t xml:space="preserve">4901:1-21 and </w:t>
      </w:r>
      <w:r w:rsidRPr="00312306" w:rsidR="00D16C36">
        <w:rPr>
          <w:szCs w:val="24"/>
        </w:rPr>
        <w:t>O.A.C.</w:t>
      </w:r>
      <w:r w:rsidRPr="00312306" w:rsidR="00D16C36">
        <w:rPr>
          <w:szCs w:val="24"/>
        </w:rPr>
        <w:t xml:space="preserve"> 4901:1-29</w:t>
      </w:r>
      <w:r w:rsidRPr="00312306" w:rsidR="00C62BF6">
        <w:rPr>
          <w:szCs w:val="24"/>
        </w:rPr>
        <w:t xml:space="preserve"> exist to </w:t>
      </w:r>
      <w:r>
        <w:rPr>
          <w:szCs w:val="24"/>
        </w:rPr>
        <w:t>prevent marketers from abusing</w:t>
      </w:r>
      <w:r w:rsidRPr="00312306" w:rsidR="00C62BF6">
        <w:rPr>
          <w:szCs w:val="24"/>
        </w:rPr>
        <w:t xml:space="preserve"> Ohio residential consumers.</w:t>
      </w:r>
      <w:r>
        <w:rPr>
          <w:szCs w:val="24"/>
        </w:rPr>
        <w:t xml:space="preserve"> But there is </w:t>
      </w:r>
      <w:r w:rsidR="009F504E">
        <w:rPr>
          <w:szCs w:val="24"/>
        </w:rPr>
        <w:t xml:space="preserve">ample evidence that Green Choice </w:t>
      </w:r>
      <w:r>
        <w:rPr>
          <w:szCs w:val="24"/>
        </w:rPr>
        <w:t xml:space="preserve">has done just that by failing to manage third-party vendors interacting with </w:t>
      </w:r>
      <w:r w:rsidR="00D16C36">
        <w:rPr>
          <w:szCs w:val="24"/>
        </w:rPr>
        <w:t xml:space="preserve">Ohio consumers. </w:t>
      </w:r>
    </w:p>
    <w:p w:rsidR="0086538C" w:rsidP="009F504E" w14:paraId="7EE0C8F1" w14:textId="77777777">
      <w:pPr>
        <w:tabs>
          <w:tab w:val="left" w:pos="720"/>
          <w:tab w:val="left" w:leader="dot" w:pos="8640"/>
        </w:tabs>
        <w:spacing w:line="480" w:lineRule="auto"/>
        <w:rPr>
          <w:szCs w:val="24"/>
        </w:rPr>
      </w:pPr>
      <w:r>
        <w:rPr>
          <w:szCs w:val="24"/>
        </w:rPr>
        <w:tab/>
      </w:r>
      <w:r w:rsidR="00D16C36">
        <w:rPr>
          <w:szCs w:val="24"/>
        </w:rPr>
        <w:t>As explained, all Green Choice’s sales and customer service functions are conducted by third-party vendors.</w:t>
      </w:r>
      <w:r>
        <w:rPr>
          <w:rStyle w:val="FootnoteReference"/>
          <w:szCs w:val="24"/>
        </w:rPr>
        <w:footnoteReference w:id="74"/>
      </w:r>
      <w:r w:rsidR="005B00E4">
        <w:rPr>
          <w:szCs w:val="24"/>
        </w:rPr>
        <w:t xml:space="preserve"> </w:t>
      </w:r>
      <w:r w:rsidR="00242169">
        <w:rPr>
          <w:szCs w:val="24"/>
        </w:rPr>
        <w:t xml:space="preserve">But </w:t>
      </w:r>
      <w:r w:rsidR="005B00E4">
        <w:rPr>
          <w:szCs w:val="24"/>
        </w:rPr>
        <w:t>Green Choice</w:t>
      </w:r>
      <w:r>
        <w:rPr>
          <w:szCs w:val="24"/>
        </w:rPr>
        <w:t xml:space="preserve"> evidently is incapable or unwilling to </w:t>
      </w:r>
      <w:r w:rsidR="005B00E4">
        <w:rPr>
          <w:szCs w:val="24"/>
        </w:rPr>
        <w:t xml:space="preserve">manage </w:t>
      </w:r>
      <w:r>
        <w:rPr>
          <w:szCs w:val="24"/>
        </w:rPr>
        <w:t xml:space="preserve">its vendors’ </w:t>
      </w:r>
      <w:r w:rsidR="00242169">
        <w:rPr>
          <w:szCs w:val="24"/>
        </w:rPr>
        <w:t>marketing and enrollment</w:t>
      </w:r>
      <w:r>
        <w:rPr>
          <w:szCs w:val="24"/>
        </w:rPr>
        <w:t xml:space="preserve"> activities</w:t>
      </w:r>
      <w:r>
        <w:rPr>
          <w:szCs w:val="24"/>
        </w:rPr>
        <w:t xml:space="preserve"> to protect consumers and follow the PUCO’s rules</w:t>
      </w:r>
      <w:r>
        <w:rPr>
          <w:szCs w:val="24"/>
        </w:rPr>
        <w:t xml:space="preserve">. </w:t>
      </w:r>
      <w:r w:rsidR="00B30D9D">
        <w:rPr>
          <w:szCs w:val="24"/>
        </w:rPr>
        <w:t xml:space="preserve">While </w:t>
      </w:r>
      <w:r>
        <w:rPr>
          <w:szCs w:val="24"/>
        </w:rPr>
        <w:t xml:space="preserve">Green Choice </w:t>
      </w:r>
      <w:r w:rsidR="00B30D9D">
        <w:rPr>
          <w:szCs w:val="24"/>
        </w:rPr>
        <w:t>acknowledges that</w:t>
      </w:r>
      <w:r>
        <w:rPr>
          <w:szCs w:val="24"/>
        </w:rPr>
        <w:t xml:space="preserve"> it is responsible for the acts of its</w:t>
      </w:r>
      <w:r w:rsidR="00B30D9D">
        <w:rPr>
          <w:szCs w:val="24"/>
        </w:rPr>
        <w:t xml:space="preserve"> third-party</w:t>
      </w:r>
      <w:r>
        <w:rPr>
          <w:szCs w:val="24"/>
        </w:rPr>
        <w:t xml:space="preserve"> vendors, </w:t>
      </w:r>
      <w:r w:rsidR="00316D26">
        <w:rPr>
          <w:szCs w:val="24"/>
        </w:rPr>
        <w:t>it does little</w:t>
      </w:r>
      <w:r>
        <w:rPr>
          <w:szCs w:val="24"/>
        </w:rPr>
        <w:t xml:space="preserve"> to</w:t>
      </w:r>
      <w:r w:rsidR="00316D26">
        <w:rPr>
          <w:szCs w:val="24"/>
        </w:rPr>
        <w:t xml:space="preserve"> prevent its</w:t>
      </w:r>
      <w:r w:rsidR="00B30D9D">
        <w:rPr>
          <w:szCs w:val="24"/>
        </w:rPr>
        <w:t xml:space="preserve"> vendors’ bad acts</w:t>
      </w:r>
      <w:r w:rsidR="002C13BD">
        <w:rPr>
          <w:szCs w:val="24"/>
        </w:rPr>
        <w:t>.</w:t>
      </w:r>
      <w:r w:rsidR="00B30D9D">
        <w:rPr>
          <w:szCs w:val="24"/>
        </w:rPr>
        <w:t xml:space="preserve"> </w:t>
      </w:r>
    </w:p>
    <w:p w:rsidR="00655155" w:rsidP="009F504E" w14:paraId="35DA36CD" w14:textId="3089D69E">
      <w:pPr>
        <w:tabs>
          <w:tab w:val="left" w:pos="720"/>
          <w:tab w:val="left" w:leader="dot" w:pos="8640"/>
        </w:tabs>
        <w:spacing w:line="480" w:lineRule="auto"/>
        <w:rPr>
          <w:szCs w:val="24"/>
        </w:rPr>
      </w:pPr>
      <w:r>
        <w:rPr>
          <w:szCs w:val="24"/>
        </w:rPr>
        <w:tab/>
      </w:r>
      <w:r w:rsidR="00B30D9D">
        <w:rPr>
          <w:szCs w:val="24"/>
        </w:rPr>
        <w:t>Worse</w:t>
      </w:r>
      <w:r w:rsidR="002C13BD">
        <w:rPr>
          <w:szCs w:val="24"/>
        </w:rPr>
        <w:t xml:space="preserve">, Green Choice has </w:t>
      </w:r>
      <w:r w:rsidR="00316D26">
        <w:rPr>
          <w:szCs w:val="24"/>
        </w:rPr>
        <w:t>refused to cooperate</w:t>
      </w:r>
      <w:r w:rsidR="002C13BD">
        <w:rPr>
          <w:szCs w:val="24"/>
        </w:rPr>
        <w:t xml:space="preserve"> with the PUCO Staff’s investigation, claiming that it does not have access to</w:t>
      </w:r>
      <w:r w:rsidR="00B30D9D">
        <w:rPr>
          <w:szCs w:val="24"/>
        </w:rPr>
        <w:t xml:space="preserve"> its third-party vendor</w:t>
      </w:r>
      <w:r w:rsidR="002C13BD">
        <w:rPr>
          <w:szCs w:val="24"/>
        </w:rPr>
        <w:t xml:space="preserve"> information.</w:t>
      </w:r>
      <w:r>
        <w:rPr>
          <w:rStyle w:val="FootnoteReference"/>
          <w:szCs w:val="24"/>
        </w:rPr>
        <w:footnoteReference w:id="75"/>
      </w:r>
      <w:r w:rsidR="002C13BD">
        <w:rPr>
          <w:szCs w:val="24"/>
        </w:rPr>
        <w:t xml:space="preserve"> </w:t>
      </w:r>
      <w:r w:rsidR="00B30D9D">
        <w:rPr>
          <w:szCs w:val="24"/>
        </w:rPr>
        <w:t>That</w:t>
      </w:r>
      <w:r w:rsidR="00242169">
        <w:rPr>
          <w:szCs w:val="24"/>
        </w:rPr>
        <w:t xml:space="preserve"> is unacceptable</w:t>
      </w:r>
      <w:r w:rsidR="00B30D9D">
        <w:rPr>
          <w:szCs w:val="24"/>
        </w:rPr>
        <w:t xml:space="preserve">. As PUCO Staff witness Ramsey testified, </w:t>
      </w:r>
      <w:r w:rsidR="002C13BD">
        <w:rPr>
          <w:szCs w:val="24"/>
        </w:rPr>
        <w:t>Green Choice</w:t>
      </w:r>
      <w:r w:rsidR="00B30D9D">
        <w:rPr>
          <w:szCs w:val="24"/>
        </w:rPr>
        <w:t xml:space="preserve"> (as the PUCO-regulated entity)</w:t>
      </w:r>
      <w:r w:rsidR="002C13BD">
        <w:rPr>
          <w:szCs w:val="24"/>
        </w:rPr>
        <w:t xml:space="preserve"> </w:t>
      </w:r>
      <w:r w:rsidR="00B30D9D">
        <w:rPr>
          <w:szCs w:val="24"/>
        </w:rPr>
        <w:t>must take</w:t>
      </w:r>
      <w:r w:rsidR="002C13BD">
        <w:rPr>
          <w:szCs w:val="24"/>
        </w:rPr>
        <w:t xml:space="preserve"> responsibility for its vendors</w:t>
      </w:r>
      <w:r w:rsidR="00B30D9D">
        <w:rPr>
          <w:szCs w:val="24"/>
        </w:rPr>
        <w:t xml:space="preserve"> and </w:t>
      </w:r>
      <w:r w:rsidR="00755082">
        <w:rPr>
          <w:szCs w:val="24"/>
        </w:rPr>
        <w:t>maintain records and data to show compliance with the PUCO’s rules</w:t>
      </w:r>
      <w:r w:rsidR="002C13BD">
        <w:rPr>
          <w:szCs w:val="24"/>
        </w:rPr>
        <w:t>.</w:t>
      </w:r>
      <w:r>
        <w:rPr>
          <w:rStyle w:val="FootnoteReference"/>
          <w:szCs w:val="24"/>
        </w:rPr>
        <w:footnoteReference w:id="76"/>
      </w:r>
      <w:r w:rsidR="005B00E4">
        <w:rPr>
          <w:szCs w:val="24"/>
        </w:rPr>
        <w:t xml:space="preserve"> </w:t>
      </w:r>
    </w:p>
    <w:p w:rsidR="002C13BD" w:rsidP="009F504E" w14:paraId="436E6541" w14:textId="290B0B97">
      <w:pPr>
        <w:tabs>
          <w:tab w:val="left" w:pos="720"/>
          <w:tab w:val="left" w:leader="dot" w:pos="8640"/>
        </w:tabs>
        <w:spacing w:line="480" w:lineRule="auto"/>
        <w:rPr>
          <w:szCs w:val="24"/>
        </w:rPr>
      </w:pPr>
      <w:r>
        <w:rPr>
          <w:szCs w:val="24"/>
        </w:rPr>
        <w:tab/>
      </w:r>
      <w:r w:rsidR="00681F3F">
        <w:rPr>
          <w:szCs w:val="24"/>
        </w:rPr>
        <w:t xml:space="preserve">Examples of Green Choice’s lack of managerial capabilities include </w:t>
      </w:r>
      <w:r w:rsidR="00502500">
        <w:rPr>
          <w:szCs w:val="24"/>
        </w:rPr>
        <w:t>Green Choice’s</w:t>
      </w:r>
      <w:r w:rsidR="002B2F3F">
        <w:rPr>
          <w:szCs w:val="24"/>
        </w:rPr>
        <w:t xml:space="preserve"> non-compliance with the PUCO Entry in Case No. 20-591-AU-ORD when </w:t>
      </w:r>
      <w:r w:rsidR="00F70755">
        <w:rPr>
          <w:szCs w:val="24"/>
        </w:rPr>
        <w:t xml:space="preserve">it </w:t>
      </w:r>
      <w:r w:rsidR="00681F3F">
        <w:rPr>
          <w:szCs w:val="24"/>
        </w:rPr>
        <w:t>failed to</w:t>
      </w:r>
      <w:r w:rsidR="00F70755">
        <w:rPr>
          <w:szCs w:val="24"/>
        </w:rPr>
        <w:t xml:space="preserve"> notify the PUCO prior to resuming door-to-door solicitations during the coronavirus pandemic.</w:t>
      </w:r>
      <w:r>
        <w:rPr>
          <w:rStyle w:val="FootnoteReference"/>
          <w:szCs w:val="24"/>
        </w:rPr>
        <w:footnoteReference w:id="77"/>
      </w:r>
      <w:r w:rsidR="00F70755">
        <w:rPr>
          <w:szCs w:val="24"/>
        </w:rPr>
        <w:t xml:space="preserve"> Green Choice</w:t>
      </w:r>
      <w:r w:rsidR="00681F3F">
        <w:rPr>
          <w:szCs w:val="24"/>
        </w:rPr>
        <w:t xml:space="preserve"> claims that it </w:t>
      </w:r>
      <w:r w:rsidR="00F70755">
        <w:rPr>
          <w:szCs w:val="24"/>
        </w:rPr>
        <w:t xml:space="preserve">forwarded the Entry to its vendors and told </w:t>
      </w:r>
      <w:r w:rsidRPr="00681F3F" w:rsidR="00F70755">
        <w:rPr>
          <w:szCs w:val="24"/>
        </w:rPr>
        <w:t>them</w:t>
      </w:r>
      <w:r w:rsidR="00F70755">
        <w:rPr>
          <w:szCs w:val="24"/>
        </w:rPr>
        <w:t xml:space="preserve"> to comply</w:t>
      </w:r>
      <w:r w:rsidR="00681F3F">
        <w:rPr>
          <w:szCs w:val="24"/>
        </w:rPr>
        <w:t xml:space="preserve"> with the PUCO’s directive,</w:t>
      </w:r>
      <w:r>
        <w:rPr>
          <w:rStyle w:val="FootnoteReference"/>
          <w:szCs w:val="24"/>
        </w:rPr>
        <w:footnoteReference w:id="78"/>
      </w:r>
      <w:r w:rsidR="00F70755">
        <w:rPr>
          <w:szCs w:val="24"/>
        </w:rPr>
        <w:t xml:space="preserve"> </w:t>
      </w:r>
      <w:r w:rsidR="00681F3F">
        <w:rPr>
          <w:szCs w:val="24"/>
        </w:rPr>
        <w:t>b</w:t>
      </w:r>
      <w:r w:rsidR="00F70755">
        <w:rPr>
          <w:szCs w:val="24"/>
        </w:rPr>
        <w:t xml:space="preserve">ut it is Green Choice’s responsibility to ensure compliance. </w:t>
      </w:r>
    </w:p>
    <w:p w:rsidR="00F70755" w:rsidP="009F504E" w14:paraId="4E08625C" w14:textId="2D5F5988">
      <w:pPr>
        <w:tabs>
          <w:tab w:val="left" w:pos="720"/>
          <w:tab w:val="left" w:leader="dot" w:pos="8640"/>
        </w:tabs>
        <w:spacing w:line="480" w:lineRule="auto"/>
        <w:rPr>
          <w:szCs w:val="24"/>
        </w:rPr>
      </w:pPr>
      <w:r>
        <w:rPr>
          <w:szCs w:val="24"/>
        </w:rPr>
        <w:tab/>
      </w:r>
      <w:r w:rsidR="00FB0D1D">
        <w:rPr>
          <w:szCs w:val="24"/>
        </w:rPr>
        <w:t>T</w:t>
      </w:r>
      <w:r>
        <w:rPr>
          <w:szCs w:val="24"/>
        </w:rPr>
        <w:t>he</w:t>
      </w:r>
      <w:r w:rsidR="00244818">
        <w:rPr>
          <w:szCs w:val="24"/>
        </w:rPr>
        <w:t xml:space="preserve"> PUCO Staff </w:t>
      </w:r>
      <w:r w:rsidR="00FB0D1D">
        <w:rPr>
          <w:szCs w:val="24"/>
        </w:rPr>
        <w:t xml:space="preserve">also </w:t>
      </w:r>
      <w:r w:rsidR="00244818">
        <w:rPr>
          <w:szCs w:val="24"/>
        </w:rPr>
        <w:t>compared Green Choice’s sales scripts to call recordings. According to the Staff Report, Green Choice’s sales scripts inform consumers that they will be enrolled in a “competitive variable rate based on market conditions.”</w:t>
      </w:r>
      <w:r>
        <w:rPr>
          <w:rStyle w:val="FootnoteReference"/>
          <w:szCs w:val="24"/>
        </w:rPr>
        <w:footnoteReference w:id="79"/>
      </w:r>
      <w:r w:rsidR="00A2104C">
        <w:rPr>
          <w:szCs w:val="24"/>
        </w:rPr>
        <w:t xml:space="preserve"> However, the PUCO Staff found “no evidence of market conditions that would justify one month of a rate near $0.05/kWh and all subsequent months billed above $0.12/kWh.”</w:t>
      </w:r>
      <w:r>
        <w:rPr>
          <w:rStyle w:val="FootnoteReference"/>
          <w:szCs w:val="24"/>
        </w:rPr>
        <w:footnoteReference w:id="80"/>
      </w:r>
      <w:r w:rsidR="005B5716">
        <w:rPr>
          <w:szCs w:val="24"/>
        </w:rPr>
        <w:t xml:space="preserve"> The PUCO Staff found that Green Choice agents</w:t>
      </w:r>
      <w:r w:rsidR="00046A9C">
        <w:rPr>
          <w:szCs w:val="24"/>
        </w:rPr>
        <w:t xml:space="preserve"> often</w:t>
      </w:r>
      <w:r w:rsidR="005B5716">
        <w:rPr>
          <w:szCs w:val="24"/>
        </w:rPr>
        <w:t xml:space="preserve"> did not follow the scripts </w:t>
      </w:r>
      <w:r w:rsidR="00046A9C">
        <w:rPr>
          <w:szCs w:val="24"/>
        </w:rPr>
        <w:t xml:space="preserve">including for </w:t>
      </w:r>
      <w:r w:rsidR="005B5716">
        <w:rPr>
          <w:szCs w:val="24"/>
        </w:rPr>
        <w:t xml:space="preserve">some calls that resulted in </w:t>
      </w:r>
      <w:r w:rsidR="00046A9C">
        <w:rPr>
          <w:szCs w:val="24"/>
        </w:rPr>
        <w:t xml:space="preserve">consumer </w:t>
      </w:r>
      <w:r w:rsidR="005B5716">
        <w:rPr>
          <w:szCs w:val="24"/>
        </w:rPr>
        <w:t>enrollments.</w:t>
      </w:r>
      <w:r>
        <w:rPr>
          <w:rStyle w:val="FootnoteReference"/>
          <w:szCs w:val="24"/>
        </w:rPr>
        <w:footnoteReference w:id="81"/>
      </w:r>
    </w:p>
    <w:p w:rsidR="00C62BF6" w:rsidP="0033500A" w14:paraId="7F560E4C" w14:textId="46E44978">
      <w:pPr>
        <w:tabs>
          <w:tab w:val="left" w:pos="720"/>
          <w:tab w:val="left" w:leader="dot" w:pos="8640"/>
        </w:tabs>
        <w:spacing w:line="480" w:lineRule="auto"/>
        <w:rPr>
          <w:szCs w:val="24"/>
        </w:rPr>
      </w:pPr>
      <w:r>
        <w:rPr>
          <w:szCs w:val="24"/>
        </w:rPr>
        <w:tab/>
      </w:r>
      <w:r w:rsidR="00DC759A">
        <w:rPr>
          <w:szCs w:val="24"/>
        </w:rPr>
        <w:t>Th</w:t>
      </w:r>
      <w:r w:rsidR="00883CD7">
        <w:rPr>
          <w:szCs w:val="24"/>
        </w:rPr>
        <w:t xml:space="preserve">e PUCO Staff </w:t>
      </w:r>
      <w:r w:rsidR="00DC759A">
        <w:rPr>
          <w:szCs w:val="24"/>
        </w:rPr>
        <w:t xml:space="preserve">also </w:t>
      </w:r>
      <w:r w:rsidR="00883CD7">
        <w:rPr>
          <w:szCs w:val="24"/>
        </w:rPr>
        <w:t>found that Green Choice was texting contracts to consumers from door-to-door enrollments in violation of O.A.C. 4901:1-21-06 and 4901:1-29-06.</w:t>
      </w:r>
      <w:r>
        <w:rPr>
          <w:rStyle w:val="FootnoteReference"/>
          <w:szCs w:val="24"/>
        </w:rPr>
        <w:footnoteReference w:id="82"/>
      </w:r>
      <w:r w:rsidR="00883CD7">
        <w:rPr>
          <w:szCs w:val="24"/>
        </w:rPr>
        <w:t xml:space="preserve"> </w:t>
      </w:r>
      <w:r w:rsidR="00C6339F">
        <w:rPr>
          <w:szCs w:val="24"/>
        </w:rPr>
        <w:t>Although Green Choice has sought from the PUCO a waiver of these rules to allow text contracts,</w:t>
      </w:r>
      <w:r>
        <w:rPr>
          <w:rStyle w:val="FootnoteReference"/>
          <w:szCs w:val="24"/>
        </w:rPr>
        <w:footnoteReference w:id="83"/>
      </w:r>
      <w:r w:rsidR="00DC759A">
        <w:rPr>
          <w:szCs w:val="24"/>
        </w:rPr>
        <w:t xml:space="preserve"> the waiver has not been granted. Moreover, the PUCO Staff also found that Green Choice has failed to provide written contracts to enrolled consumers within timeline required by the PUCO’s rules.</w:t>
      </w:r>
      <w:r>
        <w:rPr>
          <w:rStyle w:val="FootnoteReference"/>
          <w:szCs w:val="24"/>
        </w:rPr>
        <w:footnoteReference w:id="84"/>
      </w:r>
      <w:r w:rsidR="00DC759A">
        <w:rPr>
          <w:szCs w:val="24"/>
        </w:rPr>
        <w:t xml:space="preserve"> </w:t>
      </w:r>
    </w:p>
    <w:p w:rsidR="00426CF8" w:rsidP="0033500A" w14:paraId="3EE358A3" w14:textId="7A4E0279">
      <w:pPr>
        <w:tabs>
          <w:tab w:val="left" w:pos="720"/>
          <w:tab w:val="left" w:leader="dot" w:pos="8640"/>
        </w:tabs>
        <w:spacing w:line="480" w:lineRule="auto"/>
        <w:rPr>
          <w:szCs w:val="24"/>
        </w:rPr>
      </w:pPr>
      <w:r>
        <w:rPr>
          <w:szCs w:val="24"/>
        </w:rPr>
        <w:tab/>
        <w:t>The PUCO Staff also identified numerous issues with respect to Green Choice’s third-party verification calls</w:t>
      </w:r>
      <w:r w:rsidR="00183A53">
        <w:rPr>
          <w:szCs w:val="24"/>
        </w:rPr>
        <w:t xml:space="preserve"> in violation of the PUCO’s rules</w:t>
      </w:r>
      <w:r>
        <w:rPr>
          <w:szCs w:val="24"/>
        </w:rPr>
        <w:t>.</w:t>
      </w:r>
      <w:r>
        <w:rPr>
          <w:rStyle w:val="FootnoteReference"/>
          <w:szCs w:val="24"/>
        </w:rPr>
        <w:footnoteReference w:id="85"/>
      </w:r>
      <w:r w:rsidR="00183A53">
        <w:rPr>
          <w:szCs w:val="24"/>
        </w:rPr>
        <w:t xml:space="preserve"> The PUCO Staff found that Green Choice’s </w:t>
      </w:r>
      <w:r w:rsidR="00046A9C">
        <w:rPr>
          <w:szCs w:val="24"/>
        </w:rPr>
        <w:t>third-party verification</w:t>
      </w:r>
      <w:r w:rsidR="00183A53">
        <w:rPr>
          <w:szCs w:val="24"/>
        </w:rPr>
        <w:t xml:space="preserve"> scripts and recordings lacked necessary elements to ensure consumers fully understand the terms of </w:t>
      </w:r>
      <w:r w:rsidR="004F2B9F">
        <w:rPr>
          <w:szCs w:val="24"/>
        </w:rPr>
        <w:t>enrollment</w:t>
      </w:r>
      <w:r w:rsidR="00183A53">
        <w:rPr>
          <w:szCs w:val="24"/>
        </w:rPr>
        <w:t>.</w:t>
      </w:r>
      <w:r>
        <w:rPr>
          <w:rStyle w:val="FootnoteReference"/>
          <w:szCs w:val="24"/>
        </w:rPr>
        <w:footnoteReference w:id="86"/>
      </w:r>
      <w:r w:rsidR="004F2B9F">
        <w:rPr>
          <w:szCs w:val="24"/>
        </w:rPr>
        <w:t xml:space="preserve"> For example, third-party verification scripts and calls lacked the price per kWh (or Ccf/Mcf for natural gas) and a verbal statement that Green Choice will send the consumer a written contract explaining the terms and conditions within one business day.</w:t>
      </w:r>
      <w:r>
        <w:rPr>
          <w:rStyle w:val="FootnoteReference"/>
          <w:szCs w:val="24"/>
        </w:rPr>
        <w:footnoteReference w:id="87"/>
      </w:r>
    </w:p>
    <w:p w:rsidR="004F2B9F" w:rsidRPr="00312306" w:rsidP="0033500A" w14:paraId="3CADF147" w14:textId="05DC1DC9">
      <w:pPr>
        <w:tabs>
          <w:tab w:val="left" w:pos="720"/>
          <w:tab w:val="left" w:leader="dot" w:pos="8640"/>
        </w:tabs>
        <w:spacing w:line="480" w:lineRule="auto"/>
        <w:rPr>
          <w:szCs w:val="24"/>
        </w:rPr>
      </w:pPr>
      <w:r>
        <w:rPr>
          <w:szCs w:val="24"/>
        </w:rPr>
        <w:tab/>
        <w:t>All of these issues identified by the PUCO Staff demonstrate that Green Choice</w:t>
      </w:r>
      <w:r w:rsidR="00046A9C">
        <w:rPr>
          <w:szCs w:val="24"/>
        </w:rPr>
        <w:t xml:space="preserve"> cannot manage the third-party vendors it uses to market to and enroll consumers. Green Choice</w:t>
      </w:r>
      <w:r>
        <w:rPr>
          <w:szCs w:val="24"/>
        </w:rPr>
        <w:t xml:space="preserve"> lacks the managerial capabilities to market electric and natural gas service to Ohio consumers. The PUCO should permanently rescind Green Choice’s certificates</w:t>
      </w:r>
      <w:r w:rsidR="00E26B7F">
        <w:rPr>
          <w:szCs w:val="24"/>
        </w:rPr>
        <w:t xml:space="preserve"> for this reason as well</w:t>
      </w:r>
      <w:r>
        <w:rPr>
          <w:szCs w:val="24"/>
        </w:rPr>
        <w:t>.</w:t>
      </w:r>
    </w:p>
    <w:p w:rsidR="00687AFF" w:rsidRPr="00002598" w:rsidP="001B7D87" w14:paraId="57F1FBCA" w14:textId="36419E0E">
      <w:pPr>
        <w:pStyle w:val="ListParagraph"/>
        <w:numPr>
          <w:ilvl w:val="0"/>
          <w:numId w:val="21"/>
        </w:numPr>
        <w:tabs>
          <w:tab w:val="left" w:pos="1440"/>
          <w:tab w:val="left" w:leader="dot" w:pos="8640"/>
        </w:tabs>
        <w:ind w:left="1440" w:hanging="720"/>
        <w:rPr>
          <w:rStyle w:val="Heading2Char"/>
        </w:rPr>
      </w:pPr>
      <w:bookmarkStart w:id="11" w:name="_Toc123892016"/>
      <w:r w:rsidRPr="00010B85">
        <w:rPr>
          <w:rStyle w:val="Heading2Char"/>
        </w:rPr>
        <w:t>Green Choice</w:t>
      </w:r>
      <w:r w:rsidRPr="00010B85" w:rsidR="00E26B7F">
        <w:rPr>
          <w:rStyle w:val="Heading2Char"/>
        </w:rPr>
        <w:t xml:space="preserve">’s misleading and deceptive acts and lack of managerial capabilities are </w:t>
      </w:r>
      <w:r w:rsidRPr="00010B85" w:rsidR="00046A9C">
        <w:rPr>
          <w:rStyle w:val="Heading2Char"/>
        </w:rPr>
        <w:t>amplified</w:t>
      </w:r>
      <w:r w:rsidRPr="00010B85" w:rsidR="00E26B7F">
        <w:rPr>
          <w:rStyle w:val="Heading2Char"/>
        </w:rPr>
        <w:t xml:space="preserve"> by Green Choice’s </w:t>
      </w:r>
      <w:r w:rsidRPr="00010B85">
        <w:rPr>
          <w:rStyle w:val="Heading2Char"/>
        </w:rPr>
        <w:t>refus</w:t>
      </w:r>
      <w:r w:rsidRPr="00010B85" w:rsidR="00E26B7F">
        <w:rPr>
          <w:rStyle w:val="Heading2Char"/>
        </w:rPr>
        <w:t>al</w:t>
      </w:r>
      <w:r w:rsidRPr="00010B85">
        <w:rPr>
          <w:rStyle w:val="Heading2Char"/>
        </w:rPr>
        <w:t xml:space="preserve"> to cooperate with the PUCO Staff and OCC regarding this investigation.</w:t>
      </w:r>
      <w:r>
        <w:rPr>
          <w:rStyle w:val="Heading2Char"/>
        </w:rPr>
        <w:t xml:space="preserve"> To protect consumers, </w:t>
      </w:r>
      <w:r w:rsidRPr="00002598">
        <w:rPr>
          <w:rStyle w:val="Heading2Char"/>
        </w:rPr>
        <w:t>Green Choice’s certificates to market to Ohio consumers should be permanently rescinded.</w:t>
      </w:r>
      <w:bookmarkEnd w:id="11"/>
    </w:p>
    <w:p w:rsidR="004C7A51" w:rsidP="004176FF" w14:paraId="4FFB1B9D" w14:textId="795564FF">
      <w:pPr>
        <w:pStyle w:val="ListParagraph"/>
        <w:tabs>
          <w:tab w:val="left" w:pos="720"/>
          <w:tab w:val="left" w:pos="1440"/>
          <w:tab w:val="left" w:leader="dot" w:pos="8640"/>
        </w:tabs>
        <w:ind w:left="1440" w:hanging="720"/>
        <w:rPr>
          <w:b/>
          <w:bCs/>
        </w:rPr>
      </w:pPr>
    </w:p>
    <w:p w:rsidR="00541A35" w:rsidP="004C7A51" w14:paraId="69C5E6A7" w14:textId="177B3BC7">
      <w:pPr>
        <w:tabs>
          <w:tab w:val="left" w:pos="0"/>
          <w:tab w:val="left" w:pos="720"/>
          <w:tab w:val="left" w:leader="dot" w:pos="8640"/>
        </w:tabs>
        <w:spacing w:line="480" w:lineRule="auto"/>
        <w:rPr>
          <w:szCs w:val="24"/>
        </w:rPr>
      </w:pPr>
      <w:r>
        <w:rPr>
          <w:szCs w:val="24"/>
        </w:rPr>
        <w:tab/>
      </w:r>
      <w:r w:rsidR="00E26B7F">
        <w:rPr>
          <w:szCs w:val="24"/>
        </w:rPr>
        <w:t xml:space="preserve">As if Green Choice’s misleading and deceptive acts weren’t bad enough, </w:t>
      </w:r>
      <w:r>
        <w:rPr>
          <w:szCs w:val="24"/>
        </w:rPr>
        <w:t>Green Choice deliberate</w:t>
      </w:r>
      <w:r w:rsidR="0064520B">
        <w:rPr>
          <w:szCs w:val="24"/>
        </w:rPr>
        <w:t>ly</w:t>
      </w:r>
      <w:r w:rsidR="00046A9C">
        <w:rPr>
          <w:szCs w:val="24"/>
        </w:rPr>
        <w:t xml:space="preserve"> refused to cooperate with</w:t>
      </w:r>
      <w:r w:rsidR="0064520B">
        <w:rPr>
          <w:szCs w:val="24"/>
        </w:rPr>
        <w:t xml:space="preserve"> the</w:t>
      </w:r>
      <w:r>
        <w:rPr>
          <w:szCs w:val="24"/>
        </w:rPr>
        <w:t xml:space="preserve"> PUCO Staff</w:t>
      </w:r>
      <w:r w:rsidR="0064520B">
        <w:rPr>
          <w:szCs w:val="24"/>
        </w:rPr>
        <w:t>’s</w:t>
      </w:r>
      <w:r>
        <w:rPr>
          <w:szCs w:val="24"/>
        </w:rPr>
        <w:t xml:space="preserve"> </w:t>
      </w:r>
      <w:r w:rsidR="00706C4B">
        <w:rPr>
          <w:szCs w:val="24"/>
        </w:rPr>
        <w:t>(</w:t>
      </w:r>
      <w:r>
        <w:rPr>
          <w:szCs w:val="24"/>
        </w:rPr>
        <w:t>and OCC</w:t>
      </w:r>
      <w:r w:rsidR="0064520B">
        <w:rPr>
          <w:szCs w:val="24"/>
        </w:rPr>
        <w:t>’s</w:t>
      </w:r>
      <w:r w:rsidR="00706C4B">
        <w:rPr>
          <w:szCs w:val="24"/>
        </w:rPr>
        <w:t>)</w:t>
      </w:r>
      <w:r w:rsidR="0064520B">
        <w:rPr>
          <w:szCs w:val="24"/>
        </w:rPr>
        <w:t xml:space="preserve"> </w:t>
      </w:r>
      <w:r>
        <w:rPr>
          <w:szCs w:val="24"/>
        </w:rPr>
        <w:t>investigat</w:t>
      </w:r>
      <w:r w:rsidR="0064520B">
        <w:rPr>
          <w:szCs w:val="24"/>
        </w:rPr>
        <w:t>ion</w:t>
      </w:r>
      <w:r w:rsidR="00E26B7F">
        <w:rPr>
          <w:szCs w:val="24"/>
        </w:rPr>
        <w:t xml:space="preserve"> in this case</w:t>
      </w:r>
      <w:r>
        <w:rPr>
          <w:szCs w:val="24"/>
        </w:rPr>
        <w:t>.</w:t>
      </w:r>
      <w:r w:rsidR="00046A9C">
        <w:rPr>
          <w:szCs w:val="24"/>
        </w:rPr>
        <w:t xml:space="preserve"> Green Choice’s certificates should be permanently rescinded for this reason as well.</w:t>
      </w:r>
    </w:p>
    <w:p w:rsidR="00046A9C" w:rsidP="004C7A51" w14:paraId="3C68302C" w14:textId="77777777">
      <w:pPr>
        <w:tabs>
          <w:tab w:val="left" w:pos="0"/>
          <w:tab w:val="left" w:pos="720"/>
          <w:tab w:val="left" w:leader="dot" w:pos="8640"/>
        </w:tabs>
        <w:spacing w:line="480" w:lineRule="auto"/>
        <w:rPr>
          <w:szCs w:val="24"/>
        </w:rPr>
      </w:pPr>
      <w:r>
        <w:rPr>
          <w:szCs w:val="24"/>
        </w:rPr>
        <w:tab/>
      </w:r>
      <w:r w:rsidR="0033500A">
        <w:rPr>
          <w:szCs w:val="24"/>
        </w:rPr>
        <w:t>As explained, PUCO Staff witness Ramsey testified that Green Choice refused to provide</w:t>
      </w:r>
      <w:r w:rsidR="00706C4B">
        <w:rPr>
          <w:szCs w:val="24"/>
        </w:rPr>
        <w:t xml:space="preserve"> certain</w:t>
      </w:r>
      <w:r w:rsidR="0033500A">
        <w:rPr>
          <w:szCs w:val="24"/>
        </w:rPr>
        <w:t xml:space="preserve"> information </w:t>
      </w:r>
      <w:r w:rsidR="00EA6A5D">
        <w:rPr>
          <w:szCs w:val="24"/>
        </w:rPr>
        <w:t>about sales calls so the PUCO Staff could complete its investigation.</w:t>
      </w:r>
      <w:r>
        <w:rPr>
          <w:rStyle w:val="FootnoteReference"/>
          <w:szCs w:val="24"/>
        </w:rPr>
        <w:footnoteReference w:id="88"/>
      </w:r>
      <w:r w:rsidR="00EA6A5D">
        <w:rPr>
          <w:szCs w:val="24"/>
        </w:rPr>
        <w:t xml:space="preserve"> </w:t>
      </w:r>
      <w:r w:rsidR="00706C4B">
        <w:rPr>
          <w:szCs w:val="24"/>
        </w:rPr>
        <w:t xml:space="preserve">When PUCO Staff requested information about a particular sales call and software equipment, Green Choice (through its counsel) told </w:t>
      </w:r>
      <w:r w:rsidR="00F756EA">
        <w:rPr>
          <w:szCs w:val="24"/>
        </w:rPr>
        <w:t xml:space="preserve">the </w:t>
      </w:r>
      <w:r w:rsidR="00706C4B">
        <w:rPr>
          <w:szCs w:val="24"/>
        </w:rPr>
        <w:t>PUCO Staff that the information was kept by the third-party vendor, that Green Choice would not</w:t>
      </w:r>
      <w:r w:rsidR="00F756EA">
        <w:rPr>
          <w:szCs w:val="24"/>
        </w:rPr>
        <w:t xml:space="preserve"> try to obtain the information from the vendor, and that the PUCO Staff itself should seek the information directly from the vendors.</w:t>
      </w:r>
      <w:r>
        <w:rPr>
          <w:rStyle w:val="FootnoteReference"/>
          <w:szCs w:val="24"/>
        </w:rPr>
        <w:footnoteReference w:id="89"/>
      </w:r>
      <w:r w:rsidR="00706C4B">
        <w:rPr>
          <w:szCs w:val="24"/>
        </w:rPr>
        <w:t xml:space="preserve"> </w:t>
      </w:r>
    </w:p>
    <w:p w:rsidR="004C7A51" w:rsidRPr="00312306" w:rsidP="004C7A51" w14:paraId="205D22F6" w14:textId="2BE5A344">
      <w:pPr>
        <w:tabs>
          <w:tab w:val="left" w:pos="0"/>
          <w:tab w:val="left" w:pos="720"/>
          <w:tab w:val="left" w:leader="dot" w:pos="8640"/>
        </w:tabs>
        <w:spacing w:line="480" w:lineRule="auto"/>
        <w:rPr>
          <w:szCs w:val="24"/>
        </w:rPr>
      </w:pPr>
      <w:r>
        <w:rPr>
          <w:szCs w:val="24"/>
        </w:rPr>
        <w:tab/>
      </w:r>
      <w:r w:rsidR="00F756EA">
        <w:rPr>
          <w:szCs w:val="24"/>
        </w:rPr>
        <w:t>However, as Green Choice’s</w:t>
      </w:r>
      <w:r>
        <w:rPr>
          <w:szCs w:val="24"/>
        </w:rPr>
        <w:t xml:space="preserve"> own president testified</w:t>
      </w:r>
      <w:r w:rsidR="00F756EA">
        <w:rPr>
          <w:szCs w:val="24"/>
        </w:rPr>
        <w:t>, Green Choice</w:t>
      </w:r>
      <w:r>
        <w:rPr>
          <w:szCs w:val="24"/>
        </w:rPr>
        <w:t xml:space="preserve"> is the one</w:t>
      </w:r>
      <w:r w:rsidR="00F756EA">
        <w:rPr>
          <w:szCs w:val="24"/>
        </w:rPr>
        <w:t xml:space="preserve"> responsib</w:t>
      </w:r>
      <w:r>
        <w:rPr>
          <w:szCs w:val="24"/>
        </w:rPr>
        <w:t>le</w:t>
      </w:r>
      <w:r w:rsidR="00F756EA">
        <w:rPr>
          <w:szCs w:val="24"/>
        </w:rPr>
        <w:t xml:space="preserve"> for its third-party vendors.</w:t>
      </w:r>
      <w:r>
        <w:rPr>
          <w:rStyle w:val="FootnoteReference"/>
          <w:szCs w:val="24"/>
        </w:rPr>
        <w:footnoteReference w:id="90"/>
      </w:r>
      <w:r w:rsidR="00F756EA">
        <w:rPr>
          <w:szCs w:val="24"/>
        </w:rPr>
        <w:t xml:space="preserve"> Green Choice is the PUCO-regulated entity and has an obligation under the PUCO’s rules to maintain records regarding its marketing and enrollment activities.</w:t>
      </w:r>
      <w:r>
        <w:rPr>
          <w:rStyle w:val="FootnoteReference"/>
          <w:szCs w:val="24"/>
        </w:rPr>
        <w:footnoteReference w:id="91"/>
      </w:r>
      <w:r w:rsidR="00F756EA">
        <w:rPr>
          <w:szCs w:val="24"/>
        </w:rPr>
        <w:t xml:space="preserve"> </w:t>
      </w:r>
      <w:r w:rsidR="00541A35">
        <w:rPr>
          <w:szCs w:val="24"/>
        </w:rPr>
        <w:t xml:space="preserve">Green Choice’s refusal to cooperate with PUCO Staff’s investigation is a separate and independent reason to permanently rescind </w:t>
      </w:r>
      <w:r w:rsidR="00FB7E69">
        <w:rPr>
          <w:szCs w:val="24"/>
        </w:rPr>
        <w:t>Green Choice’s certificates.</w:t>
      </w:r>
    </w:p>
    <w:p w:rsidR="004C7A51" w:rsidRPr="00381C5F" w:rsidP="004C7A51" w14:paraId="6EE34864" w14:textId="26C92EC9">
      <w:pPr>
        <w:tabs>
          <w:tab w:val="left" w:pos="0"/>
          <w:tab w:val="left" w:pos="720"/>
          <w:tab w:val="left" w:leader="dot" w:pos="8640"/>
        </w:tabs>
        <w:spacing w:line="480" w:lineRule="auto"/>
        <w:rPr>
          <w:szCs w:val="24"/>
        </w:rPr>
      </w:pPr>
      <w:r w:rsidRPr="00312306">
        <w:rPr>
          <w:szCs w:val="24"/>
        </w:rPr>
        <w:tab/>
      </w:r>
      <w:r w:rsidR="00290A6D">
        <w:rPr>
          <w:szCs w:val="24"/>
        </w:rPr>
        <w:t>Further, despite the well-settled precedent permitting OCC to participate and seek discovery in marketer investigations,</w:t>
      </w:r>
      <w:r>
        <w:rPr>
          <w:rStyle w:val="FootnoteReference"/>
          <w:szCs w:val="24"/>
        </w:rPr>
        <w:footnoteReference w:id="92"/>
      </w:r>
      <w:r w:rsidR="00290A6D">
        <w:rPr>
          <w:szCs w:val="24"/>
        </w:rPr>
        <w:t xml:space="preserve"> Green Choice refused to cooperate with OCC</w:t>
      </w:r>
      <w:r w:rsidR="00D61A9B">
        <w:rPr>
          <w:szCs w:val="24"/>
        </w:rPr>
        <w:t>’s discovery requests in</w:t>
      </w:r>
      <w:r w:rsidR="00290A6D">
        <w:rPr>
          <w:szCs w:val="24"/>
        </w:rPr>
        <w:t xml:space="preserve"> this matter for months. </w:t>
      </w:r>
      <w:r w:rsidRPr="00312306">
        <w:rPr>
          <w:szCs w:val="24"/>
        </w:rPr>
        <w:t>OCC</w:t>
      </w:r>
      <w:r w:rsidR="004D5138">
        <w:rPr>
          <w:szCs w:val="24"/>
        </w:rPr>
        <w:t xml:space="preserve"> witness </w:t>
      </w:r>
      <w:r w:rsidRPr="00312306">
        <w:rPr>
          <w:szCs w:val="24"/>
        </w:rPr>
        <w:t xml:space="preserve">Williams </w:t>
      </w:r>
      <w:r w:rsidR="00381C5F">
        <w:rPr>
          <w:szCs w:val="24"/>
        </w:rPr>
        <w:t xml:space="preserve">testified </w:t>
      </w:r>
      <w:r w:rsidRPr="00312306">
        <w:rPr>
          <w:szCs w:val="24"/>
        </w:rPr>
        <w:t xml:space="preserve">that Green Choice’s attempts to undermine </w:t>
      </w:r>
      <w:r w:rsidR="000A0CCD">
        <w:rPr>
          <w:szCs w:val="24"/>
        </w:rPr>
        <w:t xml:space="preserve">OCC’s case preparation made </w:t>
      </w:r>
      <w:r w:rsidRPr="00312306">
        <w:rPr>
          <w:szCs w:val="24"/>
        </w:rPr>
        <w:t>OCC</w:t>
      </w:r>
      <w:r w:rsidR="004D5138">
        <w:rPr>
          <w:szCs w:val="24"/>
        </w:rPr>
        <w:t>’s</w:t>
      </w:r>
      <w:r w:rsidRPr="00312306">
        <w:rPr>
          <w:szCs w:val="24"/>
        </w:rPr>
        <w:t xml:space="preserve"> statutory responsibility to represent residential consumers harmed by Green Choice very difficult.</w:t>
      </w:r>
      <w:r>
        <w:rPr>
          <w:rStyle w:val="FootnoteReference"/>
          <w:szCs w:val="24"/>
        </w:rPr>
        <w:footnoteReference w:id="93"/>
      </w:r>
      <w:r w:rsidRPr="00312306">
        <w:rPr>
          <w:szCs w:val="24"/>
        </w:rPr>
        <w:t xml:space="preserve"> </w:t>
      </w:r>
      <w:r w:rsidR="000A0CCD">
        <w:rPr>
          <w:szCs w:val="24"/>
        </w:rPr>
        <w:t xml:space="preserve">The </w:t>
      </w:r>
      <w:r w:rsidRPr="00312306">
        <w:rPr>
          <w:szCs w:val="24"/>
        </w:rPr>
        <w:t>PUCO grant</w:t>
      </w:r>
      <w:r w:rsidR="000A0CCD">
        <w:rPr>
          <w:szCs w:val="24"/>
        </w:rPr>
        <w:t>ed OCC’s</w:t>
      </w:r>
      <w:r w:rsidRPr="00312306">
        <w:rPr>
          <w:szCs w:val="24"/>
        </w:rPr>
        <w:t xml:space="preserve"> intervention rights in this proceeding</w:t>
      </w:r>
      <w:r w:rsidR="000A0CCD">
        <w:rPr>
          <w:szCs w:val="24"/>
        </w:rPr>
        <w:t>, yet Green Choice unreasonably delayed responding to OCC’s discovery</w:t>
      </w:r>
      <w:r w:rsidRPr="00312306">
        <w:rPr>
          <w:szCs w:val="24"/>
        </w:rPr>
        <w:t>.</w:t>
      </w:r>
      <w:r>
        <w:rPr>
          <w:szCs w:val="24"/>
          <w:vertAlign w:val="superscript"/>
        </w:rPr>
        <w:footnoteReference w:id="94"/>
      </w:r>
      <w:r w:rsidRPr="00312306">
        <w:rPr>
          <w:szCs w:val="24"/>
        </w:rPr>
        <w:t xml:space="preserve"> </w:t>
      </w:r>
      <w:r w:rsidR="00381C5F">
        <w:rPr>
          <w:szCs w:val="24"/>
        </w:rPr>
        <w:t xml:space="preserve">This further demonstrates </w:t>
      </w:r>
      <w:r w:rsidRPr="00312306">
        <w:rPr>
          <w:szCs w:val="24"/>
        </w:rPr>
        <w:t>Green Choice</w:t>
      </w:r>
      <w:r w:rsidR="00381C5F">
        <w:rPr>
          <w:szCs w:val="24"/>
        </w:rPr>
        <w:t>’s general contempt for the PUCO’s rules and precedent, and that</w:t>
      </w:r>
      <w:r w:rsidR="00EE7535">
        <w:rPr>
          <w:szCs w:val="24"/>
        </w:rPr>
        <w:t xml:space="preserve"> it</w:t>
      </w:r>
      <w:r w:rsidRPr="00312306">
        <w:rPr>
          <w:szCs w:val="24"/>
        </w:rPr>
        <w:t xml:space="preserve"> has no intention to follow the PUCO rules </w:t>
      </w:r>
      <w:r w:rsidR="00381C5F">
        <w:rPr>
          <w:szCs w:val="24"/>
        </w:rPr>
        <w:t>that</w:t>
      </w:r>
      <w:r w:rsidRPr="00312306">
        <w:rPr>
          <w:szCs w:val="24"/>
        </w:rPr>
        <w:t xml:space="preserve"> protect consumers.</w:t>
      </w:r>
    </w:p>
    <w:p w:rsidR="00C62BF6" w:rsidRPr="00381C5F" w:rsidP="006F6710" w14:paraId="236F6AD4" w14:textId="23549DA5">
      <w:pPr>
        <w:pStyle w:val="ListParagraph"/>
        <w:tabs>
          <w:tab w:val="left" w:pos="720"/>
          <w:tab w:val="left" w:pos="1440"/>
          <w:tab w:val="left" w:leader="dot" w:pos="8640"/>
        </w:tabs>
        <w:ind w:left="1440" w:hanging="720"/>
        <w:rPr>
          <w:b/>
          <w:bCs/>
        </w:rPr>
      </w:pPr>
      <w:bookmarkStart w:id="12" w:name="_Toc123892017"/>
      <w:r w:rsidRPr="00010B85">
        <w:rPr>
          <w:rStyle w:val="Heading2Char"/>
        </w:rPr>
        <w:t>D.</w:t>
      </w:r>
      <w:r w:rsidRPr="00010B85">
        <w:rPr>
          <w:rStyle w:val="Heading2Char"/>
        </w:rPr>
        <w:tab/>
      </w:r>
      <w:r w:rsidRPr="00010B85" w:rsidR="006F6710">
        <w:rPr>
          <w:rStyle w:val="Heading2Char"/>
        </w:rPr>
        <w:t>Green Choice’s bad acts and contempt for the PUCO’s rules and orders warrant</w:t>
      </w:r>
      <w:r w:rsidRPr="00010B85" w:rsidR="00DA12CA">
        <w:rPr>
          <w:rStyle w:val="Heading2Char"/>
        </w:rPr>
        <w:t xml:space="preserve"> a </w:t>
      </w:r>
      <w:r w:rsidRPr="00010B85" w:rsidR="006F6710">
        <w:rPr>
          <w:rStyle w:val="Heading2Char"/>
        </w:rPr>
        <w:t xml:space="preserve">Green Choice </w:t>
      </w:r>
      <w:r w:rsidRPr="00010B85" w:rsidR="00DA12CA">
        <w:rPr>
          <w:rStyle w:val="Heading2Char"/>
        </w:rPr>
        <w:t xml:space="preserve">forfeiture of </w:t>
      </w:r>
      <w:r w:rsidRPr="00010B85" w:rsidR="006F6710">
        <w:rPr>
          <w:rStyle w:val="Heading2Char"/>
        </w:rPr>
        <w:t>at least</w:t>
      </w:r>
      <w:r w:rsidRPr="00010B85" w:rsidR="0086538C">
        <w:rPr>
          <w:rStyle w:val="Heading2Char"/>
        </w:rPr>
        <w:t xml:space="preserve"> </w:t>
      </w:r>
      <w:r w:rsidRPr="00010B85" w:rsidR="00DA12CA">
        <w:rPr>
          <w:rStyle w:val="Heading2Char"/>
        </w:rPr>
        <w:t>$1.5 million</w:t>
      </w:r>
      <w:r w:rsidRPr="00010B85" w:rsidR="006F6710">
        <w:rPr>
          <w:rStyle w:val="Heading2Char"/>
        </w:rPr>
        <w:t>,</w:t>
      </w:r>
      <w:r w:rsidRPr="00010B85" w:rsidR="00DA12CA">
        <w:rPr>
          <w:rStyle w:val="Heading2Char"/>
        </w:rPr>
        <w:t xml:space="preserve"> in addition to</w:t>
      </w:r>
      <w:r w:rsidRPr="00010B85">
        <w:rPr>
          <w:rStyle w:val="Heading2Char"/>
        </w:rPr>
        <w:t xml:space="preserve"> permanently rescind</w:t>
      </w:r>
      <w:r w:rsidRPr="00010B85" w:rsidR="00DA12CA">
        <w:rPr>
          <w:rStyle w:val="Heading2Char"/>
        </w:rPr>
        <w:t>ing</w:t>
      </w:r>
      <w:r w:rsidRPr="00010B85">
        <w:rPr>
          <w:rStyle w:val="Heading2Char"/>
        </w:rPr>
        <w:t xml:space="preserve"> Green Choice’s certificat</w:t>
      </w:r>
      <w:r w:rsidRPr="00010B85" w:rsidR="00DA12CA">
        <w:rPr>
          <w:rStyle w:val="Heading2Char"/>
        </w:rPr>
        <w:t>es</w:t>
      </w:r>
      <w:r w:rsidRPr="00010B85">
        <w:rPr>
          <w:rStyle w:val="Heading2Char"/>
        </w:rPr>
        <w:t xml:space="preserve"> to market electric and natural gas service in Ohio</w:t>
      </w:r>
      <w:r w:rsidRPr="00010B85" w:rsidR="00AB5B7B">
        <w:rPr>
          <w:rStyle w:val="Heading2Char"/>
        </w:rPr>
        <w:t>.</w:t>
      </w:r>
      <w:r w:rsidRPr="00010B85" w:rsidR="0039740A">
        <w:rPr>
          <w:rStyle w:val="Heading2Char"/>
        </w:rPr>
        <w:t xml:space="preserve"> Other modifications to the PUCO Staff’s recommendations are also necessary for greater consumer protection.</w:t>
      </w:r>
      <w:bookmarkEnd w:id="12"/>
    </w:p>
    <w:p w:rsidR="00C62BF6" w:rsidRPr="00312306" w:rsidP="00C62BF6" w14:paraId="04620C2E" w14:textId="77777777">
      <w:pPr>
        <w:tabs>
          <w:tab w:val="left" w:pos="1440"/>
          <w:tab w:val="left" w:leader="dot" w:pos="8640"/>
        </w:tabs>
        <w:rPr>
          <w:szCs w:val="24"/>
        </w:rPr>
      </w:pPr>
    </w:p>
    <w:p w:rsidR="00C62BF6" w:rsidRPr="00312306" w:rsidP="00C62BF6" w14:paraId="4079E6ED" w14:textId="7B0F6AF7">
      <w:pPr>
        <w:tabs>
          <w:tab w:val="left" w:pos="720"/>
          <w:tab w:val="left" w:pos="1440"/>
          <w:tab w:val="left" w:leader="dot" w:pos="8640"/>
        </w:tabs>
        <w:spacing w:line="480" w:lineRule="auto"/>
        <w:rPr>
          <w:szCs w:val="24"/>
        </w:rPr>
      </w:pPr>
      <w:r w:rsidRPr="00312306">
        <w:rPr>
          <w:szCs w:val="24"/>
        </w:rPr>
        <w:tab/>
      </w:r>
      <w:r w:rsidR="006F6710">
        <w:rPr>
          <w:szCs w:val="24"/>
        </w:rPr>
        <w:t xml:space="preserve">In the Staff Report, the </w:t>
      </w:r>
      <w:r w:rsidRPr="00312306">
        <w:rPr>
          <w:szCs w:val="24"/>
        </w:rPr>
        <w:t xml:space="preserve">PUCO Staff </w:t>
      </w:r>
      <w:r w:rsidR="008E791A">
        <w:rPr>
          <w:szCs w:val="24"/>
        </w:rPr>
        <w:t xml:space="preserve">makes </w:t>
      </w:r>
      <w:r w:rsidRPr="00312306">
        <w:rPr>
          <w:szCs w:val="24"/>
        </w:rPr>
        <w:t>several recommendations</w:t>
      </w:r>
      <w:r w:rsidR="006F6710">
        <w:rPr>
          <w:szCs w:val="24"/>
        </w:rPr>
        <w:t xml:space="preserve"> with respect to Green Choice.</w:t>
      </w:r>
      <w:r w:rsidRPr="00312306">
        <w:rPr>
          <w:szCs w:val="24"/>
        </w:rPr>
        <w:t xml:space="preserve"> </w:t>
      </w:r>
      <w:r w:rsidR="00DC57D2">
        <w:rPr>
          <w:szCs w:val="24"/>
        </w:rPr>
        <w:t xml:space="preserve">Among other things, </w:t>
      </w:r>
      <w:r w:rsidR="006F6710">
        <w:rPr>
          <w:szCs w:val="24"/>
        </w:rPr>
        <w:t>the PUCO Staff recommended that the</w:t>
      </w:r>
      <w:r w:rsidRPr="00D723EB">
        <w:rPr>
          <w:szCs w:val="24"/>
        </w:rPr>
        <w:t xml:space="preserve"> PUCO rescind, conditionally rescind, or suspend Green Choice’s certification to market competitive retail electric and natural gas in Ohio</w:t>
      </w:r>
      <w:r w:rsidRPr="00312306">
        <w:rPr>
          <w:szCs w:val="24"/>
        </w:rPr>
        <w:t>.</w:t>
      </w:r>
      <w:r>
        <w:rPr>
          <w:rStyle w:val="FootnoteReference"/>
          <w:szCs w:val="24"/>
        </w:rPr>
        <w:footnoteReference w:id="95"/>
      </w:r>
      <w:r w:rsidRPr="00312306">
        <w:rPr>
          <w:szCs w:val="24"/>
        </w:rPr>
        <w:t xml:space="preserve"> </w:t>
      </w:r>
      <w:r w:rsidR="00DC57D2">
        <w:rPr>
          <w:szCs w:val="24"/>
        </w:rPr>
        <w:t>And</w:t>
      </w:r>
      <w:r w:rsidRPr="00312306">
        <w:rPr>
          <w:szCs w:val="24"/>
        </w:rPr>
        <w:t xml:space="preserve"> t</w:t>
      </w:r>
      <w:r w:rsidRPr="00D723EB">
        <w:rPr>
          <w:szCs w:val="24"/>
        </w:rPr>
        <w:t xml:space="preserve">he PUCO </w:t>
      </w:r>
      <w:r w:rsidR="006F6710">
        <w:rPr>
          <w:szCs w:val="24"/>
        </w:rPr>
        <w:t>Staff recommended that</w:t>
      </w:r>
      <w:r w:rsidRPr="00D723EB">
        <w:rPr>
          <w:szCs w:val="24"/>
        </w:rPr>
        <w:t xml:space="preserve"> Green Choice pay a $1.5 million forfeiture</w:t>
      </w:r>
      <w:r w:rsidRPr="00312306">
        <w:rPr>
          <w:szCs w:val="24"/>
        </w:rPr>
        <w:t>.</w:t>
      </w:r>
      <w:r>
        <w:rPr>
          <w:szCs w:val="24"/>
          <w:vertAlign w:val="superscript"/>
        </w:rPr>
        <w:footnoteReference w:id="96"/>
      </w:r>
      <w:r w:rsidRPr="00312306">
        <w:rPr>
          <w:szCs w:val="24"/>
        </w:rPr>
        <w:t xml:space="preserve"> </w:t>
      </w:r>
    </w:p>
    <w:p w:rsidR="0014791C" w:rsidP="00C62BF6" w14:paraId="07AB2A2D" w14:textId="3178B339">
      <w:pPr>
        <w:tabs>
          <w:tab w:val="left" w:pos="720"/>
          <w:tab w:val="left" w:pos="1440"/>
          <w:tab w:val="left" w:leader="dot" w:pos="8640"/>
        </w:tabs>
        <w:spacing w:line="480" w:lineRule="auto"/>
        <w:rPr>
          <w:szCs w:val="24"/>
        </w:rPr>
      </w:pPr>
      <w:r w:rsidRPr="00312306">
        <w:rPr>
          <w:szCs w:val="24"/>
        </w:rPr>
        <w:tab/>
        <w:t xml:space="preserve">OCC </w:t>
      </w:r>
      <w:r w:rsidR="00D93B68">
        <w:rPr>
          <w:szCs w:val="24"/>
        </w:rPr>
        <w:t>appreciates</w:t>
      </w:r>
      <w:r w:rsidRPr="00312306">
        <w:rPr>
          <w:szCs w:val="24"/>
        </w:rPr>
        <w:t xml:space="preserve"> the PUCO Staff’s recommendations to protect consumers, but there is more that can be done. </w:t>
      </w:r>
      <w:r w:rsidR="008E791A">
        <w:rPr>
          <w:szCs w:val="24"/>
        </w:rPr>
        <w:t xml:space="preserve">OCC witness </w:t>
      </w:r>
      <w:r w:rsidRPr="00312306">
        <w:rPr>
          <w:szCs w:val="24"/>
        </w:rPr>
        <w:t xml:space="preserve">Williams provided consumer protection recommendations in his testimony that should be adopted by the PUCO. First, the PUCO </w:t>
      </w:r>
      <w:r w:rsidR="007E4A10">
        <w:rPr>
          <w:szCs w:val="24"/>
        </w:rPr>
        <w:t>should</w:t>
      </w:r>
      <w:r w:rsidRPr="00312306">
        <w:rPr>
          <w:szCs w:val="24"/>
        </w:rPr>
        <w:t xml:space="preserve"> </w:t>
      </w:r>
      <w:r w:rsidRPr="00312306">
        <w:rPr>
          <w:b/>
          <w:bCs/>
          <w:i/>
          <w:iCs/>
          <w:szCs w:val="24"/>
        </w:rPr>
        <w:t>permanently rescind</w:t>
      </w:r>
      <w:r w:rsidRPr="00312306">
        <w:rPr>
          <w:szCs w:val="24"/>
        </w:rPr>
        <w:t xml:space="preserve"> Green Choice’s certifications to market electric and natural gas service in Ohio.</w:t>
      </w:r>
      <w:r>
        <w:rPr>
          <w:rStyle w:val="FootnoteReference"/>
          <w:szCs w:val="24"/>
        </w:rPr>
        <w:footnoteReference w:id="97"/>
      </w:r>
      <w:r w:rsidRPr="00312306">
        <w:rPr>
          <w:szCs w:val="24"/>
        </w:rPr>
        <w:t xml:space="preserve"> </w:t>
      </w:r>
      <w:r w:rsidR="000C3EC1">
        <w:rPr>
          <w:szCs w:val="24"/>
        </w:rPr>
        <w:t>Green Choice’s</w:t>
      </w:r>
      <w:r w:rsidRPr="00312306">
        <w:rPr>
          <w:szCs w:val="24"/>
        </w:rPr>
        <w:t xml:space="preserve"> </w:t>
      </w:r>
      <w:r w:rsidR="000C3EC1">
        <w:rPr>
          <w:szCs w:val="24"/>
        </w:rPr>
        <w:t>misleading and deceptive</w:t>
      </w:r>
      <w:r w:rsidRPr="00312306">
        <w:rPr>
          <w:szCs w:val="24"/>
        </w:rPr>
        <w:t xml:space="preserve"> marketing and enrollment methods include unlawful spoofing and slamming, forging consumer initials on contract materials, altering sales tape recordings, misrepresenting itself and its offerings to consumers, engaging in high pressure sales tactics, and ignoring telephonic third-party verification requirements.</w:t>
      </w:r>
      <w:r>
        <w:rPr>
          <w:rStyle w:val="FootnoteReference"/>
          <w:szCs w:val="24"/>
        </w:rPr>
        <w:footnoteReference w:id="98"/>
      </w:r>
      <w:r w:rsidRPr="00312306">
        <w:rPr>
          <w:szCs w:val="24"/>
        </w:rPr>
        <w:t xml:space="preserve"> Th</w:t>
      </w:r>
      <w:r>
        <w:rPr>
          <w:szCs w:val="24"/>
        </w:rPr>
        <w:t xml:space="preserve">e </w:t>
      </w:r>
      <w:r w:rsidRPr="00312306">
        <w:rPr>
          <w:szCs w:val="24"/>
        </w:rPr>
        <w:t xml:space="preserve">evidence more than demonstrates a pattern of unfair, deceptive, and unconscionable acts and practices that </w:t>
      </w:r>
      <w:r w:rsidR="000A0CCD">
        <w:rPr>
          <w:szCs w:val="24"/>
        </w:rPr>
        <w:t>the PUCO should not</w:t>
      </w:r>
      <w:r w:rsidRPr="00312306">
        <w:rPr>
          <w:szCs w:val="24"/>
        </w:rPr>
        <w:t xml:space="preserve"> tolerate.</w:t>
      </w:r>
      <w:r>
        <w:rPr>
          <w:rStyle w:val="FootnoteReference"/>
          <w:szCs w:val="24"/>
        </w:rPr>
        <w:footnoteReference w:id="99"/>
      </w:r>
      <w:r w:rsidRPr="00312306">
        <w:rPr>
          <w:szCs w:val="24"/>
        </w:rPr>
        <w:t xml:space="preserve"> </w:t>
      </w:r>
    </w:p>
    <w:p w:rsidR="0014791C" w:rsidP="00C62BF6" w14:paraId="5A0116D1" w14:textId="77777777">
      <w:pPr>
        <w:tabs>
          <w:tab w:val="left" w:pos="720"/>
          <w:tab w:val="left" w:pos="1440"/>
          <w:tab w:val="left" w:leader="dot" w:pos="8640"/>
        </w:tabs>
        <w:spacing w:line="480" w:lineRule="auto"/>
        <w:rPr>
          <w:szCs w:val="24"/>
        </w:rPr>
      </w:pPr>
      <w:r>
        <w:rPr>
          <w:szCs w:val="24"/>
        </w:rPr>
        <w:tab/>
      </w:r>
      <w:r w:rsidRPr="00312306" w:rsidR="00C62BF6">
        <w:rPr>
          <w:szCs w:val="24"/>
        </w:rPr>
        <w:t>Moreover, Green Choice has proven itself to be managerially unfit to market electric and natural gas services in Ohio.</w:t>
      </w:r>
      <w:r>
        <w:rPr>
          <w:rStyle w:val="FootnoteReference"/>
          <w:szCs w:val="24"/>
        </w:rPr>
        <w:footnoteReference w:id="100"/>
      </w:r>
      <w:r w:rsidRPr="00312306" w:rsidR="00C62BF6">
        <w:rPr>
          <w:szCs w:val="24"/>
        </w:rPr>
        <w:t xml:space="preserve"> </w:t>
      </w:r>
      <w:r w:rsidRPr="00312306">
        <w:rPr>
          <w:szCs w:val="24"/>
        </w:rPr>
        <w:t>Retail electric and natural gas services in Ohio should provide consumers with adequate, reliable, safe, efficient, nondiscriminatory, and reasonable priced goods and services.</w:t>
      </w:r>
      <w:r>
        <w:rPr>
          <w:szCs w:val="24"/>
          <w:vertAlign w:val="superscript"/>
        </w:rPr>
        <w:footnoteReference w:id="101"/>
      </w:r>
      <w:r w:rsidRPr="00312306">
        <w:rPr>
          <w:szCs w:val="24"/>
        </w:rPr>
        <w:t xml:space="preserve"> But Green Choice has willfully violated Ohio’s policy supporting competitive choices and the requirement to provide consumers with options to obtain reasonably priced retail electric and natural gas services.</w:t>
      </w:r>
      <w:r>
        <w:rPr>
          <w:rStyle w:val="FootnoteReference"/>
          <w:szCs w:val="24"/>
        </w:rPr>
        <w:footnoteReference w:id="102"/>
      </w:r>
      <w:r w:rsidRPr="00312306">
        <w:rPr>
          <w:szCs w:val="24"/>
        </w:rPr>
        <w:t xml:space="preserve"> </w:t>
      </w:r>
    </w:p>
    <w:p w:rsidR="0014791C" w:rsidP="00C62BF6" w14:paraId="1D566264" w14:textId="540E2354">
      <w:pPr>
        <w:tabs>
          <w:tab w:val="left" w:pos="720"/>
          <w:tab w:val="left" w:pos="1440"/>
          <w:tab w:val="left" w:leader="dot" w:pos="8640"/>
        </w:tabs>
        <w:spacing w:line="480" w:lineRule="auto"/>
        <w:rPr>
          <w:szCs w:val="24"/>
        </w:rPr>
      </w:pPr>
      <w:r>
        <w:rPr>
          <w:szCs w:val="24"/>
        </w:rPr>
        <w:tab/>
      </w:r>
      <w:r w:rsidRPr="00312306">
        <w:rPr>
          <w:szCs w:val="24"/>
        </w:rPr>
        <w:t>Additionally, consumers are to be protected against unreasonable sales practices, market deficiencies, and market power.</w:t>
      </w:r>
      <w:r>
        <w:rPr>
          <w:szCs w:val="24"/>
          <w:vertAlign w:val="superscript"/>
        </w:rPr>
        <w:footnoteReference w:id="103"/>
      </w:r>
      <w:r w:rsidRPr="00312306">
        <w:rPr>
          <w:szCs w:val="24"/>
        </w:rPr>
        <w:t xml:space="preserve"> But Green Choice has demonstrated an inability (or unwillingness) to operate in a manner that promotes and encourages development of Ohio energy choice policies in violation of Ohio law. The PUCO should not permit this behavior by a marketer to continue. Doing so will result in other</w:t>
      </w:r>
      <w:r>
        <w:rPr>
          <w:szCs w:val="24"/>
        </w:rPr>
        <w:t xml:space="preserve"> </w:t>
      </w:r>
      <w:r w:rsidRPr="00312306">
        <w:rPr>
          <w:szCs w:val="24"/>
        </w:rPr>
        <w:t>marketers flouting the law and will harm Ohio’s competitive energy market.</w:t>
      </w:r>
      <w:r>
        <w:rPr>
          <w:szCs w:val="24"/>
        </w:rPr>
        <w:t xml:space="preserve"> </w:t>
      </w:r>
      <w:r w:rsidRPr="00312306" w:rsidR="00C62BF6">
        <w:rPr>
          <w:szCs w:val="24"/>
        </w:rPr>
        <w:t>The significant harm Green Choice has brought upon consumers—and indeed the energy choice program in Ohio in general—can only be remedied through an immediate</w:t>
      </w:r>
      <w:r>
        <w:rPr>
          <w:szCs w:val="24"/>
        </w:rPr>
        <w:t xml:space="preserve">, and permanent, </w:t>
      </w:r>
      <w:r w:rsidRPr="00312306" w:rsidR="00C62BF6">
        <w:rPr>
          <w:szCs w:val="24"/>
        </w:rPr>
        <w:t>exit of Green Choice from Ohio.</w:t>
      </w:r>
      <w:r w:rsidR="00230CF7">
        <w:rPr>
          <w:szCs w:val="24"/>
        </w:rPr>
        <w:t xml:space="preserve"> Additionally, to protect Ohio consumers from Green Choice</w:t>
      </w:r>
      <w:r w:rsidR="00D60136">
        <w:rPr>
          <w:szCs w:val="24"/>
        </w:rPr>
        <w:t xml:space="preserve">’s current management or affiliate from restarting business in Ohio those entities should also be banned from being granted a </w:t>
      </w:r>
      <w:r w:rsidR="00D93B68">
        <w:rPr>
          <w:szCs w:val="24"/>
        </w:rPr>
        <w:t>certificate</w:t>
      </w:r>
      <w:r w:rsidR="00D60136">
        <w:rPr>
          <w:szCs w:val="24"/>
        </w:rPr>
        <w:t xml:space="preserve">. </w:t>
      </w:r>
    </w:p>
    <w:p w:rsidR="00C62BF6" w:rsidRPr="0086538C" w:rsidP="00CF7919" w14:paraId="5DEF1192" w14:textId="6ED9A943">
      <w:pPr>
        <w:tabs>
          <w:tab w:val="left" w:pos="720"/>
          <w:tab w:val="left" w:pos="1440"/>
          <w:tab w:val="left" w:leader="dot" w:pos="8640"/>
        </w:tabs>
        <w:spacing w:line="480" w:lineRule="auto"/>
        <w:rPr>
          <w:szCs w:val="24"/>
        </w:rPr>
      </w:pPr>
      <w:r>
        <w:rPr>
          <w:szCs w:val="24"/>
        </w:rPr>
        <w:tab/>
        <w:t xml:space="preserve">Mr. Williams testified that </w:t>
      </w:r>
      <w:r w:rsidRPr="00312306">
        <w:rPr>
          <w:szCs w:val="24"/>
        </w:rPr>
        <w:t>Green Choice has displayed a general contempt for Ohio residential consumers by refusing to provide OCC with information that is necessary to complete a full and open investigation into its business practices.</w:t>
      </w:r>
      <w:r>
        <w:rPr>
          <w:rStyle w:val="FootnoteReference"/>
          <w:szCs w:val="24"/>
        </w:rPr>
        <w:footnoteReference w:id="104"/>
      </w:r>
      <w:r w:rsidRPr="00312306">
        <w:rPr>
          <w:szCs w:val="24"/>
        </w:rPr>
        <w:t xml:space="preserve"> Green Choice has not cooperated with the PUCO Staff in verifying compliance with requirements of Ohio law, the PUCO rules, and supporting the investigation of consumer complaints. This complete lack of compliance with Ohio law and PUCO rules is yet another</w:t>
      </w:r>
      <w:r>
        <w:rPr>
          <w:szCs w:val="24"/>
        </w:rPr>
        <w:t xml:space="preserve"> </w:t>
      </w:r>
      <w:r w:rsidR="00283B86">
        <w:rPr>
          <w:szCs w:val="24"/>
        </w:rPr>
        <w:t xml:space="preserve">reason </w:t>
      </w:r>
      <w:r>
        <w:rPr>
          <w:szCs w:val="24"/>
        </w:rPr>
        <w:t>why Green Choice’s certificates should be permanently rescinded</w:t>
      </w:r>
      <w:r w:rsidRPr="00312306">
        <w:rPr>
          <w:szCs w:val="24"/>
        </w:rPr>
        <w:t>.</w:t>
      </w:r>
      <w:r>
        <w:rPr>
          <w:szCs w:val="24"/>
          <w:vertAlign w:val="superscript"/>
        </w:rPr>
        <w:footnoteReference w:id="105"/>
      </w:r>
      <w:r w:rsidRPr="00312306">
        <w:rPr>
          <w:szCs w:val="24"/>
        </w:rPr>
        <w:t xml:space="preserve"> </w:t>
      </w:r>
    </w:p>
    <w:p w:rsidR="00C62BF6" w:rsidRPr="00312306" w:rsidP="00C62BF6" w14:paraId="37820301" w14:textId="2C17C251">
      <w:pPr>
        <w:tabs>
          <w:tab w:val="left" w:pos="720"/>
          <w:tab w:val="left" w:pos="1440"/>
          <w:tab w:val="left" w:leader="dot" w:pos="8640"/>
        </w:tabs>
        <w:spacing w:line="480" w:lineRule="auto"/>
        <w:rPr>
          <w:szCs w:val="24"/>
        </w:rPr>
      </w:pPr>
      <w:r w:rsidRPr="00312306">
        <w:rPr>
          <w:szCs w:val="24"/>
        </w:rPr>
        <w:tab/>
      </w:r>
      <w:r w:rsidR="00697391">
        <w:rPr>
          <w:szCs w:val="24"/>
        </w:rPr>
        <w:t xml:space="preserve">Green Choice’s contempt for PUCO rules and orders also supports a forfeiture higher than $1.5 million. While </w:t>
      </w:r>
      <w:r w:rsidRPr="00312306">
        <w:rPr>
          <w:szCs w:val="24"/>
        </w:rPr>
        <w:t>OCC is</w:t>
      </w:r>
      <w:r w:rsidRPr="00C423EC">
        <w:rPr>
          <w:szCs w:val="24"/>
        </w:rPr>
        <w:t xml:space="preserve"> not opposed to </w:t>
      </w:r>
      <w:r w:rsidR="00CF7919">
        <w:rPr>
          <w:szCs w:val="24"/>
        </w:rPr>
        <w:t>the</w:t>
      </w:r>
      <w:r w:rsidRPr="00C423EC">
        <w:rPr>
          <w:szCs w:val="24"/>
        </w:rPr>
        <w:t xml:space="preserve"> $1.5 million forfeiture as recommended by </w:t>
      </w:r>
      <w:r w:rsidRPr="00312306">
        <w:rPr>
          <w:szCs w:val="24"/>
        </w:rPr>
        <w:t xml:space="preserve">PUCO </w:t>
      </w:r>
      <w:r w:rsidRPr="00C423EC">
        <w:rPr>
          <w:szCs w:val="24"/>
        </w:rPr>
        <w:t>Staff</w:t>
      </w:r>
      <w:r w:rsidR="00697391">
        <w:rPr>
          <w:szCs w:val="24"/>
        </w:rPr>
        <w:t xml:space="preserve">, </w:t>
      </w:r>
      <w:r w:rsidRPr="00312306">
        <w:rPr>
          <w:szCs w:val="24"/>
        </w:rPr>
        <w:t xml:space="preserve">OCC </w:t>
      </w:r>
      <w:r w:rsidR="00CF7919">
        <w:rPr>
          <w:szCs w:val="24"/>
        </w:rPr>
        <w:t xml:space="preserve">witness </w:t>
      </w:r>
      <w:r w:rsidRPr="00312306">
        <w:rPr>
          <w:szCs w:val="24"/>
        </w:rPr>
        <w:t xml:space="preserve">Williams </w:t>
      </w:r>
      <w:r w:rsidR="00CF7919">
        <w:rPr>
          <w:szCs w:val="24"/>
        </w:rPr>
        <w:t>testified that</w:t>
      </w:r>
      <w:r w:rsidRPr="00C423EC">
        <w:rPr>
          <w:szCs w:val="24"/>
        </w:rPr>
        <w:t xml:space="preserve"> $1.5 million should be </w:t>
      </w:r>
      <w:r w:rsidR="00697391">
        <w:rPr>
          <w:szCs w:val="24"/>
        </w:rPr>
        <w:t>the</w:t>
      </w:r>
      <w:r w:rsidRPr="00C423EC">
        <w:rPr>
          <w:szCs w:val="24"/>
        </w:rPr>
        <w:t xml:space="preserve"> </w:t>
      </w:r>
      <w:r w:rsidRPr="00C423EC">
        <w:rPr>
          <w:b/>
          <w:bCs/>
          <w:i/>
          <w:iCs/>
          <w:szCs w:val="24"/>
        </w:rPr>
        <w:t>minimum</w:t>
      </w:r>
      <w:r w:rsidRPr="00C423EC">
        <w:rPr>
          <w:szCs w:val="24"/>
        </w:rPr>
        <w:t xml:space="preserve"> forfeiture amount.</w:t>
      </w:r>
      <w:r>
        <w:rPr>
          <w:rStyle w:val="FootnoteReference"/>
          <w:szCs w:val="24"/>
        </w:rPr>
        <w:footnoteReference w:id="106"/>
      </w:r>
      <w:r w:rsidRPr="00C423EC">
        <w:rPr>
          <w:szCs w:val="24"/>
        </w:rPr>
        <w:t xml:space="preserve"> Under Ohio law and PUCO rules, a marketer that fails to comply with the PUCO’s rules can be assessed a forfeiture of not more than ten thousand dollars for each failure, with each day’s continuance of the violation being a separate offense.</w:t>
      </w:r>
      <w:r>
        <w:rPr>
          <w:szCs w:val="24"/>
          <w:vertAlign w:val="superscript"/>
        </w:rPr>
        <w:footnoteReference w:id="107"/>
      </w:r>
      <w:r w:rsidRPr="00C423EC">
        <w:rPr>
          <w:szCs w:val="24"/>
        </w:rPr>
        <w:t xml:space="preserve"> Given the fact that over twenty-two PUCO gas and electric rules were violated by Green Choice over time, and </w:t>
      </w:r>
      <w:r w:rsidRPr="00312306">
        <w:rPr>
          <w:szCs w:val="24"/>
        </w:rPr>
        <w:t xml:space="preserve">that </w:t>
      </w:r>
      <w:r w:rsidRPr="00C423EC">
        <w:rPr>
          <w:szCs w:val="24"/>
        </w:rPr>
        <w:t>the current number of consumers who were harmed remains unknown, the amount of the forfeiture could and should be much higher.</w:t>
      </w:r>
      <w:r>
        <w:rPr>
          <w:rStyle w:val="FootnoteReference"/>
          <w:szCs w:val="24"/>
        </w:rPr>
        <w:footnoteReference w:id="108"/>
      </w:r>
      <w:r w:rsidRPr="00C423EC">
        <w:rPr>
          <w:szCs w:val="24"/>
        </w:rPr>
        <w:t xml:space="preserve"> </w:t>
      </w:r>
    </w:p>
    <w:p w:rsidR="00C62BF6" w:rsidRPr="00312306" w:rsidP="00C62BF6" w14:paraId="11BA0599" w14:textId="49335DDA">
      <w:pPr>
        <w:tabs>
          <w:tab w:val="left" w:pos="720"/>
          <w:tab w:val="left" w:pos="1440"/>
          <w:tab w:val="left" w:leader="dot" w:pos="8640"/>
        </w:tabs>
        <w:spacing w:line="480" w:lineRule="auto"/>
        <w:rPr>
          <w:szCs w:val="24"/>
        </w:rPr>
      </w:pPr>
      <w:r w:rsidRPr="00312306">
        <w:rPr>
          <w:szCs w:val="24"/>
        </w:rPr>
        <w:tab/>
        <w:t>The level of the forfeiture should align with the damage that Green Choice caused. In filing the amended Staff Report, PUCO Staff identified two additional PUCO rule violations that were not included in the original PUCO Staff Report or in the proposed $1.5 million forfeiture amount.</w:t>
      </w:r>
      <w:r>
        <w:rPr>
          <w:rStyle w:val="FootnoteReference"/>
          <w:szCs w:val="24"/>
        </w:rPr>
        <w:footnoteReference w:id="109"/>
      </w:r>
      <w:r w:rsidRPr="00312306">
        <w:rPr>
          <w:szCs w:val="24"/>
        </w:rPr>
        <w:t xml:space="preserve"> And the PUCO Staff acknowledged that the severity of the additional violations alone would warrant the proposed forfeiture.</w:t>
      </w:r>
      <w:r>
        <w:rPr>
          <w:szCs w:val="24"/>
          <w:vertAlign w:val="superscript"/>
        </w:rPr>
        <w:footnoteReference w:id="110"/>
      </w:r>
      <w:r w:rsidRPr="00312306">
        <w:rPr>
          <w:szCs w:val="24"/>
        </w:rPr>
        <w:t xml:space="preserve"> </w:t>
      </w:r>
    </w:p>
    <w:p w:rsidR="00C62BF6" w:rsidRPr="00312306" w:rsidP="00283B86" w14:paraId="287575F5" w14:textId="1D0CB7F7">
      <w:pPr>
        <w:tabs>
          <w:tab w:val="left" w:pos="720"/>
          <w:tab w:val="left" w:pos="1440"/>
          <w:tab w:val="left" w:leader="dot" w:pos="8640"/>
        </w:tabs>
        <w:spacing w:line="480" w:lineRule="auto"/>
        <w:ind w:firstLine="720"/>
        <w:rPr>
          <w:szCs w:val="24"/>
        </w:rPr>
      </w:pPr>
      <w:r w:rsidRPr="00312306">
        <w:rPr>
          <w:szCs w:val="24"/>
        </w:rPr>
        <w:t>In order to fully hold Green Choice responsible for its actions, the PUCO should order Green Choice to disclose the total number of consumers it enrolled when using telemarketing and door-to-door sales in each electric and natural gas distribution service territory where it has operated as an energy marketer, along with the rate it has charged each consumer on a monthly basis.</w:t>
      </w:r>
      <w:r>
        <w:rPr>
          <w:rStyle w:val="FootnoteReference"/>
          <w:szCs w:val="24"/>
        </w:rPr>
        <w:footnoteReference w:id="111"/>
      </w:r>
      <w:r w:rsidRPr="00312306">
        <w:rPr>
          <w:szCs w:val="24"/>
        </w:rPr>
        <w:t xml:space="preserve"> And for each enrollment in retail electric or natural gas services, Green Choice should bear the burden of proof to show that the enrollment fully complies with Ohio law and the PUCO marketing and enrollment rules. </w:t>
      </w:r>
      <w:r w:rsidR="00283B86">
        <w:rPr>
          <w:szCs w:val="24"/>
        </w:rPr>
        <w:t>I</w:t>
      </w:r>
      <w:r w:rsidRPr="00312306">
        <w:rPr>
          <w:szCs w:val="24"/>
        </w:rPr>
        <w:t>n accordance with the PUCO’s rules, consumers who were improperly enrolled with Green Choice should be returned to the utility standard offer or their former supplier and Green Choice should provide rerates to make consumers whole.</w:t>
      </w:r>
      <w:r>
        <w:rPr>
          <w:szCs w:val="24"/>
          <w:vertAlign w:val="superscript"/>
        </w:rPr>
        <w:footnoteReference w:id="112"/>
      </w:r>
      <w:r w:rsidRPr="00D123C9">
        <w:rPr>
          <w:szCs w:val="24"/>
        </w:rPr>
        <w:t xml:space="preserve"> </w:t>
      </w:r>
      <w:r w:rsidR="00B42C6F">
        <w:rPr>
          <w:szCs w:val="24"/>
        </w:rPr>
        <w:t>The term rerate means Green Choice shall provide</w:t>
      </w:r>
      <w:r w:rsidRPr="00312306" w:rsidR="00B42C6F">
        <w:rPr>
          <w:szCs w:val="24"/>
        </w:rPr>
        <w:t xml:space="preserve"> refund</w:t>
      </w:r>
      <w:r w:rsidR="00B42C6F">
        <w:rPr>
          <w:szCs w:val="24"/>
        </w:rPr>
        <w:t xml:space="preserve">s to consumers calculated as </w:t>
      </w:r>
      <w:r w:rsidRPr="00312306" w:rsidR="00B42C6F">
        <w:rPr>
          <w:szCs w:val="24"/>
        </w:rPr>
        <w:t>the difference between what their charges were under Green Choice</w:t>
      </w:r>
      <w:r w:rsidR="00B42C6F">
        <w:rPr>
          <w:szCs w:val="24"/>
        </w:rPr>
        <w:t>’s contract</w:t>
      </w:r>
      <w:r w:rsidRPr="00312306" w:rsidR="00B42C6F">
        <w:rPr>
          <w:szCs w:val="24"/>
        </w:rPr>
        <w:t xml:space="preserve"> and what the charges would have been under the utility standard service</w:t>
      </w:r>
      <w:r w:rsidR="00B42C6F">
        <w:rPr>
          <w:szCs w:val="24"/>
        </w:rPr>
        <w:t xml:space="preserve"> offer</w:t>
      </w:r>
      <w:r w:rsidRPr="00312306" w:rsidR="00B42C6F">
        <w:rPr>
          <w:szCs w:val="24"/>
        </w:rPr>
        <w:t xml:space="preserve"> beginning the month in which the enrollment occurred</w:t>
      </w:r>
      <w:r w:rsidR="00F035C2">
        <w:rPr>
          <w:szCs w:val="24"/>
        </w:rPr>
        <w:t>.</w:t>
      </w:r>
    </w:p>
    <w:p w:rsidR="00DC57D2" w:rsidP="00C62BF6" w14:paraId="5E4A8E98" w14:textId="452B4C9A">
      <w:pPr>
        <w:tabs>
          <w:tab w:val="left" w:pos="720"/>
          <w:tab w:val="left" w:pos="2790"/>
          <w:tab w:val="left" w:leader="dot" w:pos="8640"/>
        </w:tabs>
        <w:spacing w:line="480" w:lineRule="auto"/>
        <w:rPr>
          <w:szCs w:val="24"/>
        </w:rPr>
      </w:pPr>
      <w:r w:rsidRPr="00312306">
        <w:rPr>
          <w:szCs w:val="24"/>
        </w:rPr>
        <w:tab/>
      </w:r>
      <w:r w:rsidRPr="00312306">
        <w:rPr>
          <w:szCs w:val="24"/>
        </w:rPr>
        <w:t>T</w:t>
      </w:r>
      <w:r>
        <w:rPr>
          <w:szCs w:val="24"/>
        </w:rPr>
        <w:t>he</w:t>
      </w:r>
      <w:r w:rsidRPr="00D723EB">
        <w:rPr>
          <w:szCs w:val="24"/>
        </w:rPr>
        <w:t xml:space="preserve"> PUCO</w:t>
      </w:r>
      <w:r>
        <w:rPr>
          <w:szCs w:val="24"/>
        </w:rPr>
        <w:t xml:space="preserve"> Staff </w:t>
      </w:r>
      <w:r w:rsidR="001F6283">
        <w:rPr>
          <w:szCs w:val="24"/>
        </w:rPr>
        <w:t xml:space="preserve">also </w:t>
      </w:r>
      <w:r>
        <w:rPr>
          <w:szCs w:val="24"/>
        </w:rPr>
        <w:t xml:space="preserve">recommended that Green Choice </w:t>
      </w:r>
      <w:r w:rsidRPr="00D723EB">
        <w:rPr>
          <w:szCs w:val="24"/>
        </w:rPr>
        <w:t xml:space="preserve">provide notice to each </w:t>
      </w:r>
      <w:r w:rsidRPr="00312306">
        <w:rPr>
          <w:szCs w:val="24"/>
        </w:rPr>
        <w:t>consumer</w:t>
      </w:r>
      <w:r w:rsidRPr="00D723EB">
        <w:rPr>
          <w:szCs w:val="24"/>
        </w:rPr>
        <w:t xml:space="preserve"> who was enrolled between February 1, 2021 and May 1, 2021 that they will be returned to the utility standard service offer on a certain date unless they contact Green Choice to affirm their enrollment</w:t>
      </w:r>
      <w:r w:rsidRPr="00312306">
        <w:rPr>
          <w:szCs w:val="24"/>
        </w:rPr>
        <w:t>.</w:t>
      </w:r>
      <w:r>
        <w:rPr>
          <w:szCs w:val="24"/>
          <w:vertAlign w:val="superscript"/>
        </w:rPr>
        <w:footnoteReference w:id="113"/>
      </w:r>
      <w:r w:rsidRPr="00312306">
        <w:rPr>
          <w:szCs w:val="24"/>
        </w:rPr>
        <w:t xml:space="preserve"> </w:t>
      </w:r>
      <w:r>
        <w:rPr>
          <w:szCs w:val="24"/>
        </w:rPr>
        <w:t>T</w:t>
      </w:r>
      <w:r w:rsidRPr="00D723EB">
        <w:rPr>
          <w:szCs w:val="24"/>
        </w:rPr>
        <w:t xml:space="preserve">he PUCO </w:t>
      </w:r>
      <w:r>
        <w:rPr>
          <w:szCs w:val="24"/>
        </w:rPr>
        <w:t>Staff recommended that</w:t>
      </w:r>
      <w:r w:rsidRPr="00D723EB">
        <w:rPr>
          <w:szCs w:val="24"/>
        </w:rPr>
        <w:t xml:space="preserve"> Green Choice provide notice to each </w:t>
      </w:r>
      <w:r w:rsidRPr="00312306">
        <w:rPr>
          <w:szCs w:val="24"/>
        </w:rPr>
        <w:t>consumer</w:t>
      </w:r>
      <w:r w:rsidRPr="00D723EB">
        <w:rPr>
          <w:szCs w:val="24"/>
        </w:rPr>
        <w:t xml:space="preserve"> who was enrolled through door-to-door or telemarketing between May 1, 2021 and June 30, 2021 that they will be returned to the SSO and that they will be issued a refund based on the difference in prices between the Green Choice rate and the utility </w:t>
      </w:r>
      <w:r w:rsidR="00283B86">
        <w:rPr>
          <w:szCs w:val="24"/>
        </w:rPr>
        <w:t>standard offer</w:t>
      </w:r>
      <w:r w:rsidRPr="00312306">
        <w:rPr>
          <w:szCs w:val="24"/>
        </w:rPr>
        <w:t>.</w:t>
      </w:r>
      <w:r>
        <w:rPr>
          <w:szCs w:val="24"/>
          <w:vertAlign w:val="superscript"/>
        </w:rPr>
        <w:footnoteReference w:id="114"/>
      </w:r>
      <w:r w:rsidRPr="00D723EB">
        <w:rPr>
          <w:szCs w:val="24"/>
        </w:rPr>
        <w:t xml:space="preserve"> </w:t>
      </w:r>
      <w:r w:rsidRPr="00312306">
        <w:rPr>
          <w:szCs w:val="24"/>
        </w:rPr>
        <w:t>Finally, t</w:t>
      </w:r>
      <w:r w:rsidRPr="00D723EB">
        <w:rPr>
          <w:szCs w:val="24"/>
        </w:rPr>
        <w:t>he PUCO</w:t>
      </w:r>
      <w:r w:rsidR="00283B86">
        <w:rPr>
          <w:szCs w:val="24"/>
        </w:rPr>
        <w:t xml:space="preserve"> Staff recommended that the PUCO</w:t>
      </w:r>
      <w:r w:rsidR="00913FE4">
        <w:rPr>
          <w:szCs w:val="24"/>
        </w:rPr>
        <w:t xml:space="preserve"> </w:t>
      </w:r>
      <w:r w:rsidRPr="00D723EB">
        <w:rPr>
          <w:szCs w:val="24"/>
        </w:rPr>
        <w:t xml:space="preserve">order Green Choice to rerate all </w:t>
      </w:r>
      <w:r w:rsidRPr="00312306">
        <w:rPr>
          <w:szCs w:val="24"/>
        </w:rPr>
        <w:t>consumer</w:t>
      </w:r>
      <w:r w:rsidRPr="00D723EB">
        <w:rPr>
          <w:szCs w:val="24"/>
        </w:rPr>
        <w:t xml:space="preserve">s </w:t>
      </w:r>
      <w:r w:rsidR="00283B86">
        <w:rPr>
          <w:szCs w:val="24"/>
        </w:rPr>
        <w:t>to the utility standard offer</w:t>
      </w:r>
      <w:r w:rsidRPr="00D723EB">
        <w:rPr>
          <w:szCs w:val="24"/>
        </w:rPr>
        <w:t xml:space="preserve"> </w:t>
      </w:r>
      <w:r w:rsidRPr="00D723EB">
        <w:rPr>
          <w:szCs w:val="24"/>
        </w:rPr>
        <w:t xml:space="preserve">who filed complaints with the PUCO, </w:t>
      </w:r>
      <w:r>
        <w:rPr>
          <w:szCs w:val="24"/>
        </w:rPr>
        <w:t>Green Choice</w:t>
      </w:r>
      <w:r w:rsidRPr="00D723EB">
        <w:rPr>
          <w:szCs w:val="24"/>
        </w:rPr>
        <w:t>, and any other entity disputing an enrollment starting after February 1, 2022.</w:t>
      </w:r>
      <w:r>
        <w:rPr>
          <w:szCs w:val="24"/>
          <w:vertAlign w:val="superscript"/>
        </w:rPr>
        <w:footnoteReference w:id="115"/>
      </w:r>
      <w:r>
        <w:rPr>
          <w:szCs w:val="24"/>
        </w:rPr>
        <w:t xml:space="preserve"> </w:t>
      </w:r>
    </w:p>
    <w:p w:rsidR="003943D8" w:rsidP="00C62BF6" w14:paraId="590E7F0D" w14:textId="77777777">
      <w:pPr>
        <w:tabs>
          <w:tab w:val="left" w:pos="720"/>
          <w:tab w:val="left" w:pos="2790"/>
          <w:tab w:val="left" w:leader="dot" w:pos="8640"/>
        </w:tabs>
        <w:spacing w:line="480" w:lineRule="auto"/>
        <w:rPr>
          <w:szCs w:val="24"/>
        </w:rPr>
      </w:pPr>
      <w:r>
        <w:rPr>
          <w:szCs w:val="24"/>
        </w:rPr>
        <w:tab/>
      </w:r>
      <w:r w:rsidR="00913FE4">
        <w:rPr>
          <w:szCs w:val="24"/>
        </w:rPr>
        <w:t>While OCC generally supports these PUCO Staff recommendations, they can be modified for more consumer protection. OCC</w:t>
      </w:r>
      <w:r w:rsidRPr="00312306" w:rsidR="00C62BF6">
        <w:rPr>
          <w:szCs w:val="24"/>
        </w:rPr>
        <w:t xml:space="preserve"> </w:t>
      </w:r>
      <w:r w:rsidR="007E4A10">
        <w:rPr>
          <w:szCs w:val="24"/>
        </w:rPr>
        <w:t xml:space="preserve">witness </w:t>
      </w:r>
      <w:r w:rsidRPr="00312306" w:rsidR="00C62BF6">
        <w:rPr>
          <w:szCs w:val="24"/>
        </w:rPr>
        <w:t xml:space="preserve">Williams testified that the </w:t>
      </w:r>
      <w:r w:rsidRPr="00114992" w:rsidR="00C62BF6">
        <w:rPr>
          <w:szCs w:val="24"/>
        </w:rPr>
        <w:t>PUCO Staff’s recommendations regarding notice to consumers about rerates and being returned to the utility standard service offer are unreasonably limited and potentially harmful.</w:t>
      </w:r>
      <w:r>
        <w:rPr>
          <w:rStyle w:val="FootnoteReference"/>
          <w:szCs w:val="24"/>
        </w:rPr>
        <w:footnoteReference w:id="116"/>
      </w:r>
      <w:r w:rsidRPr="00114992" w:rsidR="00C62BF6">
        <w:rPr>
          <w:szCs w:val="24"/>
        </w:rPr>
        <w:t xml:space="preserve"> </w:t>
      </w:r>
    </w:p>
    <w:p w:rsidR="00C62BF6" w:rsidRPr="00312306" w:rsidP="00C62BF6" w14:paraId="3D3AF466" w14:textId="1C2CF974">
      <w:pPr>
        <w:tabs>
          <w:tab w:val="left" w:pos="720"/>
          <w:tab w:val="left" w:pos="2790"/>
          <w:tab w:val="left" w:leader="dot" w:pos="8640"/>
        </w:tabs>
        <w:spacing w:line="480" w:lineRule="auto"/>
        <w:rPr>
          <w:szCs w:val="24"/>
        </w:rPr>
      </w:pPr>
      <w:r>
        <w:rPr>
          <w:szCs w:val="24"/>
        </w:rPr>
        <w:tab/>
      </w:r>
      <w:r w:rsidRPr="00114992">
        <w:rPr>
          <w:szCs w:val="24"/>
        </w:rPr>
        <w:t xml:space="preserve">For example, consumers who enrolled with Green Choice between February 1, 2021 and May 1, 2021 are subject to return to the utility standard service </w:t>
      </w:r>
      <w:r w:rsidR="00283B86">
        <w:rPr>
          <w:szCs w:val="24"/>
        </w:rPr>
        <w:t xml:space="preserve">offer </w:t>
      </w:r>
      <w:r w:rsidRPr="00114992">
        <w:rPr>
          <w:szCs w:val="24"/>
        </w:rPr>
        <w:t xml:space="preserve">unless they contact Green Choice to </w:t>
      </w:r>
      <w:r w:rsidRPr="00312306">
        <w:rPr>
          <w:szCs w:val="24"/>
        </w:rPr>
        <w:t>confirm</w:t>
      </w:r>
      <w:r w:rsidRPr="00114992">
        <w:rPr>
          <w:szCs w:val="24"/>
        </w:rPr>
        <w:t xml:space="preserve"> their enrollment.</w:t>
      </w:r>
      <w:r>
        <w:rPr>
          <w:rStyle w:val="FootnoteReference"/>
          <w:szCs w:val="24"/>
        </w:rPr>
        <w:footnoteReference w:id="117"/>
      </w:r>
      <w:r w:rsidRPr="00114992">
        <w:rPr>
          <w:szCs w:val="24"/>
        </w:rPr>
        <w:t xml:space="preserve"> But</w:t>
      </w:r>
      <w:r w:rsidRPr="00312306">
        <w:rPr>
          <w:szCs w:val="24"/>
        </w:rPr>
        <w:t xml:space="preserve"> unfortunately,</w:t>
      </w:r>
      <w:r w:rsidRPr="00114992">
        <w:rPr>
          <w:szCs w:val="24"/>
        </w:rPr>
        <w:t xml:space="preserve"> these consumers </w:t>
      </w:r>
      <w:r w:rsidR="00913FE4">
        <w:rPr>
          <w:szCs w:val="24"/>
        </w:rPr>
        <w:t>are not</w:t>
      </w:r>
      <w:r w:rsidRPr="00114992">
        <w:rPr>
          <w:szCs w:val="24"/>
        </w:rPr>
        <w:t xml:space="preserve"> eligible for rerating based on the utility standard service rates.</w:t>
      </w:r>
      <w:r>
        <w:rPr>
          <w:rStyle w:val="FootnoteReference"/>
          <w:szCs w:val="24"/>
        </w:rPr>
        <w:footnoteReference w:id="118"/>
      </w:r>
      <w:r w:rsidRPr="00114992">
        <w:rPr>
          <w:szCs w:val="24"/>
        </w:rPr>
        <w:t xml:space="preserve"> The</w:t>
      </w:r>
      <w:r w:rsidR="00283B86">
        <w:rPr>
          <w:szCs w:val="24"/>
        </w:rPr>
        <w:t>se</w:t>
      </w:r>
      <w:r w:rsidRPr="00114992">
        <w:rPr>
          <w:szCs w:val="24"/>
        </w:rPr>
        <w:t xml:space="preserve"> consumers are denied the opportunity for restitution for the harm that was brought upon them by Green Choice.</w:t>
      </w:r>
      <w:r>
        <w:rPr>
          <w:rStyle w:val="FootnoteReference"/>
          <w:szCs w:val="24"/>
        </w:rPr>
        <w:footnoteReference w:id="119"/>
      </w:r>
      <w:r w:rsidRPr="00114992">
        <w:rPr>
          <w:szCs w:val="24"/>
        </w:rPr>
        <w:t xml:space="preserve"> </w:t>
      </w:r>
      <w:r w:rsidR="00283B86">
        <w:rPr>
          <w:szCs w:val="24"/>
        </w:rPr>
        <w:t>T</w:t>
      </w:r>
      <w:r w:rsidRPr="00114992">
        <w:rPr>
          <w:szCs w:val="24"/>
        </w:rPr>
        <w:t>hese consumers</w:t>
      </w:r>
      <w:r w:rsidR="00283B86">
        <w:rPr>
          <w:szCs w:val="24"/>
        </w:rPr>
        <w:t xml:space="preserve"> also</w:t>
      </w:r>
      <w:r w:rsidRPr="00114992">
        <w:rPr>
          <w:szCs w:val="24"/>
        </w:rPr>
        <w:t xml:space="preserve"> </w:t>
      </w:r>
      <w:r w:rsidR="00913FE4">
        <w:rPr>
          <w:szCs w:val="24"/>
        </w:rPr>
        <w:t>would</w:t>
      </w:r>
      <w:r w:rsidRPr="00114992">
        <w:rPr>
          <w:szCs w:val="24"/>
        </w:rPr>
        <w:t xml:space="preserve"> not </w:t>
      </w:r>
      <w:r w:rsidR="00913FE4">
        <w:rPr>
          <w:szCs w:val="24"/>
        </w:rPr>
        <w:t xml:space="preserve">be </w:t>
      </w:r>
      <w:r w:rsidRPr="00114992">
        <w:rPr>
          <w:szCs w:val="24"/>
        </w:rPr>
        <w:t xml:space="preserve">eligible for credits for the unreasonable and </w:t>
      </w:r>
      <w:r w:rsidR="00283B86">
        <w:rPr>
          <w:szCs w:val="24"/>
        </w:rPr>
        <w:t>likely</w:t>
      </w:r>
      <w:r w:rsidRPr="00114992">
        <w:rPr>
          <w:szCs w:val="24"/>
        </w:rPr>
        <w:t xml:space="preserve"> undisclosed $5.00 monthly service fee that Green Choice charges consumers.</w:t>
      </w:r>
      <w:r>
        <w:rPr>
          <w:rStyle w:val="FootnoteReference"/>
          <w:szCs w:val="24"/>
        </w:rPr>
        <w:footnoteReference w:id="120"/>
      </w:r>
    </w:p>
    <w:p w:rsidR="00C62BF6" w:rsidRPr="00114992" w:rsidP="00C62BF6" w14:paraId="19BEAFF8" w14:textId="5FDDA2D8">
      <w:pPr>
        <w:tabs>
          <w:tab w:val="left" w:pos="720"/>
          <w:tab w:val="left" w:pos="2790"/>
          <w:tab w:val="left" w:leader="dot" w:pos="8640"/>
        </w:tabs>
        <w:spacing w:line="480" w:lineRule="auto"/>
        <w:rPr>
          <w:szCs w:val="24"/>
        </w:rPr>
      </w:pPr>
      <w:r w:rsidRPr="00312306">
        <w:rPr>
          <w:szCs w:val="24"/>
        </w:rPr>
        <w:tab/>
      </w:r>
      <w:r w:rsidR="00913FE4">
        <w:rPr>
          <w:szCs w:val="24"/>
        </w:rPr>
        <w:t>For c</w:t>
      </w:r>
      <w:r w:rsidRPr="00114992">
        <w:rPr>
          <w:szCs w:val="24"/>
        </w:rPr>
        <w:t>onsumers who were enrolled between May 1, 2021 and June 30, 2021</w:t>
      </w:r>
      <w:r w:rsidRPr="00312306">
        <w:rPr>
          <w:szCs w:val="24"/>
        </w:rPr>
        <w:t>,</w:t>
      </w:r>
      <w:r w:rsidR="00913FE4">
        <w:rPr>
          <w:szCs w:val="24"/>
        </w:rPr>
        <w:t xml:space="preserve"> the PUCO Staff recommends they</w:t>
      </w:r>
      <w:r w:rsidRPr="00114992">
        <w:rPr>
          <w:szCs w:val="24"/>
        </w:rPr>
        <w:t xml:space="preserve"> be returned to the utility standard offer and provided a refund based on the difference between the standard offer rate and the rate they were charged by Green Choice.</w:t>
      </w:r>
      <w:r>
        <w:rPr>
          <w:rStyle w:val="FootnoteReference"/>
          <w:szCs w:val="24"/>
        </w:rPr>
        <w:footnoteReference w:id="121"/>
      </w:r>
      <w:r w:rsidRPr="00114992">
        <w:rPr>
          <w:szCs w:val="24"/>
        </w:rPr>
        <w:t xml:space="preserve"> However, </w:t>
      </w:r>
      <w:r w:rsidR="00913FE4">
        <w:rPr>
          <w:szCs w:val="24"/>
        </w:rPr>
        <w:t xml:space="preserve">again, </w:t>
      </w:r>
      <w:r w:rsidRPr="00114992">
        <w:rPr>
          <w:szCs w:val="24"/>
        </w:rPr>
        <w:t>the PUCO Staff recommendation is silent regarding refunds of the $5.00 monthly service fee Green Choice charges consumers.</w:t>
      </w:r>
      <w:r>
        <w:rPr>
          <w:rStyle w:val="FootnoteReference"/>
          <w:szCs w:val="24"/>
        </w:rPr>
        <w:footnoteReference w:id="122"/>
      </w:r>
      <w:r w:rsidRPr="00114992">
        <w:rPr>
          <w:szCs w:val="24"/>
        </w:rPr>
        <w:t xml:space="preserve"> Consumers should be refunded</w:t>
      </w:r>
      <w:r w:rsidRPr="00312306">
        <w:rPr>
          <w:szCs w:val="24"/>
        </w:rPr>
        <w:t xml:space="preserve"> all</w:t>
      </w:r>
      <w:r w:rsidRPr="00114992">
        <w:rPr>
          <w:szCs w:val="24"/>
        </w:rPr>
        <w:t xml:space="preserve"> monthly service fees unless Green Choice can prove that the charges were fully disclosed to consumers throughout the marketing and enrollment of their offer</w:t>
      </w:r>
      <w:r w:rsidRPr="00312306">
        <w:rPr>
          <w:szCs w:val="24"/>
        </w:rPr>
        <w:t xml:space="preserve">, </w:t>
      </w:r>
      <w:r w:rsidRPr="00114992">
        <w:rPr>
          <w:szCs w:val="24"/>
        </w:rPr>
        <w:t>regardless of when the enrollment occurred.</w:t>
      </w:r>
      <w:r>
        <w:rPr>
          <w:rStyle w:val="FootnoteReference"/>
          <w:szCs w:val="24"/>
        </w:rPr>
        <w:footnoteReference w:id="123"/>
      </w:r>
      <w:r w:rsidRPr="00114992">
        <w:rPr>
          <w:szCs w:val="24"/>
        </w:rPr>
        <w:t xml:space="preserve"> </w:t>
      </w:r>
    </w:p>
    <w:p w:rsidR="00271DDB" w:rsidP="00C62BF6" w14:paraId="32AEE7A0" w14:textId="2D554439">
      <w:pPr>
        <w:tabs>
          <w:tab w:val="left" w:pos="720"/>
          <w:tab w:val="left" w:pos="1440"/>
          <w:tab w:val="left" w:leader="dot" w:pos="8640"/>
        </w:tabs>
        <w:spacing w:line="480" w:lineRule="auto"/>
        <w:rPr>
          <w:szCs w:val="24"/>
        </w:rPr>
      </w:pPr>
      <w:r w:rsidRPr="00312306">
        <w:rPr>
          <w:szCs w:val="24"/>
        </w:rPr>
        <w:tab/>
      </w:r>
      <w:r w:rsidRPr="00114992">
        <w:rPr>
          <w:szCs w:val="24"/>
        </w:rPr>
        <w:t xml:space="preserve">Finally, the PUCO Staff recommendation limits rerates for Green Choice consumers who are returned to the utility standard offer to only those consumers who contacted the PUCO, Green Choice, or other entities </w:t>
      </w:r>
      <w:r w:rsidR="004E0A1C">
        <w:rPr>
          <w:szCs w:val="24"/>
        </w:rPr>
        <w:t>(</w:t>
      </w:r>
      <w:r w:rsidR="004E0A1C">
        <w:rPr>
          <w:i/>
          <w:iCs/>
          <w:szCs w:val="24"/>
        </w:rPr>
        <w:t>e.g.</w:t>
      </w:r>
      <w:r w:rsidR="004E0A1C">
        <w:rPr>
          <w:szCs w:val="24"/>
        </w:rPr>
        <w:t xml:space="preserve"> the local utility or Better Business Bureau) </w:t>
      </w:r>
      <w:r w:rsidRPr="00114992">
        <w:rPr>
          <w:szCs w:val="24"/>
        </w:rPr>
        <w:t>disputing their enrollment with Green Choice after February 1, 2022.</w:t>
      </w:r>
      <w:r w:rsidRPr="00312306">
        <w:rPr>
          <w:szCs w:val="24"/>
        </w:rPr>
        <w:t xml:space="preserve"> Consistent with OCC</w:t>
      </w:r>
      <w:r>
        <w:rPr>
          <w:szCs w:val="24"/>
        </w:rPr>
        <w:t xml:space="preserve"> witness </w:t>
      </w:r>
      <w:r w:rsidRPr="00312306">
        <w:rPr>
          <w:szCs w:val="24"/>
        </w:rPr>
        <w:t>Williams’ recommendation that Green Choice’s electric and natural gas certifications be permanently rescinded, the PUCO Staff should have recommended that all Green Choice gas and electric consumers be</w:t>
      </w:r>
      <w:r w:rsidR="004E0A1C">
        <w:rPr>
          <w:szCs w:val="24"/>
        </w:rPr>
        <w:t xml:space="preserve"> rerated and</w:t>
      </w:r>
      <w:r w:rsidRPr="00312306">
        <w:rPr>
          <w:szCs w:val="24"/>
        </w:rPr>
        <w:t xml:space="preserve"> returned to the utility standard offer.</w:t>
      </w:r>
      <w:r>
        <w:rPr>
          <w:rStyle w:val="FootnoteReference"/>
          <w:szCs w:val="24"/>
        </w:rPr>
        <w:footnoteReference w:id="124"/>
      </w:r>
      <w:r w:rsidRPr="00312306">
        <w:rPr>
          <w:szCs w:val="24"/>
        </w:rPr>
        <w:t xml:space="preserve"> </w:t>
      </w:r>
    </w:p>
    <w:p w:rsidR="001C2403" w:rsidRPr="000B1CB4" w:rsidP="00271DDB" w14:paraId="08669DA1" w14:textId="1A5074C4">
      <w:pPr>
        <w:tabs>
          <w:tab w:val="left" w:pos="720"/>
          <w:tab w:val="left" w:pos="1440"/>
          <w:tab w:val="left" w:leader="dot" w:pos="8640"/>
        </w:tabs>
        <w:spacing w:line="480" w:lineRule="auto"/>
        <w:rPr>
          <w:szCs w:val="24"/>
        </w:rPr>
      </w:pPr>
      <w:r>
        <w:rPr>
          <w:szCs w:val="24"/>
        </w:rPr>
        <w:tab/>
      </w:r>
      <w:r w:rsidRPr="00312306" w:rsidR="00C62BF6">
        <w:rPr>
          <w:szCs w:val="24"/>
        </w:rPr>
        <w:t xml:space="preserve">Furthermore, the PUCO Staff should have recommended that consumers be refunded the difference between what their charges were under </w:t>
      </w:r>
      <w:r w:rsidR="00B42C6F">
        <w:rPr>
          <w:szCs w:val="24"/>
        </w:rPr>
        <w:t xml:space="preserve">the </w:t>
      </w:r>
      <w:r w:rsidRPr="00312306" w:rsidR="00C62BF6">
        <w:rPr>
          <w:szCs w:val="24"/>
        </w:rPr>
        <w:t>Green Choice</w:t>
      </w:r>
      <w:r w:rsidR="00B42C6F">
        <w:rPr>
          <w:szCs w:val="24"/>
        </w:rPr>
        <w:t xml:space="preserve"> contract</w:t>
      </w:r>
      <w:r w:rsidRPr="00312306" w:rsidR="00C62BF6">
        <w:rPr>
          <w:szCs w:val="24"/>
        </w:rPr>
        <w:t xml:space="preserve"> and what the charges would have been under the utility standard service</w:t>
      </w:r>
      <w:r w:rsidR="00B42C6F">
        <w:rPr>
          <w:szCs w:val="24"/>
        </w:rPr>
        <w:t xml:space="preserve"> offer</w:t>
      </w:r>
      <w:r w:rsidRPr="00312306" w:rsidR="00C62BF6">
        <w:rPr>
          <w:szCs w:val="24"/>
        </w:rPr>
        <w:t xml:space="preserve"> beginning the month in which the enrollment occurred.</w:t>
      </w:r>
      <w:r>
        <w:rPr>
          <w:rStyle w:val="FootnoteReference"/>
          <w:szCs w:val="24"/>
        </w:rPr>
        <w:footnoteReference w:id="125"/>
      </w:r>
    </w:p>
    <w:p w:rsidR="0098629F" w:rsidRPr="000B1CB4" w:rsidP="0098629F" w14:paraId="578109A3" w14:textId="77777777">
      <w:pPr>
        <w:pStyle w:val="BodyTextIndent3"/>
        <w:widowControl w:val="0"/>
        <w:spacing w:line="240" w:lineRule="auto"/>
        <w:ind w:right="-24"/>
        <w:rPr>
          <w:szCs w:val="24"/>
        </w:rPr>
      </w:pPr>
    </w:p>
    <w:p w:rsidR="00BB5292" w:rsidRPr="000B1CB4" w:rsidP="00DD02C2" w14:paraId="4F5D8D4D" w14:textId="06B8C92B">
      <w:pPr>
        <w:pStyle w:val="Heading1"/>
      </w:pPr>
      <w:bookmarkStart w:id="13" w:name="_Toc30075659"/>
      <w:bookmarkStart w:id="14" w:name="_Toc103677694"/>
      <w:bookmarkStart w:id="15" w:name="_Toc123892018"/>
      <w:r w:rsidRPr="000B1CB4">
        <w:t>I</w:t>
      </w:r>
      <w:r w:rsidR="0086538C">
        <w:t>V</w:t>
      </w:r>
      <w:r w:rsidRPr="000B1CB4" w:rsidR="00F25517">
        <w:t>.</w:t>
      </w:r>
      <w:r w:rsidRPr="000B1CB4" w:rsidR="00F25517">
        <w:tab/>
        <w:t>CONCLUSION</w:t>
      </w:r>
      <w:bookmarkEnd w:id="13"/>
      <w:bookmarkEnd w:id="14"/>
      <w:bookmarkEnd w:id="15"/>
    </w:p>
    <w:p w:rsidR="002951DF" w:rsidP="0013499B" w14:paraId="2E7EBF5A" w14:textId="19A5EA34">
      <w:pPr>
        <w:spacing w:line="480" w:lineRule="auto"/>
        <w:ind w:firstLine="720"/>
        <w:rPr>
          <w:szCs w:val="24"/>
        </w:rPr>
      </w:pPr>
      <w:r w:rsidRPr="000B1CB4">
        <w:rPr>
          <w:szCs w:val="24"/>
        </w:rPr>
        <w:t>Green Choice</w:t>
      </w:r>
      <w:r w:rsidR="004E0A1C">
        <w:rPr>
          <w:szCs w:val="24"/>
        </w:rPr>
        <w:t xml:space="preserve"> has failed to show cause that its certificates to market electric and natural gas service should not be permanently rescinded. </w:t>
      </w:r>
      <w:r w:rsidR="003943D8">
        <w:rPr>
          <w:szCs w:val="24"/>
        </w:rPr>
        <w:t>T</w:t>
      </w:r>
      <w:r w:rsidR="004E0A1C">
        <w:rPr>
          <w:szCs w:val="24"/>
        </w:rPr>
        <w:t>he nature and extent of Green Choice’s misleading and deceptive practices, violation of PUCO rules and order, failure to manage its third-party vendors, and refusal to cooperate with the PUCO Staff’s investigation warrants a forfeiture of at least $1.5 million. Green Choice’s consumers should be rerated and returned to the utility’s standard service offer. To protect Ohio consumers</w:t>
      </w:r>
      <w:r w:rsidR="00D60136">
        <w:rPr>
          <w:szCs w:val="24"/>
        </w:rPr>
        <w:t xml:space="preserve"> from malicious marketers like Green Choice</w:t>
      </w:r>
      <w:r w:rsidR="004E0A1C">
        <w:rPr>
          <w:szCs w:val="24"/>
        </w:rPr>
        <w:t>, the PUCO should adopt</w:t>
      </w:r>
      <w:r w:rsidR="00330645">
        <w:rPr>
          <w:szCs w:val="24"/>
        </w:rPr>
        <w:t xml:space="preserve"> OCC’s proposed recommendations.</w:t>
      </w:r>
      <w:r w:rsidR="00055C43">
        <w:rPr>
          <w:szCs w:val="24"/>
        </w:rPr>
        <w:t xml:space="preserve"> </w:t>
      </w:r>
    </w:p>
    <w:p w:rsidR="002951DF" w14:paraId="0D167F78" w14:textId="77777777">
      <w:pPr>
        <w:rPr>
          <w:szCs w:val="24"/>
        </w:rPr>
      </w:pPr>
      <w:r>
        <w:rPr>
          <w:szCs w:val="24"/>
        </w:rPr>
        <w:br w:type="page"/>
      </w:r>
    </w:p>
    <w:p w:rsidR="0013499B" w:rsidRPr="000B1CB4" w:rsidP="0013499B" w14:paraId="7E6AF98A" w14:textId="77777777">
      <w:pPr>
        <w:pStyle w:val="BodyTextIndent3"/>
        <w:widowControl w:val="0"/>
        <w:spacing w:line="480" w:lineRule="auto"/>
        <w:ind w:left="3600" w:right="-312"/>
        <w:rPr>
          <w:szCs w:val="24"/>
        </w:rPr>
      </w:pPr>
      <w:r w:rsidRPr="000B1CB4">
        <w:rPr>
          <w:szCs w:val="24"/>
        </w:rPr>
        <w:t>Respectfully submitted,</w:t>
      </w:r>
    </w:p>
    <w:p w:rsidR="0013499B" w:rsidRPr="000B1CB4" w:rsidP="0013499B" w14:paraId="68F41A0B" w14:textId="77777777">
      <w:pPr>
        <w:rPr>
          <w:szCs w:val="24"/>
        </w:rPr>
      </w:pPr>
      <w:r w:rsidRPr="000B1CB4">
        <w:rPr>
          <w:szCs w:val="24"/>
        </w:rPr>
        <w:tab/>
      </w:r>
      <w:r w:rsidRPr="000B1CB4">
        <w:rPr>
          <w:szCs w:val="24"/>
        </w:rPr>
        <w:tab/>
      </w:r>
      <w:r w:rsidRPr="000B1CB4">
        <w:rPr>
          <w:szCs w:val="24"/>
        </w:rPr>
        <w:tab/>
      </w:r>
      <w:r w:rsidRPr="000B1CB4">
        <w:rPr>
          <w:szCs w:val="24"/>
        </w:rPr>
        <w:tab/>
      </w:r>
      <w:r w:rsidRPr="000B1CB4">
        <w:rPr>
          <w:szCs w:val="24"/>
        </w:rPr>
        <w:tab/>
      </w:r>
      <w:r w:rsidRPr="000B1CB4">
        <w:rPr>
          <w:szCs w:val="24"/>
        </w:rPr>
        <w:tab/>
        <w:t>Bruce Weston (0016973)</w:t>
      </w:r>
    </w:p>
    <w:p w:rsidR="0013499B" w:rsidRPr="000B1CB4" w:rsidP="0013499B" w14:paraId="7797FC06" w14:textId="77777777">
      <w:pPr>
        <w:tabs>
          <w:tab w:val="left" w:pos="4320"/>
        </w:tabs>
        <w:ind w:left="4320" w:hanging="450"/>
        <w:rPr>
          <w:szCs w:val="24"/>
        </w:rPr>
      </w:pPr>
      <w:r w:rsidRPr="000B1CB4">
        <w:rPr>
          <w:szCs w:val="24"/>
        </w:rPr>
        <w:tab/>
        <w:t>Ohio Consumers’ Counsel</w:t>
      </w:r>
    </w:p>
    <w:p w:rsidR="0013499B" w:rsidRPr="000B1CB4" w:rsidP="0013499B" w14:paraId="1CAC5ED4" w14:textId="77777777">
      <w:pPr>
        <w:tabs>
          <w:tab w:val="left" w:pos="4320"/>
        </w:tabs>
        <w:ind w:left="4320"/>
        <w:rPr>
          <w:szCs w:val="24"/>
        </w:rPr>
      </w:pPr>
    </w:p>
    <w:p w:rsidR="0013499B" w:rsidRPr="000B1CB4" w:rsidP="0013499B" w14:paraId="1BBEAD2E" w14:textId="77777777">
      <w:pPr>
        <w:tabs>
          <w:tab w:val="left" w:pos="4320"/>
        </w:tabs>
        <w:ind w:left="4320"/>
        <w:rPr>
          <w:i/>
          <w:iCs/>
          <w:szCs w:val="24"/>
          <w:u w:val="single"/>
        </w:rPr>
      </w:pPr>
      <w:r w:rsidRPr="000B1CB4">
        <w:rPr>
          <w:i/>
          <w:iCs/>
          <w:szCs w:val="24"/>
          <w:u w:val="single"/>
        </w:rPr>
        <w:t>/s/ Angela D. O’Brien</w:t>
      </w:r>
      <w:r w:rsidRPr="000B1CB4">
        <w:rPr>
          <w:i/>
          <w:iCs/>
          <w:szCs w:val="24"/>
          <w:u w:val="single"/>
        </w:rPr>
        <w:tab/>
      </w:r>
      <w:r w:rsidRPr="000B1CB4">
        <w:rPr>
          <w:i/>
          <w:iCs/>
          <w:szCs w:val="24"/>
          <w:u w:val="single"/>
        </w:rPr>
        <w:tab/>
      </w:r>
    </w:p>
    <w:p w:rsidR="0013499B" w:rsidRPr="000B1CB4" w:rsidP="0013499B" w14:paraId="7D068018" w14:textId="77777777">
      <w:pPr>
        <w:tabs>
          <w:tab w:val="left" w:pos="4320"/>
        </w:tabs>
        <w:ind w:left="4320"/>
        <w:rPr>
          <w:szCs w:val="24"/>
        </w:rPr>
      </w:pPr>
      <w:r w:rsidRPr="000B1CB4">
        <w:rPr>
          <w:szCs w:val="24"/>
        </w:rPr>
        <w:t>Angela D. O’Brien (0097579)</w:t>
      </w:r>
    </w:p>
    <w:p w:rsidR="0013499B" w:rsidRPr="000B1CB4" w:rsidP="0013499B" w14:paraId="7D6D165F" w14:textId="77777777">
      <w:pPr>
        <w:tabs>
          <w:tab w:val="left" w:pos="4320"/>
        </w:tabs>
        <w:ind w:left="4320"/>
        <w:rPr>
          <w:szCs w:val="24"/>
        </w:rPr>
      </w:pPr>
      <w:r w:rsidRPr="000B1CB4">
        <w:rPr>
          <w:szCs w:val="24"/>
        </w:rPr>
        <w:t>Counsel of Record</w:t>
      </w:r>
    </w:p>
    <w:p w:rsidR="0013499B" w:rsidRPr="000B1CB4" w:rsidP="0013499B" w14:paraId="5D002BE0" w14:textId="77777777">
      <w:pPr>
        <w:tabs>
          <w:tab w:val="left" w:pos="3870"/>
          <w:tab w:val="left" w:pos="4320"/>
        </w:tabs>
        <w:ind w:left="4320"/>
        <w:rPr>
          <w:szCs w:val="24"/>
        </w:rPr>
      </w:pPr>
      <w:r w:rsidRPr="000B1CB4">
        <w:rPr>
          <w:szCs w:val="24"/>
        </w:rPr>
        <w:t>Ambrosia Wilson (0096598)</w:t>
      </w:r>
    </w:p>
    <w:p w:rsidR="0013499B" w:rsidRPr="000B1CB4" w:rsidP="0013499B" w14:paraId="6AA029D5" w14:textId="77777777">
      <w:pPr>
        <w:tabs>
          <w:tab w:val="left" w:pos="3870"/>
          <w:tab w:val="left" w:pos="4320"/>
        </w:tabs>
        <w:ind w:left="4320"/>
        <w:rPr>
          <w:szCs w:val="24"/>
        </w:rPr>
      </w:pPr>
      <w:r w:rsidRPr="000B1CB4">
        <w:rPr>
          <w:szCs w:val="24"/>
        </w:rPr>
        <w:t>Assistant Consumers’ Counsel</w:t>
      </w:r>
    </w:p>
    <w:p w:rsidR="0013499B" w:rsidRPr="000B1CB4" w:rsidP="0013499B" w14:paraId="1D71BB14" w14:textId="77777777">
      <w:pPr>
        <w:tabs>
          <w:tab w:val="left" w:pos="3870"/>
          <w:tab w:val="left" w:pos="4320"/>
        </w:tabs>
        <w:ind w:left="4320"/>
        <w:rPr>
          <w:szCs w:val="24"/>
        </w:rPr>
      </w:pPr>
    </w:p>
    <w:p w:rsidR="0013499B" w:rsidRPr="000B1CB4" w:rsidP="0013499B" w14:paraId="2F22BAEB" w14:textId="77777777">
      <w:pPr>
        <w:ind w:left="4320"/>
        <w:rPr>
          <w:b/>
          <w:bCs/>
          <w:szCs w:val="24"/>
        </w:rPr>
      </w:pPr>
      <w:r w:rsidRPr="000B1CB4">
        <w:rPr>
          <w:b/>
          <w:bCs/>
          <w:szCs w:val="24"/>
        </w:rPr>
        <w:t>Office of the Ohio Consumers' Counsel</w:t>
      </w:r>
    </w:p>
    <w:p w:rsidR="0013499B" w:rsidRPr="000B1CB4" w:rsidP="0013499B" w14:paraId="62699C3D" w14:textId="77777777">
      <w:pPr>
        <w:ind w:left="4320"/>
        <w:rPr>
          <w:szCs w:val="24"/>
        </w:rPr>
      </w:pPr>
      <w:r w:rsidRPr="000B1CB4">
        <w:rPr>
          <w:szCs w:val="24"/>
        </w:rPr>
        <w:t>65 East State Street, Suite 700</w:t>
      </w:r>
    </w:p>
    <w:p w:rsidR="0013499B" w:rsidRPr="000B1CB4" w:rsidP="0013499B" w14:paraId="089BCC52" w14:textId="77777777">
      <w:pPr>
        <w:ind w:left="4320"/>
        <w:rPr>
          <w:szCs w:val="24"/>
        </w:rPr>
      </w:pPr>
      <w:r w:rsidRPr="000B1CB4">
        <w:rPr>
          <w:szCs w:val="24"/>
        </w:rPr>
        <w:t>Columbus, Ohio 43215</w:t>
      </w:r>
    </w:p>
    <w:p w:rsidR="0013499B" w:rsidRPr="000B1CB4" w:rsidP="0013499B" w14:paraId="5BFA1870" w14:textId="77777777">
      <w:pPr>
        <w:autoSpaceDE w:val="0"/>
        <w:autoSpaceDN w:val="0"/>
        <w:adjustRightInd w:val="0"/>
        <w:ind w:left="4320"/>
        <w:rPr>
          <w:szCs w:val="24"/>
        </w:rPr>
      </w:pPr>
      <w:r w:rsidRPr="000B1CB4">
        <w:rPr>
          <w:szCs w:val="24"/>
        </w:rPr>
        <w:t>Telephone: [O’Brien]: (614) 466-9531</w:t>
      </w:r>
    </w:p>
    <w:p w:rsidR="0013499B" w:rsidRPr="000B1CB4" w:rsidP="0013499B" w14:paraId="248878CD" w14:textId="77777777">
      <w:pPr>
        <w:pStyle w:val="ListParagraph"/>
        <w:autoSpaceDE w:val="0"/>
        <w:autoSpaceDN w:val="0"/>
        <w:adjustRightInd w:val="0"/>
        <w:ind w:left="3600" w:firstLine="720"/>
      </w:pPr>
      <w:r w:rsidRPr="000B1CB4">
        <w:t>Telephone [Wilson]: (614) 466-1292</w:t>
      </w:r>
    </w:p>
    <w:p w:rsidR="0013499B" w:rsidRPr="000B1CB4" w:rsidP="0013499B" w14:paraId="228F0A78" w14:textId="77777777">
      <w:pPr>
        <w:ind w:left="4320"/>
        <w:rPr>
          <w:szCs w:val="24"/>
        </w:rPr>
      </w:pPr>
      <w:hyperlink r:id="rId6" w:history="1">
        <w:r w:rsidRPr="000B1CB4" w:rsidR="00562DA9">
          <w:rPr>
            <w:rStyle w:val="Hyperlink"/>
            <w:szCs w:val="24"/>
          </w:rPr>
          <w:t>angela.obrien@occ.ohio.gov</w:t>
        </w:r>
      </w:hyperlink>
    </w:p>
    <w:p w:rsidR="0013499B" w:rsidRPr="000B1CB4" w:rsidP="0013499B" w14:paraId="649167B2" w14:textId="77777777">
      <w:pPr>
        <w:pStyle w:val="ListParagraph"/>
        <w:autoSpaceDE w:val="0"/>
        <w:autoSpaceDN w:val="0"/>
        <w:adjustRightInd w:val="0"/>
        <w:ind w:left="3600" w:firstLine="720"/>
        <w:rPr>
          <w:rStyle w:val="Hyperlink"/>
        </w:rPr>
      </w:pPr>
      <w:hyperlink r:id="rId7" w:history="1">
        <w:r w:rsidRPr="000B1CB4" w:rsidR="00562DA9">
          <w:rPr>
            <w:rStyle w:val="Hyperlink"/>
          </w:rPr>
          <w:t>ambrosia.wilson@occ.ohio.gov</w:t>
        </w:r>
      </w:hyperlink>
      <w:r w:rsidRPr="000B1CB4" w:rsidR="00562DA9">
        <w:tab/>
      </w:r>
    </w:p>
    <w:p w:rsidR="0013499B" w:rsidRPr="000B1CB4" w:rsidP="0013499B" w14:paraId="39440A28" w14:textId="77777777">
      <w:pPr>
        <w:ind w:left="4320" w:hanging="4320"/>
        <w:rPr>
          <w:szCs w:val="24"/>
        </w:rPr>
      </w:pPr>
      <w:r w:rsidRPr="000B1CB4">
        <w:rPr>
          <w:szCs w:val="24"/>
        </w:rPr>
        <w:tab/>
        <w:t>(willing to accept service by e-mail)</w:t>
      </w:r>
    </w:p>
    <w:p w:rsidR="00731B26" w:rsidRPr="000B1CB4" w:rsidP="00646111" w14:paraId="473F5430" w14:textId="77777777">
      <w:pPr>
        <w:rPr>
          <w:szCs w:val="24"/>
        </w:rPr>
      </w:pPr>
    </w:p>
    <w:p w:rsidR="00B52F65" w:rsidRPr="000B1CB4" w:rsidP="00B52F65" w14:paraId="0C0AFF5A" w14:textId="77777777">
      <w:pPr>
        <w:rPr>
          <w:szCs w:val="24"/>
        </w:rPr>
      </w:pPr>
    </w:p>
    <w:p w:rsidR="0089543E" w:rsidRPr="000B1CB4" w14:paraId="291C783E" w14:textId="77777777">
      <w:pPr>
        <w:rPr>
          <w:szCs w:val="24"/>
        </w:rPr>
      </w:pPr>
      <w:r w:rsidRPr="000B1CB4">
        <w:rPr>
          <w:szCs w:val="24"/>
        </w:rPr>
        <w:br w:type="page"/>
      </w:r>
    </w:p>
    <w:p w:rsidR="00B52F65" w:rsidRPr="000B1CB4" w:rsidP="00F90B18" w14:paraId="1ABEA909" w14:textId="0190BFD8">
      <w:pPr>
        <w:jc w:val="center"/>
        <w:rPr>
          <w:b/>
          <w:bCs/>
          <w:szCs w:val="24"/>
          <w:u w:val="single"/>
        </w:rPr>
      </w:pPr>
      <w:r w:rsidRPr="000B1CB4">
        <w:rPr>
          <w:b/>
          <w:bCs/>
          <w:szCs w:val="24"/>
          <w:u w:val="single"/>
        </w:rPr>
        <w:t>CERTIFICATE OF SERVICE</w:t>
      </w:r>
    </w:p>
    <w:p w:rsidR="00731B26" w:rsidRPr="000B1CB4" w:rsidP="00731B26" w14:paraId="725B071C" w14:textId="77777777">
      <w:pPr>
        <w:jc w:val="center"/>
        <w:rPr>
          <w:szCs w:val="24"/>
        </w:rPr>
      </w:pPr>
    </w:p>
    <w:p w:rsidR="00B52F65" w:rsidRPr="000B1CB4" w:rsidP="0013499B" w14:paraId="5E837E0F" w14:textId="6E59B0F5">
      <w:pPr>
        <w:spacing w:line="480" w:lineRule="auto"/>
        <w:ind w:firstLine="720"/>
        <w:rPr>
          <w:i/>
          <w:iCs/>
          <w:szCs w:val="24"/>
        </w:rPr>
      </w:pPr>
      <w:r w:rsidRPr="000B1CB4">
        <w:rPr>
          <w:szCs w:val="24"/>
        </w:rPr>
        <w:t>I hereby certify that a copy of this</w:t>
      </w:r>
      <w:r w:rsidRPr="000B1CB4" w:rsidR="00731B26">
        <w:rPr>
          <w:szCs w:val="24"/>
        </w:rPr>
        <w:t xml:space="preserve"> </w:t>
      </w:r>
      <w:r w:rsidR="003943D8">
        <w:rPr>
          <w:szCs w:val="24"/>
        </w:rPr>
        <w:t>Initial Brief</w:t>
      </w:r>
      <w:r w:rsidRPr="000B1CB4" w:rsidR="0081674B">
        <w:rPr>
          <w:szCs w:val="24"/>
        </w:rPr>
        <w:t xml:space="preserve"> </w:t>
      </w:r>
      <w:r w:rsidRPr="000B1CB4">
        <w:rPr>
          <w:szCs w:val="24"/>
        </w:rPr>
        <w:t xml:space="preserve">was served on the persons stated below via electronic transmission, this </w:t>
      </w:r>
      <w:r w:rsidR="003943D8">
        <w:rPr>
          <w:szCs w:val="24"/>
        </w:rPr>
        <w:t>6</w:t>
      </w:r>
      <w:r w:rsidRPr="003943D8" w:rsidR="003943D8">
        <w:rPr>
          <w:szCs w:val="24"/>
          <w:vertAlign w:val="superscript"/>
        </w:rPr>
        <w:t>th</w:t>
      </w:r>
      <w:r w:rsidRPr="000B1CB4" w:rsidR="00D107F1">
        <w:rPr>
          <w:szCs w:val="24"/>
        </w:rPr>
        <w:t xml:space="preserve"> </w:t>
      </w:r>
      <w:r w:rsidRPr="000B1CB4">
        <w:rPr>
          <w:szCs w:val="24"/>
        </w:rPr>
        <w:t>day of</w:t>
      </w:r>
      <w:r w:rsidR="003943D8">
        <w:rPr>
          <w:szCs w:val="24"/>
        </w:rPr>
        <w:t xml:space="preserve"> January</w:t>
      </w:r>
      <w:r w:rsidRPr="000B1CB4">
        <w:rPr>
          <w:szCs w:val="24"/>
        </w:rPr>
        <w:t xml:space="preserve"> 20</w:t>
      </w:r>
      <w:r w:rsidRPr="000B1CB4" w:rsidR="00805F1D">
        <w:rPr>
          <w:szCs w:val="24"/>
        </w:rPr>
        <w:t>2</w:t>
      </w:r>
      <w:r w:rsidR="00010B85">
        <w:rPr>
          <w:szCs w:val="24"/>
        </w:rPr>
        <w:t>3</w:t>
      </w:r>
      <w:r w:rsidRPr="000B1CB4">
        <w:rPr>
          <w:szCs w:val="24"/>
        </w:rPr>
        <w:t>.</w:t>
      </w:r>
    </w:p>
    <w:p w:rsidR="00B52F65" w:rsidRPr="000B1CB4" w14:paraId="7587DED6" w14:textId="43D04FCC">
      <w:pPr>
        <w:tabs>
          <w:tab w:val="left" w:pos="4320"/>
        </w:tabs>
        <w:rPr>
          <w:i/>
          <w:szCs w:val="24"/>
          <w:u w:val="single"/>
        </w:rPr>
      </w:pPr>
      <w:r w:rsidRPr="000B1CB4">
        <w:rPr>
          <w:szCs w:val="24"/>
        </w:rPr>
        <w:tab/>
      </w:r>
      <w:r w:rsidRPr="000B1CB4">
        <w:rPr>
          <w:i/>
          <w:iCs/>
          <w:szCs w:val="24"/>
          <w:u w:val="single"/>
        </w:rPr>
        <w:t>/s/</w:t>
      </w:r>
      <w:r w:rsidRPr="000B1CB4">
        <w:rPr>
          <w:szCs w:val="24"/>
          <w:u w:val="single"/>
        </w:rPr>
        <w:t xml:space="preserve"> </w:t>
      </w:r>
      <w:r w:rsidRPr="000B1CB4">
        <w:rPr>
          <w:i/>
          <w:szCs w:val="24"/>
          <w:u w:val="single"/>
        </w:rPr>
        <w:t xml:space="preserve">Angela </w:t>
      </w:r>
      <w:r w:rsidRPr="000B1CB4" w:rsidR="00B559AA">
        <w:rPr>
          <w:i/>
          <w:szCs w:val="24"/>
          <w:u w:val="single"/>
        </w:rPr>
        <w:t xml:space="preserve">D. </w:t>
      </w:r>
      <w:r w:rsidRPr="000B1CB4">
        <w:rPr>
          <w:i/>
          <w:szCs w:val="24"/>
          <w:u w:val="single"/>
        </w:rPr>
        <w:t>O’Brien</w:t>
      </w:r>
      <w:r w:rsidRPr="000B1CB4">
        <w:rPr>
          <w:i/>
          <w:szCs w:val="24"/>
          <w:u w:val="single"/>
        </w:rPr>
        <w:tab/>
      </w:r>
      <w:r w:rsidRPr="000B1CB4">
        <w:rPr>
          <w:i/>
          <w:szCs w:val="24"/>
          <w:u w:val="single"/>
        </w:rPr>
        <w:tab/>
      </w:r>
    </w:p>
    <w:p w:rsidR="00B52F65" w:rsidRPr="000B1CB4" w14:paraId="787CAC54" w14:textId="3A950C4F">
      <w:pPr>
        <w:tabs>
          <w:tab w:val="left" w:pos="4320"/>
        </w:tabs>
        <w:rPr>
          <w:szCs w:val="24"/>
        </w:rPr>
      </w:pPr>
      <w:r w:rsidRPr="000B1CB4">
        <w:rPr>
          <w:szCs w:val="24"/>
        </w:rPr>
        <w:tab/>
        <w:t xml:space="preserve">Angela </w:t>
      </w:r>
      <w:r w:rsidRPr="000B1CB4" w:rsidR="00B559AA">
        <w:rPr>
          <w:szCs w:val="24"/>
        </w:rPr>
        <w:t xml:space="preserve">D. </w:t>
      </w:r>
      <w:r w:rsidRPr="000B1CB4">
        <w:rPr>
          <w:szCs w:val="24"/>
        </w:rPr>
        <w:t>O’Brien</w:t>
      </w:r>
    </w:p>
    <w:p w:rsidR="00B52F65" w:rsidRPr="000B1CB4" w14:paraId="61EC04A1" w14:textId="64DEC6E3">
      <w:pPr>
        <w:tabs>
          <w:tab w:val="left" w:pos="4320"/>
        </w:tabs>
        <w:rPr>
          <w:szCs w:val="24"/>
        </w:rPr>
      </w:pPr>
      <w:r w:rsidRPr="000B1CB4">
        <w:rPr>
          <w:szCs w:val="24"/>
        </w:rPr>
        <w:tab/>
        <w:t>Assistant Consumers’ Counsel</w:t>
      </w:r>
    </w:p>
    <w:p w:rsidR="00B52F65" w:rsidRPr="000B1CB4" w14:paraId="367A86E8" w14:textId="77777777">
      <w:pPr>
        <w:pStyle w:val="CommentSubject"/>
        <w:rPr>
          <w:szCs w:val="24"/>
        </w:rPr>
      </w:pPr>
    </w:p>
    <w:p w:rsidR="005B331B" w:rsidRPr="000B1CB4" w:rsidP="0060598B" w14:paraId="4865252F" w14:textId="182D5AFF">
      <w:pPr>
        <w:rPr>
          <w:szCs w:val="24"/>
        </w:rPr>
      </w:pPr>
      <w:r w:rsidRPr="000B1CB4">
        <w:rPr>
          <w:szCs w:val="24"/>
        </w:rPr>
        <w:t>The PUCO’s e-filing system will electronically serve notice of the filing of this document on the following parties:</w:t>
      </w:r>
    </w:p>
    <w:p w:rsidR="00DE0CA9" w:rsidRPr="000B1CB4" w:rsidP="0060598B" w14:paraId="1F08B9F0" w14:textId="53DAA0DE">
      <w:pPr>
        <w:rPr>
          <w:szCs w:val="24"/>
        </w:rPr>
      </w:pPr>
    </w:p>
    <w:p w:rsidR="00DE0CA9" w:rsidRPr="000B1CB4" w:rsidP="00DE0CA9" w14:paraId="72ABCC9D" w14:textId="77777777">
      <w:pPr>
        <w:pStyle w:val="CommentText"/>
        <w:jc w:val="center"/>
        <w:rPr>
          <w:b/>
          <w:u w:val="single"/>
        </w:rPr>
      </w:pPr>
      <w:r w:rsidRPr="000B1CB4">
        <w:rPr>
          <w:b/>
          <w:u w:val="single"/>
        </w:rPr>
        <w:t>SERVICE LIST</w:t>
      </w:r>
    </w:p>
    <w:p w:rsidR="00DE0CA9" w:rsidRPr="000B1CB4" w:rsidP="00D30944" w14:paraId="73B0C641" w14:textId="77777777">
      <w:pPr>
        <w:pStyle w:val="CommentText"/>
        <w:rPr>
          <w:b/>
          <w:u w:val="single"/>
        </w:rPr>
      </w:pPr>
    </w:p>
    <w:tbl>
      <w:tblPr>
        <w:tblW w:w="0" w:type="auto"/>
        <w:tblLook w:val="01E0"/>
      </w:tblPr>
      <w:tblGrid>
        <w:gridCol w:w="4290"/>
        <w:gridCol w:w="4350"/>
      </w:tblGrid>
      <w:tr w14:paraId="2F85F0D7" w14:textId="77777777" w:rsidTr="00FE0412">
        <w:tblPrEx>
          <w:tblW w:w="0" w:type="auto"/>
          <w:tblLook w:val="01E0"/>
        </w:tblPrEx>
        <w:tc>
          <w:tcPr>
            <w:tcW w:w="4290" w:type="dxa"/>
            <w:shd w:val="clear" w:color="auto" w:fill="auto"/>
          </w:tcPr>
          <w:p w:rsidR="00D30944" w:rsidP="00FE0412" w14:paraId="7ADDD96A" w14:textId="5572A064">
            <w:pPr>
              <w:autoSpaceDE w:val="0"/>
              <w:autoSpaceDN w:val="0"/>
              <w:adjustRightInd w:val="0"/>
              <w:rPr>
                <w:rStyle w:val="Hyperlink"/>
                <w:bCs/>
              </w:rPr>
            </w:pPr>
            <w:hyperlink r:id="rId11" w:history="1">
              <w:r w:rsidRPr="002E576E" w:rsidR="008C133A">
                <w:rPr>
                  <w:rStyle w:val="Hyperlink"/>
                  <w:szCs w:val="24"/>
                </w:rPr>
                <w:t>robert</w:t>
              </w:r>
              <w:r w:rsidRPr="002E576E" w:rsidR="008C133A">
                <w:rPr>
                  <w:rStyle w:val="Hyperlink"/>
                  <w:bCs/>
                  <w:szCs w:val="24"/>
                </w:rPr>
                <w:t>.eubanks@ohioAGO.gov</w:t>
              </w:r>
            </w:hyperlink>
          </w:p>
          <w:p w:rsidR="008C133A" w:rsidRPr="000B1CB4" w:rsidP="00FE0412" w14:paraId="297FF5CB" w14:textId="21638194">
            <w:pPr>
              <w:autoSpaceDE w:val="0"/>
              <w:autoSpaceDN w:val="0"/>
              <w:adjustRightInd w:val="0"/>
              <w:rPr>
                <w:bCs/>
                <w:szCs w:val="24"/>
              </w:rPr>
            </w:pPr>
            <w:r>
              <w:rPr>
                <w:rStyle w:val="Hyperlink"/>
                <w:bCs/>
              </w:rPr>
              <w:t>rhiannon.plant@ohioAGO.gov</w:t>
            </w:r>
          </w:p>
          <w:p w:rsidR="00731F02" w:rsidRPr="000B1CB4" w:rsidP="00731F02" w14:paraId="4640F484" w14:textId="77777777">
            <w:pPr>
              <w:rPr>
                <w:szCs w:val="24"/>
              </w:rPr>
            </w:pPr>
          </w:p>
          <w:p w:rsidR="00731F02" w:rsidRPr="000B1CB4" w:rsidP="00731F02" w14:paraId="1E16B597" w14:textId="735CB2B6">
            <w:pPr>
              <w:rPr>
                <w:szCs w:val="24"/>
              </w:rPr>
            </w:pPr>
            <w:r w:rsidRPr="000B1CB4">
              <w:rPr>
                <w:szCs w:val="24"/>
              </w:rPr>
              <w:t>Attorney Examiner:</w:t>
            </w:r>
          </w:p>
          <w:p w:rsidR="00731F02" w:rsidRPr="000B1CB4" w:rsidP="00731F02" w14:paraId="684111E2" w14:textId="77777777">
            <w:pPr>
              <w:rPr>
                <w:szCs w:val="24"/>
              </w:rPr>
            </w:pPr>
            <w:hyperlink r:id="rId12" w:history="1">
              <w:r w:rsidRPr="000B1CB4" w:rsidR="00562DA9">
                <w:rPr>
                  <w:rStyle w:val="Hyperlink"/>
                  <w:szCs w:val="24"/>
                </w:rPr>
                <w:t>jesse.davis@puco.ohio.gov</w:t>
              </w:r>
            </w:hyperlink>
          </w:p>
          <w:p w:rsidR="00D75D3F" w:rsidRPr="000002F7" w:rsidP="00D75D3F" w14:paraId="1A24E6F0" w14:textId="77777777">
            <w:pPr>
              <w:adjustRightInd w:val="0"/>
              <w:rPr>
                <w:color w:val="0000FF"/>
                <w:szCs w:val="24"/>
                <w:u w:val="single"/>
              </w:rPr>
            </w:pPr>
            <w:hyperlink r:id="rId13" w:history="1">
              <w:r w:rsidRPr="000002F7">
                <w:rPr>
                  <w:color w:val="0000FF"/>
                  <w:szCs w:val="24"/>
                  <w:u w:val="single"/>
                </w:rPr>
                <w:t>gregory.price@puco.ohio.gov</w:t>
              </w:r>
            </w:hyperlink>
          </w:p>
          <w:p w:rsidR="00D30944" w:rsidRPr="000B1CB4" w:rsidP="00FE0412" w14:paraId="2BEAA1D5" w14:textId="77777777">
            <w:pPr>
              <w:autoSpaceDE w:val="0"/>
              <w:autoSpaceDN w:val="0"/>
              <w:adjustRightInd w:val="0"/>
              <w:rPr>
                <w:bCs/>
                <w:szCs w:val="24"/>
              </w:rPr>
            </w:pPr>
          </w:p>
        </w:tc>
        <w:tc>
          <w:tcPr>
            <w:tcW w:w="4350" w:type="dxa"/>
            <w:shd w:val="clear" w:color="auto" w:fill="auto"/>
          </w:tcPr>
          <w:p w:rsidR="00D30944" w:rsidRPr="000B1CB4" w:rsidP="00FE0412" w14:paraId="634F38A0" w14:textId="57DA7C07">
            <w:pPr>
              <w:pStyle w:val="BodyText"/>
              <w:rPr>
                <w:rStyle w:val="Hyperlink"/>
                <w:bCs/>
                <w:szCs w:val="24"/>
              </w:rPr>
            </w:pPr>
            <w:hyperlink r:id="rId14" w:history="1">
              <w:r w:rsidRPr="000B1CB4" w:rsidR="00562DA9">
                <w:rPr>
                  <w:rStyle w:val="Hyperlink"/>
                  <w:bCs/>
                  <w:szCs w:val="24"/>
                </w:rPr>
                <w:t>btrombino@uerus.com</w:t>
              </w:r>
            </w:hyperlink>
          </w:p>
          <w:p w:rsidR="00731F02" w:rsidRPr="000B1CB4" w:rsidP="00FE0412" w14:paraId="73D50449" w14:textId="394E32C3">
            <w:pPr>
              <w:pStyle w:val="BodyText"/>
              <w:rPr>
                <w:bCs/>
                <w:szCs w:val="24"/>
              </w:rPr>
            </w:pPr>
            <w:hyperlink r:id="rId15" w:history="1">
              <w:r w:rsidRPr="000B1CB4" w:rsidR="00562DA9">
                <w:rPr>
                  <w:rStyle w:val="Hyperlink"/>
                  <w:bCs/>
                  <w:szCs w:val="24"/>
                </w:rPr>
                <w:t>whitt@whitt-sturtevant.com</w:t>
              </w:r>
            </w:hyperlink>
          </w:p>
          <w:p w:rsidR="00D30944" w:rsidRPr="000B1CB4" w:rsidP="00FE0412" w14:paraId="1327BEEF" w14:textId="7630DE09">
            <w:pPr>
              <w:pStyle w:val="BodyText"/>
              <w:rPr>
                <w:bCs/>
                <w:szCs w:val="24"/>
              </w:rPr>
            </w:pPr>
            <w:hyperlink r:id="rId16" w:history="1">
              <w:r w:rsidRPr="000B1CB4" w:rsidR="00731F02">
                <w:rPr>
                  <w:rStyle w:val="Hyperlink"/>
                  <w:bCs/>
                  <w:szCs w:val="24"/>
                </w:rPr>
                <w:t>fykes@whitt-sturtevant.com</w:t>
              </w:r>
            </w:hyperlink>
          </w:p>
          <w:p w:rsidR="00731F02" w:rsidP="00FE0412" w14:paraId="389F4809" w14:textId="040F166B">
            <w:pPr>
              <w:pStyle w:val="BodyText"/>
              <w:rPr>
                <w:bCs/>
                <w:szCs w:val="24"/>
              </w:rPr>
            </w:pPr>
            <w:hyperlink r:id="rId17" w:history="1">
              <w:r w:rsidRPr="002E576E" w:rsidR="008C133A">
                <w:rPr>
                  <w:rStyle w:val="Hyperlink"/>
                  <w:bCs/>
                  <w:szCs w:val="24"/>
                </w:rPr>
                <w:t>elmer@whitt-sturtevant.com</w:t>
              </w:r>
            </w:hyperlink>
          </w:p>
          <w:p w:rsidR="008C133A" w:rsidRPr="000B1CB4" w:rsidP="00FE0412" w14:paraId="713C4091" w14:textId="33F42795">
            <w:pPr>
              <w:pStyle w:val="BodyText"/>
              <w:rPr>
                <w:bCs/>
                <w:szCs w:val="24"/>
              </w:rPr>
            </w:pPr>
          </w:p>
        </w:tc>
      </w:tr>
      <w:tr w14:paraId="07AA455D" w14:textId="77777777" w:rsidTr="00FE0412">
        <w:tblPrEx>
          <w:tblW w:w="0" w:type="auto"/>
          <w:tblLook w:val="01E0"/>
        </w:tblPrEx>
        <w:tc>
          <w:tcPr>
            <w:tcW w:w="4290" w:type="dxa"/>
            <w:shd w:val="clear" w:color="auto" w:fill="auto"/>
          </w:tcPr>
          <w:p w:rsidR="00D30944" w:rsidRPr="000B1CB4" w:rsidP="00731F02" w14:paraId="779258B6" w14:textId="77777777">
            <w:pPr>
              <w:rPr>
                <w:szCs w:val="24"/>
              </w:rPr>
            </w:pPr>
          </w:p>
        </w:tc>
        <w:tc>
          <w:tcPr>
            <w:tcW w:w="4350" w:type="dxa"/>
            <w:shd w:val="clear" w:color="auto" w:fill="auto"/>
          </w:tcPr>
          <w:p w:rsidR="00D30944" w:rsidRPr="000B1CB4" w:rsidP="00FE0412" w14:paraId="44623C26" w14:textId="77777777">
            <w:pPr>
              <w:rPr>
                <w:bCs/>
                <w:szCs w:val="24"/>
              </w:rPr>
            </w:pPr>
          </w:p>
        </w:tc>
      </w:tr>
    </w:tbl>
    <w:p w:rsidR="00B52F65" w:rsidRPr="000B1CB4" w:rsidP="00731F02" w14:paraId="25C5C5C0" w14:textId="77777777">
      <w:pPr>
        <w:pStyle w:val="CommentText"/>
        <w:rPr>
          <w:b/>
          <w:u w:val="single"/>
        </w:rPr>
      </w:pPr>
    </w:p>
    <w:p w:rsidR="00B52F65" w:rsidRPr="000B1CB4" w14:paraId="2F401E4F" w14:textId="77777777">
      <w:pPr>
        <w:pStyle w:val="CommentText"/>
        <w:jc w:val="center"/>
        <w:rPr>
          <w:b/>
          <w:u w:val="single"/>
        </w:rPr>
      </w:pPr>
    </w:p>
    <w:sectPr w:rsidSect="00510045">
      <w:headerReference w:type="first" r:id="rId18"/>
      <w:footerReference w:type="first" r:id="rId19"/>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7041750"/>
      <w:docPartObj>
        <w:docPartGallery w:val="Page Numbers (Bottom of Page)"/>
        <w:docPartUnique/>
      </w:docPartObj>
    </w:sdtPr>
    <w:sdtEndPr>
      <w:rPr>
        <w:noProof/>
        <w:sz w:val="24"/>
        <w:szCs w:val="24"/>
      </w:rPr>
    </w:sdtEndPr>
    <w:sdtContent>
      <w:p w:rsidR="00920F0C" w:rsidRPr="006C0815" w14:paraId="2DC244E3" w14:textId="7BAD1CD4">
        <w:pPr>
          <w:pStyle w:val="Footer"/>
          <w:jc w:val="center"/>
          <w:rPr>
            <w:sz w:val="24"/>
            <w:szCs w:val="24"/>
          </w:rPr>
        </w:pPr>
        <w:r w:rsidRPr="006C0815">
          <w:rPr>
            <w:sz w:val="24"/>
            <w:szCs w:val="24"/>
          </w:rPr>
          <w:fldChar w:fldCharType="begin"/>
        </w:r>
        <w:r w:rsidRPr="006C0815">
          <w:rPr>
            <w:sz w:val="24"/>
            <w:szCs w:val="24"/>
          </w:rPr>
          <w:instrText xml:space="preserve"> PAGE   \* MERGEFORMAT </w:instrText>
        </w:r>
        <w:r w:rsidRPr="006C0815">
          <w:rPr>
            <w:sz w:val="24"/>
            <w:szCs w:val="24"/>
          </w:rPr>
          <w:fldChar w:fldCharType="separate"/>
        </w:r>
        <w:r w:rsidRPr="006C0815">
          <w:rPr>
            <w:noProof/>
            <w:sz w:val="24"/>
            <w:szCs w:val="24"/>
          </w:rPr>
          <w:t>2</w:t>
        </w:r>
        <w:r w:rsidRPr="006C0815">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0F0C" w14:paraId="14D10EF6" w14:textId="00C2985E">
    <w:pPr>
      <w:pStyle w:val="Footer"/>
      <w:jc w:val="center"/>
    </w:pPr>
  </w:p>
  <w:p w:rsidR="00920F0C" w14:paraId="72E9F7B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3758948"/>
      <w:docPartObj>
        <w:docPartGallery w:val="Page Numbers (Bottom of Page)"/>
        <w:docPartUnique/>
      </w:docPartObj>
    </w:sdtPr>
    <w:sdtEndPr>
      <w:rPr>
        <w:noProof/>
        <w:sz w:val="24"/>
        <w:szCs w:val="24"/>
      </w:rPr>
    </w:sdtEndPr>
    <w:sdtContent>
      <w:p w:rsidR="003E0E94" w:rsidRPr="003E0E94" w14:paraId="326EBAC9" w14:textId="131F30AC">
        <w:pPr>
          <w:pStyle w:val="Footer"/>
          <w:jc w:val="center"/>
          <w:rPr>
            <w:sz w:val="24"/>
            <w:szCs w:val="24"/>
          </w:rPr>
        </w:pPr>
        <w:r w:rsidRPr="003E0E94">
          <w:rPr>
            <w:sz w:val="24"/>
            <w:szCs w:val="24"/>
          </w:rPr>
          <w:fldChar w:fldCharType="begin"/>
        </w:r>
        <w:r w:rsidRPr="003E0E94">
          <w:rPr>
            <w:sz w:val="24"/>
            <w:szCs w:val="24"/>
          </w:rPr>
          <w:instrText xml:space="preserve"> PAGE   \* MERGEFORMAT </w:instrText>
        </w:r>
        <w:r w:rsidRPr="003E0E94">
          <w:rPr>
            <w:sz w:val="24"/>
            <w:szCs w:val="24"/>
          </w:rPr>
          <w:fldChar w:fldCharType="separate"/>
        </w:r>
        <w:r w:rsidRPr="003E0E94">
          <w:rPr>
            <w:noProof/>
            <w:sz w:val="24"/>
            <w:szCs w:val="24"/>
          </w:rPr>
          <w:t>2</w:t>
        </w:r>
        <w:r w:rsidRPr="003E0E94">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49218632"/>
      <w:docPartObj>
        <w:docPartGallery w:val="Page Numbers (Bottom of Page)"/>
        <w:docPartUnique/>
      </w:docPartObj>
    </w:sdtPr>
    <w:sdtEndPr>
      <w:rPr>
        <w:noProof/>
        <w:sz w:val="24"/>
        <w:szCs w:val="24"/>
      </w:rPr>
    </w:sdtEndPr>
    <w:sdtContent>
      <w:p w:rsidR="00510045" w:rsidRPr="003E0E94" w14:paraId="1B20CC99" w14:textId="77777777">
        <w:pPr>
          <w:pStyle w:val="Footer"/>
          <w:jc w:val="center"/>
          <w:rPr>
            <w:sz w:val="24"/>
            <w:szCs w:val="24"/>
          </w:rPr>
        </w:pPr>
        <w:r w:rsidRPr="003E0E94">
          <w:rPr>
            <w:sz w:val="24"/>
            <w:szCs w:val="24"/>
          </w:rPr>
          <w:fldChar w:fldCharType="begin"/>
        </w:r>
        <w:r w:rsidRPr="003E0E94">
          <w:rPr>
            <w:sz w:val="24"/>
            <w:szCs w:val="24"/>
          </w:rPr>
          <w:instrText xml:space="preserve"> PAGE   \* MERGEFORMAT </w:instrText>
        </w:r>
        <w:r w:rsidRPr="003E0E94">
          <w:rPr>
            <w:sz w:val="24"/>
            <w:szCs w:val="24"/>
          </w:rPr>
          <w:fldChar w:fldCharType="separate"/>
        </w:r>
        <w:r w:rsidRPr="003E0E94">
          <w:rPr>
            <w:noProof/>
            <w:sz w:val="24"/>
            <w:szCs w:val="24"/>
          </w:rPr>
          <w:t>2</w:t>
        </w:r>
        <w:r w:rsidRPr="003E0E94">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5E75" w14:paraId="6BA11ABD" w14:textId="77777777">
      <w:r>
        <w:separator/>
      </w:r>
    </w:p>
  </w:footnote>
  <w:footnote w:type="continuationSeparator" w:id="1">
    <w:p w:rsidR="004A5E75" w14:paraId="706B824B" w14:textId="77777777">
      <w:r>
        <w:continuationSeparator/>
      </w:r>
    </w:p>
  </w:footnote>
  <w:footnote w:id="2">
    <w:p w:rsidR="004A76B5" w:rsidRPr="00055C43" w:rsidP="00055C43" w14:paraId="44776598" w14:textId="6CCA7818">
      <w:pPr>
        <w:pStyle w:val="FootnoteText"/>
        <w:spacing w:after="120"/>
      </w:pPr>
      <w:r w:rsidRPr="00055C43">
        <w:rPr>
          <w:rStyle w:val="FootnoteReference"/>
        </w:rPr>
        <w:footnoteRef/>
      </w:r>
      <w:r w:rsidRPr="00055C43">
        <w:t xml:space="preserve"> PUCO Entry (April 20, 2022)</w:t>
      </w:r>
      <w:r w:rsidRPr="00055C43" w:rsidR="0023667E">
        <w:t xml:space="preserve"> (“April 20 Entry”)</w:t>
      </w:r>
      <w:r w:rsidRPr="00055C43">
        <w:t xml:space="preserve"> at ¶ 1</w:t>
      </w:r>
      <w:r w:rsidRPr="00055C43" w:rsidR="00380EC1">
        <w:t xml:space="preserve"> (RPA Energy, Inc. d/b/a Green Choice Energy (“Green Choice”)</w:t>
      </w:r>
      <w:r w:rsidRPr="00055C43" w:rsidR="006238BC">
        <w:t>.</w:t>
      </w:r>
    </w:p>
  </w:footnote>
  <w:footnote w:id="3">
    <w:p w:rsidR="002E404D" w:rsidRPr="00055C43" w:rsidP="00055C43" w14:paraId="5514868A" w14:textId="36D470BD">
      <w:pPr>
        <w:pStyle w:val="FootnoteText"/>
        <w:spacing w:after="120"/>
      </w:pPr>
      <w:r w:rsidRPr="00055C43">
        <w:rPr>
          <w:rStyle w:val="FootnoteReference"/>
        </w:rPr>
        <w:footnoteRef/>
      </w:r>
      <w:r w:rsidRPr="00055C43">
        <w:t xml:space="preserve"> R.C. 4928.08(B); R.C. 4929.20(A); OCC Ex. 1 (Williams Direct) at 4.</w:t>
      </w:r>
    </w:p>
  </w:footnote>
  <w:footnote w:id="4">
    <w:p w:rsidR="00E64C32" w:rsidRPr="00055C43" w:rsidP="00055C43" w14:paraId="0FB4EF0C" w14:textId="3ACFE01C">
      <w:pPr>
        <w:pStyle w:val="FootnoteText"/>
        <w:spacing w:after="120"/>
      </w:pPr>
      <w:r w:rsidRPr="00055C43">
        <w:rPr>
          <w:rStyle w:val="FootnoteReference"/>
        </w:rPr>
        <w:footnoteRef/>
      </w:r>
      <w:r w:rsidRPr="00055C43">
        <w:t xml:space="preserve"> PUCO Staff Ex. </w:t>
      </w:r>
      <w:r w:rsidRPr="00055C43" w:rsidR="001955A8">
        <w:t>4</w:t>
      </w:r>
      <w:r w:rsidRPr="00055C43">
        <w:t xml:space="preserve"> (Boerstler Direct) at 3-4</w:t>
      </w:r>
      <w:r w:rsidRPr="00055C43" w:rsidR="00ED7671">
        <w:t xml:space="preserve">; PUCO Staff Ex. </w:t>
      </w:r>
      <w:r w:rsidRPr="00055C43" w:rsidR="001955A8">
        <w:t>9</w:t>
      </w:r>
      <w:r w:rsidRPr="00055C43" w:rsidR="00ED7671">
        <w:t xml:space="preserve"> (Ramsey Direct) at 17-18</w:t>
      </w:r>
      <w:r w:rsidRPr="00055C43" w:rsidR="008548B0">
        <w:t xml:space="preserve">; OCC Ex. 1 (Williams Direct) at 7. </w:t>
      </w:r>
    </w:p>
  </w:footnote>
  <w:footnote w:id="5">
    <w:p w:rsidR="00950317" w:rsidRPr="00055C43" w:rsidP="00055C43" w14:paraId="656D06D8" w14:textId="2B9B2B02">
      <w:pPr>
        <w:pStyle w:val="FootnoteText"/>
        <w:spacing w:after="120"/>
      </w:pPr>
      <w:r w:rsidRPr="00055C43">
        <w:rPr>
          <w:rStyle w:val="FootnoteReference"/>
        </w:rPr>
        <w:footnoteRef/>
      </w:r>
      <w:r w:rsidRPr="00055C43">
        <w:t xml:space="preserve"> </w:t>
      </w:r>
      <w:r w:rsidRPr="00055C43" w:rsidR="00577C93">
        <w:t xml:space="preserve">Tr. Vol. I (Sheila Barton-Johnson) at 26-36; Tr. Vol. 1 (Tyler Beauregard) at 47-53; </w:t>
      </w:r>
      <w:r w:rsidRPr="00055C43" w:rsidR="00577C93">
        <w:rPr>
          <w:i/>
          <w:iCs/>
        </w:rPr>
        <w:t>see also</w:t>
      </w:r>
      <w:r w:rsidRPr="00055C43" w:rsidR="00577C93">
        <w:t xml:space="preserve"> </w:t>
      </w:r>
      <w:r w:rsidRPr="00055C43">
        <w:t xml:space="preserve">PUCO Staff Ex. </w:t>
      </w:r>
      <w:r w:rsidRPr="00055C43" w:rsidR="001955A8">
        <w:t>9</w:t>
      </w:r>
      <w:r w:rsidRPr="00055C43">
        <w:t xml:space="preserve"> (Ramsey Direct) at 5.</w:t>
      </w:r>
    </w:p>
  </w:footnote>
  <w:footnote w:id="6">
    <w:p w:rsidR="009A187B" w:rsidRPr="00055C43" w:rsidP="00055C43" w14:paraId="0189C11F" w14:textId="1CFD725F">
      <w:pPr>
        <w:pStyle w:val="FootnoteText"/>
        <w:spacing w:after="120"/>
      </w:pPr>
      <w:r w:rsidRPr="00055C43">
        <w:rPr>
          <w:rStyle w:val="FootnoteReference"/>
        </w:rPr>
        <w:footnoteRef/>
      </w:r>
      <w:r w:rsidRPr="00055C43">
        <w:t xml:space="preserve"> </w:t>
      </w:r>
      <w:r w:rsidRPr="00055C43" w:rsidR="00E64C32">
        <w:t xml:space="preserve">PUCO Staff Ex. </w:t>
      </w:r>
      <w:r w:rsidRPr="00055C43" w:rsidR="001955A8">
        <w:t>4</w:t>
      </w:r>
      <w:r w:rsidRPr="00055C43" w:rsidR="00E64C32">
        <w:t xml:space="preserve"> (Boerstler Direct) at 4.</w:t>
      </w:r>
    </w:p>
  </w:footnote>
  <w:footnote w:id="7">
    <w:p w:rsidR="000720B8" w:rsidRPr="00055C43" w:rsidP="00055C43" w14:paraId="230D2F9E" w14:textId="1F9B7A09">
      <w:pPr>
        <w:pStyle w:val="FootnoteText"/>
        <w:spacing w:after="120"/>
      </w:pPr>
      <w:r w:rsidRPr="00055C43">
        <w:rPr>
          <w:rStyle w:val="FootnoteReference"/>
        </w:rPr>
        <w:footnoteRef/>
      </w:r>
      <w:r w:rsidRPr="00055C43">
        <w:t xml:space="preserve"> PUCO Staff Ex. </w:t>
      </w:r>
      <w:r w:rsidRPr="00055C43" w:rsidR="001955A8">
        <w:t>9</w:t>
      </w:r>
      <w:r w:rsidRPr="00055C43">
        <w:t xml:space="preserve"> (Ramsey Direct) at 8</w:t>
      </w:r>
      <w:r w:rsidRPr="00055C43" w:rsidR="00AD454D">
        <w:t>-10</w:t>
      </w:r>
      <w:r w:rsidRPr="00055C43">
        <w:t>.</w:t>
      </w:r>
    </w:p>
  </w:footnote>
  <w:footnote w:id="8">
    <w:p w:rsidR="00E86094" w:rsidRPr="00055C43" w:rsidP="00055C43" w14:paraId="46446DC3" w14:textId="77777777">
      <w:pPr>
        <w:pStyle w:val="FootnoteText"/>
        <w:spacing w:after="120"/>
      </w:pPr>
      <w:r w:rsidRPr="00055C43">
        <w:rPr>
          <w:rStyle w:val="FootnoteReference"/>
        </w:rPr>
        <w:footnoteRef/>
      </w:r>
      <w:r w:rsidRPr="00055C43">
        <w:t xml:space="preserve"> PUCO Staff Ex. 9 (Ramsey Direct) at 13, 21, 35-38; PUCO Ex. 6 (Bossart Direct) at 5; OCC Ex. 1 (Williams Direct) at 7, 13.</w:t>
      </w:r>
    </w:p>
  </w:footnote>
  <w:footnote w:id="9">
    <w:p w:rsidR="00E86094" w:rsidRPr="00055C43" w:rsidP="00055C43" w14:paraId="4A33A3A9" w14:textId="77777777">
      <w:pPr>
        <w:pStyle w:val="FootnoteText"/>
        <w:spacing w:after="120"/>
      </w:pPr>
      <w:r w:rsidRPr="00055C43">
        <w:rPr>
          <w:rStyle w:val="FootnoteReference"/>
        </w:rPr>
        <w:footnoteRef/>
      </w:r>
      <w:r w:rsidRPr="00055C43">
        <w:t xml:space="preserve"> PUCO Staff Ex. 9 (Ramsey Direct) at 5. </w:t>
      </w:r>
    </w:p>
  </w:footnote>
  <w:footnote w:id="10">
    <w:p w:rsidR="00BF345C" w:rsidRPr="00055C43" w:rsidP="00055C43" w14:paraId="30E6B850" w14:textId="206353F3">
      <w:pPr>
        <w:pStyle w:val="FootnoteText"/>
        <w:spacing w:after="120"/>
      </w:pPr>
      <w:r w:rsidRPr="00055C43">
        <w:rPr>
          <w:rStyle w:val="FootnoteReference"/>
        </w:rPr>
        <w:footnoteRef/>
      </w:r>
      <w:r w:rsidRPr="00055C43">
        <w:t xml:space="preserve"> R.C. 4928.08(B)</w:t>
      </w:r>
      <w:r w:rsidRPr="00055C43" w:rsidR="005D4EB3">
        <w:t>; R.C. 4929.20(A).</w:t>
      </w:r>
    </w:p>
  </w:footnote>
  <w:footnote w:id="11">
    <w:p w:rsidR="0023667E" w:rsidRPr="00055C43" w:rsidP="00055C43" w14:paraId="074D6EB4" w14:textId="7A55BDA9">
      <w:pPr>
        <w:pStyle w:val="FootnoteText"/>
        <w:spacing w:after="120"/>
      </w:pPr>
      <w:r w:rsidRPr="00055C43">
        <w:rPr>
          <w:rStyle w:val="FootnoteReference"/>
        </w:rPr>
        <w:footnoteRef/>
      </w:r>
      <w:r w:rsidRPr="00055C43">
        <w:t xml:space="preserve"> </w:t>
      </w:r>
      <w:r w:rsidRPr="00055C43" w:rsidR="00476DF5">
        <w:rPr>
          <w:i/>
          <w:iCs/>
        </w:rPr>
        <w:t xml:space="preserve">See also </w:t>
      </w:r>
      <w:r w:rsidRPr="00055C43" w:rsidR="00476DF5">
        <w:t>O.A.C. 4901:1-24-13</w:t>
      </w:r>
      <w:r w:rsidRPr="00055C43" w:rsidR="00BD138A">
        <w:t>, O.A.C. 4901:1-27-10.</w:t>
      </w:r>
    </w:p>
  </w:footnote>
  <w:footnote w:id="12">
    <w:p w:rsidR="00C81D6E" w:rsidRPr="00055C43" w:rsidP="00055C43" w14:paraId="578553A6" w14:textId="77777777">
      <w:pPr>
        <w:pStyle w:val="FootnoteText"/>
        <w:spacing w:after="120"/>
      </w:pPr>
      <w:r w:rsidRPr="00055C43">
        <w:rPr>
          <w:rStyle w:val="FootnoteReference"/>
        </w:rPr>
        <w:footnoteRef/>
      </w:r>
      <w:r w:rsidRPr="00055C43">
        <w:t xml:space="preserve"> O.A.C. 4901:1-24-13(E)(7), O.A.C. 4901:1-27-13(E)(7).</w:t>
      </w:r>
    </w:p>
  </w:footnote>
  <w:footnote w:id="13">
    <w:p w:rsidR="00846B8F" w:rsidRPr="00055C43" w:rsidP="00055C43" w14:paraId="43471BD4" w14:textId="0BE20F37">
      <w:pPr>
        <w:pStyle w:val="FootnoteText"/>
        <w:spacing w:after="120"/>
      </w:pPr>
      <w:r w:rsidRPr="00055C43">
        <w:rPr>
          <w:rStyle w:val="FootnoteReference"/>
        </w:rPr>
        <w:footnoteRef/>
      </w:r>
      <w:r w:rsidRPr="00055C43">
        <w:t xml:space="preserve"> </w:t>
      </w:r>
      <w:r w:rsidRPr="00055C43">
        <w:rPr>
          <w:i/>
          <w:iCs/>
        </w:rPr>
        <w:t>See</w:t>
      </w:r>
      <w:r w:rsidRPr="00055C43">
        <w:t xml:space="preserve"> </w:t>
      </w:r>
      <w:r w:rsidRPr="00055C43">
        <w:t xml:space="preserve">OCC Ex. 1 (Williams Direct) at </w:t>
      </w:r>
      <w:r w:rsidRPr="00055C43">
        <w:t>JDW-02.</w:t>
      </w:r>
    </w:p>
  </w:footnote>
  <w:footnote w:id="14">
    <w:p w:rsidR="003B0B72" w:rsidRPr="00055C43" w:rsidP="00055C43" w14:paraId="1E2E89AE" w14:textId="7A6E69B3">
      <w:pPr>
        <w:pStyle w:val="FootnoteText"/>
        <w:spacing w:after="120"/>
      </w:pPr>
      <w:r w:rsidRPr="00055C43">
        <w:rPr>
          <w:rStyle w:val="FootnoteReference"/>
        </w:rPr>
        <w:footnoteRef/>
      </w:r>
      <w:r w:rsidRPr="00055C43">
        <w:t xml:space="preserve"> April 20 Entry, at ¶ 9.</w:t>
      </w:r>
    </w:p>
  </w:footnote>
  <w:footnote w:id="15">
    <w:p w:rsidR="00C62BF6" w:rsidRPr="00055C43" w:rsidP="00055C43" w14:paraId="12E3E84A" w14:textId="0B24E506">
      <w:pPr>
        <w:pStyle w:val="FootnoteText"/>
        <w:spacing w:after="120"/>
      </w:pPr>
      <w:r w:rsidRPr="00055C43">
        <w:rPr>
          <w:rStyle w:val="FootnoteReference"/>
        </w:rPr>
        <w:footnoteRef/>
      </w:r>
      <w:r w:rsidRPr="00055C43">
        <w:t xml:space="preserve"> </w:t>
      </w:r>
      <w:r w:rsidRPr="00055C43">
        <w:rPr>
          <w:i/>
          <w:iCs/>
        </w:rPr>
        <w:t>See</w:t>
      </w:r>
      <w:r w:rsidRPr="00055C43">
        <w:t xml:space="preserve"> </w:t>
      </w:r>
      <w:r w:rsidRPr="00055C43" w:rsidR="004E1479">
        <w:t xml:space="preserve">OCC Ex. 1 (Williams Direct) at </w:t>
      </w:r>
      <w:r w:rsidRPr="00055C43">
        <w:t>JDW-02</w:t>
      </w:r>
      <w:r w:rsidRPr="00055C43" w:rsidR="004E1479">
        <w:t xml:space="preserve">, </w:t>
      </w:r>
      <w:r w:rsidRPr="00055C43">
        <w:t>Attachment A.</w:t>
      </w:r>
    </w:p>
  </w:footnote>
  <w:footnote w:id="16">
    <w:p w:rsidR="00C62BF6" w:rsidRPr="00055C43" w:rsidP="00055C43" w14:paraId="4C53143B" w14:textId="64CD5F7B">
      <w:pPr>
        <w:pStyle w:val="FootnoteText"/>
        <w:spacing w:after="120"/>
      </w:pPr>
      <w:r w:rsidRPr="00055C43">
        <w:rPr>
          <w:rStyle w:val="FootnoteReference"/>
        </w:rPr>
        <w:footnoteRef/>
      </w:r>
      <w:r w:rsidRPr="00055C43">
        <w:t xml:space="preserve"> </w:t>
      </w:r>
      <w:r w:rsidRPr="00055C43" w:rsidR="004E1479">
        <w:t>OCC Ex. 1 (</w:t>
      </w:r>
      <w:r w:rsidRPr="00055C43">
        <w:t>Williams Direct</w:t>
      </w:r>
      <w:r w:rsidRPr="00055C43" w:rsidR="004E1479">
        <w:t>)</w:t>
      </w:r>
      <w:r w:rsidRPr="00055C43">
        <w:t xml:space="preserve"> at 4.</w:t>
      </w:r>
    </w:p>
  </w:footnote>
  <w:footnote w:id="17">
    <w:p w:rsidR="00C62BF6" w:rsidRPr="00055C43" w:rsidP="00055C43" w14:paraId="2A3C01DD" w14:textId="77777777">
      <w:pPr>
        <w:pStyle w:val="FootnoteText"/>
        <w:spacing w:after="120"/>
      </w:pPr>
      <w:r w:rsidRPr="00055C43">
        <w:rPr>
          <w:rStyle w:val="FootnoteReference"/>
        </w:rPr>
        <w:footnoteRef/>
      </w:r>
      <w:r w:rsidRPr="00055C43">
        <w:t xml:space="preserve"> R.C. 4928.10(D). R.C. 4929.22(D).</w:t>
      </w:r>
    </w:p>
  </w:footnote>
  <w:footnote w:id="18">
    <w:p w:rsidR="00C62BF6" w:rsidRPr="00055C43" w:rsidP="00055C43" w14:paraId="5B203A60" w14:textId="77777777">
      <w:pPr>
        <w:pStyle w:val="FootnoteText"/>
        <w:spacing w:after="120"/>
      </w:pPr>
      <w:r w:rsidRPr="00055C43">
        <w:rPr>
          <w:rStyle w:val="FootnoteReference"/>
        </w:rPr>
        <w:footnoteRef/>
      </w:r>
      <w:r w:rsidRPr="00055C43">
        <w:t xml:space="preserve"> Green Choice requested a waiver of PUCO rules in Case 21-0157-GE-WVR in order to text contracts to consumers but the PUCO has not authorized Green Choice’s waiver request.</w:t>
      </w:r>
    </w:p>
  </w:footnote>
  <w:footnote w:id="19">
    <w:p w:rsidR="00C62BF6" w:rsidRPr="00055C43" w:rsidP="00055C43" w14:paraId="7E6C4C76" w14:textId="197C8487">
      <w:pPr>
        <w:pStyle w:val="FootnoteText"/>
        <w:spacing w:after="120"/>
      </w:pPr>
      <w:r w:rsidRPr="00055C43">
        <w:rPr>
          <w:rStyle w:val="FootnoteReference"/>
        </w:rPr>
        <w:footnoteRef/>
      </w:r>
      <w:r w:rsidRPr="00055C43">
        <w:t xml:space="preserve"> </w:t>
      </w:r>
      <w:r w:rsidRPr="00055C43" w:rsidR="005939E7">
        <w:t xml:space="preserve">OCC Ex. 1 (Williams Direct) at 9, </w:t>
      </w:r>
      <w:r w:rsidRPr="00055C43">
        <w:t>JDW-02 (Attachment A).</w:t>
      </w:r>
    </w:p>
  </w:footnote>
  <w:footnote w:id="20">
    <w:p w:rsidR="00D7611D" w:rsidRPr="00055C43" w:rsidP="00055C43" w14:paraId="2CF6B282" w14:textId="02909336">
      <w:pPr>
        <w:pStyle w:val="FootnoteText"/>
        <w:spacing w:after="120"/>
      </w:pPr>
      <w:r w:rsidRPr="00055C43">
        <w:rPr>
          <w:rStyle w:val="FootnoteReference"/>
        </w:rPr>
        <w:footnoteRef/>
      </w:r>
      <w:r w:rsidRPr="00055C43">
        <w:t xml:space="preserve"> Staff Report at 2-3; PUCO Staff Ex. 9 (Ramsey Direct) at 6.</w:t>
      </w:r>
    </w:p>
  </w:footnote>
  <w:footnote w:id="21">
    <w:p w:rsidR="00D7611D" w:rsidRPr="00055C43" w:rsidP="00055C43" w14:paraId="7B7E4987" w14:textId="377CE1F1">
      <w:pPr>
        <w:pStyle w:val="FootnoteText"/>
        <w:spacing w:after="120"/>
      </w:pPr>
      <w:r w:rsidRPr="00055C43">
        <w:rPr>
          <w:rStyle w:val="FootnoteReference"/>
        </w:rPr>
        <w:footnoteRef/>
      </w:r>
      <w:r w:rsidRPr="00055C43">
        <w:t xml:space="preserve"> Staff Report at 3. </w:t>
      </w:r>
    </w:p>
  </w:footnote>
  <w:footnote w:id="22">
    <w:p w:rsidR="008A435E" w:rsidRPr="00055C43" w:rsidP="00055C43" w14:paraId="6E5C307A" w14:textId="02FF669E">
      <w:pPr>
        <w:pStyle w:val="FootnoteText"/>
        <w:spacing w:after="120"/>
      </w:pPr>
      <w:r w:rsidRPr="00055C43">
        <w:rPr>
          <w:rStyle w:val="FootnoteReference"/>
        </w:rPr>
        <w:footnoteRef/>
      </w:r>
      <w:r w:rsidRPr="00055C43">
        <w:t xml:space="preserve"> PUCO Staff Ex. 4 (Boerstler Direct); PUCO Staff Ex. 9 (Ramsey Direct). </w:t>
      </w:r>
    </w:p>
  </w:footnote>
  <w:footnote w:id="23">
    <w:p w:rsidR="00992055" w:rsidRPr="00055C43" w:rsidP="00055C43" w14:paraId="58C8CB8F" w14:textId="77777777">
      <w:pPr>
        <w:pStyle w:val="FootnoteText"/>
        <w:spacing w:after="120"/>
      </w:pPr>
      <w:r w:rsidRPr="00055C43">
        <w:rPr>
          <w:rStyle w:val="FootnoteReference"/>
        </w:rPr>
        <w:footnoteRef/>
      </w:r>
      <w:r w:rsidRPr="00055C43">
        <w:t xml:space="preserve"> PUCO Staff Ex. 6 (Bossart Direct).</w:t>
      </w:r>
    </w:p>
  </w:footnote>
  <w:footnote w:id="24">
    <w:p w:rsidR="00B86D93" w:rsidRPr="00055C43" w:rsidP="00055C43" w14:paraId="57D146D9" w14:textId="5EE750D0">
      <w:pPr>
        <w:pStyle w:val="FootnoteText"/>
        <w:spacing w:after="120"/>
      </w:pPr>
      <w:r w:rsidRPr="00055C43">
        <w:rPr>
          <w:rStyle w:val="FootnoteReference"/>
        </w:rPr>
        <w:footnoteRef/>
      </w:r>
      <w:r w:rsidRPr="00055C43">
        <w:t xml:space="preserve"> PUCO Staff Ex. 6 (Bossart Direct), at 5.</w:t>
      </w:r>
    </w:p>
  </w:footnote>
  <w:footnote w:id="25">
    <w:p w:rsidR="00B86D93" w:rsidRPr="00055C43" w:rsidP="00055C43" w14:paraId="188657FD" w14:textId="48B75346">
      <w:pPr>
        <w:pStyle w:val="FootnoteText"/>
        <w:spacing w:after="120"/>
      </w:pPr>
      <w:r w:rsidRPr="00055C43">
        <w:rPr>
          <w:rStyle w:val="FootnoteReference"/>
        </w:rPr>
        <w:footnoteRef/>
      </w:r>
      <w:r w:rsidRPr="00055C43">
        <w:t xml:space="preserve"> PUCO Staff Ex. 6 (Bossart Direct) at 4.</w:t>
      </w:r>
    </w:p>
  </w:footnote>
  <w:footnote w:id="26">
    <w:p w:rsidR="009C15C5" w:rsidRPr="00055C43" w:rsidP="00055C43" w14:paraId="7C419BA9" w14:textId="09F69A72">
      <w:pPr>
        <w:pStyle w:val="FootnoteText"/>
        <w:spacing w:after="120"/>
        <w:rPr>
          <w:i/>
          <w:iCs/>
        </w:rPr>
      </w:pPr>
      <w:r w:rsidRPr="00055C43">
        <w:rPr>
          <w:rStyle w:val="FootnoteReference"/>
        </w:rPr>
        <w:footnoteRef/>
      </w:r>
      <w:r w:rsidRPr="00055C43">
        <w:t xml:space="preserve"> </w:t>
      </w:r>
      <w:r w:rsidRPr="00055C43">
        <w:rPr>
          <w:i/>
          <w:iCs/>
        </w:rPr>
        <w:t>Id.</w:t>
      </w:r>
    </w:p>
  </w:footnote>
  <w:footnote w:id="27">
    <w:p w:rsidR="009C15C5" w:rsidRPr="00055C43" w:rsidP="00055C43" w14:paraId="21D1DA79" w14:textId="7E8EE56A">
      <w:pPr>
        <w:pStyle w:val="FootnoteText"/>
        <w:spacing w:after="120"/>
        <w:rPr>
          <w:i/>
          <w:iCs/>
        </w:rPr>
      </w:pPr>
      <w:r w:rsidRPr="00055C43">
        <w:rPr>
          <w:rStyle w:val="FootnoteReference"/>
        </w:rPr>
        <w:footnoteRef/>
      </w:r>
      <w:r w:rsidRPr="00055C43">
        <w:t xml:space="preserve"> </w:t>
      </w:r>
      <w:r w:rsidRPr="00055C43">
        <w:rPr>
          <w:i/>
          <w:iCs/>
        </w:rPr>
        <w:t>Id.</w:t>
      </w:r>
    </w:p>
  </w:footnote>
  <w:footnote w:id="28">
    <w:p w:rsidR="009C15C5" w:rsidRPr="00055C43" w:rsidP="00055C43" w14:paraId="52D86FA3" w14:textId="2AFDA582">
      <w:pPr>
        <w:pStyle w:val="FootnoteText"/>
        <w:spacing w:after="120"/>
        <w:rPr>
          <w:i/>
          <w:iCs/>
        </w:rPr>
      </w:pPr>
      <w:r w:rsidRPr="00055C43">
        <w:rPr>
          <w:rStyle w:val="FootnoteReference"/>
        </w:rPr>
        <w:footnoteRef/>
      </w:r>
      <w:r w:rsidRPr="00055C43">
        <w:t xml:space="preserve"> </w:t>
      </w:r>
      <w:r w:rsidRPr="00055C43">
        <w:rPr>
          <w:i/>
          <w:iCs/>
        </w:rPr>
        <w:t>Id.</w:t>
      </w:r>
    </w:p>
  </w:footnote>
  <w:footnote w:id="29">
    <w:p w:rsidR="00B75793" w:rsidRPr="00055C43" w:rsidP="00055C43" w14:paraId="57FAEC91" w14:textId="270A61FE">
      <w:pPr>
        <w:pStyle w:val="FootnoteText"/>
        <w:spacing w:after="120"/>
        <w:rPr>
          <w:i/>
          <w:iCs/>
        </w:rPr>
      </w:pPr>
      <w:r w:rsidRPr="00055C43">
        <w:rPr>
          <w:rStyle w:val="FootnoteReference"/>
        </w:rPr>
        <w:footnoteRef/>
      </w:r>
      <w:r w:rsidRPr="00055C43">
        <w:t xml:space="preserve"> </w:t>
      </w:r>
      <w:r w:rsidRPr="00055C43">
        <w:rPr>
          <w:i/>
          <w:iCs/>
        </w:rPr>
        <w:t>Id.</w:t>
      </w:r>
    </w:p>
  </w:footnote>
  <w:footnote w:id="30">
    <w:p w:rsidR="0041706C" w:rsidRPr="00055C43" w:rsidP="00055C43" w14:paraId="21E44990" w14:textId="61A3582E">
      <w:pPr>
        <w:pStyle w:val="FootnoteText"/>
        <w:spacing w:after="120"/>
        <w:rPr>
          <w:i/>
          <w:iCs/>
        </w:rPr>
      </w:pPr>
      <w:r w:rsidRPr="00055C43">
        <w:rPr>
          <w:rStyle w:val="FootnoteReference"/>
        </w:rPr>
        <w:footnoteRef/>
      </w:r>
      <w:r w:rsidRPr="00055C43">
        <w:t xml:space="preserve"> </w:t>
      </w:r>
      <w:r w:rsidRPr="00055C43">
        <w:rPr>
          <w:i/>
          <w:iCs/>
        </w:rPr>
        <w:t>Id.</w:t>
      </w:r>
    </w:p>
  </w:footnote>
  <w:footnote w:id="31">
    <w:p w:rsidR="000B727C" w:rsidRPr="00055C43" w:rsidP="00055C43" w14:paraId="18A64AA2" w14:textId="252DF71B">
      <w:pPr>
        <w:pStyle w:val="FootnoteText"/>
        <w:spacing w:after="120"/>
      </w:pPr>
      <w:r w:rsidRPr="00055C43">
        <w:rPr>
          <w:rStyle w:val="FootnoteReference"/>
        </w:rPr>
        <w:footnoteRef/>
      </w:r>
      <w:r w:rsidRPr="00055C43">
        <w:t xml:space="preserve"> </w:t>
      </w:r>
      <w:r w:rsidRPr="00055C43">
        <w:rPr>
          <w:i/>
          <w:iCs/>
        </w:rPr>
        <w:t>Id.</w:t>
      </w:r>
      <w:r w:rsidRPr="00055C43">
        <w:t xml:space="preserve"> at 3.</w:t>
      </w:r>
    </w:p>
  </w:footnote>
  <w:footnote w:id="32">
    <w:p w:rsidR="000B727C" w:rsidRPr="00055C43" w:rsidP="00055C43" w14:paraId="44741A60" w14:textId="15EF558A">
      <w:pPr>
        <w:pStyle w:val="FootnoteText"/>
        <w:spacing w:after="120"/>
        <w:rPr>
          <w:i/>
          <w:iCs/>
        </w:rPr>
      </w:pPr>
      <w:r w:rsidRPr="00055C43">
        <w:rPr>
          <w:rStyle w:val="FootnoteReference"/>
        </w:rPr>
        <w:footnoteRef/>
      </w:r>
      <w:r w:rsidRPr="00055C43">
        <w:t xml:space="preserve"> </w:t>
      </w:r>
      <w:r w:rsidRPr="00055C43">
        <w:rPr>
          <w:i/>
          <w:iCs/>
        </w:rPr>
        <w:t>Id.</w:t>
      </w:r>
    </w:p>
  </w:footnote>
  <w:footnote w:id="33">
    <w:p w:rsidR="00B11235" w:rsidRPr="00055C43" w:rsidP="00055C43" w14:paraId="03EA0D27" w14:textId="3C946F8E">
      <w:pPr>
        <w:pStyle w:val="FootnoteText"/>
        <w:spacing w:after="120"/>
      </w:pPr>
      <w:r w:rsidRPr="00055C43">
        <w:rPr>
          <w:rStyle w:val="FootnoteReference"/>
        </w:rPr>
        <w:footnoteRef/>
      </w:r>
      <w:r w:rsidRPr="00055C43">
        <w:t xml:space="preserve"> PUCO Staff Ex. 6 (Bossart Direct) at 2-3.</w:t>
      </w:r>
    </w:p>
  </w:footnote>
  <w:footnote w:id="34">
    <w:p w:rsidR="00DB5885" w:rsidRPr="00055C43" w:rsidP="00055C43" w14:paraId="3D15DC9E" w14:textId="2D3F6317">
      <w:pPr>
        <w:pStyle w:val="FootnoteText"/>
        <w:spacing w:after="120"/>
      </w:pPr>
      <w:r w:rsidRPr="00055C43">
        <w:rPr>
          <w:rStyle w:val="FootnoteReference"/>
        </w:rPr>
        <w:footnoteRef/>
      </w:r>
      <w:r w:rsidRPr="00055C43">
        <w:t xml:space="preserve"> </w:t>
      </w:r>
      <w:r w:rsidRPr="00055C43">
        <w:rPr>
          <w:i/>
          <w:iCs/>
        </w:rPr>
        <w:t>Id.</w:t>
      </w:r>
      <w:r w:rsidRPr="00055C43">
        <w:t xml:space="preserve"> at 7.</w:t>
      </w:r>
    </w:p>
  </w:footnote>
  <w:footnote w:id="35">
    <w:p w:rsidR="00DB5885" w:rsidRPr="00055C43" w:rsidP="00055C43" w14:paraId="01AA2202" w14:textId="4B896962">
      <w:pPr>
        <w:pStyle w:val="FootnoteText"/>
        <w:spacing w:after="120"/>
      </w:pPr>
      <w:r w:rsidRPr="00055C43">
        <w:rPr>
          <w:rStyle w:val="FootnoteReference"/>
        </w:rPr>
        <w:footnoteRef/>
      </w:r>
      <w:r w:rsidRPr="00055C43">
        <w:t xml:space="preserve"> PUCO Staff Ex. 6 (Bossart Direct) at 6-7.</w:t>
      </w:r>
    </w:p>
  </w:footnote>
  <w:footnote w:id="36">
    <w:p w:rsidR="00DB5885" w:rsidRPr="00055C43" w:rsidP="00055C43" w14:paraId="49AA4365" w14:textId="23F2FC83">
      <w:pPr>
        <w:pStyle w:val="FootnoteText"/>
        <w:spacing w:after="120"/>
      </w:pPr>
      <w:r w:rsidRPr="00055C43">
        <w:rPr>
          <w:rStyle w:val="FootnoteReference"/>
        </w:rPr>
        <w:footnoteRef/>
      </w:r>
      <w:r w:rsidRPr="00055C43">
        <w:t xml:space="preserve"> PUCO Staff Ex. 6 (Bossart Direct) at 6.</w:t>
      </w:r>
    </w:p>
  </w:footnote>
  <w:footnote w:id="37">
    <w:p w:rsidR="000F35C5" w:rsidRPr="00055C43" w:rsidP="00055C43" w14:paraId="03D95E75" w14:textId="6A85326A">
      <w:pPr>
        <w:pStyle w:val="FootnoteText"/>
        <w:spacing w:after="120"/>
        <w:rPr>
          <w:i/>
          <w:iCs/>
        </w:rPr>
      </w:pPr>
      <w:r w:rsidRPr="00055C43">
        <w:rPr>
          <w:rStyle w:val="FootnoteReference"/>
        </w:rPr>
        <w:footnoteRef/>
      </w:r>
      <w:r w:rsidRPr="00055C43">
        <w:t xml:space="preserve"> </w:t>
      </w:r>
      <w:r w:rsidRPr="00055C43">
        <w:rPr>
          <w:i/>
          <w:iCs/>
        </w:rPr>
        <w:t xml:space="preserve">Id. </w:t>
      </w:r>
    </w:p>
  </w:footnote>
  <w:footnote w:id="38">
    <w:p w:rsidR="00D374D4" w:rsidRPr="00055C43" w:rsidP="00055C43" w14:paraId="2E77771C" w14:textId="7AA05C1A">
      <w:pPr>
        <w:pStyle w:val="FootnoteText"/>
        <w:spacing w:after="120"/>
        <w:rPr>
          <w:i/>
          <w:iCs/>
        </w:rPr>
      </w:pPr>
      <w:r w:rsidRPr="00055C43">
        <w:rPr>
          <w:rStyle w:val="FootnoteReference"/>
        </w:rPr>
        <w:footnoteRef/>
      </w:r>
      <w:r w:rsidRPr="00055C43">
        <w:t xml:space="preserve"> </w:t>
      </w:r>
      <w:r w:rsidRPr="00055C43">
        <w:rPr>
          <w:i/>
          <w:iCs/>
        </w:rPr>
        <w:t>Id.</w:t>
      </w:r>
    </w:p>
  </w:footnote>
  <w:footnote w:id="39">
    <w:p w:rsidR="00E12FB3" w:rsidRPr="00055C43" w:rsidP="00055C43" w14:paraId="2FC2C419" w14:textId="22413074">
      <w:pPr>
        <w:pStyle w:val="FootnoteText"/>
        <w:spacing w:after="120"/>
      </w:pPr>
      <w:r w:rsidRPr="00055C43">
        <w:rPr>
          <w:rStyle w:val="FootnoteReference"/>
        </w:rPr>
        <w:footnoteRef/>
      </w:r>
      <w:r w:rsidRPr="00055C43">
        <w:t xml:space="preserve"> PUCO Staff Ex. 9 (Ramsey Direct) at 17-18.</w:t>
      </w:r>
    </w:p>
  </w:footnote>
  <w:footnote w:id="40">
    <w:p w:rsidR="00206778" w:rsidRPr="00055C43" w:rsidP="00055C43" w14:paraId="09F5E6E8" w14:textId="62609734">
      <w:pPr>
        <w:pStyle w:val="FootnoteText"/>
        <w:spacing w:after="120"/>
        <w:rPr>
          <w:i/>
          <w:iCs/>
        </w:rPr>
      </w:pPr>
      <w:r w:rsidRPr="00055C43">
        <w:rPr>
          <w:rStyle w:val="FootnoteReference"/>
        </w:rPr>
        <w:footnoteRef/>
      </w:r>
      <w:r w:rsidRPr="00055C43">
        <w:t xml:space="preserve"> </w:t>
      </w:r>
      <w:r w:rsidRPr="00055C43">
        <w:rPr>
          <w:i/>
          <w:iCs/>
        </w:rPr>
        <w:t>Id.</w:t>
      </w:r>
    </w:p>
  </w:footnote>
  <w:footnote w:id="41">
    <w:p w:rsidR="00206778" w:rsidRPr="00055C43" w:rsidP="00055C43" w14:paraId="799FFF72" w14:textId="228D0615">
      <w:pPr>
        <w:pStyle w:val="FootnoteText"/>
        <w:spacing w:after="120"/>
      </w:pPr>
      <w:r w:rsidRPr="00055C43">
        <w:rPr>
          <w:rStyle w:val="FootnoteReference"/>
        </w:rPr>
        <w:footnoteRef/>
      </w:r>
      <w:r w:rsidRPr="00055C43">
        <w:t xml:space="preserve"> </w:t>
      </w:r>
      <w:r w:rsidRPr="00055C43">
        <w:rPr>
          <w:i/>
          <w:iCs/>
        </w:rPr>
        <w:t xml:space="preserve">Id. </w:t>
      </w:r>
      <w:r w:rsidRPr="00055C43">
        <w:t xml:space="preserve">at 18. </w:t>
      </w:r>
    </w:p>
  </w:footnote>
  <w:footnote w:id="42">
    <w:p w:rsidR="002F6CFC" w:rsidRPr="00055C43" w:rsidP="00055C43" w14:paraId="780FC631" w14:textId="434ED6AB">
      <w:pPr>
        <w:pStyle w:val="FootnoteText"/>
        <w:spacing w:after="120"/>
      </w:pPr>
      <w:r w:rsidRPr="00055C43">
        <w:rPr>
          <w:rStyle w:val="FootnoteReference"/>
        </w:rPr>
        <w:footnoteRef/>
      </w:r>
      <w:r w:rsidRPr="00055C43">
        <w:t xml:space="preserve"> PUCO Staff Ex. 12 (Owen Direct).</w:t>
      </w:r>
    </w:p>
  </w:footnote>
  <w:footnote w:id="43">
    <w:p w:rsidR="003B68C2" w:rsidRPr="00055C43" w:rsidP="00055C43" w14:paraId="4C4E00D5" w14:textId="4BEED80F">
      <w:pPr>
        <w:pStyle w:val="FootnoteText"/>
        <w:spacing w:after="120"/>
      </w:pPr>
      <w:r w:rsidRPr="00055C43">
        <w:rPr>
          <w:rStyle w:val="FootnoteReference"/>
        </w:rPr>
        <w:footnoteRef/>
      </w:r>
      <w:r w:rsidRPr="00055C43">
        <w:t xml:space="preserve"> Tr. Vol. II (Owens Cross) at 227-228.</w:t>
      </w:r>
    </w:p>
  </w:footnote>
  <w:footnote w:id="44">
    <w:p w:rsidR="00A04394" w:rsidRPr="00055C43" w:rsidP="00055C43" w14:paraId="708E80BB" w14:textId="48819FAC">
      <w:pPr>
        <w:pStyle w:val="FootnoteText"/>
        <w:spacing w:after="120"/>
        <w:rPr>
          <w:i/>
          <w:iCs/>
        </w:rPr>
      </w:pPr>
      <w:r w:rsidRPr="00055C43">
        <w:rPr>
          <w:rStyle w:val="FootnoteReference"/>
        </w:rPr>
        <w:footnoteRef/>
      </w:r>
      <w:r w:rsidRPr="00055C43">
        <w:t xml:space="preserve"> </w:t>
      </w:r>
      <w:r w:rsidRPr="00055C43">
        <w:rPr>
          <w:i/>
          <w:iCs/>
        </w:rPr>
        <w:t>Id.</w:t>
      </w:r>
    </w:p>
  </w:footnote>
  <w:footnote w:id="45">
    <w:p w:rsidR="00340C68" w:rsidRPr="00055C43" w:rsidP="00055C43" w14:paraId="57D3448F" w14:textId="53EB9960">
      <w:pPr>
        <w:pStyle w:val="FootnoteText"/>
        <w:spacing w:after="120"/>
      </w:pPr>
      <w:r w:rsidRPr="00055C43">
        <w:rPr>
          <w:rStyle w:val="FootnoteReference"/>
        </w:rPr>
        <w:footnoteRef/>
      </w:r>
      <w:r w:rsidRPr="00055C43">
        <w:t xml:space="preserve"> PUCO Staff Ex. 9 (Ramsey Direct) at 9-10.</w:t>
      </w:r>
    </w:p>
  </w:footnote>
  <w:footnote w:id="46">
    <w:p w:rsidR="00BA61FA" w:rsidRPr="00055C43" w:rsidP="00055C43" w14:paraId="5F91E83B" w14:textId="09DBA4C2">
      <w:pPr>
        <w:pStyle w:val="FootnoteText"/>
        <w:spacing w:after="120"/>
      </w:pPr>
      <w:r w:rsidRPr="00055C43">
        <w:rPr>
          <w:rStyle w:val="FootnoteReference"/>
        </w:rPr>
        <w:footnoteRef/>
      </w:r>
      <w:r w:rsidRPr="00055C43">
        <w:t xml:space="preserve"> </w:t>
      </w:r>
      <w:r w:rsidRPr="00055C43" w:rsidR="00340C68">
        <w:t xml:space="preserve">Tr. Vol. II (Owens Cross) </w:t>
      </w:r>
      <w:r w:rsidRPr="00055C43">
        <w:t>at 229.</w:t>
      </w:r>
    </w:p>
  </w:footnote>
  <w:footnote w:id="47">
    <w:p w:rsidR="005F211C" w:rsidRPr="00055C43" w:rsidP="00055C43" w14:paraId="18D475F8" w14:textId="7C6A1C28">
      <w:pPr>
        <w:pStyle w:val="FootnoteText"/>
        <w:spacing w:after="120"/>
      </w:pPr>
      <w:r w:rsidRPr="00055C43">
        <w:rPr>
          <w:rStyle w:val="FootnoteReference"/>
        </w:rPr>
        <w:footnoteRef/>
      </w:r>
      <w:r w:rsidRPr="00055C43">
        <w:t xml:space="preserve"> PUCO Staff Ex. 9 (Ramsey Direct) at 13.</w:t>
      </w:r>
    </w:p>
  </w:footnote>
  <w:footnote w:id="48">
    <w:p w:rsidR="00A61ED6" w:rsidRPr="00055C43" w:rsidP="00055C43" w14:paraId="4D28FF38" w14:textId="08C72ED9">
      <w:pPr>
        <w:pStyle w:val="FootnoteText"/>
        <w:spacing w:after="120"/>
      </w:pPr>
      <w:r w:rsidRPr="00055C43">
        <w:rPr>
          <w:rStyle w:val="FootnoteReference"/>
        </w:rPr>
        <w:footnoteRef/>
      </w:r>
      <w:r w:rsidRPr="00055C43">
        <w:t xml:space="preserve"> PUCO Staff Ex. 9 (Ramsey Direct) at 6.</w:t>
      </w:r>
    </w:p>
  </w:footnote>
  <w:footnote w:id="49">
    <w:p w:rsidR="00A61ED6" w:rsidRPr="00055C43" w:rsidP="00055C43" w14:paraId="65C8DB78" w14:textId="14F96081">
      <w:pPr>
        <w:pStyle w:val="FootnoteText"/>
        <w:spacing w:after="120"/>
        <w:rPr>
          <w:i/>
          <w:iCs/>
        </w:rPr>
      </w:pPr>
      <w:r w:rsidRPr="00055C43">
        <w:rPr>
          <w:rStyle w:val="FootnoteReference"/>
        </w:rPr>
        <w:footnoteRef/>
      </w:r>
      <w:r w:rsidRPr="00055C43">
        <w:t xml:space="preserve"> </w:t>
      </w:r>
      <w:r w:rsidRPr="00055C43">
        <w:rPr>
          <w:i/>
          <w:iCs/>
        </w:rPr>
        <w:t>Id.</w:t>
      </w:r>
    </w:p>
  </w:footnote>
  <w:footnote w:id="50">
    <w:p w:rsidR="0008253D" w:rsidRPr="00055C43" w:rsidP="00055C43" w14:paraId="7CCCD755" w14:textId="07B7C74C">
      <w:pPr>
        <w:pStyle w:val="FootnoteText"/>
        <w:spacing w:after="120"/>
      </w:pPr>
      <w:r w:rsidRPr="00055C43">
        <w:rPr>
          <w:rStyle w:val="FootnoteReference"/>
        </w:rPr>
        <w:footnoteRef/>
      </w:r>
      <w:r w:rsidRPr="00055C43">
        <w:t xml:space="preserve"> </w:t>
      </w:r>
      <w:r w:rsidRPr="00055C43">
        <w:rPr>
          <w:i/>
          <w:iCs/>
        </w:rPr>
        <w:t xml:space="preserve">Id. </w:t>
      </w:r>
      <w:r w:rsidRPr="00055C43">
        <w:t xml:space="preserve">at 19. </w:t>
      </w:r>
    </w:p>
  </w:footnote>
  <w:footnote w:id="51">
    <w:p w:rsidR="00992055" w:rsidRPr="00055C43" w:rsidP="00055C43" w14:paraId="2A3607FD" w14:textId="77777777">
      <w:pPr>
        <w:pStyle w:val="FootnoteText"/>
        <w:spacing w:after="120"/>
      </w:pPr>
      <w:r w:rsidRPr="00055C43">
        <w:rPr>
          <w:rStyle w:val="FootnoteReference"/>
        </w:rPr>
        <w:footnoteRef/>
      </w:r>
      <w:r w:rsidRPr="00055C43">
        <w:t xml:space="preserve"> Tr. Vol. I (Testimony of Edward Tokar) at 8-26; Tr. Vol. I (Testimony of Sheila Barton-Johnson) at 26-44; and Tr. Vol. I (Testimony of Tyler Beauregard) at 47-62.</w:t>
      </w:r>
    </w:p>
  </w:footnote>
  <w:footnote w:id="52">
    <w:p w:rsidR="00992055" w:rsidRPr="00055C43" w:rsidP="00055C43" w14:paraId="75DD42FC" w14:textId="77777777">
      <w:pPr>
        <w:pStyle w:val="FootnoteText"/>
        <w:spacing w:after="120"/>
      </w:pPr>
      <w:r w:rsidRPr="00055C43">
        <w:rPr>
          <w:rStyle w:val="FootnoteReference"/>
        </w:rPr>
        <w:footnoteRef/>
      </w:r>
      <w:r w:rsidRPr="00055C43">
        <w:t xml:space="preserve"> Tr. Vol. I (Beauregard Testimony) at 49.</w:t>
      </w:r>
    </w:p>
  </w:footnote>
  <w:footnote w:id="53">
    <w:p w:rsidR="00992055" w:rsidRPr="00055C43" w:rsidP="00055C43" w14:paraId="445FA1BA" w14:textId="44FEE47F">
      <w:pPr>
        <w:pStyle w:val="FootnoteText"/>
        <w:spacing w:after="120"/>
      </w:pPr>
      <w:r w:rsidRPr="00055C43">
        <w:rPr>
          <w:rStyle w:val="FootnoteReference"/>
        </w:rPr>
        <w:footnoteRef/>
      </w:r>
      <w:r w:rsidRPr="00055C43">
        <w:t xml:space="preserve"> PUCO Staff Ex. 3</w:t>
      </w:r>
      <w:r w:rsidRPr="00055C43" w:rsidR="009E14DA">
        <w:t xml:space="preserve"> (Beauregard Audio).</w:t>
      </w:r>
    </w:p>
  </w:footnote>
  <w:footnote w:id="54">
    <w:p w:rsidR="00992055" w:rsidRPr="00055C43" w:rsidP="00055C43" w14:paraId="23CC30DE" w14:textId="77777777">
      <w:pPr>
        <w:pStyle w:val="FootnoteText"/>
        <w:spacing w:after="120"/>
      </w:pPr>
      <w:r w:rsidRPr="00055C43">
        <w:rPr>
          <w:rStyle w:val="FootnoteReference"/>
        </w:rPr>
        <w:footnoteRef/>
      </w:r>
      <w:r w:rsidRPr="00055C43">
        <w:t xml:space="preserve"> Tr. Vol. I at 52-53.</w:t>
      </w:r>
    </w:p>
  </w:footnote>
  <w:footnote w:id="55">
    <w:p w:rsidR="00784A42" w:rsidRPr="00055C43" w:rsidP="00055C43" w14:paraId="0338E8A5" w14:textId="64FF3300">
      <w:pPr>
        <w:pStyle w:val="FootnoteText"/>
        <w:spacing w:after="120"/>
      </w:pPr>
      <w:r w:rsidRPr="00055C43">
        <w:rPr>
          <w:rStyle w:val="FootnoteReference"/>
        </w:rPr>
        <w:footnoteRef/>
      </w:r>
      <w:r w:rsidRPr="00055C43">
        <w:t xml:space="preserve"> Tr. Vol. I (Barton-Johnson Direct) at 31.</w:t>
      </w:r>
    </w:p>
  </w:footnote>
  <w:footnote w:id="56">
    <w:p w:rsidR="00F168DE" w:rsidRPr="00055C43" w:rsidP="00055C43" w14:paraId="656AB235" w14:textId="5255C92F">
      <w:pPr>
        <w:pStyle w:val="FootnoteText"/>
        <w:spacing w:after="120"/>
      </w:pPr>
      <w:r w:rsidRPr="00055C43">
        <w:rPr>
          <w:rStyle w:val="FootnoteReference"/>
        </w:rPr>
        <w:footnoteRef/>
      </w:r>
      <w:r w:rsidRPr="00055C43">
        <w:t xml:space="preserve"> PUCO Staff Ex. 2</w:t>
      </w:r>
      <w:r w:rsidRPr="00055C43" w:rsidR="009E14DA">
        <w:t xml:space="preserve"> (Barton-Johnson Audio)</w:t>
      </w:r>
      <w:r w:rsidRPr="00055C43">
        <w:t>; Tr. Vol. I (Barton-Johnson Direct) at 32.</w:t>
      </w:r>
    </w:p>
  </w:footnote>
  <w:footnote w:id="57">
    <w:p w:rsidR="00F168DE" w:rsidRPr="00055C43" w:rsidP="00055C43" w14:paraId="5DE72A35" w14:textId="04CEA34E">
      <w:pPr>
        <w:pStyle w:val="FootnoteText"/>
        <w:spacing w:after="120"/>
      </w:pPr>
      <w:r w:rsidRPr="00055C43">
        <w:rPr>
          <w:rStyle w:val="FootnoteReference"/>
        </w:rPr>
        <w:footnoteRef/>
      </w:r>
      <w:r w:rsidRPr="00055C43">
        <w:t xml:space="preserve"> Tr. Vol. I (Barton-Johnson Direct) at 32.</w:t>
      </w:r>
    </w:p>
  </w:footnote>
  <w:footnote w:id="58">
    <w:p w:rsidR="00F168DE" w:rsidRPr="00055C43" w:rsidP="00055C43" w14:paraId="0DD4B3C9" w14:textId="523C5ADF">
      <w:pPr>
        <w:pStyle w:val="FootnoteText"/>
        <w:spacing w:after="120"/>
        <w:rPr>
          <w:i/>
          <w:iCs/>
        </w:rPr>
      </w:pPr>
      <w:r w:rsidRPr="00055C43">
        <w:rPr>
          <w:rStyle w:val="FootnoteReference"/>
        </w:rPr>
        <w:footnoteRef/>
      </w:r>
      <w:r w:rsidRPr="00055C43">
        <w:t xml:space="preserve"> </w:t>
      </w:r>
      <w:r w:rsidRPr="00055C43">
        <w:rPr>
          <w:i/>
          <w:iCs/>
        </w:rPr>
        <w:t>Id.</w:t>
      </w:r>
    </w:p>
  </w:footnote>
  <w:footnote w:id="59">
    <w:p w:rsidR="0081139F" w:rsidRPr="00055C43" w:rsidP="00055C43" w14:paraId="5481768E" w14:textId="2547B794">
      <w:pPr>
        <w:pStyle w:val="FootnoteText"/>
        <w:spacing w:after="120"/>
      </w:pPr>
      <w:r w:rsidRPr="00055C43">
        <w:rPr>
          <w:rStyle w:val="FootnoteReference"/>
        </w:rPr>
        <w:footnoteRef/>
      </w:r>
      <w:r w:rsidRPr="00055C43">
        <w:t xml:space="preserve"> Tr. Vol. I (Tokar Direct) at 8-14.</w:t>
      </w:r>
    </w:p>
  </w:footnote>
  <w:footnote w:id="60">
    <w:p w:rsidR="009E14DA" w:rsidRPr="00055C43" w:rsidP="00055C43" w14:paraId="45AAA350" w14:textId="17214D70">
      <w:pPr>
        <w:pStyle w:val="FootnoteText"/>
        <w:spacing w:after="120"/>
      </w:pPr>
      <w:r w:rsidRPr="00055C43">
        <w:rPr>
          <w:rStyle w:val="FootnoteReference"/>
        </w:rPr>
        <w:footnoteRef/>
      </w:r>
      <w:r w:rsidRPr="00055C43">
        <w:t xml:space="preserve"> Tr. Vol. I (Tokar Direct) at 8-9.</w:t>
      </w:r>
    </w:p>
  </w:footnote>
  <w:footnote w:id="61">
    <w:p w:rsidR="009E14DA" w:rsidRPr="00055C43" w:rsidP="00055C43" w14:paraId="0426A789" w14:textId="78D9E51F">
      <w:pPr>
        <w:pStyle w:val="FootnoteText"/>
        <w:spacing w:after="120"/>
      </w:pPr>
      <w:r w:rsidRPr="00055C43">
        <w:rPr>
          <w:rStyle w:val="FootnoteReference"/>
        </w:rPr>
        <w:footnoteRef/>
      </w:r>
      <w:r w:rsidRPr="00055C43">
        <w:t xml:space="preserve"> PUCO Staff Ex. 14 (Tokar Video)</w:t>
      </w:r>
      <w:r w:rsidRPr="00055C43" w:rsidR="006238BC">
        <w:t>.</w:t>
      </w:r>
    </w:p>
  </w:footnote>
  <w:footnote w:id="62">
    <w:p w:rsidR="006F4F3B" w:rsidRPr="00055C43" w:rsidP="00055C43" w14:paraId="596B036A" w14:textId="1D952A5B">
      <w:pPr>
        <w:pStyle w:val="FootnoteText"/>
        <w:spacing w:after="120"/>
      </w:pPr>
      <w:r w:rsidRPr="00055C43">
        <w:rPr>
          <w:rStyle w:val="FootnoteReference"/>
        </w:rPr>
        <w:footnoteRef/>
      </w:r>
      <w:r w:rsidRPr="00055C43">
        <w:t xml:space="preserve"> Staff Report at 5.</w:t>
      </w:r>
    </w:p>
  </w:footnote>
  <w:footnote w:id="63">
    <w:p w:rsidR="006F4F3B" w:rsidRPr="00055C43" w:rsidP="00055C43" w14:paraId="62B19E3D" w14:textId="4FAB25B3">
      <w:pPr>
        <w:pStyle w:val="FootnoteText"/>
        <w:spacing w:after="120"/>
      </w:pPr>
      <w:r w:rsidRPr="00055C43">
        <w:rPr>
          <w:rStyle w:val="FootnoteReference"/>
        </w:rPr>
        <w:footnoteRef/>
      </w:r>
      <w:r w:rsidRPr="00055C43">
        <w:t xml:space="preserve"> </w:t>
      </w:r>
      <w:r w:rsidRPr="00055C43">
        <w:rPr>
          <w:i/>
          <w:iCs/>
        </w:rPr>
        <w:t>Id.</w:t>
      </w:r>
      <w:r w:rsidRPr="00055C43">
        <w:t xml:space="preserve"> at 5-6.</w:t>
      </w:r>
    </w:p>
  </w:footnote>
  <w:footnote w:id="64">
    <w:p w:rsidR="00F551D0" w:rsidRPr="00055C43" w:rsidP="00055C43" w14:paraId="2C81C962" w14:textId="5A37C215">
      <w:pPr>
        <w:pStyle w:val="FootnoteText"/>
        <w:spacing w:after="120"/>
      </w:pPr>
      <w:r w:rsidRPr="00055C43">
        <w:rPr>
          <w:rStyle w:val="FootnoteReference"/>
        </w:rPr>
        <w:footnoteRef/>
      </w:r>
      <w:r w:rsidRPr="00055C43" w:rsidR="006238BC">
        <w:t xml:space="preserve"> </w:t>
      </w:r>
      <w:r w:rsidRPr="00055C43">
        <w:t xml:space="preserve">Staff Report at </w:t>
      </w:r>
      <w:r w:rsidRPr="00055C43" w:rsidR="00922DDA">
        <w:t>5.</w:t>
      </w:r>
    </w:p>
  </w:footnote>
  <w:footnote w:id="65">
    <w:p w:rsidR="00D43FC4" w:rsidRPr="00055C43" w:rsidP="00055C43" w14:paraId="22C022B2" w14:textId="1ECC838F">
      <w:pPr>
        <w:pStyle w:val="FootnoteText"/>
        <w:spacing w:after="120"/>
        <w:rPr>
          <w:i/>
          <w:iCs/>
        </w:rPr>
      </w:pPr>
      <w:r w:rsidRPr="00055C43">
        <w:rPr>
          <w:rStyle w:val="FootnoteReference"/>
        </w:rPr>
        <w:footnoteRef/>
      </w:r>
      <w:r w:rsidRPr="00055C43">
        <w:t xml:space="preserve"> </w:t>
      </w:r>
      <w:r w:rsidRPr="00055C43" w:rsidR="00D83849">
        <w:rPr>
          <w:i/>
          <w:iCs/>
        </w:rPr>
        <w:t xml:space="preserve">Id. </w:t>
      </w:r>
    </w:p>
  </w:footnote>
  <w:footnote w:id="66">
    <w:p w:rsidR="00D83849" w:rsidRPr="00055C43" w:rsidP="00055C43" w14:paraId="02A8BC26" w14:textId="5986CFA1">
      <w:pPr>
        <w:pStyle w:val="FootnoteText"/>
        <w:spacing w:after="120"/>
      </w:pPr>
      <w:r w:rsidRPr="00055C43">
        <w:rPr>
          <w:rStyle w:val="FootnoteReference"/>
        </w:rPr>
        <w:footnoteRef/>
      </w:r>
      <w:r w:rsidRPr="00055C43">
        <w:t xml:space="preserve"> Staff Report at 6.</w:t>
      </w:r>
    </w:p>
  </w:footnote>
  <w:footnote w:id="67">
    <w:p w:rsidR="00AB343F" w:rsidRPr="00055C43" w:rsidP="00055C43" w14:paraId="376B159D" w14:textId="77777777">
      <w:pPr>
        <w:pStyle w:val="FootnoteText"/>
        <w:spacing w:after="120"/>
      </w:pPr>
      <w:r w:rsidRPr="00055C43">
        <w:rPr>
          <w:rStyle w:val="FootnoteReference"/>
        </w:rPr>
        <w:footnoteRef/>
      </w:r>
      <w:r w:rsidRPr="00055C43">
        <w:t xml:space="preserve"> Green Choice Ex. 1 (Trombino Direct) at 2. </w:t>
      </w:r>
    </w:p>
  </w:footnote>
  <w:footnote w:id="68">
    <w:p w:rsidR="00AB343F" w:rsidRPr="00055C43" w:rsidP="00055C43" w14:paraId="1732C86E" w14:textId="686359BF">
      <w:pPr>
        <w:pStyle w:val="FootnoteText"/>
        <w:spacing w:after="120"/>
        <w:rPr>
          <w:i/>
          <w:iCs/>
        </w:rPr>
      </w:pPr>
      <w:r w:rsidRPr="00055C43">
        <w:rPr>
          <w:rStyle w:val="FootnoteReference"/>
        </w:rPr>
        <w:footnoteRef/>
      </w:r>
      <w:r w:rsidRPr="00055C43">
        <w:t xml:space="preserve"> </w:t>
      </w:r>
      <w:r w:rsidRPr="00055C43">
        <w:rPr>
          <w:i/>
          <w:iCs/>
        </w:rPr>
        <w:t>Id.</w:t>
      </w:r>
    </w:p>
  </w:footnote>
  <w:footnote w:id="69">
    <w:p w:rsidR="00A952BA" w:rsidRPr="00055C43" w:rsidP="00055C43" w14:paraId="4D2C16F3" w14:textId="0BE4AD42">
      <w:pPr>
        <w:pStyle w:val="FootnoteText"/>
        <w:spacing w:after="120"/>
      </w:pPr>
      <w:r w:rsidRPr="00055C43">
        <w:rPr>
          <w:rStyle w:val="FootnoteReference"/>
        </w:rPr>
        <w:footnoteRef/>
      </w:r>
      <w:r w:rsidRPr="00055C43">
        <w:t xml:space="preserve"> PUCO Staff Ex. 9 </w:t>
      </w:r>
      <w:r w:rsidRPr="00055C43" w:rsidR="00E71B98">
        <w:t xml:space="preserve">(Ramsey Direct) 8-11; </w:t>
      </w:r>
      <w:r w:rsidRPr="00055C43">
        <w:t>Green Choice Ex. 1 (Trombino Direct) at 3-4.</w:t>
      </w:r>
    </w:p>
  </w:footnote>
  <w:footnote w:id="70">
    <w:p w:rsidR="00242169" w:rsidRPr="00055C43" w:rsidP="00055C43" w14:paraId="0727737A" w14:textId="77777777">
      <w:pPr>
        <w:pStyle w:val="FootnoteText"/>
        <w:spacing w:after="120"/>
      </w:pPr>
      <w:r w:rsidRPr="00055C43">
        <w:rPr>
          <w:rStyle w:val="FootnoteReference"/>
        </w:rPr>
        <w:footnoteRef/>
      </w:r>
      <w:r w:rsidRPr="00055C43">
        <w:t xml:space="preserve"> Staff Report at 6. </w:t>
      </w:r>
    </w:p>
  </w:footnote>
  <w:footnote w:id="71">
    <w:p w:rsidR="00242169" w:rsidRPr="00055C43" w:rsidP="00055C43" w14:paraId="0F85CF2A" w14:textId="77777777">
      <w:pPr>
        <w:pStyle w:val="FootnoteText"/>
        <w:spacing w:after="120"/>
      </w:pPr>
      <w:r w:rsidRPr="00055C43">
        <w:rPr>
          <w:rStyle w:val="FootnoteReference"/>
        </w:rPr>
        <w:footnoteRef/>
      </w:r>
      <w:r w:rsidRPr="00055C43">
        <w:t xml:space="preserve"> Staff Report at 6. </w:t>
      </w:r>
    </w:p>
  </w:footnote>
  <w:footnote w:id="72">
    <w:p w:rsidR="00242169" w:rsidRPr="00055C43" w:rsidP="00055C43" w14:paraId="1B692872" w14:textId="77777777">
      <w:pPr>
        <w:pStyle w:val="FootnoteText"/>
        <w:spacing w:after="120"/>
      </w:pPr>
      <w:r w:rsidRPr="00055C43">
        <w:rPr>
          <w:rStyle w:val="FootnoteReference"/>
        </w:rPr>
        <w:footnoteRef/>
      </w:r>
      <w:r w:rsidRPr="00055C43">
        <w:t xml:space="preserve"> Staff Report at 6. </w:t>
      </w:r>
    </w:p>
  </w:footnote>
  <w:footnote w:id="73">
    <w:p w:rsidR="00D7611D" w:rsidRPr="00055C43" w:rsidP="00055C43" w14:paraId="623F0D20" w14:textId="281D8828">
      <w:pPr>
        <w:pStyle w:val="FootnoteText"/>
        <w:spacing w:after="120"/>
      </w:pPr>
      <w:r w:rsidRPr="00055C43">
        <w:rPr>
          <w:rStyle w:val="FootnoteReference"/>
        </w:rPr>
        <w:footnoteRef/>
      </w:r>
      <w:r w:rsidRPr="00055C43">
        <w:t xml:space="preserve"> OCC Ex. 1 (Williams Direct) at 4</w:t>
      </w:r>
      <w:r w:rsidRPr="00055C43" w:rsidR="009F504E">
        <w:t>; R.C. 4928.08; and R.C. 4929.20.</w:t>
      </w:r>
    </w:p>
  </w:footnote>
  <w:footnote w:id="74">
    <w:p w:rsidR="00D2110C" w:rsidRPr="00055C43" w:rsidP="00055C43" w14:paraId="36ECBFEC" w14:textId="00815C3A">
      <w:pPr>
        <w:pStyle w:val="FootnoteText"/>
        <w:spacing w:after="120"/>
      </w:pPr>
      <w:r w:rsidRPr="00055C43">
        <w:rPr>
          <w:rStyle w:val="FootnoteReference"/>
        </w:rPr>
        <w:footnoteRef/>
      </w:r>
      <w:r w:rsidRPr="00055C43">
        <w:t xml:space="preserve"> Green Choice Ex. 1 (Trombino Direct</w:t>
      </w:r>
      <w:r w:rsidRPr="00055C43" w:rsidR="002F41B3">
        <w:t xml:space="preserve">) at 2. </w:t>
      </w:r>
    </w:p>
  </w:footnote>
  <w:footnote w:id="75">
    <w:p w:rsidR="00316D26" w:rsidRPr="00055C43" w:rsidP="00055C43" w14:paraId="55AA4473" w14:textId="534DB318">
      <w:pPr>
        <w:pStyle w:val="FootnoteText"/>
        <w:spacing w:after="120"/>
      </w:pPr>
      <w:r w:rsidRPr="00055C43">
        <w:rPr>
          <w:rStyle w:val="FootnoteReference"/>
        </w:rPr>
        <w:footnoteRef/>
      </w:r>
      <w:r w:rsidRPr="00055C43">
        <w:t xml:space="preserve"> PUCO Staff Ex. 9 (Ramsey Direct) at </w:t>
      </w:r>
      <w:r w:rsidRPr="00055C43" w:rsidR="006A3CF8">
        <w:t>8-10.</w:t>
      </w:r>
    </w:p>
  </w:footnote>
  <w:footnote w:id="76">
    <w:p w:rsidR="00755082" w:rsidRPr="00055C43" w:rsidP="00055C43" w14:paraId="2F771AB5" w14:textId="142A63C3">
      <w:pPr>
        <w:pStyle w:val="FootnoteText"/>
        <w:spacing w:after="120"/>
      </w:pPr>
      <w:r w:rsidRPr="00055C43">
        <w:rPr>
          <w:rStyle w:val="FootnoteReference"/>
        </w:rPr>
        <w:footnoteRef/>
      </w:r>
      <w:r w:rsidRPr="00055C43">
        <w:t xml:space="preserve"> PUCO Staff Ex. 9 (Ramsey Direct) at 10-11; O.A.C. 4901:1-21-04; O.A.C. 4901:1-29-04. </w:t>
      </w:r>
    </w:p>
  </w:footnote>
  <w:footnote w:id="77">
    <w:p w:rsidR="00F70755" w:rsidRPr="00055C43" w:rsidP="00055C43" w14:paraId="639B029A" w14:textId="15DD011B">
      <w:pPr>
        <w:pStyle w:val="FootnoteText"/>
        <w:spacing w:after="120"/>
      </w:pPr>
      <w:r w:rsidRPr="00055C43">
        <w:rPr>
          <w:rStyle w:val="FootnoteReference"/>
        </w:rPr>
        <w:footnoteRef/>
      </w:r>
      <w:r w:rsidRPr="00055C43">
        <w:t xml:space="preserve"> Staff Report at 5. </w:t>
      </w:r>
    </w:p>
  </w:footnote>
  <w:footnote w:id="78">
    <w:p w:rsidR="00F70755" w:rsidRPr="00055C43" w:rsidP="00055C43" w14:paraId="09A9068D" w14:textId="198AC210">
      <w:pPr>
        <w:pStyle w:val="FootnoteText"/>
        <w:spacing w:after="120"/>
      </w:pPr>
      <w:r w:rsidRPr="00055C43">
        <w:rPr>
          <w:rStyle w:val="FootnoteReference"/>
        </w:rPr>
        <w:footnoteRef/>
      </w:r>
      <w:r w:rsidRPr="00055C43">
        <w:t xml:space="preserve"> </w:t>
      </w:r>
      <w:r w:rsidRPr="00055C43">
        <w:rPr>
          <w:i/>
          <w:iCs/>
        </w:rPr>
        <w:t>Id.</w:t>
      </w:r>
      <w:r w:rsidRPr="00055C43">
        <w:t xml:space="preserve"> at 5-6.</w:t>
      </w:r>
    </w:p>
  </w:footnote>
  <w:footnote w:id="79">
    <w:p w:rsidR="00244818" w:rsidRPr="00055C43" w:rsidP="00055C43" w14:paraId="7DA8F3FA" w14:textId="64FCA7E6">
      <w:pPr>
        <w:pStyle w:val="FootnoteText"/>
        <w:spacing w:after="120"/>
      </w:pPr>
      <w:r w:rsidRPr="00055C43">
        <w:rPr>
          <w:rStyle w:val="FootnoteReference"/>
        </w:rPr>
        <w:footnoteRef/>
      </w:r>
      <w:r w:rsidRPr="00055C43">
        <w:t xml:space="preserve"> </w:t>
      </w:r>
      <w:r w:rsidRPr="00055C43">
        <w:rPr>
          <w:i/>
          <w:iCs/>
        </w:rPr>
        <w:t>Id.</w:t>
      </w:r>
      <w:r w:rsidRPr="00055C43">
        <w:t xml:space="preserve"> at 6.</w:t>
      </w:r>
    </w:p>
  </w:footnote>
  <w:footnote w:id="80">
    <w:p w:rsidR="00A2104C" w:rsidRPr="00055C43" w:rsidP="00055C43" w14:paraId="69A82368" w14:textId="7434C638">
      <w:pPr>
        <w:pStyle w:val="FootnoteText"/>
        <w:spacing w:after="120"/>
        <w:rPr>
          <w:i/>
          <w:iCs/>
        </w:rPr>
      </w:pPr>
      <w:r w:rsidRPr="00055C43">
        <w:rPr>
          <w:rStyle w:val="FootnoteReference"/>
        </w:rPr>
        <w:footnoteRef/>
      </w:r>
      <w:r w:rsidRPr="00055C43">
        <w:t xml:space="preserve"> </w:t>
      </w:r>
      <w:r w:rsidRPr="00055C43">
        <w:rPr>
          <w:i/>
          <w:iCs/>
        </w:rPr>
        <w:t>Id.</w:t>
      </w:r>
    </w:p>
  </w:footnote>
  <w:footnote w:id="81">
    <w:p w:rsidR="005B5716" w:rsidRPr="00055C43" w:rsidP="00055C43" w14:paraId="3C2E0136" w14:textId="2A371128">
      <w:pPr>
        <w:pStyle w:val="FootnoteText"/>
        <w:spacing w:after="120"/>
      </w:pPr>
      <w:r w:rsidRPr="00055C43">
        <w:rPr>
          <w:rStyle w:val="FootnoteReference"/>
        </w:rPr>
        <w:footnoteRef/>
      </w:r>
      <w:r w:rsidRPr="00055C43">
        <w:t xml:space="preserve"> </w:t>
      </w:r>
      <w:r w:rsidRPr="00055C43">
        <w:rPr>
          <w:i/>
          <w:iCs/>
        </w:rPr>
        <w:t>Id.</w:t>
      </w:r>
      <w:r w:rsidRPr="00055C43" w:rsidR="0064520B">
        <w:t>; PUCO Staff Ex. 9 (Ramsey Direct) at 23-24.</w:t>
      </w:r>
      <w:r w:rsidRPr="00055C43">
        <w:rPr>
          <w:i/>
          <w:iCs/>
        </w:rPr>
        <w:t xml:space="preserve"> </w:t>
      </w:r>
    </w:p>
  </w:footnote>
  <w:footnote w:id="82">
    <w:p w:rsidR="00883CD7" w:rsidRPr="00055C43" w:rsidP="00055C43" w14:paraId="5703D463" w14:textId="7F79D0C6">
      <w:pPr>
        <w:pStyle w:val="FootnoteText"/>
        <w:spacing w:after="120"/>
      </w:pPr>
      <w:r w:rsidRPr="00055C43">
        <w:rPr>
          <w:rStyle w:val="FootnoteReference"/>
        </w:rPr>
        <w:footnoteRef/>
      </w:r>
      <w:r w:rsidRPr="00055C43">
        <w:t xml:space="preserve"> Staff Report at 6.</w:t>
      </w:r>
    </w:p>
  </w:footnote>
  <w:footnote w:id="83">
    <w:p w:rsidR="00C6339F" w:rsidRPr="00055C43" w:rsidP="00055C43" w14:paraId="7501C65B" w14:textId="0D12155E">
      <w:pPr>
        <w:pStyle w:val="FootnoteText"/>
        <w:spacing w:after="120"/>
      </w:pPr>
      <w:r w:rsidRPr="00055C43">
        <w:rPr>
          <w:rStyle w:val="FootnoteReference"/>
        </w:rPr>
        <w:footnoteRef/>
      </w:r>
      <w:r w:rsidRPr="00055C43">
        <w:t xml:space="preserve"> </w:t>
      </w:r>
      <w:r w:rsidRPr="00055C43">
        <w:rPr>
          <w:i/>
          <w:iCs/>
        </w:rPr>
        <w:t xml:space="preserve">See </w:t>
      </w:r>
      <w:r w:rsidRPr="00055C43">
        <w:t>Case No. 21-157-GE-WVR</w:t>
      </w:r>
      <w:r w:rsidRPr="00055C43" w:rsidR="00DC759A">
        <w:t xml:space="preserve">. </w:t>
      </w:r>
    </w:p>
  </w:footnote>
  <w:footnote w:id="84">
    <w:p w:rsidR="00DC759A" w:rsidRPr="00055C43" w:rsidP="00055C43" w14:paraId="3864C6F4" w14:textId="4DCCFFA5">
      <w:pPr>
        <w:pStyle w:val="FootnoteText"/>
        <w:spacing w:after="120"/>
      </w:pPr>
      <w:r w:rsidRPr="00055C43">
        <w:rPr>
          <w:rStyle w:val="FootnoteReference"/>
        </w:rPr>
        <w:footnoteRef/>
      </w:r>
      <w:r w:rsidRPr="00055C43">
        <w:t xml:space="preserve"> Staff Report at 6.</w:t>
      </w:r>
    </w:p>
  </w:footnote>
  <w:footnote w:id="85">
    <w:p w:rsidR="00426CF8" w:rsidRPr="00055C43" w:rsidP="00055C43" w14:paraId="6E31CBAD" w14:textId="4DE360A5">
      <w:pPr>
        <w:pStyle w:val="FootnoteText"/>
        <w:spacing w:after="120"/>
      </w:pPr>
      <w:r w:rsidRPr="00055C43">
        <w:rPr>
          <w:rStyle w:val="FootnoteReference"/>
        </w:rPr>
        <w:footnoteRef/>
      </w:r>
      <w:r w:rsidRPr="00055C43">
        <w:t xml:space="preserve"> PUCO Staff Ex. 9 (Ramsey Direct) at 38-39.</w:t>
      </w:r>
    </w:p>
  </w:footnote>
  <w:footnote w:id="86">
    <w:p w:rsidR="00183A53" w:rsidRPr="00055C43" w:rsidP="00055C43" w14:paraId="019CEB49" w14:textId="7799E779">
      <w:pPr>
        <w:pStyle w:val="FootnoteText"/>
        <w:spacing w:after="120"/>
        <w:rPr>
          <w:i/>
          <w:iCs/>
        </w:rPr>
      </w:pPr>
      <w:r w:rsidRPr="00055C43">
        <w:rPr>
          <w:rStyle w:val="FootnoteReference"/>
        </w:rPr>
        <w:footnoteRef/>
      </w:r>
      <w:r w:rsidRPr="00055C43">
        <w:t xml:space="preserve"> </w:t>
      </w:r>
      <w:r w:rsidRPr="00055C43">
        <w:rPr>
          <w:i/>
          <w:iCs/>
        </w:rPr>
        <w:t>Id.</w:t>
      </w:r>
    </w:p>
  </w:footnote>
  <w:footnote w:id="87">
    <w:p w:rsidR="004F2B9F" w:rsidRPr="00055C43" w:rsidP="00055C43" w14:paraId="29909997" w14:textId="0B5C51DA">
      <w:pPr>
        <w:pStyle w:val="FootnoteText"/>
        <w:spacing w:after="120"/>
        <w:rPr>
          <w:i/>
          <w:iCs/>
        </w:rPr>
      </w:pPr>
      <w:r w:rsidRPr="00055C43">
        <w:rPr>
          <w:rStyle w:val="FootnoteReference"/>
        </w:rPr>
        <w:footnoteRef/>
      </w:r>
      <w:r w:rsidRPr="00055C43">
        <w:t xml:space="preserve"> </w:t>
      </w:r>
      <w:r w:rsidRPr="00055C43">
        <w:rPr>
          <w:i/>
          <w:iCs/>
        </w:rPr>
        <w:t>Id.</w:t>
      </w:r>
    </w:p>
  </w:footnote>
  <w:footnote w:id="88">
    <w:p w:rsidR="00817811" w:rsidRPr="00055C43" w:rsidP="00055C43" w14:paraId="56819D56" w14:textId="37538AAC">
      <w:pPr>
        <w:pStyle w:val="FootnoteText"/>
        <w:spacing w:after="120"/>
      </w:pPr>
      <w:r w:rsidRPr="00055C43">
        <w:rPr>
          <w:rStyle w:val="FootnoteReference"/>
        </w:rPr>
        <w:footnoteRef/>
      </w:r>
      <w:r w:rsidRPr="00055C43">
        <w:t xml:space="preserve"> PUCO Staff Ex. 9 (Ramsey Direct) at </w:t>
      </w:r>
      <w:r w:rsidRPr="00055C43" w:rsidR="00706C4B">
        <w:t xml:space="preserve">8-10, </w:t>
      </w:r>
      <w:r w:rsidRPr="00055C43">
        <w:t>18</w:t>
      </w:r>
      <w:r w:rsidRPr="00055C43" w:rsidR="00706C4B">
        <w:t>.</w:t>
      </w:r>
      <w:r w:rsidRPr="00055C43">
        <w:t xml:space="preserve"> </w:t>
      </w:r>
    </w:p>
  </w:footnote>
  <w:footnote w:id="89">
    <w:p w:rsidR="00F756EA" w:rsidRPr="00055C43" w:rsidP="00055C43" w14:paraId="534ABD6D" w14:textId="117EF763">
      <w:pPr>
        <w:pStyle w:val="FootnoteText"/>
        <w:spacing w:after="120"/>
      </w:pPr>
      <w:r w:rsidRPr="00055C43">
        <w:rPr>
          <w:rStyle w:val="FootnoteReference"/>
        </w:rPr>
        <w:footnoteRef/>
      </w:r>
      <w:r w:rsidRPr="00055C43">
        <w:t xml:space="preserve"> PUCO Staff Ex. 9 (Ramsey Direct) at 9-10.</w:t>
      </w:r>
    </w:p>
  </w:footnote>
  <w:footnote w:id="90">
    <w:p w:rsidR="00046A9C" w:rsidRPr="00055C43" w:rsidP="00055C43" w14:paraId="23B5290B" w14:textId="675463DC">
      <w:pPr>
        <w:pStyle w:val="FootnoteText"/>
        <w:spacing w:after="120"/>
      </w:pPr>
      <w:r w:rsidRPr="00055C43">
        <w:rPr>
          <w:rStyle w:val="FootnoteReference"/>
        </w:rPr>
        <w:footnoteRef/>
      </w:r>
      <w:r w:rsidRPr="00055C43">
        <w:t xml:space="preserve"> Green Choice Ex. 1 (Trombino Direct) at 2.</w:t>
      </w:r>
    </w:p>
  </w:footnote>
  <w:footnote w:id="91">
    <w:p w:rsidR="00F756EA" w:rsidRPr="00055C43" w:rsidP="00055C43" w14:paraId="023B671F" w14:textId="0FEE06CB">
      <w:pPr>
        <w:pStyle w:val="FootnoteText"/>
        <w:spacing w:after="120"/>
      </w:pPr>
      <w:r w:rsidRPr="00055C43">
        <w:rPr>
          <w:rStyle w:val="FootnoteReference"/>
        </w:rPr>
        <w:footnoteRef/>
      </w:r>
      <w:r w:rsidRPr="00055C43">
        <w:t xml:space="preserve"> PUCO Staff Ex. 9 (Ramsey Direct) at 10-11; O.A.C. </w:t>
      </w:r>
      <w:r w:rsidRPr="00055C43" w:rsidR="00A74DA7">
        <w:t>4901:1-21-04; O.A.C. 4901:1-29-04.</w:t>
      </w:r>
    </w:p>
  </w:footnote>
  <w:footnote w:id="92">
    <w:p w:rsidR="00290A6D" w:rsidRPr="00055C43" w:rsidP="00055C43" w14:paraId="13C67E14" w14:textId="4AC7E454">
      <w:pPr>
        <w:pStyle w:val="FootnoteText"/>
        <w:spacing w:after="120"/>
      </w:pPr>
      <w:r w:rsidRPr="00055C43">
        <w:rPr>
          <w:rStyle w:val="FootnoteReference"/>
        </w:rPr>
        <w:footnoteRef/>
      </w:r>
      <w:r w:rsidRPr="00055C43">
        <w:t xml:space="preserve"> </w:t>
      </w:r>
      <w:r w:rsidRPr="00055C43" w:rsidR="00497D77">
        <w:rPr>
          <w:i/>
          <w:iCs/>
        </w:rPr>
        <w:t>See e.g. In the Matter of the Commission’s Investigation Into SFE Energy Ohio, Inc. and Statewise Energy Ohio, LLC’s Compliance with the Ohio Revised Code and Ohio Administrative Code and Potential Remedial Action</w:t>
      </w:r>
      <w:r w:rsidRPr="00055C43" w:rsidR="00497D77">
        <w:t xml:space="preserve">, Case No. 20-1216-GE-COI (“SFE Investigation”), Entry (September 28, 2020), at ¶¶ 11, 13; and </w:t>
      </w:r>
      <w:r w:rsidRPr="00055C43" w:rsidR="00497D77">
        <w:rPr>
          <w:i/>
          <w:iCs/>
        </w:rPr>
        <w:t>In the Matter of Commission’s Investigation Into PALMco Power OH, LLC dba Indra Energy and PALMco Energy OH, LLC dba Indra Energy’s Compliance with the Ohio Administrative Code and Potential Remedial Actions for Non-Compliance</w:t>
      </w:r>
      <w:r w:rsidRPr="00055C43" w:rsidR="00497D77">
        <w:t>, Case No. 19-2153-GE-COI, (“PALMco 2 Investigation”), Entry (April 6, 2020), at ¶¶ 10, 19.</w:t>
      </w:r>
    </w:p>
  </w:footnote>
  <w:footnote w:id="93">
    <w:p w:rsidR="004C7A51" w:rsidRPr="00055C43" w:rsidP="00055C43" w14:paraId="4FEB71C7" w14:textId="02CE5F36">
      <w:pPr>
        <w:pStyle w:val="FootnoteText"/>
        <w:spacing w:after="120"/>
      </w:pPr>
      <w:r w:rsidRPr="00055C43">
        <w:rPr>
          <w:rStyle w:val="FootnoteReference"/>
        </w:rPr>
        <w:footnoteRef/>
      </w:r>
      <w:r w:rsidRPr="00055C43">
        <w:t xml:space="preserve"> </w:t>
      </w:r>
      <w:r w:rsidRPr="00055C43" w:rsidR="00817811">
        <w:t>OCC Ex. 1 (</w:t>
      </w:r>
      <w:r w:rsidRPr="00055C43">
        <w:t>Williams Direct)</w:t>
      </w:r>
      <w:r w:rsidRPr="00055C43" w:rsidR="00817811">
        <w:t xml:space="preserve"> at 1-2</w:t>
      </w:r>
      <w:r w:rsidRPr="00055C43">
        <w:t>.</w:t>
      </w:r>
    </w:p>
  </w:footnote>
  <w:footnote w:id="94">
    <w:p w:rsidR="004C7A51" w:rsidRPr="00055C43" w:rsidP="00055C43" w14:paraId="1678CF63" w14:textId="77777777">
      <w:pPr>
        <w:pStyle w:val="FootnoteText"/>
        <w:spacing w:after="120"/>
      </w:pPr>
      <w:r w:rsidRPr="00055C43">
        <w:rPr>
          <w:rStyle w:val="FootnoteReference"/>
        </w:rPr>
        <w:footnoteRef/>
      </w:r>
      <w:r w:rsidRPr="00055C43">
        <w:t xml:space="preserve"> </w:t>
      </w:r>
      <w:r w:rsidRPr="00055C43">
        <w:rPr>
          <w:i/>
          <w:iCs/>
        </w:rPr>
        <w:t>In the Matter of the Commission’s Investigation into RPA Energy Inc.’s compliance with the Ohio Administrative Code and Potential Remedial Actions for Non-Compliance</w:t>
      </w:r>
      <w:r w:rsidRPr="00055C43">
        <w:t xml:space="preserve">, Case 22-441-EL-COI, Entry (July 6, 2022). </w:t>
      </w:r>
    </w:p>
  </w:footnote>
  <w:footnote w:id="95">
    <w:p w:rsidR="00C62BF6" w:rsidRPr="00055C43" w:rsidP="00055C43" w14:paraId="0A203937" w14:textId="0FC86189">
      <w:pPr>
        <w:pStyle w:val="FootnoteText"/>
        <w:spacing w:after="120"/>
      </w:pPr>
      <w:r w:rsidRPr="00055C43">
        <w:rPr>
          <w:rStyle w:val="FootnoteReference"/>
        </w:rPr>
        <w:footnoteRef/>
      </w:r>
      <w:r w:rsidRPr="00055C43">
        <w:t xml:space="preserve"> </w:t>
      </w:r>
      <w:r w:rsidRPr="00055C43" w:rsidR="00E7764C">
        <w:t xml:space="preserve">Staff Report at </w:t>
      </w:r>
      <w:r w:rsidRPr="00055C43">
        <w:t>10-11.</w:t>
      </w:r>
    </w:p>
  </w:footnote>
  <w:footnote w:id="96">
    <w:p w:rsidR="00C62BF6" w:rsidRPr="00055C43" w:rsidP="00055C43" w14:paraId="113F9CB8" w14:textId="77777777">
      <w:pPr>
        <w:pStyle w:val="FootnoteText"/>
        <w:spacing w:after="120"/>
      </w:pPr>
      <w:r w:rsidRPr="00055C43">
        <w:rPr>
          <w:rStyle w:val="FootnoteReference"/>
        </w:rPr>
        <w:footnoteRef/>
      </w:r>
      <w:r w:rsidRPr="00055C43">
        <w:t xml:space="preserve"> </w:t>
      </w:r>
      <w:r w:rsidRPr="00055C43">
        <w:rPr>
          <w:i/>
          <w:iCs/>
        </w:rPr>
        <w:t>Id.</w:t>
      </w:r>
    </w:p>
  </w:footnote>
  <w:footnote w:id="97">
    <w:p w:rsidR="00C62BF6" w:rsidRPr="00055C43" w:rsidP="00055C43" w14:paraId="74B6E93F" w14:textId="02D0DBEA">
      <w:pPr>
        <w:pStyle w:val="FootnoteText"/>
        <w:spacing w:after="120"/>
      </w:pPr>
      <w:r w:rsidRPr="00055C43">
        <w:rPr>
          <w:rStyle w:val="FootnoteReference"/>
        </w:rPr>
        <w:footnoteRef/>
      </w:r>
      <w:r w:rsidRPr="00055C43">
        <w:t xml:space="preserve"> </w:t>
      </w:r>
      <w:r w:rsidRPr="00055C43" w:rsidR="000C3EC1">
        <w:t>OCC Ex. 1 (</w:t>
      </w:r>
      <w:r w:rsidRPr="00055C43">
        <w:t>Williams Direct</w:t>
      </w:r>
      <w:r w:rsidRPr="00055C43" w:rsidR="000C3EC1">
        <w:t>)</w:t>
      </w:r>
      <w:r w:rsidRPr="00055C43">
        <w:t xml:space="preserve"> at 11-12.</w:t>
      </w:r>
    </w:p>
  </w:footnote>
  <w:footnote w:id="98">
    <w:p w:rsidR="00C62BF6" w:rsidRPr="00055C43" w:rsidP="00055C43" w14:paraId="281F017C" w14:textId="77777777">
      <w:pPr>
        <w:pStyle w:val="FootnoteText"/>
        <w:spacing w:after="120"/>
        <w:rPr>
          <w:i/>
          <w:iCs/>
        </w:rPr>
      </w:pPr>
      <w:r w:rsidRPr="00055C43">
        <w:rPr>
          <w:rStyle w:val="FootnoteReference"/>
        </w:rPr>
        <w:footnoteRef/>
      </w:r>
      <w:r w:rsidRPr="00055C43">
        <w:t xml:space="preserve"> </w:t>
      </w:r>
      <w:r w:rsidRPr="00055C43">
        <w:rPr>
          <w:i/>
          <w:iCs/>
        </w:rPr>
        <w:t>Id.</w:t>
      </w:r>
    </w:p>
  </w:footnote>
  <w:footnote w:id="99">
    <w:p w:rsidR="00C62BF6" w:rsidRPr="00055C43" w:rsidP="00055C43" w14:paraId="4888C597" w14:textId="77777777">
      <w:pPr>
        <w:pStyle w:val="FootnoteText"/>
        <w:spacing w:after="120"/>
      </w:pPr>
      <w:r w:rsidRPr="00055C43">
        <w:rPr>
          <w:rStyle w:val="FootnoteReference"/>
        </w:rPr>
        <w:footnoteRef/>
      </w:r>
      <w:r w:rsidRPr="00055C43">
        <w:t xml:space="preserve"> </w:t>
      </w:r>
      <w:r w:rsidRPr="00055C43">
        <w:rPr>
          <w:i/>
          <w:iCs/>
        </w:rPr>
        <w:t>Id.</w:t>
      </w:r>
    </w:p>
  </w:footnote>
  <w:footnote w:id="100">
    <w:p w:rsidR="00C62BF6" w:rsidRPr="00055C43" w:rsidP="00055C43" w14:paraId="42112000" w14:textId="77777777">
      <w:pPr>
        <w:pStyle w:val="FootnoteText"/>
        <w:spacing w:after="120"/>
      </w:pPr>
      <w:r w:rsidRPr="00055C43">
        <w:rPr>
          <w:rStyle w:val="FootnoteReference"/>
        </w:rPr>
        <w:footnoteRef/>
      </w:r>
      <w:r w:rsidRPr="00055C43">
        <w:t xml:space="preserve"> </w:t>
      </w:r>
      <w:r w:rsidRPr="00055C43">
        <w:rPr>
          <w:i/>
          <w:iCs/>
        </w:rPr>
        <w:t>Id.</w:t>
      </w:r>
    </w:p>
  </w:footnote>
  <w:footnote w:id="101">
    <w:p w:rsidR="0014791C" w:rsidRPr="00055C43" w:rsidP="00055C43" w14:paraId="30D9B349" w14:textId="0FFD28EC">
      <w:pPr>
        <w:pStyle w:val="FootnoteText"/>
        <w:spacing w:after="120"/>
      </w:pPr>
      <w:r w:rsidRPr="00055C43">
        <w:rPr>
          <w:rStyle w:val="FootnoteReference"/>
        </w:rPr>
        <w:footnoteRef/>
      </w:r>
      <w:r w:rsidRPr="00055C43">
        <w:t xml:space="preserve"> R.C. 4928.02(A) and R.C. 4929.02(A)(1)</w:t>
      </w:r>
      <w:r w:rsidRPr="00055C43" w:rsidR="006238BC">
        <w:t>.</w:t>
      </w:r>
    </w:p>
  </w:footnote>
  <w:footnote w:id="102">
    <w:p w:rsidR="0014791C" w:rsidRPr="00055C43" w:rsidP="00055C43" w14:paraId="2ABFD0B0" w14:textId="5E0C39DC">
      <w:pPr>
        <w:pStyle w:val="FootnoteText"/>
        <w:spacing w:after="120"/>
      </w:pPr>
      <w:r w:rsidRPr="00055C43">
        <w:rPr>
          <w:rStyle w:val="FootnoteReference"/>
        </w:rPr>
        <w:footnoteRef/>
      </w:r>
      <w:r w:rsidRPr="00055C43">
        <w:t xml:space="preserve"> </w:t>
      </w:r>
      <w:r w:rsidRPr="00055C43" w:rsidR="00DC2A9D">
        <w:t>OCC Ex. 1 (</w:t>
      </w:r>
      <w:r w:rsidRPr="00055C43">
        <w:t>Williams Direct</w:t>
      </w:r>
      <w:r w:rsidRPr="00055C43" w:rsidR="00DC2A9D">
        <w:t>)</w:t>
      </w:r>
      <w:r w:rsidRPr="00055C43">
        <w:t xml:space="preserve"> at 12.</w:t>
      </w:r>
    </w:p>
  </w:footnote>
  <w:footnote w:id="103">
    <w:p w:rsidR="0014791C" w:rsidRPr="00055C43" w:rsidP="00055C43" w14:paraId="1BB5A943" w14:textId="77777777">
      <w:pPr>
        <w:pStyle w:val="FootnoteText"/>
        <w:spacing w:after="120"/>
      </w:pPr>
      <w:r w:rsidRPr="00055C43">
        <w:rPr>
          <w:rStyle w:val="FootnoteReference"/>
        </w:rPr>
        <w:footnoteRef/>
      </w:r>
      <w:r w:rsidRPr="00055C43">
        <w:t xml:space="preserve"> R.C. 4928.02(I) and R.C. 4929.</w:t>
      </w:r>
    </w:p>
  </w:footnote>
  <w:footnote w:id="104">
    <w:p w:rsidR="00C62BF6" w:rsidRPr="00055C43" w:rsidP="00055C43" w14:paraId="26057A4A" w14:textId="77777777">
      <w:pPr>
        <w:pStyle w:val="FootnoteText"/>
        <w:spacing w:after="120"/>
      </w:pPr>
      <w:r w:rsidRPr="00055C43">
        <w:rPr>
          <w:rStyle w:val="FootnoteReference"/>
        </w:rPr>
        <w:footnoteRef/>
      </w:r>
      <w:r w:rsidRPr="00055C43">
        <w:t xml:space="preserve"> </w:t>
      </w:r>
      <w:r w:rsidRPr="00055C43">
        <w:rPr>
          <w:i/>
          <w:iCs/>
        </w:rPr>
        <w:t xml:space="preserve">Id. </w:t>
      </w:r>
      <w:r w:rsidRPr="00055C43">
        <w:t>at 12.</w:t>
      </w:r>
    </w:p>
  </w:footnote>
  <w:footnote w:id="105">
    <w:p w:rsidR="00C62BF6" w:rsidRPr="00055C43" w:rsidP="00055C43" w14:paraId="3B313E01" w14:textId="77777777">
      <w:pPr>
        <w:pStyle w:val="FootnoteText"/>
        <w:spacing w:after="120"/>
      </w:pPr>
      <w:r w:rsidRPr="00055C43">
        <w:rPr>
          <w:rStyle w:val="FootnoteReference"/>
        </w:rPr>
        <w:footnoteRef/>
      </w:r>
      <w:r w:rsidRPr="00055C43">
        <w:t xml:space="preserve"> Ohio Revised Code 4928.08 and Ohio Revised Code 4929.20.</w:t>
      </w:r>
    </w:p>
  </w:footnote>
  <w:footnote w:id="106">
    <w:p w:rsidR="00C62BF6" w:rsidRPr="00055C43" w:rsidP="00055C43" w14:paraId="2F74F64E" w14:textId="06F165ED">
      <w:pPr>
        <w:pStyle w:val="FootnoteText"/>
        <w:spacing w:after="120"/>
      </w:pPr>
      <w:r w:rsidRPr="00055C43">
        <w:rPr>
          <w:rStyle w:val="FootnoteReference"/>
        </w:rPr>
        <w:footnoteRef/>
      </w:r>
      <w:r w:rsidRPr="00055C43">
        <w:t xml:space="preserve"> </w:t>
      </w:r>
      <w:r w:rsidRPr="00055C43" w:rsidR="00697391">
        <w:t>OCC Ex. 1 (</w:t>
      </w:r>
      <w:r w:rsidRPr="00055C43">
        <w:t>Williams Direct</w:t>
      </w:r>
      <w:r w:rsidRPr="00055C43" w:rsidR="00697391">
        <w:t>)</w:t>
      </w:r>
      <w:r w:rsidRPr="00055C43">
        <w:t xml:space="preserve"> at 13.</w:t>
      </w:r>
    </w:p>
  </w:footnote>
  <w:footnote w:id="107">
    <w:p w:rsidR="00C62BF6" w:rsidRPr="00055C43" w:rsidP="00055C43" w14:paraId="3519D2D2" w14:textId="77777777">
      <w:pPr>
        <w:pStyle w:val="FootnoteText"/>
        <w:spacing w:after="120"/>
      </w:pPr>
      <w:r w:rsidRPr="00055C43">
        <w:rPr>
          <w:rStyle w:val="FootnoteReference"/>
        </w:rPr>
        <w:footnoteRef/>
      </w:r>
      <w:r w:rsidRPr="00055C43">
        <w:t xml:space="preserve"> O.A.C. 4901:1-10-30(A)(1); </w:t>
      </w:r>
      <w:r w:rsidRPr="00055C43">
        <w:rPr>
          <w:i/>
          <w:iCs/>
        </w:rPr>
        <w:t>see also</w:t>
      </w:r>
      <w:r w:rsidRPr="00055C43">
        <w:t xml:space="preserve"> R.C. 4905.54.</w:t>
      </w:r>
    </w:p>
  </w:footnote>
  <w:footnote w:id="108">
    <w:p w:rsidR="00C62BF6" w:rsidRPr="00055C43" w:rsidP="00055C43" w14:paraId="3AB99CE1" w14:textId="77777777">
      <w:pPr>
        <w:pStyle w:val="FootnoteText"/>
        <w:spacing w:after="120"/>
        <w:rPr>
          <w:i/>
          <w:iCs/>
        </w:rPr>
      </w:pPr>
      <w:r w:rsidRPr="00055C43">
        <w:rPr>
          <w:rStyle w:val="FootnoteReference"/>
        </w:rPr>
        <w:footnoteRef/>
      </w:r>
      <w:r w:rsidRPr="00055C43">
        <w:t xml:space="preserve"> </w:t>
      </w:r>
      <w:r w:rsidRPr="00055C43">
        <w:rPr>
          <w:i/>
          <w:iCs/>
        </w:rPr>
        <w:t>Id.</w:t>
      </w:r>
    </w:p>
  </w:footnote>
  <w:footnote w:id="109">
    <w:p w:rsidR="00C62BF6" w:rsidRPr="00055C43" w:rsidP="00055C43" w14:paraId="7DC42E5D" w14:textId="77777777">
      <w:pPr>
        <w:pStyle w:val="FootnoteText"/>
        <w:spacing w:after="120"/>
      </w:pPr>
      <w:r w:rsidRPr="00055C43">
        <w:rPr>
          <w:rStyle w:val="FootnoteReference"/>
        </w:rPr>
        <w:footnoteRef/>
      </w:r>
      <w:r w:rsidRPr="00055C43">
        <w:t xml:space="preserve"> </w:t>
      </w:r>
      <w:r w:rsidRPr="00055C43">
        <w:rPr>
          <w:i/>
          <w:iCs/>
        </w:rPr>
        <w:t>Id.</w:t>
      </w:r>
    </w:p>
  </w:footnote>
  <w:footnote w:id="110">
    <w:p w:rsidR="00C62BF6" w:rsidRPr="00055C43" w:rsidP="00055C43" w14:paraId="6A33A2B0" w14:textId="77777777">
      <w:pPr>
        <w:pStyle w:val="FootnoteText"/>
        <w:spacing w:after="120"/>
      </w:pPr>
      <w:r w:rsidRPr="00055C43">
        <w:rPr>
          <w:rStyle w:val="FootnoteReference"/>
        </w:rPr>
        <w:footnoteRef/>
      </w:r>
      <w:r w:rsidRPr="00055C43">
        <w:t xml:space="preserve"> Staff letter introducing the amended Staff Report (July 21, 2022). </w:t>
      </w:r>
    </w:p>
  </w:footnote>
  <w:footnote w:id="111">
    <w:p w:rsidR="00C62BF6" w:rsidRPr="00055C43" w:rsidP="00055C43" w14:paraId="59F53259" w14:textId="7532CE09">
      <w:pPr>
        <w:pStyle w:val="FootnoteText"/>
        <w:spacing w:after="120"/>
      </w:pPr>
      <w:r w:rsidRPr="00055C43">
        <w:rPr>
          <w:rStyle w:val="FootnoteReference"/>
        </w:rPr>
        <w:footnoteRef/>
      </w:r>
      <w:r w:rsidRPr="00055C43">
        <w:t xml:space="preserve"> </w:t>
      </w:r>
      <w:r w:rsidRPr="00055C43" w:rsidR="001F6283">
        <w:t>OCC Ex. 1 (</w:t>
      </w:r>
      <w:r w:rsidRPr="00055C43">
        <w:t>Williams Direct</w:t>
      </w:r>
      <w:r w:rsidRPr="00055C43" w:rsidR="001F6283">
        <w:t>)</w:t>
      </w:r>
      <w:r w:rsidRPr="00055C43">
        <w:t xml:space="preserve"> at 13.</w:t>
      </w:r>
    </w:p>
  </w:footnote>
  <w:footnote w:id="112">
    <w:p w:rsidR="00C62BF6" w:rsidRPr="00055C43" w:rsidP="00055C43" w14:paraId="2E995634" w14:textId="77777777">
      <w:pPr>
        <w:pStyle w:val="FootnoteText"/>
        <w:spacing w:after="120"/>
      </w:pPr>
      <w:r w:rsidRPr="00055C43">
        <w:rPr>
          <w:rStyle w:val="FootnoteReference"/>
        </w:rPr>
        <w:footnoteRef/>
      </w:r>
      <w:r w:rsidRPr="00055C43">
        <w:t xml:space="preserve"> Ohio Adm. Code 4901:1-10-21(H) and 4901:1-13-10(I).</w:t>
      </w:r>
    </w:p>
  </w:footnote>
  <w:footnote w:id="113">
    <w:p w:rsidR="00DC57D2" w:rsidRPr="00055C43" w:rsidP="00055C43" w14:paraId="1310C9FE" w14:textId="5ACFED3A">
      <w:pPr>
        <w:pStyle w:val="FootnoteText"/>
        <w:spacing w:after="120"/>
      </w:pPr>
      <w:r w:rsidRPr="00055C43">
        <w:rPr>
          <w:rStyle w:val="FootnoteReference"/>
        </w:rPr>
        <w:footnoteRef/>
      </w:r>
      <w:r w:rsidRPr="00055C43">
        <w:t xml:space="preserve"> </w:t>
      </w:r>
      <w:r w:rsidRPr="00055C43" w:rsidR="001F6283">
        <w:t xml:space="preserve">Staff Report at 10. </w:t>
      </w:r>
    </w:p>
  </w:footnote>
  <w:footnote w:id="114">
    <w:p w:rsidR="00DC57D2" w:rsidRPr="00055C43" w:rsidP="00055C43" w14:paraId="0621D21E" w14:textId="77777777">
      <w:pPr>
        <w:pStyle w:val="FootnoteText"/>
        <w:spacing w:after="120"/>
      </w:pPr>
      <w:r w:rsidRPr="00055C43">
        <w:rPr>
          <w:rStyle w:val="FootnoteReference"/>
        </w:rPr>
        <w:footnoteRef/>
      </w:r>
      <w:r w:rsidRPr="00055C43">
        <w:t xml:space="preserve"> </w:t>
      </w:r>
      <w:r w:rsidRPr="00055C43">
        <w:rPr>
          <w:i/>
          <w:iCs/>
        </w:rPr>
        <w:t>Id</w:t>
      </w:r>
      <w:r w:rsidRPr="00055C43">
        <w:t>.</w:t>
      </w:r>
    </w:p>
  </w:footnote>
  <w:footnote w:id="115">
    <w:p w:rsidR="00DC57D2" w:rsidRPr="00055C43" w:rsidP="00055C43" w14:paraId="5A868F41" w14:textId="77777777">
      <w:pPr>
        <w:pStyle w:val="FootnoteText"/>
        <w:spacing w:after="120"/>
      </w:pPr>
      <w:r w:rsidRPr="00055C43">
        <w:rPr>
          <w:rStyle w:val="FootnoteReference"/>
        </w:rPr>
        <w:footnoteRef/>
      </w:r>
      <w:r w:rsidRPr="00055C43">
        <w:t xml:space="preserve"> </w:t>
      </w:r>
      <w:r w:rsidRPr="00055C43">
        <w:rPr>
          <w:i/>
          <w:iCs/>
        </w:rPr>
        <w:t>Id</w:t>
      </w:r>
      <w:r w:rsidRPr="00055C43">
        <w:t>.</w:t>
      </w:r>
    </w:p>
  </w:footnote>
  <w:footnote w:id="116">
    <w:p w:rsidR="00C62BF6" w:rsidRPr="00055C43" w:rsidP="00055C43" w14:paraId="7B020A22" w14:textId="58D7BBC4">
      <w:pPr>
        <w:pStyle w:val="FootnoteText"/>
        <w:spacing w:after="120"/>
      </w:pPr>
      <w:r w:rsidRPr="00055C43">
        <w:rPr>
          <w:rStyle w:val="FootnoteReference"/>
        </w:rPr>
        <w:footnoteRef/>
      </w:r>
      <w:r w:rsidRPr="00055C43">
        <w:t xml:space="preserve"> </w:t>
      </w:r>
      <w:r w:rsidRPr="00055C43" w:rsidR="00913FE4">
        <w:t>OCC Ex. 1 (</w:t>
      </w:r>
      <w:r w:rsidRPr="00055C43">
        <w:t>Williams Direct</w:t>
      </w:r>
      <w:r w:rsidRPr="00055C43" w:rsidR="00913FE4">
        <w:t>)</w:t>
      </w:r>
      <w:r w:rsidRPr="00055C43">
        <w:t xml:space="preserve"> at 14.</w:t>
      </w:r>
    </w:p>
  </w:footnote>
  <w:footnote w:id="117">
    <w:p w:rsidR="00C62BF6" w:rsidRPr="00055C43" w:rsidP="00055C43" w14:paraId="184BC592" w14:textId="77777777">
      <w:pPr>
        <w:pStyle w:val="FootnoteText"/>
        <w:spacing w:after="120"/>
        <w:rPr>
          <w:i/>
          <w:iCs/>
        </w:rPr>
      </w:pPr>
      <w:r w:rsidRPr="00055C43">
        <w:rPr>
          <w:rStyle w:val="FootnoteReference"/>
        </w:rPr>
        <w:footnoteRef/>
      </w:r>
      <w:r w:rsidRPr="00055C43">
        <w:t xml:space="preserve"> </w:t>
      </w:r>
      <w:r w:rsidRPr="00055C43">
        <w:rPr>
          <w:i/>
          <w:iCs/>
        </w:rPr>
        <w:t>Id.</w:t>
      </w:r>
    </w:p>
  </w:footnote>
  <w:footnote w:id="118">
    <w:p w:rsidR="00C62BF6" w:rsidRPr="00055C43" w:rsidP="00055C43" w14:paraId="2DE73866" w14:textId="77777777">
      <w:pPr>
        <w:pStyle w:val="FootnoteText"/>
        <w:spacing w:after="120"/>
      </w:pPr>
      <w:r w:rsidRPr="00055C43">
        <w:rPr>
          <w:rStyle w:val="FootnoteReference"/>
        </w:rPr>
        <w:footnoteRef/>
      </w:r>
      <w:r w:rsidRPr="00055C43">
        <w:t xml:space="preserve"> </w:t>
      </w:r>
      <w:r w:rsidRPr="00055C43">
        <w:rPr>
          <w:i/>
          <w:iCs/>
        </w:rPr>
        <w:t>Id.</w:t>
      </w:r>
    </w:p>
  </w:footnote>
  <w:footnote w:id="119">
    <w:p w:rsidR="00C62BF6" w:rsidRPr="00055C43" w:rsidP="00055C43" w14:paraId="1A6B6A0A" w14:textId="77777777">
      <w:pPr>
        <w:pStyle w:val="FootnoteText"/>
        <w:spacing w:after="120"/>
      </w:pPr>
      <w:r w:rsidRPr="00055C43">
        <w:rPr>
          <w:rStyle w:val="FootnoteReference"/>
        </w:rPr>
        <w:footnoteRef/>
      </w:r>
      <w:r w:rsidRPr="00055C43">
        <w:t xml:space="preserve"> </w:t>
      </w:r>
      <w:r w:rsidRPr="00055C43">
        <w:rPr>
          <w:i/>
          <w:iCs/>
        </w:rPr>
        <w:t>Id.</w:t>
      </w:r>
    </w:p>
  </w:footnote>
  <w:footnote w:id="120">
    <w:p w:rsidR="00C62BF6" w:rsidRPr="00055C43" w:rsidP="00055C43" w14:paraId="25CFB1F7" w14:textId="77777777">
      <w:pPr>
        <w:pStyle w:val="FootnoteText"/>
        <w:spacing w:after="120"/>
      </w:pPr>
      <w:r w:rsidRPr="00055C43">
        <w:rPr>
          <w:rStyle w:val="FootnoteReference"/>
        </w:rPr>
        <w:footnoteRef/>
      </w:r>
      <w:r w:rsidRPr="00055C43">
        <w:t xml:space="preserve"> </w:t>
      </w:r>
      <w:r w:rsidRPr="00055C43">
        <w:rPr>
          <w:i/>
          <w:iCs/>
        </w:rPr>
        <w:t>Id.</w:t>
      </w:r>
    </w:p>
  </w:footnote>
  <w:footnote w:id="121">
    <w:p w:rsidR="00C62BF6" w:rsidRPr="00055C43" w:rsidP="00055C43" w14:paraId="2BEB0A47" w14:textId="77777777">
      <w:pPr>
        <w:pStyle w:val="FootnoteText"/>
        <w:spacing w:after="120"/>
      </w:pPr>
      <w:r w:rsidRPr="00055C43">
        <w:rPr>
          <w:rStyle w:val="FootnoteReference"/>
        </w:rPr>
        <w:footnoteRef/>
      </w:r>
      <w:r w:rsidRPr="00055C43">
        <w:t xml:space="preserve"> </w:t>
      </w:r>
      <w:r w:rsidRPr="00055C43">
        <w:rPr>
          <w:i/>
          <w:iCs/>
        </w:rPr>
        <w:t>Id.</w:t>
      </w:r>
    </w:p>
  </w:footnote>
  <w:footnote w:id="122">
    <w:p w:rsidR="00C62BF6" w:rsidRPr="00055C43" w:rsidP="00055C43" w14:paraId="72F60C73" w14:textId="77777777">
      <w:pPr>
        <w:pStyle w:val="FootnoteText"/>
        <w:spacing w:after="120"/>
      </w:pPr>
      <w:r w:rsidRPr="00055C43">
        <w:rPr>
          <w:rStyle w:val="FootnoteReference"/>
        </w:rPr>
        <w:footnoteRef/>
      </w:r>
      <w:r w:rsidRPr="00055C43">
        <w:t xml:space="preserve"> </w:t>
      </w:r>
      <w:r w:rsidRPr="00055C43">
        <w:rPr>
          <w:i/>
          <w:iCs/>
        </w:rPr>
        <w:t xml:space="preserve">Id. </w:t>
      </w:r>
      <w:r w:rsidRPr="00055C43">
        <w:t>at 15.</w:t>
      </w:r>
    </w:p>
  </w:footnote>
  <w:footnote w:id="123">
    <w:p w:rsidR="00C62BF6" w:rsidRPr="00055C43" w:rsidP="00055C43" w14:paraId="64487CA1" w14:textId="77777777">
      <w:pPr>
        <w:pStyle w:val="FootnoteText"/>
        <w:spacing w:after="120"/>
      </w:pPr>
      <w:r w:rsidRPr="00055C43">
        <w:rPr>
          <w:rStyle w:val="FootnoteReference"/>
        </w:rPr>
        <w:footnoteRef/>
      </w:r>
      <w:r w:rsidRPr="00055C43">
        <w:t xml:space="preserve"> </w:t>
      </w:r>
      <w:r w:rsidRPr="00055C43">
        <w:rPr>
          <w:i/>
          <w:iCs/>
        </w:rPr>
        <w:t>Id.</w:t>
      </w:r>
    </w:p>
  </w:footnote>
  <w:footnote w:id="124">
    <w:p w:rsidR="00C62BF6" w:rsidRPr="00055C43" w:rsidP="00055C43" w14:paraId="4BE21935" w14:textId="77777777">
      <w:pPr>
        <w:pStyle w:val="FootnoteText"/>
        <w:spacing w:after="120"/>
      </w:pPr>
      <w:r w:rsidRPr="00055C43">
        <w:rPr>
          <w:rStyle w:val="FootnoteReference"/>
        </w:rPr>
        <w:footnoteRef/>
      </w:r>
      <w:r w:rsidRPr="00055C43">
        <w:t xml:space="preserve"> </w:t>
      </w:r>
      <w:r w:rsidRPr="00055C43">
        <w:rPr>
          <w:i/>
          <w:iCs/>
        </w:rPr>
        <w:t>Id.</w:t>
      </w:r>
    </w:p>
  </w:footnote>
  <w:footnote w:id="125">
    <w:p w:rsidR="00C62BF6" w:rsidRPr="00055C43" w:rsidP="00055C43" w14:paraId="3BEDF599" w14:textId="77777777">
      <w:pPr>
        <w:pStyle w:val="FootnoteText"/>
        <w:spacing w:after="120"/>
      </w:pPr>
      <w:r w:rsidRPr="00055C43">
        <w:rPr>
          <w:rStyle w:val="FootnoteReference"/>
        </w:rPr>
        <w:footnoteRef/>
      </w:r>
      <w:r w:rsidRPr="00055C43">
        <w:t xml:space="preserve"> </w:t>
      </w:r>
      <w:r w:rsidRPr="00055C43">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405" w14:paraId="294DD93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313817"/>
    <w:multiLevelType w:val="hybridMultilevel"/>
    <w:tmpl w:val="453EDB8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E61186"/>
    <w:multiLevelType w:val="hybridMultilevel"/>
    <w:tmpl w:val="0A76AA3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805C31"/>
    <w:multiLevelType w:val="hybridMultilevel"/>
    <w:tmpl w:val="4874126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0FBC469C"/>
    <w:multiLevelType w:val="hybridMultilevel"/>
    <w:tmpl w:val="E02A2F72"/>
    <w:lvl w:ilvl="0">
      <w:start w:val="1"/>
      <w:numFmt w:val="decimal"/>
      <w:lvlText w:val="%1."/>
      <w:lvlJc w:val="left"/>
      <w:pPr>
        <w:ind w:left="1530" w:hanging="360"/>
      </w:pPr>
      <w:rPr>
        <w:rFonts w:hint="default"/>
        <w:b/>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5">
    <w:nsid w:val="18175B7D"/>
    <w:multiLevelType w:val="hybridMultilevel"/>
    <w:tmpl w:val="CCEE537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946555C"/>
    <w:multiLevelType w:val="hybridMultilevel"/>
    <w:tmpl w:val="610EBC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3A3595C"/>
    <w:multiLevelType w:val="hybridMultilevel"/>
    <w:tmpl w:val="5CDCBFC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046284"/>
    <w:multiLevelType w:val="hybridMultilevel"/>
    <w:tmpl w:val="4C5E314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FFF0C59"/>
    <w:multiLevelType w:val="hybridMultilevel"/>
    <w:tmpl w:val="6CE4FD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1D916A9"/>
    <w:multiLevelType w:val="hybridMultilevel"/>
    <w:tmpl w:val="AC143070"/>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D4F4496"/>
    <w:multiLevelType w:val="hybridMultilevel"/>
    <w:tmpl w:val="32E6EAA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CDA1909"/>
    <w:multiLevelType w:val="hybridMultilevel"/>
    <w:tmpl w:val="34F2785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3">
    <w:nsid w:val="4FD71E19"/>
    <w:multiLevelType w:val="hybridMultilevel"/>
    <w:tmpl w:val="ED3A6F0A"/>
    <w:lvl w:ilvl="0">
      <w:start w:val="1"/>
      <w:numFmt w:val="upperLetter"/>
      <w:lvlText w:val="%1."/>
      <w:lvlJc w:val="left"/>
      <w:pPr>
        <w:ind w:left="6120" w:hanging="540"/>
      </w:pPr>
      <w:rPr>
        <w:rFonts w:hint="default"/>
      </w:rPr>
    </w:lvl>
    <w:lvl w:ilvl="1">
      <w:start w:val="1"/>
      <w:numFmt w:val="lowerLetter"/>
      <w:lvlText w:val="%2."/>
      <w:lvlJc w:val="left"/>
      <w:pPr>
        <w:ind w:left="6660" w:hanging="360"/>
      </w:pPr>
    </w:lvl>
    <w:lvl w:ilvl="2" w:tentative="1">
      <w:start w:val="1"/>
      <w:numFmt w:val="lowerRoman"/>
      <w:lvlText w:val="%3."/>
      <w:lvlJc w:val="right"/>
      <w:pPr>
        <w:ind w:left="7380" w:hanging="180"/>
      </w:pPr>
    </w:lvl>
    <w:lvl w:ilvl="3" w:tentative="1">
      <w:start w:val="1"/>
      <w:numFmt w:val="decimal"/>
      <w:lvlText w:val="%4."/>
      <w:lvlJc w:val="left"/>
      <w:pPr>
        <w:ind w:left="8100" w:hanging="360"/>
      </w:pPr>
    </w:lvl>
    <w:lvl w:ilvl="4" w:tentative="1">
      <w:start w:val="1"/>
      <w:numFmt w:val="lowerLetter"/>
      <w:lvlText w:val="%5."/>
      <w:lvlJc w:val="left"/>
      <w:pPr>
        <w:ind w:left="8820" w:hanging="360"/>
      </w:pPr>
    </w:lvl>
    <w:lvl w:ilvl="5" w:tentative="1">
      <w:start w:val="1"/>
      <w:numFmt w:val="lowerRoman"/>
      <w:lvlText w:val="%6."/>
      <w:lvlJc w:val="right"/>
      <w:pPr>
        <w:ind w:left="9540" w:hanging="180"/>
      </w:pPr>
    </w:lvl>
    <w:lvl w:ilvl="6" w:tentative="1">
      <w:start w:val="1"/>
      <w:numFmt w:val="decimal"/>
      <w:lvlText w:val="%7."/>
      <w:lvlJc w:val="left"/>
      <w:pPr>
        <w:ind w:left="10260" w:hanging="360"/>
      </w:pPr>
    </w:lvl>
    <w:lvl w:ilvl="7" w:tentative="1">
      <w:start w:val="1"/>
      <w:numFmt w:val="lowerLetter"/>
      <w:lvlText w:val="%8."/>
      <w:lvlJc w:val="left"/>
      <w:pPr>
        <w:ind w:left="10980" w:hanging="360"/>
      </w:pPr>
    </w:lvl>
    <w:lvl w:ilvl="8" w:tentative="1">
      <w:start w:val="1"/>
      <w:numFmt w:val="lowerRoman"/>
      <w:lvlText w:val="%9."/>
      <w:lvlJc w:val="right"/>
      <w:pPr>
        <w:ind w:left="11700" w:hanging="180"/>
      </w:pPr>
    </w:lvl>
  </w:abstractNum>
  <w:abstractNum w:abstractNumId="14">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5D240AB2"/>
    <w:multiLevelType w:val="hybridMultilevel"/>
    <w:tmpl w:val="0A76AA3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F0B67DB"/>
    <w:multiLevelType w:val="hybridMultilevel"/>
    <w:tmpl w:val="7EA640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7247528A"/>
    <w:multiLevelType w:val="hybridMultilevel"/>
    <w:tmpl w:val="B56A4A26"/>
    <w:lvl w:ilvl="0">
      <w:start w:val="5"/>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794F198A"/>
    <w:multiLevelType w:val="hybridMultilevel"/>
    <w:tmpl w:val="6CE4FD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5"/>
  </w:num>
  <w:num w:numId="2">
    <w:abstractNumId w:val="14"/>
  </w:num>
  <w:num w:numId="3">
    <w:abstractNumId w:val="19"/>
  </w:num>
  <w:num w:numId="4">
    <w:abstractNumId w:val="18"/>
  </w:num>
  <w:num w:numId="5">
    <w:abstractNumId w:val="1"/>
  </w:num>
  <w:num w:numId="6">
    <w:abstractNumId w:val="21"/>
  </w:num>
  <w:num w:numId="7">
    <w:abstractNumId w:val="6"/>
  </w:num>
  <w:num w:numId="8">
    <w:abstractNumId w:val="17"/>
  </w:num>
  <w:num w:numId="9">
    <w:abstractNumId w:val="8"/>
  </w:num>
  <w:num w:numId="10">
    <w:abstractNumId w:val="0"/>
  </w:num>
  <w:num w:numId="11">
    <w:abstractNumId w:val="11"/>
  </w:num>
  <w:num w:numId="12">
    <w:abstractNumId w:val="3"/>
  </w:num>
  <w:num w:numId="13">
    <w:abstractNumId w:val="22"/>
  </w:num>
  <w:num w:numId="14">
    <w:abstractNumId w:val="9"/>
  </w:num>
  <w:num w:numId="15">
    <w:abstractNumId w:val="7"/>
  </w:num>
  <w:num w:numId="16">
    <w:abstractNumId w:val="12"/>
  </w:num>
  <w:num w:numId="17">
    <w:abstractNumId w:val="13"/>
  </w:num>
  <w:num w:numId="18">
    <w:abstractNumId w:val="4"/>
  </w:num>
  <w:num w:numId="19">
    <w:abstractNumId w:val="5"/>
  </w:num>
  <w:num w:numId="20">
    <w:abstractNumId w:val="10"/>
  </w:num>
  <w:num w:numId="21">
    <w:abstractNumId w:val="16"/>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09"/>
    <w:rsid w:val="000002F7"/>
    <w:rsid w:val="0000110D"/>
    <w:rsid w:val="00002598"/>
    <w:rsid w:val="000039FF"/>
    <w:rsid w:val="00010B85"/>
    <w:rsid w:val="00016647"/>
    <w:rsid w:val="000202BF"/>
    <w:rsid w:val="00022148"/>
    <w:rsid w:val="00026747"/>
    <w:rsid w:val="00027501"/>
    <w:rsid w:val="00031682"/>
    <w:rsid w:val="00034CD8"/>
    <w:rsid w:val="000354AA"/>
    <w:rsid w:val="000412B5"/>
    <w:rsid w:val="00046A9C"/>
    <w:rsid w:val="00050A9D"/>
    <w:rsid w:val="00051C12"/>
    <w:rsid w:val="000524E0"/>
    <w:rsid w:val="000526F0"/>
    <w:rsid w:val="0005382F"/>
    <w:rsid w:val="00055C43"/>
    <w:rsid w:val="000578A2"/>
    <w:rsid w:val="000635F2"/>
    <w:rsid w:val="0006609A"/>
    <w:rsid w:val="00066CF9"/>
    <w:rsid w:val="000671F2"/>
    <w:rsid w:val="0007088F"/>
    <w:rsid w:val="000720B8"/>
    <w:rsid w:val="0008253D"/>
    <w:rsid w:val="00091197"/>
    <w:rsid w:val="00091BC7"/>
    <w:rsid w:val="000925F8"/>
    <w:rsid w:val="000A0CCD"/>
    <w:rsid w:val="000A0D13"/>
    <w:rsid w:val="000A2D44"/>
    <w:rsid w:val="000A3B40"/>
    <w:rsid w:val="000A3CAF"/>
    <w:rsid w:val="000A4150"/>
    <w:rsid w:val="000A469D"/>
    <w:rsid w:val="000B166E"/>
    <w:rsid w:val="000B1BB1"/>
    <w:rsid w:val="000B1CB4"/>
    <w:rsid w:val="000B5816"/>
    <w:rsid w:val="000B727C"/>
    <w:rsid w:val="000B7ED7"/>
    <w:rsid w:val="000C1C75"/>
    <w:rsid w:val="000C3EC1"/>
    <w:rsid w:val="000C49E0"/>
    <w:rsid w:val="000D0DD6"/>
    <w:rsid w:val="000D4523"/>
    <w:rsid w:val="000E3CF4"/>
    <w:rsid w:val="000E6C64"/>
    <w:rsid w:val="000F0366"/>
    <w:rsid w:val="000F0B9D"/>
    <w:rsid w:val="000F30E3"/>
    <w:rsid w:val="000F35C5"/>
    <w:rsid w:val="000F389B"/>
    <w:rsid w:val="000F5572"/>
    <w:rsid w:val="001004E4"/>
    <w:rsid w:val="001017FF"/>
    <w:rsid w:val="00104858"/>
    <w:rsid w:val="0010516C"/>
    <w:rsid w:val="00106466"/>
    <w:rsid w:val="00106709"/>
    <w:rsid w:val="00106AD8"/>
    <w:rsid w:val="001077B5"/>
    <w:rsid w:val="00107DE7"/>
    <w:rsid w:val="00110037"/>
    <w:rsid w:val="001101EE"/>
    <w:rsid w:val="00114114"/>
    <w:rsid w:val="0011455B"/>
    <w:rsid w:val="00114992"/>
    <w:rsid w:val="001151B9"/>
    <w:rsid w:val="001233CD"/>
    <w:rsid w:val="001239CE"/>
    <w:rsid w:val="00124E2D"/>
    <w:rsid w:val="00131AF0"/>
    <w:rsid w:val="00131EDB"/>
    <w:rsid w:val="00131F7D"/>
    <w:rsid w:val="00134990"/>
    <w:rsid w:val="0013499B"/>
    <w:rsid w:val="00137B4D"/>
    <w:rsid w:val="00142D96"/>
    <w:rsid w:val="001467EE"/>
    <w:rsid w:val="0014791C"/>
    <w:rsid w:val="00151C2D"/>
    <w:rsid w:val="00154249"/>
    <w:rsid w:val="00155A3A"/>
    <w:rsid w:val="0015682E"/>
    <w:rsid w:val="00160EA7"/>
    <w:rsid w:val="00162330"/>
    <w:rsid w:val="001624B5"/>
    <w:rsid w:val="00162941"/>
    <w:rsid w:val="00163C30"/>
    <w:rsid w:val="00165BE8"/>
    <w:rsid w:val="00170460"/>
    <w:rsid w:val="00174D12"/>
    <w:rsid w:val="001836F7"/>
    <w:rsid w:val="00183A53"/>
    <w:rsid w:val="0018576C"/>
    <w:rsid w:val="00187364"/>
    <w:rsid w:val="001941E0"/>
    <w:rsid w:val="001948AF"/>
    <w:rsid w:val="001955A8"/>
    <w:rsid w:val="001974F7"/>
    <w:rsid w:val="001A32B9"/>
    <w:rsid w:val="001A49B1"/>
    <w:rsid w:val="001A5616"/>
    <w:rsid w:val="001A7091"/>
    <w:rsid w:val="001A7452"/>
    <w:rsid w:val="001B2ADD"/>
    <w:rsid w:val="001B409B"/>
    <w:rsid w:val="001B5005"/>
    <w:rsid w:val="001B7D87"/>
    <w:rsid w:val="001C2403"/>
    <w:rsid w:val="001C4D30"/>
    <w:rsid w:val="001C5EA5"/>
    <w:rsid w:val="001D3793"/>
    <w:rsid w:val="001D535F"/>
    <w:rsid w:val="001E73A3"/>
    <w:rsid w:val="001F372C"/>
    <w:rsid w:val="001F6283"/>
    <w:rsid w:val="001F6EC4"/>
    <w:rsid w:val="00204DCE"/>
    <w:rsid w:val="0020516E"/>
    <w:rsid w:val="0020533C"/>
    <w:rsid w:val="00206778"/>
    <w:rsid w:val="00206E19"/>
    <w:rsid w:val="0020772D"/>
    <w:rsid w:val="00210D25"/>
    <w:rsid w:val="00216EDE"/>
    <w:rsid w:val="00220694"/>
    <w:rsid w:val="00225741"/>
    <w:rsid w:val="00230CF7"/>
    <w:rsid w:val="00231BA4"/>
    <w:rsid w:val="00234F55"/>
    <w:rsid w:val="0023667E"/>
    <w:rsid w:val="00240621"/>
    <w:rsid w:val="00241D43"/>
    <w:rsid w:val="00242169"/>
    <w:rsid w:val="002422D0"/>
    <w:rsid w:val="0024468E"/>
    <w:rsid w:val="00244818"/>
    <w:rsid w:val="00246BF3"/>
    <w:rsid w:val="00247F58"/>
    <w:rsid w:val="00260432"/>
    <w:rsid w:val="002622B5"/>
    <w:rsid w:val="00262528"/>
    <w:rsid w:val="00262DEF"/>
    <w:rsid w:val="00263991"/>
    <w:rsid w:val="00271DDB"/>
    <w:rsid w:val="00272A47"/>
    <w:rsid w:val="00273017"/>
    <w:rsid w:val="00274DC4"/>
    <w:rsid w:val="00274EB5"/>
    <w:rsid w:val="002750A5"/>
    <w:rsid w:val="00276DF1"/>
    <w:rsid w:val="00277B52"/>
    <w:rsid w:val="002803A7"/>
    <w:rsid w:val="00283B86"/>
    <w:rsid w:val="00290A6D"/>
    <w:rsid w:val="00292709"/>
    <w:rsid w:val="0029380D"/>
    <w:rsid w:val="00294557"/>
    <w:rsid w:val="00295113"/>
    <w:rsid w:val="002951DF"/>
    <w:rsid w:val="002957C4"/>
    <w:rsid w:val="002A2129"/>
    <w:rsid w:val="002A27CF"/>
    <w:rsid w:val="002A4452"/>
    <w:rsid w:val="002A715F"/>
    <w:rsid w:val="002B08BF"/>
    <w:rsid w:val="002B2F3F"/>
    <w:rsid w:val="002B3086"/>
    <w:rsid w:val="002B3605"/>
    <w:rsid w:val="002C13BD"/>
    <w:rsid w:val="002C1C0A"/>
    <w:rsid w:val="002C2434"/>
    <w:rsid w:val="002C40AA"/>
    <w:rsid w:val="002C4F13"/>
    <w:rsid w:val="002D185D"/>
    <w:rsid w:val="002E1127"/>
    <w:rsid w:val="002E17C2"/>
    <w:rsid w:val="002E404D"/>
    <w:rsid w:val="002E4553"/>
    <w:rsid w:val="002E576E"/>
    <w:rsid w:val="002E5927"/>
    <w:rsid w:val="002E7260"/>
    <w:rsid w:val="002F3162"/>
    <w:rsid w:val="002F41B3"/>
    <w:rsid w:val="002F59DA"/>
    <w:rsid w:val="002F5E90"/>
    <w:rsid w:val="002F6CFC"/>
    <w:rsid w:val="0030206E"/>
    <w:rsid w:val="0030616B"/>
    <w:rsid w:val="003122E4"/>
    <w:rsid w:val="00312306"/>
    <w:rsid w:val="00316D26"/>
    <w:rsid w:val="00330645"/>
    <w:rsid w:val="003346CD"/>
    <w:rsid w:val="0033500A"/>
    <w:rsid w:val="00337645"/>
    <w:rsid w:val="00337FD0"/>
    <w:rsid w:val="00340403"/>
    <w:rsid w:val="00340C68"/>
    <w:rsid w:val="00340F51"/>
    <w:rsid w:val="0034156F"/>
    <w:rsid w:val="00341907"/>
    <w:rsid w:val="00344050"/>
    <w:rsid w:val="00344F44"/>
    <w:rsid w:val="0034729F"/>
    <w:rsid w:val="0035237D"/>
    <w:rsid w:val="00362EB8"/>
    <w:rsid w:val="00365412"/>
    <w:rsid w:val="00380EC1"/>
    <w:rsid w:val="00381C5F"/>
    <w:rsid w:val="003833FB"/>
    <w:rsid w:val="003837A6"/>
    <w:rsid w:val="003874E3"/>
    <w:rsid w:val="00391638"/>
    <w:rsid w:val="003943D8"/>
    <w:rsid w:val="0039740A"/>
    <w:rsid w:val="00397CD8"/>
    <w:rsid w:val="00397F54"/>
    <w:rsid w:val="003A05EC"/>
    <w:rsid w:val="003A2BAC"/>
    <w:rsid w:val="003A42F4"/>
    <w:rsid w:val="003A4904"/>
    <w:rsid w:val="003B0B72"/>
    <w:rsid w:val="003B1A4B"/>
    <w:rsid w:val="003B68C2"/>
    <w:rsid w:val="003C67FD"/>
    <w:rsid w:val="003D48D3"/>
    <w:rsid w:val="003D715D"/>
    <w:rsid w:val="003E0E94"/>
    <w:rsid w:val="003E2634"/>
    <w:rsid w:val="003E78B4"/>
    <w:rsid w:val="003F1EB8"/>
    <w:rsid w:val="003F306A"/>
    <w:rsid w:val="003F4332"/>
    <w:rsid w:val="003F44AC"/>
    <w:rsid w:val="003F4844"/>
    <w:rsid w:val="003F7530"/>
    <w:rsid w:val="00400B5C"/>
    <w:rsid w:val="00406DF4"/>
    <w:rsid w:val="00413A2B"/>
    <w:rsid w:val="0041483E"/>
    <w:rsid w:val="0041524D"/>
    <w:rsid w:val="00415B1A"/>
    <w:rsid w:val="0041706C"/>
    <w:rsid w:val="004172B8"/>
    <w:rsid w:val="004176FF"/>
    <w:rsid w:val="00417BBC"/>
    <w:rsid w:val="00424A92"/>
    <w:rsid w:val="00426CF8"/>
    <w:rsid w:val="004308A8"/>
    <w:rsid w:val="004317F7"/>
    <w:rsid w:val="00435C69"/>
    <w:rsid w:val="00441D30"/>
    <w:rsid w:val="00445FC2"/>
    <w:rsid w:val="00447972"/>
    <w:rsid w:val="004535A2"/>
    <w:rsid w:val="0045416D"/>
    <w:rsid w:val="00457D1C"/>
    <w:rsid w:val="004603BD"/>
    <w:rsid w:val="00461250"/>
    <w:rsid w:val="004629B7"/>
    <w:rsid w:val="00463BF8"/>
    <w:rsid w:val="00465BC4"/>
    <w:rsid w:val="004677E5"/>
    <w:rsid w:val="004719C4"/>
    <w:rsid w:val="00473351"/>
    <w:rsid w:val="00473FA6"/>
    <w:rsid w:val="00475A03"/>
    <w:rsid w:val="00476DF5"/>
    <w:rsid w:val="004829D6"/>
    <w:rsid w:val="00483D93"/>
    <w:rsid w:val="00484B09"/>
    <w:rsid w:val="00486815"/>
    <w:rsid w:val="0049109A"/>
    <w:rsid w:val="0049214A"/>
    <w:rsid w:val="00497D77"/>
    <w:rsid w:val="004A22C8"/>
    <w:rsid w:val="004A3D04"/>
    <w:rsid w:val="004A5E75"/>
    <w:rsid w:val="004A62F4"/>
    <w:rsid w:val="004A66B6"/>
    <w:rsid w:val="004A6984"/>
    <w:rsid w:val="004A6EE2"/>
    <w:rsid w:val="004A76B5"/>
    <w:rsid w:val="004B1662"/>
    <w:rsid w:val="004B17F3"/>
    <w:rsid w:val="004B69AE"/>
    <w:rsid w:val="004B7901"/>
    <w:rsid w:val="004C070C"/>
    <w:rsid w:val="004C0B58"/>
    <w:rsid w:val="004C1B77"/>
    <w:rsid w:val="004C5A32"/>
    <w:rsid w:val="004C7A51"/>
    <w:rsid w:val="004D241F"/>
    <w:rsid w:val="004D44AF"/>
    <w:rsid w:val="004D4C9B"/>
    <w:rsid w:val="004D5138"/>
    <w:rsid w:val="004E0A1C"/>
    <w:rsid w:val="004E1479"/>
    <w:rsid w:val="004E1D79"/>
    <w:rsid w:val="004E2A2C"/>
    <w:rsid w:val="004E44F4"/>
    <w:rsid w:val="004E6536"/>
    <w:rsid w:val="004E7041"/>
    <w:rsid w:val="004E7DFC"/>
    <w:rsid w:val="004F2B9F"/>
    <w:rsid w:val="004F646B"/>
    <w:rsid w:val="004F73E5"/>
    <w:rsid w:val="00500B79"/>
    <w:rsid w:val="00501550"/>
    <w:rsid w:val="00501992"/>
    <w:rsid w:val="00502500"/>
    <w:rsid w:val="00503056"/>
    <w:rsid w:val="00510045"/>
    <w:rsid w:val="005107CC"/>
    <w:rsid w:val="00511807"/>
    <w:rsid w:val="00511FA9"/>
    <w:rsid w:val="00512F13"/>
    <w:rsid w:val="005152CF"/>
    <w:rsid w:val="00521DD9"/>
    <w:rsid w:val="00526A4D"/>
    <w:rsid w:val="00526FC5"/>
    <w:rsid w:val="00532D71"/>
    <w:rsid w:val="005356D7"/>
    <w:rsid w:val="00541A35"/>
    <w:rsid w:val="00543D32"/>
    <w:rsid w:val="00544F0C"/>
    <w:rsid w:val="0054563D"/>
    <w:rsid w:val="00545D3C"/>
    <w:rsid w:val="00546352"/>
    <w:rsid w:val="0055283B"/>
    <w:rsid w:val="00553AEB"/>
    <w:rsid w:val="005547C6"/>
    <w:rsid w:val="0056206C"/>
    <w:rsid w:val="00562DA9"/>
    <w:rsid w:val="005637DC"/>
    <w:rsid w:val="00566CF1"/>
    <w:rsid w:val="00575526"/>
    <w:rsid w:val="00577318"/>
    <w:rsid w:val="00577C6E"/>
    <w:rsid w:val="00577C93"/>
    <w:rsid w:val="00586ED4"/>
    <w:rsid w:val="0059231F"/>
    <w:rsid w:val="0059283C"/>
    <w:rsid w:val="005939E7"/>
    <w:rsid w:val="00593F41"/>
    <w:rsid w:val="00594E90"/>
    <w:rsid w:val="005961A7"/>
    <w:rsid w:val="005A19C2"/>
    <w:rsid w:val="005A284D"/>
    <w:rsid w:val="005A4C7E"/>
    <w:rsid w:val="005A6DBC"/>
    <w:rsid w:val="005B00E4"/>
    <w:rsid w:val="005B331B"/>
    <w:rsid w:val="005B5716"/>
    <w:rsid w:val="005B6B86"/>
    <w:rsid w:val="005C407E"/>
    <w:rsid w:val="005C5246"/>
    <w:rsid w:val="005C5C98"/>
    <w:rsid w:val="005C64EE"/>
    <w:rsid w:val="005D3F48"/>
    <w:rsid w:val="005D4737"/>
    <w:rsid w:val="005D4EB3"/>
    <w:rsid w:val="005F1B61"/>
    <w:rsid w:val="005F1BA0"/>
    <w:rsid w:val="005F211C"/>
    <w:rsid w:val="005F2298"/>
    <w:rsid w:val="005F5B4C"/>
    <w:rsid w:val="00603277"/>
    <w:rsid w:val="0060598B"/>
    <w:rsid w:val="00605B14"/>
    <w:rsid w:val="00606308"/>
    <w:rsid w:val="0060675D"/>
    <w:rsid w:val="00606D17"/>
    <w:rsid w:val="00611649"/>
    <w:rsid w:val="00613568"/>
    <w:rsid w:val="00614222"/>
    <w:rsid w:val="00614F1F"/>
    <w:rsid w:val="00615CAC"/>
    <w:rsid w:val="00615F55"/>
    <w:rsid w:val="006238BC"/>
    <w:rsid w:val="00623BD0"/>
    <w:rsid w:val="006309C5"/>
    <w:rsid w:val="006357DA"/>
    <w:rsid w:val="006416B6"/>
    <w:rsid w:val="00641FA9"/>
    <w:rsid w:val="00642405"/>
    <w:rsid w:val="0064320C"/>
    <w:rsid w:val="0064520B"/>
    <w:rsid w:val="006453F7"/>
    <w:rsid w:val="00645B90"/>
    <w:rsid w:val="00646111"/>
    <w:rsid w:val="006511C0"/>
    <w:rsid w:val="00655155"/>
    <w:rsid w:val="00655B4E"/>
    <w:rsid w:val="0065689A"/>
    <w:rsid w:val="006629C4"/>
    <w:rsid w:val="00665C0A"/>
    <w:rsid w:val="006672FD"/>
    <w:rsid w:val="00667D30"/>
    <w:rsid w:val="00670895"/>
    <w:rsid w:val="00674C43"/>
    <w:rsid w:val="00677B52"/>
    <w:rsid w:val="00681F3F"/>
    <w:rsid w:val="00683224"/>
    <w:rsid w:val="006859F7"/>
    <w:rsid w:val="00685CF7"/>
    <w:rsid w:val="00687AFF"/>
    <w:rsid w:val="00687B8B"/>
    <w:rsid w:val="00690646"/>
    <w:rsid w:val="006917C6"/>
    <w:rsid w:val="00694B2A"/>
    <w:rsid w:val="006960C6"/>
    <w:rsid w:val="00697391"/>
    <w:rsid w:val="00697A2E"/>
    <w:rsid w:val="00697CA2"/>
    <w:rsid w:val="006A1716"/>
    <w:rsid w:val="006A3710"/>
    <w:rsid w:val="006A37D6"/>
    <w:rsid w:val="006A3CF8"/>
    <w:rsid w:val="006B3314"/>
    <w:rsid w:val="006B3CF6"/>
    <w:rsid w:val="006B450E"/>
    <w:rsid w:val="006B764D"/>
    <w:rsid w:val="006C0815"/>
    <w:rsid w:val="006C2ACB"/>
    <w:rsid w:val="006D20C5"/>
    <w:rsid w:val="006D3179"/>
    <w:rsid w:val="006D3E00"/>
    <w:rsid w:val="006D4759"/>
    <w:rsid w:val="006D5580"/>
    <w:rsid w:val="006E15BF"/>
    <w:rsid w:val="006E569F"/>
    <w:rsid w:val="006E6654"/>
    <w:rsid w:val="006E6802"/>
    <w:rsid w:val="006E6D5D"/>
    <w:rsid w:val="006F27E7"/>
    <w:rsid w:val="006F29E2"/>
    <w:rsid w:val="006F4807"/>
    <w:rsid w:val="006F4F3B"/>
    <w:rsid w:val="006F5202"/>
    <w:rsid w:val="006F6710"/>
    <w:rsid w:val="00700A8A"/>
    <w:rsid w:val="00700FB1"/>
    <w:rsid w:val="0070178C"/>
    <w:rsid w:val="00706C4B"/>
    <w:rsid w:val="00707559"/>
    <w:rsid w:val="007115BE"/>
    <w:rsid w:val="00711BAE"/>
    <w:rsid w:val="007133F8"/>
    <w:rsid w:val="00716257"/>
    <w:rsid w:val="007172AC"/>
    <w:rsid w:val="007212A9"/>
    <w:rsid w:val="00721F9A"/>
    <w:rsid w:val="00727FF6"/>
    <w:rsid w:val="00731B26"/>
    <w:rsid w:val="00731F02"/>
    <w:rsid w:val="00731F55"/>
    <w:rsid w:val="007320F8"/>
    <w:rsid w:val="0073422D"/>
    <w:rsid w:val="0073453E"/>
    <w:rsid w:val="00735EE2"/>
    <w:rsid w:val="00736802"/>
    <w:rsid w:val="007528C2"/>
    <w:rsid w:val="00755082"/>
    <w:rsid w:val="0076595D"/>
    <w:rsid w:val="00766074"/>
    <w:rsid w:val="00767A31"/>
    <w:rsid w:val="0077061F"/>
    <w:rsid w:val="0077248A"/>
    <w:rsid w:val="00775A93"/>
    <w:rsid w:val="0077658D"/>
    <w:rsid w:val="00782AB2"/>
    <w:rsid w:val="00784A42"/>
    <w:rsid w:val="00785146"/>
    <w:rsid w:val="007856B5"/>
    <w:rsid w:val="00786590"/>
    <w:rsid w:val="00791135"/>
    <w:rsid w:val="007912E0"/>
    <w:rsid w:val="00791807"/>
    <w:rsid w:val="007A6127"/>
    <w:rsid w:val="007A7029"/>
    <w:rsid w:val="007A7105"/>
    <w:rsid w:val="007B0422"/>
    <w:rsid w:val="007B068C"/>
    <w:rsid w:val="007B142D"/>
    <w:rsid w:val="007B390B"/>
    <w:rsid w:val="007B3AF6"/>
    <w:rsid w:val="007B4591"/>
    <w:rsid w:val="007B77D3"/>
    <w:rsid w:val="007C14AA"/>
    <w:rsid w:val="007C26AC"/>
    <w:rsid w:val="007C560A"/>
    <w:rsid w:val="007D1109"/>
    <w:rsid w:val="007D234C"/>
    <w:rsid w:val="007D295A"/>
    <w:rsid w:val="007D543C"/>
    <w:rsid w:val="007D5AE5"/>
    <w:rsid w:val="007E2879"/>
    <w:rsid w:val="007E4A10"/>
    <w:rsid w:val="007E4AE3"/>
    <w:rsid w:val="007F08CC"/>
    <w:rsid w:val="007F2CC1"/>
    <w:rsid w:val="007F40A0"/>
    <w:rsid w:val="007F48D4"/>
    <w:rsid w:val="008001E5"/>
    <w:rsid w:val="00804E49"/>
    <w:rsid w:val="00805AD1"/>
    <w:rsid w:val="00805F1D"/>
    <w:rsid w:val="0080746E"/>
    <w:rsid w:val="00807AD7"/>
    <w:rsid w:val="00810BAE"/>
    <w:rsid w:val="0081139F"/>
    <w:rsid w:val="00812AC8"/>
    <w:rsid w:val="00813CC3"/>
    <w:rsid w:val="00814057"/>
    <w:rsid w:val="008141BB"/>
    <w:rsid w:val="008148F4"/>
    <w:rsid w:val="0081674B"/>
    <w:rsid w:val="00817811"/>
    <w:rsid w:val="00820F8F"/>
    <w:rsid w:val="00822497"/>
    <w:rsid w:val="00822AAC"/>
    <w:rsid w:val="00823B23"/>
    <w:rsid w:val="0082794D"/>
    <w:rsid w:val="008310A9"/>
    <w:rsid w:val="008310ED"/>
    <w:rsid w:val="00832191"/>
    <w:rsid w:val="0083259F"/>
    <w:rsid w:val="008331FF"/>
    <w:rsid w:val="0083591F"/>
    <w:rsid w:val="00837DD4"/>
    <w:rsid w:val="00841F00"/>
    <w:rsid w:val="00846B8F"/>
    <w:rsid w:val="0084727C"/>
    <w:rsid w:val="008506DE"/>
    <w:rsid w:val="00851376"/>
    <w:rsid w:val="00854068"/>
    <w:rsid w:val="008548B0"/>
    <w:rsid w:val="0085600E"/>
    <w:rsid w:val="00861214"/>
    <w:rsid w:val="0086369F"/>
    <w:rsid w:val="0086417B"/>
    <w:rsid w:val="00864D76"/>
    <w:rsid w:val="0086538C"/>
    <w:rsid w:val="00865ACA"/>
    <w:rsid w:val="008673F7"/>
    <w:rsid w:val="00873C35"/>
    <w:rsid w:val="00883CD7"/>
    <w:rsid w:val="00883E8D"/>
    <w:rsid w:val="0088608D"/>
    <w:rsid w:val="0088688C"/>
    <w:rsid w:val="00887AF3"/>
    <w:rsid w:val="008904E7"/>
    <w:rsid w:val="00891815"/>
    <w:rsid w:val="008926FA"/>
    <w:rsid w:val="0089369B"/>
    <w:rsid w:val="00894375"/>
    <w:rsid w:val="0089543E"/>
    <w:rsid w:val="00895DC9"/>
    <w:rsid w:val="00895EAF"/>
    <w:rsid w:val="00897771"/>
    <w:rsid w:val="008A0C72"/>
    <w:rsid w:val="008A4135"/>
    <w:rsid w:val="008A435E"/>
    <w:rsid w:val="008A5565"/>
    <w:rsid w:val="008A66E7"/>
    <w:rsid w:val="008B68AF"/>
    <w:rsid w:val="008C133A"/>
    <w:rsid w:val="008C237A"/>
    <w:rsid w:val="008C52F2"/>
    <w:rsid w:val="008C6A81"/>
    <w:rsid w:val="008D33BD"/>
    <w:rsid w:val="008D5052"/>
    <w:rsid w:val="008E047C"/>
    <w:rsid w:val="008E0F2E"/>
    <w:rsid w:val="008E0F30"/>
    <w:rsid w:val="008E2005"/>
    <w:rsid w:val="008E4DEF"/>
    <w:rsid w:val="008E72C7"/>
    <w:rsid w:val="008E791A"/>
    <w:rsid w:val="008F18E5"/>
    <w:rsid w:val="008F3F7B"/>
    <w:rsid w:val="008F6A9C"/>
    <w:rsid w:val="008F7E3B"/>
    <w:rsid w:val="00901A32"/>
    <w:rsid w:val="0090368D"/>
    <w:rsid w:val="00903CA0"/>
    <w:rsid w:val="009069DA"/>
    <w:rsid w:val="00910CC9"/>
    <w:rsid w:val="00911714"/>
    <w:rsid w:val="0091218E"/>
    <w:rsid w:val="00913FE4"/>
    <w:rsid w:val="0091434C"/>
    <w:rsid w:val="009151CC"/>
    <w:rsid w:val="009178AF"/>
    <w:rsid w:val="00920F0C"/>
    <w:rsid w:val="00922DDA"/>
    <w:rsid w:val="0092611D"/>
    <w:rsid w:val="00926762"/>
    <w:rsid w:val="00926856"/>
    <w:rsid w:val="009271FF"/>
    <w:rsid w:val="009355FB"/>
    <w:rsid w:val="00935CE8"/>
    <w:rsid w:val="00936654"/>
    <w:rsid w:val="009378AB"/>
    <w:rsid w:val="00940257"/>
    <w:rsid w:val="0094163B"/>
    <w:rsid w:val="0094339C"/>
    <w:rsid w:val="00946C0A"/>
    <w:rsid w:val="009472C8"/>
    <w:rsid w:val="00950317"/>
    <w:rsid w:val="00950F66"/>
    <w:rsid w:val="0095154B"/>
    <w:rsid w:val="00952D50"/>
    <w:rsid w:val="00952E38"/>
    <w:rsid w:val="00954C39"/>
    <w:rsid w:val="00962A84"/>
    <w:rsid w:val="009675FB"/>
    <w:rsid w:val="009679FE"/>
    <w:rsid w:val="009711E5"/>
    <w:rsid w:val="00972433"/>
    <w:rsid w:val="00973CAE"/>
    <w:rsid w:val="00975160"/>
    <w:rsid w:val="00984313"/>
    <w:rsid w:val="00984CE1"/>
    <w:rsid w:val="0098629F"/>
    <w:rsid w:val="00992055"/>
    <w:rsid w:val="0099227B"/>
    <w:rsid w:val="0099289D"/>
    <w:rsid w:val="009954CB"/>
    <w:rsid w:val="009A187B"/>
    <w:rsid w:val="009A21A2"/>
    <w:rsid w:val="009A4FA3"/>
    <w:rsid w:val="009B4E2A"/>
    <w:rsid w:val="009B54A0"/>
    <w:rsid w:val="009C15C5"/>
    <w:rsid w:val="009C4CD3"/>
    <w:rsid w:val="009C7F6C"/>
    <w:rsid w:val="009D084F"/>
    <w:rsid w:val="009D274E"/>
    <w:rsid w:val="009D2D53"/>
    <w:rsid w:val="009D3122"/>
    <w:rsid w:val="009E015E"/>
    <w:rsid w:val="009E09EC"/>
    <w:rsid w:val="009E14DA"/>
    <w:rsid w:val="009E62CC"/>
    <w:rsid w:val="009F4030"/>
    <w:rsid w:val="009F504E"/>
    <w:rsid w:val="00A001C4"/>
    <w:rsid w:val="00A04394"/>
    <w:rsid w:val="00A044B5"/>
    <w:rsid w:val="00A1018F"/>
    <w:rsid w:val="00A10D8D"/>
    <w:rsid w:val="00A10E45"/>
    <w:rsid w:val="00A157AA"/>
    <w:rsid w:val="00A1590F"/>
    <w:rsid w:val="00A15EEC"/>
    <w:rsid w:val="00A1707B"/>
    <w:rsid w:val="00A2104C"/>
    <w:rsid w:val="00A23E08"/>
    <w:rsid w:val="00A25065"/>
    <w:rsid w:val="00A256A1"/>
    <w:rsid w:val="00A26629"/>
    <w:rsid w:val="00A267FA"/>
    <w:rsid w:val="00A269C0"/>
    <w:rsid w:val="00A31B5F"/>
    <w:rsid w:val="00A359A7"/>
    <w:rsid w:val="00A37370"/>
    <w:rsid w:val="00A46FA3"/>
    <w:rsid w:val="00A53528"/>
    <w:rsid w:val="00A53900"/>
    <w:rsid w:val="00A567AB"/>
    <w:rsid w:val="00A571F3"/>
    <w:rsid w:val="00A61ED6"/>
    <w:rsid w:val="00A629D2"/>
    <w:rsid w:val="00A64A19"/>
    <w:rsid w:val="00A65C52"/>
    <w:rsid w:val="00A706F6"/>
    <w:rsid w:val="00A709F3"/>
    <w:rsid w:val="00A734D6"/>
    <w:rsid w:val="00A74DA7"/>
    <w:rsid w:val="00A7519A"/>
    <w:rsid w:val="00A76714"/>
    <w:rsid w:val="00A85684"/>
    <w:rsid w:val="00A90ACA"/>
    <w:rsid w:val="00A94909"/>
    <w:rsid w:val="00A94F44"/>
    <w:rsid w:val="00A952BA"/>
    <w:rsid w:val="00A975AB"/>
    <w:rsid w:val="00AA31FB"/>
    <w:rsid w:val="00AA7BFC"/>
    <w:rsid w:val="00AB061A"/>
    <w:rsid w:val="00AB343F"/>
    <w:rsid w:val="00AB4CFB"/>
    <w:rsid w:val="00AB5B7B"/>
    <w:rsid w:val="00AC4753"/>
    <w:rsid w:val="00AC5D23"/>
    <w:rsid w:val="00AC71FF"/>
    <w:rsid w:val="00AD06BE"/>
    <w:rsid w:val="00AD10C4"/>
    <w:rsid w:val="00AD2A61"/>
    <w:rsid w:val="00AD454D"/>
    <w:rsid w:val="00AD45A5"/>
    <w:rsid w:val="00AD7CCC"/>
    <w:rsid w:val="00AE551A"/>
    <w:rsid w:val="00AF1EB7"/>
    <w:rsid w:val="00AF2BFD"/>
    <w:rsid w:val="00AF2D1E"/>
    <w:rsid w:val="00AF3C91"/>
    <w:rsid w:val="00AF4ED6"/>
    <w:rsid w:val="00AF4F13"/>
    <w:rsid w:val="00AF7262"/>
    <w:rsid w:val="00B01B51"/>
    <w:rsid w:val="00B05B8A"/>
    <w:rsid w:val="00B11235"/>
    <w:rsid w:val="00B12DCB"/>
    <w:rsid w:val="00B14A80"/>
    <w:rsid w:val="00B160ED"/>
    <w:rsid w:val="00B21A21"/>
    <w:rsid w:val="00B2502C"/>
    <w:rsid w:val="00B30D9D"/>
    <w:rsid w:val="00B379B2"/>
    <w:rsid w:val="00B4213D"/>
    <w:rsid w:val="00B42956"/>
    <w:rsid w:val="00B42C6F"/>
    <w:rsid w:val="00B42E26"/>
    <w:rsid w:val="00B44311"/>
    <w:rsid w:val="00B44F6F"/>
    <w:rsid w:val="00B504C8"/>
    <w:rsid w:val="00B52F65"/>
    <w:rsid w:val="00B530FD"/>
    <w:rsid w:val="00B559AA"/>
    <w:rsid w:val="00B610EB"/>
    <w:rsid w:val="00B6528E"/>
    <w:rsid w:val="00B65A3A"/>
    <w:rsid w:val="00B65FA1"/>
    <w:rsid w:val="00B66E58"/>
    <w:rsid w:val="00B720BD"/>
    <w:rsid w:val="00B75793"/>
    <w:rsid w:val="00B7794C"/>
    <w:rsid w:val="00B82F6F"/>
    <w:rsid w:val="00B8388D"/>
    <w:rsid w:val="00B84B6A"/>
    <w:rsid w:val="00B86D93"/>
    <w:rsid w:val="00B86E90"/>
    <w:rsid w:val="00B87DBE"/>
    <w:rsid w:val="00B9438A"/>
    <w:rsid w:val="00B958B3"/>
    <w:rsid w:val="00B95DFA"/>
    <w:rsid w:val="00BA0F80"/>
    <w:rsid w:val="00BA36C1"/>
    <w:rsid w:val="00BA3EC2"/>
    <w:rsid w:val="00BA4A41"/>
    <w:rsid w:val="00BA4DC1"/>
    <w:rsid w:val="00BA61FA"/>
    <w:rsid w:val="00BA629D"/>
    <w:rsid w:val="00BA685C"/>
    <w:rsid w:val="00BB5292"/>
    <w:rsid w:val="00BB6116"/>
    <w:rsid w:val="00BB6F7A"/>
    <w:rsid w:val="00BC300C"/>
    <w:rsid w:val="00BC5A8B"/>
    <w:rsid w:val="00BC5B2C"/>
    <w:rsid w:val="00BC7D43"/>
    <w:rsid w:val="00BD138A"/>
    <w:rsid w:val="00BD68D3"/>
    <w:rsid w:val="00BD6A6D"/>
    <w:rsid w:val="00BE3175"/>
    <w:rsid w:val="00BE4041"/>
    <w:rsid w:val="00BE7BD8"/>
    <w:rsid w:val="00BF33A8"/>
    <w:rsid w:val="00BF345C"/>
    <w:rsid w:val="00BF3703"/>
    <w:rsid w:val="00BF75C4"/>
    <w:rsid w:val="00C00484"/>
    <w:rsid w:val="00C004D0"/>
    <w:rsid w:val="00C01F43"/>
    <w:rsid w:val="00C0712A"/>
    <w:rsid w:val="00C12096"/>
    <w:rsid w:val="00C141A9"/>
    <w:rsid w:val="00C158A5"/>
    <w:rsid w:val="00C16216"/>
    <w:rsid w:val="00C16B70"/>
    <w:rsid w:val="00C20A2A"/>
    <w:rsid w:val="00C22045"/>
    <w:rsid w:val="00C23EC2"/>
    <w:rsid w:val="00C258C5"/>
    <w:rsid w:val="00C34ADB"/>
    <w:rsid w:val="00C35C7E"/>
    <w:rsid w:val="00C417D8"/>
    <w:rsid w:val="00C423EC"/>
    <w:rsid w:val="00C50C5C"/>
    <w:rsid w:val="00C50CDA"/>
    <w:rsid w:val="00C5249B"/>
    <w:rsid w:val="00C616A6"/>
    <w:rsid w:val="00C62BF6"/>
    <w:rsid w:val="00C6339F"/>
    <w:rsid w:val="00C635CD"/>
    <w:rsid w:val="00C65EDA"/>
    <w:rsid w:val="00C81D6E"/>
    <w:rsid w:val="00C82B81"/>
    <w:rsid w:val="00C83423"/>
    <w:rsid w:val="00C8566B"/>
    <w:rsid w:val="00C870BA"/>
    <w:rsid w:val="00C87E9D"/>
    <w:rsid w:val="00C912DB"/>
    <w:rsid w:val="00C9264C"/>
    <w:rsid w:val="00C926BE"/>
    <w:rsid w:val="00C948CC"/>
    <w:rsid w:val="00C94C4B"/>
    <w:rsid w:val="00C95C1A"/>
    <w:rsid w:val="00CA021D"/>
    <w:rsid w:val="00CA5232"/>
    <w:rsid w:val="00CA57EB"/>
    <w:rsid w:val="00CA6231"/>
    <w:rsid w:val="00CA6832"/>
    <w:rsid w:val="00CA705B"/>
    <w:rsid w:val="00CB0190"/>
    <w:rsid w:val="00CB0BD5"/>
    <w:rsid w:val="00CB2035"/>
    <w:rsid w:val="00CB4317"/>
    <w:rsid w:val="00CC0863"/>
    <w:rsid w:val="00CC1C0B"/>
    <w:rsid w:val="00CC1D7D"/>
    <w:rsid w:val="00CD4E3B"/>
    <w:rsid w:val="00CD75C5"/>
    <w:rsid w:val="00CE2513"/>
    <w:rsid w:val="00CE436B"/>
    <w:rsid w:val="00CE4DD0"/>
    <w:rsid w:val="00CE7CA5"/>
    <w:rsid w:val="00CF0532"/>
    <w:rsid w:val="00CF1DA3"/>
    <w:rsid w:val="00CF1F9F"/>
    <w:rsid w:val="00CF322A"/>
    <w:rsid w:val="00CF439F"/>
    <w:rsid w:val="00CF7919"/>
    <w:rsid w:val="00D015D0"/>
    <w:rsid w:val="00D03BB2"/>
    <w:rsid w:val="00D107F1"/>
    <w:rsid w:val="00D12276"/>
    <w:rsid w:val="00D123C9"/>
    <w:rsid w:val="00D124EB"/>
    <w:rsid w:val="00D16C36"/>
    <w:rsid w:val="00D2110C"/>
    <w:rsid w:val="00D25518"/>
    <w:rsid w:val="00D30944"/>
    <w:rsid w:val="00D30B26"/>
    <w:rsid w:val="00D3334C"/>
    <w:rsid w:val="00D33FB3"/>
    <w:rsid w:val="00D34631"/>
    <w:rsid w:val="00D374D4"/>
    <w:rsid w:val="00D40CF0"/>
    <w:rsid w:val="00D41CB6"/>
    <w:rsid w:val="00D43A89"/>
    <w:rsid w:val="00D43FC4"/>
    <w:rsid w:val="00D45F25"/>
    <w:rsid w:val="00D50ABF"/>
    <w:rsid w:val="00D53D56"/>
    <w:rsid w:val="00D55AE1"/>
    <w:rsid w:val="00D57EC3"/>
    <w:rsid w:val="00D60136"/>
    <w:rsid w:val="00D60C2A"/>
    <w:rsid w:val="00D61A9B"/>
    <w:rsid w:val="00D62029"/>
    <w:rsid w:val="00D632C5"/>
    <w:rsid w:val="00D6368F"/>
    <w:rsid w:val="00D66B1F"/>
    <w:rsid w:val="00D676C0"/>
    <w:rsid w:val="00D71742"/>
    <w:rsid w:val="00D723EB"/>
    <w:rsid w:val="00D730F0"/>
    <w:rsid w:val="00D750C9"/>
    <w:rsid w:val="00D75D3F"/>
    <w:rsid w:val="00D75E84"/>
    <w:rsid w:val="00D7611D"/>
    <w:rsid w:val="00D77862"/>
    <w:rsid w:val="00D77E06"/>
    <w:rsid w:val="00D812AD"/>
    <w:rsid w:val="00D81FCA"/>
    <w:rsid w:val="00D83849"/>
    <w:rsid w:val="00D83A49"/>
    <w:rsid w:val="00D8459E"/>
    <w:rsid w:val="00D86024"/>
    <w:rsid w:val="00D87DDD"/>
    <w:rsid w:val="00D907E6"/>
    <w:rsid w:val="00D90FA2"/>
    <w:rsid w:val="00D91BA9"/>
    <w:rsid w:val="00D93B68"/>
    <w:rsid w:val="00D93FD7"/>
    <w:rsid w:val="00D9444E"/>
    <w:rsid w:val="00D971A3"/>
    <w:rsid w:val="00DA12CA"/>
    <w:rsid w:val="00DA3795"/>
    <w:rsid w:val="00DB1434"/>
    <w:rsid w:val="00DB1705"/>
    <w:rsid w:val="00DB184A"/>
    <w:rsid w:val="00DB2B65"/>
    <w:rsid w:val="00DB3016"/>
    <w:rsid w:val="00DB56AA"/>
    <w:rsid w:val="00DB5885"/>
    <w:rsid w:val="00DB5F23"/>
    <w:rsid w:val="00DB6309"/>
    <w:rsid w:val="00DC19F4"/>
    <w:rsid w:val="00DC2A9D"/>
    <w:rsid w:val="00DC57D2"/>
    <w:rsid w:val="00DC6D4F"/>
    <w:rsid w:val="00DC759A"/>
    <w:rsid w:val="00DC7ADF"/>
    <w:rsid w:val="00DD02C2"/>
    <w:rsid w:val="00DD0390"/>
    <w:rsid w:val="00DD1844"/>
    <w:rsid w:val="00DD2181"/>
    <w:rsid w:val="00DE0CA9"/>
    <w:rsid w:val="00DE1752"/>
    <w:rsid w:val="00DF05A6"/>
    <w:rsid w:val="00E04020"/>
    <w:rsid w:val="00E05A23"/>
    <w:rsid w:val="00E062C7"/>
    <w:rsid w:val="00E06BA8"/>
    <w:rsid w:val="00E12E79"/>
    <w:rsid w:val="00E12FB3"/>
    <w:rsid w:val="00E1302D"/>
    <w:rsid w:val="00E17410"/>
    <w:rsid w:val="00E2159F"/>
    <w:rsid w:val="00E249A4"/>
    <w:rsid w:val="00E26B7F"/>
    <w:rsid w:val="00E275EF"/>
    <w:rsid w:val="00E27AA1"/>
    <w:rsid w:val="00E30BFC"/>
    <w:rsid w:val="00E30D7C"/>
    <w:rsid w:val="00E30EE1"/>
    <w:rsid w:val="00E310BE"/>
    <w:rsid w:val="00E33438"/>
    <w:rsid w:val="00E37730"/>
    <w:rsid w:val="00E44A9D"/>
    <w:rsid w:val="00E45012"/>
    <w:rsid w:val="00E46092"/>
    <w:rsid w:val="00E523E3"/>
    <w:rsid w:val="00E56710"/>
    <w:rsid w:val="00E56741"/>
    <w:rsid w:val="00E56A22"/>
    <w:rsid w:val="00E6143F"/>
    <w:rsid w:val="00E64C32"/>
    <w:rsid w:val="00E6570A"/>
    <w:rsid w:val="00E66563"/>
    <w:rsid w:val="00E677AC"/>
    <w:rsid w:val="00E67DCE"/>
    <w:rsid w:val="00E70DD9"/>
    <w:rsid w:val="00E70F0F"/>
    <w:rsid w:val="00E71B98"/>
    <w:rsid w:val="00E71EDD"/>
    <w:rsid w:val="00E72AE7"/>
    <w:rsid w:val="00E770D5"/>
    <w:rsid w:val="00E773EC"/>
    <w:rsid w:val="00E7764C"/>
    <w:rsid w:val="00E80050"/>
    <w:rsid w:val="00E801AD"/>
    <w:rsid w:val="00E81D7C"/>
    <w:rsid w:val="00E83D81"/>
    <w:rsid w:val="00E86094"/>
    <w:rsid w:val="00E87065"/>
    <w:rsid w:val="00E87E9F"/>
    <w:rsid w:val="00E90864"/>
    <w:rsid w:val="00E90C03"/>
    <w:rsid w:val="00E91CFF"/>
    <w:rsid w:val="00E94024"/>
    <w:rsid w:val="00E94132"/>
    <w:rsid w:val="00E97B5E"/>
    <w:rsid w:val="00EA6A5D"/>
    <w:rsid w:val="00EB0F86"/>
    <w:rsid w:val="00EB1762"/>
    <w:rsid w:val="00EB201B"/>
    <w:rsid w:val="00EB5DBE"/>
    <w:rsid w:val="00EC1FCE"/>
    <w:rsid w:val="00EC6282"/>
    <w:rsid w:val="00EC666F"/>
    <w:rsid w:val="00ED120B"/>
    <w:rsid w:val="00ED2A94"/>
    <w:rsid w:val="00ED3348"/>
    <w:rsid w:val="00ED3B89"/>
    <w:rsid w:val="00ED5996"/>
    <w:rsid w:val="00ED5E6B"/>
    <w:rsid w:val="00ED7671"/>
    <w:rsid w:val="00EE2930"/>
    <w:rsid w:val="00EE2ACE"/>
    <w:rsid w:val="00EE569C"/>
    <w:rsid w:val="00EE7535"/>
    <w:rsid w:val="00EF0788"/>
    <w:rsid w:val="00EF21E7"/>
    <w:rsid w:val="00F00D8C"/>
    <w:rsid w:val="00F011FA"/>
    <w:rsid w:val="00F02AFA"/>
    <w:rsid w:val="00F035C2"/>
    <w:rsid w:val="00F10AC4"/>
    <w:rsid w:val="00F14C25"/>
    <w:rsid w:val="00F14EEF"/>
    <w:rsid w:val="00F15073"/>
    <w:rsid w:val="00F16104"/>
    <w:rsid w:val="00F1618B"/>
    <w:rsid w:val="00F168DE"/>
    <w:rsid w:val="00F21E5E"/>
    <w:rsid w:val="00F22F03"/>
    <w:rsid w:val="00F25517"/>
    <w:rsid w:val="00F2572A"/>
    <w:rsid w:val="00F26293"/>
    <w:rsid w:val="00F363B6"/>
    <w:rsid w:val="00F43C31"/>
    <w:rsid w:val="00F441D6"/>
    <w:rsid w:val="00F44221"/>
    <w:rsid w:val="00F472C0"/>
    <w:rsid w:val="00F50D0C"/>
    <w:rsid w:val="00F51E58"/>
    <w:rsid w:val="00F546E6"/>
    <w:rsid w:val="00F551D0"/>
    <w:rsid w:val="00F55C88"/>
    <w:rsid w:val="00F55F19"/>
    <w:rsid w:val="00F57CCE"/>
    <w:rsid w:val="00F63067"/>
    <w:rsid w:val="00F70755"/>
    <w:rsid w:val="00F70E32"/>
    <w:rsid w:val="00F71EC7"/>
    <w:rsid w:val="00F756EA"/>
    <w:rsid w:val="00F7671D"/>
    <w:rsid w:val="00F82A93"/>
    <w:rsid w:val="00F83AF2"/>
    <w:rsid w:val="00F84EA6"/>
    <w:rsid w:val="00F87F0B"/>
    <w:rsid w:val="00F90B18"/>
    <w:rsid w:val="00F90D4B"/>
    <w:rsid w:val="00F919BD"/>
    <w:rsid w:val="00F95497"/>
    <w:rsid w:val="00FA01A4"/>
    <w:rsid w:val="00FA05CA"/>
    <w:rsid w:val="00FB0D1D"/>
    <w:rsid w:val="00FB24E3"/>
    <w:rsid w:val="00FB4AE9"/>
    <w:rsid w:val="00FB7E69"/>
    <w:rsid w:val="00FC12A1"/>
    <w:rsid w:val="00FC15BC"/>
    <w:rsid w:val="00FC554D"/>
    <w:rsid w:val="00FC5E15"/>
    <w:rsid w:val="00FC637E"/>
    <w:rsid w:val="00FC6BF3"/>
    <w:rsid w:val="00FD04E8"/>
    <w:rsid w:val="00FD0DAE"/>
    <w:rsid w:val="00FD22D2"/>
    <w:rsid w:val="00FD2EE5"/>
    <w:rsid w:val="00FD35F6"/>
    <w:rsid w:val="00FD466F"/>
    <w:rsid w:val="00FD4C16"/>
    <w:rsid w:val="00FD573C"/>
    <w:rsid w:val="00FD7B83"/>
    <w:rsid w:val="00FE0412"/>
    <w:rsid w:val="00FE0569"/>
    <w:rsid w:val="00FE1341"/>
    <w:rsid w:val="00FE26E6"/>
    <w:rsid w:val="00FE2F3D"/>
    <w:rsid w:val="00FE302C"/>
    <w:rsid w:val="00FE3472"/>
    <w:rsid w:val="00FE69C2"/>
    <w:rsid w:val="00FF15A1"/>
    <w:rsid w:val="00FF3586"/>
    <w:rsid w:val="00FF65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83C"/>
    <w:rPr>
      <w:sz w:val="24"/>
    </w:rPr>
  </w:style>
  <w:style w:type="paragraph" w:styleId="Heading1">
    <w:name w:val="heading 1"/>
    <w:basedOn w:val="Normal"/>
    <w:next w:val="Normal"/>
    <w:link w:val="Heading1Char"/>
    <w:qFormat/>
    <w:rsid w:val="00F1618B"/>
    <w:pPr>
      <w:keepNext/>
      <w:spacing w:after="240"/>
      <w:ind w:left="720" w:hanging="720"/>
      <w:outlineLvl w:val="0"/>
    </w:pPr>
    <w:rPr>
      <w:b/>
      <w:szCs w:val="24"/>
    </w:rPr>
  </w:style>
  <w:style w:type="paragraph" w:styleId="Heading2">
    <w:name w:val="heading 2"/>
    <w:basedOn w:val="Normal"/>
    <w:next w:val="Normal"/>
    <w:link w:val="Heading2Char"/>
    <w:autoRedefine/>
    <w:qFormat/>
    <w:rsid w:val="00002598"/>
    <w:pPr>
      <w:keepNext/>
      <w:spacing w:after="240"/>
      <w:ind w:left="1440" w:hanging="720"/>
      <w:outlineLvl w:val="1"/>
    </w:pPr>
    <w:rPr>
      <w:rFonts w:ascii="Times New Roman Bold" w:hAnsi="Times New Roman Bold"/>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qFormat/>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4535A2"/>
    <w:rPr>
      <w:color w:val="808080"/>
      <w:shd w:val="clear" w:color="auto" w:fill="E6E6E6"/>
    </w:rPr>
  </w:style>
  <w:style w:type="character" w:customStyle="1" w:styleId="FooterChar">
    <w:name w:val="Footer Char"/>
    <w:link w:val="Footer"/>
    <w:uiPriority w:val="99"/>
    <w:rsid w:val="004535A2"/>
  </w:style>
  <w:style w:type="character" w:customStyle="1" w:styleId="UnresolvedMention2">
    <w:name w:val="Unresolved Mention2"/>
    <w:basedOn w:val="DefaultParagraphFont"/>
    <w:rsid w:val="006511C0"/>
    <w:rPr>
      <w:color w:val="605E5C"/>
      <w:shd w:val="clear" w:color="auto" w:fill="E1DFDD"/>
    </w:rPr>
  </w:style>
  <w:style w:type="character" w:customStyle="1" w:styleId="HeaderChar">
    <w:name w:val="Header Char"/>
    <w:basedOn w:val="DefaultParagraphFont"/>
    <w:link w:val="Header"/>
    <w:uiPriority w:val="99"/>
    <w:rsid w:val="006859F7"/>
    <w:rPr>
      <w:sz w:val="24"/>
    </w:rPr>
  </w:style>
  <w:style w:type="paragraph" w:styleId="ListParagraph">
    <w:name w:val="List Paragraph"/>
    <w:basedOn w:val="Normal"/>
    <w:uiPriority w:val="34"/>
    <w:qFormat/>
    <w:rsid w:val="006859F7"/>
    <w:pPr>
      <w:ind w:left="720"/>
      <w:contextualSpacing/>
    </w:pPr>
    <w:rPr>
      <w:szCs w:val="24"/>
      <w:lang w:bidi="en-US"/>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6859F7"/>
  </w:style>
  <w:style w:type="character" w:customStyle="1" w:styleId="HTMLPreformattedChar">
    <w:name w:val="HTML Preformatted Char"/>
    <w:basedOn w:val="DefaultParagraphFont"/>
    <w:link w:val="HTMLPreformatted"/>
    <w:rsid w:val="000F0366"/>
    <w:rPr>
      <w:rFonts w:ascii="Courier New" w:eastAsia="Courier New" w:hAnsi="Courier New" w:cs="Courier New"/>
    </w:rPr>
  </w:style>
  <w:style w:type="character" w:customStyle="1" w:styleId="Heading1Char">
    <w:name w:val="Heading 1 Char"/>
    <w:basedOn w:val="DefaultParagraphFont"/>
    <w:link w:val="Heading1"/>
    <w:rsid w:val="00F1618B"/>
    <w:rPr>
      <w:b/>
      <w:sz w:val="24"/>
      <w:szCs w:val="24"/>
    </w:rPr>
  </w:style>
  <w:style w:type="paragraph" w:styleId="TOC2">
    <w:name w:val="toc 2"/>
    <w:basedOn w:val="Normal"/>
    <w:next w:val="Normal"/>
    <w:autoRedefine/>
    <w:uiPriority w:val="39"/>
    <w:qFormat/>
    <w:rsid w:val="00DD02C2"/>
    <w:pPr>
      <w:spacing w:after="240"/>
      <w:ind w:left="1440" w:hanging="720"/>
    </w:pPr>
  </w:style>
  <w:style w:type="paragraph" w:styleId="TOC1">
    <w:name w:val="toc 1"/>
    <w:basedOn w:val="Normal"/>
    <w:next w:val="Normal"/>
    <w:autoRedefine/>
    <w:uiPriority w:val="39"/>
    <w:rsid w:val="009D274E"/>
    <w:pPr>
      <w:tabs>
        <w:tab w:val="decimal" w:leader="dot" w:pos="8640"/>
      </w:tabs>
      <w:spacing w:after="240"/>
      <w:ind w:left="720" w:hanging="720"/>
    </w:pPr>
  </w:style>
  <w:style w:type="character" w:customStyle="1" w:styleId="Heading2Char">
    <w:name w:val="Heading 2 Char"/>
    <w:basedOn w:val="DefaultParagraphFont"/>
    <w:link w:val="Heading2"/>
    <w:rsid w:val="00002598"/>
    <w:rPr>
      <w:rFonts w:ascii="Times New Roman Bold" w:hAnsi="Times New Roman Bold"/>
      <w:b/>
      <w:sz w:val="24"/>
    </w:rPr>
  </w:style>
  <w:style w:type="character" w:customStyle="1" w:styleId="UnresolvedMention3">
    <w:name w:val="Unresolved Mention3"/>
    <w:basedOn w:val="DefaultParagraphFont"/>
    <w:rsid w:val="00D60C2A"/>
    <w:rPr>
      <w:color w:val="605E5C"/>
      <w:shd w:val="clear" w:color="auto" w:fill="E1DFDD"/>
    </w:rPr>
  </w:style>
  <w:style w:type="paragraph" w:styleId="TOC3">
    <w:name w:val="toc 3"/>
    <w:basedOn w:val="Normal"/>
    <w:next w:val="Normal"/>
    <w:autoRedefine/>
    <w:semiHidden/>
    <w:unhideWhenUsed/>
    <w:qFormat/>
    <w:rsid w:val="00DD02C2"/>
    <w:pPr>
      <w:spacing w:after="240"/>
      <w:ind w:left="2160" w:hanging="720"/>
    </w:pPr>
  </w:style>
  <w:style w:type="character" w:customStyle="1" w:styleId="CommentTextChar">
    <w:name w:val="Comment Text Char"/>
    <w:basedOn w:val="DefaultParagraphFont"/>
    <w:link w:val="CommentText"/>
    <w:semiHidden/>
    <w:rsid w:val="00DE0CA9"/>
    <w:rPr>
      <w:sz w:val="24"/>
      <w:szCs w:val="24"/>
    </w:rPr>
  </w:style>
  <w:style w:type="character" w:customStyle="1" w:styleId="BodyTextIndent3Char">
    <w:name w:val="Body Text Indent 3 Char"/>
    <w:basedOn w:val="DefaultParagraphFont"/>
    <w:link w:val="BodyTextIndent3"/>
    <w:rsid w:val="004C1B77"/>
    <w:rPr>
      <w:sz w:val="24"/>
    </w:rPr>
  </w:style>
  <w:style w:type="character" w:customStyle="1" w:styleId="UnresolvedMention4">
    <w:name w:val="Unresolved Mention4"/>
    <w:basedOn w:val="DefaultParagraphFont"/>
    <w:rsid w:val="00E249A4"/>
    <w:rPr>
      <w:color w:val="605E5C"/>
      <w:shd w:val="clear" w:color="auto" w:fill="E1DFDD"/>
    </w:rPr>
  </w:style>
  <w:style w:type="paragraph" w:styleId="Revision">
    <w:name w:val="Revision"/>
    <w:hidden/>
    <w:uiPriority w:val="99"/>
    <w:semiHidden/>
    <w:rsid w:val="00674C43"/>
    <w:rPr>
      <w:sz w:val="24"/>
    </w:rPr>
  </w:style>
  <w:style w:type="character" w:customStyle="1" w:styleId="BodyTextChar">
    <w:name w:val="Body Text Char"/>
    <w:basedOn w:val="DefaultParagraphFont"/>
    <w:link w:val="BodyText"/>
    <w:rsid w:val="00D30944"/>
    <w:rPr>
      <w:sz w:val="24"/>
    </w:rPr>
  </w:style>
  <w:style w:type="character" w:customStyle="1" w:styleId="UnresolvedMention">
    <w:name w:val="Unresolved Mention"/>
    <w:basedOn w:val="DefaultParagraphFont"/>
    <w:rsid w:val="008C1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eubanks@ohioAGO.gov" TargetMode="External" /><Relationship Id="rId12" Type="http://schemas.openxmlformats.org/officeDocument/2006/relationships/hyperlink" Target="mailto:jesse.davis@puco.ohio.gov" TargetMode="External" /><Relationship Id="rId13" Type="http://schemas.openxmlformats.org/officeDocument/2006/relationships/hyperlink" Target="mailto:gregory.price@puco.ohio.gov" TargetMode="External" /><Relationship Id="rId14" Type="http://schemas.openxmlformats.org/officeDocument/2006/relationships/hyperlink" Target="mailto:btrombino@uerus.com" TargetMode="External" /><Relationship Id="rId15" Type="http://schemas.openxmlformats.org/officeDocument/2006/relationships/hyperlink" Target="mailto:whitt@whitt-sturtevant.com" TargetMode="External" /><Relationship Id="rId16" Type="http://schemas.openxmlformats.org/officeDocument/2006/relationships/hyperlink" Target="mailto:fykes@whitt-sturtevant.com" TargetMode="External" /><Relationship Id="rId17" Type="http://schemas.openxmlformats.org/officeDocument/2006/relationships/hyperlink" Target="mailto:elmer@whitt-sturtevant.com" TargetMode="External" /><Relationship Id="rId18" Type="http://schemas.openxmlformats.org/officeDocument/2006/relationships/header" Target="header1.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669E-EA4C-48E8-96B0-A811F453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5551</Words>
  <Characters>31644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2023-01-06T15:08:16Z</dcterms:created>
  <dcterms:modified xsi:type="dcterms:W3CDTF">2023-01-06T15:08:16Z</dcterms:modified>
</cp:coreProperties>
</file>