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1E" w:rsidRPr="009F1E1E" w:rsidRDefault="009F1E1E" w:rsidP="009F1E1E">
      <w:pPr>
        <w:autoSpaceDE w:val="0"/>
        <w:autoSpaceDN w:val="0"/>
        <w:adjustRightInd w:val="0"/>
        <w:jc w:val="center"/>
        <w:rPr>
          <w:rFonts w:ascii="Arial Bold" w:hAnsi="Arial Bold"/>
          <w:b/>
          <w:smallCaps/>
          <w:sz w:val="32"/>
          <w:szCs w:val="32"/>
        </w:rPr>
      </w:pPr>
      <w:r w:rsidRPr="009F1E1E">
        <w:rPr>
          <w:rFonts w:ascii="Arial Bold" w:hAnsi="Arial Bold"/>
          <w:b/>
          <w:smallCaps/>
          <w:sz w:val="32"/>
          <w:szCs w:val="32"/>
        </w:rPr>
        <w:t>Before</w:t>
      </w:r>
    </w:p>
    <w:p w:rsidR="009F1E1E" w:rsidRPr="009F1E1E" w:rsidRDefault="009F1E1E" w:rsidP="009F1E1E">
      <w:pPr>
        <w:autoSpaceDE w:val="0"/>
        <w:autoSpaceDN w:val="0"/>
        <w:adjustRightInd w:val="0"/>
        <w:jc w:val="center"/>
        <w:rPr>
          <w:rFonts w:ascii="Arial Bold" w:hAnsi="Arial Bold"/>
          <w:b/>
          <w:smallCaps/>
          <w:sz w:val="32"/>
          <w:szCs w:val="32"/>
        </w:rPr>
      </w:pPr>
      <w:r w:rsidRPr="009F1E1E">
        <w:rPr>
          <w:rFonts w:ascii="Arial Bold" w:hAnsi="Arial Bold"/>
          <w:b/>
          <w:smallCaps/>
          <w:sz w:val="32"/>
          <w:szCs w:val="32"/>
        </w:rPr>
        <w:t>the Public Utilities Commission of Ohio</w:t>
      </w:r>
    </w:p>
    <w:p w:rsidR="009F1E1E" w:rsidRPr="009F1E1E" w:rsidRDefault="009F1E1E" w:rsidP="009F1E1E">
      <w:pPr>
        <w:autoSpaceDE w:val="0"/>
        <w:autoSpaceDN w:val="0"/>
        <w:adjustRightInd w:val="0"/>
        <w:jc w:val="center"/>
        <w:rPr>
          <w:rFonts w:ascii="Arial Bold" w:hAnsi="Arial Bold"/>
          <w:smallCaps/>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16-395-EL-SSO</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Its Electric Security Plan</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16-396-EL-ATA</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Revised Tariffs</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16-397-EL-AAM</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Certain Accounting Authority</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Pursuant to Ohio Rev. Code § 4905.13</w:t>
      </w:r>
      <w:r w:rsidRPr="009F1E1E">
        <w:rPr>
          <w:szCs w:val="24"/>
        </w:rPr>
        <w:tab/>
        <w:t>)</w:t>
      </w:r>
    </w:p>
    <w:p w:rsidR="00DD5904" w:rsidRPr="00D04E80" w:rsidRDefault="00DD5904" w:rsidP="00DD5904">
      <w:pPr>
        <w:tabs>
          <w:tab w:val="left" w:pos="4680"/>
        </w:tabs>
        <w:rPr>
          <w:rFonts w:eastAsia="Times New Roman"/>
          <w:szCs w:val="24"/>
        </w:rPr>
      </w:pPr>
    </w:p>
    <w:p w:rsidR="00DD5904" w:rsidRPr="00D04E80" w:rsidRDefault="00DD5904" w:rsidP="00DD5904">
      <w:pPr>
        <w:jc w:val="left"/>
        <w:rPr>
          <w:b/>
          <w:smallCaps/>
          <w:szCs w:val="24"/>
        </w:rPr>
      </w:pPr>
      <w:r w:rsidRPr="00D04E80">
        <w:rPr>
          <w:b/>
          <w:smallCaps/>
          <w:szCs w:val="24"/>
        </w:rPr>
        <w:t>_____________________________________________________________________</w:t>
      </w:r>
    </w:p>
    <w:p w:rsidR="00DD5904" w:rsidRPr="00D04E80" w:rsidRDefault="00DD5904" w:rsidP="00DD5904">
      <w:pPr>
        <w:jc w:val="center"/>
        <w:rPr>
          <w:b/>
          <w:szCs w:val="24"/>
        </w:rPr>
      </w:pPr>
    </w:p>
    <w:p w:rsidR="008B0784" w:rsidRPr="003F2195" w:rsidRDefault="008B0784" w:rsidP="008B0784">
      <w:pPr>
        <w:jc w:val="center"/>
        <w:rPr>
          <w:b/>
          <w:caps/>
          <w:szCs w:val="24"/>
        </w:rPr>
      </w:pPr>
      <w:r w:rsidRPr="003F2195">
        <w:rPr>
          <w:b/>
          <w:caps/>
          <w:szCs w:val="24"/>
        </w:rPr>
        <w:t xml:space="preserve">MOTION BY INDUSTRIAL ENERGY USERS-OHIO FOR AN ORDER </w:t>
      </w:r>
      <w:r>
        <w:rPr>
          <w:b/>
          <w:caps/>
          <w:szCs w:val="24"/>
        </w:rPr>
        <w:t>DENYING</w:t>
      </w:r>
      <w:r w:rsidRPr="003F2195">
        <w:rPr>
          <w:b/>
          <w:caps/>
          <w:szCs w:val="24"/>
        </w:rPr>
        <w:t xml:space="preserve"> THE REQUEST FOR WAIVER of the requirement that transmission costs be recovered through a bypassable rider AND RELATED ORDERS </w:t>
      </w:r>
    </w:p>
    <w:p w:rsidR="00851796" w:rsidRDefault="00181B1D" w:rsidP="00181B1D">
      <w:pPr>
        <w:jc w:val="center"/>
        <w:rPr>
          <w:b/>
          <w:szCs w:val="24"/>
        </w:rPr>
      </w:pPr>
      <w:r w:rsidRPr="002D2CC9">
        <w:rPr>
          <w:b/>
          <w:szCs w:val="24"/>
        </w:rPr>
        <w:t xml:space="preserve">AND </w:t>
      </w:r>
    </w:p>
    <w:p w:rsidR="00181B1D" w:rsidRPr="00D04E80" w:rsidRDefault="00181B1D" w:rsidP="00181B1D">
      <w:pPr>
        <w:jc w:val="center"/>
        <w:rPr>
          <w:b/>
          <w:szCs w:val="24"/>
        </w:rPr>
      </w:pPr>
      <w:r w:rsidRPr="00D04E80">
        <w:rPr>
          <w:b/>
          <w:szCs w:val="24"/>
        </w:rPr>
        <w:t xml:space="preserve">MEMORANDUM </w:t>
      </w:r>
      <w:r>
        <w:rPr>
          <w:b/>
          <w:szCs w:val="24"/>
        </w:rPr>
        <w:t xml:space="preserve">IN SUPPORT </w:t>
      </w:r>
    </w:p>
    <w:p w:rsidR="00DD5904" w:rsidRPr="00D04E80" w:rsidRDefault="00DD5904" w:rsidP="00DD5904">
      <w:pPr>
        <w:jc w:val="center"/>
        <w:rPr>
          <w:b/>
          <w:szCs w:val="24"/>
        </w:rPr>
      </w:pPr>
      <w:r w:rsidRPr="00D04E80">
        <w:rPr>
          <w:b/>
          <w:szCs w:val="24"/>
        </w:rPr>
        <w:t>______________________________________________________________________</w:t>
      </w:r>
    </w:p>
    <w:p w:rsidR="00DD5904" w:rsidRPr="00D04E80" w:rsidRDefault="00DD5904" w:rsidP="00DD5904">
      <w:pPr>
        <w:tabs>
          <w:tab w:val="left" w:pos="4320"/>
          <w:tab w:val="right" w:pos="8640"/>
        </w:tabs>
        <w:rPr>
          <w:color w:val="000000"/>
          <w:szCs w:val="24"/>
        </w:rPr>
      </w:pPr>
    </w:p>
    <w:p w:rsidR="00DD5904" w:rsidRPr="00D04E80" w:rsidRDefault="00DD5904" w:rsidP="00DD5904">
      <w:pPr>
        <w:tabs>
          <w:tab w:val="left" w:pos="4320"/>
          <w:tab w:val="right" w:pos="8640"/>
        </w:tabs>
        <w:rPr>
          <w:color w:val="000000"/>
          <w:szCs w:val="24"/>
        </w:rPr>
      </w:pPr>
    </w:p>
    <w:p w:rsidR="00DD5904" w:rsidRPr="00D04E80" w:rsidRDefault="00DD5904" w:rsidP="00DD5904">
      <w:pPr>
        <w:tabs>
          <w:tab w:val="left" w:pos="4320"/>
          <w:tab w:val="right" w:pos="8640"/>
        </w:tabs>
        <w:rPr>
          <w:color w:val="000000"/>
          <w:szCs w:val="24"/>
        </w:rPr>
      </w:pPr>
    </w:p>
    <w:p w:rsidR="00DD5904" w:rsidRPr="00D04E80" w:rsidRDefault="00DD5904" w:rsidP="00DD5904">
      <w:pPr>
        <w:tabs>
          <w:tab w:val="left" w:pos="4320"/>
          <w:tab w:val="right" w:pos="8640"/>
        </w:tabs>
        <w:rPr>
          <w:color w:val="000000"/>
          <w:szCs w:val="24"/>
        </w:rPr>
      </w:pPr>
    </w:p>
    <w:p w:rsidR="00DD5904" w:rsidRPr="00D04E80" w:rsidRDefault="00DD5904" w:rsidP="00DD5904">
      <w:pPr>
        <w:tabs>
          <w:tab w:val="left" w:pos="4320"/>
          <w:tab w:val="right" w:pos="8640"/>
        </w:tabs>
        <w:rPr>
          <w:color w:val="000000"/>
          <w:szCs w:val="24"/>
        </w:rPr>
      </w:pPr>
    </w:p>
    <w:p w:rsidR="00DD5904" w:rsidRPr="00D04E80" w:rsidRDefault="00DD5904" w:rsidP="00DD5904">
      <w:pPr>
        <w:tabs>
          <w:tab w:val="left" w:pos="4320"/>
          <w:tab w:val="right" w:pos="8640"/>
        </w:tabs>
        <w:rPr>
          <w:color w:val="000000"/>
          <w:szCs w:val="24"/>
        </w:rPr>
      </w:pPr>
    </w:p>
    <w:p w:rsidR="00B81785" w:rsidRPr="00F806C8" w:rsidRDefault="00B81785" w:rsidP="00B81785">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Frank P. Darr (Reg. No. 0025469)</w:t>
      </w:r>
    </w:p>
    <w:p w:rsidR="00B81785" w:rsidRPr="00F806C8" w:rsidRDefault="00B81785" w:rsidP="00B81785">
      <w:pPr>
        <w:tabs>
          <w:tab w:val="right" w:pos="8640"/>
        </w:tabs>
        <w:ind w:left="4320"/>
        <w:rPr>
          <w:color w:val="000000" w:themeColor="text1"/>
        </w:rPr>
      </w:pPr>
      <w:r w:rsidRPr="00F806C8">
        <w:rPr>
          <w:b/>
          <w:bCs/>
          <w:color w:val="000000" w:themeColor="text1"/>
        </w:rPr>
        <w:t xml:space="preserve">  </w:t>
      </w:r>
      <w:r w:rsidRPr="00F806C8">
        <w:rPr>
          <w:color w:val="000000" w:themeColor="text1"/>
        </w:rPr>
        <w:t>(Counsel of Record)</w:t>
      </w:r>
    </w:p>
    <w:p w:rsidR="00B81785" w:rsidRPr="00F806C8" w:rsidRDefault="00B81785" w:rsidP="00B81785">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Matthew R. Pritchard (Reg. No. 0088070)</w:t>
      </w:r>
    </w:p>
    <w:p w:rsidR="00B81785" w:rsidRPr="00F806C8" w:rsidRDefault="00B81785" w:rsidP="00B81785">
      <w:pPr>
        <w:pStyle w:val="BodyText3"/>
        <w:widowControl w:val="0"/>
        <w:spacing w:after="0" w:line="240" w:lineRule="auto"/>
        <w:ind w:left="4320"/>
        <w:rPr>
          <w:rFonts w:cs="Arial"/>
          <w:b/>
          <w:bCs/>
          <w:smallCaps/>
          <w:color w:val="000000" w:themeColor="text1"/>
          <w:sz w:val="24"/>
          <w:szCs w:val="24"/>
        </w:rPr>
      </w:pPr>
      <w:r w:rsidRPr="00F806C8">
        <w:rPr>
          <w:rFonts w:cs="Arial"/>
          <w:bCs/>
          <w:smallCaps/>
          <w:color w:val="000000" w:themeColor="text1"/>
          <w:sz w:val="24"/>
          <w:szCs w:val="24"/>
        </w:rPr>
        <w:t>McNees Wallace &amp; Nurick LLC</w:t>
      </w:r>
    </w:p>
    <w:p w:rsidR="00B81785" w:rsidRPr="00F806C8" w:rsidRDefault="00B81785" w:rsidP="00B81785">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21 East State Street, 17</w:t>
      </w:r>
      <w:r w:rsidRPr="00F806C8">
        <w:rPr>
          <w:rFonts w:cs="Arial"/>
          <w:bCs/>
          <w:color w:val="000000" w:themeColor="text1"/>
          <w:sz w:val="24"/>
          <w:szCs w:val="24"/>
          <w:vertAlign w:val="superscript"/>
        </w:rPr>
        <w:t>TH</w:t>
      </w:r>
      <w:r w:rsidRPr="00F806C8">
        <w:rPr>
          <w:rFonts w:cs="Arial"/>
          <w:bCs/>
          <w:color w:val="000000" w:themeColor="text1"/>
          <w:sz w:val="24"/>
          <w:szCs w:val="24"/>
        </w:rPr>
        <w:t xml:space="preserve"> Floor</w:t>
      </w:r>
    </w:p>
    <w:p w:rsidR="00B81785" w:rsidRPr="00F806C8" w:rsidRDefault="00B81785" w:rsidP="00B81785">
      <w:pPr>
        <w:pStyle w:val="BodyText"/>
        <w:ind w:left="4320"/>
        <w:rPr>
          <w:color w:val="000000" w:themeColor="text1"/>
        </w:rPr>
      </w:pPr>
      <w:r w:rsidRPr="00F806C8">
        <w:rPr>
          <w:color w:val="000000" w:themeColor="text1"/>
        </w:rPr>
        <w:t>Columbus, OH  43215</w:t>
      </w:r>
    </w:p>
    <w:p w:rsidR="00B81785" w:rsidRPr="00F806C8" w:rsidRDefault="00B81785" w:rsidP="00B81785">
      <w:pPr>
        <w:pStyle w:val="BodyText"/>
        <w:ind w:left="4320"/>
        <w:rPr>
          <w:color w:val="000000" w:themeColor="text1"/>
        </w:rPr>
      </w:pPr>
      <w:r w:rsidRPr="00F806C8">
        <w:rPr>
          <w:color w:val="000000" w:themeColor="text1"/>
        </w:rPr>
        <w:t>Telephone:  (614) 469-8000</w:t>
      </w:r>
    </w:p>
    <w:p w:rsidR="00B81785" w:rsidRPr="00F806C8" w:rsidRDefault="00B81785" w:rsidP="00B81785">
      <w:pPr>
        <w:pStyle w:val="BodyText"/>
        <w:ind w:left="4320"/>
        <w:rPr>
          <w:color w:val="000000" w:themeColor="text1"/>
        </w:rPr>
      </w:pPr>
      <w:r w:rsidRPr="00F806C8">
        <w:rPr>
          <w:color w:val="000000" w:themeColor="text1"/>
        </w:rPr>
        <w:t>Telecopier:  (614) 469-4653</w:t>
      </w:r>
    </w:p>
    <w:p w:rsidR="00B81785" w:rsidRPr="00F806C8" w:rsidRDefault="00B81785" w:rsidP="00B81785">
      <w:pPr>
        <w:pStyle w:val="BodyText"/>
        <w:ind w:left="4320"/>
        <w:rPr>
          <w:color w:val="000000" w:themeColor="text1"/>
        </w:rPr>
      </w:pPr>
      <w:r w:rsidRPr="00F806C8">
        <w:rPr>
          <w:color w:val="000000" w:themeColor="text1"/>
        </w:rPr>
        <w:t>fdarr@mwncmh.com</w:t>
      </w:r>
    </w:p>
    <w:p w:rsidR="00B81785" w:rsidRPr="00F806C8" w:rsidRDefault="00B81785" w:rsidP="00B81785">
      <w:pPr>
        <w:pStyle w:val="BodyText"/>
        <w:ind w:left="4320"/>
        <w:rPr>
          <w:color w:val="000000" w:themeColor="text1"/>
        </w:rPr>
      </w:pPr>
      <w:r w:rsidRPr="00F806C8">
        <w:rPr>
          <w:color w:val="000000" w:themeColor="text1"/>
        </w:rPr>
        <w:t>mpritchard@mwncmh.com</w:t>
      </w:r>
    </w:p>
    <w:p w:rsidR="00DD5904" w:rsidRPr="00D04E80" w:rsidRDefault="00DD5904" w:rsidP="00DD5904">
      <w:pPr>
        <w:tabs>
          <w:tab w:val="left" w:pos="4320"/>
          <w:tab w:val="right" w:pos="8640"/>
        </w:tabs>
        <w:rPr>
          <w:color w:val="000000"/>
          <w:szCs w:val="24"/>
        </w:rPr>
      </w:pPr>
    </w:p>
    <w:p w:rsidR="00DD5904" w:rsidRPr="00D04E80" w:rsidRDefault="006032E6" w:rsidP="00DD5904">
      <w:pPr>
        <w:tabs>
          <w:tab w:val="left" w:pos="4320"/>
          <w:tab w:val="right" w:pos="8640"/>
        </w:tabs>
        <w:rPr>
          <w:b/>
          <w:color w:val="000000"/>
          <w:szCs w:val="24"/>
        </w:rPr>
      </w:pPr>
      <w:r w:rsidRPr="00D04E80">
        <w:rPr>
          <w:b/>
          <w:color w:val="000000"/>
          <w:szCs w:val="24"/>
        </w:rPr>
        <w:t xml:space="preserve">March </w:t>
      </w:r>
      <w:r w:rsidR="0086494F">
        <w:rPr>
          <w:b/>
          <w:color w:val="000000"/>
          <w:szCs w:val="24"/>
        </w:rPr>
        <w:t>11</w:t>
      </w:r>
      <w:r w:rsidR="0086494F" w:rsidRPr="00D04E80">
        <w:rPr>
          <w:b/>
          <w:color w:val="000000"/>
          <w:szCs w:val="24"/>
        </w:rPr>
        <w:t xml:space="preserve">, </w:t>
      </w:r>
      <w:r w:rsidRPr="00D04E80">
        <w:rPr>
          <w:b/>
          <w:color w:val="000000"/>
          <w:szCs w:val="24"/>
        </w:rPr>
        <w:t>2016</w:t>
      </w:r>
      <w:r w:rsidR="00392359">
        <w:rPr>
          <w:b/>
          <w:color w:val="000000"/>
          <w:szCs w:val="24"/>
        </w:rPr>
        <w:tab/>
        <w:t>Attorneys for Industrial Energy Users-Ohio</w:t>
      </w:r>
    </w:p>
    <w:p w:rsidR="00DD5904" w:rsidRPr="00D04E80" w:rsidRDefault="00392359">
      <w:pPr>
        <w:jc w:val="center"/>
        <w:rPr>
          <w:rFonts w:eastAsia="Times New Roman"/>
          <w:b/>
          <w:smallCaps/>
          <w:szCs w:val="24"/>
        </w:rPr>
        <w:sectPr w:rsidR="00DD5904" w:rsidRPr="00D04E8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Pr>
          <w:rFonts w:eastAsia="Times New Roman"/>
          <w:b/>
          <w:smallCaps/>
          <w:szCs w:val="24"/>
        </w:rPr>
        <w:tab/>
      </w:r>
    </w:p>
    <w:p w:rsidR="009F1E1E" w:rsidRPr="00606D77" w:rsidRDefault="009F1E1E" w:rsidP="009F1E1E">
      <w:pPr>
        <w:autoSpaceDE w:val="0"/>
        <w:autoSpaceDN w:val="0"/>
        <w:adjustRightInd w:val="0"/>
        <w:jc w:val="center"/>
        <w:rPr>
          <w:rFonts w:ascii="Arial Bold" w:hAnsi="Arial Bold"/>
          <w:b/>
          <w:smallCaps/>
          <w:sz w:val="28"/>
          <w:szCs w:val="28"/>
        </w:rPr>
      </w:pPr>
      <w:r w:rsidRPr="00606D77">
        <w:rPr>
          <w:rFonts w:ascii="Arial Bold" w:hAnsi="Arial Bold"/>
          <w:b/>
          <w:smallCaps/>
          <w:sz w:val="28"/>
          <w:szCs w:val="28"/>
        </w:rPr>
        <w:lastRenderedPageBreak/>
        <w:t>Before</w:t>
      </w:r>
    </w:p>
    <w:p w:rsidR="009F1E1E" w:rsidRPr="00606D77" w:rsidRDefault="009F1E1E" w:rsidP="009F1E1E">
      <w:pPr>
        <w:autoSpaceDE w:val="0"/>
        <w:autoSpaceDN w:val="0"/>
        <w:adjustRightInd w:val="0"/>
        <w:jc w:val="center"/>
        <w:rPr>
          <w:rFonts w:ascii="Arial Bold" w:hAnsi="Arial Bold"/>
          <w:b/>
          <w:smallCaps/>
          <w:sz w:val="28"/>
          <w:szCs w:val="28"/>
        </w:rPr>
      </w:pPr>
      <w:r w:rsidRPr="00606D77">
        <w:rPr>
          <w:rFonts w:ascii="Arial Bold" w:hAnsi="Arial Bold"/>
          <w:b/>
          <w:smallCaps/>
          <w:sz w:val="28"/>
          <w:szCs w:val="28"/>
        </w:rPr>
        <w:t>the Public Utilities Commission of Ohio</w:t>
      </w:r>
    </w:p>
    <w:p w:rsidR="009F1E1E" w:rsidRPr="009F1E1E" w:rsidRDefault="009F1E1E" w:rsidP="009F1E1E">
      <w:pPr>
        <w:autoSpaceDE w:val="0"/>
        <w:autoSpaceDN w:val="0"/>
        <w:adjustRightInd w:val="0"/>
        <w:jc w:val="center"/>
        <w:rPr>
          <w:rFonts w:ascii="Arial Bold" w:hAnsi="Arial Bold"/>
          <w:smallCaps/>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16-395-EL-SSO</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Its Electric Security Plan</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16-396-EL-ATA</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Revised Tariffs</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p>
    <w:p w:rsidR="009F1E1E" w:rsidRPr="009F1E1E" w:rsidRDefault="009F1E1E" w:rsidP="009F1E1E">
      <w:pPr>
        <w:tabs>
          <w:tab w:val="left" w:pos="4680"/>
          <w:tab w:val="left" w:pos="5220"/>
        </w:tabs>
        <w:autoSpaceDE w:val="0"/>
        <w:autoSpaceDN w:val="0"/>
        <w:adjustRightInd w:val="0"/>
        <w:rPr>
          <w:szCs w:val="24"/>
        </w:rPr>
      </w:pPr>
      <w:r w:rsidRPr="009F1E1E">
        <w:rPr>
          <w:szCs w:val="24"/>
        </w:rPr>
        <w:t>In the Matter of the Application of</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The Dayton Power and Light Company for</w:t>
      </w:r>
      <w:r w:rsidRPr="009F1E1E">
        <w:rPr>
          <w:szCs w:val="24"/>
        </w:rPr>
        <w:tab/>
        <w:t>)</w:t>
      </w:r>
      <w:r w:rsidRPr="009F1E1E">
        <w:rPr>
          <w:szCs w:val="24"/>
        </w:rPr>
        <w:tab/>
        <w:t>Case No. 16-397-EL-AAM</w:t>
      </w:r>
    </w:p>
    <w:p w:rsidR="009F1E1E" w:rsidRPr="009F1E1E" w:rsidRDefault="009F1E1E" w:rsidP="009F1E1E">
      <w:pPr>
        <w:tabs>
          <w:tab w:val="left" w:pos="4680"/>
          <w:tab w:val="left" w:pos="5220"/>
        </w:tabs>
        <w:autoSpaceDE w:val="0"/>
        <w:autoSpaceDN w:val="0"/>
        <w:adjustRightInd w:val="0"/>
        <w:rPr>
          <w:szCs w:val="24"/>
        </w:rPr>
      </w:pPr>
      <w:r w:rsidRPr="009F1E1E">
        <w:rPr>
          <w:szCs w:val="24"/>
        </w:rPr>
        <w:t>Approval of Certain Accounting Authority</w:t>
      </w:r>
      <w:r w:rsidRPr="009F1E1E">
        <w:rPr>
          <w:szCs w:val="24"/>
        </w:rPr>
        <w:tab/>
        <w:t>)</w:t>
      </w:r>
    </w:p>
    <w:p w:rsidR="009F1E1E" w:rsidRPr="009F1E1E" w:rsidRDefault="009F1E1E" w:rsidP="009F1E1E">
      <w:pPr>
        <w:tabs>
          <w:tab w:val="left" w:pos="4680"/>
          <w:tab w:val="left" w:pos="5220"/>
        </w:tabs>
        <w:autoSpaceDE w:val="0"/>
        <w:autoSpaceDN w:val="0"/>
        <w:adjustRightInd w:val="0"/>
        <w:rPr>
          <w:szCs w:val="24"/>
        </w:rPr>
      </w:pPr>
      <w:r w:rsidRPr="009F1E1E">
        <w:rPr>
          <w:szCs w:val="24"/>
        </w:rPr>
        <w:t>Pursuant to Ohio Rev. Code § 4905.13</w:t>
      </w:r>
      <w:r w:rsidRPr="009F1E1E">
        <w:rPr>
          <w:szCs w:val="24"/>
        </w:rPr>
        <w:tab/>
        <w:t>)</w:t>
      </w:r>
    </w:p>
    <w:p w:rsidR="009F1E1E" w:rsidRPr="009F1E1E" w:rsidRDefault="009F1E1E" w:rsidP="009F1E1E">
      <w:pPr>
        <w:tabs>
          <w:tab w:val="left" w:pos="5040"/>
        </w:tabs>
        <w:jc w:val="left"/>
        <w:rPr>
          <w:rFonts w:eastAsia="Times New Roman" w:cs="Times New Roman"/>
          <w:sz w:val="28"/>
          <w:szCs w:val="24"/>
        </w:rPr>
      </w:pPr>
    </w:p>
    <w:p w:rsidR="009F1E1E" w:rsidRPr="009F1E1E" w:rsidRDefault="009F1E1E" w:rsidP="009F1E1E">
      <w:pPr>
        <w:pBdr>
          <w:bottom w:val="single" w:sz="12" w:space="1" w:color="auto"/>
        </w:pBdr>
        <w:tabs>
          <w:tab w:val="left" w:pos="5040"/>
        </w:tabs>
        <w:jc w:val="left"/>
        <w:rPr>
          <w:rFonts w:eastAsia="Times New Roman" w:cs="Times New Roman"/>
          <w:sz w:val="28"/>
          <w:szCs w:val="24"/>
        </w:rPr>
      </w:pPr>
    </w:p>
    <w:p w:rsidR="004D404C" w:rsidRDefault="004D404C">
      <w:pPr>
        <w:tabs>
          <w:tab w:val="left" w:pos="4680"/>
        </w:tabs>
        <w:rPr>
          <w:rFonts w:eastAsia="Times New Roman"/>
          <w:szCs w:val="24"/>
        </w:rPr>
      </w:pPr>
    </w:p>
    <w:p w:rsidR="00181B1D" w:rsidRPr="00606D77" w:rsidRDefault="00181B1D" w:rsidP="00181B1D">
      <w:pPr>
        <w:jc w:val="center"/>
        <w:rPr>
          <w:b/>
          <w:caps/>
          <w:szCs w:val="24"/>
        </w:rPr>
      </w:pPr>
      <w:r w:rsidRPr="00606D77">
        <w:rPr>
          <w:b/>
          <w:caps/>
          <w:szCs w:val="24"/>
        </w:rPr>
        <w:t xml:space="preserve">MOTION </w:t>
      </w:r>
      <w:r w:rsidR="006C2F01" w:rsidRPr="00606D77">
        <w:rPr>
          <w:b/>
          <w:caps/>
          <w:szCs w:val="24"/>
        </w:rPr>
        <w:t xml:space="preserve">BY INDUSTRIAL ENERGY USERS-OHIO </w:t>
      </w:r>
      <w:r w:rsidR="00132E36" w:rsidRPr="00606D77">
        <w:rPr>
          <w:b/>
          <w:caps/>
          <w:szCs w:val="24"/>
        </w:rPr>
        <w:t xml:space="preserve">FOR AN ORDER </w:t>
      </w:r>
      <w:r w:rsidR="008B0784" w:rsidRPr="00606D77">
        <w:rPr>
          <w:b/>
          <w:caps/>
          <w:szCs w:val="24"/>
        </w:rPr>
        <w:t>DENYING</w:t>
      </w:r>
      <w:r w:rsidRPr="00606D77">
        <w:rPr>
          <w:b/>
          <w:caps/>
          <w:szCs w:val="24"/>
        </w:rPr>
        <w:t xml:space="preserve"> THE REQUEST </w:t>
      </w:r>
      <w:r w:rsidR="004F5602" w:rsidRPr="00606D77">
        <w:rPr>
          <w:b/>
          <w:caps/>
          <w:szCs w:val="24"/>
        </w:rPr>
        <w:t xml:space="preserve">FOR </w:t>
      </w:r>
      <w:r w:rsidR="00193E4E" w:rsidRPr="00606D77">
        <w:rPr>
          <w:b/>
          <w:caps/>
          <w:szCs w:val="24"/>
        </w:rPr>
        <w:t xml:space="preserve">WAIVER </w:t>
      </w:r>
      <w:r w:rsidR="003F2195" w:rsidRPr="00606D77">
        <w:rPr>
          <w:b/>
          <w:caps/>
          <w:szCs w:val="24"/>
        </w:rPr>
        <w:t>of the requirement</w:t>
      </w:r>
      <w:r w:rsidR="003151D8" w:rsidRPr="00606D77">
        <w:rPr>
          <w:b/>
          <w:caps/>
          <w:szCs w:val="24"/>
        </w:rPr>
        <w:t xml:space="preserve"> </w:t>
      </w:r>
      <w:r w:rsidR="00BD03A8" w:rsidRPr="00606D77">
        <w:rPr>
          <w:b/>
          <w:caps/>
          <w:szCs w:val="24"/>
        </w:rPr>
        <w:t xml:space="preserve">that transmission costs be recovered through a bypassable rider </w:t>
      </w:r>
      <w:r w:rsidR="006C2F01" w:rsidRPr="00606D77">
        <w:rPr>
          <w:b/>
          <w:caps/>
          <w:szCs w:val="24"/>
        </w:rPr>
        <w:t xml:space="preserve">AND RELATED ORDERS </w:t>
      </w:r>
    </w:p>
    <w:p w:rsidR="00181B1D" w:rsidRPr="00D04E80" w:rsidRDefault="00181B1D" w:rsidP="00181B1D">
      <w:pPr>
        <w:tabs>
          <w:tab w:val="left" w:pos="4680"/>
        </w:tabs>
        <w:rPr>
          <w:rFonts w:eastAsia="Times New Roman"/>
          <w:szCs w:val="24"/>
        </w:rPr>
      </w:pPr>
      <w:r w:rsidRPr="00D04E80">
        <w:rPr>
          <w:b/>
          <w:szCs w:val="24"/>
        </w:rPr>
        <w:t>______________________________________________________________________</w:t>
      </w:r>
    </w:p>
    <w:p w:rsidR="006032E6" w:rsidRDefault="006032E6">
      <w:pPr>
        <w:tabs>
          <w:tab w:val="left" w:pos="4680"/>
        </w:tabs>
        <w:rPr>
          <w:rFonts w:eastAsia="Times New Roman"/>
          <w:szCs w:val="24"/>
        </w:rPr>
      </w:pPr>
    </w:p>
    <w:p w:rsidR="00E735ED" w:rsidRDefault="00E403F8" w:rsidP="00E403F8">
      <w:pPr>
        <w:tabs>
          <w:tab w:val="left" w:pos="720"/>
        </w:tabs>
        <w:spacing w:line="480" w:lineRule="auto"/>
        <w:rPr>
          <w:szCs w:val="24"/>
        </w:rPr>
      </w:pPr>
      <w:r>
        <w:rPr>
          <w:rFonts w:eastAsia="Times New Roman"/>
          <w:szCs w:val="24"/>
        </w:rPr>
        <w:tab/>
      </w:r>
      <w:r w:rsidR="00645115">
        <w:rPr>
          <w:rFonts w:eastAsia="Times New Roman"/>
          <w:szCs w:val="24"/>
        </w:rPr>
        <w:t xml:space="preserve">Industrial Energy Users-Ohio </w:t>
      </w:r>
      <w:r w:rsidR="00193E4E">
        <w:rPr>
          <w:rFonts w:eastAsia="Times New Roman"/>
          <w:szCs w:val="24"/>
        </w:rPr>
        <w:t xml:space="preserve">(“IEU-Ohio”) </w:t>
      </w:r>
      <w:r w:rsidR="00645115">
        <w:rPr>
          <w:rFonts w:eastAsia="Times New Roman"/>
          <w:szCs w:val="24"/>
        </w:rPr>
        <w:t xml:space="preserve">moves for an order </w:t>
      </w:r>
      <w:r w:rsidR="00E20AD1">
        <w:rPr>
          <w:rFonts w:eastAsia="Times New Roman"/>
          <w:szCs w:val="24"/>
        </w:rPr>
        <w:t>denying</w:t>
      </w:r>
      <w:r w:rsidR="00A2684D">
        <w:rPr>
          <w:rFonts w:eastAsia="Times New Roman"/>
          <w:szCs w:val="24"/>
        </w:rPr>
        <w:t xml:space="preserve"> the</w:t>
      </w:r>
      <w:r w:rsidR="00E20AD1">
        <w:rPr>
          <w:rFonts w:eastAsia="Times New Roman"/>
          <w:szCs w:val="24"/>
        </w:rPr>
        <w:t xml:space="preserve"> request of</w:t>
      </w:r>
      <w:r w:rsidR="00A2684D">
        <w:rPr>
          <w:rFonts w:eastAsia="Times New Roman"/>
          <w:szCs w:val="24"/>
        </w:rPr>
        <w:t xml:space="preserve"> </w:t>
      </w:r>
      <w:r w:rsidR="00E20AD1">
        <w:rPr>
          <w:rFonts w:eastAsia="Times New Roman"/>
          <w:szCs w:val="24"/>
        </w:rPr>
        <w:t>T</w:t>
      </w:r>
      <w:r w:rsidR="00A2684D">
        <w:rPr>
          <w:rFonts w:eastAsia="Times New Roman"/>
          <w:szCs w:val="24"/>
        </w:rPr>
        <w:t xml:space="preserve">he Dayton Power and Light Company </w:t>
      </w:r>
      <w:r w:rsidR="00AF5EA2">
        <w:rPr>
          <w:rFonts w:eastAsia="Times New Roman"/>
          <w:szCs w:val="24"/>
        </w:rPr>
        <w:t xml:space="preserve">(“DP&amp;L”) </w:t>
      </w:r>
      <w:r w:rsidR="00E20AD1">
        <w:rPr>
          <w:rFonts w:eastAsia="Times New Roman"/>
          <w:szCs w:val="24"/>
        </w:rPr>
        <w:t>f</w:t>
      </w:r>
      <w:r w:rsidR="00645115">
        <w:rPr>
          <w:rFonts w:eastAsia="Times New Roman"/>
          <w:szCs w:val="24"/>
        </w:rPr>
        <w:t xml:space="preserve">or a waiver </w:t>
      </w:r>
      <w:r>
        <w:rPr>
          <w:rFonts w:eastAsia="Times New Roman"/>
          <w:szCs w:val="24"/>
        </w:rPr>
        <w:t xml:space="preserve">of </w:t>
      </w:r>
      <w:r>
        <w:rPr>
          <w:szCs w:val="24"/>
        </w:rPr>
        <w:t>Rule</w:t>
      </w:r>
      <w:r w:rsidRPr="00D04E80">
        <w:rPr>
          <w:szCs w:val="24"/>
        </w:rPr>
        <w:t xml:space="preserve"> 4901:1-36-04(B) of the Ohio Administrative Code</w:t>
      </w:r>
      <w:r w:rsidR="00B10394">
        <w:rPr>
          <w:szCs w:val="24"/>
        </w:rPr>
        <w:t xml:space="preserve"> (“OAC”)</w:t>
      </w:r>
      <w:r>
        <w:rPr>
          <w:szCs w:val="24"/>
        </w:rPr>
        <w:t xml:space="preserve"> </w:t>
      </w:r>
      <w:r w:rsidR="006C2CE8">
        <w:rPr>
          <w:szCs w:val="24"/>
        </w:rPr>
        <w:t xml:space="preserve">that </w:t>
      </w:r>
      <w:r w:rsidR="00A37D19">
        <w:rPr>
          <w:szCs w:val="24"/>
        </w:rPr>
        <w:t xml:space="preserve">requires </w:t>
      </w:r>
      <w:r w:rsidR="006C2CE8">
        <w:rPr>
          <w:szCs w:val="24"/>
        </w:rPr>
        <w:t>transmission costs be recovered through a bypassable rider</w:t>
      </w:r>
      <w:r w:rsidR="00A2684D">
        <w:rPr>
          <w:szCs w:val="24"/>
        </w:rPr>
        <w:t xml:space="preserve">.  </w:t>
      </w:r>
    </w:p>
    <w:p w:rsidR="00E735ED" w:rsidRDefault="00E735ED" w:rsidP="00E403F8">
      <w:pPr>
        <w:tabs>
          <w:tab w:val="left" w:pos="720"/>
        </w:tabs>
        <w:spacing w:line="480" w:lineRule="auto"/>
        <w:rPr>
          <w:szCs w:val="24"/>
        </w:rPr>
      </w:pPr>
      <w:r>
        <w:rPr>
          <w:szCs w:val="24"/>
        </w:rPr>
        <w:tab/>
      </w:r>
      <w:r w:rsidR="00A2684D">
        <w:rPr>
          <w:szCs w:val="24"/>
        </w:rPr>
        <w:t>IEU-</w:t>
      </w:r>
      <w:r w:rsidR="00193E4E">
        <w:rPr>
          <w:szCs w:val="24"/>
        </w:rPr>
        <w:t xml:space="preserve">Ohio further moves for </w:t>
      </w:r>
      <w:r w:rsidR="007323A4">
        <w:rPr>
          <w:szCs w:val="24"/>
        </w:rPr>
        <w:t xml:space="preserve">an </w:t>
      </w:r>
      <w:r w:rsidR="00193E4E">
        <w:rPr>
          <w:szCs w:val="24"/>
        </w:rPr>
        <w:t>order</w:t>
      </w:r>
      <w:r w:rsidR="00A2684D">
        <w:rPr>
          <w:szCs w:val="24"/>
        </w:rPr>
        <w:t xml:space="preserve"> </w:t>
      </w:r>
      <w:r w:rsidR="00562392">
        <w:rPr>
          <w:szCs w:val="24"/>
        </w:rPr>
        <w:t xml:space="preserve">directing </w:t>
      </w:r>
      <w:r w:rsidR="00623CB1">
        <w:rPr>
          <w:szCs w:val="24"/>
        </w:rPr>
        <w:t xml:space="preserve">DP&amp;L to file transmission tariff </w:t>
      </w:r>
      <w:r>
        <w:rPr>
          <w:szCs w:val="24"/>
        </w:rPr>
        <w:t>sheets that conform to</w:t>
      </w:r>
      <w:r w:rsidR="00623CB1">
        <w:rPr>
          <w:szCs w:val="24"/>
        </w:rPr>
        <w:t xml:space="preserve"> </w:t>
      </w:r>
      <w:r w:rsidR="001960FF">
        <w:rPr>
          <w:szCs w:val="24"/>
        </w:rPr>
        <w:t xml:space="preserve">federal law, </w:t>
      </w:r>
      <w:r w:rsidR="00B10394">
        <w:rPr>
          <w:szCs w:val="24"/>
        </w:rPr>
        <w:t>the applicable Open Access Transmission Tariff</w:t>
      </w:r>
      <w:r w:rsidR="001960FF">
        <w:rPr>
          <w:szCs w:val="24"/>
        </w:rPr>
        <w:t xml:space="preserve"> (“OATT”),</w:t>
      </w:r>
      <w:r w:rsidR="00B10394">
        <w:rPr>
          <w:szCs w:val="24"/>
        </w:rPr>
        <w:t xml:space="preserve"> and </w:t>
      </w:r>
      <w:r w:rsidR="004F5602">
        <w:rPr>
          <w:szCs w:val="24"/>
        </w:rPr>
        <w:t>Rule</w:t>
      </w:r>
      <w:r w:rsidR="004F5602" w:rsidRPr="00D04E80">
        <w:rPr>
          <w:szCs w:val="24"/>
        </w:rPr>
        <w:t xml:space="preserve"> 4901:1-36-04(B)</w:t>
      </w:r>
      <w:r w:rsidR="001960FF">
        <w:rPr>
          <w:szCs w:val="24"/>
        </w:rPr>
        <w:t>,</w:t>
      </w:r>
      <w:r w:rsidR="00B10394">
        <w:rPr>
          <w:szCs w:val="24"/>
        </w:rPr>
        <w:t xml:space="preserve"> OAC</w:t>
      </w:r>
      <w:r w:rsidR="00A57936">
        <w:rPr>
          <w:szCs w:val="24"/>
        </w:rPr>
        <w:t xml:space="preserve">.  In particular, </w:t>
      </w:r>
      <w:r w:rsidR="00A77E46">
        <w:rPr>
          <w:szCs w:val="24"/>
        </w:rPr>
        <w:t xml:space="preserve">Commission should </w:t>
      </w:r>
      <w:r w:rsidR="00A77E46">
        <w:rPr>
          <w:color w:val="000000"/>
          <w:szCs w:val="24"/>
        </w:rPr>
        <w:t xml:space="preserve">order DP&amp;L to file proposed transmission tariff sheets that provide for a bypassable transmission tariff </w:t>
      </w:r>
      <w:r w:rsidR="004A161E">
        <w:rPr>
          <w:color w:val="000000"/>
          <w:szCs w:val="24"/>
        </w:rPr>
        <w:t xml:space="preserve">rider </w:t>
      </w:r>
      <w:r w:rsidR="00A77E46">
        <w:rPr>
          <w:color w:val="000000"/>
          <w:szCs w:val="24"/>
        </w:rPr>
        <w:t>and that do not include terms and conditions that permit DP&amp;L to bill and collect for transmission services in a manner that conflicts with the provisions of the PJM OATT.</w:t>
      </w:r>
    </w:p>
    <w:p w:rsidR="00623CB1" w:rsidRDefault="00E735ED" w:rsidP="00E403F8">
      <w:pPr>
        <w:tabs>
          <w:tab w:val="left" w:pos="720"/>
        </w:tabs>
        <w:spacing w:line="480" w:lineRule="auto"/>
        <w:rPr>
          <w:szCs w:val="24"/>
        </w:rPr>
      </w:pPr>
      <w:r>
        <w:rPr>
          <w:szCs w:val="24"/>
        </w:rPr>
        <w:lastRenderedPageBreak/>
        <w:tab/>
      </w:r>
      <w:r w:rsidR="00623CB1">
        <w:rPr>
          <w:szCs w:val="24"/>
        </w:rPr>
        <w:t>The reasons supporting this Motion are set out in the accompanying memorandum</w:t>
      </w:r>
      <w:r w:rsidR="00E403F8">
        <w:rPr>
          <w:szCs w:val="24"/>
        </w:rPr>
        <w:t>.</w:t>
      </w:r>
    </w:p>
    <w:p w:rsidR="00DC6D1A" w:rsidRPr="00DC6D1A" w:rsidRDefault="00DC6D1A" w:rsidP="00DC6D1A">
      <w:pPr>
        <w:tabs>
          <w:tab w:val="left" w:pos="4320"/>
          <w:tab w:val="right" w:pos="8640"/>
        </w:tabs>
        <w:rPr>
          <w:szCs w:val="24"/>
        </w:rPr>
      </w:pPr>
      <w:r>
        <w:rPr>
          <w:szCs w:val="24"/>
        </w:rPr>
        <w:tab/>
      </w:r>
      <w:r w:rsidRPr="00DC6D1A">
        <w:rPr>
          <w:szCs w:val="24"/>
        </w:rPr>
        <w:t>Respectfully submitted,</w:t>
      </w:r>
    </w:p>
    <w:p w:rsidR="00DC6D1A" w:rsidRPr="00DC6D1A" w:rsidRDefault="00DC6D1A" w:rsidP="00DC6D1A">
      <w:pPr>
        <w:tabs>
          <w:tab w:val="left" w:pos="4320"/>
          <w:tab w:val="right" w:pos="8640"/>
        </w:tabs>
        <w:rPr>
          <w:szCs w:val="24"/>
        </w:rPr>
      </w:pPr>
    </w:p>
    <w:p w:rsidR="00DC6D1A" w:rsidRPr="00DC6D1A" w:rsidRDefault="00DC6D1A" w:rsidP="00DC6D1A">
      <w:pPr>
        <w:tabs>
          <w:tab w:val="left" w:pos="4320"/>
          <w:tab w:val="right" w:pos="8640"/>
        </w:tabs>
        <w:rPr>
          <w:szCs w:val="24"/>
        </w:rPr>
      </w:pPr>
    </w:p>
    <w:p w:rsidR="00DC6D1A" w:rsidRPr="00DC6D1A" w:rsidRDefault="00DC6D1A" w:rsidP="00DC6D1A">
      <w:pPr>
        <w:tabs>
          <w:tab w:val="left" w:pos="4320"/>
          <w:tab w:val="right" w:pos="8640"/>
        </w:tabs>
        <w:rPr>
          <w:i/>
          <w:szCs w:val="24"/>
          <w:u w:val="single"/>
        </w:rPr>
      </w:pPr>
      <w:r w:rsidRPr="00DC6D1A">
        <w:rPr>
          <w:i/>
          <w:szCs w:val="24"/>
        </w:rPr>
        <w:tab/>
      </w:r>
      <w:r w:rsidRPr="00DC6D1A">
        <w:rPr>
          <w:i/>
          <w:szCs w:val="24"/>
          <w:u w:val="single"/>
        </w:rPr>
        <w:t xml:space="preserve">/s/ </w:t>
      </w:r>
      <w:r>
        <w:rPr>
          <w:i/>
          <w:szCs w:val="24"/>
          <w:u w:val="single"/>
        </w:rPr>
        <w:t>Frank P. Darr</w:t>
      </w:r>
      <w:r w:rsidRPr="00DC6D1A">
        <w:rPr>
          <w:i/>
          <w:szCs w:val="24"/>
          <w:u w:val="single"/>
        </w:rPr>
        <w:tab/>
      </w:r>
    </w:p>
    <w:p w:rsidR="00DC6D1A" w:rsidRPr="00DC6D1A" w:rsidRDefault="00DC6D1A" w:rsidP="00DC6D1A">
      <w:pPr>
        <w:widowControl w:val="0"/>
        <w:tabs>
          <w:tab w:val="left" w:pos="4320"/>
        </w:tabs>
        <w:ind w:left="4320"/>
        <w:rPr>
          <w:rFonts w:eastAsia="Calibri"/>
          <w:szCs w:val="24"/>
        </w:rPr>
      </w:pPr>
      <w:r w:rsidRPr="00DC6D1A">
        <w:rPr>
          <w:rFonts w:eastAsia="Calibri"/>
          <w:bCs/>
          <w:szCs w:val="24"/>
        </w:rPr>
        <w:t>Frank P. Darr (Reg. No. 0025469)</w:t>
      </w:r>
      <w:r w:rsidRPr="00DC6D1A">
        <w:rPr>
          <w:rFonts w:eastAsia="Calibri"/>
          <w:szCs w:val="24"/>
        </w:rPr>
        <w:t xml:space="preserve"> </w:t>
      </w:r>
    </w:p>
    <w:p w:rsidR="00DC6D1A" w:rsidRPr="00DC6D1A" w:rsidRDefault="00DC6D1A" w:rsidP="00DC6D1A">
      <w:pPr>
        <w:widowControl w:val="0"/>
        <w:tabs>
          <w:tab w:val="left" w:pos="4320"/>
        </w:tabs>
        <w:ind w:left="4320"/>
        <w:rPr>
          <w:rFonts w:eastAsia="Calibri"/>
          <w:bCs/>
          <w:szCs w:val="24"/>
        </w:rPr>
      </w:pPr>
      <w:r w:rsidRPr="00DC6D1A">
        <w:rPr>
          <w:rFonts w:eastAsia="Calibri"/>
          <w:szCs w:val="24"/>
        </w:rPr>
        <w:t>(Counsel of Record)</w:t>
      </w:r>
    </w:p>
    <w:p w:rsidR="00DC6D1A" w:rsidRPr="00DC6D1A" w:rsidRDefault="00DC6D1A" w:rsidP="00DC6D1A">
      <w:pPr>
        <w:widowControl w:val="0"/>
        <w:tabs>
          <w:tab w:val="left" w:pos="4320"/>
        </w:tabs>
        <w:ind w:left="4320"/>
        <w:rPr>
          <w:rFonts w:eastAsia="Calibri"/>
          <w:b/>
          <w:bCs/>
          <w:szCs w:val="24"/>
        </w:rPr>
      </w:pPr>
      <w:r w:rsidRPr="00DC6D1A">
        <w:rPr>
          <w:rFonts w:eastAsia="Calibri"/>
          <w:bCs/>
          <w:szCs w:val="24"/>
        </w:rPr>
        <w:t>Matthew R. Pritchard (Reg. No. 0088070)</w:t>
      </w:r>
    </w:p>
    <w:p w:rsidR="00DC6D1A" w:rsidRPr="00DC6D1A" w:rsidRDefault="00DC6D1A" w:rsidP="00DC6D1A">
      <w:pPr>
        <w:widowControl w:val="0"/>
        <w:tabs>
          <w:tab w:val="left" w:pos="4320"/>
        </w:tabs>
        <w:ind w:left="4320"/>
        <w:rPr>
          <w:rFonts w:eastAsia="Calibri"/>
          <w:b/>
          <w:bCs/>
          <w:smallCaps/>
          <w:szCs w:val="24"/>
        </w:rPr>
      </w:pPr>
      <w:r w:rsidRPr="00DC6D1A">
        <w:rPr>
          <w:rFonts w:eastAsia="Calibri"/>
          <w:bCs/>
          <w:smallCaps/>
          <w:szCs w:val="24"/>
        </w:rPr>
        <w:t>McNees Wallace &amp; Nurick LLC</w:t>
      </w:r>
    </w:p>
    <w:p w:rsidR="00DC6D1A" w:rsidRPr="00DC6D1A" w:rsidRDefault="00DC6D1A" w:rsidP="00DC6D1A">
      <w:pPr>
        <w:widowControl w:val="0"/>
        <w:tabs>
          <w:tab w:val="left" w:pos="4320"/>
        </w:tabs>
        <w:ind w:left="4320"/>
        <w:rPr>
          <w:rFonts w:eastAsia="Calibri"/>
          <w:b/>
          <w:bCs/>
          <w:szCs w:val="24"/>
        </w:rPr>
      </w:pPr>
      <w:r w:rsidRPr="00DC6D1A">
        <w:rPr>
          <w:rFonts w:eastAsia="Calibri"/>
          <w:bCs/>
          <w:szCs w:val="24"/>
        </w:rPr>
        <w:t>21 East State Street, 17</w:t>
      </w:r>
      <w:r w:rsidRPr="00DC6D1A">
        <w:rPr>
          <w:rFonts w:eastAsia="Calibri"/>
          <w:bCs/>
          <w:szCs w:val="24"/>
          <w:vertAlign w:val="superscript"/>
        </w:rPr>
        <w:t>TH</w:t>
      </w:r>
      <w:r w:rsidRPr="00DC6D1A">
        <w:rPr>
          <w:rFonts w:eastAsia="Calibri"/>
          <w:bCs/>
          <w:szCs w:val="24"/>
        </w:rPr>
        <w:t xml:space="preserve"> Floor</w:t>
      </w:r>
    </w:p>
    <w:p w:rsidR="00DC6D1A" w:rsidRP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szCs w:val="24"/>
        </w:rPr>
      </w:pPr>
      <w:r w:rsidRPr="00DC6D1A">
        <w:rPr>
          <w:rFonts w:eastAsia="Calibri"/>
          <w:szCs w:val="24"/>
        </w:rPr>
        <w:t>Columbus, OH  43215</w:t>
      </w:r>
    </w:p>
    <w:p w:rsidR="00DC6D1A" w:rsidRP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szCs w:val="24"/>
        </w:rPr>
      </w:pPr>
      <w:r w:rsidRPr="00DC6D1A">
        <w:rPr>
          <w:rFonts w:eastAsia="Calibri"/>
          <w:szCs w:val="24"/>
        </w:rPr>
        <w:t>Telephone:  (614) 469-8000</w:t>
      </w:r>
    </w:p>
    <w:p w:rsidR="00DC6D1A" w:rsidRP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szCs w:val="24"/>
        </w:rPr>
      </w:pPr>
      <w:r w:rsidRPr="00DC6D1A">
        <w:rPr>
          <w:rFonts w:eastAsia="Calibri"/>
          <w:szCs w:val="24"/>
        </w:rPr>
        <w:t>Telecopier:  (614) 469-4653</w:t>
      </w:r>
    </w:p>
    <w:p w:rsidR="00DC6D1A" w:rsidRP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szCs w:val="24"/>
        </w:rPr>
      </w:pPr>
      <w:r w:rsidRPr="00DC6D1A">
        <w:rPr>
          <w:rFonts w:eastAsia="Calibri"/>
          <w:szCs w:val="24"/>
        </w:rPr>
        <w:t>fdarr@mwncmh.com</w:t>
      </w:r>
    </w:p>
    <w:p w:rsidR="00DC6D1A" w:rsidRP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szCs w:val="24"/>
        </w:rPr>
      </w:pPr>
      <w:r w:rsidRPr="00DC6D1A">
        <w:rPr>
          <w:rFonts w:eastAsia="Calibri"/>
          <w:color w:val="000000"/>
          <w:szCs w:val="24"/>
        </w:rPr>
        <w:t>(willing to accept service by e-mail)</w:t>
      </w:r>
    </w:p>
    <w:p w:rsidR="00DC6D1A" w:rsidRP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smallCaps/>
          <w:color w:val="000000"/>
          <w:szCs w:val="24"/>
        </w:rPr>
      </w:pPr>
      <w:r w:rsidRPr="00DC6D1A">
        <w:rPr>
          <w:rFonts w:eastAsia="Calibri"/>
          <w:color w:val="000000"/>
          <w:szCs w:val="24"/>
        </w:rPr>
        <w:t>mpritchard@mwncmh.com</w:t>
      </w:r>
    </w:p>
    <w:p w:rsidR="00DC6D1A" w:rsidRP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szCs w:val="24"/>
        </w:rPr>
      </w:pPr>
      <w:r w:rsidRPr="00DC6D1A">
        <w:rPr>
          <w:rFonts w:eastAsia="Calibri"/>
          <w:color w:val="000000"/>
          <w:szCs w:val="24"/>
        </w:rPr>
        <w:t>(willing to accept service by e-mail)</w:t>
      </w:r>
    </w:p>
    <w:p w:rsidR="00DC6D1A" w:rsidRP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b/>
          <w:smallCaps/>
          <w:szCs w:val="24"/>
        </w:rPr>
      </w:pPr>
    </w:p>
    <w:p w:rsidR="00DC6D1A" w:rsidRPr="00DC6D1A" w:rsidRDefault="00DC6D1A" w:rsidP="00DC6D1A">
      <w:pPr>
        <w:ind w:left="4320" w:hanging="4320"/>
        <w:rPr>
          <w:sz w:val="28"/>
          <w:szCs w:val="24"/>
          <w:u w:val="single"/>
        </w:rPr>
      </w:pPr>
      <w:r w:rsidRPr="00DC6D1A">
        <w:rPr>
          <w:rFonts w:eastAsia="Calibri"/>
          <w:b/>
          <w:szCs w:val="24"/>
        </w:rPr>
        <w:tab/>
        <w:t>Attorneys for Industrial Energy Users-Ohio</w:t>
      </w:r>
    </w:p>
    <w:p w:rsidR="00E005B7" w:rsidRDefault="00E005B7">
      <w:pPr>
        <w:jc w:val="left"/>
        <w:rPr>
          <w:szCs w:val="24"/>
        </w:rPr>
      </w:pPr>
      <w:r>
        <w:rPr>
          <w:szCs w:val="24"/>
        </w:rPr>
        <w:br w:type="page"/>
      </w:r>
    </w:p>
    <w:p w:rsidR="00DA09CE" w:rsidRPr="00EF225F" w:rsidRDefault="00DA09CE" w:rsidP="00DA09CE">
      <w:pPr>
        <w:pStyle w:val="TOCHeading"/>
        <w:rPr>
          <w:sz w:val="28"/>
          <w:szCs w:val="28"/>
        </w:rPr>
      </w:pPr>
      <w:bookmarkStart w:id="0" w:name="TOCHeading_1"/>
      <w:r w:rsidRPr="00EF225F">
        <w:rPr>
          <w:sz w:val="28"/>
          <w:szCs w:val="28"/>
        </w:rPr>
        <w:lastRenderedPageBreak/>
        <w:t>TABLE OF CONTENTS</w:t>
      </w:r>
    </w:p>
    <w:p w:rsidR="00DA09CE" w:rsidRPr="00EF225F" w:rsidRDefault="00DA09CE" w:rsidP="00DA09CE">
      <w:pPr>
        <w:pStyle w:val="TOCPage"/>
        <w:rPr>
          <w:sz w:val="28"/>
          <w:szCs w:val="28"/>
          <w:u w:val="single"/>
        </w:rPr>
      </w:pPr>
      <w:bookmarkStart w:id="1" w:name="TOCPage_1"/>
      <w:bookmarkEnd w:id="0"/>
      <w:r w:rsidRPr="00EF225F">
        <w:rPr>
          <w:sz w:val="28"/>
          <w:szCs w:val="28"/>
          <w:u w:val="single"/>
        </w:rPr>
        <w:t>Page</w:t>
      </w:r>
    </w:p>
    <w:bookmarkEnd w:id="1"/>
    <w:p w:rsidR="00917D09" w:rsidRPr="002D7989" w:rsidRDefault="00917D09" w:rsidP="002D7989">
      <w:pPr>
        <w:pStyle w:val="TOC1"/>
        <w:tabs>
          <w:tab w:val="right" w:leader="dot" w:pos="9360"/>
        </w:tabs>
        <w:rPr>
          <w:rFonts w:asciiTheme="minorHAnsi" w:eastAsiaTheme="minorEastAsia" w:hAnsiTheme="minorHAnsi" w:cstheme="minorBidi"/>
          <w:caps/>
          <w:noProof/>
          <w:sz w:val="22"/>
        </w:rPr>
      </w:pPr>
      <w:r>
        <w:rPr>
          <w:noProof/>
        </w:rPr>
        <w:fldChar w:fldCharType="begin"/>
      </w:r>
      <w:r>
        <w:rPr>
          <w:noProof/>
        </w:rPr>
        <w:instrText xml:space="preserve"> TOC \t "Heading 1,1,Heading 2,2,Heading 3,3" </w:instrText>
      </w:r>
      <w:r>
        <w:rPr>
          <w:noProof/>
        </w:rPr>
        <w:fldChar w:fldCharType="separate"/>
      </w:r>
      <w:bookmarkStart w:id="2" w:name="TOCLocation_1"/>
      <w:r w:rsidRPr="002D7989">
        <w:rPr>
          <w:caps/>
          <w:noProof/>
          <w:color w:val="010000"/>
        </w:rPr>
        <w:t>I.</w:t>
      </w:r>
      <w:r w:rsidRPr="002D7989">
        <w:rPr>
          <w:rFonts w:asciiTheme="minorHAnsi" w:eastAsiaTheme="minorEastAsia" w:hAnsiTheme="minorHAnsi" w:cstheme="minorBidi"/>
          <w:caps/>
          <w:noProof/>
          <w:sz w:val="22"/>
        </w:rPr>
        <w:tab/>
      </w:r>
      <w:r w:rsidRPr="002D7989">
        <w:rPr>
          <w:caps/>
          <w:noProof/>
        </w:rPr>
        <w:t>Introduction</w:t>
      </w:r>
      <w:r w:rsidRPr="002D7989">
        <w:rPr>
          <w:caps/>
          <w:noProof/>
        </w:rPr>
        <w:tab/>
      </w:r>
      <w:r w:rsidRPr="002D7989">
        <w:rPr>
          <w:caps/>
          <w:noProof/>
        </w:rPr>
        <w:fldChar w:fldCharType="begin"/>
      </w:r>
      <w:r w:rsidRPr="002D7989">
        <w:rPr>
          <w:caps/>
          <w:noProof/>
        </w:rPr>
        <w:instrText xml:space="preserve"> PAGEREF _Toc445452320 \h </w:instrText>
      </w:r>
      <w:r w:rsidRPr="002D7989">
        <w:rPr>
          <w:caps/>
          <w:noProof/>
        </w:rPr>
      </w:r>
      <w:r w:rsidRPr="002D7989">
        <w:rPr>
          <w:caps/>
          <w:noProof/>
        </w:rPr>
        <w:fldChar w:fldCharType="separate"/>
      </w:r>
      <w:r w:rsidRPr="002D7989">
        <w:rPr>
          <w:caps/>
          <w:noProof/>
        </w:rPr>
        <w:t>1</w:t>
      </w:r>
      <w:r w:rsidRPr="002D7989">
        <w:rPr>
          <w:caps/>
          <w:noProof/>
        </w:rPr>
        <w:fldChar w:fldCharType="end"/>
      </w:r>
    </w:p>
    <w:p w:rsidR="00917D09" w:rsidRPr="002D7989" w:rsidRDefault="00917D09" w:rsidP="002D7989">
      <w:pPr>
        <w:pStyle w:val="TOC1"/>
        <w:tabs>
          <w:tab w:val="right" w:leader="dot" w:pos="9360"/>
        </w:tabs>
        <w:rPr>
          <w:rFonts w:asciiTheme="minorHAnsi" w:eastAsiaTheme="minorEastAsia" w:hAnsiTheme="minorHAnsi" w:cstheme="minorBidi"/>
          <w:caps/>
          <w:noProof/>
          <w:sz w:val="22"/>
        </w:rPr>
      </w:pPr>
      <w:r w:rsidRPr="002D7989">
        <w:rPr>
          <w:caps/>
          <w:noProof/>
          <w:color w:val="010000"/>
        </w:rPr>
        <w:t>II.</w:t>
      </w:r>
      <w:r w:rsidRPr="002D7989">
        <w:rPr>
          <w:rFonts w:asciiTheme="minorHAnsi" w:eastAsiaTheme="minorEastAsia" w:hAnsiTheme="minorHAnsi" w:cstheme="minorBidi"/>
          <w:caps/>
          <w:noProof/>
          <w:sz w:val="22"/>
        </w:rPr>
        <w:tab/>
      </w:r>
      <w:r w:rsidRPr="002D7989">
        <w:rPr>
          <w:caps/>
          <w:noProof/>
        </w:rPr>
        <w:t>DP&amp;L’s request for waiver should be denied because authorization of the tcrr-n would unlawfully deprive customers of the opportunity to seek to secure transmission service under the pjm oatt on terms and conditions approved by FERC</w:t>
      </w:r>
      <w:r w:rsidRPr="002D7989">
        <w:rPr>
          <w:caps/>
          <w:noProof/>
        </w:rPr>
        <w:tab/>
      </w:r>
      <w:r w:rsidRPr="002D7989">
        <w:rPr>
          <w:caps/>
          <w:noProof/>
        </w:rPr>
        <w:fldChar w:fldCharType="begin"/>
      </w:r>
      <w:r w:rsidRPr="002D7989">
        <w:rPr>
          <w:caps/>
          <w:noProof/>
        </w:rPr>
        <w:instrText xml:space="preserve"> PAGEREF _Toc445452321 \h </w:instrText>
      </w:r>
      <w:r w:rsidRPr="002D7989">
        <w:rPr>
          <w:caps/>
          <w:noProof/>
        </w:rPr>
      </w:r>
      <w:r w:rsidRPr="002D7989">
        <w:rPr>
          <w:caps/>
          <w:noProof/>
        </w:rPr>
        <w:fldChar w:fldCharType="separate"/>
      </w:r>
      <w:r w:rsidRPr="002D7989">
        <w:rPr>
          <w:caps/>
          <w:noProof/>
        </w:rPr>
        <w:t>3</w:t>
      </w:r>
      <w:r w:rsidRPr="002D7989">
        <w:rPr>
          <w:caps/>
          <w:noProof/>
        </w:rPr>
        <w:fldChar w:fldCharType="end"/>
      </w:r>
    </w:p>
    <w:p w:rsidR="00917D09" w:rsidRPr="00383588" w:rsidRDefault="00917D09" w:rsidP="002D7989">
      <w:pPr>
        <w:pStyle w:val="TOC2"/>
        <w:tabs>
          <w:tab w:val="left" w:leader="dot" w:pos="0"/>
        </w:tabs>
        <w:rPr>
          <w:rFonts w:asciiTheme="minorHAnsi" w:eastAsiaTheme="minorEastAsia" w:hAnsiTheme="minorHAnsi" w:cstheme="minorBidi"/>
          <w:noProof/>
          <w:sz w:val="22"/>
        </w:rPr>
      </w:pPr>
      <w:r w:rsidRPr="002D7989">
        <w:rPr>
          <w:caps/>
          <w:noProof/>
          <w:color w:val="010000"/>
        </w:rPr>
        <w:t>A.</w:t>
      </w:r>
      <w:r w:rsidRPr="002D7989">
        <w:rPr>
          <w:rFonts w:asciiTheme="minorHAnsi" w:eastAsiaTheme="minorEastAsia" w:hAnsiTheme="minorHAnsi" w:cstheme="minorBidi"/>
          <w:caps/>
          <w:noProof/>
          <w:sz w:val="22"/>
        </w:rPr>
        <w:tab/>
      </w:r>
      <w:r w:rsidRPr="00383588">
        <w:rPr>
          <w:noProof/>
        </w:rPr>
        <w:t xml:space="preserve">FERC </w:t>
      </w:r>
      <w:r w:rsidR="002B64A7" w:rsidRPr="00D04E80">
        <w:t xml:space="preserve">has </w:t>
      </w:r>
      <w:r w:rsidR="002B64A7">
        <w:t xml:space="preserve">exclusive </w:t>
      </w:r>
      <w:r w:rsidR="002B64A7" w:rsidRPr="00D04E80">
        <w:t xml:space="preserve">jurisdiction to set the transmission rates of retail customers taking generation services in states that </w:t>
      </w:r>
      <w:r w:rsidR="002B64A7">
        <w:t>unbundled retail electric service</w:t>
      </w:r>
      <w:r w:rsidRPr="00383588">
        <w:rPr>
          <w:noProof/>
        </w:rPr>
        <w:tab/>
      </w:r>
      <w:r w:rsidRPr="00383588">
        <w:rPr>
          <w:noProof/>
        </w:rPr>
        <w:fldChar w:fldCharType="begin"/>
      </w:r>
      <w:r w:rsidRPr="00383588">
        <w:rPr>
          <w:noProof/>
        </w:rPr>
        <w:instrText xml:space="preserve"> PAGEREF _Toc445452322 \h </w:instrText>
      </w:r>
      <w:r w:rsidRPr="00383588">
        <w:rPr>
          <w:noProof/>
        </w:rPr>
      </w:r>
      <w:r w:rsidRPr="00383588">
        <w:rPr>
          <w:noProof/>
        </w:rPr>
        <w:fldChar w:fldCharType="separate"/>
      </w:r>
      <w:r w:rsidRPr="00383588">
        <w:rPr>
          <w:noProof/>
        </w:rPr>
        <w:t>3</w:t>
      </w:r>
      <w:r w:rsidRPr="00383588">
        <w:rPr>
          <w:noProof/>
        </w:rPr>
        <w:fldChar w:fldCharType="end"/>
      </w:r>
    </w:p>
    <w:p w:rsidR="00917D09" w:rsidRPr="00383588" w:rsidRDefault="00917D09" w:rsidP="002D7989">
      <w:pPr>
        <w:pStyle w:val="TOC2"/>
        <w:tabs>
          <w:tab w:val="left" w:leader="dot" w:pos="0"/>
        </w:tabs>
        <w:rPr>
          <w:rFonts w:asciiTheme="minorHAnsi" w:eastAsiaTheme="minorEastAsia" w:hAnsiTheme="minorHAnsi" w:cstheme="minorBidi"/>
          <w:noProof/>
          <w:sz w:val="22"/>
        </w:rPr>
      </w:pPr>
      <w:r w:rsidRPr="00383588">
        <w:rPr>
          <w:noProof/>
          <w:color w:val="010000"/>
        </w:rPr>
        <w:t>B.</w:t>
      </w:r>
      <w:r w:rsidRPr="00383588">
        <w:rPr>
          <w:rFonts w:asciiTheme="minorHAnsi" w:eastAsiaTheme="minorEastAsia" w:hAnsiTheme="minorHAnsi" w:cstheme="minorBidi"/>
          <w:noProof/>
          <w:sz w:val="22"/>
        </w:rPr>
        <w:tab/>
      </w:r>
      <w:r w:rsidRPr="00383588">
        <w:rPr>
          <w:noProof/>
        </w:rPr>
        <w:t>Ohio law requires an electric distribution utility (“EDU”) to provide unbundled retail electric services.</w:t>
      </w:r>
      <w:r w:rsidRPr="00383588">
        <w:rPr>
          <w:noProof/>
        </w:rPr>
        <w:tab/>
      </w:r>
      <w:r w:rsidRPr="00383588">
        <w:rPr>
          <w:noProof/>
        </w:rPr>
        <w:fldChar w:fldCharType="begin"/>
      </w:r>
      <w:r w:rsidRPr="00383588">
        <w:rPr>
          <w:noProof/>
        </w:rPr>
        <w:instrText xml:space="preserve"> PAGEREF _Toc445452323 \h </w:instrText>
      </w:r>
      <w:r w:rsidRPr="00383588">
        <w:rPr>
          <w:noProof/>
        </w:rPr>
      </w:r>
      <w:r w:rsidRPr="00383588">
        <w:rPr>
          <w:noProof/>
        </w:rPr>
        <w:fldChar w:fldCharType="separate"/>
      </w:r>
      <w:r w:rsidRPr="00383588">
        <w:rPr>
          <w:noProof/>
        </w:rPr>
        <w:t>9</w:t>
      </w:r>
      <w:r w:rsidRPr="00383588">
        <w:rPr>
          <w:noProof/>
        </w:rPr>
        <w:fldChar w:fldCharType="end"/>
      </w:r>
    </w:p>
    <w:p w:rsidR="00917D09" w:rsidRPr="002D7989" w:rsidRDefault="00917D09" w:rsidP="002D7989">
      <w:pPr>
        <w:pStyle w:val="TOC2"/>
        <w:tabs>
          <w:tab w:val="left" w:leader="dot" w:pos="0"/>
        </w:tabs>
        <w:rPr>
          <w:rFonts w:asciiTheme="minorHAnsi" w:eastAsiaTheme="minorEastAsia" w:hAnsiTheme="minorHAnsi" w:cstheme="minorBidi"/>
          <w:caps/>
          <w:noProof/>
          <w:sz w:val="22"/>
        </w:rPr>
      </w:pPr>
      <w:r w:rsidRPr="00383588">
        <w:rPr>
          <w:noProof/>
          <w:color w:val="010000"/>
        </w:rPr>
        <w:t>C.</w:t>
      </w:r>
      <w:r w:rsidRPr="00383588">
        <w:rPr>
          <w:rFonts w:asciiTheme="minorHAnsi" w:eastAsiaTheme="minorEastAsia" w:hAnsiTheme="minorHAnsi" w:cstheme="minorBidi"/>
          <w:noProof/>
          <w:sz w:val="22"/>
        </w:rPr>
        <w:tab/>
      </w:r>
      <w:r w:rsidRPr="004D78F0">
        <w:rPr>
          <w:noProof/>
        </w:rPr>
        <w:t>The Commission is without authority to authorize transmission terms and conditions that are nonbypassable and that vary from the terms and conditions available under the PJM OATT</w:t>
      </w:r>
      <w:r w:rsidRPr="002D7989">
        <w:rPr>
          <w:caps/>
          <w:noProof/>
        </w:rPr>
        <w:tab/>
      </w:r>
      <w:r w:rsidRPr="002D7989">
        <w:rPr>
          <w:caps/>
          <w:noProof/>
        </w:rPr>
        <w:fldChar w:fldCharType="begin"/>
      </w:r>
      <w:r w:rsidRPr="002D7989">
        <w:rPr>
          <w:caps/>
          <w:noProof/>
        </w:rPr>
        <w:instrText xml:space="preserve"> PAGEREF _Toc445452324 \h </w:instrText>
      </w:r>
      <w:r w:rsidRPr="002D7989">
        <w:rPr>
          <w:caps/>
          <w:noProof/>
        </w:rPr>
      </w:r>
      <w:r w:rsidRPr="002D7989">
        <w:rPr>
          <w:caps/>
          <w:noProof/>
        </w:rPr>
        <w:fldChar w:fldCharType="separate"/>
      </w:r>
      <w:r w:rsidRPr="002D7989">
        <w:rPr>
          <w:caps/>
          <w:noProof/>
        </w:rPr>
        <w:t>12</w:t>
      </w:r>
      <w:r w:rsidRPr="002D7989">
        <w:rPr>
          <w:caps/>
          <w:noProof/>
        </w:rPr>
        <w:fldChar w:fldCharType="end"/>
      </w:r>
    </w:p>
    <w:p w:rsidR="00917D09" w:rsidRPr="002D7989" w:rsidRDefault="00917D09" w:rsidP="002D7989">
      <w:pPr>
        <w:pStyle w:val="TOC1"/>
        <w:tabs>
          <w:tab w:val="right" w:leader="dot" w:pos="9360"/>
        </w:tabs>
        <w:rPr>
          <w:rFonts w:asciiTheme="minorHAnsi" w:eastAsiaTheme="minorEastAsia" w:hAnsiTheme="minorHAnsi" w:cstheme="minorBidi"/>
          <w:caps/>
          <w:noProof/>
          <w:sz w:val="22"/>
        </w:rPr>
      </w:pPr>
      <w:r w:rsidRPr="002D7989">
        <w:rPr>
          <w:caps/>
          <w:noProof/>
          <w:color w:val="010000"/>
        </w:rPr>
        <w:t>III.</w:t>
      </w:r>
      <w:r w:rsidRPr="002D7989">
        <w:rPr>
          <w:rFonts w:asciiTheme="minorHAnsi" w:eastAsiaTheme="minorEastAsia" w:hAnsiTheme="minorHAnsi" w:cstheme="minorBidi"/>
          <w:caps/>
          <w:noProof/>
          <w:sz w:val="22"/>
        </w:rPr>
        <w:tab/>
      </w:r>
      <w:r w:rsidRPr="002D7989">
        <w:rPr>
          <w:caps/>
          <w:noProof/>
        </w:rPr>
        <w:t>DP&amp;L’s request for a waiver of Rule 4901:1-36-04, OAC, should be denied because DP&amp;L has not and cannot demonstrate good cause for a waiver of the rule.</w:t>
      </w:r>
      <w:r w:rsidRPr="002D7989">
        <w:rPr>
          <w:caps/>
          <w:noProof/>
        </w:rPr>
        <w:tab/>
      </w:r>
      <w:r w:rsidRPr="002D7989">
        <w:rPr>
          <w:caps/>
          <w:noProof/>
        </w:rPr>
        <w:fldChar w:fldCharType="begin"/>
      </w:r>
      <w:r w:rsidRPr="002D7989">
        <w:rPr>
          <w:caps/>
          <w:noProof/>
        </w:rPr>
        <w:instrText xml:space="preserve"> PAGEREF _Toc445452325 \h </w:instrText>
      </w:r>
      <w:r w:rsidRPr="002D7989">
        <w:rPr>
          <w:caps/>
          <w:noProof/>
        </w:rPr>
      </w:r>
      <w:r w:rsidRPr="002D7989">
        <w:rPr>
          <w:caps/>
          <w:noProof/>
        </w:rPr>
        <w:fldChar w:fldCharType="separate"/>
      </w:r>
      <w:r w:rsidRPr="002D7989">
        <w:rPr>
          <w:caps/>
          <w:noProof/>
        </w:rPr>
        <w:t>15</w:t>
      </w:r>
      <w:r w:rsidRPr="002D7989">
        <w:rPr>
          <w:caps/>
          <w:noProof/>
        </w:rPr>
        <w:fldChar w:fldCharType="end"/>
      </w:r>
    </w:p>
    <w:p w:rsidR="00917D09" w:rsidRDefault="00917D09" w:rsidP="002D7989">
      <w:pPr>
        <w:pStyle w:val="TOC1"/>
        <w:tabs>
          <w:tab w:val="right" w:leader="dot" w:pos="9360"/>
        </w:tabs>
        <w:rPr>
          <w:rFonts w:asciiTheme="minorHAnsi" w:eastAsiaTheme="minorEastAsia" w:hAnsiTheme="minorHAnsi" w:cstheme="minorBidi"/>
          <w:noProof/>
          <w:sz w:val="22"/>
        </w:rPr>
      </w:pPr>
      <w:r w:rsidRPr="002D7989">
        <w:rPr>
          <w:caps/>
          <w:noProof/>
          <w:color w:val="010000"/>
        </w:rPr>
        <w:t>IV.</w:t>
      </w:r>
      <w:r w:rsidRPr="002D7989">
        <w:rPr>
          <w:rFonts w:asciiTheme="minorHAnsi" w:eastAsiaTheme="minorEastAsia" w:hAnsiTheme="minorHAnsi" w:cstheme="minorBidi"/>
          <w:caps/>
          <w:noProof/>
          <w:sz w:val="22"/>
        </w:rPr>
        <w:tab/>
      </w:r>
      <w:r w:rsidRPr="002D7989">
        <w:rPr>
          <w:caps/>
          <w:noProof/>
        </w:rPr>
        <w:t xml:space="preserve">The Commission should direct DP&amp;L to </w:t>
      </w:r>
      <w:r w:rsidR="00941E93">
        <w:rPr>
          <w:caps/>
          <w:noProof/>
        </w:rPr>
        <w:t xml:space="preserve">REVISE and FILE </w:t>
      </w:r>
      <w:r w:rsidRPr="002D7989">
        <w:rPr>
          <w:caps/>
          <w:noProof/>
        </w:rPr>
        <w:t>amend</w:t>
      </w:r>
      <w:r w:rsidR="00941E93">
        <w:rPr>
          <w:caps/>
          <w:noProof/>
        </w:rPr>
        <w:t>ED</w:t>
      </w:r>
      <w:r w:rsidRPr="002D7989">
        <w:rPr>
          <w:caps/>
          <w:noProof/>
        </w:rPr>
        <w:t xml:space="preserve"> Tariff Sheets that comply with federal and state law</w:t>
      </w:r>
      <w:r>
        <w:rPr>
          <w:noProof/>
        </w:rPr>
        <w:tab/>
      </w:r>
      <w:r>
        <w:rPr>
          <w:noProof/>
        </w:rPr>
        <w:fldChar w:fldCharType="begin"/>
      </w:r>
      <w:r>
        <w:rPr>
          <w:noProof/>
        </w:rPr>
        <w:instrText xml:space="preserve"> PAGEREF _Toc445452326 \h </w:instrText>
      </w:r>
      <w:r>
        <w:rPr>
          <w:noProof/>
        </w:rPr>
      </w:r>
      <w:r>
        <w:rPr>
          <w:noProof/>
        </w:rPr>
        <w:fldChar w:fldCharType="separate"/>
      </w:r>
      <w:r>
        <w:rPr>
          <w:noProof/>
        </w:rPr>
        <w:t>16</w:t>
      </w:r>
      <w:r>
        <w:rPr>
          <w:noProof/>
        </w:rPr>
        <w:fldChar w:fldCharType="end"/>
      </w:r>
    </w:p>
    <w:bookmarkEnd w:id="2"/>
    <w:p w:rsidR="00917D09" w:rsidRDefault="00917D09" w:rsidP="00383588">
      <w:pPr>
        <w:rPr>
          <w:noProof/>
        </w:rPr>
      </w:pPr>
      <w:r>
        <w:rPr>
          <w:noProof/>
        </w:rPr>
        <w:fldChar w:fldCharType="end"/>
      </w:r>
    </w:p>
    <w:p w:rsidR="00917D09" w:rsidRDefault="00917D09">
      <w:pPr>
        <w:rPr>
          <w:noProof/>
        </w:rPr>
      </w:pPr>
    </w:p>
    <w:p w:rsidR="00ED150F" w:rsidRDefault="00ED150F" w:rsidP="00BE1B5A"/>
    <w:p w:rsidR="00A22593" w:rsidRDefault="00A22593" w:rsidP="00ED150F"/>
    <w:p w:rsidR="00A22593" w:rsidRDefault="00BE1B5A" w:rsidP="00ED150F">
      <w:pPr>
        <w:sectPr w:rsidR="00A22593" w:rsidSect="00C31556">
          <w:pgSz w:w="12240" w:h="15840" w:code="1"/>
          <w:pgMar w:top="1440" w:right="1440" w:bottom="1440" w:left="1440" w:header="720" w:footer="720" w:gutter="0"/>
          <w:pgNumType w:start="1"/>
          <w:cols w:space="720"/>
          <w:titlePg/>
          <w:docGrid w:linePitch="360"/>
        </w:sectPr>
      </w:pPr>
      <w:r>
        <w:t>..</w:t>
      </w:r>
    </w:p>
    <w:p w:rsidR="004D404C" w:rsidRPr="00EF225F" w:rsidRDefault="004D404C" w:rsidP="00ED150F">
      <w:pPr>
        <w:autoSpaceDE w:val="0"/>
        <w:autoSpaceDN w:val="0"/>
        <w:adjustRightInd w:val="0"/>
        <w:jc w:val="center"/>
        <w:rPr>
          <w:rFonts w:ascii="Arial Bold" w:hAnsi="Arial Bold"/>
          <w:b/>
          <w:smallCaps/>
          <w:sz w:val="28"/>
          <w:szCs w:val="28"/>
        </w:rPr>
      </w:pPr>
      <w:r w:rsidRPr="00EF225F">
        <w:rPr>
          <w:rFonts w:ascii="Arial Bold" w:hAnsi="Arial Bold"/>
          <w:b/>
          <w:smallCaps/>
          <w:sz w:val="28"/>
          <w:szCs w:val="28"/>
        </w:rPr>
        <w:lastRenderedPageBreak/>
        <w:t>Before</w:t>
      </w:r>
    </w:p>
    <w:p w:rsidR="004D404C" w:rsidRPr="00EF225F" w:rsidRDefault="004D404C" w:rsidP="004D404C">
      <w:pPr>
        <w:autoSpaceDE w:val="0"/>
        <w:autoSpaceDN w:val="0"/>
        <w:adjustRightInd w:val="0"/>
        <w:jc w:val="center"/>
        <w:rPr>
          <w:rFonts w:ascii="Arial Bold" w:hAnsi="Arial Bold"/>
          <w:b/>
          <w:smallCaps/>
          <w:sz w:val="28"/>
          <w:szCs w:val="28"/>
        </w:rPr>
      </w:pPr>
      <w:r w:rsidRPr="00EF225F">
        <w:rPr>
          <w:rFonts w:ascii="Arial Bold" w:hAnsi="Arial Bold"/>
          <w:b/>
          <w:smallCaps/>
          <w:sz w:val="28"/>
          <w:szCs w:val="28"/>
        </w:rPr>
        <w:t>the Public Utilities Commission of Ohio</w:t>
      </w:r>
    </w:p>
    <w:p w:rsidR="004D404C" w:rsidRPr="00EF225F" w:rsidRDefault="004D404C" w:rsidP="004D404C">
      <w:pPr>
        <w:autoSpaceDE w:val="0"/>
        <w:autoSpaceDN w:val="0"/>
        <w:adjustRightInd w:val="0"/>
        <w:jc w:val="center"/>
        <w:rPr>
          <w:rFonts w:ascii="Arial Bold" w:hAnsi="Arial Bold"/>
          <w:smallCaps/>
          <w:sz w:val="28"/>
          <w:szCs w:val="28"/>
        </w:rPr>
      </w:pPr>
    </w:p>
    <w:p w:rsidR="004D404C" w:rsidRPr="004D404C" w:rsidRDefault="004D404C" w:rsidP="004D404C">
      <w:pPr>
        <w:tabs>
          <w:tab w:val="left" w:pos="4680"/>
          <w:tab w:val="left" w:pos="5220"/>
        </w:tabs>
        <w:autoSpaceDE w:val="0"/>
        <w:autoSpaceDN w:val="0"/>
        <w:adjustRightInd w:val="0"/>
        <w:rPr>
          <w:szCs w:val="24"/>
        </w:rPr>
      </w:pPr>
      <w:r w:rsidRPr="004D404C">
        <w:rPr>
          <w:szCs w:val="24"/>
        </w:rPr>
        <w:t>In the Matter of the Application of</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r w:rsidRPr="004D404C">
        <w:rPr>
          <w:szCs w:val="24"/>
        </w:rPr>
        <w:t>The Dayton Power and Light Company for</w:t>
      </w:r>
      <w:r w:rsidRPr="004D404C">
        <w:rPr>
          <w:szCs w:val="24"/>
        </w:rPr>
        <w:tab/>
        <w:t>)</w:t>
      </w:r>
      <w:r w:rsidRPr="004D404C">
        <w:rPr>
          <w:szCs w:val="24"/>
        </w:rPr>
        <w:tab/>
        <w:t>Case No. 16-395-EL-SSO</w:t>
      </w:r>
    </w:p>
    <w:p w:rsidR="004D404C" w:rsidRPr="004D404C" w:rsidRDefault="004D404C" w:rsidP="004D404C">
      <w:pPr>
        <w:tabs>
          <w:tab w:val="left" w:pos="4680"/>
          <w:tab w:val="left" w:pos="5220"/>
        </w:tabs>
        <w:autoSpaceDE w:val="0"/>
        <w:autoSpaceDN w:val="0"/>
        <w:adjustRightInd w:val="0"/>
        <w:rPr>
          <w:szCs w:val="24"/>
        </w:rPr>
      </w:pPr>
      <w:r w:rsidRPr="004D404C">
        <w:rPr>
          <w:szCs w:val="24"/>
        </w:rPr>
        <w:t>Approval of Its Electric Security Plan</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p>
    <w:p w:rsidR="004D404C" w:rsidRPr="004D404C" w:rsidRDefault="004D404C" w:rsidP="004D404C">
      <w:pPr>
        <w:tabs>
          <w:tab w:val="left" w:pos="4680"/>
          <w:tab w:val="left" w:pos="5220"/>
        </w:tabs>
        <w:autoSpaceDE w:val="0"/>
        <w:autoSpaceDN w:val="0"/>
        <w:adjustRightInd w:val="0"/>
        <w:rPr>
          <w:szCs w:val="24"/>
        </w:rPr>
      </w:pPr>
      <w:r w:rsidRPr="004D404C">
        <w:rPr>
          <w:szCs w:val="24"/>
        </w:rPr>
        <w:t>In the Matter of the Application of</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r w:rsidRPr="004D404C">
        <w:rPr>
          <w:szCs w:val="24"/>
        </w:rPr>
        <w:t>The Dayton Power and Light Company for</w:t>
      </w:r>
      <w:r w:rsidRPr="004D404C">
        <w:rPr>
          <w:szCs w:val="24"/>
        </w:rPr>
        <w:tab/>
        <w:t>)</w:t>
      </w:r>
      <w:r w:rsidRPr="004D404C">
        <w:rPr>
          <w:szCs w:val="24"/>
        </w:rPr>
        <w:tab/>
        <w:t>Case No. 16-396-EL-ATA</w:t>
      </w:r>
    </w:p>
    <w:p w:rsidR="004D404C" w:rsidRPr="004D404C" w:rsidRDefault="004D404C" w:rsidP="004D404C">
      <w:pPr>
        <w:tabs>
          <w:tab w:val="left" w:pos="4680"/>
          <w:tab w:val="left" w:pos="5220"/>
        </w:tabs>
        <w:autoSpaceDE w:val="0"/>
        <w:autoSpaceDN w:val="0"/>
        <w:adjustRightInd w:val="0"/>
        <w:rPr>
          <w:szCs w:val="24"/>
        </w:rPr>
      </w:pPr>
      <w:r w:rsidRPr="004D404C">
        <w:rPr>
          <w:szCs w:val="24"/>
        </w:rPr>
        <w:t>Approval of Revised Tariffs</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p>
    <w:p w:rsidR="004D404C" w:rsidRPr="004D404C" w:rsidRDefault="004D404C" w:rsidP="004D404C">
      <w:pPr>
        <w:tabs>
          <w:tab w:val="left" w:pos="4680"/>
          <w:tab w:val="left" w:pos="5220"/>
        </w:tabs>
        <w:autoSpaceDE w:val="0"/>
        <w:autoSpaceDN w:val="0"/>
        <w:adjustRightInd w:val="0"/>
        <w:rPr>
          <w:szCs w:val="24"/>
        </w:rPr>
      </w:pPr>
      <w:r w:rsidRPr="004D404C">
        <w:rPr>
          <w:szCs w:val="24"/>
        </w:rPr>
        <w:t>In the Matter of the Application of</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r w:rsidRPr="004D404C">
        <w:rPr>
          <w:szCs w:val="24"/>
        </w:rPr>
        <w:t>The Dayton Power and Light Company for</w:t>
      </w:r>
      <w:r w:rsidRPr="004D404C">
        <w:rPr>
          <w:szCs w:val="24"/>
        </w:rPr>
        <w:tab/>
        <w:t>)</w:t>
      </w:r>
      <w:r w:rsidRPr="004D404C">
        <w:rPr>
          <w:szCs w:val="24"/>
        </w:rPr>
        <w:tab/>
        <w:t>Case No. 16-397-EL-AAM</w:t>
      </w:r>
    </w:p>
    <w:p w:rsidR="004D404C" w:rsidRPr="004D404C" w:rsidRDefault="004D404C" w:rsidP="004D404C">
      <w:pPr>
        <w:tabs>
          <w:tab w:val="left" w:pos="4680"/>
          <w:tab w:val="left" w:pos="5220"/>
        </w:tabs>
        <w:autoSpaceDE w:val="0"/>
        <w:autoSpaceDN w:val="0"/>
        <w:adjustRightInd w:val="0"/>
        <w:rPr>
          <w:szCs w:val="24"/>
        </w:rPr>
      </w:pPr>
      <w:r w:rsidRPr="004D404C">
        <w:rPr>
          <w:szCs w:val="24"/>
        </w:rPr>
        <w:t>Approval of Certain Accounting Authority</w:t>
      </w:r>
      <w:r w:rsidRPr="004D404C">
        <w:rPr>
          <w:szCs w:val="24"/>
        </w:rPr>
        <w:tab/>
        <w:t>)</w:t>
      </w:r>
    </w:p>
    <w:p w:rsidR="004D404C" w:rsidRPr="004D404C" w:rsidRDefault="004D404C" w:rsidP="004D404C">
      <w:pPr>
        <w:tabs>
          <w:tab w:val="left" w:pos="4680"/>
          <w:tab w:val="left" w:pos="5220"/>
        </w:tabs>
        <w:autoSpaceDE w:val="0"/>
        <w:autoSpaceDN w:val="0"/>
        <w:adjustRightInd w:val="0"/>
        <w:rPr>
          <w:szCs w:val="24"/>
        </w:rPr>
      </w:pPr>
      <w:r w:rsidRPr="004D404C">
        <w:rPr>
          <w:szCs w:val="24"/>
        </w:rPr>
        <w:t>Pursuant to Ohio Rev. Code § 4905.13</w:t>
      </w:r>
      <w:r w:rsidRPr="004D404C">
        <w:rPr>
          <w:szCs w:val="24"/>
        </w:rPr>
        <w:tab/>
        <w:t>)</w:t>
      </w:r>
    </w:p>
    <w:p w:rsidR="00E403F8" w:rsidRDefault="00E403F8" w:rsidP="003D2BF4">
      <w:pPr>
        <w:tabs>
          <w:tab w:val="left" w:pos="4680"/>
        </w:tabs>
        <w:rPr>
          <w:szCs w:val="24"/>
        </w:rPr>
      </w:pPr>
    </w:p>
    <w:p w:rsidR="000639C7" w:rsidRPr="00D04E80" w:rsidRDefault="000F4EB7" w:rsidP="003D2BF4">
      <w:pPr>
        <w:tabs>
          <w:tab w:val="left" w:pos="4680"/>
        </w:tabs>
        <w:rPr>
          <w:b/>
          <w:smallCaps/>
          <w:szCs w:val="24"/>
        </w:rPr>
      </w:pPr>
      <w:r w:rsidRPr="00D04E80">
        <w:rPr>
          <w:b/>
          <w:smallCaps/>
          <w:szCs w:val="24"/>
        </w:rPr>
        <w:t>_____________________________________________________________________</w:t>
      </w:r>
    </w:p>
    <w:p w:rsidR="000639C7" w:rsidRPr="00D04E80" w:rsidRDefault="000639C7">
      <w:pPr>
        <w:jc w:val="center"/>
        <w:rPr>
          <w:b/>
          <w:szCs w:val="24"/>
        </w:rPr>
      </w:pPr>
    </w:p>
    <w:p w:rsidR="000639C7" w:rsidRPr="00D04E80" w:rsidRDefault="00420EFD" w:rsidP="00181B1D">
      <w:pPr>
        <w:jc w:val="center"/>
        <w:rPr>
          <w:b/>
          <w:szCs w:val="24"/>
        </w:rPr>
      </w:pPr>
      <w:r w:rsidRPr="00D04E80">
        <w:rPr>
          <w:b/>
          <w:szCs w:val="24"/>
        </w:rPr>
        <w:t xml:space="preserve">MEMORANDUM </w:t>
      </w:r>
      <w:r w:rsidR="00181B1D">
        <w:rPr>
          <w:b/>
          <w:szCs w:val="24"/>
        </w:rPr>
        <w:t xml:space="preserve">IN SUPPORT </w:t>
      </w:r>
      <w:r w:rsidRPr="00D04E80">
        <w:rPr>
          <w:b/>
          <w:szCs w:val="24"/>
        </w:rPr>
        <w:t xml:space="preserve">OF </w:t>
      </w:r>
      <w:r w:rsidR="007E37FE">
        <w:rPr>
          <w:b/>
          <w:szCs w:val="24"/>
        </w:rPr>
        <w:t xml:space="preserve">MOTION </w:t>
      </w:r>
    </w:p>
    <w:p w:rsidR="000639C7" w:rsidRPr="00D04E80" w:rsidRDefault="000F4EB7">
      <w:pPr>
        <w:jc w:val="center"/>
        <w:rPr>
          <w:b/>
          <w:szCs w:val="24"/>
        </w:rPr>
      </w:pPr>
      <w:r w:rsidRPr="00D04E80">
        <w:rPr>
          <w:b/>
          <w:szCs w:val="24"/>
        </w:rPr>
        <w:t>______________________________________________________________________</w:t>
      </w:r>
    </w:p>
    <w:p w:rsidR="000639C7" w:rsidRPr="00D04E80" w:rsidRDefault="000639C7">
      <w:pPr>
        <w:tabs>
          <w:tab w:val="left" w:pos="4320"/>
          <w:tab w:val="right" w:pos="8640"/>
        </w:tabs>
        <w:rPr>
          <w:color w:val="000000"/>
          <w:szCs w:val="24"/>
        </w:rPr>
      </w:pPr>
    </w:p>
    <w:p w:rsidR="000639C7" w:rsidRPr="00D04E80" w:rsidRDefault="00C66223" w:rsidP="00961DDD">
      <w:pPr>
        <w:pStyle w:val="Heading1"/>
      </w:pPr>
      <w:bookmarkStart w:id="3" w:name="_Toc445369882"/>
      <w:bookmarkStart w:id="4" w:name="_Toc445371525"/>
      <w:bookmarkStart w:id="5" w:name="_Toc445372440"/>
      <w:bookmarkStart w:id="6" w:name="_Toc445382880"/>
      <w:bookmarkStart w:id="7" w:name="_Toc445452320"/>
      <w:r w:rsidRPr="00D04E80">
        <w:t>Introduction</w:t>
      </w:r>
      <w:bookmarkEnd w:id="3"/>
      <w:bookmarkEnd w:id="4"/>
      <w:bookmarkEnd w:id="5"/>
      <w:bookmarkEnd w:id="6"/>
      <w:bookmarkEnd w:id="7"/>
    </w:p>
    <w:p w:rsidR="00417051" w:rsidRPr="00F6487B" w:rsidRDefault="000F4EB7" w:rsidP="00F0281A">
      <w:pPr>
        <w:pStyle w:val="ListParagraph"/>
        <w:spacing w:line="480" w:lineRule="auto"/>
        <w:ind w:left="0" w:firstLine="720"/>
        <w:rPr>
          <w:szCs w:val="24"/>
        </w:rPr>
      </w:pPr>
      <w:r w:rsidRPr="00D04E80">
        <w:rPr>
          <w:szCs w:val="24"/>
        </w:rPr>
        <w:t xml:space="preserve">On </w:t>
      </w:r>
      <w:r w:rsidR="002A700C" w:rsidRPr="00D04E80">
        <w:rPr>
          <w:szCs w:val="24"/>
        </w:rPr>
        <w:t>February 22, 2016</w:t>
      </w:r>
      <w:r w:rsidRPr="00D04E80">
        <w:rPr>
          <w:szCs w:val="24"/>
        </w:rPr>
        <w:t>, DP&amp;L filed an application (“Application”) to establish a standard service offer (“SSO”) in the form of an electric security plan (“ESP”)</w:t>
      </w:r>
      <w:r w:rsidR="00D53FEB">
        <w:rPr>
          <w:szCs w:val="24"/>
        </w:rPr>
        <w:t xml:space="preserve">.  As </w:t>
      </w:r>
      <w:r w:rsidR="007207D9">
        <w:rPr>
          <w:szCs w:val="24"/>
        </w:rPr>
        <w:t>part</w:t>
      </w:r>
      <w:r w:rsidR="00D53FEB">
        <w:rPr>
          <w:szCs w:val="24"/>
        </w:rPr>
        <w:t xml:space="preserve"> of the </w:t>
      </w:r>
      <w:r w:rsidR="00F70A3A">
        <w:rPr>
          <w:szCs w:val="24"/>
        </w:rPr>
        <w:t xml:space="preserve">proposed </w:t>
      </w:r>
      <w:r w:rsidR="00D53FEB">
        <w:rPr>
          <w:szCs w:val="24"/>
        </w:rPr>
        <w:t xml:space="preserve">ESP, DP&amp;L </w:t>
      </w:r>
      <w:r w:rsidR="001D447F">
        <w:rPr>
          <w:szCs w:val="24"/>
        </w:rPr>
        <w:t xml:space="preserve">seeks </w:t>
      </w:r>
      <w:r w:rsidR="00027349">
        <w:rPr>
          <w:szCs w:val="24"/>
        </w:rPr>
        <w:t xml:space="preserve">continued </w:t>
      </w:r>
      <w:r w:rsidR="001D447F">
        <w:rPr>
          <w:szCs w:val="24"/>
        </w:rPr>
        <w:t>authorization of a nonbypassable transmission rider</w:t>
      </w:r>
      <w:r w:rsidR="00FA110E">
        <w:rPr>
          <w:szCs w:val="24"/>
        </w:rPr>
        <w:t>, the Transmission Cost Recovery</w:t>
      </w:r>
      <w:r w:rsidR="00F70A3A">
        <w:rPr>
          <w:szCs w:val="24"/>
        </w:rPr>
        <w:t xml:space="preserve"> Rider-Nonbypassable (“</w:t>
      </w:r>
      <w:r w:rsidR="00F70D96">
        <w:rPr>
          <w:szCs w:val="24"/>
        </w:rPr>
        <w:t>TCRR</w:t>
      </w:r>
      <w:r w:rsidR="00F70A3A">
        <w:rPr>
          <w:szCs w:val="24"/>
        </w:rPr>
        <w:t>-N</w:t>
      </w:r>
      <w:r w:rsidR="00027349">
        <w:rPr>
          <w:szCs w:val="24"/>
        </w:rPr>
        <w:t>”) and</w:t>
      </w:r>
      <w:r w:rsidR="006E63D5">
        <w:rPr>
          <w:szCs w:val="24"/>
        </w:rPr>
        <w:t xml:space="preserve"> terms that permit only DP&amp;L to bill for transmission services secured on behalf of retail customers by competitive retail electric service (“CRES”) providers based on the billing determinants contained in its transmission rider</w:t>
      </w:r>
      <w:r w:rsidR="006E63D5" w:rsidRPr="00D04E80">
        <w:rPr>
          <w:szCs w:val="24"/>
        </w:rPr>
        <w:t>.</w:t>
      </w:r>
      <w:r w:rsidR="00027349">
        <w:rPr>
          <w:szCs w:val="24"/>
        </w:rPr>
        <w:t xml:space="preserve">  </w:t>
      </w:r>
      <w:r w:rsidR="00F70A3A">
        <w:rPr>
          <w:szCs w:val="24"/>
        </w:rPr>
        <w:t xml:space="preserve">DP&amp;L also proposes that the charges billed and collected from demand-metered customers be based on either monthly on-peak demand, </w:t>
      </w:r>
      <w:r w:rsidR="006D47B8">
        <w:rPr>
          <w:szCs w:val="24"/>
        </w:rPr>
        <w:t xml:space="preserve">monthly </w:t>
      </w:r>
      <w:r w:rsidR="00F70A3A">
        <w:rPr>
          <w:szCs w:val="24"/>
        </w:rPr>
        <w:t>off-peak demand, or a demand ratchet calculated on the customer’s demand over the previous eleven months.</w:t>
      </w:r>
      <w:r w:rsidR="00971797">
        <w:rPr>
          <w:rStyle w:val="FootnoteReference"/>
          <w:szCs w:val="24"/>
        </w:rPr>
        <w:footnoteReference w:id="1"/>
      </w:r>
      <w:r w:rsidRPr="00D04E80">
        <w:rPr>
          <w:szCs w:val="24"/>
        </w:rPr>
        <w:t xml:space="preserve">  </w:t>
      </w:r>
      <w:r w:rsidR="00F0281A">
        <w:rPr>
          <w:szCs w:val="24"/>
        </w:rPr>
        <w:t xml:space="preserve">In support of its request for continued authorization of the TCRR-N, </w:t>
      </w:r>
      <w:r w:rsidR="003A4C06">
        <w:rPr>
          <w:szCs w:val="24"/>
        </w:rPr>
        <w:t xml:space="preserve">DP&amp;L </w:t>
      </w:r>
      <w:r w:rsidR="004F408E">
        <w:rPr>
          <w:szCs w:val="24"/>
        </w:rPr>
        <w:t>seeks a waiver of</w:t>
      </w:r>
      <w:r w:rsidR="00FF3E3D">
        <w:rPr>
          <w:szCs w:val="24"/>
        </w:rPr>
        <w:t xml:space="preserve"> </w:t>
      </w:r>
      <w:r w:rsidR="00BC487E">
        <w:rPr>
          <w:szCs w:val="24"/>
        </w:rPr>
        <w:t>Rule 4901:1-36-04(B)</w:t>
      </w:r>
      <w:r w:rsidR="002D41A3">
        <w:rPr>
          <w:szCs w:val="24"/>
        </w:rPr>
        <w:t xml:space="preserve">, </w:t>
      </w:r>
      <w:r w:rsidR="002D41A3">
        <w:rPr>
          <w:szCs w:val="24"/>
        </w:rPr>
        <w:lastRenderedPageBreak/>
        <w:t>OAC</w:t>
      </w:r>
      <w:r w:rsidR="0014420D">
        <w:rPr>
          <w:szCs w:val="24"/>
        </w:rPr>
        <w:t>,</w:t>
      </w:r>
      <w:r w:rsidR="00BC487E">
        <w:rPr>
          <w:szCs w:val="24"/>
        </w:rPr>
        <w:t xml:space="preserve"> </w:t>
      </w:r>
      <w:r w:rsidR="003A4C06">
        <w:rPr>
          <w:szCs w:val="24"/>
        </w:rPr>
        <w:t xml:space="preserve">which </w:t>
      </w:r>
      <w:r w:rsidR="00FF3E3D">
        <w:rPr>
          <w:szCs w:val="24"/>
        </w:rPr>
        <w:t xml:space="preserve">requires that a transmission rider </w:t>
      </w:r>
      <w:r w:rsidR="00F70D96">
        <w:rPr>
          <w:szCs w:val="24"/>
        </w:rPr>
        <w:t xml:space="preserve">be </w:t>
      </w:r>
      <w:r w:rsidR="00FF3E3D">
        <w:rPr>
          <w:szCs w:val="24"/>
        </w:rPr>
        <w:t xml:space="preserve">avoidable by </w:t>
      </w:r>
      <w:r w:rsidR="00FF3E3D" w:rsidRPr="00601ECF">
        <w:rPr>
          <w:szCs w:val="24"/>
        </w:rPr>
        <w:t xml:space="preserve">all customers </w:t>
      </w:r>
      <w:r w:rsidR="006D47B8">
        <w:rPr>
          <w:szCs w:val="24"/>
        </w:rPr>
        <w:t>that</w:t>
      </w:r>
      <w:r w:rsidR="00FF3E3D" w:rsidRPr="00601ECF">
        <w:rPr>
          <w:szCs w:val="24"/>
        </w:rPr>
        <w:t xml:space="preserve"> choose alternative generation suppliers</w:t>
      </w:r>
      <w:r w:rsidR="005960EF" w:rsidRPr="00D04E80">
        <w:rPr>
          <w:szCs w:val="24"/>
        </w:rPr>
        <w:t>.</w:t>
      </w:r>
      <w:r w:rsidR="0053326C">
        <w:rPr>
          <w:rStyle w:val="FootnoteReference"/>
          <w:szCs w:val="24"/>
        </w:rPr>
        <w:footnoteReference w:id="2"/>
      </w:r>
      <w:r w:rsidR="00F6487B">
        <w:rPr>
          <w:szCs w:val="24"/>
        </w:rPr>
        <w:t xml:space="preserve">  </w:t>
      </w:r>
      <w:r w:rsidR="007E2B62" w:rsidRPr="00D04E80">
        <w:rPr>
          <w:color w:val="000000"/>
          <w:szCs w:val="24"/>
        </w:rPr>
        <w:t xml:space="preserve">In support of its request for a waiver, DP&amp;L states only </w:t>
      </w:r>
      <w:r w:rsidR="00FA5407" w:rsidRPr="00D04E80">
        <w:rPr>
          <w:color w:val="000000"/>
          <w:szCs w:val="24"/>
        </w:rPr>
        <w:t xml:space="preserve">that the </w:t>
      </w:r>
      <w:r w:rsidR="007E2B62" w:rsidRPr="00D04E80">
        <w:rPr>
          <w:color w:val="000000"/>
          <w:szCs w:val="24"/>
        </w:rPr>
        <w:t xml:space="preserve">Public </w:t>
      </w:r>
      <w:r w:rsidR="0045230A" w:rsidRPr="00D04E80">
        <w:rPr>
          <w:color w:val="000000"/>
          <w:szCs w:val="24"/>
        </w:rPr>
        <w:t>Utilities</w:t>
      </w:r>
      <w:r w:rsidR="007E2B62" w:rsidRPr="00D04E80">
        <w:rPr>
          <w:color w:val="000000"/>
          <w:szCs w:val="24"/>
        </w:rPr>
        <w:t xml:space="preserve"> Commission of Ohio (“</w:t>
      </w:r>
      <w:r w:rsidR="00FA5407" w:rsidRPr="00D04E80">
        <w:rPr>
          <w:color w:val="000000"/>
          <w:szCs w:val="24"/>
        </w:rPr>
        <w:t>Commission</w:t>
      </w:r>
      <w:r w:rsidR="007E2B62" w:rsidRPr="00D04E80">
        <w:rPr>
          <w:color w:val="000000"/>
          <w:szCs w:val="24"/>
        </w:rPr>
        <w:t>”)</w:t>
      </w:r>
      <w:r w:rsidR="00FA5407" w:rsidRPr="00D04E80">
        <w:rPr>
          <w:color w:val="000000"/>
          <w:szCs w:val="24"/>
        </w:rPr>
        <w:t xml:space="preserve"> has previously authorized a nonbypassable transmission rider</w:t>
      </w:r>
      <w:r w:rsidR="007E2B62" w:rsidRPr="00D04E80">
        <w:rPr>
          <w:color w:val="000000"/>
          <w:szCs w:val="24"/>
        </w:rPr>
        <w:t>.</w:t>
      </w:r>
      <w:r w:rsidR="00A87501">
        <w:rPr>
          <w:rStyle w:val="FootnoteReference"/>
          <w:color w:val="000000"/>
          <w:szCs w:val="24"/>
        </w:rPr>
        <w:footnoteReference w:id="3"/>
      </w:r>
      <w:r w:rsidR="007E2B62" w:rsidRPr="00D04E80">
        <w:rPr>
          <w:color w:val="000000"/>
          <w:szCs w:val="24"/>
        </w:rPr>
        <w:t xml:space="preserve">  </w:t>
      </w:r>
    </w:p>
    <w:p w:rsidR="00413594" w:rsidRDefault="00413594" w:rsidP="00417051">
      <w:pPr>
        <w:spacing w:line="480" w:lineRule="auto"/>
        <w:ind w:firstLine="720"/>
        <w:rPr>
          <w:color w:val="000000"/>
          <w:szCs w:val="24"/>
        </w:rPr>
      </w:pPr>
      <w:r>
        <w:rPr>
          <w:color w:val="000000"/>
          <w:szCs w:val="24"/>
        </w:rPr>
        <w:t>The Commission should deny the requested waiver</w:t>
      </w:r>
      <w:r w:rsidR="004F408E">
        <w:rPr>
          <w:color w:val="000000"/>
          <w:szCs w:val="24"/>
        </w:rPr>
        <w:t xml:space="preserve"> for two reasons</w:t>
      </w:r>
      <w:r>
        <w:rPr>
          <w:color w:val="000000"/>
          <w:szCs w:val="24"/>
        </w:rPr>
        <w:t>.</w:t>
      </w:r>
    </w:p>
    <w:p w:rsidR="00DF10C0" w:rsidRDefault="00B276EB" w:rsidP="00417051">
      <w:pPr>
        <w:spacing w:line="480" w:lineRule="auto"/>
        <w:ind w:firstLine="720"/>
        <w:rPr>
          <w:color w:val="000000"/>
          <w:szCs w:val="24"/>
        </w:rPr>
      </w:pPr>
      <w:r>
        <w:rPr>
          <w:color w:val="000000"/>
          <w:szCs w:val="24"/>
        </w:rPr>
        <w:t xml:space="preserve">First, the Commission is preempted </w:t>
      </w:r>
      <w:r w:rsidR="00FA4615">
        <w:rPr>
          <w:color w:val="000000"/>
          <w:szCs w:val="24"/>
        </w:rPr>
        <w:t xml:space="preserve">by the Federal Power Act (“FPA”) </w:t>
      </w:r>
      <w:r>
        <w:rPr>
          <w:color w:val="000000"/>
          <w:szCs w:val="24"/>
        </w:rPr>
        <w:t xml:space="preserve">from authorizing a transmission rider that </w:t>
      </w:r>
      <w:r w:rsidR="00FA4615">
        <w:rPr>
          <w:color w:val="000000"/>
          <w:szCs w:val="24"/>
        </w:rPr>
        <w:t>conflicts with the PJM OATT.</w:t>
      </w:r>
      <w:r w:rsidR="0051257C">
        <w:rPr>
          <w:color w:val="000000"/>
          <w:szCs w:val="24"/>
        </w:rPr>
        <w:t xml:space="preserve">  </w:t>
      </w:r>
      <w:r w:rsidR="004F408E">
        <w:rPr>
          <w:color w:val="000000"/>
          <w:szCs w:val="24"/>
        </w:rPr>
        <w:t>Under the FPA</w:t>
      </w:r>
      <w:r w:rsidR="009F6028">
        <w:rPr>
          <w:color w:val="000000"/>
          <w:szCs w:val="24"/>
        </w:rPr>
        <w:t xml:space="preserve">, the </w:t>
      </w:r>
      <w:r w:rsidR="00553EEF">
        <w:rPr>
          <w:color w:val="000000"/>
          <w:szCs w:val="24"/>
        </w:rPr>
        <w:t>Federal Energy Regulatory Commission (“FERC”)</w:t>
      </w:r>
      <w:r w:rsidR="00066CB8">
        <w:rPr>
          <w:color w:val="000000"/>
          <w:szCs w:val="24"/>
        </w:rPr>
        <w:t xml:space="preserve"> has exclusive jurisdiction of </w:t>
      </w:r>
      <w:r w:rsidR="00553EEF">
        <w:rPr>
          <w:color w:val="000000"/>
          <w:szCs w:val="24"/>
        </w:rPr>
        <w:t xml:space="preserve">terms and conditions </w:t>
      </w:r>
      <w:r w:rsidR="008027AF">
        <w:rPr>
          <w:color w:val="000000"/>
          <w:szCs w:val="24"/>
        </w:rPr>
        <w:t xml:space="preserve">of retail transmission services </w:t>
      </w:r>
      <w:r w:rsidR="00553EEF">
        <w:rPr>
          <w:color w:val="000000"/>
          <w:szCs w:val="24"/>
        </w:rPr>
        <w:t>applicable to retail customers in Ohio</w:t>
      </w:r>
      <w:r w:rsidR="00D40D95">
        <w:rPr>
          <w:color w:val="000000"/>
          <w:szCs w:val="24"/>
        </w:rPr>
        <w:t xml:space="preserve">.  Because FERC’s jurisdiction over the retail transmission tariff is exclusive, </w:t>
      </w:r>
      <w:r w:rsidR="00A95915">
        <w:rPr>
          <w:color w:val="000000"/>
          <w:szCs w:val="24"/>
        </w:rPr>
        <w:t>the Commission</w:t>
      </w:r>
      <w:r w:rsidR="003108C9">
        <w:rPr>
          <w:color w:val="000000"/>
          <w:szCs w:val="24"/>
        </w:rPr>
        <w:t>, without FERC approval,</w:t>
      </w:r>
      <w:r w:rsidR="00A95915">
        <w:rPr>
          <w:color w:val="000000"/>
          <w:szCs w:val="24"/>
        </w:rPr>
        <w:t xml:space="preserve"> cannot lawfully authorize </w:t>
      </w:r>
      <w:r w:rsidR="008844D2">
        <w:rPr>
          <w:color w:val="000000"/>
          <w:szCs w:val="24"/>
        </w:rPr>
        <w:t xml:space="preserve">retail </w:t>
      </w:r>
      <w:r w:rsidR="002C1BEF">
        <w:rPr>
          <w:color w:val="000000"/>
          <w:szCs w:val="24"/>
        </w:rPr>
        <w:t xml:space="preserve">transmission </w:t>
      </w:r>
      <w:r w:rsidR="003108C9">
        <w:rPr>
          <w:color w:val="000000"/>
          <w:szCs w:val="24"/>
        </w:rPr>
        <w:t>tariff sheets</w:t>
      </w:r>
      <w:r w:rsidR="002C1BEF">
        <w:rPr>
          <w:color w:val="000000"/>
          <w:szCs w:val="24"/>
        </w:rPr>
        <w:t xml:space="preserve"> </w:t>
      </w:r>
      <w:r w:rsidR="00DF10C0">
        <w:rPr>
          <w:color w:val="000000"/>
          <w:szCs w:val="24"/>
        </w:rPr>
        <w:t xml:space="preserve">that </w:t>
      </w:r>
      <w:r w:rsidR="00CB34B6">
        <w:rPr>
          <w:color w:val="000000"/>
          <w:szCs w:val="24"/>
        </w:rPr>
        <w:t>vary from the PJM OATT</w:t>
      </w:r>
      <w:r w:rsidR="008844D2">
        <w:rPr>
          <w:color w:val="000000"/>
          <w:szCs w:val="24"/>
        </w:rPr>
        <w:t>.</w:t>
      </w:r>
      <w:r w:rsidR="00D40D95">
        <w:rPr>
          <w:color w:val="000000"/>
          <w:szCs w:val="24"/>
        </w:rPr>
        <w:t xml:space="preserve">  </w:t>
      </w:r>
      <w:r w:rsidR="00CB34B6" w:rsidRPr="00D639D8">
        <w:rPr>
          <w:color w:val="000000"/>
          <w:szCs w:val="24"/>
        </w:rPr>
        <w:t xml:space="preserve">The PJM OATT provides that customers may secure transmission service directly from PJM or indirectly through a CRES provider.  The OATT also </w:t>
      </w:r>
      <w:r w:rsidR="007C6D37" w:rsidRPr="00D639D8">
        <w:rPr>
          <w:color w:val="000000"/>
          <w:szCs w:val="24"/>
        </w:rPr>
        <w:t>provides a billing determinant based on the customer’s zonal annual peak demand.</w:t>
      </w:r>
      <w:r w:rsidR="007C6D37">
        <w:rPr>
          <w:color w:val="000000"/>
          <w:szCs w:val="24"/>
        </w:rPr>
        <w:t xml:space="preserve">  </w:t>
      </w:r>
      <w:r w:rsidR="00F3569C">
        <w:rPr>
          <w:color w:val="000000"/>
          <w:szCs w:val="24"/>
        </w:rPr>
        <w:t xml:space="preserve">DP&amp;L’s Application, however, seeks </w:t>
      </w:r>
      <w:r w:rsidR="006F3870">
        <w:rPr>
          <w:color w:val="000000"/>
          <w:szCs w:val="24"/>
        </w:rPr>
        <w:t xml:space="preserve">authorization of tariff provisions that would prevent retail customers from contracting with PJM under the </w:t>
      </w:r>
      <w:r w:rsidR="00ED7556">
        <w:rPr>
          <w:color w:val="000000"/>
          <w:szCs w:val="24"/>
        </w:rPr>
        <w:t>PJM OATT</w:t>
      </w:r>
      <w:r w:rsidR="00F3569C">
        <w:rPr>
          <w:color w:val="000000"/>
          <w:szCs w:val="24"/>
        </w:rPr>
        <w:t xml:space="preserve"> </w:t>
      </w:r>
      <w:r w:rsidR="006F3870">
        <w:rPr>
          <w:color w:val="000000"/>
          <w:szCs w:val="24"/>
        </w:rPr>
        <w:t xml:space="preserve">and impose billing determinants that </w:t>
      </w:r>
      <w:r w:rsidR="00EC7BB9">
        <w:rPr>
          <w:color w:val="000000"/>
          <w:szCs w:val="24"/>
        </w:rPr>
        <w:t xml:space="preserve">vary from the PJM billing determinants for Network Integration Transmission Service </w:t>
      </w:r>
      <w:r w:rsidR="007A2B88">
        <w:rPr>
          <w:color w:val="000000"/>
          <w:szCs w:val="24"/>
        </w:rPr>
        <w:t xml:space="preserve">(“NITS”) </w:t>
      </w:r>
      <w:r w:rsidR="00EC7BB9">
        <w:rPr>
          <w:color w:val="000000"/>
          <w:szCs w:val="24"/>
        </w:rPr>
        <w:t xml:space="preserve">and other listed services. </w:t>
      </w:r>
      <w:r w:rsidR="00F3569C">
        <w:rPr>
          <w:color w:val="000000"/>
          <w:szCs w:val="24"/>
        </w:rPr>
        <w:t xml:space="preserve"> </w:t>
      </w:r>
      <w:r w:rsidR="00546A82">
        <w:rPr>
          <w:color w:val="000000"/>
          <w:szCs w:val="24"/>
        </w:rPr>
        <w:t>Accordingly, the Commission cannot lawfully grant the requested waiver.</w:t>
      </w:r>
    </w:p>
    <w:p w:rsidR="00DF10C0" w:rsidRDefault="009E5CFF" w:rsidP="00417051">
      <w:pPr>
        <w:spacing w:line="480" w:lineRule="auto"/>
        <w:ind w:firstLine="720"/>
        <w:rPr>
          <w:color w:val="000000"/>
          <w:szCs w:val="24"/>
        </w:rPr>
      </w:pPr>
      <w:r w:rsidRPr="004D78F0">
        <w:rPr>
          <w:color w:val="000000"/>
          <w:szCs w:val="24"/>
        </w:rPr>
        <w:t>S</w:t>
      </w:r>
      <w:r w:rsidR="0055076B">
        <w:rPr>
          <w:color w:val="000000"/>
          <w:szCs w:val="24"/>
        </w:rPr>
        <w:t xml:space="preserve">econd, DP&amp;L has not presented lawful and reasonable basis </w:t>
      </w:r>
      <w:r w:rsidRPr="004D78F0">
        <w:rPr>
          <w:color w:val="000000"/>
          <w:szCs w:val="24"/>
        </w:rPr>
        <w:t>for granting a waiver</w:t>
      </w:r>
      <w:r w:rsidR="0055076B">
        <w:rPr>
          <w:color w:val="000000"/>
          <w:szCs w:val="24"/>
        </w:rPr>
        <w:t xml:space="preserve"> of the requirement that a transmission rider be bypassable</w:t>
      </w:r>
      <w:r w:rsidRPr="004D78F0">
        <w:rPr>
          <w:color w:val="000000"/>
          <w:szCs w:val="24"/>
        </w:rPr>
        <w:t xml:space="preserve">.  </w:t>
      </w:r>
      <w:r w:rsidR="00574F04">
        <w:rPr>
          <w:color w:val="000000"/>
          <w:szCs w:val="24"/>
        </w:rPr>
        <w:t xml:space="preserve">A waiver can be granted only on a showing of good cause.  </w:t>
      </w:r>
      <w:r w:rsidR="004A3FC6">
        <w:rPr>
          <w:color w:val="000000"/>
          <w:szCs w:val="24"/>
        </w:rPr>
        <w:t xml:space="preserve">Under this standard, DP&amp;L must show a </w:t>
      </w:r>
      <w:r w:rsidR="004A3FC6">
        <w:rPr>
          <w:color w:val="000000"/>
          <w:szCs w:val="24"/>
        </w:rPr>
        <w:lastRenderedPageBreak/>
        <w:t>substantial reason for a waiver, but it</w:t>
      </w:r>
      <w:r w:rsidRPr="004D78F0">
        <w:rPr>
          <w:color w:val="000000"/>
          <w:szCs w:val="24"/>
        </w:rPr>
        <w:t xml:space="preserve"> has alleged</w:t>
      </w:r>
      <w:r w:rsidR="00DF10C0" w:rsidRPr="004D78F0">
        <w:rPr>
          <w:color w:val="000000"/>
          <w:szCs w:val="24"/>
        </w:rPr>
        <w:t xml:space="preserve"> </w:t>
      </w:r>
      <w:r w:rsidR="005F3DE4" w:rsidRPr="004D78F0">
        <w:rPr>
          <w:color w:val="000000"/>
          <w:szCs w:val="24"/>
        </w:rPr>
        <w:t>only that</w:t>
      </w:r>
      <w:r w:rsidR="00DF10C0" w:rsidRPr="004D78F0">
        <w:rPr>
          <w:color w:val="000000"/>
          <w:szCs w:val="24"/>
        </w:rPr>
        <w:t xml:space="preserve"> the waiver </w:t>
      </w:r>
      <w:r w:rsidR="005F3DE4" w:rsidRPr="004D78F0">
        <w:rPr>
          <w:color w:val="000000"/>
          <w:szCs w:val="24"/>
        </w:rPr>
        <w:t>should be granted because</w:t>
      </w:r>
      <w:r w:rsidR="00DF10C0" w:rsidRPr="004D78F0">
        <w:rPr>
          <w:color w:val="000000"/>
          <w:szCs w:val="24"/>
        </w:rPr>
        <w:t xml:space="preserve"> the Commission previously approved the current nonbypassable rider.  </w:t>
      </w:r>
      <w:r w:rsidR="00D51B62">
        <w:rPr>
          <w:color w:val="000000"/>
          <w:szCs w:val="24"/>
        </w:rPr>
        <w:t xml:space="preserve">Given that the proposed rider is unlawful under federal law, </w:t>
      </w:r>
      <w:r w:rsidR="00D56C16">
        <w:rPr>
          <w:color w:val="000000"/>
          <w:szCs w:val="24"/>
        </w:rPr>
        <w:t xml:space="preserve">reliance on </w:t>
      </w:r>
      <w:r w:rsidR="007D170F">
        <w:rPr>
          <w:color w:val="000000"/>
          <w:szCs w:val="24"/>
        </w:rPr>
        <w:t>past</w:t>
      </w:r>
      <w:r w:rsidR="00D56C16">
        <w:rPr>
          <w:color w:val="000000"/>
          <w:szCs w:val="24"/>
        </w:rPr>
        <w:t xml:space="preserve"> practice is</w:t>
      </w:r>
      <w:r w:rsidR="002805D9">
        <w:rPr>
          <w:color w:val="000000"/>
          <w:szCs w:val="24"/>
        </w:rPr>
        <w:t xml:space="preserve"> not a demonstration o</w:t>
      </w:r>
      <w:r w:rsidR="00D56C16">
        <w:rPr>
          <w:color w:val="000000"/>
          <w:szCs w:val="24"/>
        </w:rPr>
        <w:t xml:space="preserve">f a reasoned basis for a waiver. </w:t>
      </w:r>
      <w:r w:rsidR="002805D9">
        <w:rPr>
          <w:color w:val="000000"/>
          <w:szCs w:val="24"/>
        </w:rPr>
        <w:t xml:space="preserve"> </w:t>
      </w:r>
      <w:r w:rsidR="00D56C16">
        <w:rPr>
          <w:color w:val="000000"/>
          <w:szCs w:val="24"/>
        </w:rPr>
        <w:t>Moreover,</w:t>
      </w:r>
      <w:r w:rsidR="002805D9">
        <w:rPr>
          <w:color w:val="000000"/>
          <w:szCs w:val="24"/>
        </w:rPr>
        <w:t xml:space="preserve"> the transmission rider in its </w:t>
      </w:r>
      <w:r w:rsidR="00D51B62">
        <w:rPr>
          <w:color w:val="000000"/>
          <w:szCs w:val="24"/>
        </w:rPr>
        <w:t>proposed form will cause harm</w:t>
      </w:r>
      <w:r w:rsidR="00D56C16">
        <w:rPr>
          <w:color w:val="000000"/>
          <w:szCs w:val="24"/>
        </w:rPr>
        <w:t xml:space="preserve"> to all customers by shifting cost responsibility and frustrating the price signals that could lead to reduced transmission expenditures</w:t>
      </w:r>
      <w:r w:rsidR="00D51B62">
        <w:rPr>
          <w:color w:val="000000"/>
          <w:szCs w:val="24"/>
        </w:rPr>
        <w:t xml:space="preserve">.  </w:t>
      </w:r>
      <w:r w:rsidR="00A6055B">
        <w:rPr>
          <w:color w:val="000000"/>
          <w:szCs w:val="24"/>
        </w:rPr>
        <w:t>Accordingly</w:t>
      </w:r>
      <w:r w:rsidR="00E4152B">
        <w:rPr>
          <w:color w:val="000000"/>
          <w:szCs w:val="24"/>
        </w:rPr>
        <w:t xml:space="preserve">, </w:t>
      </w:r>
      <w:r w:rsidR="00D51B62">
        <w:rPr>
          <w:color w:val="000000"/>
          <w:szCs w:val="24"/>
        </w:rPr>
        <w:t>DP&amp;L</w:t>
      </w:r>
      <w:r w:rsidR="00E4152B">
        <w:rPr>
          <w:color w:val="000000"/>
          <w:szCs w:val="24"/>
        </w:rPr>
        <w:t xml:space="preserve"> has failed to state a ground </w:t>
      </w:r>
      <w:r w:rsidR="00A6055B">
        <w:rPr>
          <w:color w:val="000000"/>
          <w:szCs w:val="24"/>
        </w:rPr>
        <w:t>that will support a</w:t>
      </w:r>
      <w:r w:rsidR="00E4152B">
        <w:rPr>
          <w:color w:val="000000"/>
          <w:szCs w:val="24"/>
        </w:rPr>
        <w:t xml:space="preserve"> waiver</w:t>
      </w:r>
      <w:r w:rsidR="005F3DE4" w:rsidRPr="004D78F0">
        <w:rPr>
          <w:color w:val="000000"/>
          <w:szCs w:val="24"/>
        </w:rPr>
        <w:t xml:space="preserve">.  </w:t>
      </w:r>
    </w:p>
    <w:p w:rsidR="00C66223" w:rsidRPr="00D04E80" w:rsidRDefault="006C43EB" w:rsidP="005D6FC2">
      <w:pPr>
        <w:spacing w:after="120" w:line="480" w:lineRule="auto"/>
        <w:ind w:firstLine="720"/>
        <w:rPr>
          <w:color w:val="000000"/>
          <w:szCs w:val="24"/>
        </w:rPr>
      </w:pPr>
      <w:r>
        <w:rPr>
          <w:color w:val="000000"/>
          <w:szCs w:val="24"/>
        </w:rPr>
        <w:t>Because the a nonbypassable tariff is unlawful and the request for waiver is unsupported</w:t>
      </w:r>
      <w:r w:rsidR="008844D2">
        <w:rPr>
          <w:color w:val="000000"/>
          <w:szCs w:val="24"/>
        </w:rPr>
        <w:t xml:space="preserve">, </w:t>
      </w:r>
      <w:r w:rsidR="001F6EB7">
        <w:rPr>
          <w:color w:val="000000"/>
          <w:szCs w:val="24"/>
        </w:rPr>
        <w:t xml:space="preserve">the Commission </w:t>
      </w:r>
      <w:r w:rsidR="00313F5D">
        <w:rPr>
          <w:color w:val="000000"/>
          <w:szCs w:val="24"/>
        </w:rPr>
        <w:t>should deny</w:t>
      </w:r>
      <w:r w:rsidR="001F6EB7">
        <w:rPr>
          <w:color w:val="000000"/>
          <w:szCs w:val="24"/>
        </w:rPr>
        <w:t xml:space="preserve"> </w:t>
      </w:r>
      <w:r w:rsidR="0076714C">
        <w:rPr>
          <w:color w:val="000000"/>
          <w:szCs w:val="24"/>
        </w:rPr>
        <w:t>DP&amp;L’s</w:t>
      </w:r>
      <w:r w:rsidR="001F6EB7">
        <w:rPr>
          <w:color w:val="000000"/>
          <w:szCs w:val="24"/>
        </w:rPr>
        <w:t xml:space="preserve"> request</w:t>
      </w:r>
      <w:r w:rsidR="00AD7574">
        <w:rPr>
          <w:color w:val="000000"/>
          <w:szCs w:val="24"/>
        </w:rPr>
        <w:t xml:space="preserve">.  Additionally, </w:t>
      </w:r>
      <w:r w:rsidR="00CD4E39">
        <w:rPr>
          <w:szCs w:val="24"/>
        </w:rPr>
        <w:t xml:space="preserve">the Commission should </w:t>
      </w:r>
      <w:r w:rsidR="00CD4E39">
        <w:rPr>
          <w:color w:val="000000"/>
          <w:szCs w:val="24"/>
        </w:rPr>
        <w:t xml:space="preserve">order DP&amp;L to file proposed transmission tariff sheets that provide for a bypassable transmission tariff </w:t>
      </w:r>
      <w:r w:rsidR="004A161E">
        <w:rPr>
          <w:color w:val="000000"/>
          <w:szCs w:val="24"/>
        </w:rPr>
        <w:t xml:space="preserve">rider </w:t>
      </w:r>
      <w:r w:rsidR="00CD4E39">
        <w:rPr>
          <w:color w:val="000000"/>
          <w:szCs w:val="24"/>
        </w:rPr>
        <w:t xml:space="preserve">and </w:t>
      </w:r>
      <w:r w:rsidR="00CD4E39">
        <w:rPr>
          <w:color w:val="000000"/>
          <w:szCs w:val="24"/>
        </w:rPr>
        <w:t>that</w:t>
      </w:r>
      <w:r w:rsidR="00CD4E39">
        <w:rPr>
          <w:color w:val="000000"/>
          <w:szCs w:val="24"/>
        </w:rPr>
        <w:t xml:space="preserve"> </w:t>
      </w:r>
      <w:r w:rsidR="004113FD">
        <w:rPr>
          <w:color w:val="000000"/>
          <w:szCs w:val="24"/>
        </w:rPr>
        <w:t>do not include</w:t>
      </w:r>
      <w:r w:rsidR="00CD4E39">
        <w:rPr>
          <w:color w:val="000000"/>
          <w:szCs w:val="24"/>
        </w:rPr>
        <w:t xml:space="preserve"> terms and conditions that permit DP&amp;L to bill and collect for transmission services in a manner that conflicts with the provisions of the PJM OATT.</w:t>
      </w:r>
    </w:p>
    <w:p w:rsidR="00D45260" w:rsidRDefault="00D91993" w:rsidP="00844AA1">
      <w:pPr>
        <w:pStyle w:val="Heading1"/>
      </w:pPr>
      <w:bookmarkStart w:id="8" w:name="_Toc445369883"/>
      <w:bookmarkStart w:id="9" w:name="_Toc445371526"/>
      <w:bookmarkStart w:id="10" w:name="_Toc445372441"/>
      <w:bookmarkStart w:id="11" w:name="_Toc445382881"/>
      <w:bookmarkStart w:id="12" w:name="_Toc445452321"/>
      <w:r w:rsidRPr="00D04E80">
        <w:t xml:space="preserve">DP&amp;L’s </w:t>
      </w:r>
      <w:r w:rsidR="005528D7">
        <w:t>r</w:t>
      </w:r>
      <w:r w:rsidRPr="00D04E80">
        <w:t xml:space="preserve">equest for waiver should be denied because authorization of the tcrr-n would </w:t>
      </w:r>
      <w:r w:rsidR="00E37F80">
        <w:t xml:space="preserve">unlawfully </w:t>
      </w:r>
      <w:r w:rsidRPr="00D04E80">
        <w:t xml:space="preserve">deprive customers of the </w:t>
      </w:r>
      <w:r w:rsidR="008663E3">
        <w:t>opportunity</w:t>
      </w:r>
      <w:r w:rsidRPr="00D04E80">
        <w:t xml:space="preserve"> to seek to secure transmission service under the pjm oatt</w:t>
      </w:r>
      <w:r w:rsidR="0088646C">
        <w:t xml:space="preserve"> on terms and conditions approved by FERC</w:t>
      </w:r>
      <w:bookmarkEnd w:id="8"/>
      <w:bookmarkEnd w:id="9"/>
      <w:bookmarkEnd w:id="10"/>
      <w:bookmarkEnd w:id="11"/>
      <w:bookmarkEnd w:id="12"/>
    </w:p>
    <w:p w:rsidR="00BB752D" w:rsidRPr="00D04E80" w:rsidRDefault="00BB752D" w:rsidP="00844AA1">
      <w:pPr>
        <w:pStyle w:val="Heading2"/>
      </w:pPr>
      <w:bookmarkStart w:id="13" w:name="_Toc445369884"/>
      <w:bookmarkStart w:id="14" w:name="_Toc445371527"/>
      <w:bookmarkStart w:id="15" w:name="_Toc445372442"/>
      <w:bookmarkStart w:id="16" w:name="_Toc445382882"/>
      <w:bookmarkStart w:id="17" w:name="_Toc445452322"/>
      <w:r w:rsidRPr="00D04E80">
        <w:t xml:space="preserve">FERC has </w:t>
      </w:r>
      <w:r w:rsidR="008663E3">
        <w:t xml:space="preserve">exclusive </w:t>
      </w:r>
      <w:r w:rsidRPr="00D04E80">
        <w:t xml:space="preserve">jurisdiction to set the transmission rates of retail customers taking generation services in states that </w:t>
      </w:r>
      <w:bookmarkEnd w:id="13"/>
      <w:bookmarkEnd w:id="14"/>
      <w:bookmarkEnd w:id="15"/>
      <w:bookmarkEnd w:id="16"/>
      <w:bookmarkEnd w:id="17"/>
      <w:r w:rsidR="00396C4B">
        <w:t>unbundled retail electric service</w:t>
      </w:r>
    </w:p>
    <w:p w:rsidR="002731D4" w:rsidRDefault="00073E51" w:rsidP="0044044E">
      <w:pPr>
        <w:spacing w:after="120" w:line="480" w:lineRule="auto"/>
        <w:ind w:firstLine="720"/>
        <w:contextualSpacing/>
        <w:rPr>
          <w:szCs w:val="24"/>
        </w:rPr>
      </w:pPr>
      <w:r>
        <w:rPr>
          <w:szCs w:val="24"/>
        </w:rPr>
        <w:t xml:space="preserve">In </w:t>
      </w:r>
      <w:r w:rsidR="00BB752D" w:rsidRPr="00290995">
        <w:rPr>
          <w:szCs w:val="24"/>
        </w:rPr>
        <w:t>Order No. 888</w:t>
      </w:r>
      <w:r>
        <w:rPr>
          <w:szCs w:val="24"/>
        </w:rPr>
        <w:t>,</w:t>
      </w:r>
      <w:r>
        <w:rPr>
          <w:rStyle w:val="FootnoteReference"/>
          <w:szCs w:val="24"/>
        </w:rPr>
        <w:footnoteReference w:id="4"/>
      </w:r>
      <w:r w:rsidR="00BB752D" w:rsidRPr="00290995">
        <w:rPr>
          <w:szCs w:val="24"/>
        </w:rPr>
        <w:t xml:space="preserve"> </w:t>
      </w:r>
      <w:r>
        <w:rPr>
          <w:szCs w:val="24"/>
        </w:rPr>
        <w:t xml:space="preserve">FERC </w:t>
      </w:r>
      <w:r w:rsidR="00BB752D" w:rsidRPr="00290995">
        <w:rPr>
          <w:szCs w:val="24"/>
        </w:rPr>
        <w:t xml:space="preserve">"clarifie[d] Federal/state jurisdiction over transmission in interstate </w:t>
      </w:r>
      <w:r w:rsidR="00BB752D" w:rsidRPr="00D04E80">
        <w:rPr>
          <w:szCs w:val="24"/>
        </w:rPr>
        <w:t>commerce and local distribution</w:t>
      </w:r>
      <w:r w:rsidR="00BB752D" w:rsidRPr="00290995">
        <w:rPr>
          <w:szCs w:val="24"/>
        </w:rPr>
        <w:t>"</w:t>
      </w:r>
      <w:r w:rsidR="00BB752D" w:rsidRPr="00D04E80">
        <w:rPr>
          <w:szCs w:val="24"/>
          <w:vertAlign w:val="superscript"/>
        </w:rPr>
        <w:footnoteReference w:id="5"/>
      </w:r>
      <w:r w:rsidR="00BB752D" w:rsidRPr="00D04E80">
        <w:rPr>
          <w:szCs w:val="24"/>
        </w:rPr>
        <w:t xml:space="preserve"> and</w:t>
      </w:r>
      <w:r w:rsidR="00BB752D" w:rsidRPr="00290995">
        <w:rPr>
          <w:szCs w:val="24"/>
        </w:rPr>
        <w:t xml:space="preserve"> adopted rules requiring utilities to </w:t>
      </w:r>
      <w:r w:rsidR="00BB752D" w:rsidRPr="00290995">
        <w:rPr>
          <w:szCs w:val="24"/>
        </w:rPr>
        <w:lastRenderedPageBreak/>
        <w:t xml:space="preserve">adopt an </w:t>
      </w:r>
      <w:r w:rsidR="00C32247">
        <w:rPr>
          <w:szCs w:val="24"/>
        </w:rPr>
        <w:t>OATT</w:t>
      </w:r>
      <w:r w:rsidR="00BB752D" w:rsidRPr="00290995">
        <w:rPr>
          <w:szCs w:val="24"/>
        </w:rPr>
        <w:t xml:space="preserve">.  FERC </w:t>
      </w:r>
      <w:r w:rsidR="00BB752D" w:rsidRPr="00D04E80">
        <w:rPr>
          <w:szCs w:val="24"/>
        </w:rPr>
        <w:t xml:space="preserve">also </w:t>
      </w:r>
      <w:r w:rsidR="00BB752D" w:rsidRPr="00290995">
        <w:rPr>
          <w:szCs w:val="24"/>
        </w:rPr>
        <w:t xml:space="preserve">concluded that its jurisdiction under Section 201(b) </w:t>
      </w:r>
      <w:r w:rsidR="00C32247">
        <w:rPr>
          <w:szCs w:val="24"/>
        </w:rPr>
        <w:t xml:space="preserve">of the </w:t>
      </w:r>
      <w:r w:rsidR="00DA6D07">
        <w:rPr>
          <w:szCs w:val="24"/>
        </w:rPr>
        <w:t>FPA</w:t>
      </w:r>
      <w:r w:rsidR="00C32247">
        <w:rPr>
          <w:szCs w:val="24"/>
        </w:rPr>
        <w:t xml:space="preserve"> </w:t>
      </w:r>
      <w:r w:rsidR="00BB752D" w:rsidRPr="00290995">
        <w:rPr>
          <w:szCs w:val="24"/>
        </w:rPr>
        <w:t>extends to the provision of transmission service when the sale of retail electric service is unbundled: "the unbundled transmission service involves only the provision of 'transmission in interstate commerce' which, under the FPA, is exclusively within the jurisdiction of the Commission."</w:t>
      </w:r>
      <w:r w:rsidR="00BB752D" w:rsidRPr="00D04E80">
        <w:rPr>
          <w:szCs w:val="24"/>
          <w:vertAlign w:val="superscript"/>
        </w:rPr>
        <w:footnoteReference w:id="6"/>
      </w:r>
      <w:r w:rsidR="00BB752D" w:rsidRPr="00290995">
        <w:rPr>
          <w:szCs w:val="24"/>
        </w:rPr>
        <w:t xml:space="preserve">  Accordingly, FERC concluded, "</w:t>
      </w:r>
      <w:r w:rsidR="00ED7556">
        <w:rPr>
          <w:szCs w:val="24"/>
        </w:rPr>
        <w:t>[FERC’s]</w:t>
      </w:r>
      <w:r w:rsidR="00BB752D" w:rsidRPr="00290995">
        <w:rPr>
          <w:szCs w:val="24"/>
        </w:rPr>
        <w:t xml:space="preserve"> assertion of jurisdiction is that if retail transmission in interstate commerce by a public utility occurs voluntarily or as a result of a state retail wheeling program, the Commission has exclusive jurisdiction over the rates, terms, and conditions of such transmission and public utilities offering such transmission must comply with the FPA by filing proposed rate schedules under section 205."</w:t>
      </w:r>
      <w:r w:rsidR="00BB752D" w:rsidRPr="00D04E80">
        <w:rPr>
          <w:szCs w:val="24"/>
          <w:vertAlign w:val="superscript"/>
        </w:rPr>
        <w:footnoteReference w:id="7"/>
      </w:r>
      <w:r w:rsidR="00BB752D" w:rsidRPr="00D04E80">
        <w:rPr>
          <w:szCs w:val="24"/>
        </w:rPr>
        <w:t xml:space="preserve">  </w:t>
      </w:r>
    </w:p>
    <w:p w:rsidR="002731D4" w:rsidRPr="00290995" w:rsidRDefault="002A34D2" w:rsidP="0044044E">
      <w:pPr>
        <w:spacing w:after="120" w:line="480" w:lineRule="auto"/>
        <w:ind w:firstLine="720"/>
        <w:contextualSpacing/>
        <w:rPr>
          <w:szCs w:val="24"/>
        </w:rPr>
      </w:pPr>
      <w:r w:rsidRPr="00290995">
        <w:rPr>
          <w:szCs w:val="24"/>
        </w:rPr>
        <w:t>FERC further required that retail customers will take transmission service pursuant to an OATT.</w:t>
      </w:r>
      <w:r w:rsidRPr="00D04E80">
        <w:rPr>
          <w:szCs w:val="24"/>
          <w:vertAlign w:val="superscript"/>
        </w:rPr>
        <w:footnoteReference w:id="8"/>
      </w:r>
      <w:r>
        <w:rPr>
          <w:szCs w:val="24"/>
        </w:rPr>
        <w:t xml:space="preserve">  As guidance,</w:t>
      </w:r>
      <w:r w:rsidR="002731D4" w:rsidRPr="00290995">
        <w:rPr>
          <w:szCs w:val="24"/>
        </w:rPr>
        <w:t xml:space="preserve"> the Order included as an appendix a Pro Forma Open Access Transmission Tariff ("Pro Forma OATT") containing non-price minimum terms and conditions of non-discriminatory transmission.</w:t>
      </w:r>
      <w:r w:rsidR="002731D4" w:rsidRPr="00D04E80">
        <w:rPr>
          <w:szCs w:val="24"/>
          <w:vertAlign w:val="superscript"/>
        </w:rPr>
        <w:footnoteReference w:id="9"/>
      </w:r>
      <w:r w:rsidR="002731D4" w:rsidRPr="00290995">
        <w:rPr>
          <w:szCs w:val="24"/>
        </w:rPr>
        <w:t xml:space="preserve">  As set out in the Pro Forma OATT, unbundled transmission service is available to Eligible Customers.</w:t>
      </w:r>
      <w:r w:rsidR="002731D4" w:rsidRPr="00D04E80">
        <w:rPr>
          <w:szCs w:val="24"/>
          <w:vertAlign w:val="superscript"/>
        </w:rPr>
        <w:footnoteReference w:id="10"/>
      </w:r>
      <w:r w:rsidR="002731D4" w:rsidRPr="00290995">
        <w:rPr>
          <w:szCs w:val="24"/>
        </w:rPr>
        <w:t xml:space="preserve">  Eligible Customers include “any retail customer taking unbundled Transmission Service pursuant to a state retail access program.”</w:t>
      </w:r>
      <w:r w:rsidR="002731D4" w:rsidRPr="00D04E80">
        <w:rPr>
          <w:szCs w:val="24"/>
          <w:vertAlign w:val="superscript"/>
        </w:rPr>
        <w:footnoteReference w:id="11"/>
      </w:r>
      <w:r w:rsidR="00250125">
        <w:rPr>
          <w:szCs w:val="24"/>
        </w:rPr>
        <w:t xml:space="preserve">  </w:t>
      </w:r>
    </w:p>
    <w:p w:rsidR="001D5B52" w:rsidRDefault="00250125" w:rsidP="0044044E">
      <w:pPr>
        <w:spacing w:after="120" w:line="480" w:lineRule="auto"/>
        <w:ind w:firstLine="720"/>
        <w:contextualSpacing/>
        <w:rPr>
          <w:szCs w:val="24"/>
        </w:rPr>
      </w:pPr>
      <w:r>
        <w:rPr>
          <w:szCs w:val="24"/>
        </w:rPr>
        <w:t xml:space="preserve">Although FERC </w:t>
      </w:r>
      <w:r w:rsidR="005E5D0A">
        <w:rPr>
          <w:szCs w:val="24"/>
        </w:rPr>
        <w:t xml:space="preserve">has </w:t>
      </w:r>
      <w:r>
        <w:rPr>
          <w:szCs w:val="24"/>
        </w:rPr>
        <w:t xml:space="preserve">exclusive jurisdiction over retail transmission service in states that had unbundled retail electric service, </w:t>
      </w:r>
      <w:r w:rsidR="00BB752D" w:rsidRPr="00290995">
        <w:rPr>
          <w:szCs w:val="24"/>
        </w:rPr>
        <w:t xml:space="preserve">FERC provided the opportunity for </w:t>
      </w:r>
      <w:r w:rsidR="00BB752D" w:rsidRPr="00290995">
        <w:rPr>
          <w:szCs w:val="24"/>
        </w:rPr>
        <w:lastRenderedPageBreak/>
        <w:t xml:space="preserve">state commissions to seek authorization of a retail tariff, but required that the separate retail tariff be approved by FERC and comply with the policies and rate outcomes contained in Order No. 888.  It noted that “if the unbundled retail wheeling occurs as part of a state retail access program, it may be appropriate to have a separate retail transmission tariff to accommodate the design and special needs of such programs.  In such situations, the Commission will defer to state requests for variations from the FERC </w:t>
      </w:r>
      <w:r w:rsidR="00A72B29">
        <w:rPr>
          <w:szCs w:val="24"/>
        </w:rPr>
        <w:t xml:space="preserve">wholesale </w:t>
      </w:r>
      <w:r w:rsidR="00BB752D" w:rsidRPr="00290995">
        <w:rPr>
          <w:szCs w:val="24"/>
        </w:rPr>
        <w:t xml:space="preserve">tariff to meet these local concerns, </w:t>
      </w:r>
      <w:r w:rsidR="00BB752D" w:rsidRPr="00E01132">
        <w:rPr>
          <w:i/>
          <w:szCs w:val="24"/>
        </w:rPr>
        <w:t xml:space="preserve">so long as the separate </w:t>
      </w:r>
      <w:r w:rsidR="00A72B29">
        <w:rPr>
          <w:i/>
          <w:szCs w:val="24"/>
        </w:rPr>
        <w:t>retail</w:t>
      </w:r>
      <w:r w:rsidR="00A72B29" w:rsidRPr="00E01132">
        <w:rPr>
          <w:i/>
          <w:szCs w:val="24"/>
        </w:rPr>
        <w:t xml:space="preserve"> </w:t>
      </w:r>
      <w:r w:rsidR="00BB752D" w:rsidRPr="00E01132">
        <w:rPr>
          <w:i/>
          <w:szCs w:val="24"/>
        </w:rPr>
        <w:t xml:space="preserve">tariff is consistent with the Commission's open access policies and comparability principles reflected in </w:t>
      </w:r>
      <w:r w:rsidR="004E7342">
        <w:rPr>
          <w:i/>
          <w:szCs w:val="24"/>
        </w:rPr>
        <w:t>the tariff prescribed by this Final Rule</w:t>
      </w:r>
      <w:r w:rsidR="00BB752D" w:rsidRPr="00E01132">
        <w:rPr>
          <w:i/>
          <w:szCs w:val="24"/>
        </w:rPr>
        <w:t xml:space="preserve">.  </w:t>
      </w:r>
      <w:r w:rsidR="00BB752D" w:rsidRPr="00290995">
        <w:rPr>
          <w:i/>
          <w:szCs w:val="24"/>
        </w:rPr>
        <w:t xml:space="preserve">In addition, rates must be consistent with </w:t>
      </w:r>
      <w:r w:rsidR="004E7342">
        <w:rPr>
          <w:i/>
          <w:szCs w:val="24"/>
        </w:rPr>
        <w:t>our</w:t>
      </w:r>
      <w:r w:rsidR="004E7342" w:rsidRPr="00290995">
        <w:rPr>
          <w:i/>
          <w:szCs w:val="24"/>
        </w:rPr>
        <w:t xml:space="preserve"> </w:t>
      </w:r>
      <w:r w:rsidR="00BB752D" w:rsidRPr="00290995">
        <w:rPr>
          <w:i/>
          <w:szCs w:val="24"/>
        </w:rPr>
        <w:t xml:space="preserve">Transmission Pricing Policy Statement, and the guidance </w:t>
      </w:r>
      <w:r w:rsidR="004F1AFE">
        <w:rPr>
          <w:i/>
          <w:szCs w:val="24"/>
        </w:rPr>
        <w:t>herein</w:t>
      </w:r>
      <w:r w:rsidR="00BB752D" w:rsidRPr="00290995">
        <w:rPr>
          <w:i/>
          <w:szCs w:val="24"/>
        </w:rPr>
        <w:t xml:space="preserve"> concerning ancillary services</w:t>
      </w:r>
      <w:r w:rsidR="00BB752D" w:rsidRPr="00290995">
        <w:rPr>
          <w:szCs w:val="24"/>
        </w:rPr>
        <w:t>.”</w:t>
      </w:r>
      <w:r w:rsidR="00BB752D" w:rsidRPr="00D04E80">
        <w:rPr>
          <w:szCs w:val="24"/>
          <w:vertAlign w:val="superscript"/>
        </w:rPr>
        <w:footnoteReference w:id="12"/>
      </w:r>
      <w:r w:rsidR="00BB752D" w:rsidRPr="00290995">
        <w:rPr>
          <w:szCs w:val="24"/>
        </w:rPr>
        <w:t xml:space="preserve">  FERC required that parties file an application for approval of </w:t>
      </w:r>
      <w:r w:rsidR="00E01132">
        <w:rPr>
          <w:szCs w:val="24"/>
        </w:rPr>
        <w:t>a</w:t>
      </w:r>
      <w:r w:rsidR="00BB752D" w:rsidRPr="00290995">
        <w:rPr>
          <w:szCs w:val="24"/>
        </w:rPr>
        <w:t xml:space="preserve"> separate tariff.</w:t>
      </w:r>
      <w:r w:rsidR="00BB752D" w:rsidRPr="00D04E80">
        <w:rPr>
          <w:szCs w:val="24"/>
          <w:vertAlign w:val="superscript"/>
        </w:rPr>
        <w:footnoteReference w:id="13"/>
      </w:r>
      <w:r w:rsidR="00163223">
        <w:rPr>
          <w:szCs w:val="24"/>
        </w:rPr>
        <w:t xml:space="preserve"> </w:t>
      </w:r>
    </w:p>
    <w:p w:rsidR="00387189" w:rsidRDefault="00163223" w:rsidP="0044044E">
      <w:pPr>
        <w:spacing w:after="120" w:line="480" w:lineRule="auto"/>
        <w:ind w:firstLine="720"/>
        <w:contextualSpacing/>
        <w:rPr>
          <w:szCs w:val="24"/>
        </w:rPr>
      </w:pPr>
      <w:r>
        <w:rPr>
          <w:szCs w:val="24"/>
        </w:rPr>
        <w:t xml:space="preserve">Based on </w:t>
      </w:r>
      <w:r w:rsidR="001D5B52">
        <w:rPr>
          <w:szCs w:val="24"/>
        </w:rPr>
        <w:t>demonstrations</w:t>
      </w:r>
      <w:r>
        <w:rPr>
          <w:szCs w:val="24"/>
        </w:rPr>
        <w:t xml:space="preserve"> that its policies</w:t>
      </w:r>
      <w:r w:rsidR="001D5B52">
        <w:rPr>
          <w:szCs w:val="24"/>
        </w:rPr>
        <w:t xml:space="preserve"> are not frustrated</w:t>
      </w:r>
      <w:r>
        <w:rPr>
          <w:szCs w:val="24"/>
        </w:rPr>
        <w:t xml:space="preserve">, </w:t>
      </w:r>
      <w:r w:rsidR="00E53E8F" w:rsidRPr="00290995">
        <w:rPr>
          <w:szCs w:val="24"/>
        </w:rPr>
        <w:t>FERC has permitted modifications “consistent with or superior to” the Pro Forma Tariff</w:t>
      </w:r>
      <w:r w:rsidR="001C422D" w:rsidRPr="001C422D">
        <w:rPr>
          <w:szCs w:val="24"/>
        </w:rPr>
        <w:t xml:space="preserve"> </w:t>
      </w:r>
      <w:r w:rsidR="001C422D" w:rsidRPr="00290995">
        <w:rPr>
          <w:szCs w:val="24"/>
        </w:rPr>
        <w:t>to accommodate the implementation of retail wheeling</w:t>
      </w:r>
      <w:r w:rsidR="00E53E8F" w:rsidRPr="00290995">
        <w:rPr>
          <w:szCs w:val="24"/>
        </w:rPr>
        <w:t>.</w:t>
      </w:r>
      <w:r w:rsidR="00E53E8F" w:rsidRPr="00D04E80">
        <w:rPr>
          <w:szCs w:val="24"/>
          <w:vertAlign w:val="superscript"/>
        </w:rPr>
        <w:footnoteReference w:id="14"/>
      </w:r>
      <w:r w:rsidR="00171379">
        <w:rPr>
          <w:szCs w:val="24"/>
        </w:rPr>
        <w:t xml:space="preserve"> </w:t>
      </w:r>
      <w:r w:rsidR="00171379" w:rsidRPr="00290995">
        <w:rPr>
          <w:szCs w:val="24"/>
        </w:rPr>
        <w:t xml:space="preserve"> </w:t>
      </w:r>
      <w:r w:rsidR="00E53E8F" w:rsidRPr="00290995">
        <w:rPr>
          <w:szCs w:val="24"/>
        </w:rPr>
        <w:t>The Commission</w:t>
      </w:r>
      <w:r w:rsidR="00171379">
        <w:rPr>
          <w:szCs w:val="24"/>
        </w:rPr>
        <w:t>, however,</w:t>
      </w:r>
      <w:r w:rsidR="00E53E8F" w:rsidRPr="00290995">
        <w:rPr>
          <w:szCs w:val="24"/>
        </w:rPr>
        <w:t xml:space="preserve"> has rejected attempts to maintain noncompliant provisions on a going forward basis, stating, “all transactions with new retail customers, or revisions to the arrangements with existing customers, </w:t>
      </w:r>
      <w:r w:rsidR="00E53E8F" w:rsidRPr="00290995">
        <w:rPr>
          <w:szCs w:val="24"/>
        </w:rPr>
        <w:lastRenderedPageBreak/>
        <w:t>must take place at the rates, and pursuant to the terms and conditions, of [Transmission Owner's] open access tariff on file with [FERC]."</w:t>
      </w:r>
      <w:r w:rsidR="00E53E8F" w:rsidRPr="00D04E80">
        <w:rPr>
          <w:szCs w:val="24"/>
          <w:vertAlign w:val="superscript"/>
        </w:rPr>
        <w:footnoteReference w:id="15"/>
      </w:r>
      <w:r w:rsidR="00E53E8F" w:rsidRPr="00290995">
        <w:rPr>
          <w:szCs w:val="24"/>
        </w:rPr>
        <w:t xml:space="preserve">  </w:t>
      </w:r>
    </w:p>
    <w:p w:rsidR="00BB752D" w:rsidRPr="00290995" w:rsidRDefault="00BB752D" w:rsidP="0044044E">
      <w:pPr>
        <w:spacing w:after="120" w:line="480" w:lineRule="auto"/>
        <w:ind w:firstLine="720"/>
        <w:contextualSpacing/>
        <w:rPr>
          <w:szCs w:val="24"/>
        </w:rPr>
      </w:pPr>
      <w:r w:rsidRPr="00290995">
        <w:rPr>
          <w:szCs w:val="24"/>
        </w:rPr>
        <w:t xml:space="preserve">FERC's assertion of jurisdiction over retail transmission service was affirmed by the United States Supreme Court in </w:t>
      </w:r>
      <w:r w:rsidRPr="00290995">
        <w:rPr>
          <w:i/>
          <w:szCs w:val="24"/>
        </w:rPr>
        <w:t>New York v. FERC</w:t>
      </w:r>
      <w:r w:rsidRPr="00290995">
        <w:rPr>
          <w:szCs w:val="24"/>
        </w:rPr>
        <w:t>.</w:t>
      </w:r>
      <w:r w:rsidRPr="00D04E80">
        <w:rPr>
          <w:szCs w:val="24"/>
          <w:vertAlign w:val="superscript"/>
        </w:rPr>
        <w:footnoteReference w:id="16"/>
      </w:r>
      <w:r w:rsidRPr="00290995">
        <w:rPr>
          <w:szCs w:val="24"/>
        </w:rPr>
        <w:t xml:space="preserve">  Based on Section 201's grant of jurisdiction over the "transmission of electric energy in interstate commerce and … the sale of electric energy at wholesale in interstate commerce," the Court concluded, "This statutory text thus unambiguously authorizes FERC to assert jurisdiction over two separate activities—transmitting and selling.  It is true that FERC's jurisdiction over the sale of power has been specifically confined to the wholesale market.  However, FERC's jurisdiction over electricity transmissions contains no such limitation.  Because the FPA authorizes FERC's jurisdiction over interstate transmission</w:t>
      </w:r>
      <w:r w:rsidR="00737918">
        <w:rPr>
          <w:szCs w:val="24"/>
        </w:rPr>
        <w:t>s</w:t>
      </w:r>
      <w:r w:rsidRPr="00290995">
        <w:rPr>
          <w:szCs w:val="24"/>
        </w:rPr>
        <w:t>, without regard to whether the transmissions are sold to a reseller or directly to a consumer, FERC's exercise of this power is valid."</w:t>
      </w:r>
      <w:r w:rsidRPr="00D04E80">
        <w:rPr>
          <w:szCs w:val="24"/>
          <w:vertAlign w:val="superscript"/>
        </w:rPr>
        <w:footnoteReference w:id="17"/>
      </w:r>
      <w:r w:rsidRPr="00290995">
        <w:rPr>
          <w:szCs w:val="24"/>
        </w:rPr>
        <w:t xml:space="preserve">  </w:t>
      </w:r>
    </w:p>
    <w:p w:rsidR="00BB752D" w:rsidRPr="00290995" w:rsidRDefault="00BB752D" w:rsidP="0044044E">
      <w:pPr>
        <w:spacing w:after="120" w:line="480" w:lineRule="auto"/>
        <w:ind w:firstLine="720"/>
        <w:contextualSpacing/>
        <w:rPr>
          <w:szCs w:val="24"/>
        </w:rPr>
      </w:pPr>
      <w:r w:rsidRPr="00290995">
        <w:rPr>
          <w:szCs w:val="24"/>
        </w:rPr>
        <w:t xml:space="preserve">Following its decision to require public utilities to provide open access to retail transmission services in those states that had unbundled retail electric service in Order No. 888, FERC sought to encourage the creation of regional transmission organizations (“RTO”) that would advance several policies: "Appropriate regional transmission institutions could: (1) improve efficiencies in transmission grid management; (2) improve grid reliability; (3) remove remaining opportunities for discriminatory transmission practices; (4) improve market performance; and (5) facilitate lighter handed </w:t>
      </w:r>
      <w:r w:rsidRPr="00290995">
        <w:rPr>
          <w:szCs w:val="24"/>
        </w:rPr>
        <w:lastRenderedPageBreak/>
        <w:t>regulation."</w:t>
      </w:r>
      <w:r w:rsidRPr="00D04E80">
        <w:rPr>
          <w:szCs w:val="24"/>
          <w:vertAlign w:val="superscript"/>
        </w:rPr>
        <w:footnoteReference w:id="18"/>
      </w:r>
      <w:r w:rsidRPr="00290995">
        <w:rPr>
          <w:szCs w:val="24"/>
        </w:rPr>
        <w:t xml:space="preserve">  As a principal governing RTOs, FERC sought to assure that customers would have uniform access to transmission facilities in the region:</w:t>
      </w:r>
    </w:p>
    <w:p w:rsidR="00BB752D" w:rsidRPr="00290995" w:rsidRDefault="00BB752D" w:rsidP="0044044E">
      <w:pPr>
        <w:spacing w:after="120"/>
        <w:ind w:left="720" w:right="720"/>
        <w:contextualSpacing/>
        <w:rPr>
          <w:szCs w:val="24"/>
        </w:rPr>
      </w:pPr>
      <w:r w:rsidRPr="00290995">
        <w:rPr>
          <w:szCs w:val="24"/>
        </w:rPr>
        <w:t>With the RTO the sole provider of transmission service, transmission customers have a nondiscriminatory and uniform access to regional transmission facilities.  This type of access cannot be assured if customers are required to deal with several transmission owners with differing tariff terms and conditions.  As noted in the NOPR, the RTO must be the provider of transmission service in the strong sense of the term.  Mere monitoring and dispute resolution are insufficient to meet the requirements of this standard.</w:t>
      </w:r>
      <w:r w:rsidRPr="00D04E80">
        <w:rPr>
          <w:szCs w:val="24"/>
          <w:vertAlign w:val="superscript"/>
        </w:rPr>
        <w:footnoteReference w:id="19"/>
      </w:r>
      <w:r w:rsidRPr="00290995">
        <w:rPr>
          <w:szCs w:val="24"/>
        </w:rPr>
        <w:t xml:space="preserve">  </w:t>
      </w:r>
    </w:p>
    <w:p w:rsidR="00BB752D" w:rsidRPr="00290995" w:rsidRDefault="00BB752D" w:rsidP="0044044E">
      <w:pPr>
        <w:spacing w:after="120"/>
        <w:ind w:left="720" w:right="720"/>
        <w:contextualSpacing/>
        <w:rPr>
          <w:szCs w:val="24"/>
        </w:rPr>
      </w:pPr>
    </w:p>
    <w:p w:rsidR="00BB752D" w:rsidRPr="00290995" w:rsidRDefault="00BB752D" w:rsidP="0044044E">
      <w:pPr>
        <w:spacing w:after="120" w:line="480" w:lineRule="auto"/>
        <w:contextualSpacing/>
        <w:rPr>
          <w:szCs w:val="24"/>
        </w:rPr>
      </w:pPr>
      <w:r w:rsidRPr="00290995">
        <w:rPr>
          <w:szCs w:val="24"/>
        </w:rPr>
        <w:t>Under rules adopted in Order No. 2000, the RTO is required to be the sole provider of transmission service over facilities under its control and administer its own transmission tariff.</w:t>
      </w:r>
      <w:r w:rsidRPr="00D04E80">
        <w:rPr>
          <w:szCs w:val="24"/>
          <w:vertAlign w:val="superscript"/>
        </w:rPr>
        <w:footnoteReference w:id="20"/>
      </w:r>
      <w:r w:rsidRPr="00290995">
        <w:rPr>
          <w:szCs w:val="24"/>
        </w:rPr>
        <w:t xml:space="preserve">  </w:t>
      </w:r>
    </w:p>
    <w:p w:rsidR="00BB752D" w:rsidRPr="00290995" w:rsidRDefault="0054222B" w:rsidP="0044044E">
      <w:pPr>
        <w:spacing w:after="120" w:line="480" w:lineRule="auto"/>
        <w:ind w:firstLine="720"/>
        <w:contextualSpacing/>
        <w:rPr>
          <w:szCs w:val="24"/>
        </w:rPr>
      </w:pPr>
      <w:r>
        <w:rPr>
          <w:szCs w:val="24"/>
        </w:rPr>
        <w:t>PJM</w:t>
      </w:r>
      <w:r w:rsidR="00BB752D" w:rsidRPr="00290995">
        <w:rPr>
          <w:szCs w:val="24"/>
        </w:rPr>
        <w:t xml:space="preserve"> is an RTO that coordinates the movement of wholesale electricity in all or parts of Delaware, Illinois, Indiana, Kentucky, Maryland, Michigan, New Jersey, North Carolina, Ohio, Pennsylvania, Tennessee, Virginia, West Virginia, and the District of Columbia and has a FERC-approved OATT (the "PJM OATT").  Under the PJM OATT, PJM is the Transmission Provider, through its Office of Interconnection.</w:t>
      </w:r>
      <w:r w:rsidR="00BB752D" w:rsidRPr="00D04E80">
        <w:rPr>
          <w:szCs w:val="24"/>
          <w:vertAlign w:val="superscript"/>
        </w:rPr>
        <w:footnoteReference w:id="21"/>
      </w:r>
      <w:r w:rsidR="00BB752D" w:rsidRPr="00290995">
        <w:rPr>
          <w:szCs w:val="24"/>
        </w:rPr>
        <w:t xml:space="preserve">  The parties under the tariff are the Transmission Provider and the Transmission Customer.</w:t>
      </w:r>
      <w:r w:rsidR="00BB752D" w:rsidRPr="00D04E80">
        <w:rPr>
          <w:szCs w:val="24"/>
          <w:vertAlign w:val="superscript"/>
        </w:rPr>
        <w:footnoteReference w:id="22"/>
      </w:r>
      <w:r w:rsidR="00BB752D" w:rsidRPr="00290995">
        <w:rPr>
          <w:szCs w:val="24"/>
        </w:rPr>
        <w:t xml:space="preserve">  The Transmission Customer is any Eligible Customer that executes a Service Agreement or requests in writing that the Transmission Provider file with FERC a proposed unexecuted Service Agreement to receive transmission service.</w:t>
      </w:r>
      <w:r w:rsidR="00BB752D" w:rsidRPr="00D04E80">
        <w:rPr>
          <w:szCs w:val="24"/>
          <w:vertAlign w:val="superscript"/>
        </w:rPr>
        <w:footnoteReference w:id="23"/>
      </w:r>
      <w:r w:rsidR="00BB752D" w:rsidRPr="00290995">
        <w:rPr>
          <w:szCs w:val="24"/>
        </w:rPr>
        <w:t xml:space="preserve">  An Eligible Customer </w:t>
      </w:r>
      <w:r w:rsidR="00BB752D" w:rsidRPr="00290995">
        <w:rPr>
          <w:szCs w:val="24"/>
        </w:rPr>
        <w:lastRenderedPageBreak/>
        <w:t>includes any retail customer taking unbundled transmission service pursuant to a state requirement that the Transmission Provider or a Transmission Owner offer the transmission service.</w:t>
      </w:r>
      <w:r w:rsidR="00BB752D" w:rsidRPr="00D04E80">
        <w:rPr>
          <w:szCs w:val="24"/>
          <w:vertAlign w:val="superscript"/>
        </w:rPr>
        <w:footnoteReference w:id="24"/>
      </w:r>
      <w:r w:rsidR="00BB752D" w:rsidRPr="00290995">
        <w:rPr>
          <w:szCs w:val="24"/>
        </w:rPr>
        <w:t xml:space="preserve">  </w:t>
      </w:r>
    </w:p>
    <w:p w:rsidR="00BB752D" w:rsidRPr="00290995" w:rsidRDefault="00870827" w:rsidP="0044044E">
      <w:pPr>
        <w:spacing w:after="120" w:line="480" w:lineRule="auto"/>
        <w:ind w:firstLine="720"/>
        <w:contextualSpacing/>
        <w:rPr>
          <w:szCs w:val="24"/>
        </w:rPr>
      </w:pPr>
      <w:r w:rsidRPr="00290995">
        <w:rPr>
          <w:szCs w:val="24"/>
        </w:rPr>
        <w:t>PJM is responsible for providing NITS to Network Customers.</w:t>
      </w:r>
      <w:r w:rsidRPr="00D04E80">
        <w:rPr>
          <w:szCs w:val="24"/>
          <w:vertAlign w:val="superscript"/>
        </w:rPr>
        <w:footnoteReference w:id="25"/>
      </w:r>
      <w:r w:rsidRPr="00290995">
        <w:rPr>
          <w:szCs w:val="24"/>
        </w:rPr>
        <w:t xml:space="preserve">  "Network Integration Transmission Service allows the Network Customer to integrate, economically dispatch and regulate its current and planned Network Resources to </w:t>
      </w:r>
      <w:r w:rsidR="00FC434D">
        <w:rPr>
          <w:szCs w:val="24"/>
        </w:rPr>
        <w:t>serve</w:t>
      </w:r>
      <w:r w:rsidR="00FC434D" w:rsidRPr="00290995">
        <w:rPr>
          <w:szCs w:val="24"/>
        </w:rPr>
        <w:t xml:space="preserve"> </w:t>
      </w:r>
      <w:r w:rsidRPr="00290995">
        <w:rPr>
          <w:szCs w:val="24"/>
        </w:rPr>
        <w:t>its Network Load in a manner comparable to that in which each Transmission Owner utilizes the Transmission System to serve its Native Load Customers."</w:t>
      </w:r>
      <w:r w:rsidRPr="00D04E80">
        <w:rPr>
          <w:szCs w:val="24"/>
          <w:vertAlign w:val="superscript"/>
        </w:rPr>
        <w:footnoteReference w:id="26"/>
      </w:r>
      <w:r w:rsidRPr="00290995">
        <w:rPr>
          <w:szCs w:val="24"/>
        </w:rPr>
        <w:t xml:space="preserve">  </w:t>
      </w:r>
      <w:r w:rsidR="00BB752D" w:rsidRPr="00290995">
        <w:rPr>
          <w:szCs w:val="24"/>
        </w:rPr>
        <w:t xml:space="preserve">Under the PJM OATT, PJM and Transmission Owners are compensated for the provision of services and facilities needed by PJM to provide </w:t>
      </w:r>
      <w:r w:rsidR="00D60B04">
        <w:rPr>
          <w:szCs w:val="24"/>
        </w:rPr>
        <w:t>NITS</w:t>
      </w:r>
      <w:r w:rsidR="00BB752D" w:rsidRPr="00290995">
        <w:rPr>
          <w:szCs w:val="24"/>
        </w:rPr>
        <w:t xml:space="preserve">, Administration, and Ancillary Services to Network Customers.  </w:t>
      </w:r>
    </w:p>
    <w:p w:rsidR="00BB752D" w:rsidRPr="00D04E80" w:rsidRDefault="00BB752D" w:rsidP="0044044E">
      <w:pPr>
        <w:spacing w:after="120" w:line="480" w:lineRule="auto"/>
        <w:ind w:firstLine="720"/>
        <w:contextualSpacing/>
        <w:rPr>
          <w:szCs w:val="24"/>
        </w:rPr>
      </w:pPr>
      <w:r w:rsidRPr="00290995">
        <w:rPr>
          <w:szCs w:val="24"/>
        </w:rPr>
        <w:t>Network Customers are those customers that are Eligible Customers that seek NITS for designated Network Loads.  The Eligible Customer may be a generation owner or a purchaser of generation.</w:t>
      </w:r>
      <w:r w:rsidRPr="00D04E80">
        <w:rPr>
          <w:szCs w:val="24"/>
          <w:vertAlign w:val="superscript"/>
        </w:rPr>
        <w:footnoteReference w:id="27"/>
      </w:r>
      <w:r w:rsidRPr="00290995">
        <w:rPr>
          <w:szCs w:val="24"/>
        </w:rPr>
        <w:t xml:space="preserve">  An Eligible Customer also includes a retail customer that takes electric service on an unbundled basis under a state required retail access program.</w:t>
      </w:r>
      <w:r w:rsidRPr="00D04E80">
        <w:rPr>
          <w:szCs w:val="24"/>
          <w:vertAlign w:val="superscript"/>
        </w:rPr>
        <w:footnoteReference w:id="28"/>
      </w:r>
      <w:r w:rsidRPr="00290995">
        <w:rPr>
          <w:szCs w:val="24"/>
        </w:rPr>
        <w:t xml:space="preserve">  To secure transmission service, an Eligible Customer must make an application</w:t>
      </w:r>
      <w:r w:rsidRPr="00D04E80">
        <w:rPr>
          <w:szCs w:val="24"/>
          <w:vertAlign w:val="superscript"/>
        </w:rPr>
        <w:footnoteReference w:id="29"/>
      </w:r>
      <w:r w:rsidRPr="00290995">
        <w:rPr>
          <w:szCs w:val="24"/>
        </w:rPr>
        <w:t xml:space="preserve"> and "arrang[e] for the delivery of its energy from the delivery point or interconnection."</w:t>
      </w:r>
      <w:r w:rsidRPr="00D04E80">
        <w:rPr>
          <w:szCs w:val="24"/>
          <w:vertAlign w:val="superscript"/>
        </w:rPr>
        <w:footnoteReference w:id="30"/>
      </w:r>
      <w:r w:rsidRPr="00290995">
        <w:rPr>
          <w:szCs w:val="24"/>
        </w:rPr>
        <w:t xml:space="preserve">  </w:t>
      </w:r>
    </w:p>
    <w:p w:rsidR="00BB752D" w:rsidRPr="00D04E80" w:rsidRDefault="00BB752D" w:rsidP="0044044E">
      <w:pPr>
        <w:spacing w:after="120" w:line="480" w:lineRule="auto"/>
        <w:ind w:firstLine="720"/>
        <w:contextualSpacing/>
        <w:rPr>
          <w:szCs w:val="24"/>
        </w:rPr>
      </w:pPr>
      <w:r w:rsidRPr="00290995">
        <w:rPr>
          <w:szCs w:val="24"/>
        </w:rPr>
        <w:lastRenderedPageBreak/>
        <w:t>A Network Customer is required to pay PJM Settlement as the agent for the Transmission Provider for Ancillary Services, PJM Administrative Service, Transmission Enhancement Charges, and a Monthly Demand Charge.</w:t>
      </w:r>
      <w:r w:rsidRPr="00D04E80">
        <w:rPr>
          <w:szCs w:val="24"/>
          <w:vertAlign w:val="superscript"/>
        </w:rPr>
        <w:footnoteReference w:id="31"/>
      </w:r>
      <w:r w:rsidRPr="00290995">
        <w:rPr>
          <w:szCs w:val="24"/>
        </w:rPr>
        <w:t xml:space="preserve">  </w:t>
      </w:r>
    </w:p>
    <w:p w:rsidR="00BB752D" w:rsidRPr="00290995" w:rsidRDefault="00BB752D" w:rsidP="0044044E">
      <w:pPr>
        <w:spacing w:after="120" w:line="480" w:lineRule="auto"/>
        <w:ind w:firstLine="720"/>
        <w:contextualSpacing/>
        <w:rPr>
          <w:szCs w:val="24"/>
        </w:rPr>
      </w:pPr>
      <w:r w:rsidRPr="00290995">
        <w:rPr>
          <w:szCs w:val="24"/>
        </w:rPr>
        <w:t>The Monthly Demand Charge is the sum of all monthly zone and non-zone demand charges assignable to the Network Customer for the Zone Network Loads, including losses.</w:t>
      </w:r>
      <w:r w:rsidRPr="00D04E80">
        <w:rPr>
          <w:szCs w:val="24"/>
          <w:vertAlign w:val="superscript"/>
        </w:rPr>
        <w:footnoteReference w:id="32"/>
      </w:r>
      <w:r w:rsidRPr="00290995">
        <w:rPr>
          <w:szCs w:val="24"/>
        </w:rPr>
        <w:t xml:space="preserve">  The retail customer's Zone Network Load is determined at the time of the annual peak of the Zone in which the load is located (</w:t>
      </w:r>
      <w:r w:rsidRPr="00290995">
        <w:rPr>
          <w:i/>
          <w:szCs w:val="24"/>
        </w:rPr>
        <w:t>i.e</w:t>
      </w:r>
      <w:r w:rsidRPr="00290995">
        <w:rPr>
          <w:szCs w:val="24"/>
        </w:rPr>
        <w:t>., a 1CP basis).</w:t>
      </w:r>
      <w:r w:rsidRPr="00D04E80">
        <w:rPr>
          <w:szCs w:val="24"/>
          <w:vertAlign w:val="superscript"/>
        </w:rPr>
        <w:footnoteReference w:id="33"/>
      </w:r>
      <w:r w:rsidRPr="00290995">
        <w:rPr>
          <w:szCs w:val="24"/>
        </w:rPr>
        <w:t xml:space="preserve"> </w:t>
      </w:r>
    </w:p>
    <w:p w:rsidR="00BB752D" w:rsidRPr="00D04E80" w:rsidRDefault="00BB752D" w:rsidP="002D7989">
      <w:pPr>
        <w:spacing w:line="480" w:lineRule="auto"/>
        <w:ind w:firstLine="720"/>
        <w:contextualSpacing/>
        <w:rPr>
          <w:szCs w:val="24"/>
        </w:rPr>
      </w:pPr>
      <w:r w:rsidRPr="00290995">
        <w:rPr>
          <w:szCs w:val="24"/>
        </w:rPr>
        <w:t>The PJM OATT is a tariff on file with FERC.  As such, the terms and conditions of the tariff may not be altered except as permitted by FERC.</w:t>
      </w:r>
      <w:r w:rsidRPr="00D04E80">
        <w:rPr>
          <w:szCs w:val="24"/>
          <w:vertAlign w:val="superscript"/>
        </w:rPr>
        <w:footnoteReference w:id="34"/>
      </w:r>
      <w:r w:rsidRPr="00290995">
        <w:rPr>
          <w:szCs w:val="24"/>
        </w:rPr>
        <w:t xml:space="preserve">  </w:t>
      </w:r>
      <w:r w:rsidRPr="00D04E80">
        <w:rPr>
          <w:szCs w:val="24"/>
        </w:rPr>
        <w:t xml:space="preserve">Based on its exclusive jurisdiction, </w:t>
      </w:r>
      <w:r w:rsidRPr="00290995">
        <w:rPr>
          <w:szCs w:val="24"/>
        </w:rPr>
        <w:t>FERC has determined that unbundled retail transmission is “Commission-jurisdictional,”</w:t>
      </w:r>
      <w:r w:rsidRPr="00D04E80">
        <w:rPr>
          <w:szCs w:val="24"/>
          <w:vertAlign w:val="superscript"/>
        </w:rPr>
        <w:footnoteReference w:id="35"/>
      </w:r>
      <w:r w:rsidRPr="00290995">
        <w:rPr>
          <w:szCs w:val="24"/>
        </w:rPr>
        <w:t xml:space="preserve"> has required “consistent application of the tariff rate” contained in the OATT, and has required that charges to retail wheeling customers be based on the demand use of retail customers.</w:t>
      </w:r>
      <w:r w:rsidRPr="00D04E80">
        <w:rPr>
          <w:szCs w:val="24"/>
          <w:vertAlign w:val="superscript"/>
        </w:rPr>
        <w:footnoteReference w:id="36"/>
      </w:r>
      <w:r w:rsidRPr="00290995">
        <w:rPr>
          <w:szCs w:val="24"/>
        </w:rPr>
        <w:t xml:space="preserve">  </w:t>
      </w:r>
    </w:p>
    <w:p w:rsidR="00BB752D" w:rsidRPr="00D04E80" w:rsidRDefault="00BB752D" w:rsidP="00844AA1">
      <w:pPr>
        <w:pStyle w:val="Heading2"/>
      </w:pPr>
      <w:bookmarkStart w:id="18" w:name="_Toc445369885"/>
      <w:bookmarkStart w:id="19" w:name="_Toc445371528"/>
      <w:bookmarkStart w:id="20" w:name="_Toc445372443"/>
      <w:bookmarkStart w:id="21" w:name="_Toc445382883"/>
      <w:bookmarkStart w:id="22" w:name="_Toc445452323"/>
      <w:r w:rsidRPr="00D04E80">
        <w:t xml:space="preserve">Ohio </w:t>
      </w:r>
      <w:r w:rsidR="005528D7">
        <w:t>l</w:t>
      </w:r>
      <w:r w:rsidRPr="00D04E80">
        <w:t xml:space="preserve">aw </w:t>
      </w:r>
      <w:r w:rsidR="005528D7">
        <w:t>r</w:t>
      </w:r>
      <w:r w:rsidRPr="00D04E80">
        <w:t xml:space="preserve">equires an </w:t>
      </w:r>
      <w:r w:rsidR="005528D7">
        <w:t>e</w:t>
      </w:r>
      <w:r w:rsidRPr="00D04E80">
        <w:t xml:space="preserve">lectric </w:t>
      </w:r>
      <w:r w:rsidR="005528D7">
        <w:t>d</w:t>
      </w:r>
      <w:r w:rsidRPr="00D04E80">
        <w:t xml:space="preserve">istribution </w:t>
      </w:r>
      <w:r w:rsidR="005528D7">
        <w:t>u</w:t>
      </w:r>
      <w:r w:rsidRPr="00D04E80">
        <w:t xml:space="preserve">tility </w:t>
      </w:r>
      <w:r w:rsidR="00A13F26">
        <w:t xml:space="preserve">(“EDU”) </w:t>
      </w:r>
      <w:r w:rsidRPr="00D04E80">
        <w:t xml:space="preserve">to </w:t>
      </w:r>
      <w:r w:rsidR="005528D7">
        <w:t>p</w:t>
      </w:r>
      <w:r w:rsidRPr="00D04E80">
        <w:t xml:space="preserve">rovide </w:t>
      </w:r>
      <w:r w:rsidR="005528D7">
        <w:t>u</w:t>
      </w:r>
      <w:r w:rsidRPr="00D04E80">
        <w:t xml:space="preserve">nbundled </w:t>
      </w:r>
      <w:r w:rsidR="005528D7">
        <w:t>r</w:t>
      </w:r>
      <w:r w:rsidRPr="00D04E80">
        <w:t xml:space="preserve">etail </w:t>
      </w:r>
      <w:r w:rsidR="005528D7">
        <w:t>e</w:t>
      </w:r>
      <w:r w:rsidRPr="00D04E80">
        <w:t xml:space="preserve">lectric </w:t>
      </w:r>
      <w:r w:rsidR="005528D7">
        <w:t>s</w:t>
      </w:r>
      <w:r w:rsidRPr="00D04E80">
        <w:t>ervices.</w:t>
      </w:r>
      <w:bookmarkEnd w:id="18"/>
      <w:bookmarkEnd w:id="19"/>
      <w:bookmarkEnd w:id="20"/>
      <w:bookmarkEnd w:id="21"/>
      <w:bookmarkEnd w:id="22"/>
    </w:p>
    <w:p w:rsidR="00194242" w:rsidRDefault="00194242" w:rsidP="0044044E">
      <w:pPr>
        <w:spacing w:after="120" w:line="480" w:lineRule="auto"/>
        <w:ind w:firstLine="720"/>
        <w:contextualSpacing/>
        <w:rPr>
          <w:szCs w:val="24"/>
        </w:rPr>
      </w:pPr>
      <w:r>
        <w:rPr>
          <w:szCs w:val="24"/>
        </w:rPr>
        <w:t xml:space="preserve">Because Ohio has directed that retail </w:t>
      </w:r>
      <w:r w:rsidR="00D6326A">
        <w:rPr>
          <w:szCs w:val="24"/>
        </w:rPr>
        <w:t>electric service is unbundled and generation service is a competitive retail electric service</w:t>
      </w:r>
      <w:r>
        <w:rPr>
          <w:szCs w:val="24"/>
        </w:rPr>
        <w:t>, the provisions of the PJM OATT for transmission service are available to Ohio’s retail transmission customers.</w:t>
      </w:r>
    </w:p>
    <w:p w:rsidR="00BB752D" w:rsidRPr="00290995" w:rsidRDefault="00BB752D" w:rsidP="0044044E">
      <w:pPr>
        <w:spacing w:after="120" w:line="480" w:lineRule="auto"/>
        <w:ind w:firstLine="720"/>
        <w:contextualSpacing/>
        <w:rPr>
          <w:szCs w:val="24"/>
        </w:rPr>
      </w:pPr>
      <w:r w:rsidRPr="00290995">
        <w:rPr>
          <w:szCs w:val="24"/>
        </w:rPr>
        <w:lastRenderedPageBreak/>
        <w:t>As part of the restructuring of the regulation of retail electric service, Ohio has declared that retail electric generation service is a competitive retail electric service, that retail customers may secure the service from any supplier or suppliers, and that prices for retail competitive electric services be separately priced and itemized on the customer's bill.</w:t>
      </w:r>
      <w:r w:rsidRPr="00D04E80">
        <w:rPr>
          <w:szCs w:val="24"/>
          <w:vertAlign w:val="superscript"/>
        </w:rPr>
        <w:footnoteReference w:id="37"/>
      </w:r>
      <w:r w:rsidRPr="00D04E80">
        <w:rPr>
          <w:szCs w:val="24"/>
        </w:rPr>
        <w:t xml:space="preserve">  </w:t>
      </w:r>
      <w:r w:rsidRPr="00290995">
        <w:rPr>
          <w:szCs w:val="24"/>
        </w:rPr>
        <w:t>As part of the transition from the provision of retail electric service from the traditional price regulation approach to the unbundled approach, each EDU was required to seek Commission approval of a rate unbundling plan that specified the unbundled components for electric transmission, generation, and distribution service.</w:t>
      </w:r>
      <w:r w:rsidRPr="00D04E80">
        <w:rPr>
          <w:szCs w:val="24"/>
          <w:vertAlign w:val="superscript"/>
        </w:rPr>
        <w:footnoteReference w:id="38"/>
      </w:r>
    </w:p>
    <w:p w:rsidR="00BB752D" w:rsidRPr="00290995" w:rsidRDefault="00BB752D" w:rsidP="0044044E">
      <w:pPr>
        <w:spacing w:after="120" w:line="480" w:lineRule="auto"/>
        <w:ind w:firstLine="720"/>
        <w:contextualSpacing/>
        <w:rPr>
          <w:szCs w:val="24"/>
        </w:rPr>
      </w:pPr>
      <w:r w:rsidRPr="00290995">
        <w:rPr>
          <w:szCs w:val="24"/>
        </w:rPr>
        <w:t>The unbundled transmission component was required to be equal to the tariff rates determined by FERC that were in effect on the date of the approval of the transition plan.</w:t>
      </w:r>
      <w:r w:rsidRPr="00D04E80">
        <w:rPr>
          <w:szCs w:val="24"/>
          <w:vertAlign w:val="superscript"/>
        </w:rPr>
        <w:footnoteReference w:id="39"/>
      </w:r>
      <w:r w:rsidRPr="00290995">
        <w:rPr>
          <w:szCs w:val="24"/>
        </w:rPr>
        <w:t xml:space="preserve">  </w:t>
      </w:r>
      <w:r w:rsidRPr="00A15FAC">
        <w:rPr>
          <w:szCs w:val="24"/>
        </w:rPr>
        <w:t xml:space="preserve">Once the Commission approved the transition plan, the EDU was required to file the unbundled rate components and these schedules remained in effect during the Market Development Period.  </w:t>
      </w:r>
      <w:r w:rsidR="00B076FB" w:rsidRPr="00A15FAC">
        <w:rPr>
          <w:szCs w:val="24"/>
        </w:rPr>
        <w:t>Although t</w:t>
      </w:r>
      <w:r w:rsidRPr="00A15FAC">
        <w:rPr>
          <w:szCs w:val="24"/>
        </w:rPr>
        <w:t xml:space="preserve">he Market Development Period for an EDU was required to end </w:t>
      </w:r>
      <w:r w:rsidR="00B076FB" w:rsidRPr="00A15FAC">
        <w:rPr>
          <w:szCs w:val="24"/>
        </w:rPr>
        <w:t>no later than December 31, 2005,</w:t>
      </w:r>
      <w:r w:rsidRPr="00A15FAC">
        <w:rPr>
          <w:szCs w:val="24"/>
          <w:vertAlign w:val="superscript"/>
        </w:rPr>
        <w:footnoteReference w:id="40"/>
      </w:r>
      <w:r w:rsidR="00B076FB" w:rsidRPr="00A15FAC">
        <w:rPr>
          <w:szCs w:val="24"/>
        </w:rPr>
        <w:t xml:space="preserve"> </w:t>
      </w:r>
      <w:r w:rsidRPr="00A15FAC">
        <w:rPr>
          <w:szCs w:val="24"/>
        </w:rPr>
        <w:t>Commission rules continue to provide for separate identification of each charge of a CRES provider if the EDU bills the customer on a consolidated basis for competitive and noncompetitive services.</w:t>
      </w:r>
      <w:r w:rsidRPr="00A15FAC">
        <w:rPr>
          <w:szCs w:val="24"/>
          <w:vertAlign w:val="superscript"/>
        </w:rPr>
        <w:footnoteReference w:id="41"/>
      </w:r>
    </w:p>
    <w:p w:rsidR="00BB752D" w:rsidRPr="00290995" w:rsidRDefault="00BB752D" w:rsidP="0044044E">
      <w:pPr>
        <w:spacing w:after="120" w:line="480" w:lineRule="auto"/>
        <w:ind w:firstLine="720"/>
        <w:contextualSpacing/>
        <w:rPr>
          <w:szCs w:val="24"/>
        </w:rPr>
      </w:pPr>
      <w:r w:rsidRPr="00290995">
        <w:rPr>
          <w:szCs w:val="24"/>
        </w:rPr>
        <w:t xml:space="preserve">Additionally, transmission owners located in Ohio on or after the starting date of competitive retail electric service were required to be a member of a federally approved independent transmission operator and transfer control of the transmission owner’s </w:t>
      </w:r>
      <w:r w:rsidRPr="00290995">
        <w:rPr>
          <w:szCs w:val="24"/>
        </w:rPr>
        <w:lastRenderedPageBreak/>
        <w:t>transmission facilities to the transmission operator.</w:t>
      </w:r>
      <w:r w:rsidRPr="00D04E80">
        <w:rPr>
          <w:szCs w:val="24"/>
          <w:vertAlign w:val="superscript"/>
        </w:rPr>
        <w:footnoteReference w:id="42"/>
      </w:r>
      <w:r w:rsidRPr="00290995">
        <w:rPr>
          <w:szCs w:val="24"/>
        </w:rPr>
        <w:t xml:space="preserve">  An electric utility was also required to provide an independent transmission plan as part of its transition plan or, if the utility did not do so, to be a member of, </w:t>
      </w:r>
      <w:r w:rsidR="00915A94">
        <w:rPr>
          <w:szCs w:val="24"/>
        </w:rPr>
        <w:t>and</w:t>
      </w:r>
      <w:r w:rsidR="00915A94" w:rsidRPr="00290995">
        <w:rPr>
          <w:szCs w:val="24"/>
        </w:rPr>
        <w:t xml:space="preserve"> </w:t>
      </w:r>
      <w:r w:rsidRPr="00290995">
        <w:rPr>
          <w:szCs w:val="24"/>
        </w:rPr>
        <w:t>transfer control of transmission facilities it owned or controlled to, one or more qualifying transmission entities by December 31, 2003.</w:t>
      </w:r>
      <w:r w:rsidRPr="00D04E80">
        <w:rPr>
          <w:szCs w:val="24"/>
          <w:vertAlign w:val="superscript"/>
        </w:rPr>
        <w:footnoteReference w:id="43"/>
      </w:r>
      <w:r w:rsidRPr="00290995">
        <w:rPr>
          <w:szCs w:val="24"/>
        </w:rPr>
        <w:t xml:space="preserve">  The transmission entity is required to be approved by FERC, separate control of the transmission facilities from control of generation facilities, implement to the extent reasonably possible policies and procedures designed to minimize pancaked transmission rates and improve service reliability within the state, be designed to achieve the objectives of an open and competitive electric generation market place, eliminate barriers to market entry and preclude control of bottleneck facilities in the provision of retail electric service, maintain a governance structure to ensure the entity is independent of the users of the transmission facilities, be capable of maintaining real-time reliability of the electric transmission system, ensure comparable and nondiscriminatory transmission access and necessary services, minimize system congestion, and address real and potential transmission constraints.</w:t>
      </w:r>
      <w:r w:rsidRPr="00D04E80">
        <w:rPr>
          <w:szCs w:val="24"/>
          <w:vertAlign w:val="superscript"/>
        </w:rPr>
        <w:footnoteReference w:id="44"/>
      </w:r>
      <w:r w:rsidRPr="00290995">
        <w:rPr>
          <w:szCs w:val="24"/>
        </w:rPr>
        <w:t xml:space="preserve">  </w:t>
      </w:r>
    </w:p>
    <w:p w:rsidR="00BB752D" w:rsidRDefault="000D1049" w:rsidP="005D6FC2">
      <w:pPr>
        <w:spacing w:line="480" w:lineRule="auto"/>
        <w:ind w:firstLine="720"/>
        <w:contextualSpacing/>
        <w:rPr>
          <w:szCs w:val="24"/>
        </w:rPr>
      </w:pPr>
      <w:r>
        <w:rPr>
          <w:szCs w:val="24"/>
        </w:rPr>
        <w:t>R.C.</w:t>
      </w:r>
      <w:r w:rsidR="00BB752D" w:rsidRPr="00290995">
        <w:rPr>
          <w:szCs w:val="24"/>
        </w:rPr>
        <w:t xml:space="preserve"> 4928.05(A)(2) authorizes the Commission to provide for the recovery through a reconcilable rider in an EDU's rates, all transmission and transmission-related costs, imposed on or charged to the utility by the FERC or an RTO, independent system operator, or similar organization approved by FERC.</w:t>
      </w:r>
      <w:r w:rsidR="00BB752D" w:rsidRPr="00D04E80">
        <w:rPr>
          <w:szCs w:val="24"/>
          <w:vertAlign w:val="superscript"/>
        </w:rPr>
        <w:footnoteReference w:id="45"/>
      </w:r>
      <w:r w:rsidR="00BB752D" w:rsidRPr="00290995">
        <w:rPr>
          <w:szCs w:val="24"/>
        </w:rPr>
        <w:t xml:space="preserve">  </w:t>
      </w:r>
      <w:r w:rsidR="00BB752D" w:rsidRPr="00D04E80">
        <w:rPr>
          <w:szCs w:val="24"/>
        </w:rPr>
        <w:t>The Commission has also implemented rules governing the authorization of a transmission rider</w:t>
      </w:r>
      <w:r w:rsidR="00544EA9">
        <w:rPr>
          <w:szCs w:val="24"/>
        </w:rPr>
        <w:t xml:space="preserve"> and required that </w:t>
      </w:r>
      <w:r w:rsidR="00544EA9">
        <w:rPr>
          <w:szCs w:val="24"/>
        </w:rPr>
        <w:lastRenderedPageBreak/>
        <w:t>the transmission rider be bypassable</w:t>
      </w:r>
      <w:r w:rsidR="00BB752D" w:rsidRPr="00D04E80">
        <w:rPr>
          <w:szCs w:val="24"/>
        </w:rPr>
        <w:t xml:space="preserve">.  </w:t>
      </w:r>
      <w:r w:rsidR="00BB752D">
        <w:rPr>
          <w:szCs w:val="24"/>
        </w:rPr>
        <w:t>Rule</w:t>
      </w:r>
      <w:r w:rsidR="00581BF9">
        <w:rPr>
          <w:szCs w:val="24"/>
        </w:rPr>
        <w:t xml:space="preserve"> 4901:1-36-04(B), OAC, </w:t>
      </w:r>
      <w:r w:rsidR="00BB752D" w:rsidRPr="00D04E80">
        <w:rPr>
          <w:szCs w:val="24"/>
        </w:rPr>
        <w:t>provides, “The transmission cost recovery rider shall be avoidable by all customers who choose alternative generation suppliers and the electric utility no longer bears the responsibility of providing generation and transmission service to the customers.”</w:t>
      </w:r>
    </w:p>
    <w:p w:rsidR="00BB752D" w:rsidRPr="00A15FAC" w:rsidRDefault="001558EA" w:rsidP="00844AA1">
      <w:pPr>
        <w:pStyle w:val="Heading2"/>
      </w:pPr>
      <w:bookmarkStart w:id="23" w:name="_Toc445369886"/>
      <w:bookmarkStart w:id="24" w:name="_Toc445371529"/>
      <w:bookmarkStart w:id="25" w:name="_Toc445372444"/>
      <w:bookmarkStart w:id="26" w:name="_Toc445382884"/>
      <w:bookmarkStart w:id="27" w:name="_Toc445452324"/>
      <w:r w:rsidRPr="00A15FAC">
        <w:t>The Commission is without authority to authorize transmission terms and</w:t>
      </w:r>
      <w:r w:rsidR="00B70A5E" w:rsidRPr="00A15FAC">
        <w:t xml:space="preserve"> conditions that are nonbypassable and that vary from the terms and conditions available under the PJM OATT</w:t>
      </w:r>
      <w:bookmarkEnd w:id="23"/>
      <w:bookmarkEnd w:id="24"/>
      <w:bookmarkEnd w:id="25"/>
      <w:bookmarkEnd w:id="26"/>
      <w:bookmarkEnd w:id="27"/>
    </w:p>
    <w:p w:rsidR="009E493F" w:rsidRDefault="00BB752D" w:rsidP="00F56AB5">
      <w:pPr>
        <w:spacing w:after="120" w:line="480" w:lineRule="auto"/>
        <w:ind w:firstLine="720"/>
        <w:contextualSpacing/>
        <w:rPr>
          <w:color w:val="000000"/>
          <w:szCs w:val="24"/>
        </w:rPr>
      </w:pPr>
      <w:r>
        <w:rPr>
          <w:color w:val="000000"/>
          <w:szCs w:val="24"/>
        </w:rPr>
        <w:t>In DP&amp;L’s application for a</w:t>
      </w:r>
      <w:r w:rsidR="00420EE2">
        <w:rPr>
          <w:color w:val="000000"/>
          <w:szCs w:val="24"/>
        </w:rPr>
        <w:t>n</w:t>
      </w:r>
      <w:r>
        <w:rPr>
          <w:color w:val="000000"/>
          <w:szCs w:val="24"/>
        </w:rPr>
        <w:t xml:space="preserve"> </w:t>
      </w:r>
      <w:r w:rsidR="00420EE2">
        <w:rPr>
          <w:color w:val="000000"/>
          <w:szCs w:val="24"/>
        </w:rPr>
        <w:t>SSO</w:t>
      </w:r>
      <w:r>
        <w:rPr>
          <w:color w:val="000000"/>
          <w:szCs w:val="24"/>
        </w:rPr>
        <w:t xml:space="preserve"> in 2012, DP&amp;L sought authorization for a nonbypassable transmission rider</w:t>
      </w:r>
      <w:r w:rsidR="00F57A40" w:rsidRPr="00D04E80">
        <w:rPr>
          <w:color w:val="000000"/>
          <w:szCs w:val="24"/>
        </w:rPr>
        <w:t>, the TCRR-N</w:t>
      </w:r>
      <w:r>
        <w:rPr>
          <w:color w:val="000000"/>
          <w:szCs w:val="24"/>
        </w:rPr>
        <w:t>.</w:t>
      </w:r>
      <w:r>
        <w:rPr>
          <w:rStyle w:val="FootnoteReference"/>
          <w:color w:val="000000"/>
          <w:szCs w:val="24"/>
        </w:rPr>
        <w:footnoteReference w:id="46"/>
      </w:r>
      <w:r>
        <w:rPr>
          <w:color w:val="000000"/>
          <w:szCs w:val="24"/>
        </w:rPr>
        <w:t xml:space="preserve">  </w:t>
      </w:r>
      <w:r w:rsidRPr="00D04E80">
        <w:rPr>
          <w:color w:val="000000"/>
          <w:szCs w:val="24"/>
        </w:rPr>
        <w:t>Over the objection of IEU-Ohio,</w:t>
      </w:r>
      <w:r w:rsidR="006205A7">
        <w:rPr>
          <w:color w:val="000000"/>
          <w:szCs w:val="24"/>
        </w:rPr>
        <w:t xml:space="preserve"> the Commission authorized the nonbypassable rider</w:t>
      </w:r>
      <w:r w:rsidRPr="00D04E80">
        <w:rPr>
          <w:color w:val="000000"/>
          <w:szCs w:val="24"/>
        </w:rPr>
        <w:t>.</w:t>
      </w:r>
      <w:r w:rsidRPr="00D04E80">
        <w:rPr>
          <w:rStyle w:val="FootnoteReference"/>
          <w:color w:val="000000"/>
          <w:szCs w:val="24"/>
        </w:rPr>
        <w:footnoteReference w:id="47"/>
      </w:r>
      <w:r w:rsidRPr="00D04E80">
        <w:rPr>
          <w:color w:val="000000"/>
          <w:szCs w:val="24"/>
        </w:rPr>
        <w:t xml:space="preserve">  </w:t>
      </w:r>
      <w:r w:rsidR="00B97DF8">
        <w:rPr>
          <w:color w:val="000000"/>
          <w:szCs w:val="24"/>
        </w:rPr>
        <w:t xml:space="preserve">In this Application, DP&amp;L seeks to </w:t>
      </w:r>
      <w:r w:rsidR="009E493F">
        <w:rPr>
          <w:color w:val="000000"/>
          <w:szCs w:val="24"/>
        </w:rPr>
        <w:t xml:space="preserve">continue </w:t>
      </w:r>
      <w:r w:rsidR="00B97DF8">
        <w:rPr>
          <w:color w:val="000000"/>
          <w:szCs w:val="24"/>
        </w:rPr>
        <w:t xml:space="preserve">the unlawful terms and conditions </w:t>
      </w:r>
      <w:r w:rsidR="009E493F">
        <w:rPr>
          <w:color w:val="000000"/>
          <w:szCs w:val="24"/>
        </w:rPr>
        <w:t xml:space="preserve">of the TCRR-N </w:t>
      </w:r>
      <w:r w:rsidR="006205A7">
        <w:rPr>
          <w:color w:val="000000"/>
          <w:szCs w:val="24"/>
        </w:rPr>
        <w:t>that prevent retail customers from securing transmission service directly or indirectly from PJM at terms and conditions contained in the PJM OATT</w:t>
      </w:r>
      <w:r w:rsidR="00B97DF8">
        <w:rPr>
          <w:color w:val="000000"/>
          <w:szCs w:val="24"/>
        </w:rPr>
        <w:t>.</w:t>
      </w:r>
    </w:p>
    <w:p w:rsidR="000F6F45" w:rsidRDefault="005277EF" w:rsidP="00F56AB5">
      <w:pPr>
        <w:spacing w:after="120" w:line="480" w:lineRule="auto"/>
        <w:ind w:firstLine="720"/>
        <w:contextualSpacing/>
        <w:rPr>
          <w:color w:val="000000"/>
          <w:szCs w:val="24"/>
        </w:rPr>
      </w:pPr>
      <w:r>
        <w:rPr>
          <w:color w:val="000000"/>
          <w:szCs w:val="24"/>
        </w:rPr>
        <w:t xml:space="preserve">Under the proposed </w:t>
      </w:r>
      <w:r w:rsidR="00BB5954">
        <w:rPr>
          <w:color w:val="000000"/>
          <w:szCs w:val="24"/>
        </w:rPr>
        <w:t xml:space="preserve">nonbypassable </w:t>
      </w:r>
      <w:r>
        <w:rPr>
          <w:color w:val="000000"/>
          <w:szCs w:val="24"/>
        </w:rPr>
        <w:t xml:space="preserve">rider, DP&amp;L </w:t>
      </w:r>
      <w:r w:rsidR="00814BCE">
        <w:rPr>
          <w:color w:val="000000"/>
          <w:szCs w:val="24"/>
        </w:rPr>
        <w:t>will bill and collect</w:t>
      </w:r>
      <w:r w:rsidR="000F6F45" w:rsidRPr="000F6F45">
        <w:rPr>
          <w:color w:val="000000"/>
          <w:szCs w:val="24"/>
        </w:rPr>
        <w:t xml:space="preserve"> for NITS and other </w:t>
      </w:r>
      <w:r w:rsidR="00B44421">
        <w:rPr>
          <w:color w:val="000000"/>
          <w:szCs w:val="24"/>
        </w:rPr>
        <w:t xml:space="preserve">listed </w:t>
      </w:r>
      <w:r w:rsidR="000F6F45" w:rsidRPr="000F6F45">
        <w:rPr>
          <w:color w:val="000000"/>
          <w:szCs w:val="24"/>
        </w:rPr>
        <w:t xml:space="preserve">transmission services billed to it by PJM.  For retail customers that are demand metered, DP&amp;L </w:t>
      </w:r>
      <w:r w:rsidR="00814BCE">
        <w:rPr>
          <w:color w:val="000000"/>
          <w:szCs w:val="24"/>
        </w:rPr>
        <w:t>will calculate</w:t>
      </w:r>
      <w:r w:rsidR="000F6F45" w:rsidRPr="000F6F45">
        <w:rPr>
          <w:color w:val="000000"/>
          <w:szCs w:val="24"/>
        </w:rPr>
        <w:t xml:space="preserve"> the monthly charge for transmission services based on “billing demand.”</w:t>
      </w:r>
      <w:r w:rsidR="000F6F45" w:rsidRPr="000F6F45">
        <w:rPr>
          <w:color w:val="000000"/>
          <w:szCs w:val="24"/>
          <w:vertAlign w:val="superscript"/>
        </w:rPr>
        <w:footnoteReference w:id="48"/>
      </w:r>
      <w:r w:rsidR="000F6F45" w:rsidRPr="000F6F45">
        <w:rPr>
          <w:color w:val="000000"/>
          <w:szCs w:val="24"/>
        </w:rPr>
        <w:t xml:space="preserve">  “Billing Demand shall be determined as defined on the applicable Electric Distribution Service Tariff Sheet Nos. D17 through D25.”</w:t>
      </w:r>
      <w:r w:rsidR="000F6F45" w:rsidRPr="000F6F45">
        <w:rPr>
          <w:color w:val="000000"/>
          <w:szCs w:val="24"/>
          <w:vertAlign w:val="superscript"/>
        </w:rPr>
        <w:footnoteReference w:id="49"/>
      </w:r>
      <w:r w:rsidR="000F6F45" w:rsidRPr="000F6F45">
        <w:rPr>
          <w:color w:val="000000"/>
          <w:szCs w:val="24"/>
        </w:rPr>
        <w:t xml:space="preserve">  </w:t>
      </w:r>
      <w:r w:rsidR="009C6B13">
        <w:rPr>
          <w:color w:val="000000"/>
          <w:szCs w:val="24"/>
        </w:rPr>
        <w:t>For demand metered customers</w:t>
      </w:r>
      <w:r w:rsidR="000F6F45" w:rsidRPr="000F6F45">
        <w:rPr>
          <w:color w:val="000000"/>
          <w:szCs w:val="24"/>
        </w:rPr>
        <w:t xml:space="preserve">, billing demand </w:t>
      </w:r>
      <w:r w:rsidR="00814BCE">
        <w:rPr>
          <w:color w:val="000000"/>
          <w:szCs w:val="24"/>
        </w:rPr>
        <w:t>will be</w:t>
      </w:r>
      <w:r w:rsidR="000F6F45" w:rsidRPr="000F6F45">
        <w:rPr>
          <w:color w:val="000000"/>
          <w:szCs w:val="24"/>
        </w:rPr>
        <w:t xml:space="preserve"> based on the greatest of 75% </w:t>
      </w:r>
      <w:r w:rsidR="009C6B13">
        <w:rPr>
          <w:color w:val="000000"/>
          <w:szCs w:val="24"/>
        </w:rPr>
        <w:t xml:space="preserve">of </w:t>
      </w:r>
      <w:r w:rsidR="000F6F45" w:rsidRPr="000F6F45">
        <w:rPr>
          <w:color w:val="000000"/>
          <w:szCs w:val="24"/>
        </w:rPr>
        <w:t xml:space="preserve">off-peak demand during the billing month, 100% of on-peak demand during the billing </w:t>
      </w:r>
      <w:r w:rsidR="000F6F45" w:rsidRPr="000F6F45">
        <w:rPr>
          <w:color w:val="000000"/>
          <w:szCs w:val="24"/>
        </w:rPr>
        <w:lastRenderedPageBreak/>
        <w:t>month, or the higher of on or off-peak demand during certain months over the prior eleven month period.</w:t>
      </w:r>
      <w:r w:rsidR="000F6F45" w:rsidRPr="000F6F45">
        <w:rPr>
          <w:color w:val="000000"/>
          <w:szCs w:val="24"/>
          <w:vertAlign w:val="superscript"/>
        </w:rPr>
        <w:footnoteReference w:id="50"/>
      </w:r>
      <w:r w:rsidR="000F6F45" w:rsidRPr="000F6F45">
        <w:rPr>
          <w:color w:val="000000"/>
          <w:szCs w:val="24"/>
        </w:rPr>
        <w:t xml:space="preserve">  </w:t>
      </w:r>
    </w:p>
    <w:p w:rsidR="00126D60" w:rsidRPr="000F6F45" w:rsidRDefault="00126D60" w:rsidP="0044044E">
      <w:pPr>
        <w:spacing w:after="120" w:line="480" w:lineRule="auto"/>
        <w:ind w:firstLine="720"/>
        <w:contextualSpacing/>
        <w:rPr>
          <w:color w:val="000000"/>
          <w:szCs w:val="24"/>
        </w:rPr>
      </w:pPr>
      <w:r>
        <w:rPr>
          <w:szCs w:val="24"/>
        </w:rPr>
        <w:t xml:space="preserve">A customer cannot </w:t>
      </w:r>
      <w:r w:rsidR="00564802">
        <w:rPr>
          <w:szCs w:val="24"/>
        </w:rPr>
        <w:t>avoid</w:t>
      </w:r>
      <w:r>
        <w:rPr>
          <w:szCs w:val="24"/>
        </w:rPr>
        <w:t xml:space="preserve"> the </w:t>
      </w:r>
      <w:r w:rsidR="00564802">
        <w:rPr>
          <w:szCs w:val="24"/>
        </w:rPr>
        <w:t>terms and conditions established by DP&amp;L</w:t>
      </w:r>
      <w:r>
        <w:rPr>
          <w:szCs w:val="24"/>
        </w:rPr>
        <w:t xml:space="preserve"> by contracting with a CRES provider.  Under the DP&amp;L tariff, a CRES provider is responsible for securing transmission service from PJM</w:t>
      </w:r>
      <w:r w:rsidR="00AB3C37">
        <w:rPr>
          <w:szCs w:val="24"/>
        </w:rPr>
        <w:t xml:space="preserve"> for the load the CRES provider serves</w:t>
      </w:r>
      <w:r>
        <w:rPr>
          <w:szCs w:val="24"/>
        </w:rPr>
        <w:t xml:space="preserve">, but the </w:t>
      </w:r>
      <w:r w:rsidR="00C415F5">
        <w:rPr>
          <w:szCs w:val="24"/>
        </w:rPr>
        <w:t xml:space="preserve">retail </w:t>
      </w:r>
      <w:r>
        <w:rPr>
          <w:szCs w:val="24"/>
        </w:rPr>
        <w:t xml:space="preserve">customer </w:t>
      </w:r>
      <w:r w:rsidR="00C415F5">
        <w:rPr>
          <w:szCs w:val="24"/>
        </w:rPr>
        <w:t xml:space="preserve">served by the CRES provider </w:t>
      </w:r>
      <w:r>
        <w:rPr>
          <w:szCs w:val="24"/>
        </w:rPr>
        <w:t xml:space="preserve">will be directly billed by DP&amp;L for </w:t>
      </w:r>
      <w:r w:rsidR="00AB3C37">
        <w:rPr>
          <w:szCs w:val="24"/>
        </w:rPr>
        <w:t xml:space="preserve">NITS and other </w:t>
      </w:r>
      <w:r>
        <w:rPr>
          <w:szCs w:val="24"/>
        </w:rPr>
        <w:t>transmission and an</w:t>
      </w:r>
      <w:r w:rsidR="00AE050E">
        <w:rPr>
          <w:szCs w:val="24"/>
        </w:rPr>
        <w:t>cillary services</w:t>
      </w:r>
      <w:r w:rsidR="008A51F4">
        <w:rPr>
          <w:szCs w:val="24"/>
        </w:rPr>
        <w:t xml:space="preserve"> based on the billing determinants imposed by the TCRR-N</w:t>
      </w:r>
      <w:r w:rsidR="00AE050E">
        <w:rPr>
          <w:szCs w:val="24"/>
        </w:rPr>
        <w:t>.</w:t>
      </w:r>
      <w:r>
        <w:rPr>
          <w:rStyle w:val="FootnoteReference"/>
          <w:szCs w:val="24"/>
        </w:rPr>
        <w:footnoteReference w:id="51"/>
      </w:r>
      <w:r>
        <w:rPr>
          <w:szCs w:val="24"/>
        </w:rPr>
        <w:t xml:space="preserve">  </w:t>
      </w:r>
    </w:p>
    <w:p w:rsidR="00AF4D3D" w:rsidRDefault="00BE1349" w:rsidP="0044044E">
      <w:pPr>
        <w:spacing w:line="480" w:lineRule="auto"/>
        <w:ind w:firstLine="720"/>
        <w:rPr>
          <w:color w:val="000000"/>
          <w:szCs w:val="24"/>
        </w:rPr>
      </w:pPr>
      <w:r>
        <w:rPr>
          <w:color w:val="000000"/>
          <w:szCs w:val="24"/>
        </w:rPr>
        <w:t xml:space="preserve">The </w:t>
      </w:r>
      <w:r w:rsidR="00581BF9">
        <w:rPr>
          <w:color w:val="000000"/>
          <w:szCs w:val="24"/>
        </w:rPr>
        <w:t>authorization of the extension</w:t>
      </w:r>
      <w:r>
        <w:rPr>
          <w:color w:val="000000"/>
          <w:szCs w:val="24"/>
        </w:rPr>
        <w:t xml:space="preserve"> of the TCRR-N</w:t>
      </w:r>
      <w:r w:rsidR="00B0039C">
        <w:rPr>
          <w:color w:val="000000"/>
          <w:szCs w:val="24"/>
        </w:rPr>
        <w:t xml:space="preserve"> and related tariff sheet provisions</w:t>
      </w:r>
      <w:r>
        <w:rPr>
          <w:color w:val="000000"/>
          <w:szCs w:val="24"/>
        </w:rPr>
        <w:t xml:space="preserve"> </w:t>
      </w:r>
      <w:r w:rsidR="00164035">
        <w:rPr>
          <w:color w:val="000000"/>
          <w:szCs w:val="24"/>
        </w:rPr>
        <w:t>c</w:t>
      </w:r>
      <w:r w:rsidR="00B0039C">
        <w:rPr>
          <w:color w:val="000000"/>
          <w:szCs w:val="24"/>
        </w:rPr>
        <w:t>onflict</w:t>
      </w:r>
      <w:r w:rsidR="00164035">
        <w:rPr>
          <w:color w:val="000000"/>
          <w:szCs w:val="24"/>
        </w:rPr>
        <w:t xml:space="preserve"> with federal requirements</w:t>
      </w:r>
      <w:r w:rsidR="00195EF9">
        <w:rPr>
          <w:color w:val="000000"/>
          <w:szCs w:val="24"/>
        </w:rPr>
        <w:t xml:space="preserve"> under the exclusive authority of FERC</w:t>
      </w:r>
      <w:r w:rsidR="00866970">
        <w:rPr>
          <w:color w:val="000000"/>
          <w:szCs w:val="24"/>
        </w:rPr>
        <w:t>.</w:t>
      </w:r>
    </w:p>
    <w:p w:rsidR="00805ACA" w:rsidRPr="00C415F5" w:rsidRDefault="00866970" w:rsidP="0044044E">
      <w:pPr>
        <w:spacing w:after="120" w:line="480" w:lineRule="auto"/>
        <w:ind w:firstLine="720"/>
        <w:contextualSpacing/>
        <w:rPr>
          <w:color w:val="000000"/>
          <w:szCs w:val="24"/>
        </w:rPr>
      </w:pPr>
      <w:r>
        <w:rPr>
          <w:color w:val="000000"/>
          <w:szCs w:val="24"/>
        </w:rPr>
        <w:t xml:space="preserve">First, </w:t>
      </w:r>
      <w:r w:rsidR="00B0039C">
        <w:rPr>
          <w:color w:val="000000"/>
          <w:szCs w:val="24"/>
        </w:rPr>
        <w:t>the proposed tariff sheets effectively preclude</w:t>
      </w:r>
      <w:r>
        <w:rPr>
          <w:color w:val="000000"/>
          <w:szCs w:val="24"/>
        </w:rPr>
        <w:t xml:space="preserve"> </w:t>
      </w:r>
      <w:r w:rsidR="00B50578">
        <w:rPr>
          <w:color w:val="000000"/>
          <w:szCs w:val="24"/>
        </w:rPr>
        <w:t>all</w:t>
      </w:r>
      <w:r>
        <w:rPr>
          <w:color w:val="000000"/>
          <w:szCs w:val="24"/>
        </w:rPr>
        <w:t xml:space="preserve"> customers from contracting with PJM or a CRES provider for retail transmission service under the PJM OATT.  </w:t>
      </w:r>
      <w:r w:rsidR="00DC5AF1">
        <w:rPr>
          <w:color w:val="000000"/>
          <w:szCs w:val="24"/>
        </w:rPr>
        <w:t>Under the TCRR-N</w:t>
      </w:r>
      <w:r w:rsidR="00317C57">
        <w:rPr>
          <w:color w:val="000000"/>
          <w:szCs w:val="24"/>
        </w:rPr>
        <w:t>, retail customers must pay DP&amp;L for transmission services.  The nonbypassable nature of the rider thus exposes them to double billing if they were to contract directly with PJM for transmission service</w:t>
      </w:r>
      <w:r w:rsidR="007F0125">
        <w:rPr>
          <w:color w:val="000000"/>
          <w:szCs w:val="24"/>
        </w:rPr>
        <w:t>s</w:t>
      </w:r>
      <w:r w:rsidR="00317C57">
        <w:rPr>
          <w:color w:val="000000"/>
          <w:szCs w:val="24"/>
        </w:rPr>
        <w:t xml:space="preserve">.  </w:t>
      </w:r>
      <w:r w:rsidR="00805ACA">
        <w:rPr>
          <w:szCs w:val="24"/>
        </w:rPr>
        <w:t>Further, DP&amp;L precludes the customer from securing transmission service indirectly through a CRES provider</w:t>
      </w:r>
      <w:r w:rsidR="00C415F5">
        <w:rPr>
          <w:szCs w:val="24"/>
        </w:rPr>
        <w:t xml:space="preserve"> since DP&amp;L retains billing authority for load served by CRES providers and bills retail customers</w:t>
      </w:r>
      <w:r w:rsidR="008851AC">
        <w:rPr>
          <w:szCs w:val="24"/>
        </w:rPr>
        <w:t xml:space="preserve"> under its nonbypassable tariff for transmission services</w:t>
      </w:r>
      <w:r w:rsidR="00805ACA">
        <w:rPr>
          <w:szCs w:val="24"/>
        </w:rPr>
        <w:t xml:space="preserve">.  </w:t>
      </w:r>
    </w:p>
    <w:p w:rsidR="00D16318" w:rsidRPr="001647BD" w:rsidRDefault="00BE526B" w:rsidP="00C21F04">
      <w:pPr>
        <w:spacing w:line="480" w:lineRule="auto"/>
        <w:ind w:firstLine="720"/>
        <w:contextualSpacing/>
        <w:rPr>
          <w:szCs w:val="24"/>
        </w:rPr>
      </w:pPr>
      <w:r>
        <w:rPr>
          <w:szCs w:val="24"/>
        </w:rPr>
        <w:t xml:space="preserve">Second, the retail transmission rider produces a billing outcome that varies from the PJM OATT.  </w:t>
      </w:r>
      <w:r w:rsidR="00BB752D">
        <w:rPr>
          <w:szCs w:val="24"/>
        </w:rPr>
        <w:t xml:space="preserve">The PJM OATT provides that the billing determinant </w:t>
      </w:r>
      <w:r w:rsidR="008851AC">
        <w:rPr>
          <w:szCs w:val="24"/>
        </w:rPr>
        <w:t xml:space="preserve">for an Eligible </w:t>
      </w:r>
      <w:r w:rsidR="008851AC">
        <w:rPr>
          <w:szCs w:val="24"/>
        </w:rPr>
        <w:lastRenderedPageBreak/>
        <w:t xml:space="preserve">Customer </w:t>
      </w:r>
      <w:r w:rsidR="00DA6D72">
        <w:rPr>
          <w:szCs w:val="24"/>
        </w:rPr>
        <w:t>is the 1CP of the customer, but t</w:t>
      </w:r>
      <w:r w:rsidR="008851AC">
        <w:rPr>
          <w:szCs w:val="24"/>
        </w:rPr>
        <w:t xml:space="preserve">he TCRR-N </w:t>
      </w:r>
      <w:r w:rsidR="00732FFC">
        <w:rPr>
          <w:szCs w:val="24"/>
        </w:rPr>
        <w:t>demand billing determinant</w:t>
      </w:r>
      <w:r w:rsidR="008851AC">
        <w:rPr>
          <w:szCs w:val="24"/>
        </w:rPr>
        <w:t xml:space="preserve"> for a demand-metered customer</w:t>
      </w:r>
      <w:r w:rsidR="00BB752D">
        <w:rPr>
          <w:szCs w:val="24"/>
        </w:rPr>
        <w:t xml:space="preserve"> </w:t>
      </w:r>
      <w:r w:rsidR="008851AC">
        <w:rPr>
          <w:szCs w:val="24"/>
        </w:rPr>
        <w:t>is</w:t>
      </w:r>
      <w:r w:rsidR="00BB752D">
        <w:rPr>
          <w:szCs w:val="24"/>
        </w:rPr>
        <w:t xml:space="preserve"> based on a monthly </w:t>
      </w:r>
      <w:r w:rsidR="00DD28C6">
        <w:rPr>
          <w:szCs w:val="24"/>
        </w:rPr>
        <w:t>off-</w:t>
      </w:r>
      <w:r w:rsidR="00BB752D">
        <w:rPr>
          <w:szCs w:val="24"/>
        </w:rPr>
        <w:t xml:space="preserve">peak or </w:t>
      </w:r>
      <w:r w:rsidR="00DD28C6">
        <w:rPr>
          <w:szCs w:val="24"/>
        </w:rPr>
        <w:t>on</w:t>
      </w:r>
      <w:r w:rsidR="00BB752D">
        <w:rPr>
          <w:szCs w:val="24"/>
        </w:rPr>
        <w:t xml:space="preserve">-peak demand billing determinant or a demand ratchet.  </w:t>
      </w:r>
      <w:r w:rsidR="00BB752D" w:rsidRPr="001647BD">
        <w:rPr>
          <w:szCs w:val="24"/>
        </w:rPr>
        <w:t xml:space="preserve">Because a customer's monthly peak demand or </w:t>
      </w:r>
      <w:r w:rsidR="00955108" w:rsidRPr="001647BD">
        <w:rPr>
          <w:szCs w:val="24"/>
        </w:rPr>
        <w:t xml:space="preserve">the </w:t>
      </w:r>
      <w:r w:rsidR="00BB752D" w:rsidRPr="001647BD">
        <w:rPr>
          <w:szCs w:val="24"/>
        </w:rPr>
        <w:t xml:space="preserve">minimum billing demand will have little, if any, relationship to the 1CP, the TCRR-N and related provisions </w:t>
      </w:r>
      <w:r w:rsidR="00C352C9" w:rsidRPr="001647BD">
        <w:rPr>
          <w:szCs w:val="24"/>
        </w:rPr>
        <w:t xml:space="preserve">conflict with the billing determinants of the PJM OATT and </w:t>
      </w:r>
      <w:r w:rsidR="00BB752D" w:rsidRPr="001647BD">
        <w:rPr>
          <w:szCs w:val="24"/>
        </w:rPr>
        <w:t xml:space="preserve">will cause significant shifts in revenue responsibility among customers relative to the revenue responsibility produced by the PJM OATT.  </w:t>
      </w:r>
    </w:p>
    <w:p w:rsidR="00F5537D" w:rsidRPr="001647BD" w:rsidRDefault="00164035" w:rsidP="00F5537D">
      <w:pPr>
        <w:pStyle w:val="ListParagraph"/>
        <w:spacing w:line="480" w:lineRule="auto"/>
        <w:ind w:left="0" w:firstLine="720"/>
        <w:rPr>
          <w:szCs w:val="24"/>
        </w:rPr>
      </w:pPr>
      <w:r w:rsidRPr="001647BD">
        <w:rPr>
          <w:szCs w:val="24"/>
        </w:rPr>
        <w:t>Third</w:t>
      </w:r>
      <w:r w:rsidR="00F5537D" w:rsidRPr="001647BD">
        <w:rPr>
          <w:szCs w:val="24"/>
        </w:rPr>
        <w:t xml:space="preserve">, DP&amp;L </w:t>
      </w:r>
      <w:r w:rsidR="00F87B14" w:rsidRPr="001647BD">
        <w:rPr>
          <w:szCs w:val="24"/>
        </w:rPr>
        <w:t xml:space="preserve">has not alleged that it </w:t>
      </w:r>
      <w:r w:rsidR="00F5537D" w:rsidRPr="001647BD">
        <w:rPr>
          <w:szCs w:val="24"/>
        </w:rPr>
        <w:t xml:space="preserve">has sought and received FERC approval for a </w:t>
      </w:r>
      <w:r w:rsidR="002C7AA9" w:rsidRPr="001647BD">
        <w:rPr>
          <w:szCs w:val="24"/>
        </w:rPr>
        <w:t>retail</w:t>
      </w:r>
      <w:r w:rsidR="00F5537D" w:rsidRPr="001647BD">
        <w:rPr>
          <w:szCs w:val="24"/>
        </w:rPr>
        <w:t xml:space="preserve"> transmission tariff that varies from the PJM OATT.  Moreover, </w:t>
      </w:r>
      <w:r w:rsidR="0012284F" w:rsidRPr="001647BD">
        <w:rPr>
          <w:szCs w:val="24"/>
        </w:rPr>
        <w:t xml:space="preserve">it would be </w:t>
      </w:r>
      <w:r w:rsidR="003507B5" w:rsidRPr="001647BD">
        <w:rPr>
          <w:szCs w:val="24"/>
        </w:rPr>
        <w:t xml:space="preserve">unlikely </w:t>
      </w:r>
      <w:r w:rsidR="00955108" w:rsidRPr="001647BD">
        <w:rPr>
          <w:szCs w:val="24"/>
        </w:rPr>
        <w:t>that DP&amp;L c</w:t>
      </w:r>
      <w:r w:rsidR="0012284F" w:rsidRPr="001647BD">
        <w:rPr>
          <w:szCs w:val="24"/>
        </w:rPr>
        <w:t>ould</w:t>
      </w:r>
      <w:r w:rsidR="003507B5" w:rsidRPr="001647BD">
        <w:rPr>
          <w:szCs w:val="24"/>
        </w:rPr>
        <w:t xml:space="preserve"> secure the necessary </w:t>
      </w:r>
      <w:r w:rsidR="0012284F" w:rsidRPr="001647BD">
        <w:rPr>
          <w:szCs w:val="24"/>
        </w:rPr>
        <w:t xml:space="preserve">FERC </w:t>
      </w:r>
      <w:r w:rsidR="003507B5" w:rsidRPr="001647BD">
        <w:rPr>
          <w:szCs w:val="24"/>
        </w:rPr>
        <w:t>approval because t</w:t>
      </w:r>
      <w:r w:rsidR="00F5537D" w:rsidRPr="001647BD">
        <w:rPr>
          <w:szCs w:val="24"/>
        </w:rPr>
        <w:t xml:space="preserve">he pricing and other terms presented by DP&amp;L in this Application conflict with the PJM </w:t>
      </w:r>
      <w:r w:rsidR="00DD3689" w:rsidRPr="001647BD">
        <w:rPr>
          <w:szCs w:val="24"/>
        </w:rPr>
        <w:t>OATT</w:t>
      </w:r>
      <w:r w:rsidR="00F5537D" w:rsidRPr="001647BD">
        <w:rPr>
          <w:szCs w:val="24"/>
        </w:rPr>
        <w:t>.</w:t>
      </w:r>
      <w:r w:rsidR="00C74BA1" w:rsidRPr="001647BD">
        <w:rPr>
          <w:szCs w:val="24"/>
        </w:rPr>
        <w:t xml:space="preserve">  </w:t>
      </w:r>
      <w:r w:rsidR="007479CF" w:rsidRPr="001647BD">
        <w:rPr>
          <w:szCs w:val="24"/>
        </w:rPr>
        <w:t>Because of the obvious conflict with the PJM OATT, t</w:t>
      </w:r>
      <w:r w:rsidR="00DD3689" w:rsidRPr="001647BD">
        <w:rPr>
          <w:szCs w:val="24"/>
        </w:rPr>
        <w:t xml:space="preserve">he </w:t>
      </w:r>
      <w:r w:rsidR="00F56961" w:rsidRPr="001647BD">
        <w:rPr>
          <w:szCs w:val="24"/>
        </w:rPr>
        <w:t xml:space="preserve">proposed tariff sheets </w:t>
      </w:r>
      <w:r w:rsidR="007479CF" w:rsidRPr="001647BD">
        <w:rPr>
          <w:szCs w:val="24"/>
        </w:rPr>
        <w:t>are not</w:t>
      </w:r>
      <w:r w:rsidR="00F56961" w:rsidRPr="001647BD">
        <w:rPr>
          <w:szCs w:val="24"/>
        </w:rPr>
        <w:t xml:space="preserve"> </w:t>
      </w:r>
      <w:r w:rsidR="00B2005B" w:rsidRPr="001647BD">
        <w:rPr>
          <w:szCs w:val="24"/>
        </w:rPr>
        <w:t>“consistent with or superior to” the PJM OATT.</w:t>
      </w:r>
    </w:p>
    <w:p w:rsidR="00464F70" w:rsidRDefault="00FA39D8" w:rsidP="0044044E">
      <w:pPr>
        <w:spacing w:after="120" w:line="480" w:lineRule="auto"/>
        <w:ind w:firstLine="720"/>
        <w:contextualSpacing/>
        <w:rPr>
          <w:szCs w:val="24"/>
        </w:rPr>
      </w:pPr>
      <w:r w:rsidRPr="001647BD">
        <w:rPr>
          <w:szCs w:val="24"/>
        </w:rPr>
        <w:t xml:space="preserve">In summary, FERC has exclusive jurisdiction to authorize retail transmission tariffs.  Under that authority, </w:t>
      </w:r>
      <w:r w:rsidR="00034DA2" w:rsidRPr="001647BD">
        <w:rPr>
          <w:szCs w:val="24"/>
        </w:rPr>
        <w:t>FERC has authorized the PJM OATT.  T</w:t>
      </w:r>
      <w:r w:rsidRPr="001647BD">
        <w:rPr>
          <w:szCs w:val="24"/>
        </w:rPr>
        <w:t>he PJM OATT is controlling and authorizes eligible customers to secure transmission service dir</w:t>
      </w:r>
      <w:r w:rsidR="00AC223E" w:rsidRPr="001647BD">
        <w:rPr>
          <w:szCs w:val="24"/>
        </w:rPr>
        <w:t xml:space="preserve">ectly or indirectly from PJM under terms and conditions contained in the PJM OATT.  </w:t>
      </w:r>
      <w:r w:rsidR="009D4770" w:rsidRPr="001647BD">
        <w:rPr>
          <w:szCs w:val="24"/>
        </w:rPr>
        <w:t xml:space="preserve">DP&amp;L </w:t>
      </w:r>
      <w:r w:rsidR="00560C51" w:rsidRPr="001647BD">
        <w:rPr>
          <w:szCs w:val="24"/>
        </w:rPr>
        <w:t>has not sought relief from FERC for a retail transmission tariff that varies from the PJM OATT</w:t>
      </w:r>
      <w:r w:rsidR="009D4770" w:rsidRPr="001647BD">
        <w:rPr>
          <w:szCs w:val="24"/>
        </w:rPr>
        <w:t xml:space="preserve">.  Because the retail transmission tariff is within the exclusive jurisdiction of FERC and no relief has been sought, the Commission is not authorized to act on DP&amp;L’s request to alter the terms and conditions that DP&amp;L retail customers may elect under the PJM OATT.  </w:t>
      </w:r>
      <w:r w:rsidR="006D7528" w:rsidRPr="001647BD">
        <w:rPr>
          <w:szCs w:val="24"/>
        </w:rPr>
        <w:t xml:space="preserve">DP&amp;L’s request for a waiver </w:t>
      </w:r>
      <w:r w:rsidR="001402FA" w:rsidRPr="001647BD">
        <w:rPr>
          <w:szCs w:val="24"/>
        </w:rPr>
        <w:t xml:space="preserve">so that it can extend a retail transmission </w:t>
      </w:r>
      <w:r w:rsidR="001402FA" w:rsidRPr="001647BD">
        <w:rPr>
          <w:szCs w:val="24"/>
        </w:rPr>
        <w:lastRenderedPageBreak/>
        <w:t>tariff that conflicts with the PJM OATT and produces revenue outcomes that conflict with those produced by the PJM OATT, therefore, must be rejected.</w:t>
      </w:r>
      <w:r w:rsidR="001402FA">
        <w:rPr>
          <w:szCs w:val="24"/>
        </w:rPr>
        <w:t xml:space="preserve"> </w:t>
      </w:r>
      <w:r w:rsidR="00BA2593">
        <w:rPr>
          <w:szCs w:val="24"/>
        </w:rPr>
        <w:t xml:space="preserve"> </w:t>
      </w:r>
    </w:p>
    <w:p w:rsidR="000639C7" w:rsidRPr="00D04E80" w:rsidRDefault="000F4EB7" w:rsidP="00844AA1">
      <w:pPr>
        <w:pStyle w:val="Heading1"/>
      </w:pPr>
      <w:bookmarkStart w:id="28" w:name="_Toc445369887"/>
      <w:bookmarkStart w:id="29" w:name="_Toc445371530"/>
      <w:bookmarkStart w:id="30" w:name="_Toc445372445"/>
      <w:bookmarkStart w:id="31" w:name="_Toc445382885"/>
      <w:bookmarkStart w:id="32" w:name="_Toc445452325"/>
      <w:r w:rsidRPr="00D04E80">
        <w:t>DP&amp;L’s request for a waiver of Rule 4901:1-36-04, OAC, should be denied because DP&amp;L has not and cannot demonstrate good cause for a waiver of the rule.</w:t>
      </w:r>
      <w:bookmarkEnd w:id="28"/>
      <w:bookmarkEnd w:id="29"/>
      <w:bookmarkEnd w:id="30"/>
      <w:bookmarkEnd w:id="31"/>
      <w:bookmarkEnd w:id="32"/>
    </w:p>
    <w:p w:rsidR="00E9025D" w:rsidRPr="001647BD" w:rsidRDefault="005D1D55">
      <w:pPr>
        <w:pStyle w:val="ListParagraph"/>
        <w:spacing w:line="480" w:lineRule="auto"/>
        <w:ind w:left="0" w:firstLine="720"/>
        <w:rPr>
          <w:szCs w:val="24"/>
        </w:rPr>
      </w:pPr>
      <w:r w:rsidRPr="001647BD">
        <w:rPr>
          <w:szCs w:val="24"/>
        </w:rPr>
        <w:t>The Commission may waive the application of a rule</w:t>
      </w:r>
      <w:r w:rsidR="00010C56" w:rsidRPr="001647BD">
        <w:rPr>
          <w:szCs w:val="24"/>
        </w:rPr>
        <w:t xml:space="preserve"> related to the transmission rider</w:t>
      </w:r>
      <w:r w:rsidRPr="001647BD">
        <w:rPr>
          <w:szCs w:val="24"/>
        </w:rPr>
        <w:t xml:space="preserve"> if the rule is not mandated by statute for good cause.</w:t>
      </w:r>
      <w:r w:rsidR="00010C56" w:rsidRPr="001647BD">
        <w:rPr>
          <w:rStyle w:val="FootnoteReference"/>
          <w:szCs w:val="24"/>
        </w:rPr>
        <w:footnoteReference w:id="52"/>
      </w:r>
      <w:r w:rsidRPr="001647BD">
        <w:rPr>
          <w:szCs w:val="24"/>
        </w:rPr>
        <w:t xml:space="preserve">  </w:t>
      </w:r>
      <w:r w:rsidR="00E43379" w:rsidRPr="001647BD">
        <w:rPr>
          <w:szCs w:val="24"/>
        </w:rPr>
        <w:t>Because the</w:t>
      </w:r>
      <w:r w:rsidR="00583516" w:rsidRPr="001647BD">
        <w:rPr>
          <w:szCs w:val="24"/>
        </w:rPr>
        <w:t xml:space="preserve"> Commission has not defi</w:t>
      </w:r>
      <w:r w:rsidR="00E43379" w:rsidRPr="001647BD">
        <w:rPr>
          <w:szCs w:val="24"/>
        </w:rPr>
        <w:t xml:space="preserve">ned what constitutes </w:t>
      </w:r>
      <w:r w:rsidR="00BE5B93" w:rsidRPr="001647BD">
        <w:rPr>
          <w:szCs w:val="24"/>
        </w:rPr>
        <w:t>“</w:t>
      </w:r>
      <w:r w:rsidR="00E43379" w:rsidRPr="001647BD">
        <w:rPr>
          <w:szCs w:val="24"/>
        </w:rPr>
        <w:t>good cause,</w:t>
      </w:r>
      <w:r w:rsidR="00BE5B93" w:rsidRPr="001647BD">
        <w:rPr>
          <w:szCs w:val="24"/>
        </w:rPr>
        <w:t>”</w:t>
      </w:r>
      <w:r w:rsidR="00583516" w:rsidRPr="001647BD">
        <w:rPr>
          <w:szCs w:val="24"/>
        </w:rPr>
        <w:t xml:space="preserve"> the term should be defined by the ordinary and natural definition of the term.</w:t>
      </w:r>
      <w:r w:rsidR="009E32AB" w:rsidRPr="001647BD">
        <w:rPr>
          <w:rStyle w:val="FootnoteReference"/>
          <w:szCs w:val="24"/>
        </w:rPr>
        <w:footnoteReference w:id="53"/>
      </w:r>
      <w:r w:rsidR="00583516" w:rsidRPr="001647BD">
        <w:rPr>
          <w:szCs w:val="24"/>
        </w:rPr>
        <w:t xml:space="preserve">  </w:t>
      </w:r>
      <w:r w:rsidR="003F1B01" w:rsidRPr="001647BD">
        <w:rPr>
          <w:szCs w:val="24"/>
        </w:rPr>
        <w:t>Under</w:t>
      </w:r>
      <w:r w:rsidR="00936EA5" w:rsidRPr="001647BD">
        <w:rPr>
          <w:szCs w:val="24"/>
        </w:rPr>
        <w:t xml:space="preserve"> </w:t>
      </w:r>
      <w:r w:rsidR="00EF7EF6" w:rsidRPr="001647BD">
        <w:rPr>
          <w:szCs w:val="24"/>
        </w:rPr>
        <w:t>t</w:t>
      </w:r>
      <w:r w:rsidR="00936EA5" w:rsidRPr="001647BD">
        <w:rPr>
          <w:szCs w:val="24"/>
        </w:rPr>
        <w:t>he ordinary and natural d</w:t>
      </w:r>
      <w:r w:rsidR="00EF7EF6" w:rsidRPr="001647BD">
        <w:rPr>
          <w:szCs w:val="24"/>
        </w:rPr>
        <w:t>efinition of the phrase,</w:t>
      </w:r>
      <w:r w:rsidR="00936EA5" w:rsidRPr="001647BD">
        <w:rPr>
          <w:szCs w:val="24"/>
        </w:rPr>
        <w:t xml:space="preserve"> </w:t>
      </w:r>
      <w:r w:rsidR="00EF7EF6" w:rsidRPr="001647BD">
        <w:rPr>
          <w:szCs w:val="24"/>
        </w:rPr>
        <w:t>“good cause”</w:t>
      </w:r>
      <w:r w:rsidR="00936EA5" w:rsidRPr="001647BD">
        <w:rPr>
          <w:szCs w:val="24"/>
        </w:rPr>
        <w:t xml:space="preserve"> </w:t>
      </w:r>
      <w:r w:rsidR="00EF7EF6" w:rsidRPr="001647BD">
        <w:rPr>
          <w:szCs w:val="24"/>
        </w:rPr>
        <w:t>means a “</w:t>
      </w:r>
      <w:r w:rsidR="00936EA5" w:rsidRPr="001647BD">
        <w:rPr>
          <w:szCs w:val="24"/>
        </w:rPr>
        <w:t xml:space="preserve">[s]ubstantial reason, one that </w:t>
      </w:r>
      <w:r w:rsidR="00EF7EF6" w:rsidRPr="001647BD">
        <w:rPr>
          <w:szCs w:val="24"/>
        </w:rPr>
        <w:t>affords legal excuse.”</w:t>
      </w:r>
      <w:r w:rsidR="00800994" w:rsidRPr="001647BD">
        <w:rPr>
          <w:rStyle w:val="FootnoteReference"/>
          <w:szCs w:val="24"/>
        </w:rPr>
        <w:footnoteReference w:id="54"/>
      </w:r>
      <w:r w:rsidR="00583516" w:rsidRPr="001647BD">
        <w:rPr>
          <w:szCs w:val="24"/>
        </w:rPr>
        <w:t xml:space="preserve">  </w:t>
      </w:r>
      <w:r w:rsidR="001E727B" w:rsidRPr="001647BD">
        <w:rPr>
          <w:szCs w:val="24"/>
        </w:rPr>
        <w:t>Although</w:t>
      </w:r>
      <w:r w:rsidR="00E90B60" w:rsidRPr="001647BD">
        <w:rPr>
          <w:szCs w:val="24"/>
        </w:rPr>
        <w:t xml:space="preserve"> DP&amp;L seeks a waiver of </w:t>
      </w:r>
      <w:r w:rsidR="00CF6BFB" w:rsidRPr="001647BD">
        <w:rPr>
          <w:szCs w:val="24"/>
        </w:rPr>
        <w:t>Rule 4901:1-36-04, OA</w:t>
      </w:r>
      <w:r w:rsidR="001E727B" w:rsidRPr="001647BD">
        <w:rPr>
          <w:szCs w:val="24"/>
        </w:rPr>
        <w:t>C</w:t>
      </w:r>
      <w:r w:rsidR="00E90B60" w:rsidRPr="001647BD">
        <w:rPr>
          <w:szCs w:val="24"/>
        </w:rPr>
        <w:t xml:space="preserve">, it offers no </w:t>
      </w:r>
      <w:r w:rsidR="003F1B01" w:rsidRPr="001647BD">
        <w:rPr>
          <w:szCs w:val="24"/>
        </w:rPr>
        <w:t>substantial reason</w:t>
      </w:r>
      <w:r w:rsidR="00E90B60" w:rsidRPr="001647BD">
        <w:rPr>
          <w:szCs w:val="24"/>
        </w:rPr>
        <w:t xml:space="preserve"> for granting the waiver.  </w:t>
      </w:r>
    </w:p>
    <w:p w:rsidR="002A469B" w:rsidRDefault="003F1B01">
      <w:pPr>
        <w:pStyle w:val="ListParagraph"/>
        <w:spacing w:line="480" w:lineRule="auto"/>
        <w:ind w:left="0" w:firstLine="720"/>
        <w:rPr>
          <w:szCs w:val="24"/>
        </w:rPr>
      </w:pPr>
      <w:r w:rsidRPr="001647BD">
        <w:rPr>
          <w:szCs w:val="24"/>
        </w:rPr>
        <w:t>T</w:t>
      </w:r>
      <w:r w:rsidR="0072633C" w:rsidRPr="001647BD">
        <w:rPr>
          <w:szCs w:val="24"/>
        </w:rPr>
        <w:t>he Application states only that the Commission has previously authorized the TCRR-N and that DP&amp;L intends to continue the TCRR-N during its next ESP.</w:t>
      </w:r>
      <w:r w:rsidR="0072633C" w:rsidRPr="001647BD">
        <w:rPr>
          <w:rStyle w:val="FootnoteReference"/>
          <w:szCs w:val="24"/>
        </w:rPr>
        <w:footnoteReference w:id="55"/>
      </w:r>
      <w:r w:rsidR="0072633C" w:rsidRPr="001647BD">
        <w:rPr>
          <w:szCs w:val="24"/>
        </w:rPr>
        <w:t xml:space="preserve">  That statement falls short of any explanation as to a cause, good or otherwise, for granting </w:t>
      </w:r>
      <w:r w:rsidR="00A557B7" w:rsidRPr="001647BD">
        <w:rPr>
          <w:szCs w:val="24"/>
        </w:rPr>
        <w:t>a</w:t>
      </w:r>
      <w:r w:rsidR="0072633C" w:rsidRPr="001647BD">
        <w:rPr>
          <w:szCs w:val="24"/>
        </w:rPr>
        <w:t xml:space="preserve"> waiver</w:t>
      </w:r>
      <w:r w:rsidR="00792A60" w:rsidRPr="001647BD">
        <w:rPr>
          <w:szCs w:val="24"/>
        </w:rPr>
        <w:t xml:space="preserve"> </w:t>
      </w:r>
      <w:r w:rsidR="00246D21" w:rsidRPr="001647BD">
        <w:rPr>
          <w:szCs w:val="24"/>
        </w:rPr>
        <w:t>of</w:t>
      </w:r>
      <w:r w:rsidR="00792A60" w:rsidRPr="001647BD">
        <w:rPr>
          <w:szCs w:val="24"/>
        </w:rPr>
        <w:t xml:space="preserve"> the Commission’s requirement that the transmission rider be bypassable</w:t>
      </w:r>
      <w:r w:rsidR="00BB0FCE">
        <w:rPr>
          <w:szCs w:val="24"/>
        </w:rPr>
        <w:t>, particularly because the current rider is unlawful, as discussed above</w:t>
      </w:r>
      <w:r w:rsidR="0072633C" w:rsidRPr="001647BD">
        <w:rPr>
          <w:szCs w:val="24"/>
        </w:rPr>
        <w:t>.</w:t>
      </w:r>
      <w:r w:rsidR="0072633C" w:rsidRPr="00D04E80">
        <w:rPr>
          <w:szCs w:val="24"/>
        </w:rPr>
        <w:t xml:space="preserve">  </w:t>
      </w:r>
    </w:p>
    <w:p w:rsidR="00A810C0" w:rsidRDefault="00673011" w:rsidP="005D6FC2">
      <w:pPr>
        <w:pStyle w:val="ListParagraph"/>
        <w:spacing w:after="120" w:line="480" w:lineRule="auto"/>
        <w:ind w:left="0" w:firstLine="720"/>
        <w:rPr>
          <w:szCs w:val="24"/>
        </w:rPr>
      </w:pPr>
      <w:r>
        <w:rPr>
          <w:szCs w:val="24"/>
        </w:rPr>
        <w:t xml:space="preserve">Moreover, </w:t>
      </w:r>
      <w:r w:rsidR="00D86EDC">
        <w:rPr>
          <w:szCs w:val="24"/>
        </w:rPr>
        <w:t xml:space="preserve">the grant of a waiver and subsequent </w:t>
      </w:r>
      <w:r w:rsidR="00F70877">
        <w:rPr>
          <w:szCs w:val="24"/>
        </w:rPr>
        <w:t xml:space="preserve">authorization of the DP&amp;L nonbypassable rider and related provisions will </w:t>
      </w:r>
      <w:r w:rsidR="005154B8">
        <w:rPr>
          <w:szCs w:val="24"/>
        </w:rPr>
        <w:t>continue</w:t>
      </w:r>
      <w:r w:rsidR="00E6694A">
        <w:rPr>
          <w:szCs w:val="24"/>
        </w:rPr>
        <w:t xml:space="preserve"> transmission provisions </w:t>
      </w:r>
      <w:r w:rsidR="005154B8">
        <w:rPr>
          <w:szCs w:val="24"/>
        </w:rPr>
        <w:t>that are inferior</w:t>
      </w:r>
      <w:r w:rsidR="00E6694A">
        <w:rPr>
          <w:szCs w:val="24"/>
        </w:rPr>
        <w:t xml:space="preserve"> to the PJM OATT. </w:t>
      </w:r>
      <w:r w:rsidR="00A425DE" w:rsidRPr="00D04E80">
        <w:rPr>
          <w:szCs w:val="24"/>
        </w:rPr>
        <w:t xml:space="preserve"> </w:t>
      </w:r>
      <w:r w:rsidR="0028280F">
        <w:rPr>
          <w:szCs w:val="24"/>
        </w:rPr>
        <w:t>As noted above, g</w:t>
      </w:r>
      <w:r w:rsidR="00E6694A" w:rsidRPr="00D04E80">
        <w:rPr>
          <w:szCs w:val="24"/>
        </w:rPr>
        <w:t>ranting</w:t>
      </w:r>
      <w:r w:rsidR="00A425DE" w:rsidRPr="00D04E80">
        <w:rPr>
          <w:szCs w:val="24"/>
        </w:rPr>
        <w:t xml:space="preserve"> DP&amp;L’s request </w:t>
      </w:r>
      <w:r w:rsidR="0028280F">
        <w:rPr>
          <w:szCs w:val="24"/>
        </w:rPr>
        <w:t xml:space="preserve">will </w:t>
      </w:r>
      <w:r w:rsidR="00246D21">
        <w:rPr>
          <w:szCs w:val="24"/>
        </w:rPr>
        <w:t xml:space="preserve">improperly </w:t>
      </w:r>
      <w:r w:rsidR="00246D21">
        <w:rPr>
          <w:szCs w:val="24"/>
        </w:rPr>
        <w:lastRenderedPageBreak/>
        <w:t>shift</w:t>
      </w:r>
      <w:r w:rsidR="00E6694A">
        <w:rPr>
          <w:szCs w:val="24"/>
        </w:rPr>
        <w:t xml:space="preserve"> costs</w:t>
      </w:r>
      <w:r w:rsidR="00A425DE" w:rsidRPr="00D04E80">
        <w:rPr>
          <w:szCs w:val="24"/>
        </w:rPr>
        <w:t xml:space="preserve">.  </w:t>
      </w:r>
      <w:r w:rsidR="00763B84">
        <w:rPr>
          <w:szCs w:val="24"/>
        </w:rPr>
        <w:t xml:space="preserve">In addition to the rate impacts effected by the TCRR-N and related provisions, the </w:t>
      </w:r>
      <w:r w:rsidR="00250797">
        <w:rPr>
          <w:szCs w:val="24"/>
        </w:rPr>
        <w:t>transmission provisions sought by DP&amp;L also eliminate or obscure</w:t>
      </w:r>
      <w:r w:rsidR="00763B84">
        <w:rPr>
          <w:szCs w:val="24"/>
        </w:rPr>
        <w:t xml:space="preserve"> the ability of IEU-</w:t>
      </w:r>
      <w:r w:rsidR="00B55E7F">
        <w:rPr>
          <w:szCs w:val="24"/>
        </w:rPr>
        <w:t xml:space="preserve">Ohio </w:t>
      </w:r>
      <w:r w:rsidR="00763B84">
        <w:rPr>
          <w:szCs w:val="24"/>
        </w:rPr>
        <w:t>members and other customers to apply their demand response capabilities.  Under the TCRR-N, customers with the ability to lower their demands at times of the system peak have no incentive to do so since they will be billed based on their</w:t>
      </w:r>
      <w:r w:rsidR="00250797">
        <w:rPr>
          <w:szCs w:val="24"/>
        </w:rPr>
        <w:t xml:space="preserve"> monthly “billing demand.</w:t>
      </w:r>
      <w:r w:rsidR="00763B84">
        <w:rPr>
          <w:szCs w:val="24"/>
        </w:rPr>
        <w:t xml:space="preserve">” </w:t>
      </w:r>
      <w:r w:rsidR="00250797">
        <w:rPr>
          <w:szCs w:val="24"/>
        </w:rPr>
        <w:t xml:space="preserve"> Because DP&amp;L’s proposed transmission tariff provisions disregard the </w:t>
      </w:r>
      <w:r w:rsidR="0097608B">
        <w:rPr>
          <w:szCs w:val="24"/>
        </w:rPr>
        <w:t>opportunities customers may have to apply their demand response capabilities, the</w:t>
      </w:r>
      <w:r w:rsidR="00763B84">
        <w:rPr>
          <w:szCs w:val="24"/>
        </w:rPr>
        <w:t xml:space="preserve"> TCRR-N </w:t>
      </w:r>
      <w:r w:rsidR="0097608B">
        <w:rPr>
          <w:szCs w:val="24"/>
        </w:rPr>
        <w:t>and related provisions will deprive</w:t>
      </w:r>
      <w:r w:rsidR="00763B84">
        <w:rPr>
          <w:szCs w:val="24"/>
        </w:rPr>
        <w:t xml:space="preserve"> IEU-Ohio members and all customers of the reliability and associated </w:t>
      </w:r>
      <w:r w:rsidR="00764ACB">
        <w:rPr>
          <w:szCs w:val="24"/>
        </w:rPr>
        <w:t xml:space="preserve">benefits </w:t>
      </w:r>
      <w:r w:rsidR="00764ACB">
        <w:rPr>
          <w:szCs w:val="24"/>
        </w:rPr>
        <w:t xml:space="preserve">of </w:t>
      </w:r>
      <w:bookmarkStart w:id="33" w:name="_GoBack"/>
      <w:bookmarkEnd w:id="33"/>
      <w:r w:rsidR="00763B84">
        <w:rPr>
          <w:szCs w:val="24"/>
        </w:rPr>
        <w:t xml:space="preserve">reduced transmission investment that can be achieved if bills for unbundled transmission service were determined by the FERC-approved 1CP billing determinant.  </w:t>
      </w:r>
    </w:p>
    <w:p w:rsidR="002036C9" w:rsidRDefault="00DA25E0" w:rsidP="005D6FC2">
      <w:pPr>
        <w:pStyle w:val="ListParagraph"/>
        <w:spacing w:after="120" w:line="480" w:lineRule="auto"/>
        <w:ind w:left="0" w:firstLine="720"/>
        <w:rPr>
          <w:szCs w:val="24"/>
        </w:rPr>
      </w:pPr>
      <w:r w:rsidRPr="00B350AE">
        <w:rPr>
          <w:szCs w:val="24"/>
        </w:rPr>
        <w:t>Because</w:t>
      </w:r>
      <w:r w:rsidR="00D34BCD" w:rsidRPr="00B350AE">
        <w:rPr>
          <w:szCs w:val="24"/>
        </w:rPr>
        <w:t xml:space="preserve"> </w:t>
      </w:r>
      <w:r w:rsidR="00402942" w:rsidRPr="00B350AE">
        <w:rPr>
          <w:szCs w:val="24"/>
        </w:rPr>
        <w:t>DP&amp;L</w:t>
      </w:r>
      <w:r w:rsidRPr="00B350AE">
        <w:rPr>
          <w:szCs w:val="24"/>
        </w:rPr>
        <w:t xml:space="preserve"> </w:t>
      </w:r>
      <w:r w:rsidR="00402942" w:rsidRPr="00B350AE">
        <w:rPr>
          <w:szCs w:val="24"/>
        </w:rPr>
        <w:t xml:space="preserve">has not </w:t>
      </w:r>
      <w:r w:rsidR="00F467EE">
        <w:rPr>
          <w:szCs w:val="24"/>
        </w:rPr>
        <w:t>alleged</w:t>
      </w:r>
      <w:r w:rsidRPr="00B350AE">
        <w:rPr>
          <w:szCs w:val="24"/>
        </w:rPr>
        <w:t xml:space="preserve"> a</w:t>
      </w:r>
      <w:r w:rsidR="00D34BCD" w:rsidRPr="00B350AE">
        <w:rPr>
          <w:szCs w:val="24"/>
        </w:rPr>
        <w:t xml:space="preserve"> substantial reason to grant the waiver and a waiver would continue the harms alread</w:t>
      </w:r>
      <w:r w:rsidR="00A810C0" w:rsidRPr="00B350AE">
        <w:rPr>
          <w:szCs w:val="24"/>
        </w:rPr>
        <w:t xml:space="preserve">y embedded in the current rider, DP&amp;L </w:t>
      </w:r>
      <w:r w:rsidR="00624A42" w:rsidRPr="00B350AE">
        <w:rPr>
          <w:szCs w:val="24"/>
        </w:rPr>
        <w:t xml:space="preserve">has not and </w:t>
      </w:r>
      <w:r w:rsidR="00A810C0" w:rsidRPr="00B350AE">
        <w:rPr>
          <w:szCs w:val="24"/>
        </w:rPr>
        <w:t xml:space="preserve">cannot demonstrate that </w:t>
      </w:r>
      <w:r w:rsidR="00624A42" w:rsidRPr="00B350AE">
        <w:rPr>
          <w:szCs w:val="24"/>
        </w:rPr>
        <w:t xml:space="preserve">good cause supports </w:t>
      </w:r>
      <w:r w:rsidR="00A810C0" w:rsidRPr="00B350AE">
        <w:rPr>
          <w:szCs w:val="24"/>
        </w:rPr>
        <w:t>a waiver of the requirement that the transmission rider be bypassable.</w:t>
      </w:r>
    </w:p>
    <w:p w:rsidR="0079611F" w:rsidRPr="0079611F" w:rsidRDefault="00BA415C" w:rsidP="00844AA1">
      <w:pPr>
        <w:pStyle w:val="Heading1"/>
      </w:pPr>
      <w:bookmarkStart w:id="34" w:name="_Toc445369888"/>
      <w:bookmarkStart w:id="35" w:name="_Toc445371531"/>
      <w:bookmarkStart w:id="36" w:name="_Toc445372446"/>
      <w:bookmarkStart w:id="37" w:name="_Toc445382886"/>
      <w:bookmarkStart w:id="38" w:name="_Toc445452326"/>
      <w:r>
        <w:t xml:space="preserve">The </w:t>
      </w:r>
      <w:bookmarkEnd w:id="34"/>
      <w:bookmarkEnd w:id="35"/>
      <w:bookmarkEnd w:id="36"/>
      <w:bookmarkEnd w:id="37"/>
      <w:bookmarkEnd w:id="38"/>
      <w:r w:rsidR="00A37095" w:rsidRPr="002D7989">
        <w:rPr>
          <w:noProof/>
        </w:rPr>
        <w:t xml:space="preserve">Commission should direct DP&amp;L to </w:t>
      </w:r>
      <w:r w:rsidR="00A37095">
        <w:rPr>
          <w:caps w:val="0"/>
          <w:noProof/>
        </w:rPr>
        <w:t xml:space="preserve">REVISE </w:t>
      </w:r>
      <w:r w:rsidR="00A37095">
        <w:rPr>
          <w:caps w:val="0"/>
          <w:noProof/>
        </w:rPr>
        <w:t>AND</w:t>
      </w:r>
      <w:r w:rsidR="00A37095">
        <w:rPr>
          <w:caps w:val="0"/>
          <w:noProof/>
        </w:rPr>
        <w:t xml:space="preserve"> FILE </w:t>
      </w:r>
      <w:r w:rsidR="00A37095" w:rsidRPr="002D7989">
        <w:rPr>
          <w:noProof/>
        </w:rPr>
        <w:t>amend</w:t>
      </w:r>
      <w:r w:rsidR="00A37095">
        <w:rPr>
          <w:caps w:val="0"/>
          <w:noProof/>
        </w:rPr>
        <w:t>ED</w:t>
      </w:r>
      <w:r w:rsidR="00A37095" w:rsidRPr="002D7989">
        <w:rPr>
          <w:noProof/>
        </w:rPr>
        <w:t xml:space="preserve"> Tariff Sheets that comply with federal and state law</w:t>
      </w:r>
    </w:p>
    <w:p w:rsidR="00A75993" w:rsidRPr="00D04E80" w:rsidRDefault="003F226E" w:rsidP="00CC0C23">
      <w:pPr>
        <w:pStyle w:val="ListParagraph"/>
        <w:spacing w:line="480" w:lineRule="auto"/>
        <w:ind w:left="0" w:firstLine="720"/>
        <w:rPr>
          <w:szCs w:val="24"/>
        </w:rPr>
      </w:pPr>
      <w:r w:rsidRPr="00B350AE">
        <w:rPr>
          <w:szCs w:val="24"/>
        </w:rPr>
        <w:t xml:space="preserve">As discussed above, </w:t>
      </w:r>
      <w:r w:rsidR="00283E39" w:rsidRPr="00B350AE">
        <w:rPr>
          <w:szCs w:val="24"/>
        </w:rPr>
        <w:t xml:space="preserve">the request for a waiver </w:t>
      </w:r>
      <w:r w:rsidR="009812B5">
        <w:rPr>
          <w:szCs w:val="24"/>
        </w:rPr>
        <w:t>of Rule 4901:1-36-04(B)</w:t>
      </w:r>
      <w:r w:rsidR="009812B5">
        <w:rPr>
          <w:szCs w:val="24"/>
        </w:rPr>
        <w:t xml:space="preserve">, OAC, </w:t>
      </w:r>
      <w:r w:rsidR="001B6354" w:rsidRPr="00B350AE">
        <w:rPr>
          <w:szCs w:val="24"/>
        </w:rPr>
        <w:t>se</w:t>
      </w:r>
      <w:r w:rsidR="00A15A2E">
        <w:rPr>
          <w:szCs w:val="24"/>
        </w:rPr>
        <w:t>eks an outcome that the Commission cannot lawfully authorize, and</w:t>
      </w:r>
      <w:r w:rsidR="009812B5">
        <w:rPr>
          <w:szCs w:val="24"/>
        </w:rPr>
        <w:t xml:space="preserve"> in any case</w:t>
      </w:r>
      <w:r w:rsidR="00A15A2E">
        <w:rPr>
          <w:szCs w:val="24"/>
        </w:rPr>
        <w:t xml:space="preserve"> DP&amp;L failed to provide grounds to support the waiver</w:t>
      </w:r>
      <w:r w:rsidR="00283E39" w:rsidRPr="00B350AE">
        <w:rPr>
          <w:szCs w:val="24"/>
        </w:rPr>
        <w:t>.</w:t>
      </w:r>
      <w:r w:rsidR="00283E39">
        <w:rPr>
          <w:szCs w:val="24"/>
        </w:rPr>
        <w:t xml:space="preserve">  </w:t>
      </w:r>
      <w:r w:rsidR="0079611F">
        <w:rPr>
          <w:szCs w:val="24"/>
        </w:rPr>
        <w:t xml:space="preserve">Accordingly, the Commission should deny </w:t>
      </w:r>
      <w:r w:rsidR="00283E39">
        <w:rPr>
          <w:szCs w:val="24"/>
        </w:rPr>
        <w:t xml:space="preserve">DP&amp;L’s </w:t>
      </w:r>
      <w:r w:rsidR="0079611F">
        <w:rPr>
          <w:szCs w:val="24"/>
        </w:rPr>
        <w:t xml:space="preserve">request for </w:t>
      </w:r>
      <w:r w:rsidR="00283E39">
        <w:rPr>
          <w:szCs w:val="24"/>
        </w:rPr>
        <w:t xml:space="preserve">a </w:t>
      </w:r>
      <w:r w:rsidR="0079611F">
        <w:rPr>
          <w:szCs w:val="24"/>
        </w:rPr>
        <w:t>waiver</w:t>
      </w:r>
      <w:r w:rsidR="009812B5">
        <w:rPr>
          <w:szCs w:val="24"/>
        </w:rPr>
        <w:t xml:space="preserve"> of the requirement that the transmission rider be bypassable</w:t>
      </w:r>
      <w:r w:rsidR="00F3286D">
        <w:rPr>
          <w:szCs w:val="24"/>
        </w:rPr>
        <w:t>.</w:t>
      </w:r>
      <w:r w:rsidR="00CC0C23">
        <w:rPr>
          <w:szCs w:val="24"/>
        </w:rPr>
        <w:t xml:space="preserve">  </w:t>
      </w:r>
      <w:r w:rsidR="00E15AEE">
        <w:rPr>
          <w:szCs w:val="24"/>
        </w:rPr>
        <w:t xml:space="preserve">Once the Commission finds that request for waiver should be denied, </w:t>
      </w:r>
      <w:r w:rsidR="003A7FB8">
        <w:rPr>
          <w:szCs w:val="24"/>
        </w:rPr>
        <w:t xml:space="preserve">the Commission </w:t>
      </w:r>
      <w:r w:rsidR="00CC0C23">
        <w:rPr>
          <w:szCs w:val="24"/>
        </w:rPr>
        <w:t xml:space="preserve">also </w:t>
      </w:r>
      <w:r w:rsidR="003A7FB8">
        <w:rPr>
          <w:szCs w:val="24"/>
        </w:rPr>
        <w:t xml:space="preserve">should </w:t>
      </w:r>
      <w:r w:rsidR="00601D9D">
        <w:rPr>
          <w:color w:val="000000"/>
          <w:szCs w:val="24"/>
        </w:rPr>
        <w:t xml:space="preserve">order DP&amp;L to file proposed transmission tariff sheets that </w:t>
      </w:r>
      <w:r w:rsidR="009E080A">
        <w:rPr>
          <w:color w:val="000000"/>
          <w:szCs w:val="24"/>
        </w:rPr>
        <w:lastRenderedPageBreak/>
        <w:t xml:space="preserve">provide for a bypassable transmission </w:t>
      </w:r>
      <w:r w:rsidR="000704E3">
        <w:rPr>
          <w:color w:val="000000"/>
          <w:szCs w:val="24"/>
        </w:rPr>
        <w:t>rider</w:t>
      </w:r>
      <w:r w:rsidR="009E080A">
        <w:rPr>
          <w:color w:val="000000"/>
          <w:szCs w:val="24"/>
        </w:rPr>
        <w:t xml:space="preserve"> and </w:t>
      </w:r>
      <w:r w:rsidR="004113FD">
        <w:rPr>
          <w:color w:val="000000"/>
          <w:szCs w:val="24"/>
        </w:rPr>
        <w:t>that</w:t>
      </w:r>
      <w:r w:rsidR="009E080A">
        <w:rPr>
          <w:color w:val="000000"/>
          <w:szCs w:val="24"/>
        </w:rPr>
        <w:t xml:space="preserve"> </w:t>
      </w:r>
      <w:r w:rsidR="004113FD">
        <w:rPr>
          <w:color w:val="000000"/>
          <w:szCs w:val="24"/>
        </w:rPr>
        <w:t>do not include</w:t>
      </w:r>
      <w:r w:rsidR="009E080A">
        <w:rPr>
          <w:color w:val="000000"/>
          <w:szCs w:val="24"/>
        </w:rPr>
        <w:t xml:space="preserve"> terms and conditions that permit DP&amp;L to bill and collect for transmission services </w:t>
      </w:r>
      <w:r w:rsidR="008C7601">
        <w:rPr>
          <w:color w:val="000000"/>
          <w:szCs w:val="24"/>
        </w:rPr>
        <w:t>in a manner that conflicts with the provisions of the PJM OATT</w:t>
      </w:r>
      <w:r w:rsidR="00601D9D">
        <w:rPr>
          <w:color w:val="000000"/>
          <w:szCs w:val="24"/>
        </w:rPr>
        <w:t>.</w:t>
      </w:r>
    </w:p>
    <w:p w:rsidR="00DC6D1A" w:rsidRDefault="00A74B24" w:rsidP="00DC6D1A">
      <w:pPr>
        <w:tabs>
          <w:tab w:val="left" w:pos="4320"/>
          <w:tab w:val="right" w:pos="8640"/>
        </w:tabs>
      </w:pPr>
      <w:r>
        <w:tab/>
      </w:r>
      <w:r w:rsidR="00DC6D1A">
        <w:t>Respectfully submitted,</w:t>
      </w:r>
    </w:p>
    <w:p w:rsidR="00DC6D1A" w:rsidRDefault="00DC6D1A" w:rsidP="00DC6D1A">
      <w:pPr>
        <w:tabs>
          <w:tab w:val="left" w:pos="4320"/>
          <w:tab w:val="right" w:pos="8640"/>
        </w:tabs>
      </w:pPr>
    </w:p>
    <w:p w:rsidR="00DC6D1A" w:rsidRDefault="00DC6D1A" w:rsidP="00DC6D1A">
      <w:pPr>
        <w:tabs>
          <w:tab w:val="left" w:pos="4320"/>
          <w:tab w:val="right" w:pos="8640"/>
        </w:tabs>
      </w:pPr>
    </w:p>
    <w:p w:rsidR="00DC6D1A" w:rsidRPr="00D70E8C" w:rsidRDefault="00DC6D1A" w:rsidP="00DC6D1A">
      <w:pPr>
        <w:tabs>
          <w:tab w:val="left" w:pos="4320"/>
          <w:tab w:val="right" w:pos="8640"/>
        </w:tabs>
        <w:rPr>
          <w:i/>
          <w:u w:val="single"/>
        </w:rPr>
      </w:pPr>
      <w:r w:rsidRPr="00D70E8C">
        <w:rPr>
          <w:i/>
        </w:rPr>
        <w:tab/>
      </w:r>
      <w:r>
        <w:rPr>
          <w:i/>
          <w:u w:val="single"/>
        </w:rPr>
        <w:t>/s/ Frank P. Darr</w:t>
      </w:r>
      <w:r w:rsidRPr="00D70E8C">
        <w:rPr>
          <w:i/>
          <w:u w:val="single"/>
        </w:rPr>
        <w:tab/>
      </w:r>
    </w:p>
    <w:p w:rsidR="00DC6D1A" w:rsidRDefault="00DC6D1A" w:rsidP="00DC6D1A">
      <w:pPr>
        <w:widowControl w:val="0"/>
        <w:tabs>
          <w:tab w:val="left" w:pos="4320"/>
        </w:tabs>
        <w:ind w:left="4320"/>
        <w:rPr>
          <w:rFonts w:eastAsia="Calibri"/>
        </w:rPr>
      </w:pPr>
      <w:r>
        <w:rPr>
          <w:rFonts w:eastAsia="Calibri"/>
          <w:bCs/>
        </w:rPr>
        <w:t>Frank P. Darr (Reg. No. 0025469)</w:t>
      </w:r>
      <w:r>
        <w:rPr>
          <w:rFonts w:eastAsia="Calibri"/>
        </w:rPr>
        <w:t xml:space="preserve"> </w:t>
      </w:r>
    </w:p>
    <w:p w:rsidR="00DC6D1A" w:rsidRDefault="00DC6D1A" w:rsidP="00DC6D1A">
      <w:pPr>
        <w:widowControl w:val="0"/>
        <w:tabs>
          <w:tab w:val="left" w:pos="4320"/>
        </w:tabs>
        <w:ind w:left="4320"/>
        <w:rPr>
          <w:rFonts w:eastAsia="Calibri"/>
          <w:bCs/>
        </w:rPr>
      </w:pPr>
      <w:r>
        <w:rPr>
          <w:rFonts w:eastAsia="Calibri"/>
        </w:rPr>
        <w:t>(Counsel of Record)</w:t>
      </w:r>
    </w:p>
    <w:p w:rsidR="00DC6D1A" w:rsidRDefault="00DC6D1A" w:rsidP="00DC6D1A">
      <w:pPr>
        <w:widowControl w:val="0"/>
        <w:tabs>
          <w:tab w:val="left" w:pos="4320"/>
        </w:tabs>
        <w:ind w:left="4320"/>
        <w:rPr>
          <w:rFonts w:eastAsia="Calibri"/>
          <w:b/>
          <w:bCs/>
        </w:rPr>
      </w:pPr>
      <w:r>
        <w:rPr>
          <w:rFonts w:eastAsia="Calibri"/>
          <w:bCs/>
        </w:rPr>
        <w:t>Matthew R. Pritchard (Reg. No. 0088070)</w:t>
      </w:r>
    </w:p>
    <w:p w:rsidR="00DC6D1A" w:rsidRDefault="00DC6D1A" w:rsidP="00DC6D1A">
      <w:pPr>
        <w:widowControl w:val="0"/>
        <w:tabs>
          <w:tab w:val="left" w:pos="4320"/>
        </w:tabs>
        <w:ind w:left="4320"/>
        <w:rPr>
          <w:rFonts w:eastAsia="Calibri"/>
          <w:b/>
          <w:bCs/>
          <w:smallCaps/>
        </w:rPr>
      </w:pPr>
      <w:r>
        <w:rPr>
          <w:rFonts w:eastAsia="Calibri"/>
          <w:bCs/>
          <w:smallCaps/>
        </w:rPr>
        <w:t>McNees Wallace &amp; Nurick LLC</w:t>
      </w:r>
    </w:p>
    <w:p w:rsidR="00DC6D1A" w:rsidRDefault="00DC6D1A" w:rsidP="00DC6D1A">
      <w:pPr>
        <w:widowControl w:val="0"/>
        <w:tabs>
          <w:tab w:val="left" w:pos="4320"/>
        </w:tabs>
        <w:ind w:left="4320"/>
        <w:rPr>
          <w:rFonts w:eastAsia="Calibri"/>
          <w:b/>
          <w:bCs/>
        </w:rPr>
      </w:pPr>
      <w:r>
        <w:rPr>
          <w:rFonts w:eastAsia="Calibri"/>
          <w:bCs/>
        </w:rPr>
        <w:t>21 East State Street, 17</w:t>
      </w:r>
      <w:r>
        <w:rPr>
          <w:rFonts w:eastAsia="Calibri"/>
          <w:bCs/>
          <w:vertAlign w:val="superscript"/>
        </w:rPr>
        <w:t>TH</w:t>
      </w:r>
      <w:r>
        <w:rPr>
          <w:rFonts w:eastAsia="Calibri"/>
          <w:bCs/>
        </w:rPr>
        <w:t xml:space="preserve"> Floor</w:t>
      </w:r>
    </w:p>
    <w:p w:rsid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rPr>
      </w:pPr>
      <w:r>
        <w:rPr>
          <w:rFonts w:eastAsia="Calibri"/>
        </w:rPr>
        <w:t>Columbus, OH  43215</w:t>
      </w:r>
    </w:p>
    <w:p w:rsid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rPr>
      </w:pPr>
      <w:r>
        <w:rPr>
          <w:rFonts w:eastAsia="Calibri"/>
        </w:rPr>
        <w:t>Telephone:  (614) 469-8000</w:t>
      </w:r>
    </w:p>
    <w:p w:rsidR="00DC6D1A" w:rsidRDefault="00DC6D1A" w:rsidP="00DC6D1A">
      <w:pPr>
        <w:tabs>
          <w:tab w:val="left" w:pos="-1440"/>
          <w:tab w:val="left" w:pos="-720"/>
          <w:tab w:val="left" w:pos="4320"/>
          <w:tab w:val="left" w:pos="5040"/>
          <w:tab w:val="center" w:pos="7200"/>
        </w:tabs>
        <w:overflowPunct w:val="0"/>
        <w:autoSpaceDE w:val="0"/>
        <w:autoSpaceDN w:val="0"/>
        <w:adjustRightInd w:val="0"/>
        <w:ind w:left="4320"/>
        <w:rPr>
          <w:rFonts w:eastAsia="Calibri"/>
        </w:rPr>
      </w:pPr>
      <w:r>
        <w:rPr>
          <w:rFonts w:eastAsia="Calibri"/>
        </w:rPr>
        <w:t>Telecopier:  (614) 469-4653</w:t>
      </w:r>
    </w:p>
    <w:p w:rsid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rPr>
      </w:pPr>
      <w:r>
        <w:rPr>
          <w:rFonts w:eastAsia="Calibri"/>
        </w:rPr>
        <w:t>fdarr@mwncmh.com</w:t>
      </w:r>
    </w:p>
    <w:p w:rsid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rPr>
      </w:pPr>
      <w:r>
        <w:rPr>
          <w:rFonts w:eastAsia="Calibri"/>
          <w:color w:val="000000"/>
        </w:rPr>
        <w:t>(willing to accept service by e-mail)</w:t>
      </w:r>
    </w:p>
    <w:p w:rsid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smallCaps/>
          <w:color w:val="000000"/>
        </w:rPr>
      </w:pPr>
      <w:r>
        <w:rPr>
          <w:rFonts w:eastAsia="Calibri"/>
          <w:color w:val="000000"/>
        </w:rPr>
        <w:t>mpritchard@mwncmh.com</w:t>
      </w:r>
    </w:p>
    <w:p w:rsid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color w:val="000000"/>
        </w:rPr>
      </w:pPr>
      <w:r>
        <w:rPr>
          <w:rFonts w:eastAsia="Calibri"/>
          <w:color w:val="000000"/>
        </w:rPr>
        <w:t>(willing to accept service by e-mail)</w:t>
      </w:r>
    </w:p>
    <w:p w:rsidR="00DC6D1A" w:rsidRDefault="00DC6D1A" w:rsidP="00DC6D1A">
      <w:pPr>
        <w:tabs>
          <w:tab w:val="left" w:pos="-1440"/>
          <w:tab w:val="left" w:pos="-720"/>
          <w:tab w:val="left" w:pos="5040"/>
          <w:tab w:val="center" w:pos="7200"/>
        </w:tabs>
        <w:overflowPunct w:val="0"/>
        <w:autoSpaceDE w:val="0"/>
        <w:autoSpaceDN w:val="0"/>
        <w:adjustRightInd w:val="0"/>
        <w:ind w:left="4320"/>
        <w:rPr>
          <w:rFonts w:eastAsia="Calibri"/>
          <w:b/>
          <w:smallCaps/>
        </w:rPr>
      </w:pPr>
    </w:p>
    <w:p w:rsidR="00DC6D1A" w:rsidRDefault="00DC6D1A" w:rsidP="00DC6D1A">
      <w:pPr>
        <w:ind w:left="4320" w:hanging="4320"/>
        <w:rPr>
          <w:sz w:val="28"/>
          <w:u w:val="single"/>
        </w:rPr>
      </w:pPr>
      <w:r>
        <w:rPr>
          <w:rFonts w:eastAsia="Calibri"/>
          <w:b/>
        </w:rPr>
        <w:tab/>
        <w:t>Attorneys for Industrial Energy Users-Ohio</w:t>
      </w:r>
    </w:p>
    <w:p w:rsidR="004B339B" w:rsidRDefault="004B339B" w:rsidP="00DC6D1A">
      <w:pPr>
        <w:tabs>
          <w:tab w:val="left" w:pos="4320"/>
          <w:tab w:val="right" w:pos="8640"/>
        </w:tabs>
        <w:jc w:val="center"/>
        <w:rPr>
          <w:rFonts w:eastAsia="Calibri"/>
          <w:color w:val="000000" w:themeColor="text1"/>
          <w:szCs w:val="24"/>
          <w:u w:val="single"/>
        </w:rPr>
        <w:sectPr w:rsidR="004B339B" w:rsidSect="0069247F">
          <w:pgSz w:w="12240" w:h="15840" w:code="1"/>
          <w:pgMar w:top="1440" w:right="1440" w:bottom="1440" w:left="1440" w:header="720" w:footer="720" w:gutter="0"/>
          <w:pgNumType w:start="1"/>
          <w:cols w:space="720"/>
          <w:titlePg/>
          <w:docGrid w:linePitch="360"/>
        </w:sectPr>
      </w:pPr>
    </w:p>
    <w:p w:rsidR="004B339B" w:rsidRDefault="004B339B" w:rsidP="004B339B">
      <w:pPr>
        <w:tabs>
          <w:tab w:val="left" w:pos="2160"/>
          <w:tab w:val="left" w:pos="2280"/>
        </w:tabs>
        <w:jc w:val="center"/>
        <w:rPr>
          <w:rFonts w:ascii="Arial Bold" w:hAnsi="Arial Bold"/>
          <w:b/>
          <w:smallCaps/>
          <w:sz w:val="28"/>
          <w:u w:val="single"/>
        </w:rPr>
      </w:pPr>
      <w:r>
        <w:rPr>
          <w:rFonts w:ascii="Arial Bold" w:hAnsi="Arial Bold"/>
          <w:b/>
          <w:smallCaps/>
          <w:sz w:val="28"/>
          <w:u w:val="single"/>
        </w:rPr>
        <w:lastRenderedPageBreak/>
        <w:t>Certificate of Service</w:t>
      </w:r>
    </w:p>
    <w:p w:rsidR="004B339B" w:rsidRDefault="004B339B" w:rsidP="004B339B"/>
    <w:p w:rsidR="004B339B" w:rsidRPr="00E66B49" w:rsidRDefault="004B339B" w:rsidP="004B339B">
      <w:pPr>
        <w:pStyle w:val="BodyText"/>
        <w:spacing w:line="480" w:lineRule="auto"/>
        <w:ind w:firstLine="720"/>
      </w:pPr>
      <w:r w:rsidRPr="00E66B49">
        <w:t>In accordance with Rule 4901-1-05, Ohio Ad</w:t>
      </w:r>
      <w:r>
        <w:t>ministrative Code, the PUCO's e</w:t>
      </w:r>
      <w:r>
        <w:noBreakHyphen/>
      </w:r>
      <w:r w:rsidRPr="00E66B49">
        <w:t xml:space="preserve">filing system will electronically serve notice of the filing of this document upon the following parties.  In addition, I hereby certify that a service copy of the foregoing </w:t>
      </w:r>
      <w:r w:rsidR="00F228FD" w:rsidRPr="005D6FC2">
        <w:rPr>
          <w:i/>
        </w:rPr>
        <w:t>Motion by Industrial Energy Users-Ohio</w:t>
      </w:r>
      <w:r w:rsidR="00F228FD">
        <w:t xml:space="preserve"> </w:t>
      </w:r>
      <w:r w:rsidRPr="00E66B49">
        <w:t xml:space="preserve">was sent by, or on behalf of, the undersigned counsel for IEU-Ohio to the following parties of record this </w:t>
      </w:r>
      <w:r w:rsidR="00733346">
        <w:t>11</w:t>
      </w:r>
      <w:r w:rsidR="00733346" w:rsidRPr="002D7989">
        <w:rPr>
          <w:vertAlign w:val="superscript"/>
        </w:rPr>
        <w:t>th</w:t>
      </w:r>
      <w:r w:rsidR="00733346">
        <w:t xml:space="preserve"> </w:t>
      </w:r>
      <w:r w:rsidRPr="00E66B49">
        <w:t xml:space="preserve">day of </w:t>
      </w:r>
      <w:r w:rsidR="00733346">
        <w:t xml:space="preserve">March </w:t>
      </w:r>
      <w:r>
        <w:t xml:space="preserve">2016, </w:t>
      </w:r>
      <w:r w:rsidRPr="00E66B49">
        <w:rPr>
          <w:i/>
        </w:rPr>
        <w:t>via</w:t>
      </w:r>
      <w:r w:rsidRPr="00E66B49">
        <w:t xml:space="preserve"> electronic transmission. </w:t>
      </w:r>
    </w:p>
    <w:p w:rsidR="004B339B" w:rsidRPr="00320E03" w:rsidRDefault="004B339B" w:rsidP="004B339B">
      <w:pPr>
        <w:tabs>
          <w:tab w:val="center" w:pos="7200"/>
          <w:tab w:val="right" w:pos="9360"/>
        </w:tabs>
        <w:ind w:left="5040"/>
        <w:rPr>
          <w:i/>
          <w:u w:val="single"/>
        </w:rPr>
      </w:pPr>
      <w:r w:rsidRPr="00320E03">
        <w:rPr>
          <w:i/>
          <w:u w:val="single"/>
        </w:rPr>
        <w:t xml:space="preserve">/s/ </w:t>
      </w:r>
      <w:r w:rsidR="009549FE">
        <w:rPr>
          <w:i/>
          <w:u w:val="single"/>
        </w:rPr>
        <w:t>Frank P. Darr</w:t>
      </w:r>
      <w:r w:rsidR="009549FE">
        <w:rPr>
          <w:i/>
          <w:u w:val="single"/>
        </w:rPr>
        <w:tab/>
      </w:r>
      <w:r w:rsidRPr="00320E03">
        <w:rPr>
          <w:i/>
          <w:u w:val="single"/>
        </w:rPr>
        <w:tab/>
      </w:r>
    </w:p>
    <w:p w:rsidR="004B339B" w:rsidRDefault="009549FE" w:rsidP="004B339B">
      <w:pPr>
        <w:tabs>
          <w:tab w:val="center" w:pos="7200"/>
          <w:tab w:val="right" w:pos="9360"/>
        </w:tabs>
        <w:ind w:left="5760"/>
      </w:pPr>
      <w:r>
        <w:t>Frank P. Darr</w:t>
      </w:r>
    </w:p>
    <w:p w:rsidR="006D2648" w:rsidRDefault="006D2648" w:rsidP="004B339B">
      <w:pPr>
        <w:sectPr w:rsidR="006D2648" w:rsidSect="002848F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rsidR="004B339B" w:rsidRDefault="004B339B" w:rsidP="004B339B"/>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Charles J. Faruki (Reg. No. 0010417)</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(Counsel of Record)</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D. Jeffrey Ireland (Reg. No. 0010443)</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Jeffrey S. Sharkey (Reg. No. 0067892)</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FARUKI IRELAND &amp; COX P.L.L.</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110 North Main Street, Suite 1600</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Dayton, OH 45402</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cfaruki@ficlaw.com</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djireland@ficlaw.com</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jsharkey@ficlaw.com</w:t>
      </w:r>
    </w:p>
    <w:p w:rsidR="004B339B" w:rsidRPr="00B911C9" w:rsidRDefault="004B339B" w:rsidP="004B339B">
      <w:pPr>
        <w:autoSpaceDE w:val="0"/>
        <w:autoSpaceDN w:val="0"/>
        <w:adjustRightInd w:val="0"/>
        <w:rPr>
          <w:color w:val="000000" w:themeColor="text1"/>
          <w:szCs w:val="24"/>
        </w:rPr>
      </w:pPr>
    </w:p>
    <w:p w:rsidR="004B339B" w:rsidRPr="00B911C9" w:rsidRDefault="004B339B" w:rsidP="004B339B">
      <w:pPr>
        <w:autoSpaceDE w:val="0"/>
        <w:autoSpaceDN w:val="0"/>
        <w:adjustRightInd w:val="0"/>
        <w:rPr>
          <w:b/>
          <w:smallCaps/>
          <w:color w:val="000000" w:themeColor="text1"/>
          <w:szCs w:val="24"/>
        </w:rPr>
      </w:pPr>
      <w:r w:rsidRPr="00B911C9">
        <w:rPr>
          <w:b/>
          <w:smallCaps/>
          <w:color w:val="000000" w:themeColor="text1"/>
          <w:szCs w:val="24"/>
        </w:rPr>
        <w:t>Counsel for The Dayton Power and</w:t>
      </w:r>
    </w:p>
    <w:p w:rsidR="004B339B" w:rsidRPr="00B911C9" w:rsidRDefault="004B339B" w:rsidP="004B339B">
      <w:pPr>
        <w:rPr>
          <w:b/>
          <w:smallCaps/>
          <w:color w:val="000000" w:themeColor="text1"/>
          <w:szCs w:val="24"/>
        </w:rPr>
      </w:pPr>
      <w:r w:rsidRPr="00B911C9">
        <w:rPr>
          <w:b/>
          <w:smallCaps/>
          <w:color w:val="000000" w:themeColor="text1"/>
          <w:szCs w:val="24"/>
        </w:rPr>
        <w:t>Light Company</w:t>
      </w:r>
    </w:p>
    <w:p w:rsidR="004B339B" w:rsidRPr="00B911C9" w:rsidRDefault="004B339B" w:rsidP="004B339B">
      <w:pPr>
        <w:rPr>
          <w:color w:val="000000" w:themeColor="text1"/>
          <w:szCs w:val="24"/>
        </w:rPr>
      </w:pP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Madeline Fleisher</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Environmental Law &amp; Policy Center</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21 West Broad St., Suite 500</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Columbus, OH 43215</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mfleisher@elpc.org</w:t>
      </w:r>
    </w:p>
    <w:p w:rsidR="004B339B" w:rsidRPr="00B911C9" w:rsidRDefault="004B339B" w:rsidP="004B339B">
      <w:pPr>
        <w:autoSpaceDE w:val="0"/>
        <w:autoSpaceDN w:val="0"/>
        <w:adjustRightInd w:val="0"/>
        <w:rPr>
          <w:iCs/>
          <w:color w:val="000000" w:themeColor="text1"/>
          <w:szCs w:val="24"/>
        </w:rPr>
      </w:pPr>
    </w:p>
    <w:p w:rsidR="004B339B" w:rsidRPr="00B911C9" w:rsidRDefault="004B339B" w:rsidP="00B911C9">
      <w:pPr>
        <w:autoSpaceDE w:val="0"/>
        <w:autoSpaceDN w:val="0"/>
        <w:adjustRightInd w:val="0"/>
        <w:rPr>
          <w:b/>
          <w:iCs/>
          <w:smallCaps/>
          <w:color w:val="000000" w:themeColor="text1"/>
          <w:szCs w:val="24"/>
        </w:rPr>
      </w:pPr>
      <w:r w:rsidRPr="00B911C9">
        <w:rPr>
          <w:b/>
          <w:iCs/>
          <w:smallCaps/>
          <w:color w:val="000000" w:themeColor="text1"/>
          <w:szCs w:val="24"/>
        </w:rPr>
        <w:t>Counsel for the Environmental Law &amp;</w:t>
      </w:r>
      <w:r w:rsidR="00B911C9">
        <w:rPr>
          <w:b/>
          <w:iCs/>
          <w:smallCaps/>
          <w:color w:val="000000" w:themeColor="text1"/>
          <w:szCs w:val="24"/>
        </w:rPr>
        <w:t xml:space="preserve"> </w:t>
      </w:r>
      <w:r w:rsidRPr="00B911C9">
        <w:rPr>
          <w:b/>
          <w:iCs/>
          <w:smallCaps/>
          <w:color w:val="000000" w:themeColor="text1"/>
          <w:szCs w:val="24"/>
        </w:rPr>
        <w:t>Policy Center</w:t>
      </w:r>
    </w:p>
    <w:p w:rsidR="004B339B" w:rsidRPr="00B911C9" w:rsidRDefault="004B339B" w:rsidP="004B339B">
      <w:pPr>
        <w:rPr>
          <w:color w:val="000000" w:themeColor="text1"/>
          <w:szCs w:val="24"/>
        </w:rPr>
      </w:pPr>
    </w:p>
    <w:p w:rsidR="006D2648" w:rsidRDefault="006D2648" w:rsidP="004B339B">
      <w:pPr>
        <w:autoSpaceDE w:val="0"/>
        <w:autoSpaceDN w:val="0"/>
        <w:adjustRightInd w:val="0"/>
        <w:rPr>
          <w:color w:val="000000" w:themeColor="text1"/>
          <w:szCs w:val="24"/>
        </w:rPr>
      </w:pPr>
      <w:r>
        <w:rPr>
          <w:color w:val="000000" w:themeColor="text1"/>
          <w:szCs w:val="24"/>
        </w:rPr>
        <w:br w:type="column"/>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Jeffrey W. Mayes</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General Counsel</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Monitoring Analytics, LLC</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2621 Van Buren Avenue, Suite 160</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Valley Forge Corporate Center</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Eagleville, PA  19403</w:t>
      </w:r>
    </w:p>
    <w:p w:rsidR="004B339B" w:rsidRPr="00B911C9" w:rsidRDefault="00DD35B1" w:rsidP="004B339B">
      <w:pPr>
        <w:rPr>
          <w:iCs/>
          <w:color w:val="000000" w:themeColor="text1"/>
          <w:szCs w:val="24"/>
        </w:rPr>
      </w:pPr>
      <w:hyperlink r:id="rId20" w:history="1">
        <w:r w:rsidR="004B339B" w:rsidRPr="00B911C9">
          <w:rPr>
            <w:rStyle w:val="Hyperlink"/>
            <w:iCs/>
            <w:color w:val="000000" w:themeColor="text1"/>
            <w:szCs w:val="24"/>
          </w:rPr>
          <w:t>jeffrey.mayes@monitoringanalytics.com</w:t>
        </w:r>
      </w:hyperlink>
    </w:p>
    <w:p w:rsidR="004B339B" w:rsidRPr="00B911C9" w:rsidRDefault="004B339B" w:rsidP="004B339B">
      <w:pPr>
        <w:rPr>
          <w:iCs/>
          <w:color w:val="000000" w:themeColor="text1"/>
          <w:szCs w:val="24"/>
        </w:rPr>
      </w:pP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Evelyn R. Robinson (#0022836)</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PJM Interconnection, L.L.C.</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2750 Monroe Boulevard</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Audubon, PA 19403</w:t>
      </w:r>
    </w:p>
    <w:p w:rsidR="004B339B" w:rsidRPr="00B911C9" w:rsidRDefault="00DD35B1" w:rsidP="004B339B">
      <w:pPr>
        <w:rPr>
          <w:iCs/>
          <w:color w:val="000000" w:themeColor="text1"/>
          <w:szCs w:val="24"/>
        </w:rPr>
      </w:pPr>
      <w:hyperlink r:id="rId21" w:history="1">
        <w:r w:rsidR="004B339B" w:rsidRPr="00B911C9">
          <w:rPr>
            <w:rStyle w:val="Hyperlink"/>
            <w:iCs/>
            <w:color w:val="000000" w:themeColor="text1"/>
            <w:szCs w:val="24"/>
          </w:rPr>
          <w:t>evelyn.robinson@pjm.com</w:t>
        </w:r>
      </w:hyperlink>
    </w:p>
    <w:p w:rsidR="004B339B" w:rsidRPr="00B911C9" w:rsidRDefault="004B339B" w:rsidP="004B339B">
      <w:pPr>
        <w:rPr>
          <w:iCs/>
          <w:color w:val="000000" w:themeColor="text1"/>
          <w:szCs w:val="24"/>
        </w:rPr>
      </w:pPr>
    </w:p>
    <w:p w:rsidR="004B339B" w:rsidRPr="00B911C9" w:rsidRDefault="004B339B" w:rsidP="004B339B">
      <w:pPr>
        <w:autoSpaceDE w:val="0"/>
        <w:autoSpaceDN w:val="0"/>
        <w:adjustRightInd w:val="0"/>
        <w:rPr>
          <w:b/>
          <w:iCs/>
          <w:smallCaps/>
          <w:color w:val="000000" w:themeColor="text1"/>
          <w:szCs w:val="24"/>
        </w:rPr>
      </w:pPr>
      <w:r w:rsidRPr="00B911C9">
        <w:rPr>
          <w:b/>
          <w:iCs/>
          <w:smallCaps/>
          <w:color w:val="000000" w:themeColor="text1"/>
          <w:szCs w:val="24"/>
        </w:rPr>
        <w:t>Counsel for Monitoring Analytics, LLC</w:t>
      </w:r>
    </w:p>
    <w:p w:rsidR="004B339B" w:rsidRPr="00B911C9" w:rsidRDefault="004B339B" w:rsidP="004B339B">
      <w:pPr>
        <w:rPr>
          <w:iCs/>
          <w:color w:val="000000" w:themeColor="text1"/>
          <w:szCs w:val="24"/>
        </w:rPr>
      </w:pPr>
    </w:p>
    <w:p w:rsidR="000E1B6F" w:rsidRPr="00B911C9" w:rsidRDefault="000E1B6F" w:rsidP="000E1B6F">
      <w:pPr>
        <w:autoSpaceDE w:val="0"/>
        <w:autoSpaceDN w:val="0"/>
        <w:adjustRightInd w:val="0"/>
        <w:rPr>
          <w:color w:val="000000" w:themeColor="text1"/>
          <w:szCs w:val="24"/>
        </w:rPr>
      </w:pPr>
      <w:r w:rsidRPr="00B911C9">
        <w:rPr>
          <w:color w:val="000000" w:themeColor="text1"/>
          <w:szCs w:val="24"/>
        </w:rPr>
        <w:t>Kevin R. Schmidt (Reg. No. 0086722)</w:t>
      </w:r>
    </w:p>
    <w:p w:rsidR="000E1B6F" w:rsidRPr="00B911C9" w:rsidRDefault="000E1B6F" w:rsidP="000E1B6F">
      <w:pPr>
        <w:autoSpaceDE w:val="0"/>
        <w:autoSpaceDN w:val="0"/>
        <w:adjustRightInd w:val="0"/>
        <w:rPr>
          <w:color w:val="000000" w:themeColor="text1"/>
          <w:szCs w:val="24"/>
        </w:rPr>
      </w:pPr>
      <w:r w:rsidRPr="00B911C9">
        <w:rPr>
          <w:color w:val="000000" w:themeColor="text1"/>
          <w:szCs w:val="24"/>
        </w:rPr>
        <w:t>Strategic Public Partners</w:t>
      </w:r>
    </w:p>
    <w:p w:rsidR="000E1B6F" w:rsidRPr="00B911C9" w:rsidRDefault="000E1B6F" w:rsidP="000E1B6F">
      <w:pPr>
        <w:autoSpaceDE w:val="0"/>
        <w:autoSpaceDN w:val="0"/>
        <w:adjustRightInd w:val="0"/>
        <w:rPr>
          <w:color w:val="000000" w:themeColor="text1"/>
          <w:szCs w:val="24"/>
        </w:rPr>
      </w:pPr>
      <w:r w:rsidRPr="00B911C9">
        <w:rPr>
          <w:color w:val="000000" w:themeColor="text1"/>
          <w:szCs w:val="24"/>
        </w:rPr>
        <w:t>88 East Broad Street, Suite 1770</w:t>
      </w:r>
    </w:p>
    <w:p w:rsidR="000E1B6F" w:rsidRPr="00B911C9" w:rsidRDefault="000E1B6F" w:rsidP="000E1B6F">
      <w:pPr>
        <w:autoSpaceDE w:val="0"/>
        <w:autoSpaceDN w:val="0"/>
        <w:adjustRightInd w:val="0"/>
        <w:rPr>
          <w:color w:val="000000" w:themeColor="text1"/>
          <w:szCs w:val="24"/>
        </w:rPr>
      </w:pPr>
      <w:r w:rsidRPr="00B911C9">
        <w:rPr>
          <w:color w:val="000000" w:themeColor="text1"/>
          <w:szCs w:val="24"/>
        </w:rPr>
        <w:t>Columbus, OH  43215</w:t>
      </w:r>
    </w:p>
    <w:p w:rsidR="000E1B6F" w:rsidRPr="00B911C9" w:rsidRDefault="000E1B6F" w:rsidP="000E1B6F">
      <w:pPr>
        <w:autoSpaceDE w:val="0"/>
        <w:autoSpaceDN w:val="0"/>
        <w:adjustRightInd w:val="0"/>
        <w:rPr>
          <w:color w:val="000000" w:themeColor="text1"/>
          <w:szCs w:val="24"/>
        </w:rPr>
      </w:pPr>
      <w:r w:rsidRPr="00B911C9">
        <w:rPr>
          <w:color w:val="000000" w:themeColor="text1"/>
          <w:szCs w:val="24"/>
        </w:rPr>
        <w:t>schmidt@sppgrp.com</w:t>
      </w:r>
    </w:p>
    <w:p w:rsidR="000E1B6F" w:rsidRPr="00B911C9" w:rsidRDefault="000E1B6F" w:rsidP="000E1B6F">
      <w:pPr>
        <w:rPr>
          <w:color w:val="000000" w:themeColor="text1"/>
          <w:szCs w:val="24"/>
        </w:rPr>
      </w:pPr>
    </w:p>
    <w:p w:rsidR="006D2648" w:rsidRPr="000E1B6F" w:rsidRDefault="000E1B6F" w:rsidP="000E1B6F">
      <w:pPr>
        <w:rPr>
          <w:b/>
          <w:smallCaps/>
          <w:color w:val="000000" w:themeColor="text1"/>
          <w:szCs w:val="24"/>
        </w:rPr>
      </w:pPr>
      <w:r w:rsidRPr="00B911C9">
        <w:rPr>
          <w:b/>
          <w:smallCaps/>
          <w:color w:val="000000" w:themeColor="text1"/>
          <w:szCs w:val="24"/>
        </w:rPr>
        <w:t>Counsel for Energy Professionals of Ohio</w:t>
      </w:r>
    </w:p>
    <w:p w:rsidR="000E1B6F" w:rsidRDefault="000E1B6F" w:rsidP="004B339B">
      <w:pPr>
        <w:autoSpaceDE w:val="0"/>
        <w:autoSpaceDN w:val="0"/>
        <w:adjustRightInd w:val="0"/>
        <w:rPr>
          <w:color w:val="000000" w:themeColor="text1"/>
          <w:szCs w:val="24"/>
        </w:rPr>
      </w:pPr>
    </w:p>
    <w:p w:rsidR="000E1B6F" w:rsidRDefault="000E1B6F" w:rsidP="004B339B">
      <w:pPr>
        <w:autoSpaceDE w:val="0"/>
        <w:autoSpaceDN w:val="0"/>
        <w:adjustRightInd w:val="0"/>
        <w:rPr>
          <w:color w:val="000000" w:themeColor="text1"/>
          <w:szCs w:val="24"/>
        </w:rPr>
        <w:sectPr w:rsidR="000E1B6F" w:rsidSect="006D2648">
          <w:type w:val="continuous"/>
          <w:pgSz w:w="12240" w:h="15840" w:code="1"/>
          <w:pgMar w:top="1440" w:right="1440" w:bottom="1440" w:left="1440" w:header="720" w:footer="720" w:gutter="0"/>
          <w:cols w:num="2" w:space="720"/>
          <w:titlePg/>
          <w:docGrid w:linePitch="360"/>
        </w:sectPr>
      </w:pP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lastRenderedPageBreak/>
        <w:t>David F. Boehm, Esq.</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Michael L. Kurtz, Esq.</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Kurt J. Boehm, Esq.</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Jody Kyler Cohn, Esq.</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Boehm, Kurtz &amp; Lowry</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36 East Seventh Street, Suite 1510</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Cincinnati, OH  45202</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dboehm@BKLlawfirm.com mkurtzt@BKLlawfirm.com</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kboehm@BKLlawfirm.com</w:t>
      </w:r>
    </w:p>
    <w:p w:rsidR="004B339B" w:rsidRPr="00B911C9" w:rsidRDefault="004B339B" w:rsidP="004B339B">
      <w:pPr>
        <w:autoSpaceDE w:val="0"/>
        <w:autoSpaceDN w:val="0"/>
        <w:adjustRightInd w:val="0"/>
        <w:rPr>
          <w:color w:val="000000" w:themeColor="text1"/>
          <w:szCs w:val="24"/>
        </w:rPr>
      </w:pPr>
      <w:r w:rsidRPr="00B911C9">
        <w:rPr>
          <w:color w:val="000000" w:themeColor="text1"/>
          <w:szCs w:val="24"/>
        </w:rPr>
        <w:t>jkylercohn@BKLlawfirm.com</w:t>
      </w:r>
    </w:p>
    <w:p w:rsidR="004B339B" w:rsidRPr="00B911C9" w:rsidRDefault="004B339B" w:rsidP="004B339B">
      <w:pPr>
        <w:rPr>
          <w:color w:val="000000" w:themeColor="text1"/>
          <w:szCs w:val="24"/>
        </w:rPr>
      </w:pPr>
    </w:p>
    <w:p w:rsidR="004B339B" w:rsidRPr="00B911C9" w:rsidRDefault="004B339B" w:rsidP="004B339B">
      <w:pPr>
        <w:rPr>
          <w:b/>
          <w:smallCaps/>
          <w:color w:val="000000" w:themeColor="text1"/>
          <w:szCs w:val="24"/>
        </w:rPr>
      </w:pPr>
      <w:r w:rsidRPr="00B911C9">
        <w:rPr>
          <w:b/>
          <w:smallCaps/>
          <w:color w:val="000000" w:themeColor="text1"/>
          <w:szCs w:val="24"/>
        </w:rPr>
        <w:t>Counsel for Ohio Energy Group</w:t>
      </w:r>
    </w:p>
    <w:p w:rsidR="006D2648" w:rsidRDefault="006D2648" w:rsidP="004B339B">
      <w:pPr>
        <w:rPr>
          <w:color w:val="000000" w:themeColor="text1"/>
          <w:szCs w:val="24"/>
        </w:rPr>
      </w:pPr>
    </w:p>
    <w:p w:rsidR="004B339B" w:rsidRPr="00B911C9" w:rsidRDefault="004B339B" w:rsidP="004B339B">
      <w:pPr>
        <w:rPr>
          <w:color w:val="000000" w:themeColor="text1"/>
          <w:szCs w:val="24"/>
        </w:rPr>
      </w:pPr>
      <w:r w:rsidRPr="00B911C9">
        <w:rPr>
          <w:color w:val="000000" w:themeColor="text1"/>
          <w:szCs w:val="24"/>
        </w:rPr>
        <w:t>William L. Wright (Reg. No. 0018010)</w:t>
      </w:r>
    </w:p>
    <w:p w:rsidR="004B339B" w:rsidRPr="00B911C9" w:rsidRDefault="004B339B" w:rsidP="004B339B">
      <w:pPr>
        <w:rPr>
          <w:color w:val="000000" w:themeColor="text1"/>
          <w:szCs w:val="24"/>
        </w:rPr>
      </w:pPr>
      <w:r w:rsidRPr="00B911C9">
        <w:rPr>
          <w:color w:val="000000" w:themeColor="text1"/>
          <w:szCs w:val="24"/>
        </w:rPr>
        <w:t>Chief, Public Utilities Section</w:t>
      </w:r>
    </w:p>
    <w:p w:rsidR="004B339B" w:rsidRPr="00B911C9" w:rsidRDefault="004B339B" w:rsidP="004B339B">
      <w:pPr>
        <w:autoSpaceDE w:val="0"/>
        <w:autoSpaceDN w:val="0"/>
        <w:adjustRightInd w:val="0"/>
        <w:snapToGrid w:val="0"/>
        <w:rPr>
          <w:color w:val="000000" w:themeColor="text1"/>
          <w:szCs w:val="24"/>
        </w:rPr>
      </w:pPr>
      <w:r w:rsidRPr="00B911C9">
        <w:rPr>
          <w:color w:val="000000" w:themeColor="text1"/>
          <w:szCs w:val="24"/>
        </w:rPr>
        <w:t>Office of Attorney General</w:t>
      </w:r>
    </w:p>
    <w:p w:rsidR="004B339B" w:rsidRPr="00B911C9" w:rsidRDefault="004B339B" w:rsidP="004B339B">
      <w:pPr>
        <w:autoSpaceDE w:val="0"/>
        <w:autoSpaceDN w:val="0"/>
        <w:adjustRightInd w:val="0"/>
        <w:snapToGrid w:val="0"/>
        <w:rPr>
          <w:color w:val="000000" w:themeColor="text1"/>
          <w:szCs w:val="24"/>
        </w:rPr>
      </w:pPr>
      <w:r w:rsidRPr="00B911C9">
        <w:rPr>
          <w:color w:val="000000" w:themeColor="text1"/>
          <w:szCs w:val="24"/>
        </w:rPr>
        <w:t>180 East Broad Street, 6th Floor</w:t>
      </w:r>
    </w:p>
    <w:p w:rsidR="004B339B" w:rsidRPr="00B911C9" w:rsidRDefault="004B339B" w:rsidP="004B339B">
      <w:pPr>
        <w:autoSpaceDE w:val="0"/>
        <w:autoSpaceDN w:val="0"/>
        <w:adjustRightInd w:val="0"/>
        <w:snapToGrid w:val="0"/>
        <w:rPr>
          <w:color w:val="000000" w:themeColor="text1"/>
          <w:szCs w:val="24"/>
        </w:rPr>
      </w:pPr>
      <w:r w:rsidRPr="00B911C9">
        <w:rPr>
          <w:color w:val="000000" w:themeColor="text1"/>
          <w:szCs w:val="24"/>
        </w:rPr>
        <w:t>Columbus, OH 43215-3793</w:t>
      </w:r>
    </w:p>
    <w:p w:rsidR="004B339B" w:rsidRPr="00B911C9" w:rsidRDefault="004B339B" w:rsidP="004B339B">
      <w:pPr>
        <w:rPr>
          <w:color w:val="000000" w:themeColor="text1"/>
          <w:szCs w:val="24"/>
        </w:rPr>
      </w:pPr>
      <w:r w:rsidRPr="00B911C9">
        <w:rPr>
          <w:color w:val="000000" w:themeColor="text1"/>
          <w:szCs w:val="24"/>
        </w:rPr>
        <w:t>william.wright@puc.state.oh.us</w:t>
      </w:r>
    </w:p>
    <w:p w:rsidR="004B339B" w:rsidRPr="00B911C9" w:rsidRDefault="004B339B" w:rsidP="004B339B">
      <w:pPr>
        <w:rPr>
          <w:rFonts w:eastAsia="Calibri"/>
          <w:color w:val="000000" w:themeColor="text1"/>
          <w:szCs w:val="24"/>
        </w:rPr>
      </w:pPr>
    </w:p>
    <w:p w:rsidR="004B339B" w:rsidRPr="00B911C9" w:rsidRDefault="004B339B" w:rsidP="004B339B">
      <w:pPr>
        <w:rPr>
          <w:rFonts w:eastAsia="Calibri"/>
          <w:smallCaps/>
          <w:color w:val="000000" w:themeColor="text1"/>
          <w:szCs w:val="24"/>
        </w:rPr>
      </w:pPr>
      <w:r w:rsidRPr="00B911C9">
        <w:rPr>
          <w:rFonts w:eastAsia="Calibri"/>
          <w:b/>
          <w:smallCaps/>
          <w:color w:val="000000" w:themeColor="text1"/>
          <w:szCs w:val="24"/>
        </w:rPr>
        <w:t>Counsel for the Staff of the Public Utilities Commission of Ohio</w:t>
      </w:r>
    </w:p>
    <w:p w:rsidR="000639C7" w:rsidRPr="00B911C9" w:rsidRDefault="000639C7" w:rsidP="00DC6D1A">
      <w:pPr>
        <w:tabs>
          <w:tab w:val="left" w:pos="4320"/>
          <w:tab w:val="right" w:pos="8640"/>
        </w:tabs>
        <w:jc w:val="center"/>
        <w:rPr>
          <w:rFonts w:eastAsia="Calibri"/>
          <w:color w:val="000000" w:themeColor="text1"/>
          <w:szCs w:val="24"/>
          <w:u w:val="single"/>
        </w:rPr>
      </w:pPr>
    </w:p>
    <w:sectPr w:rsidR="000639C7" w:rsidRPr="00B911C9" w:rsidSect="006D2648">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61" w:rsidRDefault="00107361">
      <w:r>
        <w:separator/>
      </w:r>
    </w:p>
  </w:endnote>
  <w:endnote w:type="continuationSeparator" w:id="0">
    <w:p w:rsidR="00107361" w:rsidRDefault="0010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306E6A93" w:usb1="0062F3A0" w:usb2="00000000" w:usb3="0062F388" w:csb0="0049000F" w:csb1="0073006E"/>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EB" w:rsidRDefault="00785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61" w:rsidRDefault="00DD35B1">
    <w:pPr>
      <w:pStyle w:val="Footer"/>
    </w:pPr>
    <w:r w:rsidRPr="00DD35B1">
      <w:rPr>
        <w:noProof/>
        <w:sz w:val="16"/>
      </w:rPr>
      <w:t>{C49536:4 }</w:t>
    </w:r>
    <w:r w:rsidR="00107361">
      <w:rPr>
        <w:noProof/>
        <w:sz w:val="16"/>
      </w:rPr>
      <w:tab/>
    </w:r>
    <w:r w:rsidR="00107361">
      <w:rPr>
        <w:noProof/>
        <w:sz w:val="22"/>
        <w:szCs w:val="22"/>
      </w:rPr>
      <w:fldChar w:fldCharType="begin"/>
    </w:r>
    <w:r w:rsidR="00107361">
      <w:rPr>
        <w:noProof/>
        <w:sz w:val="22"/>
        <w:szCs w:val="22"/>
      </w:rPr>
      <w:instrText xml:space="preserve"> PAGE   \* MERGEFORMAT </w:instrText>
    </w:r>
    <w:r w:rsidR="00107361">
      <w:rPr>
        <w:noProof/>
        <w:sz w:val="22"/>
        <w:szCs w:val="22"/>
      </w:rPr>
      <w:fldChar w:fldCharType="separate"/>
    </w:r>
    <w:r>
      <w:rPr>
        <w:noProof/>
        <w:sz w:val="22"/>
        <w:szCs w:val="22"/>
      </w:rPr>
      <w:t>17</w:t>
    </w:r>
    <w:r w:rsidR="00107361">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61" w:rsidRDefault="00DD35B1">
    <w:pPr>
      <w:pStyle w:val="Footer"/>
    </w:pPr>
    <w:r w:rsidRPr="00DD35B1">
      <w:rPr>
        <w:noProof/>
        <w:sz w:val="16"/>
      </w:rPr>
      <w:t>{C49536:4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Default="004B33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Pr="000C3B01" w:rsidRDefault="00DD35B1">
    <w:pPr>
      <w:pStyle w:val="Footer"/>
    </w:pPr>
    <w:r w:rsidRPr="00DD35B1">
      <w:rPr>
        <w:noProof/>
        <w:sz w:val="16"/>
      </w:rPr>
      <w:t>{C49536:4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Pr="000C3B01" w:rsidRDefault="00DD35B1">
    <w:pPr>
      <w:pStyle w:val="Footer"/>
    </w:pPr>
    <w:r w:rsidRPr="00DD35B1">
      <w:rPr>
        <w:noProof/>
        <w:sz w:val="16"/>
      </w:rPr>
      <w:t>{C49536:4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61" w:rsidRDefault="00107361">
      <w:pPr>
        <w:rPr>
          <w:noProof/>
        </w:rPr>
      </w:pPr>
      <w:r>
        <w:rPr>
          <w:noProof/>
        </w:rPr>
        <w:separator/>
      </w:r>
    </w:p>
  </w:footnote>
  <w:footnote w:type="continuationSeparator" w:id="0">
    <w:p w:rsidR="00107361" w:rsidRDefault="00107361">
      <w:r>
        <w:continuationSeparator/>
      </w:r>
    </w:p>
  </w:footnote>
  <w:footnote w:id="1">
    <w:p w:rsidR="00971797" w:rsidRDefault="00971797" w:rsidP="0044044E">
      <w:pPr>
        <w:pStyle w:val="FootnoteText"/>
        <w:jc w:val="both"/>
      </w:pPr>
      <w:r>
        <w:rPr>
          <w:rStyle w:val="FootnoteReference"/>
        </w:rPr>
        <w:footnoteRef/>
      </w:r>
      <w:r>
        <w:t xml:space="preserve"> Application, </w:t>
      </w:r>
      <w:r w:rsidR="00880DF8">
        <w:t>Proposed Tariff Schedules, Tariff Sheet</w:t>
      </w:r>
      <w:r w:rsidR="00BE4563">
        <w:t>s</w:t>
      </w:r>
      <w:r w:rsidR="00880DF8">
        <w:t xml:space="preserve"> T3 and T8</w:t>
      </w:r>
      <w:r w:rsidR="00103546">
        <w:t xml:space="preserve"> </w:t>
      </w:r>
      <w:r w:rsidR="00103546">
        <w:rPr>
          <w:szCs w:val="24"/>
        </w:rPr>
        <w:t>(Feb. 22, 2016)</w:t>
      </w:r>
      <w:r w:rsidR="00880DF8">
        <w:t>.</w:t>
      </w:r>
    </w:p>
  </w:footnote>
  <w:footnote w:id="2">
    <w:p w:rsidR="0053326C" w:rsidRDefault="0053326C" w:rsidP="0044044E">
      <w:pPr>
        <w:pStyle w:val="FootnoteText"/>
        <w:jc w:val="both"/>
      </w:pPr>
      <w:r>
        <w:rPr>
          <w:rStyle w:val="FootnoteReference"/>
        </w:rPr>
        <w:footnoteRef/>
      </w:r>
      <w:r>
        <w:t xml:space="preserve"> </w:t>
      </w:r>
      <w:r w:rsidRPr="00D04E80">
        <w:rPr>
          <w:szCs w:val="24"/>
        </w:rPr>
        <w:t>Application at 18</w:t>
      </w:r>
      <w:r>
        <w:rPr>
          <w:szCs w:val="24"/>
        </w:rPr>
        <w:t>.</w:t>
      </w:r>
    </w:p>
  </w:footnote>
  <w:footnote w:id="3">
    <w:p w:rsidR="00A87501" w:rsidRDefault="00A87501" w:rsidP="0044044E">
      <w:pPr>
        <w:pStyle w:val="FootnoteText"/>
        <w:jc w:val="both"/>
      </w:pPr>
      <w:r>
        <w:rPr>
          <w:rStyle w:val="FootnoteReference"/>
        </w:rPr>
        <w:footnoteRef/>
      </w:r>
      <w:r>
        <w:t xml:space="preserve"> </w:t>
      </w:r>
      <w:r w:rsidRPr="005D6FC2">
        <w:rPr>
          <w:i/>
          <w:color w:val="000000"/>
          <w:szCs w:val="24"/>
        </w:rPr>
        <w:t>Id</w:t>
      </w:r>
      <w:r w:rsidRPr="00D04E80">
        <w:rPr>
          <w:color w:val="000000"/>
          <w:szCs w:val="24"/>
        </w:rPr>
        <w:t xml:space="preserve">.  </w:t>
      </w:r>
    </w:p>
  </w:footnote>
  <w:footnote w:id="4">
    <w:p w:rsidR="00073E51" w:rsidRDefault="00073E51" w:rsidP="0044044E">
      <w:pPr>
        <w:pStyle w:val="FootnoteText"/>
        <w:jc w:val="both"/>
      </w:pPr>
      <w:r>
        <w:rPr>
          <w:rStyle w:val="FootnoteReference"/>
        </w:rPr>
        <w:footnoteRef/>
      </w:r>
      <w:r>
        <w:t xml:space="preserve"> </w:t>
      </w:r>
      <w:r w:rsidRPr="00073E51">
        <w:rPr>
          <w:i/>
        </w:rPr>
        <w:t>Promoting Wholesale Competition Through Open Access Non-discriminatory Transmission Services by Public Utilities; Recovery of Stranded Costs by Public Utilities and Transmitting Utilities</w:t>
      </w:r>
      <w:r w:rsidRPr="00073E51">
        <w:t>, FERC Stats. &amp; Regs., Regs. Preambles, Jan. 1991—June 1996, ¶ 31,036, p. 31,632, 61 Fed. Reg. 21540 (1996) (“Order No. 888”).  References are to the version of Order No. 888 available at http://www.ferc.gov/legal/maj-ord-reg/land-docs/order888.asp.</w:t>
      </w:r>
    </w:p>
  </w:footnote>
  <w:footnote w:id="5">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bCs/>
        </w:rPr>
        <w:t>Order No. 888 at 4</w:t>
      </w:r>
      <w:r w:rsidRPr="00350828">
        <w:rPr>
          <w:rFonts w:cs="Arial"/>
        </w:rPr>
        <w:t>.</w:t>
      </w:r>
    </w:p>
  </w:footnote>
  <w:footnote w:id="6">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at 431.</w:t>
      </w:r>
    </w:p>
  </w:footnote>
  <w:footnote w:id="7">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w:t>
      </w:r>
    </w:p>
  </w:footnote>
  <w:footnote w:id="8">
    <w:p w:rsidR="002A34D2" w:rsidRPr="00350828" w:rsidRDefault="002A34D2" w:rsidP="002A34D2">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w:t>
      </w:r>
      <w:r w:rsidRPr="00072CB0">
        <w:rPr>
          <w:rFonts w:cs="Arial"/>
        </w:rPr>
        <w:t xml:space="preserve"> </w:t>
      </w:r>
      <w:r w:rsidRPr="00350828">
        <w:rPr>
          <w:rFonts w:cs="Arial"/>
        </w:rPr>
        <w:t>at 440.</w:t>
      </w:r>
    </w:p>
  </w:footnote>
  <w:footnote w:id="9">
    <w:p w:rsidR="002731D4" w:rsidRPr="00350828" w:rsidRDefault="002731D4"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6A30F8" w:rsidRPr="005D6FC2">
        <w:rPr>
          <w:rFonts w:cs="Arial"/>
          <w:i/>
        </w:rPr>
        <w:t>Id</w:t>
      </w:r>
      <w:r w:rsidR="006A30F8">
        <w:rPr>
          <w:rFonts w:cs="Arial"/>
        </w:rPr>
        <w:t>.</w:t>
      </w:r>
      <w:r w:rsidRPr="00350828">
        <w:rPr>
          <w:rFonts w:cs="Arial"/>
        </w:rPr>
        <w:t xml:space="preserve"> at 5.</w:t>
      </w:r>
    </w:p>
  </w:footnote>
  <w:footnote w:id="10">
    <w:p w:rsidR="002731D4" w:rsidRPr="00350828" w:rsidRDefault="002731D4"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Appendix D, Open Access Tariff Original Sheet No. 37 (availability of service agreements).</w:t>
      </w:r>
    </w:p>
  </w:footnote>
  <w:footnote w:id="11">
    <w:p w:rsidR="002731D4" w:rsidRPr="00350828" w:rsidRDefault="002731D4"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Appendix D, Open Access Tariff Original Sheet No. 10 (definition of Eligible Customer).</w:t>
      </w:r>
    </w:p>
  </w:footnote>
  <w:footnote w:id="12">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(emphasis added).</w:t>
      </w:r>
    </w:p>
  </w:footnote>
  <w:footnote w:id="13">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w:t>
      </w:r>
    </w:p>
  </w:footnote>
  <w:footnote w:id="14">
    <w:p w:rsidR="00E53E8F" w:rsidRPr="00350828" w:rsidRDefault="00E53E8F" w:rsidP="0044044E">
      <w:pPr>
        <w:pStyle w:val="FootnoteText"/>
        <w:jc w:val="both"/>
        <w:rPr>
          <w:rFonts w:cs="Arial"/>
        </w:rPr>
      </w:pPr>
      <w:r w:rsidRPr="00350828">
        <w:rPr>
          <w:rStyle w:val="FootnoteReference"/>
          <w:rFonts w:eastAsiaTheme="majorEastAsia" w:cs="Arial"/>
        </w:rPr>
        <w:footnoteRef/>
      </w:r>
      <w:r w:rsidR="0006591B" w:rsidRPr="0006591B">
        <w:rPr>
          <w:rFonts w:cs="Arial"/>
          <w:i/>
        </w:rPr>
        <w:t xml:space="preserve"> </w:t>
      </w:r>
      <w:r w:rsidR="0006591B" w:rsidRPr="00350828">
        <w:rPr>
          <w:rFonts w:cs="Arial"/>
          <w:i/>
        </w:rPr>
        <w:t>See, e.g.,</w:t>
      </w:r>
      <w:r w:rsidR="0006591B" w:rsidRPr="00350828">
        <w:rPr>
          <w:rFonts w:cs="Arial"/>
        </w:rPr>
        <w:t xml:space="preserve"> </w:t>
      </w:r>
      <w:r w:rsidR="0006591B" w:rsidRPr="00350828">
        <w:rPr>
          <w:rFonts w:cs="Arial"/>
          <w:i/>
        </w:rPr>
        <w:t>Entergy</w:t>
      </w:r>
      <w:r w:rsidR="0006591B" w:rsidRPr="00350828">
        <w:rPr>
          <w:rFonts w:cs="Arial"/>
        </w:rPr>
        <w:t xml:space="preserve">, 91 FERC ¶ 61,155 </w:t>
      </w:r>
      <w:r w:rsidR="00072CB0">
        <w:rPr>
          <w:rFonts w:cs="Arial"/>
        </w:rPr>
        <w:t xml:space="preserve">at 61591 </w:t>
      </w:r>
      <w:r w:rsidR="0006591B" w:rsidRPr="00350828">
        <w:rPr>
          <w:rFonts w:cs="Arial"/>
        </w:rPr>
        <w:t xml:space="preserve">(May 18, 2000) (approving modifications of the Entergy OATT to implement retail pilot program in Texas).  </w:t>
      </w:r>
      <w:r w:rsidR="00163223" w:rsidRPr="00290995">
        <w:rPr>
          <w:szCs w:val="24"/>
        </w:rPr>
        <w:t>In response to applications for modifications, FERC has approved the use of a designated agent, allocation methodologies for the apportionment of responsibility for ancillary services, the submission by an alternative supplier of one application for all its retail customers, and the waiver of a deposit requirement.</w:t>
      </w:r>
      <w:r w:rsidR="00163223" w:rsidRPr="00163223">
        <w:rPr>
          <w:rFonts w:cs="Arial"/>
          <w:i/>
        </w:rPr>
        <w:t xml:space="preserve"> </w:t>
      </w:r>
      <w:r w:rsidR="00163223">
        <w:rPr>
          <w:rFonts w:cs="Arial"/>
          <w:i/>
        </w:rPr>
        <w:t xml:space="preserve"> </w:t>
      </w:r>
      <w:r w:rsidR="00163223" w:rsidRPr="00350828">
        <w:rPr>
          <w:rFonts w:cs="Arial"/>
          <w:i/>
        </w:rPr>
        <w:t>Allegheny Power Serv. Corp</w:t>
      </w:r>
      <w:r w:rsidR="00163223" w:rsidRPr="00350828">
        <w:rPr>
          <w:rFonts w:cs="Arial"/>
        </w:rPr>
        <w:t xml:space="preserve">, 81 FERC ¶ 61,271 </w:t>
      </w:r>
      <w:r w:rsidR="00737918">
        <w:rPr>
          <w:rFonts w:cs="Arial"/>
        </w:rPr>
        <w:t xml:space="preserve">at 62342 </w:t>
      </w:r>
      <w:r w:rsidR="00163223" w:rsidRPr="00350828">
        <w:rPr>
          <w:rFonts w:cs="Arial"/>
        </w:rPr>
        <w:t>(Nov. 26, 1997) (summarizing changes permitted in OATT to implement retail wheeling programs).</w:t>
      </w:r>
      <w:r w:rsidR="00171379" w:rsidRPr="00171379">
        <w:rPr>
          <w:szCs w:val="24"/>
        </w:rPr>
        <w:t xml:space="preserve"> </w:t>
      </w:r>
      <w:r w:rsidR="00171379">
        <w:rPr>
          <w:szCs w:val="24"/>
        </w:rPr>
        <w:t xml:space="preserve"> </w:t>
      </w:r>
      <w:r w:rsidR="009A24BD">
        <w:rPr>
          <w:szCs w:val="24"/>
        </w:rPr>
        <w:t>To</w:t>
      </w:r>
      <w:r w:rsidR="00171379" w:rsidRPr="00290995">
        <w:rPr>
          <w:szCs w:val="24"/>
        </w:rPr>
        <w:t xml:space="preserve"> accommodate a pilot retail wheeling program, FERC permitted a variation from the demand based ch</w:t>
      </w:r>
      <w:r w:rsidR="00171379" w:rsidRPr="00D04E80">
        <w:rPr>
          <w:szCs w:val="24"/>
        </w:rPr>
        <w:t xml:space="preserve">arge required by the OATT, but </w:t>
      </w:r>
      <w:r w:rsidR="00171379" w:rsidRPr="00290995">
        <w:rPr>
          <w:szCs w:val="24"/>
        </w:rPr>
        <w:t>required a demonstration that a utility properly converted the charges applicable to customers operating without demand meters to a retail rate</w:t>
      </w:r>
      <w:r w:rsidR="00171379">
        <w:rPr>
          <w:szCs w:val="24"/>
        </w:rPr>
        <w:t xml:space="preserve">.  </w:t>
      </w:r>
      <w:r w:rsidR="00171379" w:rsidRPr="00350828">
        <w:rPr>
          <w:rFonts w:cs="Arial"/>
          <w:i/>
        </w:rPr>
        <w:t>Id</w:t>
      </w:r>
      <w:r w:rsidR="00171379" w:rsidRPr="00350828">
        <w:rPr>
          <w:rFonts w:cs="Arial"/>
        </w:rPr>
        <w:t xml:space="preserve">.  </w:t>
      </w:r>
    </w:p>
  </w:footnote>
  <w:footnote w:id="15">
    <w:p w:rsidR="00E53E8F" w:rsidRPr="00350828" w:rsidRDefault="00E53E8F"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NY State Elec. and Gas Corp</w:t>
      </w:r>
      <w:r w:rsidRPr="00350828">
        <w:rPr>
          <w:rFonts w:cs="Arial"/>
        </w:rPr>
        <w:t xml:space="preserve">., 77 FERC ¶ 61,044 </w:t>
      </w:r>
      <w:r w:rsidR="00737918">
        <w:rPr>
          <w:rFonts w:cs="Arial"/>
        </w:rPr>
        <w:t xml:space="preserve">at 61154 </w:t>
      </w:r>
      <w:r w:rsidRPr="00350828">
        <w:rPr>
          <w:rFonts w:cs="Arial"/>
        </w:rPr>
        <w:t xml:space="preserve">(Oct. 18, 1996).  </w:t>
      </w:r>
    </w:p>
  </w:footnote>
  <w:footnote w:id="16">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535 U.S. 1 (2002)</w:t>
      </w:r>
      <w:r w:rsidR="0036521E">
        <w:rPr>
          <w:rFonts w:cs="Arial"/>
        </w:rPr>
        <w:t>.</w:t>
      </w:r>
    </w:p>
  </w:footnote>
  <w:footnote w:id="17">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at 19-20.</w:t>
      </w:r>
    </w:p>
  </w:footnote>
  <w:footnote w:id="18">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Regional Transmission Organizations, FERC Stats &amp; Regs. ¶31,089 (Jan. 6, 2000) (Order 2000 at 3) (references are to a copy of the order available at http://www.ferc.gov/legal/maj-ord-reg/land-docs/RM99-2A.pdf). </w:t>
      </w:r>
    </w:p>
  </w:footnote>
  <w:footnote w:id="19">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at 330.</w:t>
      </w:r>
    </w:p>
  </w:footnote>
  <w:footnote w:id="20">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18 C.F.R. § 35.34(k)(1).</w:t>
      </w:r>
    </w:p>
  </w:footnote>
  <w:footnote w:id="21">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PJM OATT, § 1.46.  </w:t>
      </w:r>
    </w:p>
  </w:footnote>
  <w:footnote w:id="22">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1.32.  </w:t>
      </w:r>
    </w:p>
  </w:footnote>
  <w:footnote w:id="23">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1.45.  </w:t>
      </w:r>
    </w:p>
  </w:footnote>
  <w:footnote w:id="24">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 1.11</w:t>
      </w:r>
      <w:r w:rsidR="002D0147">
        <w:rPr>
          <w:rFonts w:cs="Arial"/>
        </w:rPr>
        <w:t>(ii)</w:t>
      </w:r>
      <w:r w:rsidRPr="00350828">
        <w:rPr>
          <w:rFonts w:cs="Arial"/>
        </w:rPr>
        <w:t>.</w:t>
      </w:r>
    </w:p>
  </w:footnote>
  <w:footnote w:id="25">
    <w:p w:rsidR="00870827" w:rsidRPr="00350828" w:rsidRDefault="00870827"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Part III, Preamble.  </w:t>
      </w:r>
    </w:p>
  </w:footnote>
  <w:footnote w:id="26">
    <w:p w:rsidR="00870827" w:rsidRPr="00350828" w:rsidRDefault="00870827"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w:t>
      </w:r>
    </w:p>
  </w:footnote>
  <w:footnote w:id="27">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30.7. </w:t>
      </w:r>
    </w:p>
  </w:footnote>
  <w:footnote w:id="28">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1.11.  </w:t>
      </w:r>
    </w:p>
  </w:footnote>
  <w:footnote w:id="29">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 29.1 &amp; 29.2.</w:t>
      </w:r>
    </w:p>
  </w:footnote>
  <w:footnote w:id="30">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29.4.  </w:t>
      </w:r>
    </w:p>
  </w:footnote>
  <w:footnote w:id="31">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34 &amp; 34.1.</w:t>
      </w:r>
    </w:p>
  </w:footnote>
  <w:footnote w:id="32">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r w:rsidRPr="00350828">
        <w:rPr>
          <w:rFonts w:cs="Arial"/>
        </w:rPr>
        <w:t xml:space="preserve">, § 34.1.  </w:t>
      </w:r>
    </w:p>
  </w:footnote>
  <w:footnote w:id="33">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Id.</w:t>
      </w:r>
    </w:p>
  </w:footnote>
  <w:footnote w:id="34">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682D7A">
        <w:rPr>
          <w:rFonts w:cs="Arial"/>
        </w:rPr>
        <w:t>16</w:t>
      </w:r>
      <w:r w:rsidR="00682D7A" w:rsidRPr="00350828">
        <w:rPr>
          <w:rFonts w:cs="Arial"/>
        </w:rPr>
        <w:t xml:space="preserve"> </w:t>
      </w:r>
      <w:r w:rsidRPr="00350828">
        <w:rPr>
          <w:rFonts w:cs="Arial"/>
        </w:rPr>
        <w:t>U.S.C. § 824d(d).</w:t>
      </w:r>
    </w:p>
  </w:footnote>
  <w:footnote w:id="35">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PECO Energy Co</w:t>
      </w:r>
      <w:r w:rsidRPr="00350828">
        <w:rPr>
          <w:rFonts w:cs="Arial"/>
        </w:rPr>
        <w:t xml:space="preserve">., 91 FERC ¶ 61,030 </w:t>
      </w:r>
      <w:r w:rsidR="006D757E">
        <w:rPr>
          <w:rFonts w:cs="Arial"/>
        </w:rPr>
        <w:t xml:space="preserve">at 61106 </w:t>
      </w:r>
      <w:r w:rsidRPr="00350828">
        <w:rPr>
          <w:rFonts w:cs="Arial"/>
        </w:rPr>
        <w:t>(Apr. 12, 2000) (rejecting a filing to add terms to its retail supplier tariff related to retail load forecasting and scheduling).</w:t>
      </w:r>
    </w:p>
  </w:footnote>
  <w:footnote w:id="36">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Pr="00350828">
        <w:rPr>
          <w:rFonts w:cs="Arial"/>
          <w:i/>
        </w:rPr>
        <w:t>Montaup Elec. Co.</w:t>
      </w:r>
      <w:r w:rsidRPr="00350828">
        <w:rPr>
          <w:rFonts w:cs="Arial"/>
        </w:rPr>
        <w:t xml:space="preserve">, 80 FERC ¶61,288 </w:t>
      </w:r>
      <w:r w:rsidR="006D757E">
        <w:rPr>
          <w:rFonts w:cs="Arial"/>
        </w:rPr>
        <w:t xml:space="preserve">at 62025 </w:t>
      </w:r>
      <w:r w:rsidRPr="00350828">
        <w:rPr>
          <w:rFonts w:cs="Arial"/>
        </w:rPr>
        <w:t xml:space="preserve">(Sept. 12, 1997).  For those customers that are not demand metered, the Commission has authorized the use of an energy billing determinant in lieu of a demand determinant.  </w:t>
      </w:r>
      <w:r w:rsidRPr="00350828">
        <w:rPr>
          <w:rFonts w:cs="Arial"/>
          <w:i/>
        </w:rPr>
        <w:t>Id</w:t>
      </w:r>
      <w:r w:rsidRPr="00350828">
        <w:rPr>
          <w:rFonts w:cs="Arial"/>
        </w:rPr>
        <w:t xml:space="preserve">.  </w:t>
      </w:r>
    </w:p>
  </w:footnote>
  <w:footnote w:id="37">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9B4DA5">
        <w:rPr>
          <w:rFonts w:cs="Arial"/>
        </w:rPr>
        <w:t>R.C.</w:t>
      </w:r>
      <w:r w:rsidRPr="00350828">
        <w:rPr>
          <w:rFonts w:cs="Arial"/>
        </w:rPr>
        <w:t xml:space="preserve"> 4928.03, 4928.07, &amp; 4928.31  </w:t>
      </w:r>
    </w:p>
  </w:footnote>
  <w:footnote w:id="38">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4928.31(A)(1).</w:t>
      </w:r>
    </w:p>
  </w:footnote>
  <w:footnote w:id="39">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4928.</w:t>
      </w:r>
      <w:r w:rsidR="00F73391" w:rsidRPr="00350828">
        <w:rPr>
          <w:rFonts w:cs="Arial"/>
        </w:rPr>
        <w:t>3</w:t>
      </w:r>
      <w:r w:rsidR="00F73391">
        <w:rPr>
          <w:rFonts w:cs="Arial"/>
        </w:rPr>
        <w:t>4</w:t>
      </w:r>
      <w:r w:rsidRPr="00350828">
        <w:rPr>
          <w:rFonts w:cs="Arial"/>
        </w:rPr>
        <w:t xml:space="preserve">(A)(1).  </w:t>
      </w:r>
    </w:p>
  </w:footnote>
  <w:footnote w:id="40">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4928.40.</w:t>
      </w:r>
    </w:p>
  </w:footnote>
  <w:footnote w:id="41">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Rule</w:t>
      </w:r>
      <w:r w:rsidRPr="00350828">
        <w:rPr>
          <w:rFonts w:cs="Arial"/>
        </w:rPr>
        <w:t xml:space="preserve"> 4901:1-10-22</w:t>
      </w:r>
      <w:r w:rsidR="00FB25CD">
        <w:rPr>
          <w:rFonts w:cs="Arial"/>
        </w:rPr>
        <w:t>, OAC</w:t>
      </w:r>
      <w:r w:rsidRPr="00350828">
        <w:rPr>
          <w:rFonts w:cs="Arial"/>
        </w:rPr>
        <w:t>.</w:t>
      </w:r>
    </w:p>
  </w:footnote>
  <w:footnote w:id="42">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 xml:space="preserve">4928.12(A).  </w:t>
      </w:r>
    </w:p>
  </w:footnote>
  <w:footnote w:id="43">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 xml:space="preserve">4928.35(G).  </w:t>
      </w:r>
    </w:p>
  </w:footnote>
  <w:footnote w:id="44">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 xml:space="preserve">4928.12(B).    </w:t>
      </w:r>
    </w:p>
  </w:footnote>
  <w:footnote w:id="45">
    <w:p w:rsidR="00BB752D" w:rsidRPr="00350828" w:rsidRDefault="00BB752D" w:rsidP="0044044E">
      <w:pPr>
        <w:pStyle w:val="FootnoteText"/>
        <w:jc w:val="both"/>
        <w:rPr>
          <w:rFonts w:cs="Arial"/>
        </w:rPr>
      </w:pPr>
      <w:r w:rsidRPr="00350828">
        <w:rPr>
          <w:rStyle w:val="FootnoteReference"/>
          <w:rFonts w:eastAsiaTheme="majorEastAsia" w:cs="Arial"/>
        </w:rPr>
        <w:footnoteRef/>
      </w:r>
      <w:r w:rsidRPr="00350828">
        <w:rPr>
          <w:rFonts w:cs="Arial"/>
        </w:rPr>
        <w:t xml:space="preserve"> </w:t>
      </w:r>
      <w:r w:rsidR="00FB25CD">
        <w:rPr>
          <w:rFonts w:cs="Arial"/>
        </w:rPr>
        <w:t xml:space="preserve">R.C. </w:t>
      </w:r>
      <w:r w:rsidRPr="00350828">
        <w:rPr>
          <w:rFonts w:cs="Arial"/>
        </w:rPr>
        <w:t>4928.05(A)(2).</w:t>
      </w:r>
    </w:p>
  </w:footnote>
  <w:footnote w:id="46">
    <w:p w:rsidR="00BB752D" w:rsidRDefault="00BB752D" w:rsidP="0044044E">
      <w:pPr>
        <w:pStyle w:val="FootnoteText"/>
        <w:jc w:val="both"/>
      </w:pPr>
      <w:r>
        <w:rPr>
          <w:rStyle w:val="FootnoteReference"/>
        </w:rPr>
        <w:footnoteRef/>
      </w:r>
      <w:r>
        <w:t xml:space="preserve"> </w:t>
      </w:r>
      <w:r w:rsidR="008A65AE" w:rsidRPr="0083686F">
        <w:rPr>
          <w:i/>
        </w:rPr>
        <w:t>In the Matter of the Application of The Dayton Power and Light Company for Approval of its Electric Security Plan</w:t>
      </w:r>
      <w:r w:rsidR="008A65AE">
        <w:t xml:space="preserve">, Case Nos. 12-426-EL-SSO, </w:t>
      </w:r>
      <w:r w:rsidR="008A65AE" w:rsidRPr="0083686F">
        <w:rPr>
          <w:i/>
        </w:rPr>
        <w:t>et al</w:t>
      </w:r>
      <w:r w:rsidR="008A65AE">
        <w:t xml:space="preserve">., Opinion and Order at 12 (Sept. </w:t>
      </w:r>
      <w:r w:rsidR="00406D05">
        <w:t>4, 2013).</w:t>
      </w:r>
    </w:p>
  </w:footnote>
  <w:footnote w:id="47">
    <w:p w:rsidR="00BB752D" w:rsidRPr="00350828" w:rsidRDefault="00BB752D" w:rsidP="0044044E">
      <w:pPr>
        <w:pStyle w:val="FootnoteText"/>
        <w:jc w:val="both"/>
        <w:rPr>
          <w:rFonts w:cs="Arial"/>
        </w:rPr>
      </w:pPr>
      <w:r w:rsidRPr="00350828">
        <w:rPr>
          <w:rStyle w:val="FootnoteReference"/>
          <w:rFonts w:cs="Arial"/>
        </w:rPr>
        <w:footnoteRef/>
      </w:r>
      <w:r w:rsidRPr="00350828">
        <w:rPr>
          <w:rFonts w:cs="Arial"/>
        </w:rPr>
        <w:t xml:space="preserve"> </w:t>
      </w:r>
      <w:r w:rsidR="00406D05" w:rsidRPr="0083686F">
        <w:rPr>
          <w:rFonts w:cs="Arial"/>
          <w:i/>
        </w:rPr>
        <w:t>Id</w:t>
      </w:r>
      <w:r w:rsidR="00406D05">
        <w:rPr>
          <w:rFonts w:cs="Arial"/>
        </w:rPr>
        <w:t>. at 36.</w:t>
      </w:r>
    </w:p>
  </w:footnote>
  <w:footnote w:id="48">
    <w:p w:rsidR="000F6F45" w:rsidRDefault="000F6F45" w:rsidP="0044044E">
      <w:pPr>
        <w:pStyle w:val="FootnoteText"/>
        <w:jc w:val="both"/>
        <w:rPr>
          <w:rFonts w:cs="Arial"/>
        </w:rPr>
      </w:pPr>
      <w:r>
        <w:rPr>
          <w:rStyle w:val="FootnoteReference"/>
          <w:rFonts w:eastAsiaTheme="majorEastAsia"/>
        </w:rPr>
        <w:footnoteRef/>
      </w:r>
      <w:r>
        <w:rPr>
          <w:rFonts w:cs="Arial"/>
        </w:rPr>
        <w:t xml:space="preserve"> Dayton Power and Light Company, Tenth Revised Tariff Sheet No. T8, Page 3, viewed at http://www.puco.ohio.gov/emplibrary/files/docketing/tariffs/Electric/The%20Dayton%20Power%20and%20Light%20Company/PUCO%2017%20Transmission.pdf.</w:t>
      </w:r>
    </w:p>
  </w:footnote>
  <w:footnote w:id="49">
    <w:p w:rsidR="000F6F45" w:rsidRDefault="000F6F45" w:rsidP="0044044E">
      <w:pPr>
        <w:pStyle w:val="FootnoteText"/>
        <w:jc w:val="both"/>
        <w:rPr>
          <w:rFonts w:cs="Arial"/>
        </w:rPr>
      </w:pPr>
      <w:r>
        <w:rPr>
          <w:rStyle w:val="FootnoteReference"/>
          <w:rFonts w:eastAsiaTheme="majorEastAsia"/>
        </w:rPr>
        <w:footnoteRef/>
      </w:r>
      <w:r>
        <w:rPr>
          <w:rFonts w:cs="Arial"/>
        </w:rPr>
        <w:t xml:space="preserve"> </w:t>
      </w:r>
      <w:r w:rsidRPr="005D6FC2">
        <w:rPr>
          <w:rFonts w:cs="Arial"/>
          <w:i/>
        </w:rPr>
        <w:t>Id</w:t>
      </w:r>
      <w:r>
        <w:rPr>
          <w:rFonts w:cs="Arial"/>
        </w:rPr>
        <w:t>.</w:t>
      </w:r>
    </w:p>
  </w:footnote>
  <w:footnote w:id="50">
    <w:p w:rsidR="000F6F45" w:rsidRDefault="000F6F45" w:rsidP="0044044E">
      <w:pPr>
        <w:pStyle w:val="FootnoteText"/>
        <w:jc w:val="both"/>
        <w:rPr>
          <w:rFonts w:cs="Arial"/>
        </w:rPr>
      </w:pPr>
      <w:r>
        <w:rPr>
          <w:rStyle w:val="FootnoteReference"/>
          <w:rFonts w:eastAsiaTheme="majorEastAsia"/>
        </w:rPr>
        <w:footnoteRef/>
      </w:r>
      <w:r>
        <w:rPr>
          <w:rFonts w:cs="Arial"/>
        </w:rPr>
        <w:t xml:space="preserve"> </w:t>
      </w:r>
      <w:r>
        <w:rPr>
          <w:rFonts w:cs="Arial"/>
          <w:i/>
        </w:rPr>
        <w:t>Id.,</w:t>
      </w:r>
      <w:r>
        <w:rPr>
          <w:rFonts w:cs="Arial"/>
        </w:rPr>
        <w:t xml:space="preserve"> </w:t>
      </w:r>
      <w:r w:rsidR="002550DF">
        <w:rPr>
          <w:rFonts w:cs="Arial"/>
        </w:rPr>
        <w:t xml:space="preserve">Thirteenth Revised Sheet No. D19 (Secondary), Thirteenth Revised Sheet No. D20 (Primary), Eleventh Revised Tariff Sheet No. D21 (Primary Substation), and </w:t>
      </w:r>
      <w:r>
        <w:rPr>
          <w:rFonts w:cs="Arial"/>
        </w:rPr>
        <w:t>Tenth Revised Tariff Sheet No. D22</w:t>
      </w:r>
      <w:r w:rsidR="002550DF">
        <w:rPr>
          <w:rFonts w:cs="Arial"/>
        </w:rPr>
        <w:t xml:space="preserve"> (High Voltage)</w:t>
      </w:r>
      <w:r>
        <w:rPr>
          <w:rFonts w:cs="Arial"/>
        </w:rPr>
        <w:t xml:space="preserve">, viewed </w:t>
      </w:r>
      <w:r w:rsidR="004859E4">
        <w:rPr>
          <w:rFonts w:cs="Arial"/>
        </w:rPr>
        <w:tab/>
      </w:r>
      <w:r>
        <w:rPr>
          <w:rFonts w:cs="Arial"/>
        </w:rPr>
        <w:t>at http://www.puco.ohio.gov/emplibrary/files/docketing/tariffs/Electric/The%20Dayton%20Power%20and%20Light%20Company</w:t>
      </w:r>
      <w:r w:rsidR="002550DF">
        <w:rPr>
          <w:rFonts w:cs="Arial"/>
        </w:rPr>
        <w:t>/PUCO%2017%20Transmission.pdf.</w:t>
      </w:r>
    </w:p>
  </w:footnote>
  <w:footnote w:id="51">
    <w:p w:rsidR="00126D60" w:rsidRDefault="00126D60" w:rsidP="0044044E">
      <w:pPr>
        <w:pStyle w:val="FootnoteText"/>
        <w:jc w:val="both"/>
      </w:pPr>
      <w:r>
        <w:rPr>
          <w:rStyle w:val="FootnoteReference"/>
        </w:rPr>
        <w:footnoteRef/>
      </w:r>
      <w:r>
        <w:t xml:space="preserve"> </w:t>
      </w:r>
      <w:r w:rsidRPr="005D6FC2">
        <w:rPr>
          <w:i/>
        </w:rPr>
        <w:t>Id</w:t>
      </w:r>
      <w:r>
        <w:t>., Third Revised Sheet No. T3, page 2.  Currently, DP&amp;L also has a bypassable transmi</w:t>
      </w:r>
      <w:r w:rsidR="0093588E">
        <w:t xml:space="preserve">ssion tariff that is set at 0.  </w:t>
      </w:r>
      <w:r w:rsidR="0093588E" w:rsidRPr="005D6FC2">
        <w:rPr>
          <w:i/>
        </w:rPr>
        <w:t>Id</w:t>
      </w:r>
      <w:r w:rsidR="0093588E">
        <w:t xml:space="preserve">., </w:t>
      </w:r>
      <w:r w:rsidR="008D4AAE">
        <w:t xml:space="preserve">Fourteenth Revised Tariff Sheet No. T9.  </w:t>
      </w:r>
      <w:r w:rsidR="0093588E">
        <w:t xml:space="preserve"> </w:t>
      </w:r>
    </w:p>
  </w:footnote>
  <w:footnote w:id="52">
    <w:p w:rsidR="00010C56" w:rsidRDefault="00010C56">
      <w:pPr>
        <w:pStyle w:val="FootnoteText"/>
      </w:pPr>
      <w:r>
        <w:rPr>
          <w:rStyle w:val="FootnoteReference"/>
        </w:rPr>
        <w:footnoteRef/>
      </w:r>
      <w:r>
        <w:t xml:space="preserve"> Rule 4901:1-36-02(B), OAC.</w:t>
      </w:r>
    </w:p>
  </w:footnote>
  <w:footnote w:id="53">
    <w:p w:rsidR="009E32AB" w:rsidRDefault="009E32AB">
      <w:pPr>
        <w:pStyle w:val="FootnoteText"/>
      </w:pPr>
      <w:r>
        <w:rPr>
          <w:rStyle w:val="FootnoteReference"/>
        </w:rPr>
        <w:footnoteRef/>
      </w:r>
      <w:r>
        <w:t xml:space="preserve"> </w:t>
      </w:r>
      <w:r w:rsidRPr="00E43625">
        <w:rPr>
          <w:i/>
          <w:szCs w:val="24"/>
        </w:rPr>
        <w:t>State v. Brown</w:t>
      </w:r>
      <w:r>
        <w:rPr>
          <w:szCs w:val="24"/>
        </w:rPr>
        <w:t xml:space="preserve">, 38 Ohio St.3d </w:t>
      </w:r>
      <w:r w:rsidR="00BE5B93">
        <w:rPr>
          <w:szCs w:val="24"/>
        </w:rPr>
        <w:t>305, 308</w:t>
      </w:r>
      <w:r>
        <w:rPr>
          <w:szCs w:val="24"/>
        </w:rPr>
        <w:t xml:space="preserve"> (1988).  </w:t>
      </w:r>
    </w:p>
  </w:footnote>
  <w:footnote w:id="54">
    <w:p w:rsidR="00800994" w:rsidRDefault="00800994">
      <w:pPr>
        <w:pStyle w:val="FootnoteText"/>
      </w:pPr>
      <w:r>
        <w:rPr>
          <w:rStyle w:val="FootnoteReference"/>
        </w:rPr>
        <w:footnoteRef/>
      </w:r>
      <w:r>
        <w:t xml:space="preserve"> </w:t>
      </w:r>
      <w:r w:rsidR="009E32AB" w:rsidRPr="009E32AB">
        <w:rPr>
          <w:i/>
        </w:rPr>
        <w:t>Id</w:t>
      </w:r>
      <w:r w:rsidR="009E32AB">
        <w:t xml:space="preserve">. </w:t>
      </w:r>
      <w:r w:rsidR="00BE5B93">
        <w:t>(internal quotation marks removed)</w:t>
      </w:r>
      <w:r w:rsidR="009E32AB">
        <w:t xml:space="preserve">.  </w:t>
      </w:r>
      <w:r>
        <w:rPr>
          <w:szCs w:val="24"/>
        </w:rPr>
        <w:t xml:space="preserve">In a similar vein, the Commission has found good cause for conducting a hearing on a showing by the Staff of a substantial justification for doing so.  </w:t>
      </w:r>
      <w:r w:rsidRPr="00E43625">
        <w:rPr>
          <w:i/>
          <w:szCs w:val="24"/>
        </w:rPr>
        <w:t>See In re Matter of the 2010 Electric Long-Term Forecast Report of Duke Energy Ohio, Inc.</w:t>
      </w:r>
      <w:r>
        <w:rPr>
          <w:szCs w:val="24"/>
        </w:rPr>
        <w:t>, Case No. 10-503-EL-</w:t>
      </w:r>
      <w:r w:rsidR="00E43625">
        <w:rPr>
          <w:szCs w:val="24"/>
        </w:rPr>
        <w:t xml:space="preserve">FOR, Entry </w:t>
      </w:r>
      <w:r w:rsidR="001647BD">
        <w:rPr>
          <w:szCs w:val="24"/>
        </w:rPr>
        <w:t xml:space="preserve">at 1-2 </w:t>
      </w:r>
      <w:r w:rsidR="00E43625">
        <w:rPr>
          <w:szCs w:val="24"/>
        </w:rPr>
        <w:t>(July 15, 2010).</w:t>
      </w:r>
    </w:p>
  </w:footnote>
  <w:footnote w:id="55">
    <w:p w:rsidR="0072633C" w:rsidRDefault="0072633C" w:rsidP="0044044E">
      <w:pPr>
        <w:pStyle w:val="FootnoteText"/>
        <w:jc w:val="both"/>
      </w:pPr>
      <w:r>
        <w:rPr>
          <w:rStyle w:val="FootnoteReference"/>
        </w:rPr>
        <w:footnoteRef/>
      </w:r>
      <w:r>
        <w:t xml:space="preserve"> </w:t>
      </w:r>
      <w:r w:rsidRPr="00B31F4E">
        <w:t xml:space="preserve">Application at 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EB" w:rsidRDefault="00785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EB" w:rsidRDefault="007850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0EB" w:rsidRDefault="007850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Default="004B33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Default="004B33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9B" w:rsidRDefault="004B33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B10606"/>
    <w:multiLevelType w:val="hybridMultilevel"/>
    <w:tmpl w:val="66F410F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340E2"/>
    <w:multiLevelType w:val="hybridMultilevel"/>
    <w:tmpl w:val="D36EBE14"/>
    <w:lvl w:ilvl="0" w:tplc="58FAC034">
      <w:start w:val="1"/>
      <w:numFmt w:val="decimal"/>
      <w:lvlText w:val="%1."/>
      <w:lvlJc w:val="left"/>
      <w:pPr>
        <w:ind w:left="1080" w:hanging="360"/>
      </w:pPr>
      <w:rPr>
        <w:rFonts w:hint="default"/>
      </w:rPr>
    </w:lvl>
    <w:lvl w:ilvl="1" w:tplc="2C68E63E" w:tentative="1">
      <w:start w:val="1"/>
      <w:numFmt w:val="lowerLetter"/>
      <w:lvlText w:val="%2."/>
      <w:lvlJc w:val="left"/>
      <w:pPr>
        <w:ind w:left="1800" w:hanging="360"/>
      </w:pPr>
    </w:lvl>
    <w:lvl w:ilvl="2" w:tplc="9296319E" w:tentative="1">
      <w:start w:val="1"/>
      <w:numFmt w:val="lowerRoman"/>
      <w:lvlText w:val="%3."/>
      <w:lvlJc w:val="right"/>
      <w:pPr>
        <w:ind w:left="2520" w:hanging="180"/>
      </w:pPr>
    </w:lvl>
    <w:lvl w:ilvl="3" w:tplc="CF160C40" w:tentative="1">
      <w:start w:val="1"/>
      <w:numFmt w:val="decimal"/>
      <w:lvlText w:val="%4."/>
      <w:lvlJc w:val="left"/>
      <w:pPr>
        <w:ind w:left="3240" w:hanging="360"/>
      </w:pPr>
    </w:lvl>
    <w:lvl w:ilvl="4" w:tplc="63505898" w:tentative="1">
      <w:start w:val="1"/>
      <w:numFmt w:val="lowerLetter"/>
      <w:lvlText w:val="%5."/>
      <w:lvlJc w:val="left"/>
      <w:pPr>
        <w:ind w:left="3960" w:hanging="360"/>
      </w:pPr>
    </w:lvl>
    <w:lvl w:ilvl="5" w:tplc="1E4C9AA0" w:tentative="1">
      <w:start w:val="1"/>
      <w:numFmt w:val="lowerRoman"/>
      <w:lvlText w:val="%6."/>
      <w:lvlJc w:val="right"/>
      <w:pPr>
        <w:ind w:left="4680" w:hanging="180"/>
      </w:pPr>
    </w:lvl>
    <w:lvl w:ilvl="6" w:tplc="71C62A10" w:tentative="1">
      <w:start w:val="1"/>
      <w:numFmt w:val="decimal"/>
      <w:lvlText w:val="%7."/>
      <w:lvlJc w:val="left"/>
      <w:pPr>
        <w:ind w:left="5400" w:hanging="360"/>
      </w:pPr>
    </w:lvl>
    <w:lvl w:ilvl="7" w:tplc="1D406EB4" w:tentative="1">
      <w:start w:val="1"/>
      <w:numFmt w:val="lowerLetter"/>
      <w:lvlText w:val="%8."/>
      <w:lvlJc w:val="left"/>
      <w:pPr>
        <w:ind w:left="6120" w:hanging="360"/>
      </w:pPr>
    </w:lvl>
    <w:lvl w:ilvl="8" w:tplc="628E55F6" w:tentative="1">
      <w:start w:val="1"/>
      <w:numFmt w:val="lowerRoman"/>
      <w:lvlText w:val="%9."/>
      <w:lvlJc w:val="right"/>
      <w:pPr>
        <w:ind w:left="6840" w:hanging="180"/>
      </w:pPr>
    </w:lvl>
  </w:abstractNum>
  <w:abstractNum w:abstractNumId="5" w15:restartNumberingAfterBreak="0">
    <w:nsid w:val="42142F65"/>
    <w:multiLevelType w:val="hybridMultilevel"/>
    <w:tmpl w:val="09CC1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93BCB"/>
    <w:multiLevelType w:val="multilevel"/>
    <w:tmpl w:val="1D4091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F4643F9"/>
    <w:multiLevelType w:val="hybridMultilevel"/>
    <w:tmpl w:val="10420834"/>
    <w:lvl w:ilvl="0" w:tplc="A838DF64">
      <w:start w:val="1"/>
      <w:numFmt w:val="upperLetter"/>
      <w:lvlText w:val="%1."/>
      <w:lvlJc w:val="left"/>
      <w:pPr>
        <w:ind w:left="7290" w:hanging="360"/>
      </w:pPr>
      <w:rPr>
        <w:rFonts w:hint="default"/>
        <w:b/>
      </w:rPr>
    </w:lvl>
    <w:lvl w:ilvl="1" w:tplc="B74A0A22">
      <w:start w:val="1"/>
      <w:numFmt w:val="lowerLetter"/>
      <w:lvlText w:val="%2."/>
      <w:lvlJc w:val="left"/>
      <w:pPr>
        <w:ind w:left="5040" w:hanging="360"/>
      </w:pPr>
    </w:lvl>
    <w:lvl w:ilvl="2" w:tplc="3DEA9F84">
      <w:start w:val="1"/>
      <w:numFmt w:val="lowerRoman"/>
      <w:lvlText w:val="%3."/>
      <w:lvlJc w:val="right"/>
      <w:pPr>
        <w:ind w:left="5760" w:hanging="180"/>
      </w:pPr>
    </w:lvl>
    <w:lvl w:ilvl="3" w:tplc="F50C7E7A" w:tentative="1">
      <w:start w:val="1"/>
      <w:numFmt w:val="decimal"/>
      <w:lvlText w:val="%4."/>
      <w:lvlJc w:val="left"/>
      <w:pPr>
        <w:ind w:left="6480" w:hanging="360"/>
      </w:pPr>
    </w:lvl>
    <w:lvl w:ilvl="4" w:tplc="B5527E5A" w:tentative="1">
      <w:start w:val="1"/>
      <w:numFmt w:val="lowerLetter"/>
      <w:lvlText w:val="%5."/>
      <w:lvlJc w:val="left"/>
      <w:pPr>
        <w:ind w:left="7200" w:hanging="360"/>
      </w:pPr>
    </w:lvl>
    <w:lvl w:ilvl="5" w:tplc="A880E066" w:tentative="1">
      <w:start w:val="1"/>
      <w:numFmt w:val="lowerRoman"/>
      <w:lvlText w:val="%6."/>
      <w:lvlJc w:val="right"/>
      <w:pPr>
        <w:ind w:left="7920" w:hanging="180"/>
      </w:pPr>
    </w:lvl>
    <w:lvl w:ilvl="6" w:tplc="5866DB7C" w:tentative="1">
      <w:start w:val="1"/>
      <w:numFmt w:val="decimal"/>
      <w:lvlText w:val="%7."/>
      <w:lvlJc w:val="left"/>
      <w:pPr>
        <w:ind w:left="8640" w:hanging="360"/>
      </w:pPr>
    </w:lvl>
    <w:lvl w:ilvl="7" w:tplc="9E06FD54" w:tentative="1">
      <w:start w:val="1"/>
      <w:numFmt w:val="lowerLetter"/>
      <w:lvlText w:val="%8."/>
      <w:lvlJc w:val="left"/>
      <w:pPr>
        <w:ind w:left="9360" w:hanging="360"/>
      </w:pPr>
    </w:lvl>
    <w:lvl w:ilvl="8" w:tplc="3D98567A" w:tentative="1">
      <w:start w:val="1"/>
      <w:numFmt w:val="lowerRoman"/>
      <w:lvlText w:val="%9."/>
      <w:lvlJc w:val="right"/>
      <w:pPr>
        <w:ind w:left="10080" w:hanging="180"/>
      </w:pPr>
    </w:lvl>
  </w:abstractNum>
  <w:abstractNum w:abstractNumId="8" w15:restartNumberingAfterBreak="0">
    <w:nsid w:val="67B71568"/>
    <w:multiLevelType w:val="multilevel"/>
    <w:tmpl w:val="11320E68"/>
    <w:name w:val="IEU-Ohi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9" w15:restartNumberingAfterBreak="0">
    <w:nsid w:val="70DD2B2F"/>
    <w:multiLevelType w:val="hybridMultilevel"/>
    <w:tmpl w:val="2FFC3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num>
  <w:num w:numId="3">
    <w:abstractNumId w:val="8"/>
  </w:num>
  <w:num w:numId="4">
    <w:abstractNumId w:val="8"/>
  </w:num>
  <w:num w:numId="5">
    <w:abstractNumId w:val="1"/>
  </w:num>
  <w:num w:numId="6">
    <w:abstractNumId w:val="3"/>
  </w:num>
  <w:num w:numId="7">
    <w:abstractNumId w:val="0"/>
  </w:num>
  <w:num w:numId="8">
    <w:abstractNumId w:val="0"/>
  </w:num>
  <w:num w:numId="9">
    <w:abstractNumId w:val="2"/>
  </w:num>
  <w:num w:numId="10">
    <w:abstractNumId w:val="5"/>
  </w:num>
  <w:num w:numId="11">
    <w:abstractNumId w:val="9"/>
  </w:num>
  <w:num w:numId="12">
    <w:abstractNumId w:val="4"/>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ExcludeDirectFormattingInTOC1" w:val="False"/>
    <w:docVar w:name="IncludeTOCAndPageHeadings" w:val="True"/>
    <w:docVar w:name="NoNumberLevel1TOC" w:val="False"/>
    <w:docVar w:name="TOCFormatConst" w:val="0"/>
    <w:docVar w:name="TOCFormatPreference" w:val="Leave TOC styles 'as is' in current document (default)"/>
    <w:docVar w:name="TOCHeadingAllCaps" w:val="True"/>
    <w:docVar w:name="TOCHeadingUnderlined" w:val="True"/>
    <w:docVar w:name="TOCIncludeSectionBreaks1" w:val="False"/>
    <w:docVar w:name="TOCPageUnderlined" w:val="False"/>
    <w:docVar w:name="TOCPosition" w:val="4"/>
    <w:docVar w:name="TOCRun" w:val="True"/>
    <w:docVar w:name="TOCSpecialLevels1" w:val="True"/>
    <w:docVar w:name="UnderlineTOCLevel1" w:val="False"/>
    <w:docVar w:name="UpperLevelTOC" w:val="1-3"/>
  </w:docVars>
  <w:rsids>
    <w:rsidRoot w:val="000639C7"/>
    <w:rsid w:val="00006987"/>
    <w:rsid w:val="00010C56"/>
    <w:rsid w:val="00012D30"/>
    <w:rsid w:val="00022684"/>
    <w:rsid w:val="000267D3"/>
    <w:rsid w:val="00027349"/>
    <w:rsid w:val="00027AD8"/>
    <w:rsid w:val="00034DA2"/>
    <w:rsid w:val="00040731"/>
    <w:rsid w:val="00041A88"/>
    <w:rsid w:val="000448C6"/>
    <w:rsid w:val="00046239"/>
    <w:rsid w:val="0004624D"/>
    <w:rsid w:val="00046B84"/>
    <w:rsid w:val="00047397"/>
    <w:rsid w:val="00057BD7"/>
    <w:rsid w:val="00061499"/>
    <w:rsid w:val="000639C7"/>
    <w:rsid w:val="0006591B"/>
    <w:rsid w:val="00066CB8"/>
    <w:rsid w:val="0006737A"/>
    <w:rsid w:val="0007025E"/>
    <w:rsid w:val="000704E3"/>
    <w:rsid w:val="00072CB0"/>
    <w:rsid w:val="00073E51"/>
    <w:rsid w:val="00075DD6"/>
    <w:rsid w:val="000833B8"/>
    <w:rsid w:val="00087F8F"/>
    <w:rsid w:val="0009399A"/>
    <w:rsid w:val="000941C3"/>
    <w:rsid w:val="00096135"/>
    <w:rsid w:val="000A2816"/>
    <w:rsid w:val="000A4FCE"/>
    <w:rsid w:val="000B322B"/>
    <w:rsid w:val="000C2544"/>
    <w:rsid w:val="000C57B1"/>
    <w:rsid w:val="000C5962"/>
    <w:rsid w:val="000C6660"/>
    <w:rsid w:val="000D1049"/>
    <w:rsid w:val="000D18CF"/>
    <w:rsid w:val="000D3A04"/>
    <w:rsid w:val="000D5DD6"/>
    <w:rsid w:val="000D7F08"/>
    <w:rsid w:val="000E1B6F"/>
    <w:rsid w:val="000E61C6"/>
    <w:rsid w:val="000F0402"/>
    <w:rsid w:val="000F4EB7"/>
    <w:rsid w:val="000F6F45"/>
    <w:rsid w:val="000F764D"/>
    <w:rsid w:val="00103546"/>
    <w:rsid w:val="00104EAF"/>
    <w:rsid w:val="00104F75"/>
    <w:rsid w:val="00106D0C"/>
    <w:rsid w:val="00107361"/>
    <w:rsid w:val="00120AA3"/>
    <w:rsid w:val="00121C49"/>
    <w:rsid w:val="0012284F"/>
    <w:rsid w:val="00123B18"/>
    <w:rsid w:val="00126D60"/>
    <w:rsid w:val="00132AD0"/>
    <w:rsid w:val="00132E36"/>
    <w:rsid w:val="00137130"/>
    <w:rsid w:val="001402FA"/>
    <w:rsid w:val="00143A91"/>
    <w:rsid w:val="0014420D"/>
    <w:rsid w:val="00146F43"/>
    <w:rsid w:val="001558EA"/>
    <w:rsid w:val="00161653"/>
    <w:rsid w:val="00163223"/>
    <w:rsid w:val="00164035"/>
    <w:rsid w:val="001640D9"/>
    <w:rsid w:val="001647BD"/>
    <w:rsid w:val="00164953"/>
    <w:rsid w:val="00171379"/>
    <w:rsid w:val="001764E0"/>
    <w:rsid w:val="00177EB0"/>
    <w:rsid w:val="00181B1D"/>
    <w:rsid w:val="00183B92"/>
    <w:rsid w:val="00185EDF"/>
    <w:rsid w:val="00186DAF"/>
    <w:rsid w:val="00190291"/>
    <w:rsid w:val="00193268"/>
    <w:rsid w:val="00193E4E"/>
    <w:rsid w:val="00194242"/>
    <w:rsid w:val="00195EF9"/>
    <w:rsid w:val="001960FF"/>
    <w:rsid w:val="001A2E1F"/>
    <w:rsid w:val="001B3C4B"/>
    <w:rsid w:val="001B6354"/>
    <w:rsid w:val="001C0925"/>
    <w:rsid w:val="001C0B0D"/>
    <w:rsid w:val="001C422D"/>
    <w:rsid w:val="001C4F5F"/>
    <w:rsid w:val="001D447F"/>
    <w:rsid w:val="001D5B52"/>
    <w:rsid w:val="001E0276"/>
    <w:rsid w:val="001E727B"/>
    <w:rsid w:val="001F6EB7"/>
    <w:rsid w:val="002036C9"/>
    <w:rsid w:val="0021039B"/>
    <w:rsid w:val="00212D69"/>
    <w:rsid w:val="002162ED"/>
    <w:rsid w:val="002254CD"/>
    <w:rsid w:val="00230037"/>
    <w:rsid w:val="002306CA"/>
    <w:rsid w:val="00234EFF"/>
    <w:rsid w:val="00240415"/>
    <w:rsid w:val="00246D21"/>
    <w:rsid w:val="00250125"/>
    <w:rsid w:val="00250797"/>
    <w:rsid w:val="002550DF"/>
    <w:rsid w:val="00255386"/>
    <w:rsid w:val="002610D7"/>
    <w:rsid w:val="00262597"/>
    <w:rsid w:val="002731D4"/>
    <w:rsid w:val="002805D9"/>
    <w:rsid w:val="00280B1C"/>
    <w:rsid w:val="00280E21"/>
    <w:rsid w:val="00282072"/>
    <w:rsid w:val="0028280F"/>
    <w:rsid w:val="00283E39"/>
    <w:rsid w:val="002848F3"/>
    <w:rsid w:val="0028671E"/>
    <w:rsid w:val="00290995"/>
    <w:rsid w:val="00290C91"/>
    <w:rsid w:val="00292EED"/>
    <w:rsid w:val="00296393"/>
    <w:rsid w:val="002A1B8B"/>
    <w:rsid w:val="002A34D2"/>
    <w:rsid w:val="002A469B"/>
    <w:rsid w:val="002A700C"/>
    <w:rsid w:val="002B244D"/>
    <w:rsid w:val="002B284E"/>
    <w:rsid w:val="002B64A7"/>
    <w:rsid w:val="002B7719"/>
    <w:rsid w:val="002C1BEF"/>
    <w:rsid w:val="002C1FA7"/>
    <w:rsid w:val="002C7AA9"/>
    <w:rsid w:val="002D0147"/>
    <w:rsid w:val="002D12E7"/>
    <w:rsid w:val="002D2CC9"/>
    <w:rsid w:val="002D3603"/>
    <w:rsid w:val="002D41A3"/>
    <w:rsid w:val="002D438A"/>
    <w:rsid w:val="002D7989"/>
    <w:rsid w:val="002E2F49"/>
    <w:rsid w:val="002E716F"/>
    <w:rsid w:val="00300549"/>
    <w:rsid w:val="00301DCE"/>
    <w:rsid w:val="00305057"/>
    <w:rsid w:val="00307FBF"/>
    <w:rsid w:val="003108C9"/>
    <w:rsid w:val="00313F5D"/>
    <w:rsid w:val="003145DF"/>
    <w:rsid w:val="003151D8"/>
    <w:rsid w:val="00317C57"/>
    <w:rsid w:val="00324BC4"/>
    <w:rsid w:val="00326B51"/>
    <w:rsid w:val="003507B5"/>
    <w:rsid w:val="00350828"/>
    <w:rsid w:val="00352DD1"/>
    <w:rsid w:val="00353BA5"/>
    <w:rsid w:val="00355C5C"/>
    <w:rsid w:val="00361BD8"/>
    <w:rsid w:val="0036521E"/>
    <w:rsid w:val="00380478"/>
    <w:rsid w:val="00383588"/>
    <w:rsid w:val="00387189"/>
    <w:rsid w:val="00390015"/>
    <w:rsid w:val="00392359"/>
    <w:rsid w:val="00396C4B"/>
    <w:rsid w:val="003A4C06"/>
    <w:rsid w:val="003A7FB8"/>
    <w:rsid w:val="003B3AE1"/>
    <w:rsid w:val="003B4187"/>
    <w:rsid w:val="003C5E7B"/>
    <w:rsid w:val="003D2BF4"/>
    <w:rsid w:val="003D6731"/>
    <w:rsid w:val="003E7AF4"/>
    <w:rsid w:val="003F151F"/>
    <w:rsid w:val="003F15CD"/>
    <w:rsid w:val="003F1B01"/>
    <w:rsid w:val="003F2195"/>
    <w:rsid w:val="003F226E"/>
    <w:rsid w:val="003F68C5"/>
    <w:rsid w:val="00400A8B"/>
    <w:rsid w:val="00402942"/>
    <w:rsid w:val="00406D05"/>
    <w:rsid w:val="004113FD"/>
    <w:rsid w:val="00413594"/>
    <w:rsid w:val="00417051"/>
    <w:rsid w:val="00420EE2"/>
    <w:rsid w:val="00420EFD"/>
    <w:rsid w:val="00432258"/>
    <w:rsid w:val="00436055"/>
    <w:rsid w:val="0044044E"/>
    <w:rsid w:val="00446BAA"/>
    <w:rsid w:val="0045230A"/>
    <w:rsid w:val="004531EA"/>
    <w:rsid w:val="004558DF"/>
    <w:rsid w:val="0045653A"/>
    <w:rsid w:val="00464F70"/>
    <w:rsid w:val="00473855"/>
    <w:rsid w:val="00477748"/>
    <w:rsid w:val="0048020B"/>
    <w:rsid w:val="004859E4"/>
    <w:rsid w:val="00486BAE"/>
    <w:rsid w:val="004A161E"/>
    <w:rsid w:val="004A19C8"/>
    <w:rsid w:val="004A3FC6"/>
    <w:rsid w:val="004B106B"/>
    <w:rsid w:val="004B23AC"/>
    <w:rsid w:val="004B3115"/>
    <w:rsid w:val="004B339B"/>
    <w:rsid w:val="004B7631"/>
    <w:rsid w:val="004C3D29"/>
    <w:rsid w:val="004C484B"/>
    <w:rsid w:val="004D0F1D"/>
    <w:rsid w:val="004D2344"/>
    <w:rsid w:val="004D404C"/>
    <w:rsid w:val="004D4AB7"/>
    <w:rsid w:val="004D78F0"/>
    <w:rsid w:val="004E4046"/>
    <w:rsid w:val="004E7342"/>
    <w:rsid w:val="004E7F71"/>
    <w:rsid w:val="004F0B84"/>
    <w:rsid w:val="004F1AFE"/>
    <w:rsid w:val="004F3832"/>
    <w:rsid w:val="004F408E"/>
    <w:rsid w:val="004F5602"/>
    <w:rsid w:val="0050420B"/>
    <w:rsid w:val="00507BAD"/>
    <w:rsid w:val="0051257C"/>
    <w:rsid w:val="00512939"/>
    <w:rsid w:val="00514C82"/>
    <w:rsid w:val="005154B8"/>
    <w:rsid w:val="005277EF"/>
    <w:rsid w:val="0053326C"/>
    <w:rsid w:val="005335BF"/>
    <w:rsid w:val="00540097"/>
    <w:rsid w:val="00541A63"/>
    <w:rsid w:val="0054222B"/>
    <w:rsid w:val="00544EA9"/>
    <w:rsid w:val="00546A82"/>
    <w:rsid w:val="0055076B"/>
    <w:rsid w:val="00551B18"/>
    <w:rsid w:val="005528D7"/>
    <w:rsid w:val="00553EEF"/>
    <w:rsid w:val="00560C51"/>
    <w:rsid w:val="00562392"/>
    <w:rsid w:val="00564802"/>
    <w:rsid w:val="00565822"/>
    <w:rsid w:val="00567C6E"/>
    <w:rsid w:val="00574F04"/>
    <w:rsid w:val="00581BF9"/>
    <w:rsid w:val="00583516"/>
    <w:rsid w:val="005904F6"/>
    <w:rsid w:val="00592FCB"/>
    <w:rsid w:val="005960EF"/>
    <w:rsid w:val="005B207B"/>
    <w:rsid w:val="005B4600"/>
    <w:rsid w:val="005B4C3A"/>
    <w:rsid w:val="005C647E"/>
    <w:rsid w:val="005D1D55"/>
    <w:rsid w:val="005D48E4"/>
    <w:rsid w:val="005D6FC2"/>
    <w:rsid w:val="005E5D0A"/>
    <w:rsid w:val="005F3DE4"/>
    <w:rsid w:val="005F546A"/>
    <w:rsid w:val="00601D9D"/>
    <w:rsid w:val="00601ECF"/>
    <w:rsid w:val="0060280D"/>
    <w:rsid w:val="006032E6"/>
    <w:rsid w:val="00606221"/>
    <w:rsid w:val="00606D77"/>
    <w:rsid w:val="0061021A"/>
    <w:rsid w:val="00610354"/>
    <w:rsid w:val="0061388A"/>
    <w:rsid w:val="006205A7"/>
    <w:rsid w:val="00623704"/>
    <w:rsid w:val="00623CB1"/>
    <w:rsid w:val="0062420B"/>
    <w:rsid w:val="00624A42"/>
    <w:rsid w:val="00637A5C"/>
    <w:rsid w:val="00645115"/>
    <w:rsid w:val="0065541A"/>
    <w:rsid w:val="00667A32"/>
    <w:rsid w:val="00673011"/>
    <w:rsid w:val="00680F8F"/>
    <w:rsid w:val="00682D7A"/>
    <w:rsid w:val="00691201"/>
    <w:rsid w:val="0069247F"/>
    <w:rsid w:val="006A30F8"/>
    <w:rsid w:val="006A4B90"/>
    <w:rsid w:val="006B1A35"/>
    <w:rsid w:val="006B2220"/>
    <w:rsid w:val="006B2FA4"/>
    <w:rsid w:val="006B41CA"/>
    <w:rsid w:val="006C2CE8"/>
    <w:rsid w:val="006C2F01"/>
    <w:rsid w:val="006C43EB"/>
    <w:rsid w:val="006C6C39"/>
    <w:rsid w:val="006D2648"/>
    <w:rsid w:val="006D2F73"/>
    <w:rsid w:val="006D47B8"/>
    <w:rsid w:val="006D524D"/>
    <w:rsid w:val="006D62A2"/>
    <w:rsid w:val="006D7528"/>
    <w:rsid w:val="006D757E"/>
    <w:rsid w:val="006E2724"/>
    <w:rsid w:val="006E3507"/>
    <w:rsid w:val="006E63D5"/>
    <w:rsid w:val="006F01B1"/>
    <w:rsid w:val="006F3870"/>
    <w:rsid w:val="006F446B"/>
    <w:rsid w:val="006F44CD"/>
    <w:rsid w:val="006F78F4"/>
    <w:rsid w:val="00713545"/>
    <w:rsid w:val="00714CD0"/>
    <w:rsid w:val="007207D9"/>
    <w:rsid w:val="0072633C"/>
    <w:rsid w:val="0072642B"/>
    <w:rsid w:val="007323A4"/>
    <w:rsid w:val="00732FFC"/>
    <w:rsid w:val="00733346"/>
    <w:rsid w:val="00736894"/>
    <w:rsid w:val="00736BC2"/>
    <w:rsid w:val="00737918"/>
    <w:rsid w:val="00742751"/>
    <w:rsid w:val="00742BC9"/>
    <w:rsid w:val="00743F8D"/>
    <w:rsid w:val="007479CF"/>
    <w:rsid w:val="007522F9"/>
    <w:rsid w:val="007537BF"/>
    <w:rsid w:val="00753AF6"/>
    <w:rsid w:val="00763B84"/>
    <w:rsid w:val="00764ACB"/>
    <w:rsid w:val="0076714C"/>
    <w:rsid w:val="00770E9A"/>
    <w:rsid w:val="00782537"/>
    <w:rsid w:val="007850EB"/>
    <w:rsid w:val="00792A60"/>
    <w:rsid w:val="0079611F"/>
    <w:rsid w:val="007A28B7"/>
    <w:rsid w:val="007A2B88"/>
    <w:rsid w:val="007A6489"/>
    <w:rsid w:val="007A6A64"/>
    <w:rsid w:val="007C3401"/>
    <w:rsid w:val="007C45F7"/>
    <w:rsid w:val="007C6D37"/>
    <w:rsid w:val="007D0F57"/>
    <w:rsid w:val="007D170F"/>
    <w:rsid w:val="007D426F"/>
    <w:rsid w:val="007D457D"/>
    <w:rsid w:val="007D7F9F"/>
    <w:rsid w:val="007E2B62"/>
    <w:rsid w:val="007E37FE"/>
    <w:rsid w:val="007E49A4"/>
    <w:rsid w:val="007E49D4"/>
    <w:rsid w:val="007E5242"/>
    <w:rsid w:val="007F0125"/>
    <w:rsid w:val="00800994"/>
    <w:rsid w:val="008027AF"/>
    <w:rsid w:val="008037C9"/>
    <w:rsid w:val="00805ACA"/>
    <w:rsid w:val="00807519"/>
    <w:rsid w:val="00807E10"/>
    <w:rsid w:val="00814BCE"/>
    <w:rsid w:val="00817277"/>
    <w:rsid w:val="008231C2"/>
    <w:rsid w:val="00823627"/>
    <w:rsid w:val="0082610C"/>
    <w:rsid w:val="00826560"/>
    <w:rsid w:val="00834121"/>
    <w:rsid w:val="00835448"/>
    <w:rsid w:val="00835E1C"/>
    <w:rsid w:val="0083686F"/>
    <w:rsid w:val="00843CB4"/>
    <w:rsid w:val="00844AA1"/>
    <w:rsid w:val="0084602E"/>
    <w:rsid w:val="00850AF2"/>
    <w:rsid w:val="0085128A"/>
    <w:rsid w:val="00851796"/>
    <w:rsid w:val="008523CB"/>
    <w:rsid w:val="00852E69"/>
    <w:rsid w:val="0086494F"/>
    <w:rsid w:val="008663E3"/>
    <w:rsid w:val="00866970"/>
    <w:rsid w:val="00870827"/>
    <w:rsid w:val="008757F6"/>
    <w:rsid w:val="00880DF8"/>
    <w:rsid w:val="00881AA6"/>
    <w:rsid w:val="0088322C"/>
    <w:rsid w:val="008844D2"/>
    <w:rsid w:val="008851AC"/>
    <w:rsid w:val="00885FF6"/>
    <w:rsid w:val="0088646C"/>
    <w:rsid w:val="008A51F4"/>
    <w:rsid w:val="008A65AE"/>
    <w:rsid w:val="008B0784"/>
    <w:rsid w:val="008B2231"/>
    <w:rsid w:val="008C7601"/>
    <w:rsid w:val="008D4AAE"/>
    <w:rsid w:val="008E56AB"/>
    <w:rsid w:val="008E5ECB"/>
    <w:rsid w:val="008F164C"/>
    <w:rsid w:val="008F495C"/>
    <w:rsid w:val="00904C69"/>
    <w:rsid w:val="00915A94"/>
    <w:rsid w:val="00917D09"/>
    <w:rsid w:val="009220AF"/>
    <w:rsid w:val="0092303A"/>
    <w:rsid w:val="00923737"/>
    <w:rsid w:val="0092530A"/>
    <w:rsid w:val="009310D0"/>
    <w:rsid w:val="00933D2F"/>
    <w:rsid w:val="009355B4"/>
    <w:rsid w:val="0093588E"/>
    <w:rsid w:val="009360F7"/>
    <w:rsid w:val="00936EA5"/>
    <w:rsid w:val="00941E93"/>
    <w:rsid w:val="00943D10"/>
    <w:rsid w:val="00946ADE"/>
    <w:rsid w:val="009549FE"/>
    <w:rsid w:val="00955108"/>
    <w:rsid w:val="00957CF9"/>
    <w:rsid w:val="00961DDD"/>
    <w:rsid w:val="00971797"/>
    <w:rsid w:val="009753D4"/>
    <w:rsid w:val="0097608B"/>
    <w:rsid w:val="009812B5"/>
    <w:rsid w:val="0099549D"/>
    <w:rsid w:val="00996072"/>
    <w:rsid w:val="009A24BD"/>
    <w:rsid w:val="009A7BB2"/>
    <w:rsid w:val="009B4DA5"/>
    <w:rsid w:val="009B5766"/>
    <w:rsid w:val="009B5FE5"/>
    <w:rsid w:val="009B71E2"/>
    <w:rsid w:val="009C6B13"/>
    <w:rsid w:val="009C7ECF"/>
    <w:rsid w:val="009D4770"/>
    <w:rsid w:val="009E080A"/>
    <w:rsid w:val="009E1AD1"/>
    <w:rsid w:val="009E32AB"/>
    <w:rsid w:val="009E493F"/>
    <w:rsid w:val="009E5CFF"/>
    <w:rsid w:val="009E7E57"/>
    <w:rsid w:val="009F006B"/>
    <w:rsid w:val="009F1E1E"/>
    <w:rsid w:val="009F3D5E"/>
    <w:rsid w:val="009F6028"/>
    <w:rsid w:val="009F6CFB"/>
    <w:rsid w:val="009F7900"/>
    <w:rsid w:val="00A0667D"/>
    <w:rsid w:val="00A0797A"/>
    <w:rsid w:val="00A07C62"/>
    <w:rsid w:val="00A13F26"/>
    <w:rsid w:val="00A15A2E"/>
    <w:rsid w:val="00A15FAC"/>
    <w:rsid w:val="00A16258"/>
    <w:rsid w:val="00A2178E"/>
    <w:rsid w:val="00A22593"/>
    <w:rsid w:val="00A253D6"/>
    <w:rsid w:val="00A2684D"/>
    <w:rsid w:val="00A2705F"/>
    <w:rsid w:val="00A3114D"/>
    <w:rsid w:val="00A35BB0"/>
    <w:rsid w:val="00A37095"/>
    <w:rsid w:val="00A378D8"/>
    <w:rsid w:val="00A37D19"/>
    <w:rsid w:val="00A42555"/>
    <w:rsid w:val="00A425DE"/>
    <w:rsid w:val="00A5119F"/>
    <w:rsid w:val="00A5171F"/>
    <w:rsid w:val="00A557B7"/>
    <w:rsid w:val="00A55E56"/>
    <w:rsid w:val="00A5654C"/>
    <w:rsid w:val="00A56A5E"/>
    <w:rsid w:val="00A57936"/>
    <w:rsid w:val="00A6055B"/>
    <w:rsid w:val="00A72B29"/>
    <w:rsid w:val="00A72BF7"/>
    <w:rsid w:val="00A73AFB"/>
    <w:rsid w:val="00A74B24"/>
    <w:rsid w:val="00A75993"/>
    <w:rsid w:val="00A77E46"/>
    <w:rsid w:val="00A810C0"/>
    <w:rsid w:val="00A826B8"/>
    <w:rsid w:val="00A8388B"/>
    <w:rsid w:val="00A87501"/>
    <w:rsid w:val="00A9285D"/>
    <w:rsid w:val="00A95915"/>
    <w:rsid w:val="00A97A54"/>
    <w:rsid w:val="00AA2E0A"/>
    <w:rsid w:val="00AB275F"/>
    <w:rsid w:val="00AB3C37"/>
    <w:rsid w:val="00AC223E"/>
    <w:rsid w:val="00AC7036"/>
    <w:rsid w:val="00AD221D"/>
    <w:rsid w:val="00AD56FC"/>
    <w:rsid w:val="00AD7574"/>
    <w:rsid w:val="00AD7BB8"/>
    <w:rsid w:val="00AE050E"/>
    <w:rsid w:val="00AE288F"/>
    <w:rsid w:val="00AF1A5E"/>
    <w:rsid w:val="00AF4D3D"/>
    <w:rsid w:val="00AF5EA2"/>
    <w:rsid w:val="00AF6EC4"/>
    <w:rsid w:val="00AF767C"/>
    <w:rsid w:val="00B0039C"/>
    <w:rsid w:val="00B076FB"/>
    <w:rsid w:val="00B07F2F"/>
    <w:rsid w:val="00B10394"/>
    <w:rsid w:val="00B1664B"/>
    <w:rsid w:val="00B2005B"/>
    <w:rsid w:val="00B276EB"/>
    <w:rsid w:val="00B318D8"/>
    <w:rsid w:val="00B31F4E"/>
    <w:rsid w:val="00B33194"/>
    <w:rsid w:val="00B350AE"/>
    <w:rsid w:val="00B44421"/>
    <w:rsid w:val="00B50578"/>
    <w:rsid w:val="00B50B9A"/>
    <w:rsid w:val="00B511C8"/>
    <w:rsid w:val="00B55E7F"/>
    <w:rsid w:val="00B65011"/>
    <w:rsid w:val="00B652BA"/>
    <w:rsid w:val="00B70A5E"/>
    <w:rsid w:val="00B7586F"/>
    <w:rsid w:val="00B81785"/>
    <w:rsid w:val="00B82B2E"/>
    <w:rsid w:val="00B911C9"/>
    <w:rsid w:val="00B9570B"/>
    <w:rsid w:val="00B9711D"/>
    <w:rsid w:val="00B97DF8"/>
    <w:rsid w:val="00BA1B1B"/>
    <w:rsid w:val="00BA2593"/>
    <w:rsid w:val="00BA415C"/>
    <w:rsid w:val="00BB0AF9"/>
    <w:rsid w:val="00BB0FCE"/>
    <w:rsid w:val="00BB1897"/>
    <w:rsid w:val="00BB5954"/>
    <w:rsid w:val="00BB5A9C"/>
    <w:rsid w:val="00BB752D"/>
    <w:rsid w:val="00BC3C93"/>
    <w:rsid w:val="00BC487E"/>
    <w:rsid w:val="00BD03A8"/>
    <w:rsid w:val="00BD29B2"/>
    <w:rsid w:val="00BE1349"/>
    <w:rsid w:val="00BE1B5A"/>
    <w:rsid w:val="00BE4563"/>
    <w:rsid w:val="00BE526B"/>
    <w:rsid w:val="00BE5B93"/>
    <w:rsid w:val="00BF3999"/>
    <w:rsid w:val="00BF48F2"/>
    <w:rsid w:val="00BF6285"/>
    <w:rsid w:val="00C00A51"/>
    <w:rsid w:val="00C04A3A"/>
    <w:rsid w:val="00C1001A"/>
    <w:rsid w:val="00C119BA"/>
    <w:rsid w:val="00C15669"/>
    <w:rsid w:val="00C2065F"/>
    <w:rsid w:val="00C21F04"/>
    <w:rsid w:val="00C263D6"/>
    <w:rsid w:val="00C272FE"/>
    <w:rsid w:val="00C3021A"/>
    <w:rsid w:val="00C31556"/>
    <w:rsid w:val="00C32247"/>
    <w:rsid w:val="00C352C9"/>
    <w:rsid w:val="00C415F5"/>
    <w:rsid w:val="00C4225A"/>
    <w:rsid w:val="00C434C8"/>
    <w:rsid w:val="00C61370"/>
    <w:rsid w:val="00C66223"/>
    <w:rsid w:val="00C74BA1"/>
    <w:rsid w:val="00C75BBB"/>
    <w:rsid w:val="00C77ED8"/>
    <w:rsid w:val="00C80748"/>
    <w:rsid w:val="00C81002"/>
    <w:rsid w:val="00C845F4"/>
    <w:rsid w:val="00C851E9"/>
    <w:rsid w:val="00C865E8"/>
    <w:rsid w:val="00C87381"/>
    <w:rsid w:val="00C91AEF"/>
    <w:rsid w:val="00CA6E08"/>
    <w:rsid w:val="00CB34B6"/>
    <w:rsid w:val="00CB3C10"/>
    <w:rsid w:val="00CB71F7"/>
    <w:rsid w:val="00CC0C23"/>
    <w:rsid w:val="00CC3A1C"/>
    <w:rsid w:val="00CC50C4"/>
    <w:rsid w:val="00CD4E39"/>
    <w:rsid w:val="00CE482E"/>
    <w:rsid w:val="00CF15E9"/>
    <w:rsid w:val="00CF19D0"/>
    <w:rsid w:val="00CF429A"/>
    <w:rsid w:val="00CF6BFB"/>
    <w:rsid w:val="00D04E80"/>
    <w:rsid w:val="00D16318"/>
    <w:rsid w:val="00D2178F"/>
    <w:rsid w:val="00D237B4"/>
    <w:rsid w:val="00D34BCD"/>
    <w:rsid w:val="00D3626D"/>
    <w:rsid w:val="00D40D95"/>
    <w:rsid w:val="00D43A9E"/>
    <w:rsid w:val="00D4487B"/>
    <w:rsid w:val="00D45153"/>
    <w:rsid w:val="00D45260"/>
    <w:rsid w:val="00D5024A"/>
    <w:rsid w:val="00D51B62"/>
    <w:rsid w:val="00D53FEB"/>
    <w:rsid w:val="00D56C16"/>
    <w:rsid w:val="00D60B04"/>
    <w:rsid w:val="00D6326A"/>
    <w:rsid w:val="00D639D8"/>
    <w:rsid w:val="00D74EC2"/>
    <w:rsid w:val="00D81EC5"/>
    <w:rsid w:val="00D82330"/>
    <w:rsid w:val="00D84529"/>
    <w:rsid w:val="00D86EDC"/>
    <w:rsid w:val="00D90688"/>
    <w:rsid w:val="00D91993"/>
    <w:rsid w:val="00D96132"/>
    <w:rsid w:val="00D9638B"/>
    <w:rsid w:val="00D97E70"/>
    <w:rsid w:val="00DA09CE"/>
    <w:rsid w:val="00DA25E0"/>
    <w:rsid w:val="00DA309D"/>
    <w:rsid w:val="00DA42FD"/>
    <w:rsid w:val="00DA6D07"/>
    <w:rsid w:val="00DA6D72"/>
    <w:rsid w:val="00DB43DA"/>
    <w:rsid w:val="00DB5692"/>
    <w:rsid w:val="00DC2E4B"/>
    <w:rsid w:val="00DC5AF1"/>
    <w:rsid w:val="00DC6D1A"/>
    <w:rsid w:val="00DD0481"/>
    <w:rsid w:val="00DD1E35"/>
    <w:rsid w:val="00DD26EF"/>
    <w:rsid w:val="00DD28C6"/>
    <w:rsid w:val="00DD35B1"/>
    <w:rsid w:val="00DD3689"/>
    <w:rsid w:val="00DD57BF"/>
    <w:rsid w:val="00DD5904"/>
    <w:rsid w:val="00DD6082"/>
    <w:rsid w:val="00DE20F7"/>
    <w:rsid w:val="00DF10C0"/>
    <w:rsid w:val="00E005B7"/>
    <w:rsid w:val="00E01132"/>
    <w:rsid w:val="00E01219"/>
    <w:rsid w:val="00E125D3"/>
    <w:rsid w:val="00E15AEE"/>
    <w:rsid w:val="00E20AD1"/>
    <w:rsid w:val="00E20E24"/>
    <w:rsid w:val="00E37F80"/>
    <w:rsid w:val="00E403F8"/>
    <w:rsid w:val="00E407EB"/>
    <w:rsid w:val="00E4152B"/>
    <w:rsid w:val="00E43379"/>
    <w:rsid w:val="00E43625"/>
    <w:rsid w:val="00E53E8F"/>
    <w:rsid w:val="00E621DE"/>
    <w:rsid w:val="00E6694A"/>
    <w:rsid w:val="00E67DF2"/>
    <w:rsid w:val="00E735ED"/>
    <w:rsid w:val="00E744B0"/>
    <w:rsid w:val="00E774D4"/>
    <w:rsid w:val="00E85109"/>
    <w:rsid w:val="00E86C86"/>
    <w:rsid w:val="00E9025D"/>
    <w:rsid w:val="00E90B60"/>
    <w:rsid w:val="00E91DAE"/>
    <w:rsid w:val="00E94E4B"/>
    <w:rsid w:val="00E967E9"/>
    <w:rsid w:val="00EA3C7E"/>
    <w:rsid w:val="00EA7F1B"/>
    <w:rsid w:val="00EB0015"/>
    <w:rsid w:val="00EC7BB9"/>
    <w:rsid w:val="00ED150F"/>
    <w:rsid w:val="00ED7556"/>
    <w:rsid w:val="00EE2D49"/>
    <w:rsid w:val="00EF225F"/>
    <w:rsid w:val="00EF7EF6"/>
    <w:rsid w:val="00F007D2"/>
    <w:rsid w:val="00F0281A"/>
    <w:rsid w:val="00F050C4"/>
    <w:rsid w:val="00F070CE"/>
    <w:rsid w:val="00F121E3"/>
    <w:rsid w:val="00F12EC9"/>
    <w:rsid w:val="00F142F9"/>
    <w:rsid w:val="00F14FD9"/>
    <w:rsid w:val="00F16CA2"/>
    <w:rsid w:val="00F20EC0"/>
    <w:rsid w:val="00F228FD"/>
    <w:rsid w:val="00F3286D"/>
    <w:rsid w:val="00F3569C"/>
    <w:rsid w:val="00F406BC"/>
    <w:rsid w:val="00F467EE"/>
    <w:rsid w:val="00F50703"/>
    <w:rsid w:val="00F51FA7"/>
    <w:rsid w:val="00F5537D"/>
    <w:rsid w:val="00F56961"/>
    <w:rsid w:val="00F56AB5"/>
    <w:rsid w:val="00F57A40"/>
    <w:rsid w:val="00F605A6"/>
    <w:rsid w:val="00F6487B"/>
    <w:rsid w:val="00F66071"/>
    <w:rsid w:val="00F7010B"/>
    <w:rsid w:val="00F70877"/>
    <w:rsid w:val="00F70A3A"/>
    <w:rsid w:val="00F70D96"/>
    <w:rsid w:val="00F728AA"/>
    <w:rsid w:val="00F73391"/>
    <w:rsid w:val="00F759F0"/>
    <w:rsid w:val="00F77515"/>
    <w:rsid w:val="00F77BDB"/>
    <w:rsid w:val="00F80617"/>
    <w:rsid w:val="00F87B14"/>
    <w:rsid w:val="00FA110E"/>
    <w:rsid w:val="00FA39D8"/>
    <w:rsid w:val="00FA4615"/>
    <w:rsid w:val="00FA5407"/>
    <w:rsid w:val="00FA579C"/>
    <w:rsid w:val="00FA7385"/>
    <w:rsid w:val="00FA7E81"/>
    <w:rsid w:val="00FB02F5"/>
    <w:rsid w:val="00FB25CD"/>
    <w:rsid w:val="00FC434D"/>
    <w:rsid w:val="00FC5AEE"/>
    <w:rsid w:val="00FC6F84"/>
    <w:rsid w:val="00FD4BFE"/>
    <w:rsid w:val="00FE5804"/>
    <w:rsid w:val="00FE7458"/>
    <w:rsid w:val="00FF3E3D"/>
    <w:rsid w:val="00FF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784"/>
    <w:pPr>
      <w:jc w:val="both"/>
    </w:pPr>
    <w:rPr>
      <w:rFonts w:ascii="Arial" w:eastAsiaTheme="minorHAnsi" w:hAnsi="Arial" w:cs="Arial"/>
      <w:sz w:val="24"/>
      <w:szCs w:val="22"/>
    </w:rPr>
  </w:style>
  <w:style w:type="paragraph" w:styleId="Heading1">
    <w:name w:val="heading 1"/>
    <w:basedOn w:val="Normal"/>
    <w:next w:val="Normal"/>
    <w:link w:val="Heading1Char"/>
    <w:uiPriority w:val="9"/>
    <w:qFormat/>
    <w:rsid w:val="008368EA"/>
    <w:pPr>
      <w:numPr>
        <w:numId w:val="4"/>
      </w:numPr>
      <w:tabs>
        <w:tab w:val="clear" w:pos="720"/>
      </w:tabs>
      <w:spacing w:after="240"/>
      <w:outlineLvl w:val="0"/>
    </w:pPr>
    <w:rPr>
      <w:rFonts w:eastAsiaTheme="majorEastAsia"/>
      <w:b/>
      <w:bCs/>
      <w:caps/>
      <w:szCs w:val="28"/>
      <w:u w:val="single"/>
    </w:rPr>
  </w:style>
  <w:style w:type="paragraph" w:styleId="Heading2">
    <w:name w:val="heading 2"/>
    <w:basedOn w:val="Normal"/>
    <w:next w:val="Normal"/>
    <w:link w:val="Heading2Char"/>
    <w:uiPriority w:val="9"/>
    <w:qFormat/>
    <w:rsid w:val="008368EA"/>
    <w:pPr>
      <w:numPr>
        <w:ilvl w:val="1"/>
        <w:numId w:val="4"/>
      </w:numPr>
      <w:spacing w:after="240"/>
      <w:outlineLvl w:val="1"/>
    </w:pPr>
    <w:rPr>
      <w:rFonts w:eastAsiaTheme="majorEastAsia"/>
      <w:b/>
      <w:bCs/>
      <w:szCs w:val="26"/>
    </w:rPr>
  </w:style>
  <w:style w:type="paragraph" w:styleId="Heading3">
    <w:name w:val="heading 3"/>
    <w:basedOn w:val="Normal"/>
    <w:next w:val="Normal"/>
    <w:link w:val="Heading3Char"/>
    <w:uiPriority w:val="9"/>
    <w:qFormat/>
    <w:rsid w:val="008368EA"/>
    <w:pPr>
      <w:numPr>
        <w:ilvl w:val="2"/>
        <w:numId w:val="4"/>
      </w:numPr>
      <w:spacing w:after="240"/>
      <w:outlineLvl w:val="2"/>
    </w:pPr>
    <w:rPr>
      <w:rFonts w:eastAsiaTheme="majorEastAsia"/>
      <w:b/>
      <w:bCs/>
      <w:szCs w:val="20"/>
    </w:rPr>
  </w:style>
  <w:style w:type="paragraph" w:styleId="Heading4">
    <w:name w:val="heading 4"/>
    <w:basedOn w:val="Normal"/>
    <w:next w:val="Normal"/>
    <w:link w:val="Heading4Char"/>
    <w:uiPriority w:val="9"/>
    <w:unhideWhenUsed/>
    <w:qFormat/>
    <w:rsid w:val="008368EA"/>
    <w:pPr>
      <w:numPr>
        <w:ilvl w:val="3"/>
        <w:numId w:val="4"/>
      </w:numPr>
      <w:spacing w:after="240"/>
      <w:outlineLvl w:val="3"/>
    </w:pPr>
    <w:rPr>
      <w:rFonts w:eastAsiaTheme="majorEastAsia"/>
      <w:b/>
      <w:bCs/>
      <w:i/>
      <w:iCs/>
      <w:szCs w:val="20"/>
    </w:rPr>
  </w:style>
  <w:style w:type="paragraph" w:styleId="Heading5">
    <w:name w:val="heading 5"/>
    <w:basedOn w:val="Normal"/>
    <w:next w:val="Normal"/>
    <w:link w:val="Heading5Char"/>
    <w:uiPriority w:val="9"/>
    <w:semiHidden/>
    <w:unhideWhenUsed/>
    <w:rsid w:val="008368EA"/>
    <w:pPr>
      <w:numPr>
        <w:ilvl w:val="4"/>
        <w:numId w:val="4"/>
      </w:numPr>
      <w:spacing w:after="24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rsid w:val="008368EA"/>
    <w:pPr>
      <w:numPr>
        <w:ilvl w:val="5"/>
        <w:numId w:val="4"/>
      </w:numPr>
      <w:spacing w:after="240"/>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rsid w:val="008368EA"/>
    <w:pPr>
      <w:numPr>
        <w:ilvl w:val="6"/>
        <w:numId w:val="4"/>
      </w:numPr>
      <w:spacing w:after="240"/>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rsid w:val="008368EA"/>
    <w:pPr>
      <w:numPr>
        <w:ilvl w:val="7"/>
        <w:numId w:val="4"/>
      </w:numPr>
      <w:spacing w:after="240"/>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rsid w:val="008368EA"/>
    <w:pPr>
      <w:numPr>
        <w:ilvl w:val="8"/>
        <w:numId w:val="4"/>
      </w:numPr>
      <w:spacing w:after="240"/>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8EA"/>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8368EA"/>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8368EA"/>
    <w:rPr>
      <w:rFonts w:ascii="Arial" w:eastAsiaTheme="majorEastAsia" w:hAnsi="Arial" w:cs="Arial"/>
      <w:b/>
      <w:bCs/>
      <w:sz w:val="24"/>
    </w:rPr>
  </w:style>
  <w:style w:type="character" w:customStyle="1" w:styleId="Heading4Char">
    <w:name w:val="Heading 4 Char"/>
    <w:basedOn w:val="DefaultParagraphFont"/>
    <w:link w:val="Heading4"/>
    <w:uiPriority w:val="9"/>
    <w:rsid w:val="008368EA"/>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qFormat/>
    <w:pPr>
      <w:spacing w:after="120"/>
      <w:jc w:val="left"/>
    </w:pPr>
    <w:rPr>
      <w:rFonts w:eastAsia="Times New Roman"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ascii="Arial" w:hAnsi="Arial"/>
    </w:rPr>
  </w:style>
  <w:style w:type="paragraph" w:styleId="Caption">
    <w:name w:val="caption"/>
    <w:basedOn w:val="Normal"/>
    <w:next w:val="Normal"/>
    <w:uiPriority w:val="35"/>
    <w:semiHidden/>
    <w:unhideWhenUsed/>
    <w:qFormat/>
    <w:pPr>
      <w:spacing w:after="200"/>
      <w:jc w:val="left"/>
    </w:pPr>
    <w:rPr>
      <w:rFonts w:eastAsia="Times New Roman" w:cs="Times New Roman"/>
      <w:b/>
      <w:bCs/>
      <w:color w:val="4F81BD" w:themeColor="accent1"/>
      <w:sz w:val="18"/>
      <w:szCs w:val="18"/>
    </w:rPr>
  </w:style>
  <w:style w:type="paragraph" w:styleId="ListBullet">
    <w:name w:val="List Bullet"/>
    <w:basedOn w:val="Normal"/>
    <w:uiPriority w:val="99"/>
    <w:qFormat/>
    <w:pPr>
      <w:numPr>
        <w:numId w:val="6"/>
      </w:numPr>
      <w:spacing w:after="240"/>
      <w:contextualSpacing/>
      <w:jc w:val="left"/>
    </w:pPr>
    <w:rPr>
      <w:rFonts w:eastAsia="Times New Roman" w:cs="Times New Roman"/>
      <w:szCs w:val="20"/>
    </w:rPr>
  </w:style>
  <w:style w:type="paragraph" w:styleId="ListNumber">
    <w:name w:val="List Number"/>
    <w:basedOn w:val="Normal"/>
    <w:uiPriority w:val="99"/>
    <w:qFormat/>
    <w:pPr>
      <w:numPr>
        <w:numId w:val="8"/>
      </w:numPr>
      <w:spacing w:after="240"/>
      <w:contextualSpacing/>
      <w:jc w:val="left"/>
    </w:pPr>
    <w:rPr>
      <w:rFonts w:eastAsia="Times New Roman" w:cs="Times New Roman"/>
      <w:szCs w:val="20"/>
    </w:r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jc w:val="left"/>
    </w:pPr>
    <w:rPr>
      <w:rFonts w:eastAsia="Times New Roman" w:cs="Times New Roman"/>
      <w:sz w:val="23"/>
      <w:szCs w:val="20"/>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Normal"/>
    <w:next w:val="TOC1"/>
    <w:uiPriority w:val="39"/>
    <w:unhideWhenUsed/>
    <w:qFormat/>
    <w:pPr>
      <w:spacing w:before="480" w:after="240"/>
      <w:jc w:val="center"/>
    </w:pPr>
    <w:rPr>
      <w:b/>
      <w:caps/>
      <w:color w:val="000000"/>
      <w:u w:val="single"/>
    </w:rPr>
  </w:style>
  <w:style w:type="paragraph" w:customStyle="1" w:styleId="DoubleIndent1">
    <w:name w:val="Double Indent 1"/>
    <w:aliases w:val="DblInd1"/>
    <w:basedOn w:val="Normal"/>
    <w:uiPriority w:val="2"/>
    <w:qFormat/>
    <w:pPr>
      <w:spacing w:after="240"/>
      <w:ind w:left="1440" w:right="1440"/>
      <w:jc w:val="left"/>
    </w:pPr>
    <w:rPr>
      <w:rFonts w:eastAsia="Times New Roman" w:cs="Times New Roman"/>
      <w:szCs w:val="20"/>
    </w:rPr>
  </w:style>
  <w:style w:type="paragraph" w:customStyle="1" w:styleId="LeftIndent">
    <w:name w:val="Left Indent"/>
    <w:aliases w:val="LeftInd"/>
    <w:basedOn w:val="Normal"/>
    <w:uiPriority w:val="11"/>
    <w:qFormat/>
    <w:pPr>
      <w:spacing w:after="240"/>
      <w:ind w:left="720"/>
      <w:jc w:val="left"/>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jc w:val="left"/>
    </w:pPr>
    <w:rPr>
      <w:rFonts w:eastAsia="Times New Roman" w:cs="Times New Roman"/>
      <w:szCs w:val="20"/>
    </w:rPr>
  </w:style>
  <w:style w:type="paragraph" w:customStyle="1" w:styleId="NoIndent">
    <w:name w:val="No Indent"/>
    <w:aliases w:val="NoInd"/>
    <w:basedOn w:val="Normal"/>
    <w:qFormat/>
    <w:pPr>
      <w:spacing w:after="240"/>
      <w:jc w:val="left"/>
    </w:pPr>
    <w:rPr>
      <w:rFonts w:eastAsia="Times New Roman" w:cs="Times New Roman"/>
      <w:szCs w:val="20"/>
    </w:rPr>
  </w:style>
  <w:style w:type="paragraph" w:customStyle="1" w:styleId="DoubleIndent5">
    <w:name w:val="Double Indent .5"/>
    <w:aliases w:val="DblInd5"/>
    <w:basedOn w:val="Normal"/>
    <w:uiPriority w:val="2"/>
    <w:qFormat/>
    <w:pPr>
      <w:spacing w:after="240"/>
      <w:ind w:left="720" w:right="720"/>
      <w:jc w:val="left"/>
    </w:pPr>
    <w:rPr>
      <w:rFonts w:eastAsia="Times New Roman" w:cs="Times New Roman"/>
      <w:iCs/>
      <w:szCs w:val="20"/>
    </w:rPr>
  </w:style>
  <w:style w:type="paragraph" w:styleId="Header">
    <w:name w:val="header"/>
    <w:basedOn w:val="Normal"/>
    <w:link w:val="HeaderChar"/>
    <w:unhideWhenUsed/>
    <w:pPr>
      <w:tabs>
        <w:tab w:val="center" w:pos="4680"/>
        <w:tab w:val="right" w:pos="9360"/>
      </w:tabs>
      <w:jc w:val="left"/>
    </w:pPr>
    <w:rPr>
      <w:rFonts w:eastAsia="Times New Roman" w:cs="Times New Roman"/>
      <w:szCs w:val="20"/>
    </w:r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unhideWhenUsed/>
    <w:pPr>
      <w:tabs>
        <w:tab w:val="center" w:pos="4680"/>
        <w:tab w:val="right" w:pos="9360"/>
      </w:tabs>
      <w:jc w:val="left"/>
    </w:pPr>
    <w:rPr>
      <w:rFonts w:eastAsia="Times New Roman" w:cs="Times New Roman"/>
      <w:szCs w:val="20"/>
    </w:rPr>
  </w:style>
  <w:style w:type="character" w:customStyle="1" w:styleId="FooterChar">
    <w:name w:val="Footer Char"/>
    <w:basedOn w:val="DefaultParagraphFont"/>
    <w:link w:val="Footer"/>
    <w:rPr>
      <w:rFonts w:ascii="Arial" w:hAnsi="Arial"/>
      <w:sz w:val="24"/>
    </w:rPr>
  </w:style>
  <w:style w:type="character" w:styleId="FootnoteReference">
    <w:name w:val="footnote reference"/>
    <w:aliases w:val="(NECG) Footnote Reference,Style 12,Style 13,Style 15,Style 17,Style 18,Style 19,Style 20,Style 28,Style 42,Style 7,Style 8,Style 9,fr,fr1,fr2,fr3,o,o1,o2,o3"/>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BodyDoubleSp5">
    <w:name w:val="*Body Double Sp .5"/>
    <w:aliases w:val="BD5"/>
    <w:basedOn w:val="Normal"/>
    <w:pPr>
      <w:spacing w:after="240" w:line="480" w:lineRule="auto"/>
      <w:jc w:val="left"/>
    </w:pPr>
    <w:rPr>
      <w:rFonts w:ascii="Times New Roman" w:eastAsia="Times New Roman" w:hAnsi="Times New Roman" w:cs="Times New Roman"/>
      <w:bCs/>
      <w:szCs w:val="24"/>
    </w:rPr>
  </w:style>
  <w:style w:type="paragraph" w:customStyle="1" w:styleId="BodyDblSp5">
    <w:name w:val="*Body Dbl Sp .5"/>
    <w:aliases w:val="BDS5"/>
    <w:basedOn w:val="Normal"/>
    <w:pPr>
      <w:spacing w:after="240" w:line="480" w:lineRule="auto"/>
      <w:ind w:left="720" w:hanging="720"/>
      <w:jc w:val="left"/>
    </w:pPr>
    <w:rPr>
      <w:rFonts w:ascii="Times New Roman Bold" w:eastAsia="Times New Roman" w:hAnsi="Times New Roman Bold" w:cs="Times New Roman"/>
      <w:b/>
      <w:szCs w:val="24"/>
    </w:rPr>
  </w:style>
  <w:style w:type="character" w:customStyle="1" w:styleId="Heading5Char">
    <w:name w:val="Heading 5 Char"/>
    <w:basedOn w:val="DefaultParagraphFont"/>
    <w:link w:val="Heading5"/>
    <w:uiPriority w:val="9"/>
    <w:semiHidden/>
    <w:rsid w:val="008368EA"/>
    <w:rPr>
      <w:rFonts w:asciiTheme="majorHAnsi" w:eastAsiaTheme="majorEastAsia" w:hAnsiTheme="majorHAnsi" w:cs="Arial"/>
      <w:color w:val="243F60" w:themeColor="accent1" w:themeShade="7F"/>
      <w:sz w:val="24"/>
      <w:szCs w:val="22"/>
    </w:rPr>
  </w:style>
  <w:style w:type="character" w:customStyle="1" w:styleId="Heading6Char">
    <w:name w:val="Heading 6 Char"/>
    <w:basedOn w:val="DefaultParagraphFont"/>
    <w:link w:val="Heading6"/>
    <w:uiPriority w:val="9"/>
    <w:semiHidden/>
    <w:rsid w:val="008368EA"/>
    <w:rPr>
      <w:rFonts w:asciiTheme="majorHAnsi" w:eastAsiaTheme="majorEastAsia" w:hAnsiTheme="majorHAnsi" w:cs="Arial"/>
      <w:iCs/>
      <w:color w:val="243F60" w:themeColor="accent1" w:themeShade="7F"/>
      <w:sz w:val="24"/>
      <w:szCs w:val="22"/>
    </w:rPr>
  </w:style>
  <w:style w:type="character" w:customStyle="1" w:styleId="Heading7Char">
    <w:name w:val="Heading 7 Char"/>
    <w:basedOn w:val="DefaultParagraphFont"/>
    <w:link w:val="Heading7"/>
    <w:uiPriority w:val="9"/>
    <w:semiHidden/>
    <w:rsid w:val="008368EA"/>
    <w:rPr>
      <w:rFonts w:asciiTheme="majorHAnsi" w:eastAsiaTheme="majorEastAsia" w:hAnsiTheme="majorHAnsi" w:cs="Arial"/>
      <w:iCs/>
      <w:color w:val="404040" w:themeColor="text1" w:themeTint="BF"/>
      <w:sz w:val="24"/>
      <w:szCs w:val="22"/>
    </w:rPr>
  </w:style>
  <w:style w:type="character" w:customStyle="1" w:styleId="Heading8Char">
    <w:name w:val="Heading 8 Char"/>
    <w:basedOn w:val="DefaultParagraphFont"/>
    <w:link w:val="Heading8"/>
    <w:uiPriority w:val="9"/>
    <w:semiHidden/>
    <w:rsid w:val="008368EA"/>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8368EA"/>
    <w:rPr>
      <w:rFonts w:asciiTheme="majorHAnsi" w:eastAsiaTheme="majorEastAsia" w:hAnsiTheme="majorHAnsi" w:cs="Arial"/>
      <w:iCs/>
      <w:color w:val="404040" w:themeColor="text1" w:themeTint="BF"/>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924A2B"/>
    <w:rPr>
      <w:sz w:val="16"/>
      <w:szCs w:val="16"/>
    </w:rPr>
  </w:style>
  <w:style w:type="paragraph" w:styleId="CommentText">
    <w:name w:val="annotation text"/>
    <w:basedOn w:val="Normal"/>
    <w:link w:val="CommentTextChar"/>
    <w:uiPriority w:val="99"/>
    <w:semiHidden/>
    <w:unhideWhenUsed/>
    <w:rsid w:val="00924A2B"/>
    <w:rPr>
      <w:sz w:val="20"/>
      <w:szCs w:val="20"/>
    </w:rPr>
  </w:style>
  <w:style w:type="character" w:customStyle="1" w:styleId="CommentTextChar">
    <w:name w:val="Comment Text Char"/>
    <w:basedOn w:val="DefaultParagraphFont"/>
    <w:link w:val="CommentText"/>
    <w:uiPriority w:val="99"/>
    <w:semiHidden/>
    <w:rsid w:val="00924A2B"/>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924A2B"/>
    <w:rPr>
      <w:b/>
      <w:bCs/>
    </w:rPr>
  </w:style>
  <w:style w:type="character" w:customStyle="1" w:styleId="CommentSubjectChar">
    <w:name w:val="Comment Subject Char"/>
    <w:basedOn w:val="CommentTextChar"/>
    <w:link w:val="CommentSubject"/>
    <w:uiPriority w:val="99"/>
    <w:semiHidden/>
    <w:rsid w:val="00924A2B"/>
    <w:rPr>
      <w:rFonts w:ascii="Arial" w:eastAsiaTheme="minorHAnsi" w:hAnsi="Arial" w:cs="Arial"/>
      <w:b/>
      <w:bCs/>
    </w:rPr>
  </w:style>
  <w:style w:type="paragraph" w:styleId="Revision">
    <w:name w:val="Revision"/>
    <w:hidden/>
    <w:uiPriority w:val="99"/>
    <w:semiHidden/>
    <w:rsid w:val="00924A2B"/>
    <w:rPr>
      <w:rFonts w:ascii="Arial" w:eastAsiaTheme="minorHAnsi" w:hAnsi="Arial" w:cs="Arial"/>
      <w:sz w:val="24"/>
      <w:szCs w:val="22"/>
    </w:rPr>
  </w:style>
  <w:style w:type="paragraph" w:styleId="BodyText">
    <w:name w:val="Body Text"/>
    <w:basedOn w:val="Normal"/>
    <w:link w:val="BodyTextChar"/>
    <w:rsid w:val="007C7EE5"/>
    <w:rPr>
      <w:rFonts w:eastAsia="Times New Roman"/>
      <w:szCs w:val="24"/>
    </w:rPr>
  </w:style>
  <w:style w:type="character" w:customStyle="1" w:styleId="BodyTextChar">
    <w:name w:val="Body Text Char"/>
    <w:basedOn w:val="DefaultParagraphFont"/>
    <w:link w:val="BodyText"/>
    <w:rsid w:val="007C7EE5"/>
    <w:rPr>
      <w:rFonts w:ascii="Arial" w:hAnsi="Arial" w:cs="Arial"/>
      <w:sz w:val="24"/>
      <w:szCs w:val="24"/>
    </w:rPr>
  </w:style>
  <w:style w:type="character" w:styleId="Hyperlink">
    <w:name w:val="Hyperlink"/>
    <w:basedOn w:val="DefaultParagraphFont"/>
    <w:uiPriority w:val="99"/>
    <w:unhideWhenUsed/>
    <w:rsid w:val="007C7EE5"/>
    <w:rPr>
      <w:color w:val="0000FF" w:themeColor="hyperlink"/>
      <w:u w:val="single"/>
    </w:rPr>
  </w:style>
  <w:style w:type="paragraph" w:styleId="BodyText3">
    <w:name w:val="Body Text 3"/>
    <w:basedOn w:val="Normal"/>
    <w:link w:val="BodyText3Char"/>
    <w:uiPriority w:val="99"/>
    <w:semiHidden/>
    <w:unhideWhenUsed/>
    <w:rsid w:val="00F007D2"/>
    <w:pPr>
      <w:spacing w:after="120" w:line="480" w:lineRule="auto"/>
    </w:pPr>
    <w:rPr>
      <w:rFonts w:cstheme="minorBidi"/>
      <w:sz w:val="16"/>
      <w:szCs w:val="16"/>
    </w:rPr>
  </w:style>
  <w:style w:type="character" w:customStyle="1" w:styleId="BodyText3Char">
    <w:name w:val="Body Text 3 Char"/>
    <w:basedOn w:val="DefaultParagraphFont"/>
    <w:link w:val="BodyText3"/>
    <w:uiPriority w:val="99"/>
    <w:semiHidden/>
    <w:rsid w:val="00F007D2"/>
    <w:rPr>
      <w:rFonts w:ascii="Arial" w:eastAsiaTheme="minorHAnsi" w:hAnsi="Arial" w:cstheme="minorBidi"/>
      <w:sz w:val="16"/>
      <w:szCs w:val="16"/>
    </w:rPr>
  </w:style>
  <w:style w:type="paragraph" w:styleId="TOC1">
    <w:name w:val="toc 1"/>
    <w:basedOn w:val="Normal"/>
    <w:next w:val="Normal"/>
    <w:autoRedefine/>
    <w:uiPriority w:val="39"/>
    <w:unhideWhenUsed/>
    <w:rsid w:val="00BB0AF9"/>
    <w:pPr>
      <w:tabs>
        <w:tab w:val="left" w:leader="dot" w:pos="0"/>
        <w:tab w:val="right" w:pos="9360"/>
      </w:tabs>
      <w:spacing w:after="100"/>
      <w:ind w:left="720" w:right="720" w:hanging="720"/>
    </w:pPr>
  </w:style>
  <w:style w:type="paragraph" w:styleId="TOC2">
    <w:name w:val="toc 2"/>
    <w:basedOn w:val="Normal"/>
    <w:next w:val="Normal"/>
    <w:autoRedefine/>
    <w:uiPriority w:val="39"/>
    <w:unhideWhenUsed/>
    <w:rsid w:val="006A4B90"/>
    <w:pPr>
      <w:tabs>
        <w:tab w:val="right" w:pos="720"/>
        <w:tab w:val="left" w:pos="1440"/>
        <w:tab w:val="right" w:leader="dot" w:pos="9360"/>
      </w:tabs>
      <w:spacing w:after="100"/>
      <w:ind w:left="1440" w:right="720" w:hanging="720"/>
    </w:pPr>
  </w:style>
  <w:style w:type="paragraph" w:styleId="TOC3">
    <w:name w:val="toc 3"/>
    <w:basedOn w:val="Normal"/>
    <w:next w:val="Normal"/>
    <w:autoRedefine/>
    <w:uiPriority w:val="39"/>
    <w:semiHidden/>
    <w:unhideWhenUsed/>
    <w:rsid w:val="00ED150F"/>
    <w:pPr>
      <w:spacing w:after="100"/>
      <w:ind w:left="480"/>
    </w:pPr>
  </w:style>
  <w:style w:type="paragraph" w:styleId="TOC4">
    <w:name w:val="toc 4"/>
    <w:basedOn w:val="Normal"/>
    <w:next w:val="Normal"/>
    <w:autoRedefine/>
    <w:uiPriority w:val="39"/>
    <w:semiHidden/>
    <w:unhideWhenUsed/>
    <w:rsid w:val="00ED150F"/>
    <w:pPr>
      <w:spacing w:after="100"/>
      <w:ind w:left="720"/>
    </w:pPr>
  </w:style>
  <w:style w:type="paragraph" w:styleId="TOC5">
    <w:name w:val="toc 5"/>
    <w:basedOn w:val="Normal"/>
    <w:next w:val="Normal"/>
    <w:autoRedefine/>
    <w:uiPriority w:val="39"/>
    <w:semiHidden/>
    <w:unhideWhenUsed/>
    <w:rsid w:val="00ED150F"/>
    <w:pPr>
      <w:spacing w:after="100"/>
      <w:ind w:left="960"/>
    </w:pPr>
  </w:style>
  <w:style w:type="paragraph" w:styleId="TOC6">
    <w:name w:val="toc 6"/>
    <w:basedOn w:val="Normal"/>
    <w:next w:val="Normal"/>
    <w:autoRedefine/>
    <w:uiPriority w:val="39"/>
    <w:semiHidden/>
    <w:unhideWhenUsed/>
    <w:rsid w:val="00ED150F"/>
    <w:pPr>
      <w:spacing w:after="100"/>
      <w:ind w:left="1200"/>
    </w:pPr>
  </w:style>
  <w:style w:type="paragraph" w:styleId="TOC7">
    <w:name w:val="toc 7"/>
    <w:basedOn w:val="Normal"/>
    <w:next w:val="Normal"/>
    <w:autoRedefine/>
    <w:uiPriority w:val="39"/>
    <w:semiHidden/>
    <w:unhideWhenUsed/>
    <w:rsid w:val="00ED150F"/>
    <w:pPr>
      <w:spacing w:after="100"/>
      <w:ind w:left="1440"/>
    </w:pPr>
  </w:style>
  <w:style w:type="paragraph" w:styleId="TOC8">
    <w:name w:val="toc 8"/>
    <w:basedOn w:val="Normal"/>
    <w:next w:val="Normal"/>
    <w:autoRedefine/>
    <w:uiPriority w:val="39"/>
    <w:semiHidden/>
    <w:unhideWhenUsed/>
    <w:rsid w:val="00ED150F"/>
    <w:pPr>
      <w:spacing w:after="100"/>
      <w:ind w:left="1680"/>
    </w:pPr>
  </w:style>
  <w:style w:type="paragraph" w:styleId="TOC9">
    <w:name w:val="toc 9"/>
    <w:basedOn w:val="Normal"/>
    <w:next w:val="Normal"/>
    <w:autoRedefine/>
    <w:uiPriority w:val="39"/>
    <w:semiHidden/>
    <w:unhideWhenUsed/>
    <w:rsid w:val="00ED150F"/>
    <w:pPr>
      <w:spacing w:after="100"/>
      <w:ind w:left="1920"/>
    </w:pPr>
  </w:style>
  <w:style w:type="paragraph" w:customStyle="1" w:styleId="TOCPage">
    <w:name w:val="TOC Page"/>
    <w:basedOn w:val="Normal"/>
    <w:next w:val="Normal"/>
    <w:link w:val="TOCPageChar"/>
    <w:rsid w:val="00ED150F"/>
    <w:pPr>
      <w:autoSpaceDE w:val="0"/>
      <w:autoSpaceDN w:val="0"/>
      <w:adjustRightInd w:val="0"/>
      <w:spacing w:after="240"/>
      <w:jc w:val="right"/>
    </w:pPr>
    <w:rPr>
      <w:b/>
      <w:smallCaps/>
      <w:szCs w:val="32"/>
    </w:rPr>
  </w:style>
  <w:style w:type="character" w:customStyle="1" w:styleId="TOCPageChar">
    <w:name w:val="TOC Page Char"/>
    <w:basedOn w:val="DefaultParagraphFont"/>
    <w:link w:val="TOCPage"/>
    <w:rsid w:val="00ED150F"/>
    <w:rPr>
      <w:rFonts w:ascii="Arial" w:eastAsiaTheme="minorHAnsi" w:hAnsi="Arial" w:cs="Arial"/>
      <w:b/>
      <w:smallCap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14180">
      <w:bodyDiv w:val="1"/>
      <w:marLeft w:val="0"/>
      <w:marRight w:val="0"/>
      <w:marTop w:val="0"/>
      <w:marBottom w:val="0"/>
      <w:divBdr>
        <w:top w:val="none" w:sz="0" w:space="0" w:color="auto"/>
        <w:left w:val="none" w:sz="0" w:space="0" w:color="auto"/>
        <w:bottom w:val="none" w:sz="0" w:space="0" w:color="auto"/>
        <w:right w:val="none" w:sz="0" w:space="0" w:color="auto"/>
      </w:divBdr>
    </w:div>
    <w:div w:id="1726834219">
      <w:bodyDiv w:val="1"/>
      <w:marLeft w:val="0"/>
      <w:marRight w:val="0"/>
      <w:marTop w:val="0"/>
      <w:marBottom w:val="0"/>
      <w:divBdr>
        <w:top w:val="none" w:sz="0" w:space="0" w:color="auto"/>
        <w:left w:val="none" w:sz="0" w:space="0" w:color="auto"/>
        <w:bottom w:val="none" w:sz="0" w:space="0" w:color="auto"/>
        <w:right w:val="none" w:sz="0" w:space="0" w:color="auto"/>
      </w:divBdr>
    </w:div>
    <w:div w:id="1762531173">
      <w:bodyDiv w:val="1"/>
      <w:marLeft w:val="0"/>
      <w:marRight w:val="0"/>
      <w:marTop w:val="0"/>
      <w:marBottom w:val="0"/>
      <w:divBdr>
        <w:top w:val="none" w:sz="0" w:space="0" w:color="auto"/>
        <w:left w:val="none" w:sz="0" w:space="0" w:color="auto"/>
        <w:bottom w:val="none" w:sz="0" w:space="0" w:color="auto"/>
        <w:right w:val="none" w:sz="0" w:space="0" w:color="auto"/>
      </w:divBdr>
    </w:div>
    <w:div w:id="20649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evelyn.robinson@pjm.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jeffrey.mayes@monitoringanalytic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06220-259B-404C-A01A-CE31D748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4795</Words>
  <Characters>27224</Characters>
  <Application>Microsoft Office Word</Application>
  <DocSecurity>0</DocSecurity>
  <PresentationFormat/>
  <Lines>575</Lines>
  <Paragraphs>203</Paragraphs>
  <ScaleCrop>false</ScaleCrop>
  <HeadingPairs>
    <vt:vector size="2" baseType="variant">
      <vt:variant>
        <vt:lpstr>Title</vt:lpstr>
      </vt:variant>
      <vt:variant>
        <vt:i4>1</vt:i4>
      </vt:variant>
    </vt:vector>
  </HeadingPairs>
  <TitlesOfParts>
    <vt:vector size="1" baseType="lpstr">
      <vt:lpstr>Motion to strike TCRR waiver request (16-395) (C49536-4).DOCX</vt:lpstr>
    </vt:vector>
  </TitlesOfParts>
  <Manager/>
  <Company/>
  <LinksUpToDate>false</LinksUpToDate>
  <CharactersWithSpaces>31977</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strike TCRR waiver request (16-395) (C49536-4).DOCX</dc:title>
  <dc:subject>C49536:4 /font=8</dc:subject>
  <dc:creator/>
  <cp:keywords> </cp:keywords>
  <dc:description> </dc:description>
  <cp:lastModifiedBy/>
  <cp:revision>1</cp:revision>
  <cp:lastPrinted>2012-11-15T17:32:00Z</cp:lastPrinted>
  <dcterms:created xsi:type="dcterms:W3CDTF">2016-03-04T20:20:00Z</dcterms:created>
  <dcterms:modified xsi:type="dcterms:W3CDTF">2016-03-11T20:53:00Z</dcterms:modified>
  <cp:category> </cp:category>
  <cp:contentStatus> </cp:contentStatus>
</cp:coreProperties>
</file>