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CD4473" w:rsidRPr="00B27AC9" w:rsidP="00CD4473" w14:paraId="0543B96C" w14:textId="67E79701">
      <w:pPr>
        <w:jc w:val="center"/>
        <w:rPr>
          <w:b/>
          <w:bCs w:val="0"/>
          <w:szCs w:val="24"/>
        </w:rPr>
      </w:pPr>
      <w:r w:rsidRPr="00B27AC9">
        <w:rPr>
          <w:b/>
          <w:szCs w:val="24"/>
        </w:rPr>
        <w:t>BEFORE</w:t>
      </w:r>
    </w:p>
    <w:p w:rsidR="00CD4473" w:rsidRPr="00B27AC9" w:rsidP="00CD4473" w14:paraId="122D1E9B" w14:textId="77777777">
      <w:pPr>
        <w:jc w:val="center"/>
        <w:rPr>
          <w:b/>
          <w:szCs w:val="24"/>
        </w:rPr>
      </w:pPr>
      <w:r w:rsidRPr="00B27AC9">
        <w:rPr>
          <w:b/>
          <w:szCs w:val="24"/>
        </w:rPr>
        <w:t>THE PUBLIC UTILITIES COMMISSION OF OHIO</w:t>
      </w:r>
    </w:p>
    <w:p w:rsidR="00CD4473" w:rsidRPr="00B27AC9" w:rsidP="00CD4473" w14:paraId="67FBE6E4" w14:textId="77777777">
      <w:pPr>
        <w:jc w:val="center"/>
        <w:rPr>
          <w:b/>
          <w:szCs w:val="24"/>
        </w:rPr>
      </w:pPr>
    </w:p>
    <w:tbl>
      <w:tblPr>
        <w:tblW w:w="8550" w:type="dxa"/>
        <w:tblInd w:w="-90" w:type="dxa"/>
        <w:tblLook w:val="01E0"/>
      </w:tblPr>
      <w:tblGrid>
        <w:gridCol w:w="4140"/>
        <w:gridCol w:w="360"/>
        <w:gridCol w:w="4050"/>
      </w:tblGrid>
      <w:tr w14:paraId="238B2E31" w14:textId="77777777" w:rsidTr="006A0D05">
        <w:tblPrEx>
          <w:tblW w:w="8550" w:type="dxa"/>
          <w:tblInd w:w="-90" w:type="dxa"/>
          <w:tblLook w:val="01E0"/>
        </w:tblPrEx>
        <w:trPr>
          <w:trHeight w:val="807"/>
        </w:trPr>
        <w:tc>
          <w:tcPr>
            <w:tcW w:w="4140" w:type="dxa"/>
            <w:shd w:val="clear" w:color="auto" w:fill="auto"/>
          </w:tcPr>
          <w:p w:rsidR="0082759E" w:rsidRPr="00B27AC9" w:rsidP="006A0D05" w14:paraId="22AE08B2"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In the Matter of the Commission’s Consideration of Solutions Concerning the Disconnection of Gas and Electric Service in Winter Emergencies for the 2022-2023 Winter Heating Season.</w:t>
            </w:r>
          </w:p>
        </w:tc>
        <w:tc>
          <w:tcPr>
            <w:tcW w:w="360" w:type="dxa"/>
            <w:shd w:val="clear" w:color="auto" w:fill="auto"/>
          </w:tcPr>
          <w:p w:rsidR="0082759E" w:rsidRPr="00B27AC9" w:rsidP="006A0D05" w14:paraId="0990599A"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w:t>
            </w:r>
          </w:p>
          <w:p w:rsidR="0082759E" w:rsidRPr="00B27AC9" w:rsidP="006A0D05" w14:paraId="01CA209F"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w:t>
            </w:r>
          </w:p>
          <w:p w:rsidR="0082759E" w:rsidRPr="00B27AC9" w:rsidP="006A0D05" w14:paraId="425225AA"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w:t>
            </w:r>
          </w:p>
          <w:p w:rsidR="0082759E" w:rsidRPr="00B27AC9" w:rsidP="006A0D05" w14:paraId="647BC38C"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w:t>
            </w:r>
          </w:p>
          <w:p w:rsidR="0082759E" w:rsidRPr="00B27AC9" w:rsidP="006A0D05" w14:paraId="7B09CC10"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w:t>
            </w:r>
          </w:p>
        </w:tc>
        <w:tc>
          <w:tcPr>
            <w:tcW w:w="4050" w:type="dxa"/>
            <w:shd w:val="clear" w:color="auto" w:fill="auto"/>
          </w:tcPr>
          <w:p w:rsidR="0082759E" w:rsidRPr="00B27AC9" w:rsidP="006A0D05" w14:paraId="41E68BD5" w14:textId="77777777">
            <w:pPr>
              <w:pStyle w:val="HTMLPreformatted"/>
              <w:rPr>
                <w:rFonts w:ascii="Times New Roman" w:hAnsi="Times New Roman" w:cs="Times New Roman"/>
                <w:sz w:val="24"/>
                <w:szCs w:val="24"/>
              </w:rPr>
            </w:pPr>
          </w:p>
          <w:p w:rsidR="0082759E" w:rsidRPr="00B27AC9" w:rsidP="006A0D05" w14:paraId="448F3455" w14:textId="77777777">
            <w:pPr>
              <w:pStyle w:val="HTMLPreformatted"/>
              <w:rPr>
                <w:rFonts w:ascii="Times New Roman" w:hAnsi="Times New Roman" w:cs="Times New Roman"/>
                <w:sz w:val="24"/>
                <w:szCs w:val="24"/>
              </w:rPr>
            </w:pPr>
          </w:p>
          <w:p w:rsidR="0082759E" w:rsidRPr="00B27AC9" w:rsidP="006A0D05" w14:paraId="44D7856F" w14:textId="77777777">
            <w:pPr>
              <w:pStyle w:val="HTMLPreformatted"/>
              <w:rPr>
                <w:rFonts w:ascii="Times New Roman" w:hAnsi="Times New Roman" w:cs="Times New Roman"/>
                <w:sz w:val="24"/>
                <w:szCs w:val="24"/>
              </w:rPr>
            </w:pPr>
            <w:r w:rsidRPr="00B27AC9">
              <w:rPr>
                <w:rFonts w:ascii="Times New Roman" w:hAnsi="Times New Roman" w:cs="Times New Roman"/>
                <w:sz w:val="24"/>
                <w:szCs w:val="24"/>
              </w:rPr>
              <w:t>Case No. 22-668-GE-UNC</w:t>
            </w:r>
          </w:p>
          <w:p w:rsidR="0082759E" w:rsidRPr="00B27AC9" w:rsidP="006A0D05" w14:paraId="1B26C406" w14:textId="77777777">
            <w:pPr>
              <w:pStyle w:val="HTMLPreformatted"/>
              <w:rPr>
                <w:rFonts w:ascii="Times New Roman" w:hAnsi="Times New Roman" w:cs="Times New Roman"/>
                <w:sz w:val="24"/>
                <w:szCs w:val="24"/>
              </w:rPr>
            </w:pPr>
          </w:p>
          <w:p w:rsidR="0082759E" w:rsidRPr="00B27AC9" w:rsidP="006A0D05" w14:paraId="393AE5B5" w14:textId="77777777">
            <w:pPr>
              <w:pStyle w:val="HTMLPreformatted"/>
              <w:rPr>
                <w:rFonts w:ascii="Times New Roman" w:hAnsi="Times New Roman" w:cs="Times New Roman"/>
                <w:sz w:val="24"/>
                <w:szCs w:val="24"/>
              </w:rPr>
            </w:pPr>
          </w:p>
        </w:tc>
      </w:tr>
    </w:tbl>
    <w:p w:rsidR="00F2549D" w:rsidRPr="00B27AC9" w:rsidP="00F2549D" w14:paraId="560F91C7" w14:textId="77777777">
      <w:pPr>
        <w:pBdr>
          <w:bottom w:val="single" w:sz="12" w:space="1" w:color="auto"/>
        </w:pBdr>
        <w:rPr>
          <w:szCs w:val="24"/>
        </w:rPr>
      </w:pPr>
    </w:p>
    <w:p w:rsidR="00F2549D" w:rsidRPr="00B27AC9" w:rsidP="00F2549D" w14:paraId="2E5853F7" w14:textId="77777777">
      <w:pPr>
        <w:rPr>
          <w:b/>
          <w:bCs w:val="0"/>
          <w:szCs w:val="24"/>
        </w:rPr>
      </w:pPr>
    </w:p>
    <w:p w:rsidR="00BC7BDC" w:rsidRPr="00B27AC9" w:rsidP="00BC7BDC" w14:paraId="694F8519" w14:textId="247EE543">
      <w:pPr>
        <w:jc w:val="center"/>
        <w:rPr>
          <w:rFonts w:eastAsia="Times New Roman"/>
          <w:b/>
          <w:color w:val="auto"/>
          <w:szCs w:val="24"/>
        </w:rPr>
      </w:pPr>
      <w:bookmarkStart w:id="0" w:name="_Hlk94515806"/>
      <w:r w:rsidRPr="00B27AC9">
        <w:rPr>
          <w:rFonts w:eastAsia="Times New Roman"/>
          <w:b/>
          <w:color w:val="auto"/>
          <w:szCs w:val="24"/>
        </w:rPr>
        <w:t xml:space="preserve">REPLY </w:t>
      </w:r>
      <w:r w:rsidRPr="00B27AC9" w:rsidR="008D3C27">
        <w:rPr>
          <w:rFonts w:eastAsia="Times New Roman"/>
          <w:b/>
          <w:color w:val="auto"/>
          <w:szCs w:val="24"/>
        </w:rPr>
        <w:t xml:space="preserve">TO AEP, DUKE AND AES WHO OPPOSE </w:t>
      </w:r>
      <w:bookmarkEnd w:id="0"/>
      <w:r w:rsidRPr="00B27AC9" w:rsidR="008D3C27">
        <w:rPr>
          <w:rFonts w:eastAsia="Times New Roman"/>
          <w:b/>
          <w:color w:val="auto"/>
          <w:szCs w:val="24"/>
        </w:rPr>
        <w:t>THE</w:t>
      </w:r>
      <w:r w:rsidRPr="00B27AC9">
        <w:rPr>
          <w:rFonts w:eastAsia="Times New Roman"/>
          <w:b/>
          <w:color w:val="auto"/>
          <w:szCs w:val="24"/>
        </w:rPr>
        <w:t xml:space="preserve"> </w:t>
      </w:r>
      <w:r w:rsidRPr="00B27AC9" w:rsidR="006A7559">
        <w:rPr>
          <w:rFonts w:eastAsia="Times New Roman"/>
          <w:b/>
          <w:color w:val="auto"/>
          <w:szCs w:val="24"/>
        </w:rPr>
        <w:t xml:space="preserve">CONSUMER </w:t>
      </w:r>
      <w:r w:rsidRPr="00B27AC9">
        <w:rPr>
          <w:b/>
          <w:szCs w:val="24"/>
        </w:rPr>
        <w:t>MOTION TO SUSPEND ELECTRIC AND NATURAL GAS UTILITY DISCONNECTIONS FOR AT-RISK OHIOANS IF AND WHEN THERE ARE DELAYS IN THE PROCESSING OF THEIR FINANCIAL ASSISTANCE</w:t>
      </w:r>
    </w:p>
    <w:p w:rsidR="00BC7BDC" w:rsidRPr="00B27AC9" w:rsidP="00BC7BDC" w14:paraId="2AB20F50" w14:textId="77777777">
      <w:pPr>
        <w:jc w:val="center"/>
        <w:rPr>
          <w:b/>
          <w:bCs w:val="0"/>
          <w:szCs w:val="24"/>
        </w:rPr>
      </w:pPr>
      <w:r w:rsidRPr="00B27AC9">
        <w:rPr>
          <w:b/>
          <w:szCs w:val="24"/>
        </w:rPr>
        <w:t>BY</w:t>
      </w:r>
    </w:p>
    <w:p w:rsidR="00BC7BDC" w:rsidRPr="00B27AC9" w:rsidP="00BC7BDC" w14:paraId="0C0233E0" w14:textId="77777777">
      <w:pPr>
        <w:jc w:val="center"/>
        <w:rPr>
          <w:b/>
          <w:bCs w:val="0"/>
          <w:szCs w:val="24"/>
        </w:rPr>
      </w:pPr>
      <w:r w:rsidRPr="00B27AC9">
        <w:rPr>
          <w:b/>
          <w:szCs w:val="24"/>
        </w:rPr>
        <w:t>ADVOCATES FOR BASIC LEGAL EQUALITY</w:t>
      </w:r>
    </w:p>
    <w:p w:rsidR="00BC7BDC" w:rsidRPr="00B27AC9" w:rsidP="00BC7BDC" w14:paraId="4B8CDA9C" w14:textId="77777777">
      <w:pPr>
        <w:jc w:val="center"/>
        <w:rPr>
          <w:b/>
          <w:bCs w:val="0"/>
          <w:szCs w:val="24"/>
        </w:rPr>
      </w:pPr>
      <w:r w:rsidRPr="00B27AC9">
        <w:rPr>
          <w:b/>
          <w:szCs w:val="24"/>
        </w:rPr>
        <w:t>LEGAL AID SOCIETY OF SOUTHWEST OHIO, LLC</w:t>
      </w:r>
    </w:p>
    <w:p w:rsidR="00BC7BDC" w:rsidRPr="00B27AC9" w:rsidP="00BC7BDC" w14:paraId="75AB8263" w14:textId="77777777">
      <w:pPr>
        <w:jc w:val="center"/>
        <w:rPr>
          <w:b/>
          <w:bCs w:val="0"/>
          <w:szCs w:val="24"/>
        </w:rPr>
      </w:pPr>
      <w:r w:rsidRPr="00B27AC9">
        <w:rPr>
          <w:b/>
          <w:szCs w:val="24"/>
        </w:rPr>
        <w:t>OFFICE OF THE OHIO CONSUMERS’ COUNSEL</w:t>
      </w:r>
    </w:p>
    <w:p w:rsidR="00BC7BDC" w:rsidRPr="00B27AC9" w:rsidP="00BC7BDC" w14:paraId="4FB6097F" w14:textId="77777777">
      <w:pPr>
        <w:jc w:val="center"/>
        <w:rPr>
          <w:b/>
          <w:bCs w:val="0"/>
          <w:szCs w:val="24"/>
        </w:rPr>
      </w:pPr>
      <w:r w:rsidRPr="00B27AC9">
        <w:rPr>
          <w:b/>
          <w:szCs w:val="24"/>
        </w:rPr>
        <w:t>OHIO POVERTY LAW CENTER</w:t>
      </w:r>
    </w:p>
    <w:p w:rsidR="00BC7BDC" w:rsidRPr="00B27AC9" w:rsidP="00BC7BDC" w14:paraId="15973EF5" w14:textId="77777777">
      <w:pPr>
        <w:jc w:val="center"/>
        <w:rPr>
          <w:b/>
          <w:bCs w:val="0"/>
          <w:szCs w:val="24"/>
        </w:rPr>
      </w:pPr>
      <w:r w:rsidRPr="00B27AC9">
        <w:rPr>
          <w:b/>
          <w:szCs w:val="24"/>
        </w:rPr>
        <w:t>PRO SENIORS, INC.</w:t>
      </w:r>
    </w:p>
    <w:p w:rsidR="00F2549D" w:rsidRPr="00B27AC9" w:rsidP="00F2549D" w14:paraId="5A276916" w14:textId="77777777">
      <w:pPr>
        <w:pBdr>
          <w:bottom w:val="single" w:sz="12" w:space="1" w:color="auto"/>
        </w:pBdr>
        <w:jc w:val="center"/>
        <w:rPr>
          <w:b/>
          <w:bCs w:val="0"/>
          <w:szCs w:val="24"/>
        </w:rPr>
      </w:pPr>
    </w:p>
    <w:p w:rsidR="00F2549D" w:rsidRPr="00B27AC9" w:rsidP="00F2549D" w14:paraId="2F7D8CA7" w14:textId="77777777">
      <w:pPr>
        <w:ind w:firstLine="720"/>
        <w:rPr>
          <w:rFonts w:eastAsia="Times New Roman"/>
          <w:bCs w:val="0"/>
          <w:color w:val="auto"/>
          <w:szCs w:val="24"/>
        </w:rPr>
      </w:pPr>
    </w:p>
    <w:p w:rsidR="00F5496A" w:rsidRPr="00B27AC9" w:rsidP="00C5662F" w14:paraId="4C634C3B" w14:textId="56D55300">
      <w:pPr>
        <w:spacing w:line="480" w:lineRule="auto"/>
        <w:ind w:firstLine="720"/>
        <w:rPr>
          <w:rFonts w:eastAsia="Times New Roman"/>
          <w:bCs w:val="0"/>
          <w:color w:val="auto"/>
          <w:szCs w:val="24"/>
        </w:rPr>
      </w:pPr>
      <w:r w:rsidRPr="00B27AC9">
        <w:rPr>
          <w:szCs w:val="24"/>
        </w:rPr>
        <w:t>R.C. 4909.16 begins with the words “</w:t>
      </w:r>
      <w:r w:rsidRPr="00B27AC9">
        <w:rPr>
          <w:rFonts w:eastAsia="Times New Roman"/>
          <w:bCs w:val="0"/>
          <w:color w:val="auto"/>
          <w:szCs w:val="24"/>
        </w:rPr>
        <w:t xml:space="preserve">When the public utilities commission deems it necessary </w:t>
      </w:r>
      <w:r w:rsidRPr="00B27AC9">
        <w:rPr>
          <w:rFonts w:eastAsia="Times New Roman"/>
          <w:bCs w:val="0"/>
          <w:i/>
          <w:iCs/>
          <w:color w:val="auto"/>
          <w:szCs w:val="24"/>
        </w:rPr>
        <w:t>to prevent injury to the business or interests of the public</w:t>
      </w:r>
      <w:r w:rsidRPr="00B27AC9">
        <w:rPr>
          <w:rFonts w:eastAsia="Times New Roman"/>
          <w:bCs w:val="0"/>
          <w:color w:val="auto"/>
          <w:szCs w:val="24"/>
        </w:rPr>
        <w:t xml:space="preserve"> or of any public utility of this state </w:t>
      </w:r>
      <w:r w:rsidRPr="00B27AC9">
        <w:rPr>
          <w:rFonts w:eastAsia="Times New Roman"/>
          <w:bCs w:val="0"/>
          <w:i/>
          <w:iCs/>
          <w:color w:val="auto"/>
          <w:szCs w:val="24"/>
        </w:rPr>
        <w:t>in case of any emergency</w:t>
      </w:r>
      <w:r w:rsidRPr="00B27AC9">
        <w:rPr>
          <w:rFonts w:eastAsia="Times New Roman"/>
          <w:bCs w:val="0"/>
          <w:color w:val="auto"/>
          <w:szCs w:val="24"/>
        </w:rPr>
        <w:t xml:space="preserve"> to be judged by the commission</w:t>
      </w:r>
      <w:r w:rsidRPr="00B27AC9" w:rsidR="005C5979">
        <w:rPr>
          <w:rFonts w:eastAsia="Times New Roman"/>
          <w:bCs w:val="0"/>
          <w:color w:val="auto"/>
          <w:szCs w:val="24"/>
        </w:rPr>
        <w:t>, . . .</w:t>
      </w:r>
      <w:r w:rsidRPr="00B27AC9">
        <w:rPr>
          <w:rFonts w:eastAsia="Times New Roman"/>
          <w:bCs w:val="0"/>
          <w:color w:val="auto"/>
          <w:szCs w:val="24"/>
        </w:rPr>
        <w:t>”</w:t>
      </w:r>
      <w:r w:rsidRPr="00B27AC9" w:rsidR="00460C14">
        <w:rPr>
          <w:rFonts w:eastAsia="Times New Roman"/>
          <w:bCs w:val="0"/>
          <w:color w:val="auto"/>
          <w:szCs w:val="24"/>
        </w:rPr>
        <w:t xml:space="preserve"> (Emphasis added.) With that authority</w:t>
      </w:r>
      <w:r w:rsidRPr="00B27AC9" w:rsidR="00881BC4">
        <w:rPr>
          <w:rFonts w:eastAsia="Times New Roman"/>
          <w:bCs w:val="0"/>
          <w:color w:val="auto"/>
          <w:szCs w:val="24"/>
        </w:rPr>
        <w:t xml:space="preserve"> in mind for the PUCO</w:t>
      </w:r>
      <w:r w:rsidRPr="00B27AC9" w:rsidR="004409A9">
        <w:rPr>
          <w:rFonts w:eastAsia="Times New Roman"/>
          <w:bCs w:val="0"/>
          <w:color w:val="auto"/>
          <w:szCs w:val="24"/>
        </w:rPr>
        <w:t xml:space="preserve"> to</w:t>
      </w:r>
      <w:r w:rsidRPr="00B27AC9" w:rsidR="00881BC4">
        <w:rPr>
          <w:rFonts w:eastAsia="Times New Roman"/>
          <w:bCs w:val="0"/>
          <w:color w:val="auto"/>
          <w:szCs w:val="24"/>
        </w:rPr>
        <w:t xml:space="preserve"> help Ohioans</w:t>
      </w:r>
      <w:r w:rsidRPr="00B27AC9" w:rsidR="00460C14">
        <w:rPr>
          <w:rFonts w:eastAsia="Times New Roman"/>
          <w:bCs w:val="0"/>
          <w:color w:val="auto"/>
          <w:szCs w:val="24"/>
        </w:rPr>
        <w:t>, t</w:t>
      </w:r>
      <w:r w:rsidRPr="00B27AC9" w:rsidR="00C5662F">
        <w:rPr>
          <w:rFonts w:eastAsia="Times New Roman"/>
          <w:bCs w:val="0"/>
          <w:color w:val="auto"/>
          <w:szCs w:val="24"/>
        </w:rPr>
        <w:t>he Consumer Advocates</w:t>
      </w:r>
      <w:r>
        <w:rPr>
          <w:rStyle w:val="FootnoteReference"/>
          <w:rFonts w:eastAsia="Times New Roman"/>
          <w:bCs w:val="0"/>
          <w:color w:val="auto"/>
          <w:szCs w:val="24"/>
        </w:rPr>
        <w:footnoteReference w:id="2"/>
      </w:r>
      <w:r w:rsidRPr="00B27AC9" w:rsidR="00C5662F">
        <w:rPr>
          <w:rFonts w:eastAsia="Times New Roman"/>
          <w:bCs w:val="0"/>
          <w:color w:val="auto"/>
          <w:szCs w:val="24"/>
        </w:rPr>
        <w:t xml:space="preserve"> moved the PUCO </w:t>
      </w:r>
      <w:r w:rsidRPr="00B27AC9" w:rsidR="00C5662F">
        <w:rPr>
          <w:szCs w:val="24"/>
        </w:rPr>
        <w:t xml:space="preserve">to suspend electric and natural gas </w:t>
      </w:r>
      <w:r w:rsidRPr="00B27AC9" w:rsidR="00C5662F">
        <w:rPr>
          <w:rFonts w:eastAsia="Times New Roman"/>
          <w:bCs w:val="0"/>
          <w:color w:val="auto"/>
          <w:szCs w:val="24"/>
        </w:rPr>
        <w:t xml:space="preserve">disconnections of </w:t>
      </w:r>
      <w:r w:rsidRPr="00B27AC9" w:rsidR="000D3364">
        <w:rPr>
          <w:rFonts w:eastAsia="Times New Roman"/>
          <w:bCs w:val="0"/>
          <w:color w:val="auto"/>
          <w:szCs w:val="24"/>
        </w:rPr>
        <w:t xml:space="preserve">utility services for </w:t>
      </w:r>
      <w:r w:rsidRPr="00B27AC9" w:rsidR="00C5662F">
        <w:rPr>
          <w:rFonts w:eastAsia="Times New Roman"/>
          <w:bCs w:val="0"/>
          <w:color w:val="auto"/>
          <w:szCs w:val="24"/>
        </w:rPr>
        <w:t xml:space="preserve">at-risk </w:t>
      </w:r>
      <w:r w:rsidRPr="00B27AC9" w:rsidR="004F5DD6">
        <w:rPr>
          <w:rFonts w:eastAsia="Times New Roman"/>
          <w:bCs w:val="0"/>
          <w:color w:val="auto"/>
          <w:szCs w:val="24"/>
        </w:rPr>
        <w:t xml:space="preserve">Ohioans </w:t>
      </w:r>
      <w:r w:rsidRPr="00B27AC9" w:rsidR="00C5662F">
        <w:rPr>
          <w:rFonts w:eastAsia="Times New Roman"/>
          <w:bCs w:val="0"/>
          <w:color w:val="auto"/>
          <w:szCs w:val="24"/>
        </w:rPr>
        <w:t>when delays occur in processing their financial assistance for those services.</w:t>
      </w:r>
      <w:r>
        <w:rPr>
          <w:rStyle w:val="FootnoteReference"/>
          <w:rFonts w:eastAsia="Times New Roman"/>
          <w:bCs w:val="0"/>
          <w:color w:val="auto"/>
          <w:szCs w:val="24"/>
        </w:rPr>
        <w:footnoteReference w:id="3"/>
      </w:r>
      <w:r w:rsidRPr="00B27AC9" w:rsidR="00A04D98">
        <w:rPr>
          <w:rFonts w:eastAsia="Times New Roman"/>
          <w:bCs w:val="0"/>
          <w:color w:val="auto"/>
          <w:szCs w:val="24"/>
        </w:rPr>
        <w:t xml:space="preserve"> </w:t>
      </w:r>
    </w:p>
    <w:p w:rsidR="00B146C0" w:rsidRPr="00B27AC9" w:rsidP="00C5662F" w14:paraId="2877275A" w14:textId="5CE41291">
      <w:pPr>
        <w:spacing w:line="480" w:lineRule="auto"/>
        <w:ind w:firstLine="720"/>
        <w:rPr>
          <w:szCs w:val="24"/>
        </w:rPr>
      </w:pPr>
      <w:r w:rsidRPr="00B27AC9">
        <w:rPr>
          <w:rFonts w:eastAsia="Times New Roman"/>
          <w:bCs w:val="0"/>
          <w:color w:val="auto"/>
          <w:szCs w:val="24"/>
        </w:rPr>
        <w:t>AEP Ohio, Duke Energy and AES Ohio each filed a memorandum contra opposing the Consumer Advocates’ proposal</w:t>
      </w:r>
      <w:r w:rsidRPr="00B27AC9" w:rsidR="00F5496A">
        <w:rPr>
          <w:rFonts w:eastAsia="Times New Roman"/>
          <w:bCs w:val="0"/>
          <w:color w:val="auto"/>
          <w:szCs w:val="24"/>
        </w:rPr>
        <w:t>.</w:t>
      </w:r>
      <w:r w:rsidRPr="00B27AC9" w:rsidR="00390799">
        <w:rPr>
          <w:rFonts w:eastAsia="Times New Roman"/>
          <w:bCs w:val="0"/>
          <w:color w:val="auto"/>
          <w:szCs w:val="24"/>
        </w:rPr>
        <w:t xml:space="preserve"> FirstEnergy did not file an opposition.</w:t>
      </w:r>
      <w:r w:rsidRPr="00B27AC9">
        <w:rPr>
          <w:rFonts w:eastAsia="Times New Roman"/>
          <w:bCs w:val="0"/>
          <w:color w:val="auto"/>
          <w:szCs w:val="24"/>
        </w:rPr>
        <w:t xml:space="preserve"> </w:t>
      </w:r>
      <w:r w:rsidRPr="00B27AC9" w:rsidR="00390799">
        <w:rPr>
          <w:rFonts w:eastAsia="Times New Roman"/>
          <w:bCs w:val="0"/>
          <w:color w:val="auto"/>
          <w:szCs w:val="24"/>
        </w:rPr>
        <w:t>T</w:t>
      </w:r>
      <w:r w:rsidRPr="00B27AC9">
        <w:rPr>
          <w:rFonts w:eastAsia="Times New Roman"/>
          <w:bCs w:val="0"/>
          <w:color w:val="auto"/>
          <w:szCs w:val="24"/>
        </w:rPr>
        <w:t>he</w:t>
      </w:r>
      <w:r w:rsidRPr="00B27AC9" w:rsidR="00390799">
        <w:rPr>
          <w:rFonts w:eastAsia="Times New Roman"/>
          <w:bCs w:val="0"/>
          <w:color w:val="auto"/>
          <w:szCs w:val="24"/>
        </w:rPr>
        <w:t xml:space="preserve"> </w:t>
      </w:r>
      <w:r w:rsidRPr="00B27AC9" w:rsidR="00390799">
        <w:rPr>
          <w:rFonts w:eastAsia="Times New Roman"/>
          <w:bCs w:val="0"/>
          <w:color w:val="auto"/>
          <w:szCs w:val="24"/>
        </w:rPr>
        <w:t>utilities’</w:t>
      </w:r>
      <w:r w:rsidRPr="00B27AC9">
        <w:rPr>
          <w:rFonts w:eastAsia="Times New Roman"/>
          <w:bCs w:val="0"/>
          <w:color w:val="auto"/>
          <w:szCs w:val="24"/>
        </w:rPr>
        <w:t xml:space="preserve"> objections are without merit and should be overruled</w:t>
      </w:r>
      <w:r w:rsidRPr="00B27AC9" w:rsidR="00F5496A">
        <w:rPr>
          <w:rFonts w:eastAsia="Times New Roman"/>
          <w:bCs w:val="0"/>
          <w:color w:val="auto"/>
          <w:szCs w:val="24"/>
        </w:rPr>
        <w:t xml:space="preserve"> to prevent the suffering of at-risk Ohio families when financial assistance is subject to processing delays by social service agencies</w:t>
      </w:r>
      <w:r w:rsidRPr="00B27AC9">
        <w:rPr>
          <w:rFonts w:eastAsia="Times New Roman"/>
          <w:bCs w:val="0"/>
          <w:color w:val="auto"/>
          <w:szCs w:val="24"/>
        </w:rPr>
        <w:t>.</w:t>
      </w:r>
      <w:r w:rsidRPr="00B27AC9" w:rsidR="000D3364">
        <w:rPr>
          <w:rFonts w:eastAsia="Times New Roman"/>
          <w:bCs w:val="0"/>
          <w:color w:val="auto"/>
          <w:szCs w:val="24"/>
        </w:rPr>
        <w:t xml:space="preserve"> </w:t>
      </w:r>
      <w:r w:rsidRPr="00B27AC9">
        <w:rPr>
          <w:rFonts w:eastAsia="Times New Roman"/>
          <w:bCs w:val="0"/>
          <w:color w:val="auto"/>
          <w:szCs w:val="24"/>
        </w:rPr>
        <w:t xml:space="preserve">The PUCO should implement the Consumer Advocates’ recommendations to protect </w:t>
      </w:r>
      <w:r w:rsidRPr="00B27AC9">
        <w:rPr>
          <w:szCs w:val="24"/>
        </w:rPr>
        <w:t xml:space="preserve">Ohio families at risk for energy utility disconnections </w:t>
      </w:r>
      <w:r w:rsidRPr="00B27AC9" w:rsidR="004334C5">
        <w:rPr>
          <w:szCs w:val="24"/>
        </w:rPr>
        <w:t>during any delays in the processing of their financial assistance.</w:t>
      </w:r>
      <w:r w:rsidRPr="00B27AC9">
        <w:rPr>
          <w:szCs w:val="24"/>
        </w:rPr>
        <w:t xml:space="preserve"> </w:t>
      </w:r>
    </w:p>
    <w:p w:rsidR="00C22A12" w:rsidRPr="00B27AC9" w:rsidP="00C5662F" w14:paraId="56F276A5" w14:textId="0D637CCF">
      <w:pPr>
        <w:spacing w:line="480" w:lineRule="auto"/>
        <w:ind w:firstLine="720"/>
        <w:rPr>
          <w:szCs w:val="24"/>
        </w:rPr>
      </w:pPr>
      <w:r w:rsidRPr="00B27AC9">
        <w:rPr>
          <w:szCs w:val="24"/>
        </w:rPr>
        <w:t>AEP, Duke and AES argue that the PUCO should reject the Consumer Advocates’ recommendations</w:t>
      </w:r>
      <w:r w:rsidRPr="00B27AC9" w:rsidR="00D144E6">
        <w:rPr>
          <w:szCs w:val="24"/>
        </w:rPr>
        <w:t>. They assert that</w:t>
      </w:r>
      <w:r w:rsidRPr="00B27AC9">
        <w:rPr>
          <w:szCs w:val="24"/>
        </w:rPr>
        <w:t xml:space="preserve"> the Consumer Advocates have made the same recommendations before, the PUCO has rejected these recommendations, and nothing has change</w:t>
      </w:r>
      <w:r w:rsidRPr="00B27AC9" w:rsidR="004B47E7">
        <w:rPr>
          <w:szCs w:val="24"/>
        </w:rPr>
        <w:t>d</w:t>
      </w:r>
      <w:r w:rsidRPr="00B27AC9">
        <w:rPr>
          <w:szCs w:val="24"/>
        </w:rPr>
        <w:t xml:space="preserve"> to warrant a different outcome.</w:t>
      </w:r>
      <w:r>
        <w:rPr>
          <w:rStyle w:val="FootnoteReference"/>
          <w:szCs w:val="24"/>
        </w:rPr>
        <w:footnoteReference w:id="4"/>
      </w:r>
      <w:r w:rsidRPr="00B27AC9" w:rsidR="00A04D98">
        <w:rPr>
          <w:szCs w:val="24"/>
        </w:rPr>
        <w:t xml:space="preserve"> </w:t>
      </w:r>
      <w:r w:rsidRPr="00B27AC9">
        <w:rPr>
          <w:szCs w:val="24"/>
        </w:rPr>
        <w:t>This is incorrect.</w:t>
      </w:r>
      <w:r w:rsidRPr="00B27AC9" w:rsidR="00A04D98">
        <w:rPr>
          <w:szCs w:val="24"/>
        </w:rPr>
        <w:t xml:space="preserve"> </w:t>
      </w:r>
      <w:r w:rsidRPr="00B27AC9" w:rsidR="00D144E6">
        <w:rPr>
          <w:szCs w:val="24"/>
        </w:rPr>
        <w:t>While t</w:t>
      </w:r>
      <w:r w:rsidRPr="00B27AC9">
        <w:rPr>
          <w:szCs w:val="24"/>
        </w:rPr>
        <w:t xml:space="preserve">he Consumer Advocates have </w:t>
      </w:r>
      <w:r w:rsidRPr="00B27AC9" w:rsidR="00D144E6">
        <w:rPr>
          <w:szCs w:val="24"/>
        </w:rPr>
        <w:t xml:space="preserve">previously </w:t>
      </w:r>
      <w:r w:rsidRPr="00B27AC9">
        <w:rPr>
          <w:szCs w:val="24"/>
        </w:rPr>
        <w:t>requested suspensions of utility disconnections</w:t>
      </w:r>
      <w:r w:rsidRPr="00B27AC9" w:rsidR="00D144E6">
        <w:rPr>
          <w:szCs w:val="24"/>
        </w:rPr>
        <w:t>,</w:t>
      </w:r>
      <w:r w:rsidRPr="00B27AC9">
        <w:rPr>
          <w:szCs w:val="24"/>
        </w:rPr>
        <w:t xml:space="preserve"> </w:t>
      </w:r>
      <w:r w:rsidRPr="00B27AC9" w:rsidR="00D144E6">
        <w:rPr>
          <w:szCs w:val="24"/>
        </w:rPr>
        <w:t>the requests were</w:t>
      </w:r>
      <w:r w:rsidRPr="00B27AC9">
        <w:rPr>
          <w:szCs w:val="24"/>
        </w:rPr>
        <w:t xml:space="preserve"> under different circumstances than presented here.</w:t>
      </w:r>
      <w:r w:rsidRPr="00B27AC9" w:rsidR="00A04D98">
        <w:rPr>
          <w:szCs w:val="24"/>
        </w:rPr>
        <w:t xml:space="preserve"> </w:t>
      </w:r>
    </w:p>
    <w:p w:rsidR="001224C9" w:rsidRPr="00B27AC9" w:rsidP="001224C9" w14:paraId="79777C50" w14:textId="2F59E6AD">
      <w:pPr>
        <w:spacing w:line="480" w:lineRule="auto"/>
        <w:ind w:firstLine="720"/>
        <w:rPr>
          <w:szCs w:val="24"/>
        </w:rPr>
      </w:pPr>
      <w:r w:rsidRPr="00B27AC9">
        <w:rPr>
          <w:szCs w:val="24"/>
        </w:rPr>
        <w:t xml:space="preserve">In the present case, the Consumer Advocates </w:t>
      </w:r>
      <w:r w:rsidRPr="00B27AC9" w:rsidR="004C74FA">
        <w:rPr>
          <w:szCs w:val="24"/>
        </w:rPr>
        <w:t>established</w:t>
      </w:r>
      <w:r w:rsidRPr="00B27AC9">
        <w:rPr>
          <w:szCs w:val="24"/>
        </w:rPr>
        <w:t xml:space="preserve"> that delays </w:t>
      </w:r>
      <w:r w:rsidRPr="00B27AC9" w:rsidR="004B47E7">
        <w:rPr>
          <w:szCs w:val="24"/>
        </w:rPr>
        <w:t>have occurred</w:t>
      </w:r>
      <w:r w:rsidRPr="00B27AC9">
        <w:rPr>
          <w:szCs w:val="24"/>
        </w:rPr>
        <w:t xml:space="preserve"> in enrolling consumers in energy assistance programs</w:t>
      </w:r>
      <w:r w:rsidRPr="00B27AC9" w:rsidR="004B47E7">
        <w:rPr>
          <w:szCs w:val="24"/>
        </w:rPr>
        <w:t xml:space="preserve">. According </w:t>
      </w:r>
      <w:r w:rsidRPr="00B27AC9" w:rsidR="00654A50">
        <w:rPr>
          <w:szCs w:val="24"/>
        </w:rPr>
        <w:t>to testimony under oath this year by</w:t>
      </w:r>
      <w:r w:rsidRPr="00B27AC9">
        <w:rPr>
          <w:szCs w:val="24"/>
        </w:rPr>
        <w:t xml:space="preserve"> Chief Policy Officer (Ms. Keelie Gustin) at the Miami Valley Community Action Partnership</w:t>
      </w:r>
      <w:r w:rsidRPr="00B27AC9" w:rsidR="00654A50">
        <w:rPr>
          <w:szCs w:val="24"/>
        </w:rPr>
        <w:t>, there have been assistance delays</w:t>
      </w:r>
      <w:r w:rsidRPr="00B27AC9">
        <w:rPr>
          <w:szCs w:val="24"/>
        </w:rPr>
        <w:t xml:space="preserve"> due to the “limited staff, limited resources [and] overwhelming program requirements.”</w:t>
      </w:r>
      <w:r>
        <w:rPr>
          <w:rStyle w:val="FootnoteReference"/>
          <w:szCs w:val="24"/>
        </w:rPr>
        <w:footnoteReference w:id="5"/>
      </w:r>
      <w:r w:rsidRPr="00B27AC9" w:rsidR="003B0466">
        <w:rPr>
          <w:szCs w:val="24"/>
        </w:rPr>
        <w:t xml:space="preserve"> </w:t>
      </w:r>
      <w:r w:rsidRPr="00B27AC9">
        <w:rPr>
          <w:szCs w:val="24"/>
        </w:rPr>
        <w:t xml:space="preserve">Ms. Gustin also testified poignantly about the plight of many Ohioans: </w:t>
      </w:r>
    </w:p>
    <w:p w:rsidR="001224C9" w:rsidRPr="00B27AC9" w:rsidP="00084517" w14:paraId="07739B26" w14:textId="4DCACE51">
      <w:pPr>
        <w:ind w:left="1440" w:right="1440"/>
        <w:rPr>
          <w:szCs w:val="24"/>
        </w:rPr>
      </w:pPr>
      <w:r w:rsidRPr="00B27AC9">
        <w:rPr>
          <w:szCs w:val="24"/>
        </w:rPr>
        <w:t>[T]the customers we serve are struggling. They are exhausted. They are overwhelmed and have little place to turn.</w:t>
      </w:r>
      <w:r>
        <w:rPr>
          <w:rStyle w:val="FootnoteReference"/>
          <w:szCs w:val="24"/>
        </w:rPr>
        <w:footnoteReference w:id="6"/>
      </w:r>
      <w:r w:rsidRPr="00B27AC9">
        <w:rPr>
          <w:szCs w:val="24"/>
        </w:rPr>
        <w:t xml:space="preserve"> Mothers and fathers worried about keeping their homes, paying their utility bills to cook their family a meal and provide light for their children to complete their homework. Basic, basic human needs are at stake on a daily if not hourly basis at the [community action] agency where I work, and this is happening throughout the state and throughout the nation.</w:t>
      </w:r>
      <w:r>
        <w:rPr>
          <w:rStyle w:val="FootnoteReference"/>
          <w:szCs w:val="24"/>
        </w:rPr>
        <w:footnoteReference w:id="7"/>
      </w:r>
    </w:p>
    <w:p w:rsidR="00084517" w:rsidRPr="00B27AC9" w:rsidP="00084517" w14:paraId="2710C023" w14:textId="77777777">
      <w:pPr>
        <w:ind w:left="1440" w:right="1440"/>
        <w:rPr>
          <w:szCs w:val="24"/>
        </w:rPr>
      </w:pPr>
    </w:p>
    <w:p w:rsidR="00B87DD1" w:rsidRPr="00B27AC9" w:rsidP="005C5979" w14:paraId="0A95D539" w14:textId="5C2B62A1">
      <w:pPr>
        <w:spacing w:line="480" w:lineRule="auto"/>
        <w:rPr>
          <w:szCs w:val="24"/>
        </w:rPr>
      </w:pPr>
      <w:r w:rsidRPr="00B27AC9">
        <w:rPr>
          <w:szCs w:val="24"/>
        </w:rPr>
        <w:t xml:space="preserve">The Consumer Advocates filed their </w:t>
      </w:r>
      <w:r w:rsidRPr="00B27AC9" w:rsidR="00A7295E">
        <w:rPr>
          <w:szCs w:val="24"/>
        </w:rPr>
        <w:t>M</w:t>
      </w:r>
      <w:r w:rsidRPr="00B27AC9">
        <w:rPr>
          <w:szCs w:val="24"/>
        </w:rPr>
        <w:t>otion in response to this situation.</w:t>
      </w:r>
      <w:r w:rsidRPr="00B27AC9" w:rsidR="00A04D98">
        <w:rPr>
          <w:szCs w:val="24"/>
        </w:rPr>
        <w:t xml:space="preserve"> </w:t>
      </w:r>
    </w:p>
    <w:p w:rsidR="004C74FA" w:rsidRPr="00B27AC9" w:rsidP="00B87DD1" w14:paraId="39875CCE" w14:textId="50525865">
      <w:pPr>
        <w:spacing w:line="480" w:lineRule="auto"/>
        <w:ind w:firstLine="720"/>
        <w:rPr>
          <w:szCs w:val="24"/>
        </w:rPr>
      </w:pPr>
      <w:r w:rsidRPr="00B27AC9">
        <w:rPr>
          <w:szCs w:val="24"/>
        </w:rPr>
        <w:t xml:space="preserve">As stated above, </w:t>
      </w:r>
      <w:r w:rsidRPr="00B27AC9" w:rsidR="00A7295E">
        <w:rPr>
          <w:szCs w:val="24"/>
        </w:rPr>
        <w:t>delays</w:t>
      </w:r>
      <w:r w:rsidRPr="00B27AC9" w:rsidR="00AF05BD">
        <w:rPr>
          <w:szCs w:val="24"/>
        </w:rPr>
        <w:t xml:space="preserve"> in assistance</w:t>
      </w:r>
      <w:r w:rsidRPr="00B27AC9">
        <w:rPr>
          <w:szCs w:val="24"/>
        </w:rPr>
        <w:t xml:space="preserve"> </w:t>
      </w:r>
      <w:r w:rsidRPr="00B27AC9" w:rsidR="00AF05BD">
        <w:rPr>
          <w:szCs w:val="24"/>
        </w:rPr>
        <w:t>were explained</w:t>
      </w:r>
      <w:r w:rsidRPr="00B27AC9">
        <w:rPr>
          <w:szCs w:val="24"/>
        </w:rPr>
        <w:t xml:space="preserve"> </w:t>
      </w:r>
      <w:r w:rsidRPr="00B27AC9" w:rsidR="00AF05BD">
        <w:rPr>
          <w:szCs w:val="24"/>
        </w:rPr>
        <w:t xml:space="preserve">in the testimony </w:t>
      </w:r>
      <w:r w:rsidRPr="00B27AC9">
        <w:rPr>
          <w:szCs w:val="24"/>
        </w:rPr>
        <w:t xml:space="preserve">at a public hearing </w:t>
      </w:r>
      <w:r w:rsidRPr="00B27AC9" w:rsidR="00657E34">
        <w:rPr>
          <w:szCs w:val="24"/>
        </w:rPr>
        <w:t xml:space="preserve">in </w:t>
      </w:r>
      <w:r w:rsidRPr="00B27AC9">
        <w:rPr>
          <w:szCs w:val="24"/>
        </w:rPr>
        <w:t>AES</w:t>
      </w:r>
      <w:r w:rsidRPr="00B27AC9" w:rsidR="00657E34">
        <w:rPr>
          <w:szCs w:val="24"/>
        </w:rPr>
        <w:t>’s</w:t>
      </w:r>
      <w:r w:rsidRPr="00B27AC9">
        <w:rPr>
          <w:szCs w:val="24"/>
        </w:rPr>
        <w:t xml:space="preserve"> Electric Security Plan case earlier this year.</w:t>
      </w:r>
      <w:r>
        <w:rPr>
          <w:rStyle w:val="FootnoteReference"/>
          <w:szCs w:val="24"/>
        </w:rPr>
        <w:footnoteReference w:id="8"/>
      </w:r>
      <w:r w:rsidRPr="00B27AC9" w:rsidR="00A04D98">
        <w:rPr>
          <w:szCs w:val="24"/>
        </w:rPr>
        <w:t xml:space="preserve"> </w:t>
      </w:r>
      <w:r w:rsidRPr="00B27AC9">
        <w:rPr>
          <w:szCs w:val="24"/>
        </w:rPr>
        <w:t xml:space="preserve">The Consumer Advocates request that the PUCO order a suspension of utility disconnections </w:t>
      </w:r>
      <w:r w:rsidRPr="00B27AC9" w:rsidR="00AF05BD">
        <w:rPr>
          <w:szCs w:val="24"/>
        </w:rPr>
        <w:t>when consumers’ financial assistance is</w:t>
      </w:r>
      <w:r w:rsidRPr="00B27AC9">
        <w:rPr>
          <w:szCs w:val="24"/>
        </w:rPr>
        <w:t xml:space="preserve"> delay</w:t>
      </w:r>
      <w:r w:rsidRPr="00B27AC9" w:rsidR="00AF05BD">
        <w:rPr>
          <w:szCs w:val="24"/>
        </w:rPr>
        <w:t>ed.</w:t>
      </w:r>
      <w:r w:rsidRPr="00B27AC9">
        <w:rPr>
          <w:szCs w:val="24"/>
        </w:rPr>
        <w:t xml:space="preserve"> Past PUCO rulings which addressed</w:t>
      </w:r>
      <w:r w:rsidRPr="00B27AC9" w:rsidR="00AF05BD">
        <w:rPr>
          <w:szCs w:val="24"/>
        </w:rPr>
        <w:t xml:space="preserve"> objections to</w:t>
      </w:r>
      <w:r w:rsidRPr="00B27AC9">
        <w:rPr>
          <w:szCs w:val="24"/>
        </w:rPr>
        <w:t xml:space="preserve"> utility disconnections under different circumstances do not apply to the present situation.</w:t>
      </w:r>
      <w:r w:rsidRPr="00B27AC9" w:rsidR="00BF3E1F">
        <w:rPr>
          <w:szCs w:val="24"/>
        </w:rPr>
        <w:t xml:space="preserve"> Nor is this Motion an improper attempt by Consumer Advocates to file an application for rehearing of the PUCO’s most recent Special Reconnect Order</w:t>
      </w:r>
      <w:r w:rsidRPr="00B27AC9">
        <w:rPr>
          <w:szCs w:val="24"/>
        </w:rPr>
        <w:t>,</w:t>
      </w:r>
      <w:r w:rsidRPr="00B27AC9" w:rsidR="00BF3E1F">
        <w:rPr>
          <w:szCs w:val="24"/>
        </w:rPr>
        <w:t xml:space="preserve"> as AES contends.</w:t>
      </w:r>
      <w:r>
        <w:rPr>
          <w:rStyle w:val="FootnoteReference"/>
          <w:szCs w:val="24"/>
        </w:rPr>
        <w:footnoteReference w:id="9"/>
      </w:r>
    </w:p>
    <w:p w:rsidR="00266BB1" w:rsidRPr="00B27AC9" w:rsidP="00C5662F" w14:paraId="08319042" w14:textId="5E4729A7">
      <w:pPr>
        <w:spacing w:line="480" w:lineRule="auto"/>
        <w:ind w:firstLine="720"/>
        <w:rPr>
          <w:szCs w:val="24"/>
        </w:rPr>
      </w:pPr>
      <w:r w:rsidRPr="00B27AC9">
        <w:rPr>
          <w:szCs w:val="24"/>
        </w:rPr>
        <w:t>A</w:t>
      </w:r>
      <w:r w:rsidRPr="00B27AC9" w:rsidR="002F196C">
        <w:rPr>
          <w:szCs w:val="24"/>
        </w:rPr>
        <w:t xml:space="preserve">EP, Duke and AES </w:t>
      </w:r>
      <w:r w:rsidRPr="00B27AC9" w:rsidR="00644CA9">
        <w:rPr>
          <w:szCs w:val="24"/>
        </w:rPr>
        <w:t>next</w:t>
      </w:r>
      <w:r w:rsidRPr="00B27AC9" w:rsidR="002F196C">
        <w:rPr>
          <w:szCs w:val="24"/>
        </w:rPr>
        <w:t xml:space="preserve"> </w:t>
      </w:r>
      <w:r w:rsidRPr="00B27AC9" w:rsidR="00D144E6">
        <w:rPr>
          <w:szCs w:val="24"/>
        </w:rPr>
        <w:t xml:space="preserve">heartlessly </w:t>
      </w:r>
      <w:r w:rsidRPr="00B27AC9" w:rsidR="002F196C">
        <w:rPr>
          <w:szCs w:val="24"/>
        </w:rPr>
        <w:t>argue that the PUCO should reject the Consumer Advocates’ recommendations because the PUCO should address these issues in a five-year rule review proceeding.</w:t>
      </w:r>
      <w:r>
        <w:rPr>
          <w:rStyle w:val="FootnoteReference"/>
          <w:szCs w:val="24"/>
        </w:rPr>
        <w:footnoteReference w:id="10"/>
      </w:r>
      <w:r w:rsidRPr="00B27AC9" w:rsidR="00AF05BD">
        <w:rPr>
          <w:szCs w:val="24"/>
        </w:rPr>
        <w:t xml:space="preserve"> The next rulemaking would seem not due until 202</w:t>
      </w:r>
      <w:r w:rsidRPr="00B27AC9" w:rsidR="0021417A">
        <w:rPr>
          <w:szCs w:val="24"/>
        </w:rPr>
        <w:t>6</w:t>
      </w:r>
      <w:r w:rsidRPr="00B27AC9" w:rsidR="00AF05BD">
        <w:rPr>
          <w:szCs w:val="24"/>
        </w:rPr>
        <w:t>.</w:t>
      </w:r>
      <w:r w:rsidRPr="00B27AC9" w:rsidR="003B0466">
        <w:rPr>
          <w:szCs w:val="24"/>
        </w:rPr>
        <w:t xml:space="preserve"> </w:t>
      </w:r>
      <w:r w:rsidRPr="00B27AC9" w:rsidR="00A15425">
        <w:rPr>
          <w:szCs w:val="24"/>
        </w:rPr>
        <w:t>T</w:t>
      </w:r>
      <w:r w:rsidRPr="00B27AC9" w:rsidR="005565E4">
        <w:rPr>
          <w:szCs w:val="24"/>
        </w:rPr>
        <w:t>he PUCO Staff recently</w:t>
      </w:r>
      <w:r w:rsidRPr="00B27AC9" w:rsidR="00A15425">
        <w:rPr>
          <w:szCs w:val="24"/>
        </w:rPr>
        <w:t xml:space="preserve"> recognized that the PUCO’s rulemaking process is time consuming, when it</w:t>
      </w:r>
      <w:r w:rsidRPr="00B27AC9" w:rsidR="005565E4">
        <w:rPr>
          <w:szCs w:val="24"/>
        </w:rPr>
        <w:t xml:space="preserve"> recommended </w:t>
      </w:r>
      <w:r w:rsidRPr="00B27AC9" w:rsidR="00A15425">
        <w:rPr>
          <w:szCs w:val="24"/>
        </w:rPr>
        <w:t xml:space="preserve">the </w:t>
      </w:r>
      <w:r w:rsidRPr="00B27AC9" w:rsidR="005565E4">
        <w:rPr>
          <w:szCs w:val="24"/>
        </w:rPr>
        <w:t xml:space="preserve">PUCO approve a marketer’s request to </w:t>
      </w:r>
      <w:r w:rsidRPr="00B27AC9" w:rsidR="005565E4">
        <w:rPr>
          <w:i/>
          <w:iCs/>
          <w:szCs w:val="24"/>
        </w:rPr>
        <w:t>waive</w:t>
      </w:r>
      <w:r w:rsidRPr="00B27AC9" w:rsidR="005565E4">
        <w:rPr>
          <w:szCs w:val="24"/>
        </w:rPr>
        <w:t xml:space="preserve"> consumer</w:t>
      </w:r>
      <w:r w:rsidRPr="00B27AC9" w:rsidR="00A15425">
        <w:rPr>
          <w:szCs w:val="24"/>
        </w:rPr>
        <w:t xml:space="preserve"> protection rules that protect consumers from misleading and deceptive marketing practices</w:t>
      </w:r>
      <w:r w:rsidRPr="00B27AC9" w:rsidR="005565E4">
        <w:rPr>
          <w:szCs w:val="24"/>
        </w:rPr>
        <w:t>.</w:t>
      </w:r>
      <w:r>
        <w:rPr>
          <w:rStyle w:val="FootnoteReference"/>
          <w:szCs w:val="24"/>
        </w:rPr>
        <w:footnoteReference w:id="11"/>
      </w:r>
      <w:r w:rsidRPr="00B27AC9" w:rsidR="005565E4">
        <w:rPr>
          <w:szCs w:val="24"/>
        </w:rPr>
        <w:t xml:space="preserve"> </w:t>
      </w:r>
      <w:r w:rsidRPr="00B27AC9" w:rsidR="00A15425">
        <w:rPr>
          <w:szCs w:val="24"/>
        </w:rPr>
        <w:t>The PUCO should protect at-risk consumers from</w:t>
      </w:r>
      <w:r w:rsidRPr="00B27AC9" w:rsidR="00D144E6">
        <w:rPr>
          <w:szCs w:val="24"/>
        </w:rPr>
        <w:t xml:space="preserve"> the suffering of</w:t>
      </w:r>
      <w:r w:rsidRPr="00B27AC9" w:rsidR="00A15425">
        <w:rPr>
          <w:szCs w:val="24"/>
        </w:rPr>
        <w:t xml:space="preserve"> disconnection </w:t>
      </w:r>
      <w:r w:rsidRPr="00B27AC9" w:rsidR="00A15425">
        <w:rPr>
          <w:i/>
          <w:iCs/>
          <w:szCs w:val="24"/>
        </w:rPr>
        <w:t>now</w:t>
      </w:r>
      <w:r w:rsidRPr="00B27AC9" w:rsidR="00A15425">
        <w:rPr>
          <w:szCs w:val="24"/>
        </w:rPr>
        <w:t xml:space="preserve">, instead of waiting for completion of </w:t>
      </w:r>
      <w:r w:rsidRPr="00B27AC9" w:rsidR="00D144E6">
        <w:rPr>
          <w:szCs w:val="24"/>
        </w:rPr>
        <w:t>a</w:t>
      </w:r>
      <w:r w:rsidRPr="00B27AC9" w:rsidR="00A15425">
        <w:rPr>
          <w:szCs w:val="24"/>
        </w:rPr>
        <w:t xml:space="preserve"> five-year rule review.</w:t>
      </w:r>
      <w:r w:rsidRPr="00B27AC9" w:rsidR="003B0466">
        <w:rPr>
          <w:szCs w:val="24"/>
        </w:rPr>
        <w:t xml:space="preserve"> </w:t>
      </w:r>
    </w:p>
    <w:p w:rsidR="006644C6" w:rsidRPr="00B27AC9" w:rsidP="00C5662F" w14:paraId="7F829FC5" w14:textId="483D3A14">
      <w:pPr>
        <w:spacing w:line="480" w:lineRule="auto"/>
        <w:ind w:firstLine="720"/>
        <w:rPr>
          <w:szCs w:val="24"/>
        </w:rPr>
      </w:pPr>
      <w:r w:rsidRPr="00B27AC9">
        <w:rPr>
          <w:szCs w:val="24"/>
        </w:rPr>
        <w:t xml:space="preserve">We hope that </w:t>
      </w:r>
      <w:r w:rsidRPr="00B27AC9" w:rsidR="0096723E">
        <w:rPr>
          <w:szCs w:val="24"/>
        </w:rPr>
        <w:t>no Ohioans suffer severe health effects or die from disconnection of essential utility services</w:t>
      </w:r>
      <w:r w:rsidRPr="00B27AC9" w:rsidR="005D723D">
        <w:rPr>
          <w:szCs w:val="24"/>
        </w:rPr>
        <w:t xml:space="preserve"> in cold or hot Ohio weather</w:t>
      </w:r>
      <w:r w:rsidRPr="00B27AC9" w:rsidR="0096723E">
        <w:rPr>
          <w:szCs w:val="24"/>
        </w:rPr>
        <w:t xml:space="preserve"> while waiting for </w:t>
      </w:r>
      <w:r w:rsidRPr="00B27AC9" w:rsidR="00D144E6">
        <w:rPr>
          <w:szCs w:val="24"/>
        </w:rPr>
        <w:t xml:space="preserve">their </w:t>
      </w:r>
      <w:r w:rsidRPr="00B27AC9" w:rsidR="00266BB1">
        <w:rPr>
          <w:szCs w:val="24"/>
        </w:rPr>
        <w:t>Ohio</w:t>
      </w:r>
      <w:r w:rsidRPr="00B27AC9" w:rsidR="0096723E">
        <w:rPr>
          <w:szCs w:val="24"/>
        </w:rPr>
        <w:t xml:space="preserve"> government </w:t>
      </w:r>
      <w:r w:rsidRPr="00B27AC9" w:rsidR="00266BB1">
        <w:rPr>
          <w:szCs w:val="24"/>
        </w:rPr>
        <w:t xml:space="preserve">to conduct the </w:t>
      </w:r>
      <w:r w:rsidRPr="00B27AC9" w:rsidR="0096723E">
        <w:rPr>
          <w:szCs w:val="24"/>
        </w:rPr>
        <w:t xml:space="preserve">rulemaking that AEP, Duke and AES </w:t>
      </w:r>
      <w:r w:rsidRPr="00B27AC9" w:rsidR="00266BB1">
        <w:rPr>
          <w:szCs w:val="24"/>
        </w:rPr>
        <w:t>reference</w:t>
      </w:r>
      <w:r w:rsidRPr="00B27AC9" w:rsidR="0096723E">
        <w:rPr>
          <w:szCs w:val="24"/>
        </w:rPr>
        <w:t xml:space="preserve">. </w:t>
      </w:r>
      <w:r w:rsidRPr="00B27AC9">
        <w:rPr>
          <w:szCs w:val="24"/>
        </w:rPr>
        <w:t>Tragically, i</w:t>
      </w:r>
      <w:r w:rsidRPr="00B27AC9" w:rsidR="0096723E">
        <w:rPr>
          <w:szCs w:val="24"/>
        </w:rPr>
        <w:t xml:space="preserve">t should be recalled that </w:t>
      </w:r>
      <w:r w:rsidRPr="00B27AC9" w:rsidR="00D860E2">
        <w:rPr>
          <w:szCs w:val="24"/>
        </w:rPr>
        <w:t>almost 12</w:t>
      </w:r>
      <w:r w:rsidRPr="00B27AC9" w:rsidR="003B0466">
        <w:rPr>
          <w:szCs w:val="24"/>
        </w:rPr>
        <w:t xml:space="preserve"> </w:t>
      </w:r>
      <w:r w:rsidRPr="00B27AC9" w:rsidR="0096723E">
        <w:rPr>
          <w:szCs w:val="24"/>
        </w:rPr>
        <w:t>years ago two Ohioans did die, apparently from hypothermia</w:t>
      </w:r>
      <w:r w:rsidRPr="00B27AC9" w:rsidR="009C76A9">
        <w:rPr>
          <w:szCs w:val="24"/>
        </w:rPr>
        <w:t xml:space="preserve"> in the cold</w:t>
      </w:r>
      <w:r w:rsidRPr="00B27AC9" w:rsidR="0096723E">
        <w:rPr>
          <w:szCs w:val="24"/>
        </w:rPr>
        <w:t>, after being improperly disconnected by Duke.</w:t>
      </w:r>
      <w:r>
        <w:rPr>
          <w:rStyle w:val="FootnoteReference"/>
          <w:szCs w:val="24"/>
        </w:rPr>
        <w:footnoteReference w:id="12"/>
      </w:r>
      <w:r w:rsidRPr="00B27AC9" w:rsidR="0096723E">
        <w:rPr>
          <w:szCs w:val="24"/>
        </w:rPr>
        <w:t xml:space="preserve"> </w:t>
      </w:r>
    </w:p>
    <w:p w:rsidR="00FE1006" w:rsidRPr="00B27AC9" w:rsidP="00C5662F" w14:paraId="73E11509" w14:textId="087D4E04">
      <w:pPr>
        <w:spacing w:line="480" w:lineRule="auto"/>
        <w:ind w:firstLine="720"/>
        <w:rPr>
          <w:szCs w:val="24"/>
        </w:rPr>
      </w:pPr>
      <w:r w:rsidRPr="00B27AC9">
        <w:rPr>
          <w:szCs w:val="24"/>
        </w:rPr>
        <w:t xml:space="preserve">Of course, the utilities are allowed by the PUCO to routinely file requests to waive a rule without waiting for the next rulemaking. </w:t>
      </w:r>
      <w:r w:rsidRPr="00B27AC9" w:rsidR="00A82907">
        <w:rPr>
          <w:szCs w:val="24"/>
        </w:rPr>
        <w:t>But</w:t>
      </w:r>
      <w:r w:rsidRPr="00B27AC9" w:rsidR="00390574">
        <w:rPr>
          <w:szCs w:val="24"/>
        </w:rPr>
        <w:t xml:space="preserve"> the utilities don’t want the PUCO to give consumers the reciprocal right.</w:t>
      </w:r>
    </w:p>
    <w:p w:rsidR="002F196C" w:rsidRPr="00B27AC9" w:rsidP="00C5662F" w14:paraId="75D5220C" w14:textId="7AE7A83F">
      <w:pPr>
        <w:spacing w:line="480" w:lineRule="auto"/>
        <w:ind w:firstLine="720"/>
        <w:rPr>
          <w:szCs w:val="24"/>
        </w:rPr>
      </w:pPr>
      <w:r w:rsidRPr="00B27AC9">
        <w:rPr>
          <w:szCs w:val="24"/>
        </w:rPr>
        <w:t>The PUCO should reject th</w:t>
      </w:r>
      <w:r w:rsidRPr="00B27AC9" w:rsidR="00FE1006">
        <w:rPr>
          <w:szCs w:val="24"/>
        </w:rPr>
        <w:t xml:space="preserve">e </w:t>
      </w:r>
      <w:r w:rsidRPr="00B27AC9">
        <w:rPr>
          <w:szCs w:val="24"/>
        </w:rPr>
        <w:t>argument</w:t>
      </w:r>
      <w:r w:rsidRPr="00B27AC9" w:rsidR="00A82907">
        <w:rPr>
          <w:szCs w:val="24"/>
        </w:rPr>
        <w:t>s by AEP, Duke and AES.</w:t>
      </w:r>
      <w:r w:rsidRPr="00B27AC9" w:rsidR="003B0466">
        <w:rPr>
          <w:szCs w:val="24"/>
        </w:rPr>
        <w:t xml:space="preserve"> </w:t>
      </w:r>
      <w:r w:rsidRPr="00B27AC9" w:rsidR="00A82907">
        <w:rPr>
          <w:szCs w:val="24"/>
        </w:rPr>
        <w:t>Th</w:t>
      </w:r>
      <w:r w:rsidRPr="00B27AC9" w:rsidR="008F6DF2">
        <w:rPr>
          <w:szCs w:val="24"/>
        </w:rPr>
        <w:t>is</w:t>
      </w:r>
      <w:r w:rsidRPr="00B27AC9" w:rsidR="00A82907">
        <w:rPr>
          <w:szCs w:val="24"/>
        </w:rPr>
        <w:t xml:space="preserve"> problem for </w:t>
      </w:r>
      <w:r w:rsidRPr="00B27AC9" w:rsidR="0022044E">
        <w:rPr>
          <w:szCs w:val="24"/>
        </w:rPr>
        <w:t xml:space="preserve">Ohio </w:t>
      </w:r>
      <w:r w:rsidRPr="00B27AC9" w:rsidR="00A82907">
        <w:rPr>
          <w:szCs w:val="24"/>
        </w:rPr>
        <w:t>consumers</w:t>
      </w:r>
      <w:r w:rsidRPr="00B27AC9" w:rsidR="008F6DF2">
        <w:rPr>
          <w:szCs w:val="24"/>
        </w:rPr>
        <w:t xml:space="preserve"> and their families’ well-being</w:t>
      </w:r>
      <w:r w:rsidRPr="00B27AC9">
        <w:rPr>
          <w:szCs w:val="24"/>
        </w:rPr>
        <w:t xml:space="preserve"> presents an emergency situation which the PUCO should address now under its emergency powers.</w:t>
      </w:r>
      <w:r>
        <w:rPr>
          <w:rStyle w:val="FootnoteReference"/>
          <w:szCs w:val="24"/>
        </w:rPr>
        <w:footnoteReference w:id="13"/>
      </w:r>
    </w:p>
    <w:p w:rsidR="00D67265" w:rsidRPr="00B27AC9" w:rsidP="00C5662F" w14:paraId="3048E1CA" w14:textId="6315C3E6">
      <w:pPr>
        <w:spacing w:line="480" w:lineRule="auto"/>
        <w:ind w:firstLine="720"/>
        <w:rPr>
          <w:szCs w:val="24"/>
        </w:rPr>
      </w:pPr>
      <w:r w:rsidRPr="00B27AC9">
        <w:rPr>
          <w:szCs w:val="24"/>
        </w:rPr>
        <w:t>AEP</w:t>
      </w:r>
      <w:r w:rsidRPr="00B27AC9" w:rsidR="00FF047E">
        <w:rPr>
          <w:szCs w:val="24"/>
        </w:rPr>
        <w:t>, Duke Energy and AES have recently implemented, or are in the process of implementing, significant increases to their delivery charges resulting from electric security plan cases and base distribution rate cases.</w:t>
      </w:r>
      <w:r w:rsidRPr="00B27AC9" w:rsidR="00A04D98">
        <w:rPr>
          <w:szCs w:val="24"/>
        </w:rPr>
        <w:t xml:space="preserve"> </w:t>
      </w:r>
      <w:r w:rsidRPr="00B27AC9" w:rsidR="00FF047E">
        <w:rPr>
          <w:szCs w:val="24"/>
        </w:rPr>
        <w:t>In addition, they recently raised their generation prices by huge amounts, as</w:t>
      </w:r>
      <w:r w:rsidRPr="00B27AC9">
        <w:rPr>
          <w:szCs w:val="24"/>
        </w:rPr>
        <w:t xml:space="preserve"> </w:t>
      </w:r>
      <w:r w:rsidRPr="00B27AC9" w:rsidR="00FF047E">
        <w:rPr>
          <w:szCs w:val="24"/>
        </w:rPr>
        <w:t>AEP explains</w:t>
      </w:r>
      <w:r w:rsidRPr="00B27AC9">
        <w:rPr>
          <w:szCs w:val="24"/>
        </w:rPr>
        <w:t>:</w:t>
      </w:r>
    </w:p>
    <w:p w:rsidR="00D67265" w:rsidRPr="00B27AC9" w:rsidP="00D67265" w14:paraId="427A3C1C" w14:textId="4639B2F3">
      <w:pPr>
        <w:ind w:left="1440" w:right="1440"/>
        <w:rPr>
          <w:szCs w:val="24"/>
        </w:rPr>
      </w:pPr>
      <w:r w:rsidRPr="00B27AC9">
        <w:rPr>
          <w:szCs w:val="24"/>
        </w:rPr>
        <w:t xml:space="preserve">During the most recent auctions, held in November 2022 and March 2023, the cost of procuring generation supply increased significantly and AEP Ohio is required to pass these costs along to customers. Global demand, global supply chain issues, economic uncertainty, and the continued war in Ukraine have had an impact on the cost to produce electricity. The results of these two auctions are blended to create the new rate. </w:t>
      </w:r>
      <w:r w:rsidRPr="00B27AC9">
        <w:rPr>
          <w:i/>
          <w:iCs/>
          <w:szCs w:val="24"/>
        </w:rPr>
        <w:t>Due to these rising costs, a typical residential customer using 1,000 kilowatt-hours of energy each month can expect their total bill to increase about 28% from today's typical bill of about $155 to about $198.</w:t>
      </w:r>
      <w:r w:rsidRPr="00B27AC9">
        <w:rPr>
          <w:szCs w:val="24"/>
        </w:rPr>
        <w:t xml:space="preserve"> These rates will be in effect until May 2024.</w:t>
      </w:r>
      <w:r>
        <w:rPr>
          <w:rStyle w:val="FootnoteReference"/>
          <w:szCs w:val="24"/>
        </w:rPr>
        <w:footnoteReference w:id="14"/>
      </w:r>
    </w:p>
    <w:p w:rsidR="003C04B7" w:rsidRPr="00B27AC9" w:rsidP="00D67265" w14:paraId="69E365F0" w14:textId="77777777">
      <w:pPr>
        <w:ind w:left="1440" w:right="1440" w:firstLine="720"/>
        <w:rPr>
          <w:szCs w:val="24"/>
        </w:rPr>
      </w:pPr>
    </w:p>
    <w:p w:rsidR="003C04B7" w:rsidRPr="00B27AC9" w:rsidP="00FF047E" w14:paraId="7B097CDA" w14:textId="16BC4AD4">
      <w:pPr>
        <w:spacing w:line="480" w:lineRule="auto"/>
        <w:rPr>
          <w:rFonts w:eastAsia="Times New Roman"/>
          <w:bCs w:val="0"/>
          <w:color w:val="auto"/>
          <w:szCs w:val="24"/>
        </w:rPr>
      </w:pPr>
      <w:r w:rsidRPr="00B27AC9">
        <w:rPr>
          <w:rFonts w:eastAsia="Times New Roman"/>
          <w:bCs w:val="0"/>
          <w:color w:val="auto"/>
          <w:szCs w:val="24"/>
        </w:rPr>
        <w:tab/>
      </w:r>
      <w:r w:rsidRPr="00B27AC9" w:rsidR="008F6DF2">
        <w:rPr>
          <w:rFonts w:eastAsia="Times New Roman"/>
          <w:bCs w:val="0"/>
          <w:color w:val="auto"/>
          <w:szCs w:val="24"/>
        </w:rPr>
        <w:t>T</w:t>
      </w:r>
      <w:r w:rsidRPr="00B27AC9">
        <w:rPr>
          <w:rFonts w:eastAsia="Times New Roman"/>
          <w:bCs w:val="0"/>
          <w:color w:val="auto"/>
          <w:szCs w:val="24"/>
        </w:rPr>
        <w:t xml:space="preserve">he PUCO should act now to </w:t>
      </w:r>
      <w:r w:rsidRPr="00B27AC9">
        <w:rPr>
          <w:szCs w:val="24"/>
        </w:rPr>
        <w:t xml:space="preserve">suspend electric and natural gas </w:t>
      </w:r>
      <w:r w:rsidRPr="00B27AC9">
        <w:rPr>
          <w:rFonts w:eastAsia="Times New Roman"/>
          <w:bCs w:val="0"/>
          <w:color w:val="auto"/>
          <w:szCs w:val="24"/>
        </w:rPr>
        <w:t>utility disconnections of at-risk consumers when delays occur in processing their applications for financial assistance.</w:t>
      </w:r>
      <w:r w:rsidRPr="00B27AC9" w:rsidR="00A04D98">
        <w:rPr>
          <w:rFonts w:eastAsia="Times New Roman"/>
          <w:bCs w:val="0"/>
          <w:color w:val="auto"/>
          <w:szCs w:val="24"/>
        </w:rPr>
        <w:t xml:space="preserve"> </w:t>
      </w:r>
      <w:r w:rsidRPr="00B27AC9" w:rsidR="008F6DF2">
        <w:rPr>
          <w:rFonts w:eastAsia="Times New Roman"/>
          <w:bCs w:val="0"/>
          <w:color w:val="auto"/>
          <w:szCs w:val="24"/>
        </w:rPr>
        <w:t>Again, t</w:t>
      </w:r>
      <w:r w:rsidRPr="00B27AC9">
        <w:rPr>
          <w:rFonts w:eastAsia="Times New Roman"/>
          <w:bCs w:val="0"/>
          <w:color w:val="auto"/>
          <w:szCs w:val="24"/>
        </w:rPr>
        <w:t xml:space="preserve">he situation is too dire to </w:t>
      </w:r>
      <w:r w:rsidRPr="00B27AC9" w:rsidR="008F6DF2">
        <w:rPr>
          <w:rFonts w:eastAsia="Times New Roman"/>
          <w:bCs w:val="0"/>
          <w:color w:val="auto"/>
          <w:szCs w:val="24"/>
        </w:rPr>
        <w:t xml:space="preserve">make at-risk Ohioans </w:t>
      </w:r>
      <w:r w:rsidRPr="00B27AC9">
        <w:rPr>
          <w:rFonts w:eastAsia="Times New Roman"/>
          <w:bCs w:val="0"/>
          <w:color w:val="auto"/>
          <w:szCs w:val="24"/>
        </w:rPr>
        <w:t>wait for a five-year rule review</w:t>
      </w:r>
      <w:r w:rsidRPr="00B27AC9" w:rsidR="0022044E">
        <w:rPr>
          <w:rFonts w:eastAsia="Times New Roman"/>
          <w:bCs w:val="0"/>
          <w:color w:val="auto"/>
          <w:szCs w:val="24"/>
        </w:rPr>
        <w:t>, as the utilities recommend</w:t>
      </w:r>
      <w:r w:rsidRPr="00B27AC9">
        <w:rPr>
          <w:rFonts w:eastAsia="Times New Roman"/>
          <w:bCs w:val="0"/>
          <w:color w:val="auto"/>
          <w:szCs w:val="24"/>
        </w:rPr>
        <w:t>.</w:t>
      </w:r>
    </w:p>
    <w:p w:rsidR="00FF047E" w:rsidRPr="00B27AC9" w:rsidP="00FF047E" w14:paraId="069FEC8C" w14:textId="5E81DF85">
      <w:pPr>
        <w:spacing w:line="480" w:lineRule="auto"/>
        <w:rPr>
          <w:szCs w:val="24"/>
        </w:rPr>
      </w:pPr>
      <w:r w:rsidRPr="00B27AC9">
        <w:rPr>
          <w:rFonts w:eastAsia="Times New Roman"/>
          <w:bCs w:val="0"/>
          <w:color w:val="auto"/>
          <w:szCs w:val="24"/>
        </w:rPr>
        <w:tab/>
      </w:r>
      <w:r w:rsidRPr="00B27AC9" w:rsidR="0022044E">
        <w:rPr>
          <w:rFonts w:eastAsia="Times New Roman"/>
          <w:bCs w:val="0"/>
          <w:color w:val="auto"/>
          <w:szCs w:val="24"/>
        </w:rPr>
        <w:t xml:space="preserve">Further, </w:t>
      </w:r>
      <w:r w:rsidRPr="00B27AC9">
        <w:rPr>
          <w:szCs w:val="24"/>
        </w:rPr>
        <w:t xml:space="preserve">AEP and AES urge the PUCO to reject the Consumer Advocates’ recommendations because this could increase the amount of </w:t>
      </w:r>
      <w:r w:rsidRPr="00B27AC9" w:rsidR="0022044E">
        <w:rPr>
          <w:szCs w:val="24"/>
        </w:rPr>
        <w:t>utility</w:t>
      </w:r>
      <w:r w:rsidRPr="00B27AC9">
        <w:rPr>
          <w:szCs w:val="24"/>
        </w:rPr>
        <w:t xml:space="preserve"> uncollectible expense </w:t>
      </w:r>
      <w:r w:rsidRPr="00B27AC9" w:rsidR="00B12994">
        <w:rPr>
          <w:szCs w:val="24"/>
        </w:rPr>
        <w:t>and</w:t>
      </w:r>
      <w:r w:rsidRPr="00B27AC9" w:rsidR="00E142AF">
        <w:rPr>
          <w:szCs w:val="24"/>
        </w:rPr>
        <w:t>, they allege,</w:t>
      </w:r>
      <w:r w:rsidRPr="00B27AC9" w:rsidR="00B12994">
        <w:rPr>
          <w:szCs w:val="24"/>
        </w:rPr>
        <w:t xml:space="preserve"> </w:t>
      </w:r>
      <w:r w:rsidRPr="00B27AC9">
        <w:rPr>
          <w:szCs w:val="24"/>
        </w:rPr>
        <w:t xml:space="preserve">disrupt </w:t>
      </w:r>
      <w:r w:rsidRPr="00B27AC9" w:rsidR="00B12994">
        <w:rPr>
          <w:szCs w:val="24"/>
        </w:rPr>
        <w:t>the PIPP program.</w:t>
      </w:r>
      <w:r>
        <w:rPr>
          <w:rStyle w:val="FootnoteReference"/>
          <w:szCs w:val="24"/>
        </w:rPr>
        <w:footnoteReference w:id="15"/>
      </w:r>
      <w:r w:rsidRPr="00B27AC9" w:rsidR="00A04D98">
        <w:rPr>
          <w:szCs w:val="24"/>
        </w:rPr>
        <w:t xml:space="preserve"> </w:t>
      </w:r>
      <w:r w:rsidRPr="00B27AC9" w:rsidR="008F6DF2">
        <w:rPr>
          <w:szCs w:val="24"/>
        </w:rPr>
        <w:t>But t</w:t>
      </w:r>
      <w:r w:rsidRPr="00B27AC9" w:rsidR="00CA6FD0">
        <w:rPr>
          <w:szCs w:val="24"/>
        </w:rPr>
        <w:t>he</w:t>
      </w:r>
      <w:r w:rsidRPr="00B27AC9" w:rsidR="00E142AF">
        <w:rPr>
          <w:szCs w:val="24"/>
        </w:rPr>
        <w:t xml:space="preserve"> PIPP program exists to help Ohioans in need. The</w:t>
      </w:r>
      <w:r w:rsidRPr="00B27AC9" w:rsidR="00A93C7B">
        <w:rPr>
          <w:szCs w:val="24"/>
        </w:rPr>
        <w:t xml:space="preserve"> imperative</w:t>
      </w:r>
      <w:r w:rsidRPr="00B27AC9" w:rsidR="00E142AF">
        <w:rPr>
          <w:szCs w:val="24"/>
        </w:rPr>
        <w:t xml:space="preserve"> here</w:t>
      </w:r>
      <w:r w:rsidRPr="00B27AC9" w:rsidR="00CA6FD0">
        <w:rPr>
          <w:szCs w:val="24"/>
        </w:rPr>
        <w:t xml:space="preserve"> </w:t>
      </w:r>
      <w:r w:rsidRPr="00B27AC9" w:rsidR="00A93C7B">
        <w:rPr>
          <w:szCs w:val="24"/>
        </w:rPr>
        <w:t>is</w:t>
      </w:r>
      <w:r w:rsidRPr="00B27AC9" w:rsidR="00CA6FD0">
        <w:rPr>
          <w:szCs w:val="24"/>
        </w:rPr>
        <w:t xml:space="preserve"> </w:t>
      </w:r>
      <w:r w:rsidRPr="00B27AC9" w:rsidR="00E501F3">
        <w:rPr>
          <w:szCs w:val="24"/>
        </w:rPr>
        <w:t>protect</w:t>
      </w:r>
      <w:r w:rsidRPr="00B27AC9" w:rsidR="00A93C7B">
        <w:rPr>
          <w:szCs w:val="24"/>
        </w:rPr>
        <w:t xml:space="preserve">ing </w:t>
      </w:r>
      <w:r w:rsidRPr="00B27AC9" w:rsidR="00E501F3">
        <w:rPr>
          <w:szCs w:val="24"/>
        </w:rPr>
        <w:t>the health and welfare of at-risk Ohio</w:t>
      </w:r>
      <w:r w:rsidRPr="00B27AC9" w:rsidR="00A93C7B">
        <w:rPr>
          <w:szCs w:val="24"/>
        </w:rPr>
        <w:t xml:space="preserve"> families who are</w:t>
      </w:r>
      <w:r w:rsidRPr="00B27AC9" w:rsidR="00E501F3">
        <w:rPr>
          <w:szCs w:val="24"/>
        </w:rPr>
        <w:t xml:space="preserve"> </w:t>
      </w:r>
      <w:r w:rsidRPr="00B27AC9" w:rsidR="00CA6FD0">
        <w:rPr>
          <w:szCs w:val="24"/>
        </w:rPr>
        <w:t xml:space="preserve">confronted by delays in obtaining </w:t>
      </w:r>
      <w:r w:rsidRPr="00B27AC9" w:rsidR="00A93C7B">
        <w:rPr>
          <w:szCs w:val="24"/>
        </w:rPr>
        <w:t xml:space="preserve">their </w:t>
      </w:r>
      <w:r w:rsidRPr="00B27AC9" w:rsidR="00CA6FD0">
        <w:rPr>
          <w:szCs w:val="24"/>
        </w:rPr>
        <w:t>energy financial assistance, through no fault of their own</w:t>
      </w:r>
      <w:r w:rsidRPr="00B27AC9" w:rsidR="00A93C7B">
        <w:rPr>
          <w:szCs w:val="24"/>
        </w:rPr>
        <w:t>.</w:t>
      </w:r>
      <w:r w:rsidRPr="00B27AC9" w:rsidR="00CA6FD0">
        <w:rPr>
          <w:szCs w:val="24"/>
        </w:rPr>
        <w:t xml:space="preserve"> </w:t>
      </w:r>
    </w:p>
    <w:p w:rsidR="00B56200" w:rsidRPr="00B27AC9" w:rsidP="009478D3" w14:paraId="74031247" w14:textId="248F48A0">
      <w:pPr>
        <w:spacing w:line="480" w:lineRule="auto"/>
        <w:rPr>
          <w:szCs w:val="24"/>
        </w:rPr>
      </w:pPr>
      <w:r w:rsidRPr="00B27AC9">
        <w:rPr>
          <w:szCs w:val="24"/>
        </w:rPr>
        <w:tab/>
        <w:t>Finally, AEP and AES argue that the PUCO should reject the Consumer Advocates’ recommendations because this</w:t>
      </w:r>
      <w:r w:rsidRPr="00B27AC9" w:rsidR="009478D3">
        <w:rPr>
          <w:szCs w:val="24"/>
        </w:rPr>
        <w:t xml:space="preserve"> would</w:t>
      </w:r>
      <w:r w:rsidRPr="00B27AC9">
        <w:rPr>
          <w:szCs w:val="24"/>
        </w:rPr>
        <w:t xml:space="preserve"> interfere with the Department of Development’s </w:t>
      </w:r>
      <w:r w:rsidRPr="00B27AC9" w:rsidR="009478D3">
        <w:rPr>
          <w:szCs w:val="24"/>
        </w:rPr>
        <w:t>jurisdiction over the PIPP program.</w:t>
      </w:r>
      <w:r>
        <w:rPr>
          <w:rStyle w:val="FootnoteReference"/>
          <w:szCs w:val="24"/>
        </w:rPr>
        <w:footnoteReference w:id="16"/>
      </w:r>
      <w:r w:rsidRPr="00B27AC9" w:rsidR="00A04D98">
        <w:rPr>
          <w:szCs w:val="24"/>
        </w:rPr>
        <w:t xml:space="preserve"> </w:t>
      </w:r>
      <w:r w:rsidRPr="00B27AC9">
        <w:rPr>
          <w:szCs w:val="24"/>
        </w:rPr>
        <w:t>AEP and AES would distract their regulators with a squabble about inter-agency jurisdiction while at-risk Ohioans suffer.</w:t>
      </w:r>
      <w:r w:rsidRPr="00B27AC9" w:rsidR="003B0466">
        <w:rPr>
          <w:szCs w:val="24"/>
        </w:rPr>
        <w:t xml:space="preserve"> </w:t>
      </w:r>
      <w:r w:rsidRPr="00B27AC9">
        <w:rPr>
          <w:szCs w:val="24"/>
        </w:rPr>
        <w:t>The</w:t>
      </w:r>
      <w:r w:rsidRPr="00B27AC9" w:rsidR="00E142AF">
        <w:rPr>
          <w:szCs w:val="24"/>
        </w:rPr>
        <w:t>re</w:t>
      </w:r>
      <w:r w:rsidRPr="00B27AC9">
        <w:rPr>
          <w:szCs w:val="24"/>
        </w:rPr>
        <w:t xml:space="preserve"> </w:t>
      </w:r>
      <w:r w:rsidRPr="00B27AC9" w:rsidR="00E142AF">
        <w:rPr>
          <w:szCs w:val="24"/>
        </w:rPr>
        <w:t xml:space="preserve">is no interference with ODOD’s jurisdiction. Indeed, ODOD could have filed a memorandum contra (which it didn’t) if it is concerned about its jurisdiction. Hopefully, ODOD would support action to protect Ohio consumers as proposed in our motion. The utilities’ </w:t>
      </w:r>
      <w:r w:rsidRPr="00B27AC9" w:rsidR="009478D3">
        <w:rPr>
          <w:szCs w:val="24"/>
        </w:rPr>
        <w:t>argument is merit</w:t>
      </w:r>
      <w:r w:rsidRPr="00B27AC9">
        <w:rPr>
          <w:szCs w:val="24"/>
        </w:rPr>
        <w:t>less</w:t>
      </w:r>
      <w:r w:rsidRPr="00B27AC9" w:rsidR="009478D3">
        <w:rPr>
          <w:szCs w:val="24"/>
        </w:rPr>
        <w:t>.</w:t>
      </w:r>
      <w:r w:rsidRPr="00B27AC9" w:rsidR="00A04D98">
        <w:rPr>
          <w:szCs w:val="24"/>
        </w:rPr>
        <w:t xml:space="preserve"> </w:t>
      </w:r>
    </w:p>
    <w:p w:rsidR="00B56200" w:rsidRPr="00B27AC9" w:rsidP="005C5979" w14:paraId="3D5D84C8" w14:textId="7AF0CDD5">
      <w:pPr>
        <w:spacing w:line="480" w:lineRule="auto"/>
        <w:ind w:firstLine="720"/>
        <w:rPr>
          <w:rFonts w:eastAsia="Times New Roman"/>
          <w:bCs w:val="0"/>
          <w:color w:val="auto"/>
          <w:szCs w:val="24"/>
        </w:rPr>
      </w:pPr>
      <w:r w:rsidRPr="00B27AC9">
        <w:rPr>
          <w:szCs w:val="24"/>
        </w:rPr>
        <w:t>Clearly, the PUCO has jurisdiction under R.C. 4909.16 to take emergency action needed to mitigate the impact of higher utility charges. R.C. 4909.16 begins with the words “</w:t>
      </w:r>
      <w:r w:rsidRPr="00B27AC9">
        <w:rPr>
          <w:rFonts w:eastAsia="Times New Roman"/>
          <w:bCs w:val="0"/>
          <w:color w:val="auto"/>
          <w:szCs w:val="24"/>
        </w:rPr>
        <w:t>When the public utilities commission deems it necessary to prevent injury to the business or interests of the public or of any public utility of this state in case of any emergency to be judged by the commission,</w:t>
      </w:r>
      <w:r w:rsidRPr="00B27AC9" w:rsidR="00A45606">
        <w:rPr>
          <w:rFonts w:eastAsia="Times New Roman"/>
          <w:bCs w:val="0"/>
          <w:color w:val="auto"/>
          <w:szCs w:val="24"/>
        </w:rPr>
        <w:t xml:space="preserve"> . . .</w:t>
      </w:r>
      <w:r w:rsidRPr="00B27AC9">
        <w:rPr>
          <w:rFonts w:eastAsia="Times New Roman"/>
          <w:bCs w:val="0"/>
          <w:color w:val="auto"/>
          <w:szCs w:val="24"/>
        </w:rPr>
        <w:t>”</w:t>
      </w:r>
      <w:r w:rsidRPr="00B27AC9" w:rsidR="006654F4">
        <w:rPr>
          <w:rFonts w:eastAsia="Times New Roman"/>
          <w:bCs w:val="0"/>
          <w:color w:val="auto"/>
          <w:szCs w:val="24"/>
        </w:rPr>
        <w:t xml:space="preserve"> So, the legislature gave the PUCO authority to “prevent injury” to the public when the PUCO judges there to be an emergency.</w:t>
      </w:r>
      <w:r w:rsidRPr="00B27AC9" w:rsidR="003B0466">
        <w:rPr>
          <w:rFonts w:eastAsia="Times New Roman"/>
          <w:bCs w:val="0"/>
          <w:color w:val="auto"/>
          <w:szCs w:val="24"/>
        </w:rPr>
        <w:t xml:space="preserve"> </w:t>
      </w:r>
      <w:r w:rsidRPr="00B27AC9" w:rsidR="006654F4">
        <w:rPr>
          <w:rFonts w:eastAsia="Times New Roman"/>
          <w:bCs w:val="0"/>
          <w:color w:val="auto"/>
          <w:szCs w:val="24"/>
        </w:rPr>
        <w:t>The PUCO should use its power now to protect Ohioans.</w:t>
      </w:r>
    </w:p>
    <w:p w:rsidR="009478D3" w:rsidRPr="00B27AC9" w:rsidP="005C5979" w14:paraId="0C512873" w14:textId="38A26DE5">
      <w:pPr>
        <w:spacing w:line="480" w:lineRule="auto"/>
        <w:ind w:firstLine="720"/>
        <w:rPr>
          <w:szCs w:val="24"/>
        </w:rPr>
      </w:pPr>
      <w:r w:rsidRPr="00B27AC9">
        <w:rPr>
          <w:szCs w:val="24"/>
        </w:rPr>
        <w:t xml:space="preserve"> The mere fact that the Department of Development handles the day-to-day administration of the PIPP program does not divest the PUCO of its emergency powers under R.C. 4909.16.</w:t>
      </w:r>
      <w:bookmarkStart w:id="1" w:name="_Toc133855729"/>
      <w:bookmarkStart w:id="2" w:name="_Toc136852193"/>
      <w:r w:rsidRPr="00B27AC9" w:rsidR="006654F4">
        <w:rPr>
          <w:szCs w:val="24"/>
        </w:rPr>
        <w:t xml:space="preserve"> The PUCO is the agency with authority over electric and natural gas disconnections by utilities. The PUCO should use its authority </w:t>
      </w:r>
      <w:r w:rsidRPr="00B27AC9" w:rsidR="006654F4">
        <w:rPr>
          <w:i/>
          <w:iCs/>
          <w:szCs w:val="24"/>
        </w:rPr>
        <w:t>now</w:t>
      </w:r>
      <w:r w:rsidRPr="00B27AC9" w:rsidR="006654F4">
        <w:rPr>
          <w:szCs w:val="24"/>
        </w:rPr>
        <w:t>.</w:t>
      </w:r>
    </w:p>
    <w:bookmarkEnd w:id="1"/>
    <w:bookmarkEnd w:id="2"/>
    <w:p w:rsidR="009478D3" w:rsidRPr="00B27AC9" w:rsidP="009478D3" w14:paraId="2DB4DA4F" w14:textId="2B179E61">
      <w:pPr>
        <w:autoSpaceDE w:val="0"/>
        <w:autoSpaceDN w:val="0"/>
        <w:adjustRightInd w:val="0"/>
        <w:spacing w:line="480" w:lineRule="auto"/>
        <w:ind w:firstLine="720"/>
        <w:rPr>
          <w:szCs w:val="24"/>
        </w:rPr>
      </w:pPr>
      <w:r w:rsidRPr="00B27AC9">
        <w:rPr>
          <w:rFonts w:eastAsia="Times New Roman"/>
          <w:szCs w:val="24"/>
        </w:rPr>
        <w:t xml:space="preserve">For the foregoing reasons, the PUCO should grant the Consumer Advocates’ </w:t>
      </w:r>
      <w:r w:rsidRPr="00B27AC9">
        <w:rPr>
          <w:szCs w:val="24"/>
        </w:rPr>
        <w:t>Motion</w:t>
      </w:r>
      <w:r w:rsidRPr="00B27AC9" w:rsidR="006654F4">
        <w:rPr>
          <w:szCs w:val="24"/>
        </w:rPr>
        <w:t>. The PUCO should</w:t>
      </w:r>
      <w:r w:rsidRPr="00B27AC9">
        <w:rPr>
          <w:szCs w:val="24"/>
        </w:rPr>
        <w:t xml:space="preserve"> protect Ohio families at risk for disconnections due to administrative delays in </w:t>
      </w:r>
      <w:r w:rsidRPr="00B27AC9" w:rsidR="006654F4">
        <w:rPr>
          <w:szCs w:val="24"/>
        </w:rPr>
        <w:t xml:space="preserve">processing </w:t>
      </w:r>
      <w:r w:rsidRPr="00B27AC9">
        <w:rPr>
          <w:szCs w:val="24"/>
        </w:rPr>
        <w:t>energy financial assistance.</w:t>
      </w:r>
    </w:p>
    <w:p w:rsidR="009478D3" w:rsidRPr="00B27AC9" w:rsidP="00FF047E" w14:paraId="5F4AEC2A" w14:textId="77777777">
      <w:pPr>
        <w:spacing w:line="480" w:lineRule="auto"/>
        <w:rPr>
          <w:rFonts w:eastAsia="Times New Roman"/>
          <w:szCs w:val="24"/>
        </w:rPr>
      </w:pPr>
    </w:p>
    <w:p w:rsidR="00FF047E" w:rsidRPr="00B27AC9" w14:paraId="010C3D3D" w14:textId="77777777">
      <w:pPr>
        <w:rPr>
          <w:rFonts w:eastAsia="Times New Roman"/>
          <w:szCs w:val="24"/>
        </w:rPr>
      </w:pPr>
    </w:p>
    <w:p w:rsidR="00FF047E" w:rsidRPr="00B27AC9" w14:paraId="0D55CDE5" w14:textId="77777777">
      <w:pPr>
        <w:rPr>
          <w:rFonts w:eastAsia="Times New Roman"/>
          <w:szCs w:val="24"/>
        </w:rPr>
      </w:pPr>
    </w:p>
    <w:p w:rsidR="007C7DC2" w:rsidRPr="00B27AC9" w14:paraId="081F2768" w14:textId="77777777">
      <w:pPr>
        <w:rPr>
          <w:rFonts w:eastAsia="Times New Roman"/>
          <w:szCs w:val="24"/>
        </w:rPr>
      </w:pPr>
      <w:r w:rsidRPr="00B27AC9">
        <w:rPr>
          <w:rFonts w:eastAsia="Times New Roman"/>
          <w:szCs w:val="24"/>
        </w:rPr>
        <w:br w:type="page"/>
      </w:r>
    </w:p>
    <w:p w:rsidR="003C04B7" w:rsidRPr="00B27AC9" w:rsidP="000E5804" w14:paraId="44DBA5DC" w14:textId="3D4B2D8C">
      <w:pPr>
        <w:widowControl w:val="0"/>
        <w:jc w:val="center"/>
        <w:rPr>
          <w:rFonts w:eastAsia="Times New Roman"/>
          <w:szCs w:val="24"/>
        </w:rPr>
      </w:pPr>
      <w:r w:rsidRPr="00B27AC9">
        <w:rPr>
          <w:rFonts w:eastAsia="Times New Roman"/>
          <w:szCs w:val="24"/>
        </w:rPr>
        <w:t>Respectfully submitted,</w:t>
      </w:r>
    </w:p>
    <w:p w:rsidR="003C04B7" w:rsidRPr="00B27AC9" w:rsidP="003C04B7" w14:paraId="3976BC05" w14:textId="77777777">
      <w:pPr>
        <w:rPr>
          <w:rFonts w:eastAsia="Times New Roman"/>
          <w:szCs w:val="24"/>
        </w:rPr>
      </w:pPr>
    </w:p>
    <w:tbl>
      <w:tblPr>
        <w:tblW w:w="8831" w:type="dxa"/>
        <w:tblLook w:val="04A0"/>
      </w:tblPr>
      <w:tblGrid>
        <w:gridCol w:w="4500"/>
        <w:gridCol w:w="4331"/>
      </w:tblGrid>
      <w:tr w14:paraId="5BBBAC7D" w14:textId="77777777" w:rsidTr="006A0D05">
        <w:tblPrEx>
          <w:tblW w:w="8831" w:type="dxa"/>
          <w:tblLook w:val="04A0"/>
        </w:tblPrEx>
        <w:tc>
          <w:tcPr>
            <w:tcW w:w="4500" w:type="dxa"/>
            <w:shd w:val="clear" w:color="auto" w:fill="auto"/>
          </w:tcPr>
          <w:p w:rsidR="003C04B7" w:rsidRPr="00B27AC9" w:rsidP="006A0D05" w14:paraId="1B17D027" w14:textId="77777777">
            <w:pPr>
              <w:rPr>
                <w:rFonts w:eastAsia="Times New Roman"/>
                <w:szCs w:val="24"/>
              </w:rPr>
            </w:pPr>
            <w:r w:rsidRPr="00B27AC9">
              <w:rPr>
                <w:rFonts w:eastAsia="Times New Roman"/>
                <w:szCs w:val="24"/>
              </w:rPr>
              <w:t>Bruce Weston (0016973)</w:t>
            </w:r>
          </w:p>
          <w:p w:rsidR="003C04B7" w:rsidRPr="00B27AC9" w:rsidP="006A0D05" w14:paraId="7B9934D1" w14:textId="77777777">
            <w:pPr>
              <w:rPr>
                <w:rFonts w:eastAsia="Times New Roman"/>
                <w:szCs w:val="24"/>
              </w:rPr>
            </w:pPr>
            <w:r w:rsidRPr="00B27AC9">
              <w:rPr>
                <w:rFonts w:eastAsia="Times New Roman"/>
                <w:szCs w:val="24"/>
              </w:rPr>
              <w:t>Ohio Consumers’ Counsel</w:t>
            </w:r>
          </w:p>
          <w:p w:rsidR="003C04B7" w:rsidRPr="00B27AC9" w:rsidP="006A0D05" w14:paraId="3F8C2F29" w14:textId="77777777">
            <w:pPr>
              <w:rPr>
                <w:rFonts w:eastAsia="Times New Roman"/>
                <w:szCs w:val="24"/>
              </w:rPr>
            </w:pPr>
          </w:p>
          <w:p w:rsidR="003C04B7" w:rsidRPr="00B27AC9" w:rsidP="006A0D05" w14:paraId="7FFA0DD5" w14:textId="77777777">
            <w:pPr>
              <w:rPr>
                <w:rFonts w:eastAsia="Times New Roman"/>
                <w:i/>
                <w:iCs/>
                <w:szCs w:val="24"/>
                <w:u w:val="single"/>
              </w:rPr>
            </w:pPr>
            <w:r w:rsidRPr="00B27AC9">
              <w:rPr>
                <w:rFonts w:eastAsia="Times New Roman"/>
                <w:i/>
                <w:iCs/>
                <w:szCs w:val="24"/>
                <w:u w:val="single"/>
              </w:rPr>
              <w:t>/s/ Angela D. O’Brien</w:t>
            </w:r>
          </w:p>
          <w:p w:rsidR="003C04B7" w:rsidRPr="00B27AC9" w:rsidP="006A0D05" w14:paraId="36F1B1B2" w14:textId="77777777">
            <w:pPr>
              <w:rPr>
                <w:rFonts w:eastAsia="Times New Roman"/>
                <w:szCs w:val="24"/>
              </w:rPr>
            </w:pPr>
            <w:r w:rsidRPr="00B27AC9">
              <w:rPr>
                <w:rFonts w:eastAsia="Times New Roman"/>
                <w:szCs w:val="24"/>
              </w:rPr>
              <w:t>Angela D. O’Brien (0097579)</w:t>
            </w:r>
          </w:p>
          <w:p w:rsidR="003C04B7" w:rsidRPr="00B27AC9" w:rsidP="006A0D05" w14:paraId="713AC351" w14:textId="77777777">
            <w:pPr>
              <w:rPr>
                <w:rFonts w:eastAsia="Times New Roman"/>
                <w:szCs w:val="24"/>
              </w:rPr>
            </w:pPr>
            <w:r w:rsidRPr="00B27AC9">
              <w:rPr>
                <w:rFonts w:eastAsia="Times New Roman"/>
                <w:szCs w:val="24"/>
              </w:rPr>
              <w:t>Deputy Consumers’ Counsel</w:t>
            </w:r>
          </w:p>
          <w:p w:rsidR="003C04B7" w:rsidRPr="00B27AC9" w:rsidP="006A0D05" w14:paraId="7663E977" w14:textId="77777777">
            <w:pPr>
              <w:rPr>
                <w:rFonts w:eastAsia="Times New Roman"/>
                <w:szCs w:val="24"/>
              </w:rPr>
            </w:pPr>
            <w:r w:rsidRPr="00B27AC9">
              <w:rPr>
                <w:rFonts w:eastAsia="Times New Roman"/>
                <w:szCs w:val="24"/>
              </w:rPr>
              <w:t>Counsel of Record</w:t>
            </w:r>
          </w:p>
          <w:p w:rsidR="003C04B7" w:rsidRPr="00B27AC9" w:rsidP="006A0D05" w14:paraId="720081EC" w14:textId="77777777">
            <w:pPr>
              <w:rPr>
                <w:rFonts w:eastAsia="Times New Roman"/>
                <w:szCs w:val="24"/>
              </w:rPr>
            </w:pPr>
            <w:r w:rsidRPr="00B27AC9">
              <w:rPr>
                <w:rFonts w:eastAsia="Times New Roman"/>
                <w:szCs w:val="24"/>
              </w:rPr>
              <w:t>John Finnigan (0018689)</w:t>
            </w:r>
          </w:p>
          <w:p w:rsidR="003C04B7" w:rsidRPr="00B27AC9" w:rsidP="006A0D05" w14:paraId="18853924" w14:textId="77777777">
            <w:pPr>
              <w:rPr>
                <w:rFonts w:eastAsia="Times New Roman"/>
                <w:szCs w:val="24"/>
              </w:rPr>
            </w:pPr>
            <w:r w:rsidRPr="00B27AC9">
              <w:rPr>
                <w:rFonts w:eastAsia="Times New Roman"/>
                <w:szCs w:val="24"/>
              </w:rPr>
              <w:t>Assistant Consumers’ Counsel</w:t>
            </w:r>
          </w:p>
          <w:p w:rsidR="003C04B7" w:rsidRPr="00B27AC9" w:rsidP="006A0D05" w14:paraId="49EDDE0A" w14:textId="77777777">
            <w:pPr>
              <w:rPr>
                <w:rFonts w:eastAsia="Times New Roman"/>
                <w:szCs w:val="24"/>
              </w:rPr>
            </w:pPr>
          </w:p>
          <w:p w:rsidR="003C04B7" w:rsidRPr="00B27AC9" w:rsidP="006A0D05" w14:paraId="456BF5CE" w14:textId="77777777">
            <w:pPr>
              <w:rPr>
                <w:rFonts w:eastAsia="Times New Roman"/>
                <w:b/>
                <w:bCs w:val="0"/>
                <w:szCs w:val="24"/>
              </w:rPr>
            </w:pPr>
            <w:r w:rsidRPr="00B27AC9">
              <w:rPr>
                <w:rFonts w:eastAsia="Times New Roman"/>
                <w:b/>
                <w:szCs w:val="24"/>
              </w:rPr>
              <w:t>Office of the Ohio Consumers' Counsel</w:t>
            </w:r>
          </w:p>
          <w:p w:rsidR="003C04B7" w:rsidRPr="00B27AC9" w:rsidP="006A0D05" w14:paraId="59C1C750" w14:textId="77777777">
            <w:pPr>
              <w:rPr>
                <w:rFonts w:eastAsia="Times New Roman"/>
                <w:szCs w:val="24"/>
              </w:rPr>
            </w:pPr>
            <w:r w:rsidRPr="00B27AC9">
              <w:rPr>
                <w:rFonts w:eastAsia="Times New Roman"/>
                <w:szCs w:val="24"/>
              </w:rPr>
              <w:t>65 East State Street, Suite 700</w:t>
            </w:r>
          </w:p>
          <w:p w:rsidR="003C04B7" w:rsidRPr="00B27AC9" w:rsidP="006A0D05" w14:paraId="7A081BFB" w14:textId="77777777">
            <w:pPr>
              <w:rPr>
                <w:rFonts w:eastAsia="Times New Roman"/>
                <w:szCs w:val="24"/>
              </w:rPr>
            </w:pPr>
            <w:r w:rsidRPr="00B27AC9">
              <w:rPr>
                <w:rFonts w:eastAsia="Times New Roman"/>
                <w:szCs w:val="24"/>
              </w:rPr>
              <w:t>Columbus, Ohio 43215</w:t>
            </w:r>
          </w:p>
          <w:p w:rsidR="003C04B7" w:rsidRPr="00B27AC9" w:rsidP="006A0D05" w14:paraId="242656CF" w14:textId="77777777">
            <w:pPr>
              <w:rPr>
                <w:rFonts w:eastAsia="Times New Roman"/>
                <w:szCs w:val="24"/>
              </w:rPr>
            </w:pPr>
            <w:r w:rsidRPr="00B27AC9">
              <w:rPr>
                <w:rFonts w:eastAsia="Times New Roman"/>
                <w:szCs w:val="24"/>
              </w:rPr>
              <w:t>Telephone: [O’Brien]: (614) 466-9531</w:t>
            </w:r>
          </w:p>
          <w:p w:rsidR="003C04B7" w:rsidRPr="00B27AC9" w:rsidP="006A0D05" w14:paraId="6DDD08F4" w14:textId="77777777">
            <w:pPr>
              <w:rPr>
                <w:rFonts w:eastAsia="Times New Roman"/>
                <w:szCs w:val="24"/>
              </w:rPr>
            </w:pPr>
            <w:r w:rsidRPr="00B27AC9">
              <w:rPr>
                <w:rFonts w:eastAsia="Times New Roman"/>
                <w:szCs w:val="24"/>
              </w:rPr>
              <w:t>Telephone [Finnigan]: (614) 466-9585</w:t>
            </w:r>
          </w:p>
          <w:p w:rsidR="003C04B7" w:rsidRPr="00B27AC9" w:rsidP="006A0D05" w14:paraId="53AD7CF7" w14:textId="77777777">
            <w:pPr>
              <w:rPr>
                <w:rFonts w:eastAsia="Times New Roman"/>
                <w:szCs w:val="24"/>
              </w:rPr>
            </w:pPr>
            <w:hyperlink r:id="rId6" w:history="1">
              <w:r w:rsidRPr="00B27AC9" w:rsidR="00F24DBE">
                <w:rPr>
                  <w:rStyle w:val="Hyperlink"/>
                  <w:rFonts w:eastAsia="Times New Roman"/>
                  <w:szCs w:val="24"/>
                </w:rPr>
                <w:t>angela.obrien@occ.ohio.gov</w:t>
              </w:r>
            </w:hyperlink>
          </w:p>
          <w:p w:rsidR="003C04B7" w:rsidRPr="00B27AC9" w:rsidP="006A0D05" w14:paraId="419FE12E" w14:textId="77777777">
            <w:pPr>
              <w:rPr>
                <w:rFonts w:eastAsia="Times New Roman"/>
                <w:szCs w:val="24"/>
              </w:rPr>
            </w:pPr>
            <w:hyperlink r:id="rId7" w:history="1">
              <w:r w:rsidRPr="00B27AC9" w:rsidR="00F24DBE">
                <w:rPr>
                  <w:rStyle w:val="Hyperlink"/>
                  <w:rFonts w:eastAsia="Times New Roman"/>
                  <w:szCs w:val="24"/>
                </w:rPr>
                <w:t>john.finnigan@occ.ohio.gov</w:t>
              </w:r>
            </w:hyperlink>
          </w:p>
          <w:p w:rsidR="003C04B7" w:rsidRPr="00B27AC9" w:rsidP="006A0D05" w14:paraId="2D8E6632" w14:textId="77777777">
            <w:pPr>
              <w:rPr>
                <w:rFonts w:eastAsia="Times New Roman"/>
                <w:szCs w:val="24"/>
              </w:rPr>
            </w:pPr>
            <w:r w:rsidRPr="00B27AC9">
              <w:rPr>
                <w:rFonts w:eastAsia="Times New Roman"/>
                <w:szCs w:val="24"/>
              </w:rPr>
              <w:t>(willing to accept service by e-mail)</w:t>
            </w:r>
          </w:p>
          <w:p w:rsidR="003C04B7" w:rsidRPr="00B27AC9" w:rsidP="006A0D05" w14:paraId="4AF366C1" w14:textId="77777777">
            <w:pPr>
              <w:rPr>
                <w:rFonts w:eastAsia="Times New Roman"/>
                <w:szCs w:val="24"/>
              </w:rPr>
            </w:pPr>
          </w:p>
          <w:p w:rsidR="003C04B7" w:rsidRPr="00B27AC9" w:rsidP="006A0D05" w14:paraId="76B9C4BD" w14:textId="5512521A">
            <w:pPr>
              <w:rPr>
                <w:rFonts w:eastAsia="Times New Roman"/>
                <w:i/>
                <w:iCs/>
                <w:szCs w:val="24"/>
                <w:u w:val="single"/>
              </w:rPr>
            </w:pPr>
            <w:r w:rsidRPr="00B27AC9">
              <w:rPr>
                <w:rFonts w:eastAsia="Times New Roman"/>
                <w:i/>
                <w:iCs/>
                <w:szCs w:val="24"/>
                <w:u w:val="single"/>
              </w:rPr>
              <w:t xml:space="preserve">/s/ </w:t>
            </w:r>
            <w:r w:rsidRPr="00B27AC9" w:rsidR="00362D1C">
              <w:rPr>
                <w:rFonts w:eastAsia="Times New Roman"/>
                <w:i/>
                <w:iCs/>
                <w:szCs w:val="24"/>
                <w:u w:val="single"/>
              </w:rPr>
              <w:t>David Manor</w:t>
            </w:r>
          </w:p>
          <w:p w:rsidR="003C04B7" w:rsidRPr="00B27AC9" w:rsidP="006A0D05" w14:paraId="4FBD8391" w14:textId="77777777">
            <w:pPr>
              <w:rPr>
                <w:rFonts w:eastAsia="Times New Roman"/>
                <w:szCs w:val="24"/>
              </w:rPr>
            </w:pPr>
            <w:r w:rsidRPr="00B27AC9">
              <w:rPr>
                <w:rFonts w:eastAsia="Times New Roman"/>
                <w:szCs w:val="24"/>
              </w:rPr>
              <w:t>David Manor (0100068)</w:t>
            </w:r>
          </w:p>
          <w:p w:rsidR="003C04B7" w:rsidRPr="00B27AC9" w:rsidP="006A0D05" w14:paraId="346D23B9" w14:textId="77777777">
            <w:pPr>
              <w:rPr>
                <w:rFonts w:eastAsia="Times New Roman"/>
                <w:b/>
                <w:bCs w:val="0"/>
                <w:szCs w:val="24"/>
              </w:rPr>
            </w:pPr>
            <w:r w:rsidRPr="00B27AC9">
              <w:rPr>
                <w:rFonts w:eastAsia="Times New Roman"/>
                <w:b/>
                <w:szCs w:val="24"/>
              </w:rPr>
              <w:t>Advocates for Basic Legal Equality, Inc.</w:t>
            </w:r>
          </w:p>
          <w:p w:rsidR="003C04B7" w:rsidRPr="00B27AC9" w:rsidP="006A0D05" w14:paraId="5A004613" w14:textId="77777777">
            <w:pPr>
              <w:rPr>
                <w:rFonts w:eastAsia="Times New Roman"/>
                <w:szCs w:val="24"/>
              </w:rPr>
            </w:pPr>
            <w:r w:rsidRPr="00B27AC9">
              <w:rPr>
                <w:rFonts w:eastAsia="Times New Roman"/>
                <w:szCs w:val="24"/>
              </w:rPr>
              <w:t>525 Jefferson Avenue, Suite 300</w:t>
            </w:r>
          </w:p>
          <w:p w:rsidR="003C04B7" w:rsidRPr="00B27AC9" w:rsidP="006A0D05" w14:paraId="578D26E2" w14:textId="77777777">
            <w:pPr>
              <w:rPr>
                <w:rFonts w:eastAsia="Times New Roman"/>
                <w:szCs w:val="24"/>
              </w:rPr>
            </w:pPr>
            <w:r w:rsidRPr="00B27AC9">
              <w:rPr>
                <w:rFonts w:eastAsia="Times New Roman"/>
                <w:szCs w:val="24"/>
              </w:rPr>
              <w:t>Toledo, OH 45402</w:t>
            </w:r>
          </w:p>
          <w:p w:rsidR="003C04B7" w:rsidRPr="00B27AC9" w:rsidP="006A0D05" w14:paraId="5D19A017" w14:textId="77777777">
            <w:pPr>
              <w:rPr>
                <w:rFonts w:eastAsia="Times New Roman"/>
                <w:szCs w:val="24"/>
              </w:rPr>
            </w:pPr>
            <w:r w:rsidRPr="00B27AC9">
              <w:rPr>
                <w:rFonts w:eastAsia="Times New Roman"/>
                <w:szCs w:val="24"/>
              </w:rPr>
              <w:t>Telephone: (419) 255-0814</w:t>
            </w:r>
          </w:p>
          <w:p w:rsidR="003C04B7" w:rsidRPr="00B27AC9" w:rsidP="006A0D05" w14:paraId="3B1F7317" w14:textId="77777777">
            <w:pPr>
              <w:rPr>
                <w:rFonts w:eastAsia="Times New Roman"/>
                <w:szCs w:val="24"/>
              </w:rPr>
            </w:pPr>
            <w:hyperlink r:id="rId8" w:history="1">
              <w:r w:rsidRPr="00B27AC9" w:rsidR="00F24DBE">
                <w:rPr>
                  <w:rStyle w:val="Hyperlink"/>
                  <w:szCs w:val="24"/>
                </w:rPr>
                <w:t>dmanor</w:t>
              </w:r>
              <w:r w:rsidRPr="00B27AC9" w:rsidR="00F24DBE">
                <w:rPr>
                  <w:rStyle w:val="Hyperlink"/>
                  <w:rFonts w:eastAsia="Times New Roman"/>
                  <w:szCs w:val="24"/>
                </w:rPr>
                <w:t>@ablelaw.org</w:t>
              </w:r>
            </w:hyperlink>
          </w:p>
          <w:p w:rsidR="003C04B7" w:rsidRPr="00B27AC9" w:rsidP="006A0D05" w14:paraId="408EFFF0" w14:textId="77777777">
            <w:pPr>
              <w:rPr>
                <w:rFonts w:eastAsia="Times New Roman"/>
                <w:szCs w:val="24"/>
              </w:rPr>
            </w:pPr>
            <w:r w:rsidRPr="00B27AC9">
              <w:rPr>
                <w:rFonts w:eastAsia="Times New Roman"/>
                <w:szCs w:val="24"/>
              </w:rPr>
              <w:t>(willing to accept service by e-mail)</w:t>
            </w:r>
          </w:p>
          <w:p w:rsidR="003C04B7" w:rsidRPr="00B27AC9" w:rsidP="006A0D05" w14:paraId="48FD7813" w14:textId="77777777">
            <w:pPr>
              <w:rPr>
                <w:rFonts w:eastAsia="Times New Roman"/>
                <w:szCs w:val="24"/>
              </w:rPr>
            </w:pPr>
          </w:p>
          <w:p w:rsidR="003C04B7" w:rsidRPr="00B27AC9" w:rsidP="006A0D05" w14:paraId="3EF43B3B" w14:textId="77777777">
            <w:pPr>
              <w:autoSpaceDE w:val="0"/>
              <w:autoSpaceDN w:val="0"/>
              <w:adjustRightInd w:val="0"/>
              <w:rPr>
                <w:rFonts w:eastAsia="Times New Roman"/>
                <w:szCs w:val="24"/>
              </w:rPr>
            </w:pPr>
          </w:p>
        </w:tc>
        <w:tc>
          <w:tcPr>
            <w:tcW w:w="4331" w:type="dxa"/>
            <w:shd w:val="clear" w:color="auto" w:fill="auto"/>
          </w:tcPr>
          <w:p w:rsidR="003C04B7" w:rsidRPr="00B27AC9" w:rsidP="006A0D05" w14:paraId="3A912777" w14:textId="3E9365B4">
            <w:pPr>
              <w:ind w:left="164"/>
              <w:rPr>
                <w:rFonts w:eastAsia="Times New Roman"/>
                <w:i/>
                <w:iCs/>
                <w:szCs w:val="24"/>
                <w:u w:val="single"/>
              </w:rPr>
            </w:pPr>
            <w:r w:rsidRPr="00B27AC9">
              <w:rPr>
                <w:rFonts w:eastAsia="Times New Roman"/>
                <w:i/>
                <w:iCs/>
                <w:szCs w:val="24"/>
                <w:u w:val="single"/>
              </w:rPr>
              <w:t xml:space="preserve">/s/ </w:t>
            </w:r>
            <w:r w:rsidRPr="00B27AC9" w:rsidR="00362D1C">
              <w:rPr>
                <w:rFonts w:eastAsia="Times New Roman"/>
                <w:i/>
                <w:iCs/>
                <w:szCs w:val="24"/>
                <w:u w:val="single"/>
              </w:rPr>
              <w:t>Stephanie Moes</w:t>
            </w:r>
          </w:p>
          <w:p w:rsidR="003C04B7" w:rsidRPr="00B27AC9" w:rsidP="006A0D05" w14:paraId="6DA3E2AF" w14:textId="77777777">
            <w:pPr>
              <w:widowControl w:val="0"/>
              <w:autoSpaceDE w:val="0"/>
              <w:autoSpaceDN w:val="0"/>
              <w:ind w:left="164"/>
              <w:rPr>
                <w:rFonts w:eastAsia="Times New Roman"/>
                <w:szCs w:val="24"/>
              </w:rPr>
            </w:pPr>
            <w:r w:rsidRPr="00B27AC9">
              <w:rPr>
                <w:rFonts w:eastAsia="Times New Roman"/>
                <w:szCs w:val="24"/>
              </w:rPr>
              <w:t>Stephanie Moes (0077136)</w:t>
            </w:r>
          </w:p>
          <w:p w:rsidR="003C04B7" w:rsidRPr="00B27AC9" w:rsidP="006A0D05" w14:paraId="433C4757" w14:textId="77777777">
            <w:pPr>
              <w:widowControl w:val="0"/>
              <w:autoSpaceDE w:val="0"/>
              <w:autoSpaceDN w:val="0"/>
              <w:ind w:left="164"/>
              <w:rPr>
                <w:rFonts w:eastAsia="Times New Roman"/>
                <w:szCs w:val="24"/>
              </w:rPr>
            </w:pPr>
            <w:r w:rsidRPr="00B27AC9">
              <w:rPr>
                <w:rFonts w:eastAsia="Times New Roman"/>
                <w:szCs w:val="24"/>
              </w:rPr>
              <w:t>Managing Attorney</w:t>
            </w:r>
          </w:p>
          <w:p w:rsidR="003C04B7" w:rsidRPr="00B27AC9" w:rsidP="006A0D05" w14:paraId="7A89A081" w14:textId="77777777">
            <w:pPr>
              <w:ind w:firstLine="164"/>
              <w:rPr>
                <w:b/>
                <w:bCs w:val="0"/>
                <w:szCs w:val="24"/>
              </w:rPr>
            </w:pPr>
            <w:r w:rsidRPr="00B27AC9">
              <w:rPr>
                <w:b/>
                <w:szCs w:val="24"/>
              </w:rPr>
              <w:t>Legal Aid Society of Southwest Ohio</w:t>
            </w:r>
          </w:p>
          <w:p w:rsidR="003C04B7" w:rsidRPr="00B27AC9" w:rsidP="006A0D05" w14:paraId="0CDF7525" w14:textId="77777777">
            <w:pPr>
              <w:widowControl w:val="0"/>
              <w:autoSpaceDE w:val="0"/>
              <w:autoSpaceDN w:val="0"/>
              <w:ind w:left="164"/>
              <w:rPr>
                <w:rFonts w:eastAsia="Times New Roman"/>
                <w:szCs w:val="24"/>
              </w:rPr>
            </w:pPr>
            <w:r w:rsidRPr="00B27AC9">
              <w:rPr>
                <w:rFonts w:eastAsia="Times New Roman"/>
                <w:szCs w:val="24"/>
              </w:rPr>
              <w:t>215 East Ninth Street, Suite 500</w:t>
            </w:r>
          </w:p>
          <w:p w:rsidR="003C04B7" w:rsidRPr="00B27AC9" w:rsidP="006A0D05" w14:paraId="739DBEB7" w14:textId="77777777">
            <w:pPr>
              <w:widowControl w:val="0"/>
              <w:autoSpaceDE w:val="0"/>
              <w:autoSpaceDN w:val="0"/>
              <w:ind w:left="164"/>
              <w:rPr>
                <w:rFonts w:eastAsia="Times New Roman"/>
                <w:szCs w:val="24"/>
              </w:rPr>
            </w:pPr>
            <w:r w:rsidRPr="00B27AC9">
              <w:rPr>
                <w:rFonts w:eastAsia="Times New Roman"/>
                <w:szCs w:val="24"/>
              </w:rPr>
              <w:t>Cincinnati, OH 45202</w:t>
            </w:r>
          </w:p>
          <w:p w:rsidR="003C04B7" w:rsidRPr="00B27AC9" w:rsidP="006A0D05" w14:paraId="05AA6E1E" w14:textId="77777777">
            <w:pPr>
              <w:widowControl w:val="0"/>
              <w:autoSpaceDE w:val="0"/>
              <w:autoSpaceDN w:val="0"/>
              <w:ind w:left="164"/>
              <w:rPr>
                <w:rFonts w:eastAsia="Times New Roman"/>
                <w:szCs w:val="24"/>
              </w:rPr>
            </w:pPr>
            <w:r w:rsidRPr="00B27AC9">
              <w:rPr>
                <w:rFonts w:eastAsia="Times New Roman"/>
                <w:szCs w:val="24"/>
              </w:rPr>
              <w:t>Telephone: 513-362-2807</w:t>
            </w:r>
          </w:p>
          <w:p w:rsidR="003C04B7" w:rsidRPr="00B27AC9" w:rsidP="006A0D05" w14:paraId="764F1D48" w14:textId="77777777">
            <w:pPr>
              <w:widowControl w:val="0"/>
              <w:autoSpaceDE w:val="0"/>
              <w:autoSpaceDN w:val="0"/>
              <w:ind w:left="164"/>
              <w:rPr>
                <w:rFonts w:eastAsia="Times New Roman"/>
                <w:szCs w:val="24"/>
              </w:rPr>
            </w:pPr>
            <w:r w:rsidRPr="00B27AC9">
              <w:rPr>
                <w:rFonts w:eastAsia="Times New Roman"/>
                <w:szCs w:val="24"/>
              </w:rPr>
              <w:t>Fax: 513-241-1187</w:t>
            </w:r>
          </w:p>
          <w:p w:rsidR="003C04B7" w:rsidRPr="00B27AC9" w:rsidP="006A0D05" w14:paraId="54234FB0" w14:textId="77777777">
            <w:pPr>
              <w:widowControl w:val="0"/>
              <w:autoSpaceDE w:val="0"/>
              <w:autoSpaceDN w:val="0"/>
              <w:ind w:left="164"/>
              <w:rPr>
                <w:rFonts w:eastAsia="Times New Roman"/>
                <w:szCs w:val="24"/>
              </w:rPr>
            </w:pPr>
            <w:hyperlink r:id="rId9" w:history="1">
              <w:r w:rsidRPr="00B27AC9" w:rsidR="00F24DBE">
                <w:rPr>
                  <w:rFonts w:eastAsia="Times New Roman"/>
                  <w:color w:val="0000FF"/>
                  <w:szCs w:val="24"/>
                  <w:u w:val="single" w:color="0000FF"/>
                </w:rPr>
                <w:t>smoes@lascinti.org</w:t>
              </w:r>
            </w:hyperlink>
          </w:p>
          <w:p w:rsidR="003C04B7" w:rsidRPr="00B27AC9" w:rsidP="006A0D05" w14:paraId="69B4E894" w14:textId="77777777">
            <w:pPr>
              <w:ind w:left="164"/>
              <w:rPr>
                <w:rFonts w:eastAsia="Times New Roman"/>
                <w:szCs w:val="24"/>
              </w:rPr>
            </w:pPr>
            <w:r w:rsidRPr="00B27AC9">
              <w:rPr>
                <w:rFonts w:eastAsia="Times New Roman"/>
                <w:szCs w:val="24"/>
              </w:rPr>
              <w:t>(willing to accept service by e-mail)</w:t>
            </w:r>
          </w:p>
          <w:p w:rsidR="003C04B7" w:rsidRPr="00B27AC9" w:rsidP="006A0D05" w14:paraId="5C4B6735" w14:textId="77777777">
            <w:pPr>
              <w:ind w:left="164"/>
              <w:rPr>
                <w:rFonts w:eastAsia="Times New Roman"/>
                <w:szCs w:val="24"/>
              </w:rPr>
            </w:pPr>
          </w:p>
          <w:p w:rsidR="003C04B7" w:rsidRPr="00B27AC9" w:rsidP="006A0D05" w14:paraId="53C3363E" w14:textId="47B0B074">
            <w:pPr>
              <w:ind w:left="164"/>
              <w:rPr>
                <w:rFonts w:eastAsia="Times New Roman"/>
                <w:i/>
                <w:iCs/>
                <w:szCs w:val="24"/>
                <w:u w:val="single"/>
              </w:rPr>
            </w:pPr>
            <w:r w:rsidRPr="00B27AC9">
              <w:rPr>
                <w:rFonts w:eastAsia="Times New Roman"/>
                <w:i/>
                <w:iCs/>
                <w:szCs w:val="24"/>
                <w:u w:val="single"/>
              </w:rPr>
              <w:t xml:space="preserve">/s/ </w:t>
            </w:r>
            <w:r w:rsidRPr="00B27AC9" w:rsidR="00362D1C">
              <w:rPr>
                <w:rFonts w:eastAsia="Times New Roman"/>
                <w:i/>
                <w:iCs/>
                <w:szCs w:val="24"/>
                <w:u w:val="single"/>
              </w:rPr>
              <w:t>Susan Jagers</w:t>
            </w:r>
          </w:p>
          <w:p w:rsidR="003C04B7" w:rsidRPr="00B27AC9" w:rsidP="006A0D05" w14:paraId="0304C823" w14:textId="77777777">
            <w:pPr>
              <w:ind w:left="164"/>
              <w:rPr>
                <w:rFonts w:eastAsia="Times New Roman"/>
                <w:szCs w:val="24"/>
              </w:rPr>
            </w:pPr>
            <w:r w:rsidRPr="00B27AC9">
              <w:rPr>
                <w:rFonts w:eastAsia="Times New Roman"/>
                <w:szCs w:val="24"/>
              </w:rPr>
              <w:t>Susan Jagers (0061678)</w:t>
            </w:r>
          </w:p>
          <w:p w:rsidR="003C04B7" w:rsidRPr="00B27AC9" w:rsidP="006A0D05" w14:paraId="697E917F" w14:textId="77777777">
            <w:pPr>
              <w:ind w:left="164"/>
              <w:rPr>
                <w:rFonts w:eastAsia="Times New Roman"/>
                <w:b/>
                <w:bCs w:val="0"/>
                <w:szCs w:val="24"/>
              </w:rPr>
            </w:pPr>
            <w:r w:rsidRPr="00B27AC9">
              <w:rPr>
                <w:rFonts w:eastAsia="Times New Roman"/>
                <w:b/>
                <w:szCs w:val="24"/>
              </w:rPr>
              <w:t>Ohio Poverty Law Center</w:t>
            </w:r>
          </w:p>
          <w:p w:rsidR="003C04B7" w:rsidRPr="00B27AC9" w:rsidP="006A0D05" w14:paraId="37A0AA7A" w14:textId="77777777">
            <w:pPr>
              <w:ind w:left="164"/>
              <w:rPr>
                <w:rFonts w:eastAsia="Times New Roman"/>
                <w:szCs w:val="24"/>
              </w:rPr>
            </w:pPr>
            <w:r w:rsidRPr="00B27AC9">
              <w:rPr>
                <w:rFonts w:eastAsia="Times New Roman"/>
                <w:szCs w:val="24"/>
              </w:rPr>
              <w:t>1108 City Park Ave. Suite 200</w:t>
            </w:r>
          </w:p>
          <w:p w:rsidR="003C04B7" w:rsidRPr="00B27AC9" w:rsidP="006A0D05" w14:paraId="29B8E609" w14:textId="77777777">
            <w:pPr>
              <w:ind w:left="164"/>
              <w:rPr>
                <w:rFonts w:eastAsia="Times New Roman"/>
                <w:szCs w:val="24"/>
              </w:rPr>
            </w:pPr>
            <w:r w:rsidRPr="00B27AC9">
              <w:rPr>
                <w:rFonts w:eastAsia="Times New Roman"/>
                <w:szCs w:val="24"/>
              </w:rPr>
              <w:t>Columbus, OH 43206</w:t>
            </w:r>
          </w:p>
          <w:p w:rsidR="003C04B7" w:rsidRPr="00B27AC9" w:rsidP="006A0D05" w14:paraId="355DA756" w14:textId="77777777">
            <w:pPr>
              <w:ind w:left="164"/>
              <w:rPr>
                <w:rFonts w:eastAsia="Times New Roman"/>
                <w:szCs w:val="24"/>
              </w:rPr>
            </w:pPr>
            <w:r w:rsidRPr="00B27AC9">
              <w:rPr>
                <w:rFonts w:eastAsia="Times New Roman"/>
                <w:szCs w:val="24"/>
              </w:rPr>
              <w:t>Telephone: (614) 824-2501</w:t>
            </w:r>
          </w:p>
          <w:p w:rsidR="003C04B7" w:rsidRPr="00B27AC9" w:rsidP="006A0D05" w14:paraId="64E94D54" w14:textId="77777777">
            <w:pPr>
              <w:ind w:left="164"/>
              <w:rPr>
                <w:rFonts w:eastAsia="Times New Roman"/>
                <w:szCs w:val="24"/>
              </w:rPr>
            </w:pPr>
            <w:hyperlink r:id="rId10" w:history="1">
              <w:r w:rsidRPr="00B27AC9" w:rsidR="00F24DBE">
                <w:rPr>
                  <w:rStyle w:val="Hyperlink"/>
                  <w:rFonts w:eastAsia="Times New Roman"/>
                  <w:szCs w:val="24"/>
                </w:rPr>
                <w:t>sjagers@ohiopovertylaw.org</w:t>
              </w:r>
            </w:hyperlink>
          </w:p>
          <w:p w:rsidR="003C04B7" w:rsidRPr="00B27AC9" w:rsidP="006A0D05" w14:paraId="65488D78" w14:textId="77777777">
            <w:pPr>
              <w:ind w:left="164"/>
              <w:rPr>
                <w:rFonts w:eastAsia="Times New Roman"/>
                <w:szCs w:val="24"/>
              </w:rPr>
            </w:pPr>
            <w:r w:rsidRPr="00B27AC9">
              <w:rPr>
                <w:rFonts w:eastAsia="Times New Roman"/>
                <w:szCs w:val="24"/>
              </w:rPr>
              <w:t>(willing to accept service by e-mail)</w:t>
            </w:r>
          </w:p>
          <w:p w:rsidR="003C04B7" w:rsidRPr="00B27AC9" w:rsidP="006A0D05" w14:paraId="2B681B66" w14:textId="77777777">
            <w:pPr>
              <w:ind w:left="164"/>
              <w:rPr>
                <w:rFonts w:eastAsia="Times New Roman"/>
                <w:szCs w:val="24"/>
              </w:rPr>
            </w:pPr>
          </w:p>
          <w:p w:rsidR="003C04B7" w:rsidRPr="00B27AC9" w:rsidP="006A0D05" w14:paraId="53EFD39F" w14:textId="17D097C9">
            <w:pPr>
              <w:autoSpaceDE w:val="0"/>
              <w:autoSpaceDN w:val="0"/>
              <w:adjustRightInd w:val="0"/>
              <w:ind w:left="164"/>
              <w:rPr>
                <w:rFonts w:eastAsia="Times New Roman"/>
                <w:i/>
                <w:iCs/>
                <w:szCs w:val="24"/>
              </w:rPr>
            </w:pPr>
            <w:r w:rsidRPr="00B27AC9">
              <w:rPr>
                <w:rFonts w:eastAsia="Times New Roman"/>
                <w:i/>
                <w:iCs/>
                <w:szCs w:val="24"/>
              </w:rPr>
              <w:t>/</w:t>
            </w:r>
            <w:r w:rsidRPr="00B27AC9">
              <w:rPr>
                <w:rFonts w:eastAsia="Times New Roman"/>
                <w:i/>
                <w:iCs/>
                <w:szCs w:val="24"/>
                <w:u w:val="single"/>
              </w:rPr>
              <w:t xml:space="preserve">s/ </w:t>
            </w:r>
            <w:r w:rsidRPr="00B27AC9" w:rsidR="00362D1C">
              <w:rPr>
                <w:rFonts w:eastAsia="Times New Roman"/>
                <w:i/>
                <w:iCs/>
                <w:szCs w:val="24"/>
                <w:u w:val="single"/>
              </w:rPr>
              <w:t>Michael Walters</w:t>
            </w:r>
          </w:p>
          <w:p w:rsidR="003C04B7" w:rsidRPr="00B27AC9" w:rsidP="006A0D05" w14:paraId="3296641D" w14:textId="77777777">
            <w:pPr>
              <w:autoSpaceDE w:val="0"/>
              <w:autoSpaceDN w:val="0"/>
              <w:adjustRightInd w:val="0"/>
              <w:ind w:left="164"/>
              <w:rPr>
                <w:rFonts w:eastAsia="Times New Roman"/>
                <w:szCs w:val="24"/>
              </w:rPr>
            </w:pPr>
            <w:r w:rsidRPr="00B27AC9">
              <w:rPr>
                <w:rFonts w:eastAsia="Times New Roman"/>
                <w:szCs w:val="24"/>
              </w:rPr>
              <w:t>Michael Walters (0068921)</w:t>
            </w:r>
          </w:p>
          <w:p w:rsidR="003C04B7" w:rsidRPr="00B27AC9" w:rsidP="006A0D05" w14:paraId="4E8B6ED9" w14:textId="77777777">
            <w:pPr>
              <w:autoSpaceDE w:val="0"/>
              <w:autoSpaceDN w:val="0"/>
              <w:adjustRightInd w:val="0"/>
              <w:ind w:left="164"/>
              <w:rPr>
                <w:rFonts w:eastAsia="Times New Roman"/>
                <w:szCs w:val="24"/>
              </w:rPr>
            </w:pPr>
            <w:r w:rsidRPr="00B27AC9">
              <w:rPr>
                <w:rFonts w:eastAsia="Times New Roman"/>
                <w:szCs w:val="24"/>
              </w:rPr>
              <w:t>Legal Helpline Managing Attorney</w:t>
            </w:r>
          </w:p>
          <w:p w:rsidR="003C04B7" w:rsidRPr="00B27AC9" w:rsidP="006A0D05" w14:paraId="56284B27" w14:textId="77777777">
            <w:pPr>
              <w:autoSpaceDE w:val="0"/>
              <w:autoSpaceDN w:val="0"/>
              <w:adjustRightInd w:val="0"/>
              <w:ind w:left="164"/>
              <w:rPr>
                <w:rFonts w:eastAsia="Times New Roman"/>
                <w:b/>
                <w:bCs w:val="0"/>
                <w:szCs w:val="24"/>
              </w:rPr>
            </w:pPr>
            <w:r w:rsidRPr="00B27AC9">
              <w:rPr>
                <w:rFonts w:eastAsia="Times New Roman"/>
                <w:b/>
                <w:szCs w:val="24"/>
              </w:rPr>
              <w:t>Pro Seniors, Inc.</w:t>
            </w:r>
          </w:p>
          <w:p w:rsidR="003C04B7" w:rsidRPr="00B27AC9" w:rsidP="006A0D05" w14:paraId="62D80C94" w14:textId="77777777">
            <w:pPr>
              <w:autoSpaceDE w:val="0"/>
              <w:autoSpaceDN w:val="0"/>
              <w:adjustRightInd w:val="0"/>
              <w:ind w:left="164"/>
              <w:rPr>
                <w:rFonts w:eastAsia="Times New Roman"/>
                <w:szCs w:val="24"/>
              </w:rPr>
            </w:pPr>
            <w:r w:rsidRPr="00B27AC9">
              <w:rPr>
                <w:rFonts w:eastAsia="Times New Roman"/>
                <w:szCs w:val="24"/>
              </w:rPr>
              <w:t>7162 Reading Road, Suite 1150</w:t>
            </w:r>
          </w:p>
          <w:p w:rsidR="003C04B7" w:rsidRPr="00B27AC9" w:rsidP="006A0D05" w14:paraId="15677BCF" w14:textId="77777777">
            <w:pPr>
              <w:autoSpaceDE w:val="0"/>
              <w:autoSpaceDN w:val="0"/>
              <w:adjustRightInd w:val="0"/>
              <w:ind w:left="164"/>
              <w:rPr>
                <w:rFonts w:eastAsia="Times New Roman"/>
                <w:szCs w:val="24"/>
              </w:rPr>
            </w:pPr>
            <w:r w:rsidRPr="00B27AC9">
              <w:rPr>
                <w:rFonts w:eastAsia="Times New Roman"/>
                <w:szCs w:val="24"/>
              </w:rPr>
              <w:t>Cincinnati, Ohio 45237</w:t>
            </w:r>
          </w:p>
          <w:p w:rsidR="003C04B7" w:rsidRPr="00B27AC9" w:rsidP="006A0D05" w14:paraId="3E057935" w14:textId="77777777">
            <w:pPr>
              <w:autoSpaceDE w:val="0"/>
              <w:autoSpaceDN w:val="0"/>
              <w:adjustRightInd w:val="0"/>
              <w:ind w:left="164"/>
              <w:rPr>
                <w:rFonts w:eastAsia="Times New Roman"/>
                <w:szCs w:val="24"/>
              </w:rPr>
            </w:pPr>
            <w:r w:rsidRPr="00B27AC9">
              <w:rPr>
                <w:rFonts w:eastAsia="Times New Roman"/>
                <w:szCs w:val="24"/>
              </w:rPr>
              <w:t>Telephone: (513) 458-5532</w:t>
            </w:r>
          </w:p>
          <w:p w:rsidR="003C04B7" w:rsidRPr="00B27AC9" w:rsidP="006A0D05" w14:paraId="7307CB41" w14:textId="77777777">
            <w:pPr>
              <w:autoSpaceDE w:val="0"/>
              <w:autoSpaceDN w:val="0"/>
              <w:adjustRightInd w:val="0"/>
              <w:ind w:left="164"/>
              <w:rPr>
                <w:rFonts w:eastAsia="Times New Roman"/>
                <w:szCs w:val="24"/>
              </w:rPr>
            </w:pPr>
            <w:r w:rsidRPr="00B27AC9">
              <w:rPr>
                <w:rFonts w:eastAsia="Times New Roman"/>
                <w:szCs w:val="24"/>
              </w:rPr>
              <w:t>Facsimile: (513) 345-4162</w:t>
            </w:r>
          </w:p>
          <w:p w:rsidR="003C04B7" w:rsidRPr="00B27AC9" w:rsidP="006A0D05" w14:paraId="0D0D7720" w14:textId="77777777">
            <w:pPr>
              <w:autoSpaceDE w:val="0"/>
              <w:autoSpaceDN w:val="0"/>
              <w:adjustRightInd w:val="0"/>
              <w:ind w:left="164"/>
              <w:rPr>
                <w:rFonts w:eastAsia="Times New Roman"/>
                <w:color w:val="0000FF"/>
                <w:szCs w:val="24"/>
                <w:u w:val="single"/>
              </w:rPr>
            </w:pPr>
            <w:r w:rsidRPr="00B27AC9">
              <w:rPr>
                <w:rFonts w:eastAsia="Times New Roman"/>
                <w:color w:val="0000FF"/>
                <w:szCs w:val="24"/>
                <w:u w:val="single"/>
              </w:rPr>
              <w:t>mwalters@proseniors.org</w:t>
            </w:r>
          </w:p>
          <w:p w:rsidR="003C04B7" w:rsidRPr="00B27AC9" w:rsidP="006A0D05" w14:paraId="589FB980" w14:textId="77777777">
            <w:pPr>
              <w:ind w:left="164"/>
              <w:rPr>
                <w:rFonts w:eastAsia="Times New Roman"/>
                <w:szCs w:val="24"/>
              </w:rPr>
            </w:pPr>
            <w:r w:rsidRPr="00B27AC9">
              <w:rPr>
                <w:rFonts w:eastAsia="Times New Roman"/>
                <w:szCs w:val="24"/>
              </w:rPr>
              <w:t>(willing to accept service by e-mail)</w:t>
            </w:r>
          </w:p>
          <w:p w:rsidR="003C04B7" w:rsidRPr="00B27AC9" w:rsidP="006A0D05" w14:paraId="029C4A28" w14:textId="77777777">
            <w:pPr>
              <w:rPr>
                <w:rFonts w:eastAsia="Times New Roman"/>
                <w:szCs w:val="24"/>
              </w:rPr>
            </w:pPr>
          </w:p>
          <w:p w:rsidR="003C04B7" w:rsidRPr="00B27AC9" w:rsidP="006A0D05" w14:paraId="40D58E2A" w14:textId="77777777">
            <w:pPr>
              <w:ind w:left="251"/>
              <w:rPr>
                <w:rFonts w:eastAsia="Times New Roman"/>
                <w:szCs w:val="24"/>
              </w:rPr>
            </w:pPr>
          </w:p>
        </w:tc>
      </w:tr>
    </w:tbl>
    <w:p w:rsidR="003C04B7" w:rsidRPr="00B27AC9" w:rsidP="00F2549D" w14:paraId="148B7386" w14:textId="77777777">
      <w:pPr>
        <w:ind w:firstLine="720"/>
        <w:rPr>
          <w:rFonts w:eastAsia="Times New Roman"/>
          <w:bCs w:val="0"/>
          <w:color w:val="auto"/>
          <w:szCs w:val="24"/>
        </w:rPr>
      </w:pPr>
    </w:p>
    <w:p w:rsidR="003C04B7" w:rsidRPr="00B27AC9" w14:paraId="31739CF0" w14:textId="1CBF878B">
      <w:pPr>
        <w:rPr>
          <w:szCs w:val="24"/>
        </w:rPr>
      </w:pPr>
      <w:r w:rsidRPr="00B27AC9">
        <w:rPr>
          <w:szCs w:val="24"/>
        </w:rPr>
        <w:br w:type="page"/>
      </w:r>
    </w:p>
    <w:p w:rsidR="0068731A" w:rsidRPr="00B27AC9" w:rsidP="00EA325A" w14:paraId="15681411" w14:textId="47B65E3B">
      <w:pPr>
        <w:spacing w:line="480" w:lineRule="auto"/>
        <w:jc w:val="center"/>
        <w:rPr>
          <w:rFonts w:eastAsiaTheme="minorEastAsia"/>
          <w:b/>
          <w:szCs w:val="24"/>
          <w:u w:val="single"/>
        </w:rPr>
      </w:pPr>
      <w:r w:rsidRPr="00B27AC9">
        <w:rPr>
          <w:rFonts w:eastAsiaTheme="minorEastAsia"/>
          <w:b/>
          <w:szCs w:val="24"/>
          <w:u w:val="single"/>
        </w:rPr>
        <w:t>CERTIFICATE OF SERVICE</w:t>
      </w:r>
    </w:p>
    <w:p w:rsidR="0068731A" w:rsidRPr="00B27AC9" w:rsidP="0068731A" w14:paraId="54D68FB7" w14:textId="193466B5">
      <w:pPr>
        <w:spacing w:line="480" w:lineRule="auto"/>
        <w:ind w:firstLine="720"/>
        <w:rPr>
          <w:rFonts w:eastAsiaTheme="minorEastAsia"/>
          <w:szCs w:val="24"/>
        </w:rPr>
      </w:pPr>
      <w:r w:rsidRPr="00B27AC9">
        <w:rPr>
          <w:rFonts w:eastAsiaTheme="minorEastAsia"/>
          <w:szCs w:val="24"/>
        </w:rPr>
        <w:t>I hereby certify that a copy of th</w:t>
      </w:r>
      <w:r w:rsidRPr="00B27AC9" w:rsidR="00ED4683">
        <w:rPr>
          <w:rFonts w:eastAsiaTheme="minorEastAsia"/>
          <w:szCs w:val="24"/>
        </w:rPr>
        <w:t xml:space="preserve">is </w:t>
      </w:r>
      <w:r w:rsidRPr="00B27AC9" w:rsidR="0068558B">
        <w:rPr>
          <w:rFonts w:eastAsiaTheme="minorEastAsia"/>
          <w:szCs w:val="24"/>
        </w:rPr>
        <w:t xml:space="preserve">Reply to AEP, Duke and AES Who Oppose the Consumer Motion to Suspend Electric and Natural Gas Utility Disconnections for At-Risk Ohioans if and When There Are Delays in the Processing of Their Financial Assistance </w:t>
      </w:r>
      <w:r w:rsidRPr="00B27AC9" w:rsidR="00ED4683">
        <w:rPr>
          <w:rFonts w:eastAsiaTheme="minorEastAsia"/>
          <w:szCs w:val="24"/>
        </w:rPr>
        <w:t>was</w:t>
      </w:r>
      <w:r w:rsidRPr="00B27AC9">
        <w:rPr>
          <w:rFonts w:eastAsiaTheme="minorEastAsia"/>
          <w:szCs w:val="24"/>
        </w:rPr>
        <w:t xml:space="preserve"> served on the persons </w:t>
      </w:r>
      <w:r w:rsidRPr="00B27AC9" w:rsidR="00ED4683">
        <w:rPr>
          <w:rFonts w:eastAsiaTheme="minorEastAsia"/>
          <w:szCs w:val="24"/>
        </w:rPr>
        <w:t>listed</w:t>
      </w:r>
      <w:r w:rsidRPr="00B27AC9">
        <w:rPr>
          <w:rFonts w:eastAsiaTheme="minorEastAsia"/>
          <w:szCs w:val="24"/>
        </w:rPr>
        <w:t xml:space="preserve"> below via electronic transmission, this</w:t>
      </w:r>
      <w:r w:rsidRPr="00B27AC9" w:rsidR="00D21586">
        <w:rPr>
          <w:rFonts w:eastAsiaTheme="minorEastAsia"/>
          <w:szCs w:val="24"/>
        </w:rPr>
        <w:t xml:space="preserve"> 2</w:t>
      </w:r>
      <w:r w:rsidRPr="00B27AC9" w:rsidR="003907B8">
        <w:rPr>
          <w:rFonts w:eastAsiaTheme="minorEastAsia"/>
          <w:szCs w:val="24"/>
        </w:rPr>
        <w:t>7</w:t>
      </w:r>
      <w:r w:rsidRPr="00B27AC9" w:rsidR="003907B8">
        <w:rPr>
          <w:rFonts w:eastAsiaTheme="minorEastAsia"/>
          <w:szCs w:val="24"/>
          <w:vertAlign w:val="superscript"/>
        </w:rPr>
        <w:t>th</w:t>
      </w:r>
      <w:r w:rsidRPr="00B27AC9" w:rsidR="003907B8">
        <w:rPr>
          <w:rFonts w:eastAsiaTheme="minorEastAsia"/>
          <w:szCs w:val="24"/>
        </w:rPr>
        <w:t xml:space="preserve"> </w:t>
      </w:r>
      <w:r w:rsidRPr="00B27AC9">
        <w:rPr>
          <w:rFonts w:eastAsiaTheme="minorEastAsia"/>
          <w:szCs w:val="24"/>
        </w:rPr>
        <w:t xml:space="preserve">day of </w:t>
      </w:r>
      <w:r w:rsidRPr="00B27AC9" w:rsidR="003907B8">
        <w:rPr>
          <w:rFonts w:eastAsiaTheme="minorEastAsia"/>
          <w:szCs w:val="24"/>
        </w:rPr>
        <w:t>June 2023.</w:t>
      </w:r>
    </w:p>
    <w:p w:rsidR="003907B8" w:rsidRPr="00B27AC9" w:rsidP="003907B8" w14:paraId="43618F61" w14:textId="30804341">
      <w:pPr>
        <w:tabs>
          <w:tab w:val="left" w:pos="4320"/>
        </w:tabs>
        <w:ind w:left="4680"/>
        <w:rPr>
          <w:rFonts w:eastAsia="Times New Roman"/>
          <w:i/>
          <w:iCs/>
          <w:szCs w:val="24"/>
          <w:u w:val="single"/>
        </w:rPr>
      </w:pPr>
      <w:r w:rsidRPr="00B27AC9">
        <w:rPr>
          <w:rFonts w:eastAsia="Times New Roman"/>
          <w:i/>
          <w:iCs/>
          <w:szCs w:val="24"/>
          <w:u w:val="single"/>
        </w:rPr>
        <w:t>/s/ Angela D. O’Brien</w:t>
      </w:r>
    </w:p>
    <w:p w:rsidR="003907B8" w:rsidRPr="00B27AC9" w:rsidP="003907B8" w14:paraId="10C64EBD" w14:textId="77777777">
      <w:pPr>
        <w:ind w:left="4680"/>
        <w:rPr>
          <w:rFonts w:eastAsia="Times New Roman"/>
          <w:szCs w:val="24"/>
        </w:rPr>
      </w:pPr>
      <w:r w:rsidRPr="00B27AC9">
        <w:rPr>
          <w:rFonts w:eastAsia="Times New Roman"/>
          <w:szCs w:val="24"/>
        </w:rPr>
        <w:t>Angela D. O’Brien</w:t>
      </w:r>
    </w:p>
    <w:p w:rsidR="0068731A" w:rsidRPr="00B27AC9" w:rsidP="003907B8" w14:paraId="5B748E8C" w14:textId="7BC9A363">
      <w:pPr>
        <w:ind w:left="4680"/>
        <w:rPr>
          <w:rFonts w:eastAsia="Times New Roman"/>
          <w:szCs w:val="24"/>
        </w:rPr>
      </w:pPr>
      <w:r w:rsidRPr="00B27AC9">
        <w:rPr>
          <w:rFonts w:eastAsia="Times New Roman"/>
          <w:szCs w:val="24"/>
        </w:rPr>
        <w:t>Deputy</w:t>
      </w:r>
      <w:r w:rsidRPr="00B27AC9" w:rsidR="00F24DBE">
        <w:rPr>
          <w:rFonts w:eastAsia="Times New Roman"/>
          <w:szCs w:val="24"/>
        </w:rPr>
        <w:t xml:space="preserve"> Consumers’ Counsel</w:t>
      </w:r>
    </w:p>
    <w:p w:rsidR="0068731A" w:rsidRPr="00B27AC9" w:rsidP="0068731A" w14:paraId="218D6C6D" w14:textId="77777777">
      <w:pPr>
        <w:suppressLineNumbers/>
        <w:ind w:left="810"/>
        <w:rPr>
          <w:szCs w:val="24"/>
          <w:u w:val="single"/>
        </w:rPr>
      </w:pPr>
    </w:p>
    <w:p w:rsidR="0068731A" w:rsidRPr="00B27AC9" w:rsidP="0068731A" w14:paraId="498543B9" w14:textId="77777777">
      <w:pPr>
        <w:suppressLineNumbers/>
        <w:rPr>
          <w:szCs w:val="24"/>
        </w:rPr>
      </w:pPr>
      <w:r w:rsidRPr="00B27AC9">
        <w:rPr>
          <w:szCs w:val="24"/>
        </w:rPr>
        <w:t>The PUCO’s e-filing system will electronically serve notice of the filing of this document on the following parties:</w:t>
      </w:r>
    </w:p>
    <w:p w:rsidR="009B33FC" w:rsidRPr="00B27AC9" w:rsidP="009C3166" w14:paraId="3C09B9FF" w14:textId="77777777">
      <w:pPr>
        <w:pStyle w:val="CommentText"/>
        <w:suppressLineNumbers/>
        <w:jc w:val="center"/>
        <w:rPr>
          <w:b/>
          <w:u w:val="single"/>
        </w:rPr>
      </w:pPr>
    </w:p>
    <w:p w:rsidR="0068731A" w:rsidRPr="00B27AC9" w:rsidP="009C3166" w14:paraId="1883FDE8" w14:textId="14592C6B">
      <w:pPr>
        <w:pStyle w:val="CommentText"/>
        <w:suppressLineNumbers/>
        <w:jc w:val="center"/>
        <w:rPr>
          <w:b/>
          <w:u w:val="single"/>
        </w:rPr>
      </w:pPr>
      <w:r w:rsidRPr="00B27AC9">
        <w:rPr>
          <w:b/>
          <w:u w:val="single"/>
        </w:rPr>
        <w:t>SERVICE LIST</w:t>
      </w:r>
    </w:p>
    <w:p w:rsidR="0068731A" w:rsidRPr="00B27AC9" w:rsidP="0068731A" w14:paraId="1AB05DC3" w14:textId="77777777">
      <w:pPr>
        <w:pStyle w:val="CommentText"/>
        <w:suppressLineNumbers/>
        <w:ind w:left="810"/>
        <w:jc w:val="center"/>
        <w:rPr>
          <w:b/>
          <w:u w:val="single"/>
        </w:rPr>
      </w:pPr>
    </w:p>
    <w:tbl>
      <w:tblPr>
        <w:tblW w:w="0" w:type="auto"/>
        <w:tblLook w:val="04A0"/>
      </w:tblPr>
      <w:tblGrid>
        <w:gridCol w:w="4235"/>
        <w:gridCol w:w="4405"/>
      </w:tblGrid>
      <w:tr w14:paraId="4B464A91" w14:textId="77777777" w:rsidTr="006A0D05">
        <w:tblPrEx>
          <w:tblW w:w="0" w:type="auto"/>
          <w:tblLook w:val="04A0"/>
        </w:tblPrEx>
        <w:tc>
          <w:tcPr>
            <w:tcW w:w="4428" w:type="dxa"/>
            <w:shd w:val="clear" w:color="auto" w:fill="auto"/>
          </w:tcPr>
          <w:p w:rsidR="003907B8" w:rsidRPr="00B27AC9" w:rsidP="006A0D05" w14:paraId="17AEFBB2" w14:textId="77777777">
            <w:pPr>
              <w:rPr>
                <w:rFonts w:eastAsia="Times New Roman"/>
                <w:bCs w:val="0"/>
                <w:color w:val="0000FF"/>
                <w:szCs w:val="24"/>
                <w:u w:val="single"/>
              </w:rPr>
            </w:pPr>
            <w:hyperlink r:id="rId11" w:history="1">
              <w:r w:rsidRPr="00B27AC9" w:rsidR="00F24DBE">
                <w:rPr>
                  <w:rFonts w:eastAsia="Times New Roman"/>
                  <w:color w:val="0000FF"/>
                  <w:szCs w:val="24"/>
                  <w:u w:val="single"/>
                </w:rPr>
                <w:t>john.jones@ohioAGO.gov</w:t>
              </w:r>
            </w:hyperlink>
          </w:p>
          <w:p w:rsidR="003907B8" w:rsidRPr="00B27AC9" w:rsidP="006A0D05" w14:paraId="2EFAA432" w14:textId="77777777">
            <w:pPr>
              <w:rPr>
                <w:rFonts w:eastAsia="Times New Roman"/>
                <w:bCs w:val="0"/>
                <w:szCs w:val="24"/>
              </w:rPr>
            </w:pPr>
            <w:hyperlink r:id="rId12" w:history="1">
              <w:r w:rsidRPr="00B27AC9" w:rsidR="00F24DBE">
                <w:rPr>
                  <w:rFonts w:eastAsia="Times New Roman"/>
                  <w:color w:val="0000FF"/>
                  <w:szCs w:val="24"/>
                  <w:u w:val="single"/>
                </w:rPr>
                <w:t>josephclark@nisource.com</w:t>
              </w:r>
            </w:hyperlink>
          </w:p>
          <w:p w:rsidR="003907B8" w:rsidRPr="00B27AC9" w:rsidP="006A0D05" w14:paraId="6079E568" w14:textId="77777777">
            <w:pPr>
              <w:rPr>
                <w:rFonts w:eastAsia="Times New Roman"/>
                <w:bCs w:val="0"/>
                <w:szCs w:val="24"/>
              </w:rPr>
            </w:pPr>
            <w:hyperlink r:id="rId13" w:history="1">
              <w:r w:rsidRPr="00B27AC9" w:rsidR="00F24DBE">
                <w:rPr>
                  <w:rFonts w:eastAsia="Times New Roman"/>
                  <w:color w:val="0000FF"/>
                  <w:szCs w:val="24"/>
                  <w:u w:val="single"/>
                </w:rPr>
                <w:t>johnryan@nisource.com</w:t>
              </w:r>
            </w:hyperlink>
          </w:p>
          <w:p w:rsidR="003907B8" w:rsidRPr="00B27AC9" w:rsidP="006A0D05" w14:paraId="3F62BF6B" w14:textId="77777777">
            <w:pPr>
              <w:rPr>
                <w:rFonts w:eastAsia="Times New Roman"/>
                <w:bCs w:val="0"/>
                <w:szCs w:val="24"/>
              </w:rPr>
            </w:pPr>
            <w:hyperlink r:id="rId14" w:history="1">
              <w:r w:rsidRPr="00B27AC9" w:rsidR="00F24DBE">
                <w:rPr>
                  <w:rFonts w:eastAsia="Times New Roman"/>
                  <w:color w:val="0000FF"/>
                  <w:szCs w:val="24"/>
                  <w:u w:val="single"/>
                </w:rPr>
                <w:t>christopher.hollon@aes.com</w:t>
              </w:r>
            </w:hyperlink>
          </w:p>
          <w:p w:rsidR="003907B8" w:rsidRPr="00B27AC9" w:rsidP="006A0D05" w14:paraId="4A563048" w14:textId="77777777">
            <w:pPr>
              <w:rPr>
                <w:rFonts w:eastAsia="Times New Roman"/>
                <w:bCs w:val="0"/>
                <w:szCs w:val="24"/>
              </w:rPr>
            </w:pPr>
          </w:p>
          <w:p w:rsidR="003907B8" w:rsidRPr="00B27AC9" w:rsidP="006A0D05" w14:paraId="67870DC6" w14:textId="77777777">
            <w:pPr>
              <w:rPr>
                <w:rFonts w:eastAsia="Times New Roman"/>
                <w:bCs w:val="0"/>
                <w:szCs w:val="24"/>
              </w:rPr>
            </w:pPr>
            <w:r w:rsidRPr="00B27AC9">
              <w:rPr>
                <w:rFonts w:eastAsia="Times New Roman"/>
                <w:szCs w:val="24"/>
              </w:rPr>
              <w:t>Attorney Examiner:</w:t>
            </w:r>
          </w:p>
          <w:p w:rsidR="003907B8" w:rsidRPr="00B27AC9" w:rsidP="006A0D05" w14:paraId="43285A0B" w14:textId="77777777">
            <w:pPr>
              <w:rPr>
                <w:rFonts w:eastAsia="Times New Roman"/>
                <w:bCs w:val="0"/>
                <w:szCs w:val="24"/>
              </w:rPr>
            </w:pPr>
            <w:hyperlink r:id="rId15" w:history="1">
              <w:r w:rsidRPr="00B27AC9" w:rsidR="00F24DBE">
                <w:rPr>
                  <w:rFonts w:eastAsia="Times New Roman"/>
                  <w:color w:val="0000FF"/>
                  <w:szCs w:val="24"/>
                  <w:u w:val="single"/>
                </w:rPr>
                <w:t>james.lynn@puco.ohio.gov</w:t>
              </w:r>
            </w:hyperlink>
          </w:p>
          <w:p w:rsidR="003907B8" w:rsidRPr="00B27AC9" w:rsidP="006A0D05" w14:paraId="7E132E29" w14:textId="77777777">
            <w:pPr>
              <w:rPr>
                <w:rFonts w:eastAsia="Times New Roman"/>
                <w:bCs w:val="0"/>
                <w:szCs w:val="24"/>
              </w:rPr>
            </w:pPr>
          </w:p>
          <w:p w:rsidR="003907B8" w:rsidRPr="00B27AC9" w:rsidP="006A0D05" w14:paraId="40DED6C0" w14:textId="77777777">
            <w:pPr>
              <w:rPr>
                <w:rFonts w:eastAsia="Times New Roman"/>
                <w:bCs w:val="0"/>
                <w:szCs w:val="24"/>
              </w:rPr>
            </w:pPr>
          </w:p>
          <w:p w:rsidR="003907B8" w:rsidRPr="00B27AC9" w:rsidP="006A0D05" w14:paraId="3FE16754" w14:textId="77777777">
            <w:pPr>
              <w:rPr>
                <w:rFonts w:eastAsia="Times New Roman"/>
                <w:bCs w:val="0"/>
                <w:szCs w:val="24"/>
              </w:rPr>
            </w:pPr>
          </w:p>
          <w:p w:rsidR="003907B8" w:rsidRPr="00B27AC9" w:rsidP="006A0D05" w14:paraId="4545EAB7" w14:textId="77777777">
            <w:pPr>
              <w:rPr>
                <w:rFonts w:eastAsia="Times New Roman"/>
                <w:bCs w:val="0"/>
                <w:szCs w:val="24"/>
              </w:rPr>
            </w:pPr>
          </w:p>
        </w:tc>
        <w:tc>
          <w:tcPr>
            <w:tcW w:w="4428" w:type="dxa"/>
            <w:shd w:val="clear" w:color="auto" w:fill="auto"/>
          </w:tcPr>
          <w:p w:rsidR="003907B8" w:rsidRPr="00B27AC9" w:rsidP="006A0D05" w14:paraId="264A4938" w14:textId="77777777">
            <w:pPr>
              <w:rPr>
                <w:rFonts w:eastAsia="Times New Roman"/>
                <w:bCs w:val="0"/>
                <w:szCs w:val="24"/>
              </w:rPr>
            </w:pPr>
            <w:hyperlink r:id="rId16" w:history="1">
              <w:r w:rsidRPr="00B27AC9" w:rsidR="00F24DBE">
                <w:rPr>
                  <w:rFonts w:eastAsia="Times New Roman"/>
                  <w:color w:val="0000FF"/>
                  <w:szCs w:val="24"/>
                  <w:u w:val="single"/>
                </w:rPr>
                <w:t>rdove@keglerbrown.com</w:t>
              </w:r>
            </w:hyperlink>
          </w:p>
          <w:p w:rsidR="003907B8" w:rsidRPr="00B27AC9" w:rsidP="006A0D05" w14:paraId="0AE7C1EA" w14:textId="77777777">
            <w:pPr>
              <w:rPr>
                <w:rFonts w:eastAsia="Times New Roman"/>
                <w:bCs w:val="0"/>
                <w:szCs w:val="24"/>
              </w:rPr>
            </w:pPr>
            <w:hyperlink r:id="rId17" w:history="1">
              <w:r w:rsidRPr="00B27AC9" w:rsidR="00F24DBE">
                <w:rPr>
                  <w:rFonts w:eastAsia="Times New Roman"/>
                  <w:color w:val="0000FF"/>
                  <w:szCs w:val="24"/>
                  <w:u w:val="single"/>
                </w:rPr>
                <w:t>kennedy@whitt-sturtevant.com</w:t>
              </w:r>
            </w:hyperlink>
          </w:p>
          <w:p w:rsidR="003907B8" w:rsidRPr="00B27AC9" w:rsidP="006A0D05" w14:paraId="7806D5F1" w14:textId="77777777">
            <w:pPr>
              <w:rPr>
                <w:rFonts w:eastAsia="Times New Roman"/>
                <w:bCs w:val="0"/>
                <w:szCs w:val="24"/>
              </w:rPr>
            </w:pPr>
            <w:hyperlink r:id="rId18" w:history="1">
              <w:r w:rsidRPr="00B27AC9" w:rsidR="00F24DBE">
                <w:rPr>
                  <w:rFonts w:eastAsia="Times New Roman"/>
                  <w:color w:val="0000FF"/>
                  <w:szCs w:val="24"/>
                  <w:u w:val="single"/>
                </w:rPr>
                <w:t>andrew.j.campbell@dominionenergy.com</w:t>
              </w:r>
            </w:hyperlink>
          </w:p>
          <w:p w:rsidR="003907B8" w:rsidRPr="00B27AC9" w:rsidP="006A0D05" w14:paraId="394A77A3" w14:textId="77777777">
            <w:pPr>
              <w:rPr>
                <w:rFonts w:eastAsia="Times New Roman"/>
                <w:bCs w:val="0"/>
                <w:szCs w:val="24"/>
              </w:rPr>
            </w:pPr>
            <w:hyperlink r:id="rId19" w:history="1">
              <w:r w:rsidRPr="00B27AC9" w:rsidR="00F24DBE">
                <w:rPr>
                  <w:rFonts w:eastAsia="Times New Roman"/>
                  <w:color w:val="0000FF"/>
                  <w:szCs w:val="24"/>
                  <w:u w:val="single"/>
                </w:rPr>
                <w:t>mjschuler@aep.com</w:t>
              </w:r>
            </w:hyperlink>
          </w:p>
          <w:p w:rsidR="003907B8" w:rsidRPr="00B27AC9" w:rsidP="006A0D05" w14:paraId="78DC7011" w14:textId="77777777">
            <w:pPr>
              <w:rPr>
                <w:rFonts w:eastAsia="Times New Roman"/>
                <w:bCs w:val="0"/>
                <w:szCs w:val="24"/>
              </w:rPr>
            </w:pPr>
            <w:hyperlink r:id="rId20" w:history="1">
              <w:r w:rsidRPr="00B27AC9" w:rsidR="00F24DBE">
                <w:rPr>
                  <w:rFonts w:eastAsia="Times New Roman"/>
                  <w:color w:val="0000FF"/>
                  <w:szCs w:val="24"/>
                  <w:u w:val="single"/>
                </w:rPr>
                <w:t>rocco.dascenzo@duke-energy.com</w:t>
              </w:r>
            </w:hyperlink>
          </w:p>
          <w:p w:rsidR="003907B8" w:rsidRPr="00B27AC9" w:rsidP="006A0D05" w14:paraId="3BC443CC" w14:textId="77777777">
            <w:pPr>
              <w:rPr>
                <w:rFonts w:eastAsia="Times New Roman"/>
                <w:bCs w:val="0"/>
                <w:szCs w:val="24"/>
              </w:rPr>
            </w:pPr>
            <w:hyperlink r:id="rId21" w:history="1">
              <w:r w:rsidRPr="00B27AC9" w:rsidR="00F24DBE">
                <w:rPr>
                  <w:rFonts w:eastAsia="Times New Roman"/>
                  <w:color w:val="0000FF"/>
                  <w:szCs w:val="24"/>
                  <w:u w:val="single"/>
                </w:rPr>
                <w:t>larisa.vaysman@duke-energy.com</w:t>
              </w:r>
            </w:hyperlink>
          </w:p>
          <w:p w:rsidR="003907B8" w:rsidRPr="00B27AC9" w:rsidP="006A0D05" w14:paraId="7369BA41" w14:textId="77777777">
            <w:pPr>
              <w:rPr>
                <w:rFonts w:eastAsia="Times New Roman"/>
                <w:bCs w:val="0"/>
                <w:szCs w:val="24"/>
              </w:rPr>
            </w:pPr>
          </w:p>
          <w:p w:rsidR="003907B8" w:rsidRPr="00B27AC9" w:rsidP="006A0D05" w14:paraId="3A1B44F4" w14:textId="77777777">
            <w:pPr>
              <w:rPr>
                <w:rFonts w:eastAsia="Times New Roman"/>
                <w:bCs w:val="0"/>
                <w:szCs w:val="24"/>
              </w:rPr>
            </w:pPr>
          </w:p>
          <w:p w:rsidR="003907B8" w:rsidRPr="00B27AC9" w:rsidP="006A0D05" w14:paraId="43310980" w14:textId="77777777">
            <w:pPr>
              <w:jc w:val="center"/>
              <w:rPr>
                <w:rFonts w:eastAsia="Times New Roman"/>
                <w:bCs w:val="0"/>
                <w:szCs w:val="24"/>
              </w:rPr>
            </w:pPr>
          </w:p>
        </w:tc>
      </w:tr>
    </w:tbl>
    <w:p w:rsidR="0068731A" w:rsidRPr="00B27AC9" w:rsidP="0068731A" w14:paraId="34118223" w14:textId="77777777">
      <w:pPr>
        <w:pStyle w:val="CommentText"/>
        <w:suppressLineNumbers/>
        <w:ind w:left="810"/>
        <w:jc w:val="center"/>
      </w:pPr>
    </w:p>
    <w:p w:rsidR="0068731A" w:rsidRPr="00B27AC9" w:rsidP="0068731A" w14:paraId="01A1EA4E" w14:textId="77777777">
      <w:pPr>
        <w:rPr>
          <w:b/>
          <w:bCs w:val="0"/>
          <w:szCs w:val="24"/>
        </w:rPr>
      </w:pPr>
    </w:p>
    <w:sectPr w:rsidSect="00475F56">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EF0" w14:paraId="714DD3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152232"/>
      <w:docPartObj>
        <w:docPartGallery w:val="Page Numbers (Bottom of Page)"/>
        <w:docPartUnique/>
      </w:docPartObj>
    </w:sdtPr>
    <w:sdtEndPr>
      <w:rPr>
        <w:noProof/>
      </w:rPr>
    </w:sdtEndPr>
    <w:sdtContent>
      <w:p w:rsidR="002D4323" w14:paraId="0F51B10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EF0" w14:paraId="01285B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C67CF" w:rsidP="00783F17" w14:paraId="44063AD7" w14:textId="77777777">
      <w:r>
        <w:separator/>
      </w:r>
    </w:p>
  </w:footnote>
  <w:footnote w:type="continuationSeparator" w:id="1">
    <w:p w:rsidR="009C67CF" w:rsidP="00783F17" w14:paraId="7141FE4D" w14:textId="77777777">
      <w:r>
        <w:continuationSeparator/>
      </w:r>
    </w:p>
  </w:footnote>
  <w:footnote w:id="2">
    <w:p w:rsidR="00C5662F" w:rsidRPr="008E0223" w:rsidP="003B0466" w14:paraId="2229B9C9" w14:textId="6AB0419F">
      <w:pPr>
        <w:pStyle w:val="FootnoteText"/>
        <w:spacing w:after="120"/>
      </w:pPr>
      <w:r w:rsidRPr="008E0223">
        <w:rPr>
          <w:rStyle w:val="FootnoteReference"/>
        </w:rPr>
        <w:footnoteRef/>
      </w:r>
      <w:r w:rsidRPr="008E0223">
        <w:t xml:space="preserve"> Advocates for Basic Legal Equality, Legal Aid Society of Southwest Ohio, LLC, Office of the Ohio Consumers’ Counsel, Ohio Poverty Law Center, and Pro Seniors, Inc.</w:t>
      </w:r>
    </w:p>
  </w:footnote>
  <w:footnote w:id="3">
    <w:p w:rsidR="00C5662F" w:rsidRPr="008E0223" w:rsidP="003B0466" w14:paraId="637A0D82" w14:textId="24E33403">
      <w:pPr>
        <w:spacing w:after="120"/>
        <w:rPr>
          <w:rFonts w:eastAsia="Times New Roman"/>
          <w:bCs w:val="0"/>
          <w:color w:val="auto"/>
          <w:sz w:val="20"/>
          <w:szCs w:val="20"/>
        </w:rPr>
      </w:pPr>
      <w:r w:rsidRPr="008E0223">
        <w:rPr>
          <w:rStyle w:val="FootnoteReference"/>
          <w:sz w:val="20"/>
          <w:szCs w:val="20"/>
        </w:rPr>
        <w:footnoteRef/>
      </w:r>
      <w:r w:rsidRPr="008E0223">
        <w:rPr>
          <w:sz w:val="20"/>
          <w:szCs w:val="20"/>
        </w:rPr>
        <w:t xml:space="preserve"> </w:t>
      </w:r>
      <w:r w:rsidRPr="008E0223">
        <w:rPr>
          <w:rFonts w:eastAsia="Times New Roman"/>
          <w:bCs w:val="0"/>
          <w:color w:val="auto"/>
          <w:sz w:val="20"/>
          <w:szCs w:val="20"/>
        </w:rPr>
        <w:t>The types of assistance that may have been delayed for consumers include: the Home Energy Assistance Program (“HEAP”), Winter Crisis Program, Percentage of Income Payment Plan Plus (“PIPP Plus”), and the Summer Crisis Program.</w:t>
      </w:r>
    </w:p>
  </w:footnote>
  <w:footnote w:id="4">
    <w:p w:rsidR="00B146C0" w:rsidRPr="008E0223" w:rsidP="003B0466" w14:paraId="3B090D16" w14:textId="24A10441">
      <w:pPr>
        <w:pStyle w:val="FootnoteText"/>
        <w:spacing w:after="120"/>
      </w:pPr>
      <w:r w:rsidRPr="008E0223">
        <w:rPr>
          <w:rStyle w:val="FootnoteReference"/>
        </w:rPr>
        <w:footnoteRef/>
      </w:r>
      <w:r w:rsidRPr="008E0223">
        <w:t xml:space="preserve"> AEP Ohio Memorandum Contra at 1-2 (June 20, 2023); Duke Energy Memorandum Contra at </w:t>
      </w:r>
      <w:r w:rsidRPr="008E0223" w:rsidR="00A24287">
        <w:t xml:space="preserve">3-5 </w:t>
      </w:r>
      <w:r w:rsidRPr="008E0223">
        <w:t xml:space="preserve">(June 20, 2023); AES Ohio Memorandum Contra at </w:t>
      </w:r>
      <w:r w:rsidRPr="008E0223" w:rsidR="00A24287">
        <w:t xml:space="preserve">4 </w:t>
      </w:r>
      <w:r w:rsidRPr="008E0223">
        <w:t>(June 20, 2023).</w:t>
      </w:r>
    </w:p>
  </w:footnote>
  <w:footnote w:id="5">
    <w:p w:rsidR="00C22A12" w:rsidRPr="008E0223" w:rsidP="003B0466" w14:paraId="438B8221" w14:textId="185F747C">
      <w:pPr>
        <w:pStyle w:val="FootnoteText"/>
        <w:spacing w:after="120"/>
      </w:pPr>
      <w:r w:rsidRPr="008E0223">
        <w:rPr>
          <w:rStyle w:val="FootnoteReference"/>
        </w:rPr>
        <w:footnoteRef/>
      </w:r>
      <w:r w:rsidRPr="008E0223">
        <w:t xml:space="preserve"> Testimony of Keelie Gustin, </w:t>
      </w:r>
      <w:r w:rsidRPr="008E0223">
        <w:rPr>
          <w:i/>
          <w:iCs/>
        </w:rPr>
        <w:t>Re AES Electric Security Plan</w:t>
      </w:r>
      <w:r w:rsidRPr="008E0223">
        <w:t>, Case Nos. 22-900-EL-SSO, et al., Transcript of Local Public Hearing at 22 (February 2, 2023).</w:t>
      </w:r>
    </w:p>
  </w:footnote>
  <w:footnote w:id="6">
    <w:p w:rsidR="001224C9" w:rsidRPr="00A35F31" w:rsidP="003B0466" w14:paraId="708DE0EB" w14:textId="77777777">
      <w:pPr>
        <w:pStyle w:val="FootnoteText"/>
        <w:spacing w:after="120"/>
      </w:pPr>
      <w:r w:rsidRPr="00A35F31">
        <w:rPr>
          <w:rStyle w:val="FootnoteReference"/>
        </w:rPr>
        <w:footnoteRef/>
      </w:r>
      <w:r w:rsidRPr="00A35F31">
        <w:t xml:space="preserve"> </w:t>
      </w:r>
      <w:r w:rsidRPr="00A35F31">
        <w:rPr>
          <w:i/>
          <w:iCs/>
        </w:rPr>
        <w:t xml:space="preserve">Id. </w:t>
      </w:r>
      <w:r w:rsidRPr="00A35F31">
        <w:t>at 20.</w:t>
      </w:r>
    </w:p>
  </w:footnote>
  <w:footnote w:id="7">
    <w:p w:rsidR="001224C9" w:rsidRPr="00A35F31" w:rsidP="003B0466" w14:paraId="0DFA896A" w14:textId="77777777">
      <w:pPr>
        <w:pStyle w:val="FootnoteText"/>
        <w:spacing w:after="120"/>
      </w:pPr>
      <w:r w:rsidRPr="00A35F31">
        <w:rPr>
          <w:rStyle w:val="FootnoteReference"/>
        </w:rPr>
        <w:footnoteRef/>
      </w:r>
      <w:r w:rsidRPr="00A35F31">
        <w:t xml:space="preserve"> </w:t>
      </w:r>
      <w:r w:rsidRPr="00A35F31">
        <w:rPr>
          <w:i/>
          <w:iCs/>
        </w:rPr>
        <w:t>Id.</w:t>
      </w:r>
      <w:r w:rsidRPr="00A35F31">
        <w:t xml:space="preserve"> at 22.</w:t>
      </w:r>
    </w:p>
  </w:footnote>
  <w:footnote w:id="8">
    <w:p w:rsidR="004C74FA" w:rsidRPr="008E0223" w:rsidP="003B0466" w14:paraId="4474F6F3" w14:textId="77777777">
      <w:pPr>
        <w:pStyle w:val="FootnoteText"/>
        <w:spacing w:after="120"/>
        <w:rPr>
          <w:i/>
          <w:iCs/>
        </w:rPr>
      </w:pPr>
      <w:r w:rsidRPr="008E0223">
        <w:rPr>
          <w:rStyle w:val="FootnoteReference"/>
        </w:rPr>
        <w:footnoteRef/>
      </w:r>
      <w:r w:rsidRPr="008E0223">
        <w:t xml:space="preserve"> </w:t>
      </w:r>
      <w:r w:rsidRPr="008E0223">
        <w:rPr>
          <w:i/>
          <w:iCs/>
        </w:rPr>
        <w:t>Id.</w:t>
      </w:r>
    </w:p>
  </w:footnote>
  <w:footnote w:id="9">
    <w:p w:rsidR="00BF3E1F" w:rsidP="003B0466" w14:paraId="02A8D99C" w14:textId="1EA5CE8F">
      <w:pPr>
        <w:pStyle w:val="FootnoteText"/>
        <w:spacing w:after="120"/>
      </w:pPr>
      <w:r>
        <w:rPr>
          <w:rStyle w:val="FootnoteReference"/>
        </w:rPr>
        <w:footnoteRef/>
      </w:r>
      <w:r>
        <w:t xml:space="preserve"> AES Memorandum Contra (June 20, 2023), at 3.</w:t>
      </w:r>
    </w:p>
  </w:footnote>
  <w:footnote w:id="10">
    <w:p w:rsidR="002F196C" w:rsidRPr="008E0223" w:rsidP="003B0466" w14:paraId="51143F4C" w14:textId="224731B0">
      <w:pPr>
        <w:pStyle w:val="FootnoteText"/>
        <w:spacing w:after="120"/>
      </w:pPr>
      <w:r w:rsidRPr="008E0223">
        <w:rPr>
          <w:rStyle w:val="FootnoteReference"/>
        </w:rPr>
        <w:footnoteRef/>
      </w:r>
      <w:r w:rsidRPr="008E0223">
        <w:t xml:space="preserve"> AEP Memorandum Contra at</w:t>
      </w:r>
      <w:r w:rsidRPr="008E0223" w:rsidR="00644CA9">
        <w:t xml:space="preserve"> </w:t>
      </w:r>
      <w:r w:rsidRPr="008E0223">
        <w:t>2</w:t>
      </w:r>
      <w:r w:rsidRPr="008E0223" w:rsidR="00644CA9">
        <w:t>-4</w:t>
      </w:r>
      <w:r w:rsidRPr="008E0223">
        <w:t xml:space="preserve"> (June 20, 2023); Duke Memorandum Contra at</w:t>
      </w:r>
      <w:r w:rsidRPr="008E0223" w:rsidR="00A24287">
        <w:t xml:space="preserve"> 5-7 </w:t>
      </w:r>
      <w:r w:rsidRPr="008E0223">
        <w:t xml:space="preserve">(June 20, 2023); AES Memorandum Contra at </w:t>
      </w:r>
      <w:r w:rsidRPr="008E0223" w:rsidR="00A24287">
        <w:t xml:space="preserve">3-4 </w:t>
      </w:r>
      <w:r w:rsidRPr="008E0223">
        <w:t>(June 20, 2023).</w:t>
      </w:r>
    </w:p>
  </w:footnote>
  <w:footnote w:id="11">
    <w:p w:rsidR="005565E4" w:rsidRPr="005565E4" w:rsidP="003B0466" w14:paraId="7F71121A" w14:textId="49C2B7C1">
      <w:pPr>
        <w:pStyle w:val="FootnoteText"/>
        <w:spacing w:after="120"/>
      </w:pPr>
      <w:r>
        <w:rPr>
          <w:rStyle w:val="FootnoteReference"/>
        </w:rPr>
        <w:footnoteRef/>
      </w:r>
      <w:r>
        <w:t xml:space="preserve"> </w:t>
      </w:r>
      <w:r>
        <w:rPr>
          <w:i/>
          <w:iCs/>
        </w:rPr>
        <w:t xml:space="preserve">See In the Matter of the Application of Santanna Natural Gas Corporation d/b/a </w:t>
      </w:r>
      <w:r w:rsidRPr="005C5979">
        <w:rPr>
          <w:i/>
          <w:iCs/>
        </w:rPr>
        <w:t>Santanna Energy Services for Waivers of Certain Provisions of Ohio Administrative Code Chapters 4901:1-21 and 4901:1-29, to Authorize Electronic Enrollment and Third-Party Verification by Digital Confirmation</w:t>
      </w:r>
      <w:r>
        <w:t>, Case No. 23-171-</w:t>
      </w:r>
      <w:r w:rsidR="00A15425">
        <w:t>GE-WVR, PUCO Staff Comments (June 8, 2023) at 4-5.</w:t>
      </w:r>
    </w:p>
  </w:footnote>
  <w:footnote w:id="12">
    <w:p w:rsidR="0096723E" w:rsidRPr="00D860E2" w:rsidP="003B0466" w14:paraId="6FDFB78E" w14:textId="2060DFA1">
      <w:pPr>
        <w:pStyle w:val="FootnoteText"/>
        <w:spacing w:after="120"/>
      </w:pPr>
      <w:r>
        <w:rPr>
          <w:rStyle w:val="FootnoteReference"/>
        </w:rPr>
        <w:footnoteRef/>
      </w:r>
      <w:r>
        <w:t xml:space="preserve"> </w:t>
      </w:r>
      <w:r w:rsidR="00D860E2">
        <w:rPr>
          <w:i/>
          <w:iCs/>
        </w:rPr>
        <w:t>See In the Matter of the Complaint of Jeffrey Pitzer v. Duke Energy Ohio</w:t>
      </w:r>
      <w:r w:rsidR="00D860E2">
        <w:t>, Case No. 15-298-GE-CSS, Opinion and Order (August 30, 2017), at ¶</w:t>
      </w:r>
      <w:r w:rsidR="000C20D5">
        <w:t>¶ 1,</w:t>
      </w:r>
      <w:r w:rsidR="00D860E2">
        <w:t xml:space="preserve"> 4</w:t>
      </w:r>
      <w:r w:rsidR="006509C7">
        <w:t xml:space="preserve">, </w:t>
      </w:r>
      <w:r w:rsidR="00362D1C">
        <w:t xml:space="preserve">10, </w:t>
      </w:r>
      <w:r w:rsidR="006509C7">
        <w:t>59</w:t>
      </w:r>
      <w:r w:rsidR="00D860E2">
        <w:t>.</w:t>
      </w:r>
    </w:p>
  </w:footnote>
  <w:footnote w:id="13">
    <w:p w:rsidR="00940100" w:rsidRPr="008E0223" w:rsidP="003B0466" w14:paraId="54AB0E02" w14:textId="086A4C5A">
      <w:pPr>
        <w:pStyle w:val="FootnoteText"/>
        <w:spacing w:after="120"/>
      </w:pPr>
      <w:r w:rsidRPr="008E0223">
        <w:rPr>
          <w:rStyle w:val="FootnoteReference"/>
        </w:rPr>
        <w:footnoteRef/>
      </w:r>
      <w:r w:rsidRPr="008E0223">
        <w:t xml:space="preserve"> R.C. 4909.16.</w:t>
      </w:r>
    </w:p>
  </w:footnote>
  <w:footnote w:id="14">
    <w:p w:rsidR="00D67265" w:rsidRPr="008E0223" w:rsidP="003B0466" w14:paraId="1B86E30D" w14:textId="149AB5A7">
      <w:pPr>
        <w:pStyle w:val="FootnoteText"/>
        <w:spacing w:after="120"/>
      </w:pPr>
      <w:r w:rsidRPr="008E0223">
        <w:rPr>
          <w:rStyle w:val="FootnoteReference"/>
        </w:rPr>
        <w:footnoteRef/>
      </w:r>
      <w:r w:rsidRPr="008E0223">
        <w:t xml:space="preserve"> AEP Ohio web page, </w:t>
      </w:r>
      <w:r w:rsidRPr="008E0223">
        <w:rPr>
          <w:i/>
          <w:iCs/>
        </w:rPr>
        <w:t xml:space="preserve">Rising </w:t>
      </w:r>
      <w:r w:rsidR="00931CFC">
        <w:rPr>
          <w:i/>
          <w:iCs/>
        </w:rPr>
        <w:t>E</w:t>
      </w:r>
      <w:r w:rsidRPr="008E0223">
        <w:rPr>
          <w:i/>
          <w:iCs/>
        </w:rPr>
        <w:t xml:space="preserve">lectricity </w:t>
      </w:r>
      <w:r w:rsidR="00931CFC">
        <w:rPr>
          <w:i/>
          <w:iCs/>
        </w:rPr>
        <w:t>G</w:t>
      </w:r>
      <w:r w:rsidRPr="008E0223">
        <w:rPr>
          <w:i/>
          <w:iCs/>
        </w:rPr>
        <w:t xml:space="preserve">eneration </w:t>
      </w:r>
      <w:r w:rsidR="00931CFC">
        <w:rPr>
          <w:i/>
          <w:iCs/>
        </w:rPr>
        <w:t>S</w:t>
      </w:r>
      <w:r w:rsidRPr="008E0223">
        <w:rPr>
          <w:i/>
          <w:iCs/>
        </w:rPr>
        <w:t xml:space="preserve">upply </w:t>
      </w:r>
      <w:r w:rsidR="00931CFC">
        <w:rPr>
          <w:i/>
          <w:iCs/>
        </w:rPr>
        <w:t>C</w:t>
      </w:r>
      <w:r w:rsidRPr="008E0223">
        <w:rPr>
          <w:i/>
          <w:iCs/>
        </w:rPr>
        <w:t xml:space="preserve">osts </w:t>
      </w:r>
      <w:r w:rsidR="00931CFC">
        <w:rPr>
          <w:i/>
          <w:iCs/>
        </w:rPr>
        <w:t>I</w:t>
      </w:r>
      <w:r w:rsidRPr="008E0223">
        <w:rPr>
          <w:i/>
          <w:iCs/>
        </w:rPr>
        <w:t xml:space="preserve">mpacting </w:t>
      </w:r>
      <w:r w:rsidR="00931CFC">
        <w:rPr>
          <w:i/>
          <w:iCs/>
        </w:rPr>
        <w:t>M</w:t>
      </w:r>
      <w:r w:rsidRPr="008E0223">
        <w:rPr>
          <w:i/>
          <w:iCs/>
        </w:rPr>
        <w:t xml:space="preserve">any </w:t>
      </w:r>
      <w:r w:rsidR="00931CFC">
        <w:rPr>
          <w:i/>
          <w:iCs/>
        </w:rPr>
        <w:t>C</w:t>
      </w:r>
      <w:r w:rsidRPr="008E0223">
        <w:rPr>
          <w:i/>
          <w:iCs/>
        </w:rPr>
        <w:t xml:space="preserve">ustomers, </w:t>
      </w:r>
      <w:r w:rsidRPr="008E0223">
        <w:t xml:space="preserve">available at: </w:t>
      </w:r>
      <w:hyperlink r:id="rId1" w:history="1">
        <w:r w:rsidRPr="008E0223">
          <w:rPr>
            <w:rStyle w:val="Hyperlink"/>
          </w:rPr>
          <w:t>https://www.aepohio.com/company/about/rates/rising-fuel-costs/</w:t>
        </w:r>
      </w:hyperlink>
      <w:r w:rsidRPr="008E0223">
        <w:t xml:space="preserve"> (</w:t>
      </w:r>
      <w:r w:rsidR="00656A04">
        <w:t>e</w:t>
      </w:r>
      <w:r w:rsidRPr="008E0223">
        <w:t>mphasis added).</w:t>
      </w:r>
    </w:p>
  </w:footnote>
  <w:footnote w:id="15">
    <w:p w:rsidR="00B12994" w:rsidRPr="008E0223" w:rsidP="003B0466" w14:paraId="31EB3181" w14:textId="38186BE4">
      <w:pPr>
        <w:pStyle w:val="FootnoteText"/>
        <w:spacing w:after="120"/>
      </w:pPr>
      <w:r w:rsidRPr="008E0223">
        <w:rPr>
          <w:rStyle w:val="FootnoteReference"/>
        </w:rPr>
        <w:footnoteRef/>
      </w:r>
      <w:r w:rsidRPr="008E0223">
        <w:t xml:space="preserve"> AEP Ohio Memorandum Contra at</w:t>
      </w:r>
      <w:r w:rsidRPr="008E0223" w:rsidR="00A24287">
        <w:t xml:space="preserve"> 4-6</w:t>
      </w:r>
      <w:r w:rsidRPr="008E0223">
        <w:t xml:space="preserve"> (June 20, 2023); AES Ohio Memorandum Contra at </w:t>
      </w:r>
      <w:r w:rsidRPr="008E0223" w:rsidR="00A24287">
        <w:t xml:space="preserve">4 </w:t>
      </w:r>
      <w:r w:rsidRPr="008E0223">
        <w:t>(June 20, 2023).</w:t>
      </w:r>
    </w:p>
  </w:footnote>
  <w:footnote w:id="16">
    <w:p w:rsidR="009478D3" w:rsidRPr="008E0223" w:rsidP="003B0466" w14:paraId="6BB58675" w14:textId="269752DF">
      <w:pPr>
        <w:pStyle w:val="FootnoteText"/>
        <w:spacing w:after="120"/>
      </w:pPr>
      <w:r w:rsidRPr="008E0223">
        <w:rPr>
          <w:rStyle w:val="FootnoteReference"/>
        </w:rPr>
        <w:footnoteRef/>
      </w:r>
      <w:r w:rsidRPr="008E0223">
        <w:t xml:space="preserve"> AEP Ohio Memorandum Contra at</w:t>
      </w:r>
      <w:r w:rsidRPr="008E0223" w:rsidR="00A24287">
        <w:t xml:space="preserve"> 6-8</w:t>
      </w:r>
      <w:r w:rsidRPr="008E0223">
        <w:t xml:space="preserve"> (June 20, 2023); AES Ohio Memorandum Contra at</w:t>
      </w:r>
      <w:r w:rsidRPr="008E0223" w:rsidR="00A24287">
        <w:t xml:space="preserve"> 5 </w:t>
      </w:r>
      <w:r w:rsidRPr="008E0223">
        <w:t>(June 20,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EF0" w14:paraId="75A3F3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EF0" w14:paraId="4E373C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EF0" w14:paraId="5CDD12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46BA8"/>
    <w:multiLevelType w:val="hybridMultilevel"/>
    <w:tmpl w:val="6416344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7A118E"/>
    <w:multiLevelType w:val="hybridMultilevel"/>
    <w:tmpl w:val="5E9E2AC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5755FD8"/>
    <w:multiLevelType w:val="hybridMultilevel"/>
    <w:tmpl w:val="B7B89864"/>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6D0B0B"/>
    <w:multiLevelType w:val="hybridMultilevel"/>
    <w:tmpl w:val="1B028286"/>
    <w:lvl w:ilvl="0">
      <w:start w:val="3"/>
      <w:numFmt w:val="upperLetter"/>
      <w:lvlText w:val="%1."/>
      <w:lvlJc w:val="left"/>
      <w:pPr>
        <w:ind w:left="720" w:hanging="360"/>
      </w:pPr>
      <w:rPr>
        <w:rFonts w:eastAsia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BC4121"/>
    <w:multiLevelType w:val="hybridMultilevel"/>
    <w:tmpl w:val="362EC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6B6D71"/>
    <w:multiLevelType w:val="hybridMultilevel"/>
    <w:tmpl w:val="975061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822C7F"/>
    <w:multiLevelType w:val="hybridMultilevel"/>
    <w:tmpl w:val="68E81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BC21E5"/>
    <w:multiLevelType w:val="hybridMultilevel"/>
    <w:tmpl w:val="CACA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683931"/>
    <w:multiLevelType w:val="multilevel"/>
    <w:tmpl w:val="82A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EF3901"/>
    <w:multiLevelType w:val="hybridMultilevel"/>
    <w:tmpl w:val="A2041BD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C67179"/>
    <w:multiLevelType w:val="hybridMultilevel"/>
    <w:tmpl w:val="061257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6FA0201"/>
    <w:multiLevelType w:val="hybridMultilevel"/>
    <w:tmpl w:val="315AB76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AB06000"/>
    <w:multiLevelType w:val="hybridMultilevel"/>
    <w:tmpl w:val="472A8DA4"/>
    <w:lvl w:ilvl="0">
      <w:start w:val="3"/>
      <w:numFmt w:val="upperLetter"/>
      <w:lvlText w:val="%1."/>
      <w:lvlJc w:val="left"/>
      <w:pPr>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E744E49"/>
    <w:multiLevelType w:val="hybridMultilevel"/>
    <w:tmpl w:val="76620A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63BE3FE1"/>
    <w:multiLevelType w:val="hybridMultilevel"/>
    <w:tmpl w:val="E1BEC26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F28D9"/>
    <w:multiLevelType w:val="hybridMultilevel"/>
    <w:tmpl w:val="E7EC110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C7149AE"/>
    <w:multiLevelType w:val="hybridMultilevel"/>
    <w:tmpl w:val="F29A995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F831C36"/>
    <w:multiLevelType w:val="hybridMultilevel"/>
    <w:tmpl w:val="FF807DA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10"/>
  </w:num>
  <w:num w:numId="5">
    <w:abstractNumId w:val="16"/>
  </w:num>
  <w:num w:numId="6">
    <w:abstractNumId w:val="6"/>
  </w:num>
  <w:num w:numId="7">
    <w:abstractNumId w:val="0"/>
  </w:num>
  <w:num w:numId="8">
    <w:abstractNumId w:val="4"/>
  </w:num>
  <w:num w:numId="9">
    <w:abstractNumId w:val="5"/>
  </w:num>
  <w:num w:numId="10">
    <w:abstractNumId w:val="9"/>
  </w:num>
  <w:num w:numId="11">
    <w:abstractNumId w:val="11"/>
  </w:num>
  <w:num w:numId="12">
    <w:abstractNumId w:val="2"/>
  </w:num>
  <w:num w:numId="13">
    <w:abstractNumId w:val="17"/>
  </w:num>
  <w:num w:numId="14">
    <w:abstractNumId w:val="13"/>
  </w:num>
  <w:num w:numId="15">
    <w:abstractNumId w:val="12"/>
  </w:num>
  <w:num w:numId="16">
    <w:abstractNumId w:val="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CE"/>
    <w:rsid w:val="00001277"/>
    <w:rsid w:val="00002E28"/>
    <w:rsid w:val="000034DB"/>
    <w:rsid w:val="000039C1"/>
    <w:rsid w:val="00004DFD"/>
    <w:rsid w:val="00013515"/>
    <w:rsid w:val="000141F1"/>
    <w:rsid w:val="00017821"/>
    <w:rsid w:val="000205A9"/>
    <w:rsid w:val="00024999"/>
    <w:rsid w:val="00030CD2"/>
    <w:rsid w:val="000354F1"/>
    <w:rsid w:val="0004084D"/>
    <w:rsid w:val="00040F48"/>
    <w:rsid w:val="00041D77"/>
    <w:rsid w:val="00047527"/>
    <w:rsid w:val="00050E8F"/>
    <w:rsid w:val="00057E46"/>
    <w:rsid w:val="000619BC"/>
    <w:rsid w:val="000627F7"/>
    <w:rsid w:val="00063002"/>
    <w:rsid w:val="00066215"/>
    <w:rsid w:val="00071443"/>
    <w:rsid w:val="00073F7A"/>
    <w:rsid w:val="000809FB"/>
    <w:rsid w:val="00084517"/>
    <w:rsid w:val="00091A15"/>
    <w:rsid w:val="000942A1"/>
    <w:rsid w:val="000B08AE"/>
    <w:rsid w:val="000B2A43"/>
    <w:rsid w:val="000B2E19"/>
    <w:rsid w:val="000B7EAD"/>
    <w:rsid w:val="000C20D5"/>
    <w:rsid w:val="000D0111"/>
    <w:rsid w:val="000D3364"/>
    <w:rsid w:val="000D3EFF"/>
    <w:rsid w:val="000E011D"/>
    <w:rsid w:val="000E1BF6"/>
    <w:rsid w:val="000E48BC"/>
    <w:rsid w:val="000E5804"/>
    <w:rsid w:val="000E6180"/>
    <w:rsid w:val="000E61DD"/>
    <w:rsid w:val="000F1E9F"/>
    <w:rsid w:val="000F3F58"/>
    <w:rsid w:val="000F7300"/>
    <w:rsid w:val="0010225C"/>
    <w:rsid w:val="001041F2"/>
    <w:rsid w:val="00104617"/>
    <w:rsid w:val="00110C0C"/>
    <w:rsid w:val="00113A56"/>
    <w:rsid w:val="00120957"/>
    <w:rsid w:val="001224C9"/>
    <w:rsid w:val="001237CE"/>
    <w:rsid w:val="001246F3"/>
    <w:rsid w:val="0013222F"/>
    <w:rsid w:val="00137C31"/>
    <w:rsid w:val="00140AB2"/>
    <w:rsid w:val="001436FE"/>
    <w:rsid w:val="001450EB"/>
    <w:rsid w:val="00150B2B"/>
    <w:rsid w:val="00152D47"/>
    <w:rsid w:val="0015337D"/>
    <w:rsid w:val="00167FEA"/>
    <w:rsid w:val="001745B4"/>
    <w:rsid w:val="0017495B"/>
    <w:rsid w:val="001750D2"/>
    <w:rsid w:val="001751F1"/>
    <w:rsid w:val="0017658D"/>
    <w:rsid w:val="00176EDD"/>
    <w:rsid w:val="00194047"/>
    <w:rsid w:val="001975BF"/>
    <w:rsid w:val="001A77CB"/>
    <w:rsid w:val="001B2A24"/>
    <w:rsid w:val="001B48D5"/>
    <w:rsid w:val="001C4461"/>
    <w:rsid w:val="001C5D5A"/>
    <w:rsid w:val="001D1BD6"/>
    <w:rsid w:val="001E1C56"/>
    <w:rsid w:val="001F1D07"/>
    <w:rsid w:val="001F50D7"/>
    <w:rsid w:val="001F770E"/>
    <w:rsid w:val="001F77B4"/>
    <w:rsid w:val="002040BF"/>
    <w:rsid w:val="00207922"/>
    <w:rsid w:val="0021417A"/>
    <w:rsid w:val="0021476E"/>
    <w:rsid w:val="0021529D"/>
    <w:rsid w:val="00217500"/>
    <w:rsid w:val="0022044E"/>
    <w:rsid w:val="00222B90"/>
    <w:rsid w:val="00225C2C"/>
    <w:rsid w:val="00232879"/>
    <w:rsid w:val="00235109"/>
    <w:rsid w:val="0023690F"/>
    <w:rsid w:val="00253B50"/>
    <w:rsid w:val="002541B2"/>
    <w:rsid w:val="002553A9"/>
    <w:rsid w:val="002567BE"/>
    <w:rsid w:val="00257C83"/>
    <w:rsid w:val="00261FEF"/>
    <w:rsid w:val="0026614A"/>
    <w:rsid w:val="00266BB1"/>
    <w:rsid w:val="00267A00"/>
    <w:rsid w:val="00270B38"/>
    <w:rsid w:val="00272DCB"/>
    <w:rsid w:val="00273308"/>
    <w:rsid w:val="00273F24"/>
    <w:rsid w:val="002748AD"/>
    <w:rsid w:val="002821BA"/>
    <w:rsid w:val="002875FD"/>
    <w:rsid w:val="00294BA2"/>
    <w:rsid w:val="00295ECF"/>
    <w:rsid w:val="002A24F9"/>
    <w:rsid w:val="002A5906"/>
    <w:rsid w:val="002B3410"/>
    <w:rsid w:val="002B7519"/>
    <w:rsid w:val="002C389B"/>
    <w:rsid w:val="002C54D1"/>
    <w:rsid w:val="002D0669"/>
    <w:rsid w:val="002D1D21"/>
    <w:rsid w:val="002D2579"/>
    <w:rsid w:val="002D3CE5"/>
    <w:rsid w:val="002D4323"/>
    <w:rsid w:val="002D4DCF"/>
    <w:rsid w:val="002D7644"/>
    <w:rsid w:val="002D7F93"/>
    <w:rsid w:val="002E1C6F"/>
    <w:rsid w:val="002F0232"/>
    <w:rsid w:val="002F046F"/>
    <w:rsid w:val="002F196C"/>
    <w:rsid w:val="002F1C70"/>
    <w:rsid w:val="002F1FD6"/>
    <w:rsid w:val="002F621A"/>
    <w:rsid w:val="002F68DD"/>
    <w:rsid w:val="0030434F"/>
    <w:rsid w:val="00304761"/>
    <w:rsid w:val="003165CC"/>
    <w:rsid w:val="00320AE7"/>
    <w:rsid w:val="003338C5"/>
    <w:rsid w:val="003338EA"/>
    <w:rsid w:val="003359D5"/>
    <w:rsid w:val="00342440"/>
    <w:rsid w:val="003610AB"/>
    <w:rsid w:val="00362D1C"/>
    <w:rsid w:val="003649F9"/>
    <w:rsid w:val="0036519C"/>
    <w:rsid w:val="0036671C"/>
    <w:rsid w:val="0036714E"/>
    <w:rsid w:val="00367DB3"/>
    <w:rsid w:val="00372D39"/>
    <w:rsid w:val="00374E0D"/>
    <w:rsid w:val="0037774E"/>
    <w:rsid w:val="00382D8C"/>
    <w:rsid w:val="00390574"/>
    <w:rsid w:val="00390799"/>
    <w:rsid w:val="003907B8"/>
    <w:rsid w:val="003918F1"/>
    <w:rsid w:val="00397863"/>
    <w:rsid w:val="00397AC8"/>
    <w:rsid w:val="003A0A82"/>
    <w:rsid w:val="003A18B6"/>
    <w:rsid w:val="003A26FA"/>
    <w:rsid w:val="003A31F3"/>
    <w:rsid w:val="003B0466"/>
    <w:rsid w:val="003C04B7"/>
    <w:rsid w:val="003C211A"/>
    <w:rsid w:val="003C30D5"/>
    <w:rsid w:val="003C4A19"/>
    <w:rsid w:val="003C558B"/>
    <w:rsid w:val="003C78EB"/>
    <w:rsid w:val="003D0D32"/>
    <w:rsid w:val="003F0A59"/>
    <w:rsid w:val="003F3BA4"/>
    <w:rsid w:val="003F5E33"/>
    <w:rsid w:val="004006DC"/>
    <w:rsid w:val="00401E38"/>
    <w:rsid w:val="004033B5"/>
    <w:rsid w:val="00404597"/>
    <w:rsid w:val="00405343"/>
    <w:rsid w:val="00412327"/>
    <w:rsid w:val="00414CC6"/>
    <w:rsid w:val="004211EC"/>
    <w:rsid w:val="00427E69"/>
    <w:rsid w:val="004302AD"/>
    <w:rsid w:val="004334C5"/>
    <w:rsid w:val="004349AD"/>
    <w:rsid w:val="004376DD"/>
    <w:rsid w:val="0044049D"/>
    <w:rsid w:val="004409A9"/>
    <w:rsid w:val="00442555"/>
    <w:rsid w:val="00444A2D"/>
    <w:rsid w:val="0044666E"/>
    <w:rsid w:val="00446741"/>
    <w:rsid w:val="004604D7"/>
    <w:rsid w:val="00460C14"/>
    <w:rsid w:val="0046181B"/>
    <w:rsid w:val="00461F15"/>
    <w:rsid w:val="00465628"/>
    <w:rsid w:val="004746C4"/>
    <w:rsid w:val="00475F56"/>
    <w:rsid w:val="00484C9F"/>
    <w:rsid w:val="00492C20"/>
    <w:rsid w:val="00493F28"/>
    <w:rsid w:val="00497368"/>
    <w:rsid w:val="004A2F7A"/>
    <w:rsid w:val="004A43A7"/>
    <w:rsid w:val="004A50C2"/>
    <w:rsid w:val="004B47E7"/>
    <w:rsid w:val="004C0175"/>
    <w:rsid w:val="004C1E94"/>
    <w:rsid w:val="004C1E9D"/>
    <w:rsid w:val="004C38D0"/>
    <w:rsid w:val="004C5994"/>
    <w:rsid w:val="004C736B"/>
    <w:rsid w:val="004C74FA"/>
    <w:rsid w:val="004C7FCE"/>
    <w:rsid w:val="004D0D14"/>
    <w:rsid w:val="004D3C91"/>
    <w:rsid w:val="004D5961"/>
    <w:rsid w:val="004E22AC"/>
    <w:rsid w:val="004E4E35"/>
    <w:rsid w:val="004E72F4"/>
    <w:rsid w:val="004F2330"/>
    <w:rsid w:val="004F5DD6"/>
    <w:rsid w:val="004F5FD9"/>
    <w:rsid w:val="004F7A7D"/>
    <w:rsid w:val="00505611"/>
    <w:rsid w:val="00505DA9"/>
    <w:rsid w:val="005101EB"/>
    <w:rsid w:val="005137EC"/>
    <w:rsid w:val="00514073"/>
    <w:rsid w:val="005242D2"/>
    <w:rsid w:val="005311BA"/>
    <w:rsid w:val="0053159B"/>
    <w:rsid w:val="00532D2D"/>
    <w:rsid w:val="00540B3D"/>
    <w:rsid w:val="00541A46"/>
    <w:rsid w:val="00546FF0"/>
    <w:rsid w:val="00554F9D"/>
    <w:rsid w:val="005550AE"/>
    <w:rsid w:val="005565E4"/>
    <w:rsid w:val="0055662B"/>
    <w:rsid w:val="0056345B"/>
    <w:rsid w:val="00565E4D"/>
    <w:rsid w:val="00572851"/>
    <w:rsid w:val="00574A88"/>
    <w:rsid w:val="00574F27"/>
    <w:rsid w:val="00580279"/>
    <w:rsid w:val="005811DF"/>
    <w:rsid w:val="00584508"/>
    <w:rsid w:val="00591EDC"/>
    <w:rsid w:val="00594549"/>
    <w:rsid w:val="00595EF4"/>
    <w:rsid w:val="005A60B9"/>
    <w:rsid w:val="005A6B8A"/>
    <w:rsid w:val="005A71EE"/>
    <w:rsid w:val="005B53B2"/>
    <w:rsid w:val="005C0AE4"/>
    <w:rsid w:val="005C1A32"/>
    <w:rsid w:val="005C3E8E"/>
    <w:rsid w:val="005C5979"/>
    <w:rsid w:val="005C5D9D"/>
    <w:rsid w:val="005C6338"/>
    <w:rsid w:val="005D0D53"/>
    <w:rsid w:val="005D1056"/>
    <w:rsid w:val="005D2B13"/>
    <w:rsid w:val="005D3AB6"/>
    <w:rsid w:val="005D4830"/>
    <w:rsid w:val="005D710F"/>
    <w:rsid w:val="005D723D"/>
    <w:rsid w:val="005E0307"/>
    <w:rsid w:val="005E7310"/>
    <w:rsid w:val="005F2B77"/>
    <w:rsid w:val="005F4702"/>
    <w:rsid w:val="005F51F2"/>
    <w:rsid w:val="005F6525"/>
    <w:rsid w:val="00602F99"/>
    <w:rsid w:val="00614860"/>
    <w:rsid w:val="00620915"/>
    <w:rsid w:val="006225DA"/>
    <w:rsid w:val="006245A4"/>
    <w:rsid w:val="00625A01"/>
    <w:rsid w:val="006338DC"/>
    <w:rsid w:val="00634F94"/>
    <w:rsid w:val="00635047"/>
    <w:rsid w:val="00644CA9"/>
    <w:rsid w:val="006466DF"/>
    <w:rsid w:val="006509C7"/>
    <w:rsid w:val="00653EF0"/>
    <w:rsid w:val="00654A50"/>
    <w:rsid w:val="00656A04"/>
    <w:rsid w:val="00657E34"/>
    <w:rsid w:val="00657FB1"/>
    <w:rsid w:val="006632A7"/>
    <w:rsid w:val="006644C6"/>
    <w:rsid w:val="006654F4"/>
    <w:rsid w:val="0068061C"/>
    <w:rsid w:val="0068558B"/>
    <w:rsid w:val="0068731A"/>
    <w:rsid w:val="00687982"/>
    <w:rsid w:val="00693528"/>
    <w:rsid w:val="006946AD"/>
    <w:rsid w:val="00697424"/>
    <w:rsid w:val="0069770E"/>
    <w:rsid w:val="006A0D05"/>
    <w:rsid w:val="006A1748"/>
    <w:rsid w:val="006A2439"/>
    <w:rsid w:val="006A3237"/>
    <w:rsid w:val="006A7559"/>
    <w:rsid w:val="006B3668"/>
    <w:rsid w:val="006B38A1"/>
    <w:rsid w:val="006C01F4"/>
    <w:rsid w:val="006C0243"/>
    <w:rsid w:val="006C1A8E"/>
    <w:rsid w:val="006C2B9B"/>
    <w:rsid w:val="006C62E9"/>
    <w:rsid w:val="006D06E1"/>
    <w:rsid w:val="006D17C5"/>
    <w:rsid w:val="006D1E09"/>
    <w:rsid w:val="006D228C"/>
    <w:rsid w:val="006D4824"/>
    <w:rsid w:val="006D5250"/>
    <w:rsid w:val="006D5492"/>
    <w:rsid w:val="006D5922"/>
    <w:rsid w:val="006D7849"/>
    <w:rsid w:val="006F00D2"/>
    <w:rsid w:val="006F5FC5"/>
    <w:rsid w:val="00702094"/>
    <w:rsid w:val="007068E0"/>
    <w:rsid w:val="00707CC3"/>
    <w:rsid w:val="00712540"/>
    <w:rsid w:val="0072010E"/>
    <w:rsid w:val="00721975"/>
    <w:rsid w:val="0073157D"/>
    <w:rsid w:val="0073164E"/>
    <w:rsid w:val="00741EC7"/>
    <w:rsid w:val="00763364"/>
    <w:rsid w:val="0076719C"/>
    <w:rsid w:val="00767667"/>
    <w:rsid w:val="007718AE"/>
    <w:rsid w:val="00781819"/>
    <w:rsid w:val="00783F17"/>
    <w:rsid w:val="00784F50"/>
    <w:rsid w:val="00791AAF"/>
    <w:rsid w:val="00792D92"/>
    <w:rsid w:val="0079687B"/>
    <w:rsid w:val="007A3EBF"/>
    <w:rsid w:val="007B04D5"/>
    <w:rsid w:val="007C0019"/>
    <w:rsid w:val="007C3122"/>
    <w:rsid w:val="007C7DC2"/>
    <w:rsid w:val="007D0A93"/>
    <w:rsid w:val="007D25F7"/>
    <w:rsid w:val="007D4690"/>
    <w:rsid w:val="007D5F62"/>
    <w:rsid w:val="007D65B9"/>
    <w:rsid w:val="007E6E8A"/>
    <w:rsid w:val="007F305A"/>
    <w:rsid w:val="007F31CE"/>
    <w:rsid w:val="00802439"/>
    <w:rsid w:val="0080643E"/>
    <w:rsid w:val="00810434"/>
    <w:rsid w:val="008113A3"/>
    <w:rsid w:val="0081282E"/>
    <w:rsid w:val="00822EBF"/>
    <w:rsid w:val="00823BBD"/>
    <w:rsid w:val="00826E9C"/>
    <w:rsid w:val="0082721C"/>
    <w:rsid w:val="0082759E"/>
    <w:rsid w:val="008341A5"/>
    <w:rsid w:val="00837040"/>
    <w:rsid w:val="0084462F"/>
    <w:rsid w:val="00844E51"/>
    <w:rsid w:val="0085043F"/>
    <w:rsid w:val="0086052E"/>
    <w:rsid w:val="00861749"/>
    <w:rsid w:val="00862673"/>
    <w:rsid w:val="00864535"/>
    <w:rsid w:val="008667CE"/>
    <w:rsid w:val="00867ABC"/>
    <w:rsid w:val="00881BC4"/>
    <w:rsid w:val="00884A78"/>
    <w:rsid w:val="00887DDF"/>
    <w:rsid w:val="00893E59"/>
    <w:rsid w:val="0089566E"/>
    <w:rsid w:val="008967FD"/>
    <w:rsid w:val="00897B07"/>
    <w:rsid w:val="008A2199"/>
    <w:rsid w:val="008A2582"/>
    <w:rsid w:val="008A47B3"/>
    <w:rsid w:val="008A58A8"/>
    <w:rsid w:val="008A67FD"/>
    <w:rsid w:val="008A716E"/>
    <w:rsid w:val="008C0773"/>
    <w:rsid w:val="008C12F9"/>
    <w:rsid w:val="008C3CD4"/>
    <w:rsid w:val="008C464A"/>
    <w:rsid w:val="008D3C27"/>
    <w:rsid w:val="008E0223"/>
    <w:rsid w:val="008E02C4"/>
    <w:rsid w:val="008E7BB5"/>
    <w:rsid w:val="008F121C"/>
    <w:rsid w:val="008F3D29"/>
    <w:rsid w:val="008F5CD7"/>
    <w:rsid w:val="008F6DF2"/>
    <w:rsid w:val="008F7455"/>
    <w:rsid w:val="00900C23"/>
    <w:rsid w:val="00906331"/>
    <w:rsid w:val="00910B5A"/>
    <w:rsid w:val="00912469"/>
    <w:rsid w:val="00914271"/>
    <w:rsid w:val="00915E20"/>
    <w:rsid w:val="00917539"/>
    <w:rsid w:val="00927FC7"/>
    <w:rsid w:val="00931CFC"/>
    <w:rsid w:val="00940100"/>
    <w:rsid w:val="00941172"/>
    <w:rsid w:val="00941CF5"/>
    <w:rsid w:val="009478D3"/>
    <w:rsid w:val="0094793E"/>
    <w:rsid w:val="0095797B"/>
    <w:rsid w:val="0096723E"/>
    <w:rsid w:val="00970F49"/>
    <w:rsid w:val="0097273A"/>
    <w:rsid w:val="00974F43"/>
    <w:rsid w:val="00981EC1"/>
    <w:rsid w:val="00984B17"/>
    <w:rsid w:val="00986BF3"/>
    <w:rsid w:val="00994EB1"/>
    <w:rsid w:val="009A2DEA"/>
    <w:rsid w:val="009A31D5"/>
    <w:rsid w:val="009A35D8"/>
    <w:rsid w:val="009B33FC"/>
    <w:rsid w:val="009B4500"/>
    <w:rsid w:val="009C10A7"/>
    <w:rsid w:val="009C1F39"/>
    <w:rsid w:val="009C3166"/>
    <w:rsid w:val="009C66D5"/>
    <w:rsid w:val="009C67CF"/>
    <w:rsid w:val="009C7053"/>
    <w:rsid w:val="009C76A9"/>
    <w:rsid w:val="009D07CD"/>
    <w:rsid w:val="009D3171"/>
    <w:rsid w:val="009D6A4B"/>
    <w:rsid w:val="009E1BC8"/>
    <w:rsid w:val="009E2ABD"/>
    <w:rsid w:val="009E4AA6"/>
    <w:rsid w:val="009F2EB9"/>
    <w:rsid w:val="00A00DE3"/>
    <w:rsid w:val="00A0315C"/>
    <w:rsid w:val="00A03603"/>
    <w:rsid w:val="00A04D98"/>
    <w:rsid w:val="00A057F9"/>
    <w:rsid w:val="00A12D44"/>
    <w:rsid w:val="00A12E9A"/>
    <w:rsid w:val="00A15425"/>
    <w:rsid w:val="00A24287"/>
    <w:rsid w:val="00A30F44"/>
    <w:rsid w:val="00A35D39"/>
    <w:rsid w:val="00A35F31"/>
    <w:rsid w:val="00A37487"/>
    <w:rsid w:val="00A40EF3"/>
    <w:rsid w:val="00A45563"/>
    <w:rsid w:val="00A45606"/>
    <w:rsid w:val="00A47F0B"/>
    <w:rsid w:val="00A50A39"/>
    <w:rsid w:val="00A53C7C"/>
    <w:rsid w:val="00A53D5B"/>
    <w:rsid w:val="00A57A81"/>
    <w:rsid w:val="00A6716E"/>
    <w:rsid w:val="00A7293F"/>
    <w:rsid w:val="00A7295E"/>
    <w:rsid w:val="00A72C7E"/>
    <w:rsid w:val="00A73F2C"/>
    <w:rsid w:val="00A76476"/>
    <w:rsid w:val="00A76CDA"/>
    <w:rsid w:val="00A77465"/>
    <w:rsid w:val="00A81A98"/>
    <w:rsid w:val="00A82907"/>
    <w:rsid w:val="00A87C23"/>
    <w:rsid w:val="00A905BF"/>
    <w:rsid w:val="00A9195D"/>
    <w:rsid w:val="00A93C7B"/>
    <w:rsid w:val="00AA0C35"/>
    <w:rsid w:val="00AA0D1D"/>
    <w:rsid w:val="00AA0DAB"/>
    <w:rsid w:val="00AA157D"/>
    <w:rsid w:val="00AA7E36"/>
    <w:rsid w:val="00AB6726"/>
    <w:rsid w:val="00AC1DB0"/>
    <w:rsid w:val="00AC3EAA"/>
    <w:rsid w:val="00AC4346"/>
    <w:rsid w:val="00AC7428"/>
    <w:rsid w:val="00AD10B3"/>
    <w:rsid w:val="00AD224A"/>
    <w:rsid w:val="00AD3670"/>
    <w:rsid w:val="00AD7619"/>
    <w:rsid w:val="00AE7106"/>
    <w:rsid w:val="00AF05BD"/>
    <w:rsid w:val="00AF072A"/>
    <w:rsid w:val="00AF631A"/>
    <w:rsid w:val="00B02528"/>
    <w:rsid w:val="00B034CF"/>
    <w:rsid w:val="00B12994"/>
    <w:rsid w:val="00B13BC6"/>
    <w:rsid w:val="00B146C0"/>
    <w:rsid w:val="00B14890"/>
    <w:rsid w:val="00B159EF"/>
    <w:rsid w:val="00B165CE"/>
    <w:rsid w:val="00B17632"/>
    <w:rsid w:val="00B2180E"/>
    <w:rsid w:val="00B27AC9"/>
    <w:rsid w:val="00B32943"/>
    <w:rsid w:val="00B335E5"/>
    <w:rsid w:val="00B40BB4"/>
    <w:rsid w:val="00B41777"/>
    <w:rsid w:val="00B46D79"/>
    <w:rsid w:val="00B56200"/>
    <w:rsid w:val="00B56B7D"/>
    <w:rsid w:val="00B60907"/>
    <w:rsid w:val="00B60AD4"/>
    <w:rsid w:val="00B67456"/>
    <w:rsid w:val="00B67BF0"/>
    <w:rsid w:val="00B74137"/>
    <w:rsid w:val="00B74589"/>
    <w:rsid w:val="00B75549"/>
    <w:rsid w:val="00B808CC"/>
    <w:rsid w:val="00B81112"/>
    <w:rsid w:val="00B869AA"/>
    <w:rsid w:val="00B871E3"/>
    <w:rsid w:val="00B87B44"/>
    <w:rsid w:val="00B87DD1"/>
    <w:rsid w:val="00B93617"/>
    <w:rsid w:val="00B96978"/>
    <w:rsid w:val="00B974C4"/>
    <w:rsid w:val="00BA046F"/>
    <w:rsid w:val="00BA07E5"/>
    <w:rsid w:val="00BA140A"/>
    <w:rsid w:val="00BA4480"/>
    <w:rsid w:val="00BA7A53"/>
    <w:rsid w:val="00BB41BE"/>
    <w:rsid w:val="00BB5C68"/>
    <w:rsid w:val="00BB7602"/>
    <w:rsid w:val="00BC2E40"/>
    <w:rsid w:val="00BC5986"/>
    <w:rsid w:val="00BC5C4F"/>
    <w:rsid w:val="00BC5C6E"/>
    <w:rsid w:val="00BC6567"/>
    <w:rsid w:val="00BC7BDC"/>
    <w:rsid w:val="00BD3D04"/>
    <w:rsid w:val="00BE19F8"/>
    <w:rsid w:val="00BE2402"/>
    <w:rsid w:val="00BF0566"/>
    <w:rsid w:val="00BF1FFB"/>
    <w:rsid w:val="00BF2405"/>
    <w:rsid w:val="00BF317B"/>
    <w:rsid w:val="00BF3CDC"/>
    <w:rsid w:val="00BF3E1F"/>
    <w:rsid w:val="00BF588C"/>
    <w:rsid w:val="00BF6252"/>
    <w:rsid w:val="00BF7938"/>
    <w:rsid w:val="00C06ADE"/>
    <w:rsid w:val="00C079F2"/>
    <w:rsid w:val="00C13448"/>
    <w:rsid w:val="00C223D4"/>
    <w:rsid w:val="00C22A12"/>
    <w:rsid w:val="00C33075"/>
    <w:rsid w:val="00C36472"/>
    <w:rsid w:val="00C37F7A"/>
    <w:rsid w:val="00C53441"/>
    <w:rsid w:val="00C5662F"/>
    <w:rsid w:val="00C56EA6"/>
    <w:rsid w:val="00C7055F"/>
    <w:rsid w:val="00C7092C"/>
    <w:rsid w:val="00C72F8C"/>
    <w:rsid w:val="00C74756"/>
    <w:rsid w:val="00C85017"/>
    <w:rsid w:val="00C86470"/>
    <w:rsid w:val="00C86581"/>
    <w:rsid w:val="00C87622"/>
    <w:rsid w:val="00C90995"/>
    <w:rsid w:val="00C97766"/>
    <w:rsid w:val="00CA2CCF"/>
    <w:rsid w:val="00CA574F"/>
    <w:rsid w:val="00CA5E67"/>
    <w:rsid w:val="00CA699F"/>
    <w:rsid w:val="00CA6FD0"/>
    <w:rsid w:val="00CB46A5"/>
    <w:rsid w:val="00CB4C00"/>
    <w:rsid w:val="00CB5FB5"/>
    <w:rsid w:val="00CC1A98"/>
    <w:rsid w:val="00CC4DB9"/>
    <w:rsid w:val="00CD090B"/>
    <w:rsid w:val="00CD4473"/>
    <w:rsid w:val="00CD6794"/>
    <w:rsid w:val="00CD6A7C"/>
    <w:rsid w:val="00CD70D1"/>
    <w:rsid w:val="00CE6617"/>
    <w:rsid w:val="00CF15B2"/>
    <w:rsid w:val="00CF4E0B"/>
    <w:rsid w:val="00D00331"/>
    <w:rsid w:val="00D13435"/>
    <w:rsid w:val="00D144E6"/>
    <w:rsid w:val="00D14D0A"/>
    <w:rsid w:val="00D21586"/>
    <w:rsid w:val="00D232DA"/>
    <w:rsid w:val="00D32B81"/>
    <w:rsid w:val="00D414AD"/>
    <w:rsid w:val="00D41F56"/>
    <w:rsid w:val="00D53369"/>
    <w:rsid w:val="00D567DE"/>
    <w:rsid w:val="00D6148B"/>
    <w:rsid w:val="00D62EEC"/>
    <w:rsid w:val="00D64349"/>
    <w:rsid w:val="00D64A6E"/>
    <w:rsid w:val="00D67265"/>
    <w:rsid w:val="00D6792F"/>
    <w:rsid w:val="00D77263"/>
    <w:rsid w:val="00D860E2"/>
    <w:rsid w:val="00D97C69"/>
    <w:rsid w:val="00DA05B4"/>
    <w:rsid w:val="00DA72AF"/>
    <w:rsid w:val="00DC211B"/>
    <w:rsid w:val="00DD0FFB"/>
    <w:rsid w:val="00DE40CC"/>
    <w:rsid w:val="00DE4186"/>
    <w:rsid w:val="00DE55F4"/>
    <w:rsid w:val="00DF04DB"/>
    <w:rsid w:val="00DF5227"/>
    <w:rsid w:val="00E0268F"/>
    <w:rsid w:val="00E04A17"/>
    <w:rsid w:val="00E04A77"/>
    <w:rsid w:val="00E131C2"/>
    <w:rsid w:val="00E14106"/>
    <w:rsid w:val="00E142AF"/>
    <w:rsid w:val="00E20F4E"/>
    <w:rsid w:val="00E2254A"/>
    <w:rsid w:val="00E278BE"/>
    <w:rsid w:val="00E3567D"/>
    <w:rsid w:val="00E40DAF"/>
    <w:rsid w:val="00E40ECA"/>
    <w:rsid w:val="00E430A6"/>
    <w:rsid w:val="00E43D2D"/>
    <w:rsid w:val="00E44B2F"/>
    <w:rsid w:val="00E46470"/>
    <w:rsid w:val="00E501F3"/>
    <w:rsid w:val="00E503BA"/>
    <w:rsid w:val="00E73DDF"/>
    <w:rsid w:val="00E75D7B"/>
    <w:rsid w:val="00EA0541"/>
    <w:rsid w:val="00EA1BE6"/>
    <w:rsid w:val="00EA325A"/>
    <w:rsid w:val="00EB5440"/>
    <w:rsid w:val="00EB6C80"/>
    <w:rsid w:val="00EC159F"/>
    <w:rsid w:val="00ED3BF6"/>
    <w:rsid w:val="00ED4683"/>
    <w:rsid w:val="00EE004B"/>
    <w:rsid w:val="00EE32EA"/>
    <w:rsid w:val="00F04B72"/>
    <w:rsid w:val="00F05466"/>
    <w:rsid w:val="00F06D33"/>
    <w:rsid w:val="00F1545F"/>
    <w:rsid w:val="00F22543"/>
    <w:rsid w:val="00F228D6"/>
    <w:rsid w:val="00F23953"/>
    <w:rsid w:val="00F24DBE"/>
    <w:rsid w:val="00F2549D"/>
    <w:rsid w:val="00F265F6"/>
    <w:rsid w:val="00F3145E"/>
    <w:rsid w:val="00F32BD1"/>
    <w:rsid w:val="00F32CFF"/>
    <w:rsid w:val="00F36A9D"/>
    <w:rsid w:val="00F452AA"/>
    <w:rsid w:val="00F5496A"/>
    <w:rsid w:val="00F56C0E"/>
    <w:rsid w:val="00F60FB1"/>
    <w:rsid w:val="00F60FF2"/>
    <w:rsid w:val="00F61AB0"/>
    <w:rsid w:val="00F70937"/>
    <w:rsid w:val="00F72B78"/>
    <w:rsid w:val="00F8380E"/>
    <w:rsid w:val="00F84481"/>
    <w:rsid w:val="00F90064"/>
    <w:rsid w:val="00F92435"/>
    <w:rsid w:val="00F95540"/>
    <w:rsid w:val="00F96288"/>
    <w:rsid w:val="00FA4681"/>
    <w:rsid w:val="00FA5FC8"/>
    <w:rsid w:val="00FA7844"/>
    <w:rsid w:val="00FB3E02"/>
    <w:rsid w:val="00FB6745"/>
    <w:rsid w:val="00FB7B9F"/>
    <w:rsid w:val="00FC5F36"/>
    <w:rsid w:val="00FD6EC3"/>
    <w:rsid w:val="00FD7FE2"/>
    <w:rsid w:val="00FE1006"/>
    <w:rsid w:val="00FE2439"/>
    <w:rsid w:val="00FE36DB"/>
    <w:rsid w:val="00FE4187"/>
    <w:rsid w:val="00FE5D44"/>
    <w:rsid w:val="00FE63D8"/>
    <w:rsid w:val="00FF047E"/>
    <w:rsid w:val="00FF246E"/>
    <w:rsid w:val="00FF60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A4F1E5"/>
  <w15:chartTrackingRefBased/>
  <w15:docId w15:val="{E4E6CD09-83D0-4CAA-9092-72E6093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49D"/>
  </w:style>
  <w:style w:type="paragraph" w:styleId="Heading1">
    <w:name w:val="heading 1"/>
    <w:basedOn w:val="Normal"/>
    <w:link w:val="Heading1Char"/>
    <w:uiPriority w:val="9"/>
    <w:qFormat/>
    <w:rsid w:val="002F046F"/>
    <w:pPr>
      <w:spacing w:before="100" w:beforeAutospacing="1" w:after="100" w:afterAutospacing="1"/>
      <w:outlineLvl w:val="0"/>
    </w:pPr>
    <w:rPr>
      <w:rFonts w:eastAsia="Times New Roman"/>
      <w:b/>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FCE"/>
    <w:pPr>
      <w:ind w:left="720"/>
      <w:contextualSpacing/>
    </w:p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783F17"/>
    <w:rPr>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783F17"/>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rsid w:val="00783F17"/>
    <w:rPr>
      <w:vertAlign w:val="superscript"/>
    </w:rPr>
  </w:style>
  <w:style w:type="paragraph" w:customStyle="1" w:styleId="TableParagraph">
    <w:name w:val="Table Paragraph"/>
    <w:basedOn w:val="Normal"/>
    <w:uiPriority w:val="1"/>
    <w:qFormat/>
    <w:rsid w:val="0089566E"/>
    <w:pPr>
      <w:widowControl w:val="0"/>
    </w:pPr>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0E6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D"/>
    <w:rPr>
      <w:rFonts w:ascii="Segoe UI" w:hAnsi="Segoe UI" w:cs="Segoe UI"/>
      <w:sz w:val="18"/>
      <w:szCs w:val="18"/>
    </w:rPr>
  </w:style>
  <w:style w:type="character" w:styleId="Hyperlink">
    <w:name w:val="Hyperlink"/>
    <w:basedOn w:val="DefaultParagraphFont"/>
    <w:uiPriority w:val="99"/>
    <w:unhideWhenUsed/>
    <w:rsid w:val="000E61DD"/>
    <w:rPr>
      <w:color w:val="0000FF"/>
      <w:u w:val="single"/>
    </w:rPr>
  </w:style>
  <w:style w:type="paragraph" w:styleId="Footer">
    <w:name w:val="footer"/>
    <w:basedOn w:val="Normal"/>
    <w:link w:val="FooterChar"/>
    <w:uiPriority w:val="99"/>
    <w:unhideWhenUsed/>
    <w:rsid w:val="000E61DD"/>
    <w:pPr>
      <w:tabs>
        <w:tab w:val="center" w:pos="4680"/>
        <w:tab w:val="right" w:pos="9360"/>
      </w:tabs>
    </w:pPr>
    <w:rPr>
      <w:rFonts w:cstheme="minorBidi"/>
      <w:bCs w:val="0"/>
      <w:color w:val="auto"/>
      <w:szCs w:val="22"/>
    </w:rPr>
  </w:style>
  <w:style w:type="character" w:customStyle="1" w:styleId="FooterChar">
    <w:name w:val="Footer Char"/>
    <w:basedOn w:val="DefaultParagraphFont"/>
    <w:link w:val="Footer"/>
    <w:uiPriority w:val="99"/>
    <w:rsid w:val="000E61DD"/>
    <w:rPr>
      <w:rFonts w:cstheme="minorBidi"/>
      <w:bCs w:val="0"/>
      <w:color w:val="auto"/>
      <w:szCs w:val="22"/>
    </w:rPr>
  </w:style>
  <w:style w:type="paragraph" w:styleId="BodyTextIndent3">
    <w:name w:val="Body Text Indent 3"/>
    <w:basedOn w:val="Normal"/>
    <w:link w:val="BodyTextIndent3Char"/>
    <w:uiPriority w:val="99"/>
    <w:unhideWhenUsed/>
    <w:rsid w:val="00E14106"/>
    <w:pPr>
      <w:spacing w:after="120" w:line="276" w:lineRule="auto"/>
      <w:ind w:left="360"/>
    </w:pPr>
    <w:rPr>
      <w:rFonts w:cstheme="minorBidi"/>
      <w:bCs w:val="0"/>
      <w:color w:val="auto"/>
      <w:sz w:val="16"/>
      <w:szCs w:val="16"/>
    </w:rPr>
  </w:style>
  <w:style w:type="character" w:customStyle="1" w:styleId="BodyTextIndent3Char">
    <w:name w:val="Body Text Indent 3 Char"/>
    <w:basedOn w:val="DefaultParagraphFont"/>
    <w:link w:val="BodyTextIndent3"/>
    <w:uiPriority w:val="99"/>
    <w:rsid w:val="00E14106"/>
    <w:rPr>
      <w:rFonts w:cstheme="minorBidi"/>
      <w:bCs w:val="0"/>
      <w:color w:val="auto"/>
      <w:sz w:val="16"/>
      <w:szCs w:val="16"/>
    </w:rPr>
  </w:style>
  <w:style w:type="paragraph" w:styleId="HTMLPreformatted">
    <w:name w:val="HTML Preformatted"/>
    <w:aliases w:val=" Char,Char"/>
    <w:basedOn w:val="Normal"/>
    <w:link w:val="HTMLPreformattedChar"/>
    <w:unhideWhenUsed/>
    <w:rsid w:val="00CD4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aliases w:val=" Char Char,Char Char"/>
    <w:basedOn w:val="DefaultParagraphFont"/>
    <w:link w:val="HTMLPreformatted"/>
    <w:rsid w:val="00CD4473"/>
    <w:rPr>
      <w:rFonts w:ascii="Courier New" w:eastAsia="Courier New" w:hAnsi="Courier New" w:cs="Courier New"/>
      <w:bCs w:val="0"/>
      <w:color w:val="auto"/>
      <w:sz w:val="20"/>
      <w:szCs w:val="20"/>
    </w:rPr>
  </w:style>
  <w:style w:type="paragraph" w:styleId="BodyText">
    <w:name w:val="Body Text"/>
    <w:basedOn w:val="Normal"/>
    <w:link w:val="BodyTextChar"/>
    <w:uiPriority w:val="99"/>
    <w:semiHidden/>
    <w:unhideWhenUsed/>
    <w:rsid w:val="0068731A"/>
    <w:pPr>
      <w:spacing w:after="120"/>
    </w:pPr>
  </w:style>
  <w:style w:type="character" w:customStyle="1" w:styleId="BodyTextChar">
    <w:name w:val="Body Text Char"/>
    <w:basedOn w:val="DefaultParagraphFont"/>
    <w:link w:val="BodyText"/>
    <w:uiPriority w:val="99"/>
    <w:semiHidden/>
    <w:rsid w:val="0068731A"/>
  </w:style>
  <w:style w:type="paragraph" w:styleId="CommentText">
    <w:name w:val="annotation text"/>
    <w:basedOn w:val="Normal"/>
    <w:link w:val="CommentTextChar"/>
    <w:rsid w:val="0068731A"/>
    <w:rPr>
      <w:rFonts w:eastAsia="Times New Roman"/>
      <w:bCs w:val="0"/>
      <w:color w:val="auto"/>
      <w:szCs w:val="24"/>
    </w:rPr>
  </w:style>
  <w:style w:type="character" w:customStyle="1" w:styleId="CommentTextChar">
    <w:name w:val="Comment Text Char"/>
    <w:basedOn w:val="DefaultParagraphFont"/>
    <w:link w:val="CommentText"/>
    <w:rsid w:val="0068731A"/>
    <w:rPr>
      <w:rFonts w:eastAsia="Times New Roman"/>
      <w:bCs w:val="0"/>
      <w:color w:val="auto"/>
      <w:szCs w:val="24"/>
    </w:rPr>
  </w:style>
  <w:style w:type="paragraph" w:styleId="Header">
    <w:name w:val="header"/>
    <w:basedOn w:val="Normal"/>
    <w:link w:val="HeaderChar"/>
    <w:uiPriority w:val="99"/>
    <w:unhideWhenUsed/>
    <w:rsid w:val="000E48BC"/>
    <w:pPr>
      <w:tabs>
        <w:tab w:val="center" w:pos="4680"/>
        <w:tab w:val="right" w:pos="9360"/>
      </w:tabs>
    </w:pPr>
  </w:style>
  <w:style w:type="character" w:customStyle="1" w:styleId="HeaderChar">
    <w:name w:val="Header Char"/>
    <w:basedOn w:val="DefaultParagraphFont"/>
    <w:link w:val="Header"/>
    <w:uiPriority w:val="99"/>
    <w:rsid w:val="000E48BC"/>
  </w:style>
  <w:style w:type="paragraph" w:styleId="NormalWeb">
    <w:name w:val="Normal (Web)"/>
    <w:basedOn w:val="Normal"/>
    <w:uiPriority w:val="99"/>
    <w:semiHidden/>
    <w:unhideWhenUsed/>
    <w:rsid w:val="00941172"/>
    <w:pPr>
      <w:spacing w:before="100" w:beforeAutospacing="1" w:after="100" w:afterAutospacing="1"/>
    </w:pPr>
    <w:rPr>
      <w:rFonts w:eastAsia="Times New Roman"/>
      <w:bCs w:val="0"/>
      <w:color w:val="auto"/>
      <w:szCs w:val="24"/>
    </w:rPr>
  </w:style>
  <w:style w:type="character" w:customStyle="1" w:styleId="reference-text">
    <w:name w:val="reference-text"/>
    <w:basedOn w:val="DefaultParagraphFont"/>
    <w:rsid w:val="009A35D8"/>
  </w:style>
  <w:style w:type="character" w:styleId="HTMLCite">
    <w:name w:val="HTML Cite"/>
    <w:basedOn w:val="DefaultParagraphFont"/>
    <w:uiPriority w:val="99"/>
    <w:semiHidden/>
    <w:unhideWhenUsed/>
    <w:rsid w:val="009A35D8"/>
    <w:rPr>
      <w:i/>
      <w:iCs/>
    </w:rPr>
  </w:style>
  <w:style w:type="character" w:styleId="CommentReference">
    <w:name w:val="annotation reference"/>
    <w:uiPriority w:val="99"/>
    <w:semiHidden/>
    <w:rsid w:val="00837040"/>
    <w:rPr>
      <w:sz w:val="16"/>
      <w:szCs w:val="16"/>
    </w:rPr>
  </w:style>
  <w:style w:type="character" w:customStyle="1" w:styleId="UnresolvedMention1">
    <w:name w:val="Unresolved Mention1"/>
    <w:basedOn w:val="DefaultParagraphFont"/>
    <w:uiPriority w:val="99"/>
    <w:semiHidden/>
    <w:unhideWhenUsed/>
    <w:rsid w:val="00A00D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7A81"/>
    <w:rPr>
      <w:rFonts w:eastAsiaTheme="minorHAnsi"/>
      <w:b/>
      <w:bCs/>
      <w:color w:val="000000"/>
      <w:sz w:val="20"/>
      <w:szCs w:val="20"/>
    </w:rPr>
  </w:style>
  <w:style w:type="character" w:customStyle="1" w:styleId="CommentSubjectChar">
    <w:name w:val="Comment Subject Char"/>
    <w:basedOn w:val="CommentTextChar"/>
    <w:link w:val="CommentSubject"/>
    <w:uiPriority w:val="99"/>
    <w:semiHidden/>
    <w:rsid w:val="00A57A81"/>
    <w:rPr>
      <w:rFonts w:eastAsia="Times New Roman"/>
      <w:b/>
      <w:bCs/>
      <w:color w:val="auto"/>
      <w:sz w:val="20"/>
      <w:szCs w:val="20"/>
    </w:rPr>
  </w:style>
  <w:style w:type="paragraph" w:styleId="Revision">
    <w:name w:val="Revision"/>
    <w:hidden/>
    <w:uiPriority w:val="99"/>
    <w:semiHidden/>
    <w:rsid w:val="008967FD"/>
  </w:style>
  <w:style w:type="character" w:customStyle="1" w:styleId="hgkelc">
    <w:name w:val="hgkelc"/>
    <w:basedOn w:val="DefaultParagraphFont"/>
    <w:rsid w:val="006C01F4"/>
  </w:style>
  <w:style w:type="character" w:customStyle="1" w:styleId="Heading1Char">
    <w:name w:val="Heading 1 Char"/>
    <w:basedOn w:val="DefaultParagraphFont"/>
    <w:link w:val="Heading1"/>
    <w:uiPriority w:val="9"/>
    <w:rsid w:val="002F046F"/>
    <w:rPr>
      <w:rFonts w:eastAsia="Times New Roman"/>
      <w:b/>
      <w:color w:val="auto"/>
      <w:kern w:val="36"/>
      <w:sz w:val="48"/>
      <w:szCs w:val="48"/>
    </w:rPr>
  </w:style>
  <w:style w:type="character" w:styleId="Emphasis">
    <w:name w:val="Emphasis"/>
    <w:basedOn w:val="DefaultParagraphFont"/>
    <w:uiPriority w:val="20"/>
    <w:qFormat/>
    <w:rsid w:val="0036671C"/>
    <w:rPr>
      <w:i/>
      <w:iCs/>
    </w:rPr>
  </w:style>
  <w:style w:type="paragraph" w:customStyle="1" w:styleId="note">
    <w:name w:val="note"/>
    <w:basedOn w:val="Normal"/>
    <w:rsid w:val="00702094"/>
    <w:pPr>
      <w:spacing w:before="100" w:beforeAutospacing="1" w:after="100" w:afterAutospacing="1"/>
    </w:pPr>
    <w:rPr>
      <w:rFonts w:eastAsia="Times New Roman"/>
      <w:bCs w:val="0"/>
      <w:color w:val="auto"/>
      <w:szCs w:val="24"/>
    </w:rPr>
  </w:style>
  <w:style w:type="paragraph" w:customStyle="1" w:styleId="item">
    <w:name w:val="item"/>
    <w:basedOn w:val="Normal"/>
    <w:rsid w:val="00702094"/>
    <w:pPr>
      <w:spacing w:before="100" w:beforeAutospacing="1" w:after="100" w:afterAutospacing="1"/>
    </w:pPr>
    <w:rPr>
      <w:rFonts w:eastAsia="Times New Roman"/>
      <w:bCs w:val="0"/>
      <w:color w:val="auto"/>
      <w:szCs w:val="24"/>
    </w:rPr>
  </w:style>
  <w:style w:type="character" w:customStyle="1" w:styleId="markedcontent">
    <w:name w:val="markedcontent"/>
    <w:basedOn w:val="DefaultParagraphFont"/>
    <w:rsid w:val="003165CC"/>
  </w:style>
  <w:style w:type="character" w:styleId="Strong">
    <w:name w:val="Strong"/>
    <w:basedOn w:val="DefaultParagraphFont"/>
    <w:uiPriority w:val="22"/>
    <w:qFormat/>
    <w:rsid w:val="005D0D53"/>
    <w:rPr>
      <w:b/>
      <w:bCs w:val="0"/>
    </w:rPr>
  </w:style>
  <w:style w:type="character" w:customStyle="1" w:styleId="cf01">
    <w:name w:val="cf01"/>
    <w:basedOn w:val="DefaultParagraphFont"/>
    <w:rsid w:val="00C5662F"/>
    <w:rPr>
      <w:rFonts w:ascii="Segoe UI" w:hAnsi="Segoe UI" w:cs="Segoe UI" w:hint="default"/>
      <w:sz w:val="18"/>
      <w:szCs w:val="18"/>
    </w:rPr>
  </w:style>
  <w:style w:type="paragraph" w:customStyle="1" w:styleId="xmsolistparagraph">
    <w:name w:val="x_msolistparagraph"/>
    <w:basedOn w:val="Normal"/>
    <w:rsid w:val="00C5662F"/>
    <w:pPr>
      <w:spacing w:before="100" w:beforeAutospacing="1" w:after="100" w:afterAutospacing="1"/>
    </w:pPr>
    <w:rPr>
      <w:bCs w:val="0"/>
      <w:color w:val="auto"/>
      <w:szCs w:val="24"/>
    </w:rPr>
  </w:style>
  <w:style w:type="character" w:styleId="FollowedHyperlink">
    <w:name w:val="FollowedHyperlink"/>
    <w:basedOn w:val="DefaultParagraphFont"/>
    <w:uiPriority w:val="99"/>
    <w:semiHidden/>
    <w:unhideWhenUsed/>
    <w:rsid w:val="00931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yperlink" Target="mailto:john.jones@ohioAGO.gov" TargetMode="External" /><Relationship Id="rId12" Type="http://schemas.openxmlformats.org/officeDocument/2006/relationships/hyperlink" Target="mailto:josephclark@nisource.com" TargetMode="External" /><Relationship Id="rId13" Type="http://schemas.openxmlformats.org/officeDocument/2006/relationships/hyperlink" Target="mailto:johnryan@nisource.com" TargetMode="External" /><Relationship Id="rId14" Type="http://schemas.openxmlformats.org/officeDocument/2006/relationships/hyperlink" Target="mailto:christopher.hollon@aes.com" TargetMode="External" /><Relationship Id="rId15" Type="http://schemas.openxmlformats.org/officeDocument/2006/relationships/hyperlink" Target="mailto:james.lynn@puco.ohio.gov" TargetMode="External" /><Relationship Id="rId16" Type="http://schemas.openxmlformats.org/officeDocument/2006/relationships/hyperlink" Target="mailto:rdove@keglerbrown.com" TargetMode="External" /><Relationship Id="rId17" Type="http://schemas.openxmlformats.org/officeDocument/2006/relationships/hyperlink" Target="mailto:kennedy@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mjschuler@aep.com" TargetMode="External" /><Relationship Id="rId2" Type="http://schemas.openxmlformats.org/officeDocument/2006/relationships/settings" Target="settings.xml" /><Relationship Id="rId20" Type="http://schemas.openxmlformats.org/officeDocument/2006/relationships/hyperlink" Target="mailto:rocco.dascenzo@duke-energy.com" TargetMode="External" /><Relationship Id="rId21" Type="http://schemas.openxmlformats.org/officeDocument/2006/relationships/hyperlink" Target="mailto:larisa.vaysman@duke-energy.com"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dmanor@ablelaw.org" TargetMode="External" /><Relationship Id="rId9" Type="http://schemas.openxmlformats.org/officeDocument/2006/relationships/hyperlink" Target="mailto:smoes@lascinti.org"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aepohio.com/company/about/rates/rising-fuel-co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4E92-0AA0-44E0-B4F0-9396E86B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2023-06-27T20:20:05Z</dcterms:created>
  <dcterms:modified xsi:type="dcterms:W3CDTF">2023-06-27T20:20:05Z</dcterms:modified>
</cp:coreProperties>
</file>