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B6A31" w:rsidRPr="005365F6" w:rsidP="000B6A31" w14:paraId="0EF087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5365F6">
        <w:rPr>
          <w:rFonts w:ascii="Times New Roman" w:eastAsia="Calibri" w:hAnsi="Times New Roman" w:cs="Times New Roman"/>
          <w:b/>
          <w:bCs/>
          <w:sz w:val="24"/>
          <w:szCs w:val="24"/>
        </w:rPr>
        <w:t>BEFORE</w:t>
      </w:r>
    </w:p>
    <w:p w:rsidR="000B6A31" w:rsidRPr="005365F6" w:rsidP="000B6A31" w14:paraId="3C9087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365F6">
        <w:rPr>
          <w:rFonts w:ascii="Times New Roman" w:eastAsia="Calibri" w:hAnsi="Times New Roman" w:cs="Times New Roman"/>
          <w:b/>
          <w:bCs/>
          <w:sz w:val="24"/>
          <w:szCs w:val="24"/>
        </w:rPr>
        <w:t>THE PUBLIC UTILITIES COMMISSION OF OHIO</w:t>
      </w:r>
    </w:p>
    <w:p w:rsidR="000B6A31" w:rsidRPr="005365F6" w:rsidP="000B6A31" w14:paraId="0FBB77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Look w:val="01E0"/>
      </w:tblPr>
      <w:tblGrid>
        <w:gridCol w:w="4332"/>
        <w:gridCol w:w="360"/>
        <w:gridCol w:w="4400"/>
      </w:tblGrid>
      <w:tr w14:paraId="56E93D27" w14:textId="77777777" w:rsidTr="000B6A31">
        <w:tblPrEx>
          <w:tblW w:w="9092" w:type="dxa"/>
          <w:tblInd w:w="-106" w:type="dxa"/>
          <w:tblLook w:val="01E0"/>
        </w:tblPrEx>
        <w:trPr>
          <w:trHeight w:val="807"/>
        </w:trPr>
        <w:tc>
          <w:tcPr>
            <w:tcW w:w="4332" w:type="dxa"/>
          </w:tcPr>
          <w:p w:rsidR="00AC534A" w:rsidRPr="00AC534A" w:rsidP="00AC534A" w14:paraId="5E2F57B8" w14:textId="77777777">
            <w:pPr>
              <w:autoSpaceDE w:val="0"/>
              <w:autoSpaceDN w:val="0"/>
              <w:adjustRightInd w:val="0"/>
              <w:spacing w:after="0"/>
              <w:rPr>
                <w:rFonts w:ascii="Times New Roman" w:eastAsia="Calibri" w:hAnsi="Times New Roman" w:cs="Times New Roman"/>
                <w:sz w:val="24"/>
                <w:szCs w:val="24"/>
              </w:rPr>
            </w:pPr>
            <w:r w:rsidRPr="00AC534A">
              <w:rPr>
                <w:rFonts w:ascii="Times New Roman" w:eastAsia="Calibri" w:hAnsi="Times New Roman" w:cs="Times New Roman"/>
                <w:sz w:val="24"/>
                <w:szCs w:val="24"/>
              </w:rPr>
              <w:t xml:space="preserve">In the Matter of the Application of Ohio </w:t>
            </w:r>
          </w:p>
          <w:p w:rsidR="00AC534A" w:rsidRPr="00AC534A" w:rsidP="00AC534A" w14:paraId="594524FA" w14:textId="77777777">
            <w:pPr>
              <w:autoSpaceDE w:val="0"/>
              <w:autoSpaceDN w:val="0"/>
              <w:adjustRightInd w:val="0"/>
              <w:spacing w:after="0"/>
              <w:rPr>
                <w:rFonts w:ascii="Times New Roman" w:eastAsia="Calibri" w:hAnsi="Times New Roman" w:cs="Times New Roman"/>
                <w:sz w:val="24"/>
                <w:szCs w:val="24"/>
              </w:rPr>
            </w:pPr>
            <w:r w:rsidRPr="00AC534A">
              <w:rPr>
                <w:rFonts w:ascii="Times New Roman" w:eastAsia="Calibri" w:hAnsi="Times New Roman" w:cs="Times New Roman"/>
                <w:sz w:val="24"/>
                <w:szCs w:val="24"/>
              </w:rPr>
              <w:t xml:space="preserve">Power Company for Administration of the </w:t>
            </w:r>
          </w:p>
          <w:p w:rsidR="000B6A31" w:rsidRPr="005365F6" w:rsidP="00AC534A" w14:paraId="25EEB741" w14:textId="4CA883AE">
            <w:pPr>
              <w:autoSpaceDE w:val="0"/>
              <w:autoSpaceDN w:val="0"/>
              <w:adjustRightInd w:val="0"/>
              <w:spacing w:after="0"/>
              <w:rPr>
                <w:rFonts w:ascii="Times New Roman" w:eastAsia="Calibri" w:hAnsi="Times New Roman" w:cs="Times New Roman"/>
                <w:sz w:val="24"/>
                <w:szCs w:val="24"/>
              </w:rPr>
            </w:pPr>
            <w:r w:rsidRPr="00AC534A">
              <w:rPr>
                <w:rFonts w:ascii="Times New Roman" w:eastAsia="Calibri" w:hAnsi="Times New Roman" w:cs="Times New Roman"/>
                <w:sz w:val="24"/>
                <w:szCs w:val="24"/>
              </w:rPr>
              <w:t>Significantly Excessive Earnings Test for 2018 Under Section 4928.143(F), Revised Code, and Rule 4901:1-35-10, Ohio Administrative Code.</w:t>
            </w:r>
          </w:p>
        </w:tc>
        <w:tc>
          <w:tcPr>
            <w:tcW w:w="360" w:type="dxa"/>
            <w:hideMark/>
          </w:tcPr>
          <w:p w:rsidR="000B6A31" w:rsidRPr="005365F6" w:rsidP="000B6A31" w14:paraId="51F907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59A7D0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15F41D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51241A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711FE6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6FD197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tc>
        <w:tc>
          <w:tcPr>
            <w:tcW w:w="4400" w:type="dxa"/>
          </w:tcPr>
          <w:p w:rsidR="000B6A31" w:rsidRPr="005365F6" w:rsidP="000B6A31" w14:paraId="56BBFF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0B6A31" w:rsidRPr="005365F6" w:rsidP="000B6A31" w14:paraId="0544F7D1" w14:textId="77777777">
            <w:pPr>
              <w:autoSpaceDE w:val="0"/>
              <w:autoSpaceDN w:val="0"/>
              <w:adjustRightInd w:val="0"/>
              <w:spacing w:after="0"/>
              <w:rPr>
                <w:rFonts w:ascii="Times New Roman" w:eastAsia="Calibri" w:hAnsi="Times New Roman" w:cs="Times New Roman"/>
                <w:sz w:val="24"/>
                <w:szCs w:val="24"/>
              </w:rPr>
            </w:pPr>
          </w:p>
          <w:p w:rsidR="000B6A31" w:rsidRPr="005365F6" w:rsidP="000B6A31" w14:paraId="41E3B024" w14:textId="4B89F7CF">
            <w:pPr>
              <w:autoSpaceDE w:val="0"/>
              <w:autoSpaceDN w:val="0"/>
              <w:adjustRightInd w:val="0"/>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Case No. 1</w:t>
            </w:r>
            <w:r w:rsidR="00AC534A">
              <w:rPr>
                <w:rFonts w:ascii="Times New Roman" w:eastAsia="Calibri" w:hAnsi="Times New Roman" w:cs="Times New Roman"/>
                <w:sz w:val="24"/>
                <w:szCs w:val="24"/>
              </w:rPr>
              <w:t>9</w:t>
            </w:r>
            <w:r w:rsidRPr="005365F6">
              <w:rPr>
                <w:rFonts w:ascii="Times New Roman" w:eastAsia="Calibri" w:hAnsi="Times New Roman" w:cs="Times New Roman"/>
                <w:sz w:val="24"/>
                <w:szCs w:val="24"/>
              </w:rPr>
              <w:t>-1</w:t>
            </w:r>
            <w:r w:rsidR="00AC534A">
              <w:rPr>
                <w:rFonts w:ascii="Times New Roman" w:eastAsia="Calibri" w:hAnsi="Times New Roman" w:cs="Times New Roman"/>
                <w:sz w:val="24"/>
                <w:szCs w:val="24"/>
              </w:rPr>
              <w:t>098</w:t>
            </w:r>
            <w:r w:rsidRPr="005365F6">
              <w:rPr>
                <w:rFonts w:ascii="Times New Roman" w:eastAsia="Calibri" w:hAnsi="Times New Roman" w:cs="Times New Roman"/>
                <w:sz w:val="24"/>
                <w:szCs w:val="24"/>
              </w:rPr>
              <w:t>-EL-UNC</w:t>
            </w:r>
          </w:p>
        </w:tc>
      </w:tr>
    </w:tbl>
    <w:p w:rsidR="000B6A31" w:rsidRPr="005365F6" w:rsidP="000B6A31" w14:paraId="4CDBE678"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0B6A31" w:rsidRPr="005365F6" w:rsidP="000B6A31" w14:paraId="2B25799D" w14:textId="77777777">
      <w:pPr>
        <w:autoSpaceDE w:val="0"/>
        <w:autoSpaceDN w:val="0"/>
        <w:adjustRightInd w:val="0"/>
        <w:spacing w:after="0" w:line="240" w:lineRule="auto"/>
        <w:rPr>
          <w:rFonts w:ascii="Times New Roman" w:eastAsia="Calibri" w:hAnsi="Times New Roman" w:cs="Times New Roman"/>
          <w:sz w:val="20"/>
          <w:szCs w:val="24"/>
        </w:rPr>
      </w:pPr>
    </w:p>
    <w:p w:rsidR="000B6A31" w:rsidRPr="005365F6" w:rsidP="000B6A31" w14:paraId="57B744B7"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INITIAL BRIEF</w:t>
      </w:r>
    </w:p>
    <w:p w:rsidR="000B6A31" w:rsidRPr="005365F6" w:rsidP="000B6A31" w14:paraId="2CD401AA"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BY</w:t>
      </w:r>
    </w:p>
    <w:p w:rsidR="000B6A31" w:rsidRPr="005365F6" w:rsidP="000B6A31" w14:paraId="5C50A0C9"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OFFICE OF THE OHIO CONSUMERS’ COUNSEL</w:t>
      </w:r>
    </w:p>
    <w:p w:rsidR="000B6A31" w:rsidRPr="005365F6" w:rsidP="000B6A31" w14:paraId="1C352A8B"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0B6A31" w:rsidRPr="005365F6" w:rsidP="000B6A31" w14:paraId="3EADE313" w14:textId="77777777">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B6A31" w:rsidP="000B6A31" w14:paraId="2FED1BCE"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365087C0"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4A74A964"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78933698"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42A25A2F"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696A8561"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2A290230"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0245AEBA"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0B6A31" w:rsidP="000B6A31" w14:paraId="0B705B89" w14:textId="7777777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AC534A" w:rsidRPr="00AC534A" w:rsidP="00AC534A" w14:paraId="4057972D" w14:textId="77777777">
      <w:pPr>
        <w:tabs>
          <w:tab w:val="left" w:pos="4320"/>
          <w:tab w:val="right" w:pos="8640"/>
        </w:tabs>
        <w:spacing w:before="240"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t>Bruce Weston (0016973)</w:t>
      </w:r>
    </w:p>
    <w:p w:rsidR="00AC534A" w:rsidRPr="00AC534A" w:rsidP="00AC534A" w14:paraId="7B4F75CE" w14:textId="77777777">
      <w:pPr>
        <w:tabs>
          <w:tab w:val="left" w:pos="4320"/>
        </w:tabs>
        <w:spacing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t>Ohio Consumers’ Counsel</w:t>
      </w:r>
    </w:p>
    <w:p w:rsidR="00AC534A" w:rsidRPr="00AC534A" w:rsidP="00AC534A" w14:paraId="32676596" w14:textId="77777777">
      <w:pPr>
        <w:tabs>
          <w:tab w:val="left" w:pos="4320"/>
        </w:tabs>
        <w:spacing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r>
    </w:p>
    <w:p w:rsidR="00AC534A" w:rsidRPr="00AC534A" w:rsidP="00AC534A" w14:paraId="74B9D281" w14:textId="52FD6A1E">
      <w:pPr>
        <w:tabs>
          <w:tab w:val="left" w:pos="4320"/>
        </w:tabs>
        <w:spacing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t>William Michael (0070921)</w:t>
      </w:r>
    </w:p>
    <w:p w:rsidR="00AC534A" w:rsidRPr="00AC534A" w:rsidP="00AC534A" w14:paraId="17CD84B2" w14:textId="77777777">
      <w:pPr>
        <w:tabs>
          <w:tab w:val="left" w:pos="4320"/>
        </w:tabs>
        <w:spacing w:after="0" w:line="240" w:lineRule="auto"/>
        <w:ind w:firstLine="4320"/>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Counsel of Record</w:t>
      </w:r>
    </w:p>
    <w:p w:rsidR="00AC534A" w:rsidRPr="00AC534A" w:rsidP="00AC534A" w14:paraId="42684E72" w14:textId="77777777">
      <w:pPr>
        <w:tabs>
          <w:tab w:val="left" w:pos="4320"/>
        </w:tabs>
        <w:spacing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t>Ambrosia E. Logsdon (0096598)</w:t>
      </w:r>
    </w:p>
    <w:p w:rsidR="00AC534A" w:rsidRPr="00AC534A" w:rsidP="00AC534A" w14:paraId="36964494" w14:textId="77777777">
      <w:pPr>
        <w:tabs>
          <w:tab w:val="left" w:pos="4320"/>
        </w:tabs>
        <w:spacing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t>Assistant Consumers’ Counsel</w:t>
      </w:r>
    </w:p>
    <w:p w:rsidR="00AC534A" w:rsidRPr="00AC534A" w:rsidP="00AC534A" w14:paraId="3DD1C173" w14:textId="77777777">
      <w:pPr>
        <w:keepNext/>
        <w:spacing w:after="0" w:line="240" w:lineRule="auto"/>
        <w:ind w:left="3960" w:right="-648"/>
        <w:outlineLvl w:val="0"/>
        <w:rPr>
          <w:rFonts w:ascii="Times New Roman" w:eastAsia="Times New Roman" w:hAnsi="Times New Roman" w:cs="Times New Roman"/>
          <w:b/>
          <w:sz w:val="24"/>
          <w:szCs w:val="24"/>
        </w:rPr>
      </w:pPr>
      <w:r w:rsidRPr="00AC534A">
        <w:rPr>
          <w:rFonts w:ascii="Times New Roman" w:eastAsia="Times New Roman" w:hAnsi="Times New Roman" w:cs="Times New Roman"/>
          <w:b/>
          <w:sz w:val="24"/>
          <w:szCs w:val="24"/>
        </w:rPr>
        <w:tab/>
      </w:r>
    </w:p>
    <w:p w:rsidR="00AC534A" w:rsidRPr="00245DC9" w:rsidP="00245DC9" w14:paraId="32F730E5" w14:textId="2A94AC25">
      <w:pPr>
        <w:spacing w:after="0" w:line="240" w:lineRule="auto"/>
        <w:ind w:left="4320"/>
        <w:rPr>
          <w:rFonts w:ascii="Times New Roman" w:hAnsi="Times New Roman" w:cs="Times New Roman"/>
          <w:b/>
          <w:bCs/>
          <w:sz w:val="24"/>
          <w:szCs w:val="24"/>
        </w:rPr>
      </w:pPr>
      <w:r w:rsidRPr="00245DC9">
        <w:rPr>
          <w:rFonts w:ascii="Times New Roman" w:hAnsi="Times New Roman" w:cs="Times New Roman"/>
          <w:b/>
          <w:bCs/>
          <w:sz w:val="24"/>
          <w:szCs w:val="24"/>
        </w:rPr>
        <w:t>Office of the Ohio Consumers’ Counsel</w:t>
      </w:r>
    </w:p>
    <w:p w:rsidR="00AC534A" w:rsidRPr="00245DC9" w:rsidP="00245DC9" w14:paraId="501B8C0B" w14:textId="249CC21D">
      <w:pPr>
        <w:spacing w:after="0" w:line="240" w:lineRule="auto"/>
        <w:ind w:left="4320"/>
        <w:rPr>
          <w:rFonts w:ascii="Times New Roman" w:hAnsi="Times New Roman" w:cs="Times New Roman"/>
          <w:sz w:val="24"/>
          <w:szCs w:val="24"/>
        </w:rPr>
      </w:pPr>
      <w:r w:rsidRPr="00245DC9">
        <w:rPr>
          <w:rFonts w:ascii="Times New Roman" w:hAnsi="Times New Roman" w:cs="Times New Roman"/>
          <w:sz w:val="24"/>
          <w:szCs w:val="24"/>
        </w:rPr>
        <w:t>65 East State Street, 7</w:t>
      </w:r>
      <w:r w:rsidRPr="00245DC9">
        <w:rPr>
          <w:rFonts w:ascii="Times New Roman" w:hAnsi="Times New Roman" w:cs="Times New Roman"/>
          <w:sz w:val="24"/>
          <w:szCs w:val="24"/>
          <w:vertAlign w:val="superscript"/>
        </w:rPr>
        <w:t>th</w:t>
      </w:r>
      <w:r w:rsidRPr="00245DC9">
        <w:rPr>
          <w:rFonts w:ascii="Times New Roman" w:hAnsi="Times New Roman" w:cs="Times New Roman"/>
          <w:sz w:val="24"/>
          <w:szCs w:val="24"/>
        </w:rPr>
        <w:t xml:space="preserve"> Floor</w:t>
      </w:r>
    </w:p>
    <w:p w:rsidR="00AC534A" w:rsidRPr="00245DC9" w:rsidP="00245DC9" w14:paraId="4BD86D71" w14:textId="2CCF8EA1">
      <w:pPr>
        <w:spacing w:after="0" w:line="240" w:lineRule="auto"/>
        <w:ind w:left="4320"/>
        <w:rPr>
          <w:rFonts w:ascii="Times New Roman" w:hAnsi="Times New Roman" w:cs="Times New Roman"/>
          <w:sz w:val="24"/>
          <w:szCs w:val="24"/>
        </w:rPr>
      </w:pPr>
      <w:r w:rsidRPr="00245DC9">
        <w:rPr>
          <w:rFonts w:ascii="Times New Roman" w:hAnsi="Times New Roman" w:cs="Times New Roman"/>
          <w:sz w:val="24"/>
          <w:szCs w:val="24"/>
        </w:rPr>
        <w:t>Columbus, Ohio 43215</w:t>
      </w:r>
    </w:p>
    <w:p w:rsidR="00AC534A" w:rsidRPr="00AC534A" w:rsidP="00AC534A" w14:paraId="48EB7406" w14:textId="77777777">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Telephone [Michael]: (614) 466-1291</w:t>
      </w:r>
    </w:p>
    <w:p w:rsidR="00AC534A" w:rsidRPr="00AC534A" w:rsidP="00AC534A" w14:paraId="0BCEDA35" w14:textId="77777777">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Telephone [Logsdon]: (614) 466-1292</w:t>
      </w:r>
    </w:p>
    <w:p w:rsidR="00AC534A" w:rsidP="00AC534A" w14:paraId="1995D66F" w14:textId="318FB4F5">
      <w:pPr>
        <w:spacing w:after="0" w:line="240" w:lineRule="auto"/>
        <w:rPr>
          <w:rFonts w:ascii="Times New Roman" w:eastAsia="Times New Roman" w:hAnsi="Times New Roman" w:cs="Times New Roman"/>
          <w:sz w:val="24"/>
          <w:szCs w:val="20"/>
        </w:rPr>
      </w:pP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hyperlink r:id="rId6" w:history="1">
        <w:r w:rsidRPr="00DF76D9" w:rsidR="00245DC9">
          <w:rPr>
            <w:rStyle w:val="Hyperlink"/>
            <w:rFonts w:ascii="Times New Roman" w:eastAsia="Times New Roman" w:hAnsi="Times New Roman" w:cs="Times New Roman"/>
            <w:sz w:val="24"/>
            <w:szCs w:val="20"/>
          </w:rPr>
          <w:t>William.Michael@occ.ohio.gov</w:t>
        </w:r>
      </w:hyperlink>
    </w:p>
    <w:p w:rsidR="00245DC9" w:rsidP="00AC534A" w14:paraId="24F377E5" w14:textId="3531040E">
      <w:pPr>
        <w:spacing w:after="0" w:line="240" w:lineRule="auto"/>
        <w:rPr>
          <w:rFonts w:ascii="Times New Roman" w:eastAsia="Times New Roman" w:hAnsi="Times New Roman" w:cs="Times New Roman"/>
          <w:sz w:val="24"/>
          <w:szCs w:val="24"/>
        </w:rPr>
      </w:pP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ab/>
      </w:r>
      <w:hyperlink r:id="rId7" w:history="1">
        <w:r w:rsidRPr="00DF76D9">
          <w:rPr>
            <w:rStyle w:val="Hyperlink"/>
            <w:rFonts w:ascii="Times New Roman" w:eastAsia="Times New Roman" w:hAnsi="Times New Roman" w:cs="Times New Roman"/>
            <w:sz w:val="24"/>
            <w:szCs w:val="24"/>
          </w:rPr>
          <w:t>ambrosia.logsdon@occ.ohio.gov</w:t>
        </w:r>
      </w:hyperlink>
    </w:p>
    <w:p w:rsidR="00AC534A" w:rsidP="00AC534A" w14:paraId="5DA8A95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4</w:t>
      </w:r>
      <w:r>
        <w:rPr>
          <w:rFonts w:ascii="Times New Roman" w:eastAsia="Times New Roman" w:hAnsi="Times New Roman" w:cs="Times New Roman"/>
          <w:sz w:val="24"/>
          <w:szCs w:val="24"/>
        </w:rPr>
        <w:t>, 2019</w:t>
      </w:r>
      <w:r w:rsidRPr="00AC534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534A">
        <w:rPr>
          <w:rFonts w:ascii="Times New Roman" w:eastAsia="Times New Roman" w:hAnsi="Times New Roman" w:cs="Times New Roman"/>
          <w:sz w:val="24"/>
          <w:szCs w:val="24"/>
        </w:rPr>
        <w:t xml:space="preserve">(willing to accept service </w:t>
      </w:r>
      <w:r w:rsidR="00245DC9">
        <w:rPr>
          <w:rFonts w:ascii="Times New Roman" w:eastAsia="Times New Roman" w:hAnsi="Times New Roman" w:cs="Times New Roman"/>
          <w:sz w:val="24"/>
          <w:szCs w:val="24"/>
        </w:rPr>
        <w:t>by</w:t>
      </w:r>
      <w:r w:rsidRPr="00AC534A">
        <w:rPr>
          <w:rFonts w:ascii="Times New Roman" w:eastAsia="Times New Roman" w:hAnsi="Times New Roman" w:cs="Times New Roman"/>
          <w:sz w:val="24"/>
          <w:szCs w:val="24"/>
        </w:rPr>
        <w:t xml:space="preserve"> e-mail)</w:t>
      </w:r>
    </w:p>
    <w:p w:rsidR="00245DC9" w:rsidP="00AC534A" w14:paraId="5CE52FDA" w14:textId="77777777">
      <w:pPr>
        <w:spacing w:after="0" w:line="240" w:lineRule="auto"/>
        <w:rPr>
          <w:rFonts w:ascii="Times New Roman" w:eastAsia="Times New Roman" w:hAnsi="Times New Roman" w:cs="Times New Roman"/>
          <w:sz w:val="24"/>
          <w:szCs w:val="24"/>
        </w:rPr>
      </w:pPr>
    </w:p>
    <w:p w:rsidR="00245DC9" w:rsidP="00AC534A" w14:paraId="74EE356A" w14:textId="77777777">
      <w:pPr>
        <w:spacing w:after="0" w:line="240" w:lineRule="auto"/>
        <w:rPr>
          <w:rFonts w:ascii="Times New Roman" w:eastAsia="Times New Roman" w:hAnsi="Times New Roman" w:cs="Times New Roman"/>
          <w:sz w:val="24"/>
          <w:szCs w:val="24"/>
        </w:rPr>
        <w:sectPr w:rsidSect="000B6A31">
          <w:pgSz w:w="12240" w:h="15840"/>
          <w:pgMar w:top="1440" w:right="1800" w:bottom="1440" w:left="1800" w:header="720" w:footer="720" w:gutter="0"/>
          <w:pgNumType w:fmt="lowerRoman" w:start="1"/>
          <w:cols w:space="720"/>
          <w:docGrid w:linePitch="360"/>
        </w:sectPr>
      </w:pPr>
    </w:p>
    <w:p w:rsidR="000B6A31" w:rsidRPr="009219F4" w:rsidP="000B6A31" w14:paraId="2E9F43D0" w14:textId="77777777">
      <w:pPr>
        <w:spacing w:after="0" w:line="240" w:lineRule="auto"/>
        <w:jc w:val="center"/>
        <w:rPr>
          <w:rFonts w:ascii="Times New Roman" w:eastAsia="Times New Roman" w:hAnsi="Times New Roman" w:cs="Times New Roman"/>
          <w:b/>
          <w:sz w:val="24"/>
          <w:szCs w:val="24"/>
          <w:u w:val="single"/>
        </w:rPr>
      </w:pPr>
      <w:r w:rsidRPr="009219F4">
        <w:rPr>
          <w:rFonts w:ascii="Times New Roman" w:eastAsia="Times New Roman" w:hAnsi="Times New Roman" w:cs="Times New Roman"/>
          <w:b/>
          <w:sz w:val="24"/>
          <w:szCs w:val="24"/>
          <w:u w:val="single"/>
        </w:rPr>
        <w:t>TABLE OF CONTENTS</w:t>
      </w:r>
    </w:p>
    <w:p w:rsidR="000B6A31" w:rsidRPr="005365F6" w:rsidP="000B6A31" w14:paraId="2EF952E3" w14:textId="77777777">
      <w:pPr>
        <w:spacing w:after="0" w:line="240" w:lineRule="auto"/>
        <w:jc w:val="center"/>
        <w:rPr>
          <w:rFonts w:ascii="Times New Roman" w:eastAsia="Times New Roman" w:hAnsi="Times New Roman" w:cs="Times New Roman"/>
          <w:sz w:val="24"/>
          <w:szCs w:val="24"/>
        </w:rPr>
      </w:pPr>
    </w:p>
    <w:p w:rsidR="000B6A31" w:rsidRPr="005365F6" w:rsidP="000B6A31" w14:paraId="2DED9D84" w14:textId="77777777">
      <w:pPr>
        <w:spacing w:after="0" w:line="240" w:lineRule="auto"/>
        <w:jc w:val="center"/>
        <w:rPr>
          <w:rFonts w:ascii="Times New Roman" w:eastAsia="Times New Roman" w:hAnsi="Times New Roman" w:cs="Times New Roman"/>
          <w:b/>
          <w:sz w:val="24"/>
          <w:szCs w:val="24"/>
        </w:rPr>
      </w:pP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b/>
          <w:sz w:val="24"/>
          <w:szCs w:val="24"/>
        </w:rPr>
        <w:t>PAGE</w:t>
      </w:r>
    </w:p>
    <w:p w:rsidR="000B6A31" w:rsidRPr="005365F6" w:rsidP="000B6A31" w14:paraId="0FC09CA2" w14:textId="77777777">
      <w:pPr>
        <w:spacing w:after="0" w:line="240" w:lineRule="auto"/>
        <w:jc w:val="center"/>
        <w:rPr>
          <w:rFonts w:ascii="Times New Roman" w:eastAsia="Times New Roman" w:hAnsi="Times New Roman" w:cs="Times New Roman"/>
          <w:b/>
          <w:sz w:val="24"/>
          <w:szCs w:val="24"/>
        </w:rPr>
      </w:pPr>
    </w:p>
    <w:p w:rsidR="00B73A79" w14:paraId="12E66B4F" w14:textId="1FC24E40">
      <w:pPr>
        <w:pStyle w:val="TOC1"/>
        <w:tabs>
          <w:tab w:val="right" w:leader="dot" w:pos="8630"/>
        </w:tabs>
        <w:rPr>
          <w:rFonts w:asciiTheme="minorHAnsi" w:eastAsiaTheme="minorEastAsia" w:hAnsiTheme="minorHAnsi"/>
          <w:noProof/>
          <w:sz w:val="22"/>
        </w:rPr>
      </w:pPr>
      <w:r w:rsidRPr="005365F6">
        <w:rPr>
          <w:rFonts w:eastAsia="Calibri" w:cs="Times New Roman"/>
          <w:b/>
          <w:bCs/>
          <w:szCs w:val="24"/>
        </w:rPr>
        <w:fldChar w:fldCharType="begin"/>
      </w:r>
      <w:r w:rsidRPr="005365F6">
        <w:rPr>
          <w:rFonts w:eastAsia="Calibri" w:cs="Times New Roman"/>
          <w:b/>
          <w:bCs/>
          <w:szCs w:val="24"/>
        </w:rPr>
        <w:instrText xml:space="preserve"> TOC \o "1-3" \h \z \u </w:instrText>
      </w:r>
      <w:r w:rsidRPr="005365F6">
        <w:rPr>
          <w:rFonts w:eastAsia="Calibri" w:cs="Times New Roman"/>
          <w:b/>
          <w:bCs/>
          <w:szCs w:val="24"/>
        </w:rPr>
        <w:fldChar w:fldCharType="separate"/>
      </w:r>
      <w:hyperlink w:anchor="_Toc26186878" w:history="1">
        <w:r w:rsidRPr="00461E28">
          <w:rPr>
            <w:rStyle w:val="Hyperlink"/>
            <w:noProof/>
          </w:rPr>
          <w:t>I.</w:t>
        </w:r>
        <w:r>
          <w:rPr>
            <w:rFonts w:asciiTheme="minorHAnsi" w:eastAsiaTheme="minorEastAsia" w:hAnsiTheme="minorHAnsi"/>
            <w:noProof/>
            <w:sz w:val="22"/>
          </w:rPr>
          <w:tab/>
        </w:r>
        <w:r w:rsidRPr="00461E28">
          <w:rPr>
            <w:rStyle w:val="Hyperlink"/>
            <w:noProof/>
          </w:rPr>
          <w:t>INTRODUCTION</w:t>
        </w:r>
        <w:r>
          <w:rPr>
            <w:noProof/>
            <w:webHidden/>
          </w:rPr>
          <w:tab/>
        </w:r>
        <w:r>
          <w:rPr>
            <w:noProof/>
            <w:webHidden/>
          </w:rPr>
          <w:fldChar w:fldCharType="begin"/>
        </w:r>
        <w:r>
          <w:rPr>
            <w:noProof/>
            <w:webHidden/>
          </w:rPr>
          <w:instrText xml:space="preserve"> PAGEREF _Toc26186878 \h </w:instrText>
        </w:r>
        <w:r>
          <w:rPr>
            <w:noProof/>
            <w:webHidden/>
          </w:rPr>
          <w:fldChar w:fldCharType="separate"/>
        </w:r>
        <w:r>
          <w:rPr>
            <w:noProof/>
            <w:webHidden/>
          </w:rPr>
          <w:t>1</w:t>
        </w:r>
        <w:r>
          <w:rPr>
            <w:noProof/>
            <w:webHidden/>
          </w:rPr>
          <w:fldChar w:fldCharType="end"/>
        </w:r>
      </w:hyperlink>
    </w:p>
    <w:p w:rsidR="00B73A79" w14:paraId="2CAF7B9C" w14:textId="056CFB4A">
      <w:pPr>
        <w:pStyle w:val="TOC1"/>
        <w:tabs>
          <w:tab w:val="right" w:leader="dot" w:pos="8630"/>
        </w:tabs>
        <w:rPr>
          <w:rFonts w:asciiTheme="minorHAnsi" w:eastAsiaTheme="minorEastAsia" w:hAnsiTheme="minorHAnsi"/>
          <w:noProof/>
          <w:sz w:val="22"/>
        </w:rPr>
      </w:pPr>
      <w:hyperlink w:anchor="_Toc26186879" w:history="1">
        <w:r w:rsidRPr="00461E28">
          <w:rPr>
            <w:rStyle w:val="Hyperlink"/>
            <w:noProof/>
          </w:rPr>
          <w:t>II.</w:t>
        </w:r>
        <w:r>
          <w:rPr>
            <w:rFonts w:asciiTheme="minorHAnsi" w:eastAsiaTheme="minorEastAsia" w:hAnsiTheme="minorHAnsi"/>
            <w:noProof/>
            <w:sz w:val="22"/>
          </w:rPr>
          <w:tab/>
        </w:r>
        <w:r w:rsidRPr="00461E28">
          <w:rPr>
            <w:rStyle w:val="Hyperlink"/>
            <w:noProof/>
          </w:rPr>
          <w:t>BURDEN OF PROOF AND STANDARD OF REVIEW</w:t>
        </w:r>
        <w:r>
          <w:rPr>
            <w:noProof/>
            <w:webHidden/>
          </w:rPr>
          <w:tab/>
        </w:r>
        <w:r>
          <w:rPr>
            <w:noProof/>
            <w:webHidden/>
          </w:rPr>
          <w:fldChar w:fldCharType="begin"/>
        </w:r>
        <w:r>
          <w:rPr>
            <w:noProof/>
            <w:webHidden/>
          </w:rPr>
          <w:instrText xml:space="preserve"> PAGEREF _Toc26186879 \h </w:instrText>
        </w:r>
        <w:r>
          <w:rPr>
            <w:noProof/>
            <w:webHidden/>
          </w:rPr>
          <w:fldChar w:fldCharType="separate"/>
        </w:r>
        <w:r>
          <w:rPr>
            <w:noProof/>
            <w:webHidden/>
          </w:rPr>
          <w:t>2</w:t>
        </w:r>
        <w:r>
          <w:rPr>
            <w:noProof/>
            <w:webHidden/>
          </w:rPr>
          <w:fldChar w:fldCharType="end"/>
        </w:r>
      </w:hyperlink>
    </w:p>
    <w:p w:rsidR="00B73A79" w14:paraId="6325D534" w14:textId="0FB7072F">
      <w:pPr>
        <w:pStyle w:val="TOC1"/>
        <w:tabs>
          <w:tab w:val="right" w:leader="dot" w:pos="8630"/>
        </w:tabs>
        <w:rPr>
          <w:rFonts w:asciiTheme="minorHAnsi" w:eastAsiaTheme="minorEastAsia" w:hAnsiTheme="minorHAnsi"/>
          <w:noProof/>
          <w:sz w:val="22"/>
        </w:rPr>
      </w:pPr>
      <w:hyperlink w:anchor="_Toc26186880" w:history="1">
        <w:r w:rsidRPr="00461E28">
          <w:rPr>
            <w:rStyle w:val="Hyperlink"/>
            <w:noProof/>
          </w:rPr>
          <w:t>III.</w:t>
        </w:r>
        <w:r>
          <w:rPr>
            <w:rFonts w:asciiTheme="minorHAnsi" w:eastAsiaTheme="minorEastAsia" w:hAnsiTheme="minorHAnsi"/>
            <w:noProof/>
            <w:sz w:val="22"/>
          </w:rPr>
          <w:tab/>
        </w:r>
        <w:r w:rsidRPr="00461E28">
          <w:rPr>
            <w:rStyle w:val="Hyperlink"/>
            <w:noProof/>
          </w:rPr>
          <w:t>OVERVIEW OF THE SIGNIFICANTLY EXCESSIVE EARNINGS TEST</w:t>
        </w:r>
        <w:r>
          <w:rPr>
            <w:noProof/>
            <w:webHidden/>
          </w:rPr>
          <w:tab/>
        </w:r>
        <w:r>
          <w:rPr>
            <w:noProof/>
            <w:webHidden/>
          </w:rPr>
          <w:fldChar w:fldCharType="begin"/>
        </w:r>
        <w:r>
          <w:rPr>
            <w:noProof/>
            <w:webHidden/>
          </w:rPr>
          <w:instrText xml:space="preserve"> PAGEREF _Toc26186880 \h </w:instrText>
        </w:r>
        <w:r>
          <w:rPr>
            <w:noProof/>
            <w:webHidden/>
          </w:rPr>
          <w:fldChar w:fldCharType="separate"/>
        </w:r>
        <w:r>
          <w:rPr>
            <w:noProof/>
            <w:webHidden/>
          </w:rPr>
          <w:t>3</w:t>
        </w:r>
        <w:r>
          <w:rPr>
            <w:noProof/>
            <w:webHidden/>
          </w:rPr>
          <w:fldChar w:fldCharType="end"/>
        </w:r>
      </w:hyperlink>
    </w:p>
    <w:p w:rsidR="00B73A79" w14:paraId="3D711B4F" w14:textId="065233DE">
      <w:pPr>
        <w:pStyle w:val="TOC1"/>
        <w:tabs>
          <w:tab w:val="right" w:leader="dot" w:pos="8630"/>
        </w:tabs>
        <w:rPr>
          <w:rFonts w:asciiTheme="minorHAnsi" w:eastAsiaTheme="minorEastAsia" w:hAnsiTheme="minorHAnsi"/>
          <w:noProof/>
          <w:sz w:val="22"/>
        </w:rPr>
      </w:pPr>
      <w:hyperlink w:anchor="_Toc26186881" w:history="1">
        <w:r w:rsidRPr="00461E28">
          <w:rPr>
            <w:rStyle w:val="Hyperlink"/>
            <w:noProof/>
          </w:rPr>
          <w:t>IV.</w:t>
        </w:r>
        <w:r>
          <w:rPr>
            <w:rFonts w:asciiTheme="minorHAnsi" w:eastAsiaTheme="minorEastAsia" w:hAnsiTheme="minorHAnsi"/>
            <w:noProof/>
            <w:sz w:val="22"/>
          </w:rPr>
          <w:tab/>
        </w:r>
        <w:r w:rsidRPr="00461E28">
          <w:rPr>
            <w:rStyle w:val="Hyperlink"/>
            <w:noProof/>
          </w:rPr>
          <w:t>RECOMMENDATIONS</w:t>
        </w:r>
        <w:r>
          <w:rPr>
            <w:noProof/>
            <w:webHidden/>
          </w:rPr>
          <w:tab/>
        </w:r>
        <w:r>
          <w:rPr>
            <w:noProof/>
            <w:webHidden/>
          </w:rPr>
          <w:fldChar w:fldCharType="begin"/>
        </w:r>
        <w:r>
          <w:rPr>
            <w:noProof/>
            <w:webHidden/>
          </w:rPr>
          <w:instrText xml:space="preserve"> PAGEREF _Toc26186881 \h </w:instrText>
        </w:r>
        <w:r>
          <w:rPr>
            <w:noProof/>
            <w:webHidden/>
          </w:rPr>
          <w:fldChar w:fldCharType="separate"/>
        </w:r>
        <w:r>
          <w:rPr>
            <w:noProof/>
            <w:webHidden/>
          </w:rPr>
          <w:t>4</w:t>
        </w:r>
        <w:r>
          <w:rPr>
            <w:noProof/>
            <w:webHidden/>
          </w:rPr>
          <w:fldChar w:fldCharType="end"/>
        </w:r>
      </w:hyperlink>
    </w:p>
    <w:p w:rsidR="00B73A79" w14:paraId="3731835C" w14:textId="13B4D641">
      <w:pPr>
        <w:pStyle w:val="TOC2"/>
        <w:tabs>
          <w:tab w:val="left" w:pos="1440"/>
        </w:tabs>
        <w:rPr>
          <w:rFonts w:asciiTheme="minorHAnsi" w:eastAsiaTheme="minorEastAsia" w:hAnsiTheme="minorHAnsi"/>
          <w:noProof/>
          <w:sz w:val="22"/>
        </w:rPr>
      </w:pPr>
      <w:hyperlink w:anchor="_Toc26186882" w:history="1">
        <w:r w:rsidRPr="00461E28">
          <w:rPr>
            <w:rStyle w:val="Hyperlink"/>
            <w:noProof/>
          </w:rPr>
          <w:t>A.</w:t>
        </w:r>
        <w:r>
          <w:rPr>
            <w:rFonts w:asciiTheme="minorHAnsi" w:eastAsiaTheme="minorEastAsia" w:hAnsiTheme="minorHAnsi"/>
            <w:noProof/>
            <w:sz w:val="22"/>
          </w:rPr>
          <w:tab/>
        </w:r>
        <w:r w:rsidRPr="00461E28">
          <w:rPr>
            <w:rStyle w:val="Hyperlink"/>
            <w:noProof/>
          </w:rPr>
          <w:t>The PUCO should reject the proposed Settlement because it harms consumers and is not in the public interest because it allows AEP to keep $5.7 million in significantly excessive earnings.</w:t>
        </w:r>
        <w:r>
          <w:rPr>
            <w:noProof/>
            <w:webHidden/>
          </w:rPr>
          <w:tab/>
        </w:r>
        <w:r>
          <w:rPr>
            <w:noProof/>
            <w:webHidden/>
          </w:rPr>
          <w:fldChar w:fldCharType="begin"/>
        </w:r>
        <w:r>
          <w:rPr>
            <w:noProof/>
            <w:webHidden/>
          </w:rPr>
          <w:instrText xml:space="preserve"> PAGEREF _Toc26186882 \h </w:instrText>
        </w:r>
        <w:r>
          <w:rPr>
            <w:noProof/>
            <w:webHidden/>
          </w:rPr>
          <w:fldChar w:fldCharType="separate"/>
        </w:r>
        <w:r>
          <w:rPr>
            <w:noProof/>
            <w:webHidden/>
          </w:rPr>
          <w:t>4</w:t>
        </w:r>
        <w:r>
          <w:rPr>
            <w:noProof/>
            <w:webHidden/>
          </w:rPr>
          <w:fldChar w:fldCharType="end"/>
        </w:r>
      </w:hyperlink>
    </w:p>
    <w:p w:rsidR="00B73A79" w14:paraId="01893C37" w14:textId="639736DF">
      <w:pPr>
        <w:pStyle w:val="TOC2"/>
        <w:tabs>
          <w:tab w:val="left" w:pos="1440"/>
        </w:tabs>
        <w:rPr>
          <w:rFonts w:asciiTheme="minorHAnsi" w:eastAsiaTheme="minorEastAsia" w:hAnsiTheme="minorHAnsi"/>
          <w:noProof/>
          <w:sz w:val="22"/>
        </w:rPr>
      </w:pPr>
      <w:hyperlink w:anchor="_Toc26186883" w:history="1">
        <w:r w:rsidRPr="00461E28">
          <w:rPr>
            <w:rStyle w:val="Hyperlink"/>
            <w:noProof/>
          </w:rPr>
          <w:t>B.</w:t>
        </w:r>
        <w:r>
          <w:rPr>
            <w:rFonts w:asciiTheme="minorHAnsi" w:eastAsiaTheme="minorEastAsia" w:hAnsiTheme="minorHAnsi"/>
            <w:noProof/>
            <w:sz w:val="22"/>
          </w:rPr>
          <w:tab/>
        </w:r>
        <w:r w:rsidRPr="00461E28">
          <w:rPr>
            <w:rStyle w:val="Hyperlink"/>
            <w:noProof/>
          </w:rPr>
          <w:t>The PUCO should reject the proposed Settlement because it violates Ohio law and important regulatory principles and practices.</w:t>
        </w:r>
        <w:r>
          <w:rPr>
            <w:noProof/>
            <w:webHidden/>
          </w:rPr>
          <w:tab/>
        </w:r>
        <w:r>
          <w:rPr>
            <w:noProof/>
            <w:webHidden/>
          </w:rPr>
          <w:fldChar w:fldCharType="begin"/>
        </w:r>
        <w:r>
          <w:rPr>
            <w:noProof/>
            <w:webHidden/>
          </w:rPr>
          <w:instrText xml:space="preserve"> PAGEREF _Toc26186883 \h </w:instrText>
        </w:r>
        <w:r>
          <w:rPr>
            <w:noProof/>
            <w:webHidden/>
          </w:rPr>
          <w:fldChar w:fldCharType="separate"/>
        </w:r>
        <w:r>
          <w:rPr>
            <w:noProof/>
            <w:webHidden/>
          </w:rPr>
          <w:t>8</w:t>
        </w:r>
        <w:r>
          <w:rPr>
            <w:noProof/>
            <w:webHidden/>
          </w:rPr>
          <w:fldChar w:fldCharType="end"/>
        </w:r>
      </w:hyperlink>
    </w:p>
    <w:p w:rsidR="00B73A79" w14:paraId="08D7AAA7" w14:textId="3495D0BE">
      <w:pPr>
        <w:pStyle w:val="TOC3"/>
        <w:tabs>
          <w:tab w:val="left" w:pos="2160"/>
          <w:tab w:val="right" w:leader="dot" w:pos="8630"/>
        </w:tabs>
        <w:rPr>
          <w:rFonts w:asciiTheme="minorHAnsi" w:eastAsiaTheme="minorEastAsia" w:hAnsiTheme="minorHAnsi"/>
          <w:noProof/>
          <w:sz w:val="22"/>
        </w:rPr>
      </w:pPr>
      <w:hyperlink w:anchor="_Toc26186884" w:history="1">
        <w:r w:rsidRPr="00461E28">
          <w:rPr>
            <w:rStyle w:val="Hyperlink"/>
            <w:noProof/>
          </w:rPr>
          <w:t>1.</w:t>
        </w:r>
        <w:r>
          <w:rPr>
            <w:rFonts w:asciiTheme="minorHAnsi" w:eastAsiaTheme="minorEastAsia" w:hAnsiTheme="minorHAnsi"/>
            <w:noProof/>
            <w:sz w:val="22"/>
          </w:rPr>
          <w:tab/>
        </w:r>
        <w:r w:rsidRPr="00461E28">
          <w:rPr>
            <w:rStyle w:val="Hyperlink"/>
            <w:noProof/>
          </w:rPr>
          <w:t>The Proposed Settlement would allow AEP to overcharge consumers and keep its significantly excessive earnings for 2018 in violation of Ohio law and important regulatory principles.</w:t>
        </w:r>
        <w:r>
          <w:rPr>
            <w:noProof/>
            <w:webHidden/>
          </w:rPr>
          <w:tab/>
        </w:r>
        <w:r>
          <w:rPr>
            <w:noProof/>
            <w:webHidden/>
          </w:rPr>
          <w:fldChar w:fldCharType="begin"/>
        </w:r>
        <w:r>
          <w:rPr>
            <w:noProof/>
            <w:webHidden/>
          </w:rPr>
          <w:instrText xml:space="preserve"> PAGEREF _Toc26186884 \h </w:instrText>
        </w:r>
        <w:r>
          <w:rPr>
            <w:noProof/>
            <w:webHidden/>
          </w:rPr>
          <w:fldChar w:fldCharType="separate"/>
        </w:r>
        <w:r>
          <w:rPr>
            <w:noProof/>
            <w:webHidden/>
          </w:rPr>
          <w:t>8</w:t>
        </w:r>
        <w:r>
          <w:rPr>
            <w:noProof/>
            <w:webHidden/>
          </w:rPr>
          <w:fldChar w:fldCharType="end"/>
        </w:r>
      </w:hyperlink>
    </w:p>
    <w:p w:rsidR="00B73A79" w14:paraId="54BA83A3" w14:textId="63747404">
      <w:pPr>
        <w:pStyle w:val="TOC3"/>
        <w:tabs>
          <w:tab w:val="left" w:pos="2160"/>
          <w:tab w:val="right" w:leader="dot" w:pos="8630"/>
        </w:tabs>
        <w:rPr>
          <w:rFonts w:asciiTheme="minorHAnsi" w:eastAsiaTheme="minorEastAsia" w:hAnsiTheme="minorHAnsi"/>
          <w:noProof/>
          <w:sz w:val="22"/>
        </w:rPr>
      </w:pPr>
      <w:hyperlink w:anchor="_Toc26186885" w:history="1">
        <w:r w:rsidRPr="00461E28">
          <w:rPr>
            <w:rStyle w:val="Hyperlink"/>
            <w:noProof/>
          </w:rPr>
          <w:t>2.</w:t>
        </w:r>
        <w:r>
          <w:rPr>
            <w:rFonts w:asciiTheme="minorHAnsi" w:eastAsiaTheme="minorEastAsia" w:hAnsiTheme="minorHAnsi"/>
            <w:noProof/>
            <w:sz w:val="22"/>
          </w:rPr>
          <w:tab/>
        </w:r>
        <w:r w:rsidRPr="00461E28">
          <w:rPr>
            <w:rStyle w:val="Hyperlink"/>
            <w:noProof/>
          </w:rPr>
          <w:t>AEP’s assertion that the adjustment to earnings related to the Phase-In Recovery Rider (“PIRR”) is similarly applicable to the earning adjustment related to the Retail Stability Rider (“RSR”) should be rejected because it is contrary to the Ohio SEET statutes, it violates important regulatory principles and practices.</w:t>
        </w:r>
        <w:r>
          <w:rPr>
            <w:noProof/>
            <w:webHidden/>
          </w:rPr>
          <w:tab/>
        </w:r>
        <w:r>
          <w:rPr>
            <w:noProof/>
            <w:webHidden/>
          </w:rPr>
          <w:fldChar w:fldCharType="begin"/>
        </w:r>
        <w:r>
          <w:rPr>
            <w:noProof/>
            <w:webHidden/>
          </w:rPr>
          <w:instrText xml:space="preserve"> PAGEREF _Toc26186885 \h </w:instrText>
        </w:r>
        <w:r>
          <w:rPr>
            <w:noProof/>
            <w:webHidden/>
          </w:rPr>
          <w:fldChar w:fldCharType="separate"/>
        </w:r>
        <w:r>
          <w:rPr>
            <w:noProof/>
            <w:webHidden/>
          </w:rPr>
          <w:t>9</w:t>
        </w:r>
        <w:r>
          <w:rPr>
            <w:noProof/>
            <w:webHidden/>
          </w:rPr>
          <w:fldChar w:fldCharType="end"/>
        </w:r>
      </w:hyperlink>
    </w:p>
    <w:p w:rsidR="00B73A79" w14:paraId="1258E7AF" w14:textId="45A630C9">
      <w:pPr>
        <w:pStyle w:val="TOC3"/>
        <w:tabs>
          <w:tab w:val="left" w:pos="2160"/>
          <w:tab w:val="right" w:leader="dot" w:pos="8630"/>
        </w:tabs>
        <w:rPr>
          <w:rFonts w:asciiTheme="minorHAnsi" w:eastAsiaTheme="minorEastAsia" w:hAnsiTheme="minorHAnsi"/>
          <w:noProof/>
          <w:sz w:val="22"/>
        </w:rPr>
      </w:pPr>
      <w:hyperlink w:anchor="_Toc26186886" w:history="1">
        <w:r w:rsidRPr="00461E28">
          <w:rPr>
            <w:rStyle w:val="Hyperlink"/>
            <w:noProof/>
          </w:rPr>
          <w:t>3.</w:t>
        </w:r>
        <w:r>
          <w:rPr>
            <w:rFonts w:asciiTheme="minorHAnsi" w:eastAsiaTheme="minorEastAsia" w:hAnsiTheme="minorHAnsi"/>
            <w:noProof/>
            <w:sz w:val="22"/>
          </w:rPr>
          <w:tab/>
        </w:r>
        <w:r w:rsidRPr="00461E28">
          <w:rPr>
            <w:rStyle w:val="Hyperlink"/>
            <w:noProof/>
          </w:rPr>
          <w:t>The PUCO should reject the proposed Settlement because it violates important regulatory principles outlined in Ohio’s policy regarding electric service.</w:t>
        </w:r>
        <w:r>
          <w:rPr>
            <w:noProof/>
            <w:webHidden/>
          </w:rPr>
          <w:tab/>
        </w:r>
        <w:r>
          <w:rPr>
            <w:noProof/>
            <w:webHidden/>
          </w:rPr>
          <w:fldChar w:fldCharType="begin"/>
        </w:r>
        <w:r>
          <w:rPr>
            <w:noProof/>
            <w:webHidden/>
          </w:rPr>
          <w:instrText xml:space="preserve"> PAGEREF _Toc26186886 \h </w:instrText>
        </w:r>
        <w:r>
          <w:rPr>
            <w:noProof/>
            <w:webHidden/>
          </w:rPr>
          <w:fldChar w:fldCharType="separate"/>
        </w:r>
        <w:r>
          <w:rPr>
            <w:noProof/>
            <w:webHidden/>
          </w:rPr>
          <w:t>12</w:t>
        </w:r>
        <w:r>
          <w:rPr>
            <w:noProof/>
            <w:webHidden/>
          </w:rPr>
          <w:fldChar w:fldCharType="end"/>
        </w:r>
      </w:hyperlink>
    </w:p>
    <w:p w:rsidR="00B73A79" w14:paraId="77BCF019" w14:textId="1117E7B6">
      <w:pPr>
        <w:pStyle w:val="TOC1"/>
        <w:tabs>
          <w:tab w:val="right" w:leader="dot" w:pos="8630"/>
        </w:tabs>
        <w:rPr>
          <w:rFonts w:asciiTheme="minorHAnsi" w:eastAsiaTheme="minorEastAsia" w:hAnsiTheme="minorHAnsi"/>
          <w:noProof/>
          <w:sz w:val="22"/>
        </w:rPr>
      </w:pPr>
      <w:hyperlink w:anchor="_Toc26186887" w:history="1">
        <w:r w:rsidRPr="00461E28">
          <w:rPr>
            <w:rStyle w:val="Hyperlink"/>
            <w:noProof/>
          </w:rPr>
          <w:t>V.</w:t>
        </w:r>
        <w:r>
          <w:rPr>
            <w:rFonts w:asciiTheme="minorHAnsi" w:eastAsiaTheme="minorEastAsia" w:hAnsiTheme="minorHAnsi"/>
            <w:noProof/>
            <w:sz w:val="22"/>
          </w:rPr>
          <w:tab/>
        </w:r>
        <w:r w:rsidRPr="00461E28">
          <w:rPr>
            <w:rStyle w:val="Hyperlink"/>
            <w:noProof/>
          </w:rPr>
          <w:t>CONCLUSION</w:t>
        </w:r>
        <w:r>
          <w:rPr>
            <w:noProof/>
            <w:webHidden/>
          </w:rPr>
          <w:tab/>
        </w:r>
        <w:r>
          <w:rPr>
            <w:noProof/>
            <w:webHidden/>
          </w:rPr>
          <w:fldChar w:fldCharType="begin"/>
        </w:r>
        <w:r>
          <w:rPr>
            <w:noProof/>
            <w:webHidden/>
          </w:rPr>
          <w:instrText xml:space="preserve"> PAGEREF _Toc26186887 \h </w:instrText>
        </w:r>
        <w:r>
          <w:rPr>
            <w:noProof/>
            <w:webHidden/>
          </w:rPr>
          <w:fldChar w:fldCharType="separate"/>
        </w:r>
        <w:r>
          <w:rPr>
            <w:noProof/>
            <w:webHidden/>
          </w:rPr>
          <w:t>12</w:t>
        </w:r>
        <w:r>
          <w:rPr>
            <w:noProof/>
            <w:webHidden/>
          </w:rPr>
          <w:fldChar w:fldCharType="end"/>
        </w:r>
      </w:hyperlink>
    </w:p>
    <w:p w:rsidR="000B6A31" w:rsidRPr="005365F6" w:rsidP="000B6A31" w14:paraId="788A9548" w14:textId="2653F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fldChar w:fldCharType="end"/>
      </w:r>
    </w:p>
    <w:p w:rsidR="000B6A31" w14:paraId="778DD314" w14:textId="77777777">
      <w:pPr>
        <w:rPr>
          <w:rFonts w:ascii="Times New Roman" w:eastAsia="Calibri" w:hAnsi="Times New Roman" w:cs="Times New Roman"/>
          <w:b/>
          <w:bCs/>
          <w:sz w:val="24"/>
          <w:szCs w:val="24"/>
        </w:rPr>
        <w:sectPr w:rsidSect="000B6A31">
          <w:footerReference w:type="default" r:id="rId8"/>
          <w:pgSz w:w="12240" w:h="15840"/>
          <w:pgMar w:top="1440" w:right="1800" w:bottom="1440" w:left="1800" w:header="720" w:footer="720" w:gutter="0"/>
          <w:pgNumType w:fmt="lowerRoman" w:start="1"/>
          <w:cols w:space="720"/>
          <w:docGrid w:linePitch="360"/>
        </w:sectPr>
      </w:pPr>
    </w:p>
    <w:p w:rsidR="000B6A31" w:rsidRPr="005365F6" w:rsidP="000B6A31" w14:paraId="16E7A4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BEFORE</w:t>
      </w:r>
    </w:p>
    <w:p w:rsidR="000B6A31" w:rsidRPr="005365F6" w:rsidP="000B6A31" w14:paraId="4F8E1F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365F6">
        <w:rPr>
          <w:rFonts w:ascii="Times New Roman" w:eastAsia="Calibri" w:hAnsi="Times New Roman" w:cs="Times New Roman"/>
          <w:b/>
          <w:bCs/>
          <w:sz w:val="24"/>
          <w:szCs w:val="24"/>
        </w:rPr>
        <w:t>THE PUBLIC UTILITIES COMMISSION OF OHIO</w:t>
      </w:r>
    </w:p>
    <w:p w:rsidR="000B6A31" w:rsidRPr="005365F6" w:rsidP="000B6A31" w14:paraId="1A5A7C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Look w:val="01E0"/>
      </w:tblPr>
      <w:tblGrid>
        <w:gridCol w:w="4332"/>
        <w:gridCol w:w="360"/>
        <w:gridCol w:w="4400"/>
      </w:tblGrid>
      <w:tr w14:paraId="4CEE690C" w14:textId="77777777" w:rsidTr="000B6A31">
        <w:tblPrEx>
          <w:tblW w:w="9092" w:type="dxa"/>
          <w:tblInd w:w="-106" w:type="dxa"/>
          <w:tblLook w:val="01E0"/>
        </w:tblPrEx>
        <w:trPr>
          <w:trHeight w:val="807"/>
        </w:trPr>
        <w:tc>
          <w:tcPr>
            <w:tcW w:w="4332" w:type="dxa"/>
          </w:tcPr>
          <w:p w:rsidR="00AC534A" w:rsidRPr="00AC534A" w:rsidP="00AC534A" w14:paraId="3BDE85F0" w14:textId="77777777">
            <w:pPr>
              <w:autoSpaceDE w:val="0"/>
              <w:autoSpaceDN w:val="0"/>
              <w:adjustRightInd w:val="0"/>
              <w:spacing w:after="0"/>
              <w:rPr>
                <w:rFonts w:ascii="Times New Roman" w:eastAsia="Calibri" w:hAnsi="Times New Roman" w:cs="Times New Roman"/>
                <w:sz w:val="24"/>
                <w:szCs w:val="24"/>
              </w:rPr>
            </w:pPr>
            <w:r w:rsidRPr="00AC534A">
              <w:rPr>
                <w:rFonts w:ascii="Times New Roman" w:eastAsia="Calibri" w:hAnsi="Times New Roman" w:cs="Times New Roman"/>
                <w:sz w:val="24"/>
                <w:szCs w:val="24"/>
              </w:rPr>
              <w:t xml:space="preserve">In the Matter of the Application of Ohio </w:t>
            </w:r>
          </w:p>
          <w:p w:rsidR="00AC534A" w:rsidRPr="00AC534A" w:rsidP="00AC534A" w14:paraId="62C522A0" w14:textId="77777777">
            <w:pPr>
              <w:autoSpaceDE w:val="0"/>
              <w:autoSpaceDN w:val="0"/>
              <w:adjustRightInd w:val="0"/>
              <w:spacing w:after="0"/>
              <w:rPr>
                <w:rFonts w:ascii="Times New Roman" w:eastAsia="Calibri" w:hAnsi="Times New Roman" w:cs="Times New Roman"/>
                <w:sz w:val="24"/>
                <w:szCs w:val="24"/>
              </w:rPr>
            </w:pPr>
            <w:r w:rsidRPr="00AC534A">
              <w:rPr>
                <w:rFonts w:ascii="Times New Roman" w:eastAsia="Calibri" w:hAnsi="Times New Roman" w:cs="Times New Roman"/>
                <w:sz w:val="24"/>
                <w:szCs w:val="24"/>
              </w:rPr>
              <w:t xml:space="preserve">Power Company for Administration of the </w:t>
            </w:r>
          </w:p>
          <w:p w:rsidR="000B6A31" w:rsidRPr="005365F6" w:rsidP="00AC534A" w14:paraId="1C659F59" w14:textId="3FCE372E">
            <w:pPr>
              <w:autoSpaceDE w:val="0"/>
              <w:autoSpaceDN w:val="0"/>
              <w:adjustRightInd w:val="0"/>
              <w:spacing w:after="0"/>
              <w:rPr>
                <w:rFonts w:ascii="Times New Roman" w:eastAsia="Calibri" w:hAnsi="Times New Roman" w:cs="Times New Roman"/>
                <w:sz w:val="24"/>
                <w:szCs w:val="24"/>
              </w:rPr>
            </w:pPr>
            <w:r w:rsidRPr="00AC534A">
              <w:rPr>
                <w:rFonts w:ascii="Times New Roman" w:eastAsia="Calibri" w:hAnsi="Times New Roman" w:cs="Times New Roman"/>
                <w:sz w:val="24"/>
                <w:szCs w:val="24"/>
              </w:rPr>
              <w:t>Significantly Excessive Earnings Test for 2018 Under Section 4928.143(F), Revised Code, and Rule 4901:1-35-10, Ohio Administrative Code.</w:t>
            </w:r>
          </w:p>
        </w:tc>
        <w:tc>
          <w:tcPr>
            <w:tcW w:w="360" w:type="dxa"/>
            <w:hideMark/>
          </w:tcPr>
          <w:p w:rsidR="000B6A31" w:rsidRPr="005365F6" w:rsidP="000B6A31" w14:paraId="019EE3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4779AC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21DA07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446F0B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7312757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p w:rsidR="000B6A31" w:rsidRPr="005365F6" w:rsidP="000B6A31" w14:paraId="26327D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w:t>
            </w:r>
          </w:p>
        </w:tc>
        <w:tc>
          <w:tcPr>
            <w:tcW w:w="4400" w:type="dxa"/>
          </w:tcPr>
          <w:p w:rsidR="000B6A31" w:rsidRPr="005365F6" w:rsidP="000B6A31" w14:paraId="79F7155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sz w:val="24"/>
                <w:szCs w:val="24"/>
              </w:rPr>
            </w:pPr>
          </w:p>
          <w:p w:rsidR="000B6A31" w:rsidRPr="005365F6" w:rsidP="000B6A31" w14:paraId="16FB3102" w14:textId="77777777">
            <w:pPr>
              <w:autoSpaceDE w:val="0"/>
              <w:autoSpaceDN w:val="0"/>
              <w:adjustRightInd w:val="0"/>
              <w:spacing w:after="0"/>
              <w:rPr>
                <w:rFonts w:ascii="Times New Roman" w:eastAsia="Calibri" w:hAnsi="Times New Roman" w:cs="Times New Roman"/>
                <w:sz w:val="24"/>
                <w:szCs w:val="24"/>
              </w:rPr>
            </w:pPr>
          </w:p>
          <w:p w:rsidR="000B6A31" w:rsidRPr="005365F6" w:rsidP="000B6A31" w14:paraId="3D93D166" w14:textId="1DFF7DE6">
            <w:pPr>
              <w:autoSpaceDE w:val="0"/>
              <w:autoSpaceDN w:val="0"/>
              <w:adjustRightInd w:val="0"/>
              <w:spacing w:after="0"/>
              <w:rPr>
                <w:rFonts w:ascii="Times New Roman" w:eastAsia="Calibri" w:hAnsi="Times New Roman" w:cs="Times New Roman"/>
                <w:sz w:val="24"/>
                <w:szCs w:val="24"/>
              </w:rPr>
            </w:pPr>
            <w:r w:rsidRPr="005365F6">
              <w:rPr>
                <w:rFonts w:ascii="Times New Roman" w:eastAsia="Calibri" w:hAnsi="Times New Roman" w:cs="Times New Roman"/>
                <w:sz w:val="24"/>
                <w:szCs w:val="24"/>
              </w:rPr>
              <w:t xml:space="preserve">Case No. </w:t>
            </w:r>
            <w:r w:rsidR="00AC534A">
              <w:rPr>
                <w:rFonts w:ascii="Times New Roman" w:eastAsia="Calibri" w:hAnsi="Times New Roman" w:cs="Times New Roman"/>
                <w:sz w:val="24"/>
                <w:szCs w:val="24"/>
              </w:rPr>
              <w:t>19-1098</w:t>
            </w:r>
            <w:r w:rsidRPr="005365F6">
              <w:rPr>
                <w:rFonts w:ascii="Times New Roman" w:eastAsia="Calibri" w:hAnsi="Times New Roman" w:cs="Times New Roman"/>
                <w:sz w:val="24"/>
                <w:szCs w:val="24"/>
              </w:rPr>
              <w:t>-EL-UNC</w:t>
            </w:r>
          </w:p>
          <w:p w:rsidR="000B6A31" w:rsidRPr="005365F6" w:rsidP="000B6A31" w14:paraId="6AD50E51" w14:textId="77777777">
            <w:pPr>
              <w:autoSpaceDE w:val="0"/>
              <w:autoSpaceDN w:val="0"/>
              <w:adjustRightInd w:val="0"/>
              <w:spacing w:after="0"/>
              <w:rPr>
                <w:rFonts w:ascii="Times New Roman" w:eastAsia="Calibri" w:hAnsi="Times New Roman" w:cs="Times New Roman"/>
                <w:sz w:val="24"/>
                <w:szCs w:val="24"/>
              </w:rPr>
            </w:pPr>
          </w:p>
          <w:p w:rsidR="000B6A31" w:rsidRPr="005365F6" w:rsidP="000B6A31" w14:paraId="0A933895" w14:textId="77777777">
            <w:pPr>
              <w:autoSpaceDE w:val="0"/>
              <w:autoSpaceDN w:val="0"/>
              <w:adjustRightInd w:val="0"/>
              <w:spacing w:after="0"/>
              <w:rPr>
                <w:rFonts w:ascii="Times New Roman" w:eastAsia="Calibri" w:hAnsi="Times New Roman" w:cs="Times New Roman"/>
                <w:sz w:val="24"/>
                <w:szCs w:val="24"/>
              </w:rPr>
            </w:pPr>
          </w:p>
        </w:tc>
      </w:tr>
    </w:tbl>
    <w:p w:rsidR="000B6A31" w:rsidRPr="005365F6" w:rsidP="000B6A31" w14:paraId="7140BEAF"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0B6A31" w:rsidRPr="005365F6" w:rsidP="000B6A31" w14:paraId="5BE02ACC" w14:textId="77777777">
      <w:pPr>
        <w:autoSpaceDE w:val="0"/>
        <w:autoSpaceDN w:val="0"/>
        <w:adjustRightInd w:val="0"/>
        <w:spacing w:after="0" w:line="240" w:lineRule="auto"/>
        <w:rPr>
          <w:rFonts w:ascii="Times New Roman" w:eastAsia="Calibri" w:hAnsi="Times New Roman" w:cs="Times New Roman"/>
          <w:sz w:val="20"/>
          <w:szCs w:val="24"/>
        </w:rPr>
      </w:pPr>
    </w:p>
    <w:p w:rsidR="000B6A31" w:rsidRPr="005365F6" w:rsidP="000B6A31" w14:paraId="41D6AB40"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INITIAL BRIEF</w:t>
      </w:r>
    </w:p>
    <w:p w:rsidR="000B6A31" w:rsidRPr="005365F6" w:rsidP="000B6A31" w14:paraId="6374999A"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BY</w:t>
      </w:r>
    </w:p>
    <w:p w:rsidR="000B6A31" w:rsidRPr="005365F6" w:rsidP="000B6A31" w14:paraId="0B35A39B"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OFFICE OF THE OHIO CONSUMERS’ COUNSEL</w:t>
      </w:r>
    </w:p>
    <w:p w:rsidR="000B6A31" w:rsidRPr="005365F6" w:rsidP="000B6A31" w14:paraId="23D2320C"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0B6A31" w:rsidRPr="005365F6" w:rsidP="000B6A31" w14:paraId="51D6CDCD" w14:textId="77777777">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B6A31" w:rsidRPr="005365F6" w:rsidP="000B6A31" w14:paraId="38A20A57" w14:textId="77777777">
      <w:pPr>
        <w:pStyle w:val="Heading1"/>
      </w:pPr>
      <w:bookmarkStart w:id="1" w:name="_Toc26186878"/>
      <w:r w:rsidRPr="005365F6">
        <w:t>INTRODUCTION</w:t>
      </w:r>
      <w:bookmarkEnd w:id="1"/>
      <w:r w:rsidRPr="005365F6">
        <w:t xml:space="preserve"> </w:t>
      </w:r>
    </w:p>
    <w:p w:rsidR="000B6A31" w:rsidP="000B6A31" w14:paraId="3B736F6B" w14:textId="3F19EF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the 2008 energy law, the </w:t>
      </w:r>
      <w:r w:rsidR="00927D51">
        <w:rPr>
          <w:rFonts w:ascii="Times New Roman" w:hAnsi="Times New Roman" w:cs="Times New Roman"/>
          <w:sz w:val="24"/>
          <w:szCs w:val="24"/>
        </w:rPr>
        <w:t xml:space="preserve">Ohio </w:t>
      </w:r>
      <w:r>
        <w:rPr>
          <w:rFonts w:ascii="Times New Roman" w:hAnsi="Times New Roman" w:cs="Times New Roman"/>
          <w:sz w:val="24"/>
          <w:szCs w:val="24"/>
        </w:rPr>
        <w:t xml:space="preserve">General Assembly protected consumers by limiting a utility's earnings under electric security plans. </w:t>
      </w:r>
      <w:r w:rsidR="000133FC">
        <w:rPr>
          <w:rFonts w:ascii="Times New Roman" w:hAnsi="Times New Roman" w:cs="Times New Roman"/>
          <w:sz w:val="24"/>
          <w:szCs w:val="24"/>
        </w:rPr>
        <w:t>U</w:t>
      </w:r>
      <w:r>
        <w:rPr>
          <w:rFonts w:ascii="Times New Roman" w:hAnsi="Times New Roman" w:cs="Times New Roman"/>
          <w:sz w:val="24"/>
          <w:szCs w:val="24"/>
        </w:rPr>
        <w:t xml:space="preserve">tilities may </w:t>
      </w:r>
      <w:r w:rsidR="003023CD">
        <w:rPr>
          <w:rFonts w:ascii="Times New Roman" w:hAnsi="Times New Roman" w:cs="Times New Roman"/>
          <w:sz w:val="24"/>
          <w:szCs w:val="24"/>
        </w:rPr>
        <w:t xml:space="preserve">earn excessive profits but </w:t>
      </w:r>
      <w:r>
        <w:rPr>
          <w:rFonts w:ascii="Times New Roman" w:hAnsi="Times New Roman" w:cs="Times New Roman"/>
          <w:sz w:val="24"/>
          <w:szCs w:val="24"/>
        </w:rPr>
        <w:t>not significantly excessive profits</w:t>
      </w:r>
      <w:r w:rsidR="003023CD">
        <w:rPr>
          <w:rFonts w:ascii="Times New Roman" w:hAnsi="Times New Roman" w:cs="Times New Roman"/>
          <w:sz w:val="24"/>
          <w:szCs w:val="24"/>
        </w:rPr>
        <w:t xml:space="preserve">.  If  a utility is found to have earned significantly excessive profits, it </w:t>
      </w:r>
      <w:r>
        <w:rPr>
          <w:rFonts w:ascii="Times New Roman" w:hAnsi="Times New Roman" w:cs="Times New Roman"/>
          <w:sz w:val="24"/>
          <w:szCs w:val="24"/>
        </w:rPr>
        <w:t xml:space="preserve">must </w:t>
      </w:r>
      <w:r w:rsidR="004E3A4B">
        <w:rPr>
          <w:rFonts w:ascii="Times New Roman" w:hAnsi="Times New Roman" w:cs="Times New Roman"/>
          <w:sz w:val="24"/>
          <w:szCs w:val="24"/>
        </w:rPr>
        <w:t>return them to customers (refund)</w:t>
      </w:r>
      <w:r w:rsidR="003023CD">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0B6A31" w:rsidP="000B6A31" w14:paraId="56861E1B" w14:textId="3C52B7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Ohio Power Company (“AEP”) had significantly excessive earnings of $5</w:t>
      </w:r>
      <w:r w:rsidR="00AC534A">
        <w:rPr>
          <w:rFonts w:ascii="Times New Roman" w:hAnsi="Times New Roman" w:cs="Times New Roman"/>
          <w:sz w:val="24"/>
          <w:szCs w:val="24"/>
        </w:rPr>
        <w:t>.7</w:t>
      </w:r>
      <w:r>
        <w:rPr>
          <w:rFonts w:ascii="Times New Roman" w:hAnsi="Times New Roman" w:cs="Times New Roman"/>
          <w:sz w:val="24"/>
          <w:szCs w:val="24"/>
        </w:rPr>
        <w:t xml:space="preserve"> million in 201</w:t>
      </w:r>
      <w:r w:rsidR="00AC534A">
        <w:rPr>
          <w:rFonts w:ascii="Times New Roman" w:hAnsi="Times New Roman" w:cs="Times New Roman"/>
          <w:sz w:val="24"/>
          <w:szCs w:val="24"/>
        </w:rPr>
        <w:t>8</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Under Ohio law</w:t>
      </w:r>
      <w:r w:rsidR="00E25C2B">
        <w:rPr>
          <w:rFonts w:ascii="Times New Roman" w:hAnsi="Times New Roman" w:cs="Times New Roman"/>
          <w:sz w:val="24"/>
          <w:szCs w:val="24"/>
        </w:rPr>
        <w:t xml:space="preserve">, </w:t>
      </w:r>
      <w:r>
        <w:rPr>
          <w:rFonts w:ascii="Times New Roman" w:hAnsi="Times New Roman" w:cs="Times New Roman"/>
          <w:sz w:val="24"/>
          <w:szCs w:val="24"/>
        </w:rPr>
        <w:t>AEP should return that money to customers. But in this case, AEP and the Staff of the Public Utilities Commission of Ohio (the “PUCO Staff”) signed a Settlement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that does not return a single dollar of the significantly excessive earnings to customers. Th</w:t>
      </w:r>
      <w:r w:rsidR="0070664B">
        <w:rPr>
          <w:rFonts w:ascii="Times New Roman" w:hAnsi="Times New Roman" w:cs="Times New Roman"/>
          <w:sz w:val="24"/>
          <w:szCs w:val="24"/>
        </w:rPr>
        <w:t>is</w:t>
      </w:r>
      <w:r>
        <w:rPr>
          <w:rFonts w:ascii="Times New Roman" w:hAnsi="Times New Roman" w:cs="Times New Roman"/>
          <w:sz w:val="24"/>
          <w:szCs w:val="24"/>
        </w:rPr>
        <w:t xml:space="preserve"> is unlawful and unreasonable. </w:t>
      </w:r>
    </w:p>
    <w:p w:rsidR="000B6A31" w:rsidP="000B6A31" w14:paraId="723DE186" w14:textId="62EF5D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reject the Settlement because it fails the PUCO’s three-part test for evaluating settlements. It does not benefit customers or the public interest</w:t>
      </w:r>
      <w:r w:rsidR="00E25C2B">
        <w:rPr>
          <w:rFonts w:ascii="Times New Roman" w:hAnsi="Times New Roman" w:cs="Times New Roman"/>
          <w:sz w:val="24"/>
          <w:szCs w:val="24"/>
        </w:rPr>
        <w:t>.</w:t>
      </w:r>
      <w:r>
        <w:rPr>
          <w:rFonts w:ascii="Times New Roman" w:hAnsi="Times New Roman" w:cs="Times New Roman"/>
          <w:sz w:val="24"/>
          <w:szCs w:val="24"/>
        </w:rPr>
        <w:t xml:space="preserve"> And it violates regulatory principles and practices by causing customers to pay unjust and unreasonable rates.</w:t>
      </w:r>
    </w:p>
    <w:p w:rsidR="000B6A31" w:rsidP="00E25C2B" w14:paraId="1EDDC870" w14:textId="4D3D1C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w:t>
      </w:r>
      <w:r w:rsidR="00E25C2B">
        <w:rPr>
          <w:rFonts w:ascii="Times New Roman" w:hAnsi="Times New Roman" w:cs="Times New Roman"/>
          <w:sz w:val="24"/>
          <w:szCs w:val="24"/>
        </w:rPr>
        <w:t xml:space="preserve">therefore </w:t>
      </w:r>
      <w:r>
        <w:rPr>
          <w:rFonts w:ascii="Times New Roman" w:hAnsi="Times New Roman" w:cs="Times New Roman"/>
          <w:sz w:val="24"/>
          <w:szCs w:val="24"/>
        </w:rPr>
        <w:t>adopt the Office of the Ohio Consumers’ Counsel’s (“OCC”) recommendation for a $5</w:t>
      </w:r>
      <w:r w:rsidR="009D484C">
        <w:rPr>
          <w:rFonts w:ascii="Times New Roman" w:hAnsi="Times New Roman" w:cs="Times New Roman"/>
          <w:sz w:val="24"/>
          <w:szCs w:val="24"/>
        </w:rPr>
        <w:t>.7</w:t>
      </w:r>
      <w:r>
        <w:rPr>
          <w:rFonts w:ascii="Times New Roman" w:hAnsi="Times New Roman" w:cs="Times New Roman"/>
          <w:sz w:val="24"/>
          <w:szCs w:val="24"/>
        </w:rPr>
        <w:t xml:space="preserve"> million refund to customers. This is the just and reasonable result for Ohioans.</w:t>
      </w:r>
    </w:p>
    <w:p w:rsidR="00245DC9" w:rsidRPr="005365F6" w:rsidP="00245DC9" w14:paraId="3C69DD83" w14:textId="77777777">
      <w:pPr>
        <w:spacing w:after="0" w:line="240" w:lineRule="auto"/>
        <w:ind w:firstLine="720"/>
        <w:rPr>
          <w:rFonts w:ascii="Times New Roman" w:hAnsi="Times New Roman" w:cs="Times New Roman"/>
          <w:sz w:val="24"/>
          <w:szCs w:val="24"/>
        </w:rPr>
      </w:pPr>
    </w:p>
    <w:p w:rsidR="000B6A31" w:rsidRPr="005365F6" w:rsidP="000B6A31" w14:paraId="3D5F20CB" w14:textId="77777777">
      <w:pPr>
        <w:pStyle w:val="Heading1"/>
      </w:pPr>
      <w:bookmarkStart w:id="2" w:name="_Toc26186879"/>
      <w:r>
        <w:t xml:space="preserve">BURDEN OF PROOF AND </w:t>
      </w:r>
      <w:r w:rsidRPr="005365F6">
        <w:t>STANDARD OF REVIEW</w:t>
      </w:r>
      <w:bookmarkEnd w:id="2"/>
    </w:p>
    <w:p w:rsidR="000B6A31" w:rsidRPr="0080203A" w:rsidP="000B6A31" w14:paraId="0579D6C1" w14:textId="6250AB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EC71A7">
        <w:rPr>
          <w:rFonts w:ascii="Times New Roman" w:hAnsi="Times New Roman" w:cs="Times New Roman"/>
          <w:sz w:val="24"/>
          <w:szCs w:val="24"/>
        </w:rPr>
        <w:t>he applicant bears the burden of proof</w:t>
      </w:r>
      <w:r>
        <w:rPr>
          <w:rFonts w:ascii="Times New Roman" w:hAnsi="Times New Roman" w:cs="Times New Roman"/>
          <w:sz w:val="24"/>
          <w:szCs w:val="24"/>
        </w:rPr>
        <w:t xml:space="preserve"> in PUCO proceedings</w:t>
      </w:r>
      <w:r w:rsidRPr="00EC71A7">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EC71A7">
        <w:rPr>
          <w:rFonts w:ascii="Times New Roman" w:hAnsi="Times New Roman" w:cs="Times New Roman"/>
          <w:sz w:val="24"/>
          <w:szCs w:val="24"/>
        </w:rPr>
        <w:t xml:space="preserve"> </w:t>
      </w:r>
      <w:r>
        <w:rPr>
          <w:rFonts w:ascii="Times New Roman" w:hAnsi="Times New Roman" w:cs="Times New Roman"/>
          <w:sz w:val="24"/>
          <w:szCs w:val="24"/>
        </w:rPr>
        <w:t>When there is a</w:t>
      </w:r>
      <w:r w:rsidRPr="00EC71A7">
        <w:rPr>
          <w:rFonts w:ascii="Times New Roman" w:hAnsi="Times New Roman" w:cs="Times New Roman"/>
          <w:sz w:val="24"/>
          <w:szCs w:val="24"/>
        </w:rPr>
        <w:t xml:space="preserve"> stipulation, the signatory parties "bear the burden to support the stipulation" and must "demonstrate that the stipulation is reasonable and satisfies the Commission's three-part test."</w:t>
      </w:r>
      <w:r>
        <w:rPr>
          <w:rStyle w:val="FootnoteReference"/>
          <w:rFonts w:ascii="Times New Roman" w:hAnsi="Times New Roman" w:cs="Times New Roman"/>
          <w:sz w:val="24"/>
          <w:szCs w:val="24"/>
        </w:rPr>
        <w:footnoteReference w:id="6"/>
      </w:r>
      <w:r w:rsidRPr="00EC71A7">
        <w:rPr>
          <w:rFonts w:ascii="Times New Roman" w:hAnsi="Times New Roman" w:cs="Times New Roman"/>
          <w:sz w:val="24"/>
          <w:szCs w:val="24"/>
        </w:rPr>
        <w:t xml:space="preserve"> And </w:t>
      </w:r>
      <w:r>
        <w:rPr>
          <w:rFonts w:ascii="Times New Roman" w:hAnsi="Times New Roman" w:cs="Times New Roman"/>
          <w:sz w:val="24"/>
          <w:szCs w:val="24"/>
        </w:rPr>
        <w:t xml:space="preserve">in cases involving the significantly excessive earnings test </w:t>
      </w:r>
      <w:r w:rsidRPr="00EC71A7">
        <w:rPr>
          <w:rFonts w:ascii="Times New Roman" w:hAnsi="Times New Roman" w:cs="Times New Roman"/>
          <w:sz w:val="24"/>
          <w:szCs w:val="24"/>
        </w:rPr>
        <w:t>“[t]he burden of proof for demonstrating that significantly excessive earnings did not occur shall be on the electric distribution utility.”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Because this burden of proof is required by law, AEP must satisfy it </w:t>
      </w:r>
      <w:r w:rsidR="00927D51">
        <w:rPr>
          <w:rFonts w:ascii="Times New Roman" w:hAnsi="Times New Roman" w:cs="Times New Roman"/>
          <w:sz w:val="24"/>
          <w:szCs w:val="24"/>
        </w:rPr>
        <w:t xml:space="preserve">regardless as to </w:t>
      </w:r>
      <w:r>
        <w:rPr>
          <w:rFonts w:ascii="Times New Roman" w:hAnsi="Times New Roman" w:cs="Times New Roman"/>
          <w:sz w:val="24"/>
          <w:szCs w:val="24"/>
        </w:rPr>
        <w:t>whether there is a settlement or not.</w:t>
      </w:r>
    </w:p>
    <w:p w:rsidR="000B6A31" w:rsidRPr="005365F6" w:rsidP="000B6A31" w14:paraId="2E3056C6" w14:textId="67166D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5365F6" w:rsidR="0074658D">
        <w:rPr>
          <w:rFonts w:ascii="Times New Roman" w:hAnsi="Times New Roman" w:cs="Times New Roman"/>
          <w:sz w:val="24"/>
          <w:szCs w:val="24"/>
        </w:rPr>
        <w:t xml:space="preserve"> settlement is merely a recommendation that is not legally binding on the PUCO</w:t>
      </w:r>
      <w:r w:rsidR="0074658D">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5365F6" w:rsidR="0074658D">
        <w:rPr>
          <w:rFonts w:ascii="Times New Roman" w:hAnsi="Times New Roman" w:cs="Times New Roman"/>
          <w:sz w:val="24"/>
          <w:szCs w:val="24"/>
        </w:rPr>
        <w:t xml:space="preserve"> </w:t>
      </w:r>
      <w:r w:rsidRPr="00EC71A7" w:rsidR="0074658D">
        <w:rPr>
          <w:rFonts w:ascii="Times New Roman" w:hAnsi="Times New Roman" w:cs="Times New Roman"/>
          <w:sz w:val="24"/>
          <w:szCs w:val="24"/>
        </w:rPr>
        <w:t xml:space="preserve">and the PUCO has the discretion to give each settlement the weight that the PUCO believes it deserves. </w:t>
      </w:r>
      <w:r w:rsidRPr="0080203A" w:rsidR="0074658D">
        <w:rPr>
          <w:rFonts w:ascii="Times New Roman" w:hAnsi="Times New Roman" w:cs="Times New Roman"/>
          <w:sz w:val="24"/>
          <w:szCs w:val="24"/>
        </w:rPr>
        <w:t>The PUCO</w:t>
      </w:r>
      <w:r w:rsidRPr="005365F6" w:rsidR="0074658D">
        <w:rPr>
          <w:rFonts w:ascii="Times New Roman" w:hAnsi="Times New Roman" w:cs="Times New Roman"/>
          <w:sz w:val="24"/>
          <w:szCs w:val="24"/>
        </w:rPr>
        <w:t xml:space="preserve"> “may take the stipulation into </w:t>
      </w:r>
      <w:r w:rsidRPr="005365F6" w:rsidR="00E1349F">
        <w:rPr>
          <w:rFonts w:ascii="Times New Roman" w:hAnsi="Times New Roman" w:cs="Times New Roman"/>
          <w:sz w:val="24"/>
          <w:szCs w:val="24"/>
        </w:rPr>
        <w:t>consideration but</w:t>
      </w:r>
      <w:r w:rsidRPr="005365F6" w:rsidR="0074658D">
        <w:rPr>
          <w:rFonts w:ascii="Times New Roman" w:hAnsi="Times New Roman" w:cs="Times New Roman"/>
          <w:sz w:val="24"/>
          <w:szCs w:val="24"/>
        </w:rPr>
        <w:t xml:space="preserve"> must determine what is just and reasonable from the evidence presented at the hearing.</w:t>
      </w:r>
      <w:r w:rsidR="0074658D">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0B6A31" w:rsidRPr="005365F6" w:rsidP="000B6A31" w14:paraId="0F7DA74D"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evaluating settlements, the ultimate issue for the PUCO’s consideration is whether the agreement is “reasonable and should be adopted.” In answering this question, the PUCO has adopted the following three-part test:</w:t>
      </w:r>
      <w:r>
        <w:rPr>
          <w:rStyle w:val="FootnoteReference"/>
          <w:rFonts w:ascii="Times New Roman" w:hAnsi="Times New Roman" w:cs="Times New Roman"/>
          <w:sz w:val="24"/>
          <w:szCs w:val="24"/>
        </w:rPr>
        <w:footnoteReference w:id="10"/>
      </w:r>
    </w:p>
    <w:p w:rsidR="000B6A31" w:rsidRPr="005365F6" w:rsidP="000B6A31" w14:paraId="6287DF61" w14:textId="77777777">
      <w:pPr>
        <w:pStyle w:val="ListParagraph"/>
        <w:numPr>
          <w:ilvl w:val="0"/>
          <w:numId w:val="6"/>
        </w:numPr>
        <w:spacing w:after="0" w:line="480" w:lineRule="auto"/>
        <w:ind w:left="1440" w:right="720" w:hanging="720"/>
        <w:rPr>
          <w:rFonts w:ascii="Times New Roman" w:hAnsi="Times New Roman" w:cs="Times New Roman"/>
          <w:sz w:val="24"/>
          <w:szCs w:val="24"/>
        </w:rPr>
      </w:pPr>
      <w:r w:rsidRPr="005365F6">
        <w:rPr>
          <w:rFonts w:ascii="Times New Roman" w:hAnsi="Times New Roman" w:cs="Times New Roman"/>
          <w:sz w:val="24"/>
          <w:szCs w:val="24"/>
        </w:rPr>
        <w:t>Is the settlement a product of serious bargaining among</w:t>
      </w:r>
      <w:r>
        <w:rPr>
          <w:rFonts w:ascii="Times New Roman" w:hAnsi="Times New Roman" w:cs="Times New Roman"/>
          <w:sz w:val="24"/>
          <w:szCs w:val="24"/>
        </w:rPr>
        <w:t xml:space="preserve"> capable, knowledgeable parties</w:t>
      </w:r>
      <w:r w:rsidRPr="005365F6">
        <w:rPr>
          <w:rFonts w:ascii="Times New Roman" w:hAnsi="Times New Roman" w:cs="Times New Roman"/>
          <w:sz w:val="24"/>
          <w:szCs w:val="24"/>
        </w:rPr>
        <w:t>?</w:t>
      </w:r>
    </w:p>
    <w:p w:rsidR="000B6A31" w:rsidRPr="005365F6" w:rsidP="000B6A31" w14:paraId="1191851A" w14:textId="77777777">
      <w:pPr>
        <w:pStyle w:val="ListParagraph"/>
        <w:numPr>
          <w:ilvl w:val="0"/>
          <w:numId w:val="6"/>
        </w:numPr>
        <w:spacing w:after="0" w:line="480" w:lineRule="auto"/>
        <w:ind w:left="1440" w:right="720" w:hanging="720"/>
        <w:rPr>
          <w:rFonts w:ascii="Times New Roman" w:hAnsi="Times New Roman" w:cs="Times New Roman"/>
          <w:sz w:val="24"/>
          <w:szCs w:val="24"/>
        </w:rPr>
      </w:pPr>
      <w:r w:rsidRPr="005365F6">
        <w:rPr>
          <w:rFonts w:ascii="Times New Roman" w:hAnsi="Times New Roman" w:cs="Times New Roman"/>
          <w:sz w:val="24"/>
          <w:szCs w:val="24"/>
        </w:rPr>
        <w:t>Does the settlement, as a package, benefit customers and the public interest?</w:t>
      </w:r>
    </w:p>
    <w:p w:rsidR="000B6A31" w:rsidRPr="005365F6" w:rsidP="000B6A31" w14:paraId="16ABE966" w14:textId="77777777">
      <w:pPr>
        <w:pStyle w:val="ListParagraph"/>
        <w:numPr>
          <w:ilvl w:val="0"/>
          <w:numId w:val="6"/>
        </w:numPr>
        <w:spacing w:after="0" w:line="480" w:lineRule="auto"/>
        <w:ind w:left="1440" w:right="720" w:hanging="720"/>
        <w:rPr>
          <w:rFonts w:ascii="Times New Roman" w:hAnsi="Times New Roman" w:cs="Times New Roman"/>
          <w:sz w:val="24"/>
          <w:szCs w:val="24"/>
        </w:rPr>
      </w:pPr>
      <w:r w:rsidRPr="005365F6">
        <w:rPr>
          <w:rFonts w:ascii="Times New Roman" w:hAnsi="Times New Roman" w:cs="Times New Roman"/>
          <w:sz w:val="24"/>
          <w:szCs w:val="24"/>
        </w:rPr>
        <w:t>Does the settlement violate any important regulatory principles or practice?</w:t>
      </w:r>
    </w:p>
    <w:p w:rsidR="000B6A31" w:rsidP="00705F88" w14:paraId="2DA98DF0" w14:textId="55798A0B">
      <w:pPr>
        <w:spacing w:after="0" w:line="480" w:lineRule="auto"/>
        <w:ind w:firstLine="720"/>
        <w:rPr>
          <w:rFonts w:ascii="Times New Roman" w:hAnsi="Times New Roman" w:cs="Times New Roman"/>
          <w:sz w:val="24"/>
          <w:szCs w:val="24"/>
        </w:rPr>
      </w:pPr>
      <w:r w:rsidRPr="005365F6">
        <w:rPr>
          <w:rFonts w:ascii="Times New Roman" w:hAnsi="Times New Roman" w:cs="Times New Roman"/>
          <w:sz w:val="24"/>
          <w:szCs w:val="24"/>
        </w:rPr>
        <w:t xml:space="preserve">As OCC demonstrates, the </w:t>
      </w:r>
      <w:r>
        <w:rPr>
          <w:rFonts w:ascii="Times New Roman" w:hAnsi="Times New Roman" w:cs="Times New Roman"/>
          <w:sz w:val="24"/>
          <w:szCs w:val="24"/>
        </w:rPr>
        <w:t xml:space="preserve">proposed </w:t>
      </w:r>
      <w:r w:rsidRPr="005365F6">
        <w:rPr>
          <w:rFonts w:ascii="Times New Roman" w:hAnsi="Times New Roman" w:cs="Times New Roman"/>
          <w:sz w:val="24"/>
          <w:szCs w:val="24"/>
        </w:rPr>
        <w:t>Settlement</w:t>
      </w:r>
      <w:r>
        <w:rPr>
          <w:rFonts w:ascii="Times New Roman" w:hAnsi="Times New Roman" w:cs="Times New Roman"/>
          <w:sz w:val="24"/>
          <w:szCs w:val="24"/>
        </w:rPr>
        <w:t xml:space="preserve"> in this case</w:t>
      </w:r>
      <w:r w:rsidRPr="005365F6">
        <w:rPr>
          <w:rFonts w:ascii="Times New Roman" w:hAnsi="Times New Roman" w:cs="Times New Roman"/>
          <w:sz w:val="24"/>
          <w:szCs w:val="24"/>
        </w:rPr>
        <w:t xml:space="preserve"> does not meet this standard.</w:t>
      </w:r>
    </w:p>
    <w:p w:rsidR="00245DC9" w:rsidRPr="005365F6" w:rsidP="00245DC9" w14:paraId="32B1BB3D" w14:textId="77777777">
      <w:pPr>
        <w:spacing w:after="0" w:line="240" w:lineRule="auto"/>
        <w:ind w:firstLine="720"/>
        <w:rPr>
          <w:rFonts w:ascii="Times New Roman" w:hAnsi="Times New Roman" w:cs="Times New Roman"/>
          <w:sz w:val="24"/>
          <w:szCs w:val="24"/>
        </w:rPr>
      </w:pPr>
    </w:p>
    <w:p w:rsidR="000B6A31" w:rsidRPr="00EC71A7" w:rsidP="000B6A31" w14:paraId="5CB6FBCA" w14:textId="77777777">
      <w:pPr>
        <w:pStyle w:val="Heading1"/>
      </w:pPr>
      <w:bookmarkStart w:id="3" w:name="_Toc26186880"/>
      <w:r>
        <w:t>OVERVIEW OF THE SIGNIFICANTLY EXCESSIVE EARNINGS TEST</w:t>
      </w:r>
      <w:bookmarkEnd w:id="3"/>
    </w:p>
    <w:p w:rsidR="000B6A31" w:rsidP="000B6A31" w14:paraId="72E658C9" w14:textId="4BD02B6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2008 energy law (S.B. 221), codified in part in R.C. 4928.143, allows electric distribution utilities in Ohio to charge customers under an electric security plan, or ESP. These ESPs have proven very profitable for Ohio’s electric utilities, in large part because they allow the utilities to engage in previously-prohibited</w:t>
      </w:r>
      <w:r w:rsidR="00927D51">
        <w:rPr>
          <w:rFonts w:ascii="Times New Roman" w:hAnsi="Times New Roman" w:cs="Times New Roman"/>
          <w:sz w:val="24"/>
          <w:szCs w:val="24"/>
        </w:rPr>
        <w:t>,</w:t>
      </w:r>
      <w:r>
        <w:rPr>
          <w:rFonts w:ascii="Times New Roman" w:hAnsi="Times New Roman" w:cs="Times New Roman"/>
          <w:sz w:val="24"/>
          <w:szCs w:val="24"/>
        </w:rPr>
        <w:t xml:space="preserve"> single-issue ratemaking.</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But the law is also designed to protect consumers by limiting the amount of profit that the utility can charge them under its ESP.</w:t>
      </w:r>
      <w:r>
        <w:rPr>
          <w:rStyle w:val="FootnoteReference"/>
          <w:rFonts w:ascii="Times New Roman" w:hAnsi="Times New Roman" w:cs="Times New Roman"/>
          <w:sz w:val="24"/>
          <w:szCs w:val="24"/>
        </w:rPr>
        <w:footnoteReference w:id="12"/>
      </w:r>
    </w:p>
    <w:p w:rsidR="000B6A31" w:rsidRPr="00EC71A7" w14:paraId="09E90026"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R.C. 4928.143(F) requires the PUCO to compare a utility’s earnings under an ESP (measured by return on common equity) to the earnings of comparable companies during the same period.</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If the utility’s earnings are “significantly in excess” of those comparable companies’ earnings, then the utility must refund the excess amounts to consumers.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If the PUCO orders such a refund, the utility then has the option to terminate its ESP and immediately file a Market Rate Offer.</w:t>
      </w:r>
      <w:r>
        <w:rPr>
          <w:rStyle w:val="FootnoteReference"/>
          <w:rFonts w:ascii="Times New Roman" w:hAnsi="Times New Roman" w:cs="Times New Roman"/>
          <w:sz w:val="24"/>
          <w:szCs w:val="24"/>
        </w:rPr>
        <w:footnoteReference w:id="15"/>
      </w:r>
    </w:p>
    <w:p w:rsidR="000B6A31" w:rsidP="000B6A31" w14:paraId="4AB75F49" w14:textId="0C9926D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had significantly excessive earnings of more than $5</w:t>
      </w:r>
      <w:r w:rsidR="00E1349F">
        <w:rPr>
          <w:rFonts w:ascii="Times New Roman" w:hAnsi="Times New Roman" w:cs="Times New Roman"/>
          <w:sz w:val="24"/>
          <w:szCs w:val="24"/>
        </w:rPr>
        <w:t>.7</w:t>
      </w:r>
      <w:r>
        <w:rPr>
          <w:rFonts w:ascii="Times New Roman" w:hAnsi="Times New Roman" w:cs="Times New Roman"/>
          <w:sz w:val="24"/>
          <w:szCs w:val="24"/>
        </w:rPr>
        <w:t xml:space="preserve"> million in 201</w:t>
      </w:r>
      <w:r w:rsidR="00E1349F">
        <w:rPr>
          <w:rFonts w:ascii="Times New Roman" w:hAnsi="Times New Roman" w:cs="Times New Roman"/>
          <w:sz w:val="24"/>
          <w:szCs w:val="24"/>
        </w:rPr>
        <w:t>8</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The law requires AEP to return that amount to customers.</w:t>
      </w:r>
    </w:p>
    <w:p w:rsidR="000B6A31" w:rsidP="000B6A31" w14:paraId="77CF572C" w14:textId="77777777">
      <w:pPr>
        <w:spacing w:after="0" w:line="240" w:lineRule="auto"/>
        <w:ind w:firstLine="720"/>
        <w:rPr>
          <w:rFonts w:ascii="Times New Roman" w:hAnsi="Times New Roman" w:cs="Times New Roman"/>
          <w:sz w:val="24"/>
          <w:szCs w:val="24"/>
        </w:rPr>
      </w:pPr>
    </w:p>
    <w:p w:rsidR="000B6A31" w:rsidRPr="005365F6" w:rsidP="000B6A31" w14:paraId="68502326" w14:textId="77777777">
      <w:pPr>
        <w:pStyle w:val="Heading1"/>
      </w:pPr>
      <w:bookmarkStart w:id="4" w:name="_Toc26186881"/>
      <w:r>
        <w:t>RECOMMENDATIONS</w:t>
      </w:r>
      <w:bookmarkEnd w:id="4"/>
    </w:p>
    <w:p w:rsidR="000B6A31" w:rsidRPr="005365F6" w:rsidP="00245DC9" w14:paraId="2C4A62F5" w14:textId="1977EDA2">
      <w:pPr>
        <w:pStyle w:val="Heading2"/>
      </w:pPr>
      <w:bookmarkStart w:id="5" w:name="_Toc482612436"/>
      <w:bookmarkStart w:id="6" w:name="_Toc26186882"/>
      <w:r w:rsidRPr="005365F6">
        <w:t xml:space="preserve">The </w:t>
      </w:r>
      <w:r>
        <w:t xml:space="preserve">PUCO should reject the proposed </w:t>
      </w:r>
      <w:r w:rsidRPr="005365F6">
        <w:t xml:space="preserve">Settlement </w:t>
      </w:r>
      <w:r>
        <w:t>because it harms consumers</w:t>
      </w:r>
      <w:r w:rsidRPr="005365F6">
        <w:t xml:space="preserve"> and</w:t>
      </w:r>
      <w:r w:rsidR="00F01D60">
        <w:t xml:space="preserve"> is not in</w:t>
      </w:r>
      <w:r w:rsidRPr="005365F6">
        <w:t xml:space="preserve"> the public in</w:t>
      </w:r>
      <w:r>
        <w:t xml:space="preserve">terest </w:t>
      </w:r>
      <w:r w:rsidR="00F01D60">
        <w:t>because</w:t>
      </w:r>
      <w:r>
        <w:t xml:space="preserve"> </w:t>
      </w:r>
      <w:r w:rsidR="00F01D60">
        <w:t xml:space="preserve">it </w:t>
      </w:r>
      <w:r>
        <w:t>allow</w:t>
      </w:r>
      <w:r w:rsidR="00F01D60">
        <w:t>s</w:t>
      </w:r>
      <w:r>
        <w:t xml:space="preserve"> AEP to keep</w:t>
      </w:r>
      <w:r w:rsidRPr="005365F6">
        <w:t xml:space="preserve"> </w:t>
      </w:r>
      <w:r>
        <w:t>$5</w:t>
      </w:r>
      <w:r w:rsidR="00E1349F">
        <w:t>.7</w:t>
      </w:r>
      <w:r>
        <w:t xml:space="preserve"> million in significantly excessive </w:t>
      </w:r>
      <w:r w:rsidRPr="005365F6">
        <w:t>earnings.</w:t>
      </w:r>
      <w:bookmarkEnd w:id="5"/>
      <w:bookmarkEnd w:id="6"/>
    </w:p>
    <w:p w:rsidR="000B6A31" w:rsidP="000B6A31" w14:paraId="3CC309CD" w14:textId="03A5EE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properly applied in this case, the significantly excessive earnings test requires AEP to provide a $5</w:t>
      </w:r>
      <w:r w:rsidR="00891DE2">
        <w:rPr>
          <w:rFonts w:ascii="Times New Roman" w:hAnsi="Times New Roman" w:cs="Times New Roman"/>
          <w:sz w:val="24"/>
          <w:szCs w:val="24"/>
        </w:rPr>
        <w:t>.7</w:t>
      </w:r>
      <w:r>
        <w:rPr>
          <w:rFonts w:ascii="Times New Roman" w:hAnsi="Times New Roman" w:cs="Times New Roman"/>
          <w:sz w:val="24"/>
          <w:szCs w:val="24"/>
        </w:rPr>
        <w:t xml:space="preserve"> million refund to customers. The Settlement, however, </w:t>
      </w:r>
      <w:r w:rsidR="003C2BAF">
        <w:rPr>
          <w:rFonts w:ascii="Times New Roman" w:hAnsi="Times New Roman" w:cs="Times New Roman"/>
          <w:sz w:val="24"/>
          <w:szCs w:val="24"/>
        </w:rPr>
        <w:t>contains</w:t>
      </w:r>
      <w:r>
        <w:rPr>
          <w:rFonts w:ascii="Times New Roman" w:hAnsi="Times New Roman" w:cs="Times New Roman"/>
          <w:sz w:val="24"/>
          <w:szCs w:val="24"/>
        </w:rPr>
        <w:t xml:space="preserve"> no refund to customers. Customers do not benefit from a settlement that allows AEP to charge its customers for significantly excessive earnings and then shift those earnings to a previous review period to avoid a refund.</w:t>
      </w:r>
    </w:p>
    <w:p w:rsidR="00B10D4B" w:rsidP="00B10D4B" w14:paraId="0C7F1E48" w14:textId="47E76AD2">
      <w:pPr>
        <w:spacing w:after="0" w:line="480" w:lineRule="auto"/>
        <w:ind w:firstLine="720"/>
        <w:rPr>
          <w:rFonts w:ascii="Times New Roman" w:hAnsi="Times New Roman" w:cs="Times New Roman"/>
          <w:bCs/>
          <w:sz w:val="24"/>
          <w:szCs w:val="24"/>
        </w:rPr>
      </w:pPr>
      <w:r w:rsidRPr="00861469">
        <w:rPr>
          <w:rFonts w:ascii="Times New Roman" w:hAnsi="Times New Roman" w:cs="Times New Roman"/>
          <w:bCs/>
          <w:sz w:val="24"/>
          <w:szCs w:val="24"/>
        </w:rPr>
        <w:t xml:space="preserve">OCC Expert Witness Dr. Duann reviewed the proposed Settlement and </w:t>
      </w:r>
      <w:r>
        <w:rPr>
          <w:rFonts w:ascii="Times New Roman" w:hAnsi="Times New Roman" w:cs="Times New Roman"/>
          <w:bCs/>
          <w:sz w:val="24"/>
          <w:szCs w:val="24"/>
        </w:rPr>
        <w:t xml:space="preserve">determined </w:t>
      </w:r>
      <w:r w:rsidRPr="00861469">
        <w:rPr>
          <w:rFonts w:ascii="Times New Roman" w:hAnsi="Times New Roman" w:cs="Times New Roman"/>
          <w:bCs/>
          <w:sz w:val="24"/>
          <w:szCs w:val="24"/>
        </w:rPr>
        <w:t>that AEP would be found to have no significantly excessive earnings in 2018 from the approved Electric Security Plan  if it were approved.</w:t>
      </w:r>
      <w:r>
        <w:rPr>
          <w:rStyle w:val="FootnoteReference"/>
          <w:rFonts w:ascii="Times New Roman" w:hAnsi="Times New Roman" w:cs="Times New Roman"/>
          <w:bCs/>
          <w:sz w:val="24"/>
          <w:szCs w:val="24"/>
        </w:rPr>
        <w:footnoteReference w:id="17"/>
      </w:r>
      <w:r w:rsidRPr="00861469">
        <w:rPr>
          <w:rFonts w:ascii="Times New Roman" w:hAnsi="Times New Roman" w:cs="Times New Roman"/>
          <w:bCs/>
          <w:sz w:val="24"/>
          <w:szCs w:val="24"/>
        </w:rPr>
        <w:t xml:space="preserve"> And if the proposed Settlement is adopted, </w:t>
      </w:r>
      <w:r>
        <w:rPr>
          <w:rFonts w:ascii="Times New Roman" w:hAnsi="Times New Roman" w:cs="Times New Roman"/>
          <w:bCs/>
          <w:sz w:val="24"/>
          <w:szCs w:val="24"/>
        </w:rPr>
        <w:t>AEP</w:t>
      </w:r>
      <w:r w:rsidRPr="00861469">
        <w:rPr>
          <w:rFonts w:ascii="Times New Roman" w:hAnsi="Times New Roman" w:cs="Times New Roman"/>
          <w:bCs/>
          <w:sz w:val="24"/>
          <w:szCs w:val="24"/>
        </w:rPr>
        <w:t xml:space="preserve"> would not be required to refund any of its </w:t>
      </w:r>
      <w:r w:rsidR="00335116">
        <w:rPr>
          <w:rFonts w:ascii="Times New Roman" w:hAnsi="Times New Roman" w:cs="Times New Roman"/>
          <w:bCs/>
          <w:sz w:val="24"/>
          <w:szCs w:val="24"/>
        </w:rPr>
        <w:t xml:space="preserve">2018 </w:t>
      </w:r>
      <w:r w:rsidRPr="00861469">
        <w:rPr>
          <w:rFonts w:ascii="Times New Roman" w:hAnsi="Times New Roman" w:cs="Times New Roman"/>
          <w:bCs/>
          <w:sz w:val="24"/>
          <w:szCs w:val="24"/>
        </w:rPr>
        <w:t>significantly excessive earnings</w:t>
      </w:r>
      <w:r>
        <w:rPr>
          <w:rFonts w:ascii="Times New Roman" w:hAnsi="Times New Roman" w:cs="Times New Roman"/>
          <w:bCs/>
          <w:sz w:val="24"/>
          <w:szCs w:val="24"/>
        </w:rPr>
        <w:t>.</w:t>
      </w:r>
      <w:r w:rsidRPr="00861469">
        <w:rPr>
          <w:rFonts w:ascii="Times New Roman" w:hAnsi="Times New Roman" w:cs="Times New Roman"/>
          <w:bCs/>
          <w:sz w:val="24"/>
          <w:szCs w:val="24"/>
        </w:rPr>
        <w:t xml:space="preserve"> </w:t>
      </w:r>
      <w:r>
        <w:rPr>
          <w:rFonts w:ascii="Times New Roman" w:hAnsi="Times New Roman" w:cs="Times New Roman"/>
          <w:bCs/>
          <w:sz w:val="24"/>
          <w:szCs w:val="24"/>
        </w:rPr>
        <w:t>While AEP will get to keep these earnings, AEP’s</w:t>
      </w:r>
      <w:r w:rsidRPr="00861469">
        <w:rPr>
          <w:rFonts w:ascii="Times New Roman" w:hAnsi="Times New Roman" w:cs="Times New Roman"/>
          <w:bCs/>
          <w:sz w:val="24"/>
          <w:szCs w:val="24"/>
        </w:rPr>
        <w:t xml:space="preserve"> customers will be unjustly and unreasonably deprived of the refund they are entitled to under Ohio’s Significantly Excessive Earnings Test (</w:t>
      </w:r>
      <w:r w:rsidR="00335116">
        <w:rPr>
          <w:rFonts w:ascii="Times New Roman" w:hAnsi="Times New Roman" w:cs="Times New Roman"/>
          <w:bCs/>
          <w:sz w:val="24"/>
          <w:szCs w:val="24"/>
        </w:rPr>
        <w:t>“</w:t>
      </w:r>
      <w:r w:rsidRPr="00861469">
        <w:rPr>
          <w:rFonts w:ascii="Times New Roman" w:hAnsi="Times New Roman" w:cs="Times New Roman"/>
          <w:bCs/>
          <w:sz w:val="24"/>
          <w:szCs w:val="24"/>
        </w:rPr>
        <w:t>SEET</w:t>
      </w:r>
      <w:r w:rsidR="00335116">
        <w:rPr>
          <w:rFonts w:ascii="Times New Roman" w:hAnsi="Times New Roman" w:cs="Times New Roman"/>
          <w:bCs/>
          <w:sz w:val="24"/>
          <w:szCs w:val="24"/>
        </w:rPr>
        <w:t>”</w:t>
      </w:r>
      <w:r w:rsidRPr="00861469">
        <w:rPr>
          <w:rFonts w:ascii="Times New Roman" w:hAnsi="Times New Roman" w:cs="Times New Roman"/>
          <w:bCs/>
          <w:sz w:val="24"/>
          <w:szCs w:val="24"/>
        </w:rPr>
        <w:t>) statute and PUCO precedent.</w:t>
      </w:r>
      <w:r>
        <w:rPr>
          <w:rStyle w:val="FootnoteReference"/>
          <w:rFonts w:ascii="Times New Roman" w:hAnsi="Times New Roman" w:cs="Times New Roman"/>
          <w:bCs/>
          <w:sz w:val="24"/>
          <w:szCs w:val="24"/>
        </w:rPr>
        <w:footnoteReference w:id="18"/>
      </w:r>
      <w:r w:rsidRPr="00861469">
        <w:rPr>
          <w:rFonts w:ascii="Times New Roman" w:hAnsi="Times New Roman" w:cs="Times New Roman"/>
          <w:bCs/>
          <w:sz w:val="24"/>
          <w:szCs w:val="24"/>
        </w:rPr>
        <w:t xml:space="preserve"> </w:t>
      </w:r>
      <w:r>
        <w:rPr>
          <w:rFonts w:ascii="Times New Roman" w:hAnsi="Times New Roman" w:cs="Times New Roman"/>
          <w:bCs/>
          <w:sz w:val="24"/>
          <w:szCs w:val="24"/>
        </w:rPr>
        <w:t xml:space="preserve">As a result, </w:t>
      </w:r>
      <w:r w:rsidRPr="00861469">
        <w:rPr>
          <w:rFonts w:ascii="Times New Roman" w:hAnsi="Times New Roman" w:cs="Times New Roman"/>
          <w:bCs/>
          <w:sz w:val="24"/>
          <w:szCs w:val="24"/>
        </w:rPr>
        <w:t>AEP’s customers will pay substantially more than the just and reasonable rates for receiving monopoly electric distribution services from Ohio Power.</w:t>
      </w:r>
      <w:r>
        <w:rPr>
          <w:rStyle w:val="FootnoteReference"/>
          <w:rFonts w:ascii="Times New Roman" w:hAnsi="Times New Roman" w:cs="Times New Roman"/>
          <w:bCs/>
          <w:sz w:val="24"/>
          <w:szCs w:val="24"/>
        </w:rPr>
        <w:footnoteReference w:id="19"/>
      </w:r>
      <w:r w:rsidRPr="00861469">
        <w:rPr>
          <w:rFonts w:ascii="Times New Roman" w:hAnsi="Times New Roman" w:cs="Times New Roman"/>
          <w:bCs/>
          <w:sz w:val="24"/>
          <w:szCs w:val="24"/>
        </w:rPr>
        <w:t xml:space="preserve"> </w:t>
      </w:r>
      <w:r>
        <w:rPr>
          <w:rFonts w:ascii="Times New Roman" w:hAnsi="Times New Roman" w:cs="Times New Roman"/>
          <w:bCs/>
          <w:sz w:val="24"/>
          <w:szCs w:val="24"/>
        </w:rPr>
        <w:t xml:space="preserve">The PUCO should not approve this Settlement that harms consumers and </w:t>
      </w:r>
      <w:r w:rsidR="00F01D60">
        <w:rPr>
          <w:rFonts w:ascii="Times New Roman" w:hAnsi="Times New Roman" w:cs="Times New Roman"/>
          <w:bCs/>
          <w:sz w:val="24"/>
          <w:szCs w:val="24"/>
        </w:rPr>
        <w:t xml:space="preserve">is not in </w:t>
      </w:r>
      <w:r>
        <w:rPr>
          <w:rFonts w:ascii="Times New Roman" w:hAnsi="Times New Roman" w:cs="Times New Roman"/>
          <w:bCs/>
          <w:sz w:val="24"/>
          <w:szCs w:val="24"/>
        </w:rPr>
        <w:t>the public interest.</w:t>
      </w:r>
      <w:r w:rsidRPr="00861469">
        <w:rPr>
          <w:rFonts w:ascii="Times New Roman" w:hAnsi="Times New Roman" w:cs="Times New Roman"/>
          <w:bCs/>
          <w:sz w:val="24"/>
          <w:szCs w:val="24"/>
        </w:rPr>
        <w:t xml:space="preserve"> </w:t>
      </w:r>
    </w:p>
    <w:p w:rsidR="00A86AE8" w:rsidP="00A86AE8" w14:paraId="664C755D" w14:textId="13F9E836">
      <w:pPr>
        <w:spacing w:after="0" w:line="480" w:lineRule="auto"/>
        <w:ind w:firstLine="720"/>
        <w:rPr>
          <w:rFonts w:ascii="Times New Roman" w:hAnsi="Times New Roman" w:cs="Times New Roman"/>
          <w:iCs/>
          <w:sz w:val="24"/>
          <w:szCs w:val="24"/>
        </w:rPr>
      </w:pPr>
      <w:r>
        <w:rPr>
          <w:rFonts w:ascii="Times New Roman" w:hAnsi="Times New Roman" w:cs="Times New Roman"/>
          <w:bCs/>
          <w:sz w:val="24"/>
          <w:szCs w:val="24"/>
        </w:rPr>
        <w:t>The PUCO Staff provided no reasonable basis for its conclusion that AEP’s 2018 earnings are not significantly excessive. The PUCO Staff did not calculate or determine AEP’s SEET earnings at all</w:t>
      </w:r>
      <w:r w:rsidR="00927D51">
        <w:rPr>
          <w:rFonts w:ascii="Times New Roman" w:hAnsi="Times New Roman" w:cs="Times New Roman"/>
          <w:bCs/>
          <w:sz w:val="24"/>
          <w:szCs w:val="24"/>
        </w:rPr>
        <w:t>. A</w:t>
      </w:r>
      <w:r>
        <w:rPr>
          <w:rFonts w:ascii="Times New Roman" w:hAnsi="Times New Roman" w:cs="Times New Roman"/>
          <w:bCs/>
          <w:sz w:val="24"/>
          <w:szCs w:val="24"/>
        </w:rPr>
        <w:t>nd</w:t>
      </w:r>
      <w:r w:rsidR="00927D51">
        <w:rPr>
          <w:rFonts w:ascii="Times New Roman" w:hAnsi="Times New Roman" w:cs="Times New Roman"/>
          <w:bCs/>
          <w:sz w:val="24"/>
          <w:szCs w:val="24"/>
        </w:rPr>
        <w:t>,</w:t>
      </w:r>
      <w:r>
        <w:rPr>
          <w:rFonts w:ascii="Times New Roman" w:hAnsi="Times New Roman" w:cs="Times New Roman"/>
          <w:bCs/>
          <w:sz w:val="24"/>
          <w:szCs w:val="24"/>
        </w:rPr>
        <w:t xml:space="preserve"> it took no position</w:t>
      </w:r>
      <w:r>
        <w:rPr>
          <w:rStyle w:val="FootnoteReference"/>
          <w:rFonts w:ascii="Times New Roman" w:hAnsi="Times New Roman" w:cs="Times New Roman"/>
          <w:bCs/>
          <w:sz w:val="24"/>
          <w:szCs w:val="24"/>
        </w:rPr>
        <w:footnoteReference w:id="20"/>
      </w:r>
      <w:r>
        <w:rPr>
          <w:rFonts w:ascii="Times New Roman" w:hAnsi="Times New Roman" w:cs="Times New Roman"/>
          <w:bCs/>
          <w:sz w:val="24"/>
          <w:szCs w:val="24"/>
        </w:rPr>
        <w:t xml:space="preserve"> regarding AEP’s calculations of its 2018 earnings.</w:t>
      </w:r>
      <w:r>
        <w:rPr>
          <w:rStyle w:val="FootnoteReference"/>
          <w:rFonts w:ascii="Times New Roman" w:hAnsi="Times New Roman" w:cs="Times New Roman"/>
          <w:bCs/>
          <w:sz w:val="24"/>
          <w:szCs w:val="24"/>
        </w:rPr>
        <w:footnoteReference w:id="21"/>
      </w:r>
      <w:r>
        <w:rPr>
          <w:rFonts w:ascii="Times New Roman" w:hAnsi="Times New Roman" w:cs="Times New Roman"/>
          <w:bCs/>
          <w:sz w:val="24"/>
          <w:szCs w:val="24"/>
        </w:rPr>
        <w:t xml:space="preserve"> The PUCO Staff neither agreed with nor supported the SEET earnings threshold of 16.49% proposed by AEP.</w:t>
      </w:r>
      <w:r>
        <w:rPr>
          <w:rStyle w:val="FootnoteReference"/>
          <w:rFonts w:ascii="Times New Roman" w:hAnsi="Times New Roman" w:cs="Times New Roman"/>
          <w:bCs/>
          <w:sz w:val="24"/>
          <w:szCs w:val="24"/>
        </w:rPr>
        <w:footnoteReference w:id="22"/>
      </w:r>
      <w:r>
        <w:rPr>
          <w:rFonts w:ascii="Times New Roman" w:hAnsi="Times New Roman" w:cs="Times New Roman"/>
          <w:bCs/>
          <w:sz w:val="24"/>
          <w:szCs w:val="24"/>
        </w:rPr>
        <w:t xml:space="preserve"> Instead, PUCO Staff proposed its own SEET threshold of 15.73%.</w:t>
      </w:r>
      <w:r>
        <w:rPr>
          <w:rStyle w:val="FootnoteReference"/>
          <w:rFonts w:ascii="Times New Roman" w:hAnsi="Times New Roman" w:cs="Times New Roman"/>
          <w:bCs/>
          <w:sz w:val="24"/>
          <w:szCs w:val="24"/>
        </w:rPr>
        <w:footnoteReference w:id="23"/>
      </w:r>
      <w:r>
        <w:rPr>
          <w:rFonts w:ascii="Times New Roman" w:hAnsi="Times New Roman" w:cs="Times New Roman"/>
          <w:bCs/>
          <w:sz w:val="24"/>
          <w:szCs w:val="24"/>
        </w:rPr>
        <w:t xml:space="preserve"> But according </w:t>
      </w:r>
      <w:r w:rsidRPr="00A86AE8">
        <w:rPr>
          <w:rFonts w:ascii="Times New Roman" w:hAnsi="Times New Roman" w:cs="Times New Roman"/>
          <w:bCs/>
          <w:sz w:val="24"/>
          <w:szCs w:val="24"/>
        </w:rPr>
        <w:t xml:space="preserve">to OCC Witness Duann, the </w:t>
      </w:r>
      <w:r w:rsidRPr="00A86AE8">
        <w:rPr>
          <w:rFonts w:ascii="Times New Roman" w:hAnsi="Times New Roman" w:cs="Times New Roman"/>
          <w:iCs/>
          <w:sz w:val="24"/>
          <w:szCs w:val="24"/>
        </w:rPr>
        <w:t>methodology used by the PUCO Staff and the resulting earnings threshold itself are flawed and unreasonable.</w:t>
      </w:r>
      <w:r>
        <w:rPr>
          <w:rStyle w:val="FootnoteReference"/>
          <w:rFonts w:ascii="Times New Roman" w:hAnsi="Times New Roman" w:cs="Times New Roman"/>
          <w:iCs/>
          <w:sz w:val="24"/>
          <w:szCs w:val="24"/>
        </w:rPr>
        <w:footnoteReference w:id="24"/>
      </w:r>
      <w:r w:rsidRPr="00012AC0" w:rsidR="00012AC0">
        <w:rPr>
          <w:rFonts w:ascii="Times New Roman" w:hAnsi="Times New Roman" w:cs="Times New Roman"/>
          <w:iCs/>
          <w:sz w:val="24"/>
          <w:szCs w:val="24"/>
        </w:rPr>
        <w:t xml:space="preserve"> </w:t>
      </w:r>
      <w:r w:rsidR="00012AC0">
        <w:rPr>
          <w:rFonts w:ascii="Times New Roman" w:hAnsi="Times New Roman" w:cs="Times New Roman"/>
          <w:iCs/>
          <w:sz w:val="24"/>
          <w:szCs w:val="24"/>
        </w:rPr>
        <w:t>And t</w:t>
      </w:r>
      <w:r w:rsidRPr="00B44044" w:rsidR="00012AC0">
        <w:rPr>
          <w:rFonts w:ascii="Times New Roman" w:hAnsi="Times New Roman" w:cs="Times New Roman"/>
          <w:iCs/>
          <w:sz w:val="24"/>
          <w:szCs w:val="24"/>
        </w:rPr>
        <w:t xml:space="preserve">he method used by the PUCO Staff in deriving the earnings threshold is comparable to that used by Ohio Power.  </w:t>
      </w:r>
    </w:p>
    <w:p w:rsidR="00A86AE8" w:rsidRPr="00A86AE8" w:rsidP="00B10D4B" w14:paraId="25940F06" w14:textId="11571CE4">
      <w:pPr>
        <w:spacing w:after="0" w:line="480" w:lineRule="auto"/>
        <w:ind w:firstLine="720"/>
        <w:rPr>
          <w:rFonts w:ascii="Times New Roman" w:hAnsi="Times New Roman" w:cs="Times New Roman"/>
          <w:bCs/>
          <w:sz w:val="24"/>
          <w:szCs w:val="24"/>
        </w:rPr>
      </w:pPr>
      <w:r w:rsidRPr="00B44044">
        <w:rPr>
          <w:rFonts w:ascii="Times New Roman" w:hAnsi="Times New Roman" w:cs="Times New Roman"/>
          <w:iCs/>
          <w:sz w:val="24"/>
          <w:szCs w:val="24"/>
        </w:rPr>
        <w:t xml:space="preserve">Dr. Duann reviewed the methodology used by the PUCO Staff and found </w:t>
      </w:r>
      <w:r w:rsidR="00B44044">
        <w:rPr>
          <w:rFonts w:ascii="Times New Roman" w:hAnsi="Times New Roman" w:cs="Times New Roman"/>
          <w:iCs/>
          <w:sz w:val="24"/>
          <w:szCs w:val="24"/>
        </w:rPr>
        <w:t>its proposed</w:t>
      </w:r>
      <w:r w:rsidRPr="00B44044">
        <w:rPr>
          <w:rFonts w:ascii="Times New Roman" w:hAnsi="Times New Roman" w:cs="Times New Roman"/>
          <w:iCs/>
          <w:sz w:val="24"/>
          <w:szCs w:val="24"/>
        </w:rPr>
        <w:t xml:space="preserve"> 15.73% earnings threshold is based on an average 2018 ROE of 7.61% and an adder of 8.12%.</w:t>
      </w:r>
      <w:r>
        <w:rPr>
          <w:rStyle w:val="FootnoteReference"/>
          <w:rFonts w:ascii="Times New Roman" w:hAnsi="Times New Roman" w:cs="Times New Roman"/>
          <w:iCs/>
          <w:sz w:val="24"/>
          <w:szCs w:val="24"/>
        </w:rPr>
        <w:footnoteReference w:id="25"/>
      </w:r>
      <w:r w:rsidRPr="00B44044">
        <w:rPr>
          <w:rFonts w:ascii="Times New Roman" w:hAnsi="Times New Roman" w:cs="Times New Roman"/>
          <w:iCs/>
          <w:sz w:val="24"/>
          <w:szCs w:val="24"/>
        </w:rPr>
        <w:t xml:space="preserve">  The 8.12% adder is in turn calculated from a multiplier of 1.64 and a standard deviation of 4.95%.</w:t>
      </w:r>
      <w:r>
        <w:rPr>
          <w:rStyle w:val="FootnoteReference"/>
          <w:rFonts w:ascii="Times New Roman" w:hAnsi="Times New Roman" w:cs="Times New Roman"/>
          <w:iCs/>
          <w:sz w:val="24"/>
          <w:szCs w:val="24"/>
        </w:rPr>
        <w:footnoteReference w:id="26"/>
      </w:r>
      <w:r w:rsidRPr="00B44044">
        <w:rPr>
          <w:rFonts w:ascii="Times New Roman" w:hAnsi="Times New Roman" w:cs="Times New Roman"/>
          <w:iCs/>
          <w:sz w:val="24"/>
          <w:szCs w:val="24"/>
        </w:rPr>
        <w:t xml:space="preserve"> </w:t>
      </w:r>
      <w:r w:rsidRPr="00B44044" w:rsidR="00B44044">
        <w:rPr>
          <w:rFonts w:ascii="Times New Roman" w:hAnsi="Times New Roman" w:cs="Times New Roman"/>
          <w:iCs/>
          <w:sz w:val="24"/>
          <w:szCs w:val="24"/>
        </w:rPr>
        <w:t>Dr. Duann determined that the</w:t>
      </w:r>
      <w:r w:rsidRPr="00B44044">
        <w:rPr>
          <w:rFonts w:ascii="Times New Roman" w:hAnsi="Times New Roman" w:cs="Times New Roman"/>
          <w:iCs/>
          <w:sz w:val="24"/>
          <w:szCs w:val="24"/>
        </w:rPr>
        <w:t xml:space="preserve"> earnings threshold of 15.73% </w:t>
      </w:r>
      <w:r w:rsidR="00B44044">
        <w:rPr>
          <w:rFonts w:ascii="Times New Roman" w:hAnsi="Times New Roman" w:cs="Times New Roman"/>
          <w:iCs/>
          <w:sz w:val="24"/>
          <w:szCs w:val="24"/>
        </w:rPr>
        <w:t xml:space="preserve">proposed by the PUCO Staff </w:t>
      </w:r>
      <w:r w:rsidRPr="00B44044">
        <w:rPr>
          <w:rFonts w:ascii="Times New Roman" w:hAnsi="Times New Roman" w:cs="Times New Roman"/>
          <w:iCs/>
          <w:sz w:val="24"/>
          <w:szCs w:val="24"/>
        </w:rPr>
        <w:t>is clearly unreasonable and should be rejected</w:t>
      </w:r>
      <w:r w:rsidR="00B44044">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27"/>
      </w:r>
      <w:r w:rsidR="00B44044">
        <w:rPr>
          <w:rFonts w:ascii="Times New Roman" w:hAnsi="Times New Roman" w:cs="Times New Roman"/>
          <w:iCs/>
          <w:sz w:val="24"/>
          <w:szCs w:val="24"/>
        </w:rPr>
        <w:t xml:space="preserve"> This is</w:t>
      </w:r>
      <w:r w:rsidRPr="00B44044">
        <w:rPr>
          <w:rFonts w:ascii="Times New Roman" w:hAnsi="Times New Roman" w:cs="Times New Roman"/>
          <w:iCs/>
          <w:sz w:val="24"/>
          <w:szCs w:val="24"/>
        </w:rPr>
        <w:t xml:space="preserve"> because the proposed adder of 8.12% alone is larger than the proposed average ROE of 7.61%.</w:t>
      </w:r>
      <w:r>
        <w:rPr>
          <w:rStyle w:val="FootnoteReference"/>
          <w:rFonts w:ascii="Times New Roman" w:hAnsi="Times New Roman" w:cs="Times New Roman"/>
          <w:iCs/>
          <w:sz w:val="24"/>
          <w:szCs w:val="24"/>
        </w:rPr>
        <w:footnoteReference w:id="28"/>
      </w:r>
      <w:r w:rsidRPr="00B44044">
        <w:rPr>
          <w:rFonts w:ascii="Times New Roman" w:hAnsi="Times New Roman" w:cs="Times New Roman"/>
          <w:iCs/>
          <w:sz w:val="24"/>
          <w:szCs w:val="24"/>
        </w:rPr>
        <w:t xml:space="preserve">  In other words, the PUCO Staff’s proposed earnings threshold would require </w:t>
      </w:r>
      <w:r w:rsidR="00B44044">
        <w:rPr>
          <w:rFonts w:ascii="Times New Roman" w:hAnsi="Times New Roman" w:cs="Times New Roman"/>
          <w:iCs/>
          <w:sz w:val="24"/>
          <w:szCs w:val="24"/>
        </w:rPr>
        <w:t>AEP’s</w:t>
      </w:r>
      <w:r w:rsidRPr="00B44044">
        <w:rPr>
          <w:rFonts w:ascii="Times New Roman" w:hAnsi="Times New Roman" w:cs="Times New Roman"/>
          <w:iCs/>
          <w:sz w:val="24"/>
          <w:szCs w:val="24"/>
        </w:rPr>
        <w:t xml:space="preserve"> earned ROE to be twice as high (more specifically 106.7% higher) as the average ROE in order to be considered significantly excessive.</w:t>
      </w:r>
      <w:r>
        <w:rPr>
          <w:rStyle w:val="FootnoteReference"/>
          <w:rFonts w:ascii="Times New Roman" w:hAnsi="Times New Roman" w:cs="Times New Roman"/>
          <w:iCs/>
          <w:sz w:val="24"/>
          <w:szCs w:val="24"/>
        </w:rPr>
        <w:footnoteReference w:id="29"/>
      </w:r>
      <w:r w:rsidRPr="00B44044">
        <w:rPr>
          <w:rFonts w:ascii="Times New Roman" w:hAnsi="Times New Roman" w:cs="Times New Roman"/>
          <w:iCs/>
          <w:sz w:val="24"/>
          <w:szCs w:val="24"/>
        </w:rPr>
        <w:t xml:space="preserve">  This is an unreasonable interpretation of “significantly excessive” based on common sense and </w:t>
      </w:r>
      <w:r w:rsidR="00B44044">
        <w:rPr>
          <w:rFonts w:ascii="Times New Roman" w:hAnsi="Times New Roman" w:cs="Times New Roman"/>
          <w:iCs/>
          <w:sz w:val="24"/>
          <w:szCs w:val="24"/>
        </w:rPr>
        <w:t xml:space="preserve">a reasonable reading of </w:t>
      </w:r>
      <w:r w:rsidRPr="00B44044">
        <w:rPr>
          <w:rFonts w:ascii="Times New Roman" w:hAnsi="Times New Roman" w:cs="Times New Roman"/>
          <w:iCs/>
          <w:sz w:val="24"/>
          <w:szCs w:val="24"/>
        </w:rPr>
        <w:t>Ohio law.</w:t>
      </w:r>
    </w:p>
    <w:p w:rsidR="00025643" w:rsidP="00025643" w14:paraId="780AEB1F" w14:textId="06CECE51">
      <w:pPr>
        <w:spacing w:after="0" w:line="480" w:lineRule="auto"/>
        <w:ind w:firstLine="720"/>
        <w:rPr>
          <w:bCs/>
        </w:rPr>
      </w:pPr>
      <w:r w:rsidRPr="00954378">
        <w:rPr>
          <w:rFonts w:ascii="Times New Roman" w:hAnsi="Times New Roman" w:cs="Times New Roman"/>
          <w:bCs/>
          <w:sz w:val="24"/>
          <w:szCs w:val="24"/>
        </w:rPr>
        <w:t>As Dr. Duann explained in his testimony, AEP</w:t>
      </w:r>
      <w:r w:rsidRPr="00954378">
        <w:rPr>
          <w:rFonts w:ascii="Times New Roman" w:hAnsi="Times New Roman" w:cs="Times New Roman"/>
          <w:bCs/>
          <w:sz w:val="24"/>
          <w:szCs w:val="24"/>
        </w:rPr>
        <w:t xml:space="preserve"> earned approximately $327 million in 2018, and had a return on equity (“ROE”) of 14.19%, based on a proper reading of Ohio’s SEET statues and sound regulatory principles.</w:t>
      </w:r>
      <w:r>
        <w:rPr>
          <w:rStyle w:val="FootnoteReference"/>
          <w:rFonts w:ascii="Times New Roman" w:hAnsi="Times New Roman" w:cs="Times New Roman"/>
          <w:sz w:val="24"/>
          <w:szCs w:val="24"/>
        </w:rPr>
        <w:footnoteReference w:id="30"/>
      </w:r>
      <w:r w:rsidRPr="00954378">
        <w:rPr>
          <w:rFonts w:ascii="Times New Roman" w:hAnsi="Times New Roman" w:cs="Times New Roman"/>
          <w:bCs/>
          <w:sz w:val="24"/>
          <w:szCs w:val="24"/>
        </w:rPr>
        <w:t xml:space="preserve"> Based on this 2018 profit level of 14.19% and a reasonable SEET ROE threshold of 14% proposed by OCC, </w:t>
      </w:r>
      <w:r w:rsidR="00954378">
        <w:rPr>
          <w:rFonts w:ascii="Times New Roman" w:hAnsi="Times New Roman" w:cs="Times New Roman"/>
          <w:bCs/>
          <w:sz w:val="24"/>
          <w:szCs w:val="24"/>
        </w:rPr>
        <w:t>AEP</w:t>
      </w:r>
      <w:r w:rsidRPr="00954378">
        <w:rPr>
          <w:rFonts w:ascii="Times New Roman" w:hAnsi="Times New Roman" w:cs="Times New Roman"/>
          <w:bCs/>
          <w:sz w:val="24"/>
          <w:szCs w:val="24"/>
        </w:rPr>
        <w:t xml:space="preserve"> should refund its customers $5,718,971 for its significantly excessive earnings in 2018.</w:t>
      </w:r>
      <w:r>
        <w:rPr>
          <w:rStyle w:val="FootnoteReference"/>
          <w:rFonts w:ascii="Times New Roman" w:hAnsi="Times New Roman" w:cs="Times New Roman"/>
          <w:bCs/>
          <w:sz w:val="24"/>
          <w:szCs w:val="24"/>
        </w:rPr>
        <w:footnoteReference w:id="31"/>
      </w:r>
      <w:r w:rsidR="00954378">
        <w:rPr>
          <w:rFonts w:ascii="Times New Roman" w:hAnsi="Times New Roman" w:cs="Times New Roman"/>
          <w:bCs/>
          <w:sz w:val="24"/>
          <w:szCs w:val="24"/>
        </w:rPr>
        <w:t xml:space="preserve"> </w:t>
      </w:r>
      <w:r w:rsidRPr="00954378">
        <w:rPr>
          <w:rFonts w:ascii="Times New Roman" w:hAnsi="Times New Roman" w:cs="Times New Roman"/>
          <w:bCs/>
          <w:sz w:val="24"/>
          <w:szCs w:val="24"/>
        </w:rPr>
        <w:t>AEP</w:t>
      </w:r>
      <w:r w:rsidRPr="00954378">
        <w:rPr>
          <w:rFonts w:ascii="Times New Roman" w:hAnsi="Times New Roman" w:cs="Times New Roman"/>
          <w:bCs/>
          <w:sz w:val="24"/>
          <w:szCs w:val="24"/>
        </w:rPr>
        <w:t xml:space="preserve">’s own calculation of $295,269,000 in 2018 earnings and a ROE of 12.81% for SEET purpose is flawed and unreasonable and should not be adopted by the PUCO to determine if </w:t>
      </w:r>
      <w:r w:rsidR="00E237D9">
        <w:rPr>
          <w:rFonts w:ascii="Times New Roman" w:hAnsi="Times New Roman" w:cs="Times New Roman"/>
          <w:bCs/>
          <w:sz w:val="24"/>
          <w:szCs w:val="24"/>
        </w:rPr>
        <w:t>AEP</w:t>
      </w:r>
      <w:r w:rsidRPr="00954378">
        <w:rPr>
          <w:rFonts w:ascii="Times New Roman" w:hAnsi="Times New Roman" w:cs="Times New Roman"/>
          <w:bCs/>
          <w:sz w:val="24"/>
          <w:szCs w:val="24"/>
        </w:rPr>
        <w:t xml:space="preserve"> had significantly excessive earnings in 2018.</w:t>
      </w:r>
      <w:r>
        <w:rPr>
          <w:rStyle w:val="FootnoteReference"/>
          <w:bCs/>
        </w:rPr>
        <w:footnoteReference w:id="32"/>
      </w:r>
    </w:p>
    <w:p w:rsidR="00025643" w:rsidP="00025643" w14:paraId="5060166F" w14:textId="3577B0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several reasons the PUCO should rejects this proposed Settlement. First, t</w:t>
      </w:r>
      <w:r w:rsidRPr="00025643">
        <w:rPr>
          <w:rFonts w:ascii="Times New Roman" w:hAnsi="Times New Roman" w:cs="Times New Roman"/>
          <w:sz w:val="24"/>
          <w:szCs w:val="24"/>
        </w:rPr>
        <w:t xml:space="preserve">he proposed Settlement </w:t>
      </w:r>
      <w:r w:rsidR="00954378">
        <w:rPr>
          <w:rFonts w:ascii="Times New Roman" w:hAnsi="Times New Roman" w:cs="Times New Roman"/>
          <w:sz w:val="24"/>
          <w:szCs w:val="24"/>
        </w:rPr>
        <w:t>unreasonably requires</w:t>
      </w:r>
      <w:r w:rsidRPr="00025643">
        <w:rPr>
          <w:rFonts w:ascii="Times New Roman" w:hAnsi="Times New Roman" w:cs="Times New Roman"/>
          <w:sz w:val="24"/>
          <w:szCs w:val="24"/>
        </w:rPr>
        <w:t xml:space="preserve"> </w:t>
      </w:r>
      <w:r w:rsidR="00954378">
        <w:rPr>
          <w:rFonts w:ascii="Times New Roman" w:hAnsi="Times New Roman" w:cs="Times New Roman"/>
          <w:sz w:val="24"/>
          <w:szCs w:val="24"/>
        </w:rPr>
        <w:t>AEP’s</w:t>
      </w:r>
      <w:r w:rsidRPr="00025643">
        <w:rPr>
          <w:rFonts w:ascii="Times New Roman" w:hAnsi="Times New Roman" w:cs="Times New Roman"/>
          <w:sz w:val="24"/>
          <w:szCs w:val="24"/>
        </w:rPr>
        <w:t xml:space="preserve"> customers to forego the approximately $5.7 million SEET refund that they should receive.</w:t>
      </w:r>
      <w:r>
        <w:rPr>
          <w:rStyle w:val="FootnoteReference"/>
          <w:rFonts w:ascii="Times New Roman" w:hAnsi="Times New Roman" w:cs="Times New Roman"/>
          <w:sz w:val="24"/>
          <w:szCs w:val="24"/>
        </w:rPr>
        <w:footnoteReference w:id="33"/>
      </w:r>
      <w:r w:rsidRPr="00025643">
        <w:rPr>
          <w:rFonts w:ascii="Times New Roman" w:hAnsi="Times New Roman" w:cs="Times New Roman"/>
          <w:sz w:val="24"/>
          <w:szCs w:val="24"/>
        </w:rPr>
        <w:t xml:space="preserve"> </w:t>
      </w:r>
      <w:r>
        <w:rPr>
          <w:rFonts w:ascii="Times New Roman" w:hAnsi="Times New Roman" w:cs="Times New Roman"/>
          <w:sz w:val="24"/>
          <w:szCs w:val="24"/>
        </w:rPr>
        <w:t>Second, t</w:t>
      </w:r>
      <w:r w:rsidRPr="00025643">
        <w:rPr>
          <w:rFonts w:ascii="Times New Roman" w:hAnsi="Times New Roman" w:cs="Times New Roman"/>
          <w:sz w:val="24"/>
          <w:szCs w:val="24"/>
        </w:rPr>
        <w:t xml:space="preserve">he proposed Settlement disregards the customer protection included in the ESP statute related to SEET, and thus will harm </w:t>
      </w:r>
      <w:r w:rsidR="00861469">
        <w:rPr>
          <w:rFonts w:ascii="Times New Roman" w:hAnsi="Times New Roman" w:cs="Times New Roman"/>
          <w:sz w:val="24"/>
          <w:szCs w:val="24"/>
        </w:rPr>
        <w:t>AEP’s</w:t>
      </w:r>
      <w:r w:rsidRPr="00025643">
        <w:rPr>
          <w:rFonts w:ascii="Times New Roman" w:hAnsi="Times New Roman" w:cs="Times New Roman"/>
          <w:sz w:val="24"/>
          <w:szCs w:val="24"/>
        </w:rPr>
        <w:t xml:space="preserve"> customers.</w:t>
      </w:r>
      <w:r>
        <w:rPr>
          <w:rStyle w:val="FootnoteReference"/>
          <w:rFonts w:ascii="Times New Roman" w:hAnsi="Times New Roman" w:cs="Times New Roman"/>
          <w:sz w:val="24"/>
          <w:szCs w:val="24"/>
        </w:rPr>
        <w:footnoteReference w:id="34"/>
      </w:r>
      <w:r w:rsidRPr="00025643">
        <w:rPr>
          <w:rFonts w:ascii="Times New Roman" w:hAnsi="Times New Roman" w:cs="Times New Roman"/>
          <w:sz w:val="24"/>
          <w:szCs w:val="24"/>
        </w:rPr>
        <w:t xml:space="preserve"> </w:t>
      </w:r>
      <w:r>
        <w:rPr>
          <w:rFonts w:ascii="Times New Roman" w:hAnsi="Times New Roman" w:cs="Times New Roman"/>
          <w:sz w:val="24"/>
          <w:szCs w:val="24"/>
        </w:rPr>
        <w:t>Third, t</w:t>
      </w:r>
      <w:r w:rsidRPr="00025643">
        <w:rPr>
          <w:rFonts w:ascii="Times New Roman" w:hAnsi="Times New Roman" w:cs="Times New Roman"/>
          <w:sz w:val="24"/>
          <w:szCs w:val="24"/>
        </w:rPr>
        <w:t>he proposed Settlement is not a reasonable compromise of competing positions.</w:t>
      </w:r>
      <w:r>
        <w:rPr>
          <w:rStyle w:val="FootnoteReference"/>
          <w:rFonts w:ascii="Times New Roman" w:hAnsi="Times New Roman" w:cs="Times New Roman"/>
          <w:sz w:val="24"/>
          <w:szCs w:val="24"/>
        </w:rPr>
        <w:footnoteReference w:id="35"/>
      </w:r>
      <w:r w:rsidRPr="00025643">
        <w:rPr>
          <w:rFonts w:ascii="Times New Roman" w:hAnsi="Times New Roman" w:cs="Times New Roman"/>
          <w:sz w:val="24"/>
          <w:szCs w:val="24"/>
        </w:rPr>
        <w:t xml:space="preserve">  </w:t>
      </w:r>
      <w:r>
        <w:rPr>
          <w:rFonts w:ascii="Times New Roman" w:hAnsi="Times New Roman" w:cs="Times New Roman"/>
          <w:sz w:val="24"/>
          <w:szCs w:val="24"/>
        </w:rPr>
        <w:t>Finally, t</w:t>
      </w:r>
      <w:r w:rsidRPr="00025643">
        <w:rPr>
          <w:rFonts w:ascii="Times New Roman" w:hAnsi="Times New Roman" w:cs="Times New Roman"/>
          <w:sz w:val="24"/>
          <w:szCs w:val="24"/>
        </w:rPr>
        <w:t>he PUCO’s approval of the proposed Settlement will serve no public interest.</w:t>
      </w:r>
      <w:r>
        <w:rPr>
          <w:rStyle w:val="FootnoteReference"/>
          <w:rFonts w:ascii="Times New Roman" w:hAnsi="Times New Roman" w:cs="Times New Roman"/>
          <w:sz w:val="24"/>
          <w:szCs w:val="24"/>
        </w:rPr>
        <w:footnoteReference w:id="36"/>
      </w:r>
      <w:r w:rsidRPr="00025643">
        <w:rPr>
          <w:rFonts w:ascii="Times New Roman" w:hAnsi="Times New Roman" w:cs="Times New Roman"/>
          <w:sz w:val="24"/>
          <w:szCs w:val="24"/>
        </w:rPr>
        <w:t xml:space="preserve">   </w:t>
      </w:r>
    </w:p>
    <w:p w:rsidR="000B6A31" w:rsidP="000B6A31" w14:paraId="215BCB2D" w14:textId="51EE52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Rather than adopt the Settlement’s proposal to allow the utility to keep significantly excessive earnings, the PUCO should adopt OCC witness Duann’s proper application of the significantly excessive earnings test, which results in overearnings being returned to customers. Dr. Duann explained that the signatory parties misapplied the significantly excessive earnings test.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Therefore, the signatory parties’ conclusion that AEP’s 201</w:t>
      </w:r>
      <w:r w:rsidR="00891DE2">
        <w:rPr>
          <w:rFonts w:ascii="Times New Roman" w:hAnsi="Times New Roman" w:cs="Times New Roman"/>
          <w:sz w:val="24"/>
          <w:szCs w:val="24"/>
        </w:rPr>
        <w:t>8</w:t>
      </w:r>
      <w:r>
        <w:rPr>
          <w:rFonts w:ascii="Times New Roman" w:hAnsi="Times New Roman" w:cs="Times New Roman"/>
          <w:sz w:val="24"/>
          <w:szCs w:val="24"/>
        </w:rPr>
        <w:t xml:space="preserve"> earnings were not significantly excessive is wrong</w:t>
      </w:r>
      <w:r w:rsidR="00954378">
        <w:rPr>
          <w:rFonts w:ascii="Times New Roman" w:hAnsi="Times New Roman" w:cs="Times New Roman"/>
          <w:sz w:val="24"/>
          <w:szCs w:val="24"/>
        </w:rPr>
        <w:t xml:space="preserve"> and the Settlement should be rejected</w:t>
      </w:r>
      <w:r>
        <w:rPr>
          <w:rFonts w:ascii="Times New Roman" w:hAnsi="Times New Roman" w:cs="Times New Roman"/>
          <w:sz w:val="24"/>
          <w:szCs w:val="24"/>
        </w:rPr>
        <w:t>.</w:t>
      </w:r>
      <w:r w:rsidR="00406C12">
        <w:rPr>
          <w:rFonts w:ascii="Times New Roman" w:hAnsi="Times New Roman" w:cs="Times New Roman"/>
          <w:sz w:val="24"/>
          <w:szCs w:val="24"/>
        </w:rPr>
        <w:t xml:space="preserve"> </w:t>
      </w:r>
    </w:p>
    <w:p w:rsidR="000B6A31" w:rsidRPr="005365F6" w:rsidP="00245DC9" w14:paraId="7A756AB4" w14:textId="36199805">
      <w:pPr>
        <w:pStyle w:val="Heading2"/>
      </w:pPr>
      <w:bookmarkStart w:id="7" w:name="_Toc482612437"/>
      <w:bookmarkStart w:id="8" w:name="_Toc26186883"/>
      <w:r w:rsidRPr="005365F6">
        <w:t xml:space="preserve">The </w:t>
      </w:r>
      <w:r>
        <w:t xml:space="preserve">PUCO should reject the proposed </w:t>
      </w:r>
      <w:r w:rsidRPr="005365F6">
        <w:t xml:space="preserve">Settlement </w:t>
      </w:r>
      <w:r>
        <w:t xml:space="preserve">because it </w:t>
      </w:r>
      <w:r w:rsidRPr="005365F6">
        <w:t xml:space="preserve">violates Ohio </w:t>
      </w:r>
      <w:r>
        <w:t>law and important regulatory principles</w:t>
      </w:r>
      <w:r w:rsidR="003E7CD2">
        <w:t xml:space="preserve"> and practices</w:t>
      </w:r>
      <w:r w:rsidRPr="005365F6">
        <w:t>.</w:t>
      </w:r>
      <w:bookmarkEnd w:id="7"/>
      <w:bookmarkEnd w:id="8"/>
    </w:p>
    <w:p w:rsidR="000B6A31" w:rsidP="00245DC9" w14:paraId="47D4FD82" w14:textId="0AA15CED">
      <w:pPr>
        <w:pStyle w:val="Heading3"/>
      </w:pPr>
      <w:bookmarkStart w:id="9" w:name="_Toc26186884"/>
      <w:r>
        <w:t>The Proposed Settlement would allow AEP to overcharge consumers and keep its significantly excessive earnings for 2018 in violation of Ohio law and important regulatory principles.</w:t>
      </w:r>
      <w:bookmarkEnd w:id="9"/>
    </w:p>
    <w:p w:rsidR="000B6A31" w:rsidP="000B6A31" w14:paraId="058B7321" w14:textId="08DBDA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Ohio law requires utilities to charge just and reasonable rates.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Pr>
          <w:rFonts w:ascii="Times New Roman" w:hAnsi="Times New Roman" w:cs="Times New Roman"/>
          <w:sz w:val="24"/>
          <w:szCs w:val="24"/>
        </w:rPr>
        <w:t>But t</w:t>
      </w:r>
      <w:r w:rsidRPr="005365F6">
        <w:rPr>
          <w:rFonts w:ascii="Times New Roman" w:hAnsi="Times New Roman" w:cs="Times New Roman"/>
          <w:sz w:val="24"/>
          <w:szCs w:val="24"/>
        </w:rPr>
        <w:t xml:space="preserve">he </w:t>
      </w:r>
      <w:r>
        <w:rPr>
          <w:rFonts w:ascii="Times New Roman" w:hAnsi="Times New Roman" w:cs="Times New Roman"/>
          <w:sz w:val="24"/>
          <w:szCs w:val="24"/>
        </w:rPr>
        <w:t xml:space="preserve">proposed </w:t>
      </w:r>
      <w:r w:rsidRPr="005365F6">
        <w:rPr>
          <w:rFonts w:ascii="Times New Roman" w:hAnsi="Times New Roman" w:cs="Times New Roman"/>
          <w:sz w:val="24"/>
          <w:szCs w:val="24"/>
        </w:rPr>
        <w:t xml:space="preserve">Settlement </w:t>
      </w:r>
      <w:r>
        <w:rPr>
          <w:rFonts w:ascii="Times New Roman" w:hAnsi="Times New Roman" w:cs="Times New Roman"/>
          <w:sz w:val="24"/>
          <w:szCs w:val="24"/>
        </w:rPr>
        <w:t>would allow AEP to overcharge consumers and keep its significantly excessive earnings for 201</w:t>
      </w:r>
      <w:r w:rsidR="00E250F1">
        <w:rPr>
          <w:rFonts w:ascii="Times New Roman" w:hAnsi="Times New Roman" w:cs="Times New Roman"/>
          <w:sz w:val="24"/>
          <w:szCs w:val="24"/>
        </w:rPr>
        <w:t>8</w:t>
      </w:r>
      <w:r>
        <w:rPr>
          <w:rFonts w:ascii="Times New Roman" w:hAnsi="Times New Roman" w:cs="Times New Roman"/>
          <w:sz w:val="24"/>
          <w:szCs w:val="24"/>
        </w:rPr>
        <w:t>. The General Assembly adopted the SEET as a necessary check to ensure that, for the benefit of customers, Ohio’s electric utilities do not earn significantly excessive profits through their electric security plan.</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AEP had the option to offer market-based rates or an ESP subject to the </w:t>
      </w:r>
      <w:r w:rsidR="00E250F1">
        <w:rPr>
          <w:rFonts w:ascii="Times New Roman" w:hAnsi="Times New Roman" w:cs="Times New Roman"/>
          <w:sz w:val="24"/>
          <w:szCs w:val="24"/>
        </w:rPr>
        <w:t>SEET and</w:t>
      </w:r>
      <w:r>
        <w:rPr>
          <w:rFonts w:ascii="Times New Roman" w:hAnsi="Times New Roman" w:cs="Times New Roman"/>
          <w:sz w:val="24"/>
          <w:szCs w:val="24"/>
        </w:rPr>
        <w:t xml:space="preserve"> chose </w:t>
      </w:r>
      <w:r w:rsidR="0007309C">
        <w:rPr>
          <w:rFonts w:ascii="Times New Roman" w:hAnsi="Times New Roman" w:cs="Times New Roman"/>
          <w:sz w:val="24"/>
          <w:szCs w:val="24"/>
        </w:rPr>
        <w:t xml:space="preserve">the later, subjecting itself to the profits test under Ohio law. </w:t>
      </w:r>
      <w:r>
        <w:rPr>
          <w:rFonts w:ascii="Times New Roman" w:hAnsi="Times New Roman" w:cs="Times New Roman"/>
          <w:sz w:val="24"/>
          <w:szCs w:val="24"/>
        </w:rPr>
        <w:t xml:space="preserve"> As the Supreme Court of Ohio has noted, AEP “not only had notice of R.C. 4928.143(F), but chose to be subject to it. . . . Presumably, the potential reward outweighed the risk.”</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Indeed, to AEP the rewards of the ESP were great, because AEP’s earnings significantly exceeded those of other companies facing comparable business and financial risk. </w:t>
      </w:r>
    </w:p>
    <w:p w:rsidR="00E250F1" w:rsidRPr="00E250F1" w:rsidP="000B6A31" w14:paraId="26ECC15C" w14:textId="6316B60A">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C</w:t>
      </w:r>
      <w:r w:rsidRPr="00E250F1">
        <w:rPr>
          <w:rFonts w:ascii="Times New Roman" w:hAnsi="Times New Roman" w:cs="Times New Roman"/>
          <w:bCs/>
          <w:sz w:val="24"/>
          <w:szCs w:val="24"/>
        </w:rPr>
        <w:t>ustomers w</w:t>
      </w:r>
      <w:r>
        <w:rPr>
          <w:rFonts w:ascii="Times New Roman" w:hAnsi="Times New Roman" w:cs="Times New Roman"/>
          <w:bCs/>
          <w:sz w:val="24"/>
          <w:szCs w:val="24"/>
        </w:rPr>
        <w:t>ill</w:t>
      </w:r>
      <w:r w:rsidRPr="00E250F1">
        <w:rPr>
          <w:rFonts w:ascii="Times New Roman" w:hAnsi="Times New Roman" w:cs="Times New Roman"/>
          <w:bCs/>
          <w:sz w:val="24"/>
          <w:szCs w:val="24"/>
        </w:rPr>
        <w:t xml:space="preserve"> be paying substantially more (approximately $5.7 million) than the just and reasonable rates for monopoly electric distribution service if the proposed Settlement is adopted.</w:t>
      </w:r>
      <w:r>
        <w:rPr>
          <w:rStyle w:val="FootnoteReference"/>
          <w:rFonts w:ascii="Times New Roman" w:hAnsi="Times New Roman" w:cs="Times New Roman"/>
          <w:bCs/>
          <w:sz w:val="24"/>
          <w:szCs w:val="24"/>
        </w:rPr>
        <w:footnoteReference w:id="41"/>
      </w:r>
      <w:r w:rsidRPr="00E250F1">
        <w:rPr>
          <w:rFonts w:ascii="Times New Roman" w:hAnsi="Times New Roman" w:cs="Times New Roman"/>
          <w:bCs/>
          <w:sz w:val="24"/>
          <w:szCs w:val="24"/>
        </w:rPr>
        <w:t xml:space="preserve"> </w:t>
      </w:r>
      <w:r w:rsidR="00AB2FCF">
        <w:rPr>
          <w:rFonts w:ascii="Times New Roman" w:hAnsi="Times New Roman" w:cs="Times New Roman"/>
          <w:bCs/>
          <w:sz w:val="24"/>
          <w:szCs w:val="24"/>
        </w:rPr>
        <w:t>T</w:t>
      </w:r>
      <w:r w:rsidRPr="00E250F1">
        <w:rPr>
          <w:rFonts w:ascii="Times New Roman" w:hAnsi="Times New Roman" w:cs="Times New Roman"/>
          <w:bCs/>
          <w:sz w:val="24"/>
          <w:szCs w:val="24"/>
        </w:rPr>
        <w:t xml:space="preserve">he proposed Settlement, if adopted, would violate the fundamental regulatory principle that the rates and terms of service for </w:t>
      </w:r>
      <w:r w:rsidR="0007309C">
        <w:rPr>
          <w:rFonts w:ascii="Times New Roman" w:hAnsi="Times New Roman" w:cs="Times New Roman"/>
          <w:bCs/>
          <w:sz w:val="24"/>
          <w:szCs w:val="24"/>
        </w:rPr>
        <w:t xml:space="preserve">Ohioans </w:t>
      </w:r>
      <w:r w:rsidRPr="00E250F1">
        <w:rPr>
          <w:rFonts w:ascii="Times New Roman" w:hAnsi="Times New Roman" w:cs="Times New Roman"/>
          <w:bCs/>
          <w:sz w:val="24"/>
          <w:szCs w:val="24"/>
        </w:rPr>
        <w:t>be just and reasonable.</w:t>
      </w:r>
      <w:r>
        <w:rPr>
          <w:rStyle w:val="FootnoteReference"/>
          <w:rFonts w:ascii="Times New Roman" w:hAnsi="Times New Roman" w:cs="Times New Roman"/>
          <w:bCs/>
          <w:sz w:val="24"/>
          <w:szCs w:val="24"/>
        </w:rPr>
        <w:footnoteReference w:id="42"/>
      </w:r>
    </w:p>
    <w:p w:rsidR="000B6A31" w:rsidRPr="005365F6" w:rsidP="00245DC9" w14:paraId="5E87ED80" w14:textId="42BDCF59">
      <w:pPr>
        <w:pStyle w:val="Heading3"/>
      </w:pPr>
      <w:bookmarkStart w:id="10" w:name="_Toc26186885"/>
      <w:r>
        <w:t xml:space="preserve">AEP’s assertion that the adjustment to earnings related to the Phase-In Recovery Rider (“PIRR”) is similarly applicable to the earning adjustment related to the Retail Stability Rider (“RSR”) </w:t>
      </w:r>
      <w:r w:rsidR="0062607C">
        <w:t xml:space="preserve">should be rejected </w:t>
      </w:r>
      <w:r>
        <w:t>because it is contrary to the Ohio SEET statutes</w:t>
      </w:r>
      <w:r w:rsidR="00406C12">
        <w:t xml:space="preserve">, it </w:t>
      </w:r>
      <w:r>
        <w:t>violates important regulatory principles and practices.</w:t>
      </w:r>
      <w:bookmarkEnd w:id="10"/>
    </w:p>
    <w:p w:rsidR="00AB2FCF" w:rsidP="00AB2FCF" w14:paraId="4F2A68CA" w14:textId="080D503C">
      <w:pPr>
        <w:spacing w:after="0" w:line="480" w:lineRule="auto"/>
        <w:ind w:firstLine="720"/>
        <w:rPr>
          <w:rFonts w:ascii="Times New Roman" w:hAnsi="Times New Roman" w:cs="Times New Roman"/>
          <w:bCs/>
          <w:sz w:val="24"/>
          <w:szCs w:val="24"/>
        </w:rPr>
      </w:pPr>
      <w:r w:rsidRPr="00424635">
        <w:rPr>
          <w:rFonts w:ascii="Times New Roman" w:hAnsi="Times New Roman" w:cs="Times New Roman"/>
          <w:bCs/>
          <w:sz w:val="24"/>
          <w:szCs w:val="24"/>
        </w:rPr>
        <w:t>Dr. Duann concluded that the proposed Settlement, if approved by the PUCO, would unreasonably exclude approximately $27,564,000 in earnings collected through the 2018 Retail Stability Rider (“RSR”) from the earnings review in any year (past and future).</w:t>
      </w:r>
      <w:r>
        <w:rPr>
          <w:rStyle w:val="FootnoteReference"/>
          <w:rFonts w:ascii="Times New Roman" w:hAnsi="Times New Roman" w:cs="Times New Roman"/>
          <w:bCs/>
          <w:sz w:val="24"/>
          <w:szCs w:val="24"/>
        </w:rPr>
        <w:footnoteReference w:id="43"/>
      </w:r>
      <w:r w:rsidRPr="00424635">
        <w:rPr>
          <w:rFonts w:ascii="Times New Roman" w:hAnsi="Times New Roman" w:cs="Times New Roman"/>
          <w:bCs/>
          <w:sz w:val="24"/>
          <w:szCs w:val="24"/>
        </w:rPr>
        <w:t xml:space="preserve">  This is contrary to the Ohio SEET statute, which requires that </w:t>
      </w:r>
      <w:r w:rsidRPr="003C2BAF">
        <w:rPr>
          <w:rFonts w:ascii="Times New Roman" w:hAnsi="Times New Roman" w:cs="Times New Roman"/>
          <w:bCs/>
          <w:i/>
          <w:iCs/>
          <w:sz w:val="24"/>
          <w:szCs w:val="24"/>
        </w:rPr>
        <w:t>all</w:t>
      </w:r>
      <w:r w:rsidRPr="00424635">
        <w:rPr>
          <w:rFonts w:ascii="Times New Roman" w:hAnsi="Times New Roman" w:cs="Times New Roman"/>
          <w:bCs/>
          <w:sz w:val="24"/>
          <w:szCs w:val="24"/>
        </w:rPr>
        <w:t xml:space="preserve"> earning from an electric security plan be counted in the SEET review.</w:t>
      </w:r>
      <w:r>
        <w:rPr>
          <w:rStyle w:val="FootnoteReference"/>
          <w:rFonts w:ascii="Times New Roman" w:hAnsi="Times New Roman" w:cs="Times New Roman"/>
          <w:sz w:val="24"/>
          <w:szCs w:val="24"/>
        </w:rPr>
        <w:footnoteReference w:id="44"/>
      </w:r>
      <w:r w:rsidRPr="00424635">
        <w:rPr>
          <w:rFonts w:ascii="Times New Roman" w:hAnsi="Times New Roman" w:cs="Times New Roman"/>
          <w:bCs/>
          <w:sz w:val="24"/>
          <w:szCs w:val="24"/>
        </w:rPr>
        <w:t xml:space="preserve"> As envisioned by the Ohio General Assembly, the annual SEET review provides an essential safeguard to protect Ohio’s electric customers from unreasonable rates of an ESP.</w:t>
      </w:r>
      <w:r>
        <w:rPr>
          <w:rStyle w:val="FootnoteReference"/>
          <w:rFonts w:ascii="Times New Roman" w:hAnsi="Times New Roman" w:cs="Times New Roman"/>
          <w:bCs/>
          <w:sz w:val="24"/>
          <w:szCs w:val="24"/>
        </w:rPr>
        <w:footnoteReference w:id="45"/>
      </w:r>
      <w:r w:rsidRPr="00424635">
        <w:rPr>
          <w:rFonts w:ascii="Times New Roman" w:hAnsi="Times New Roman" w:cs="Times New Roman"/>
          <w:bCs/>
          <w:sz w:val="24"/>
          <w:szCs w:val="24"/>
        </w:rPr>
        <w:t xml:space="preserve">  But pulling out a subset of electric security plan earnings and treating those as immune from the profits review is contrary to the statute and PUCO precedent.</w:t>
      </w:r>
      <w:r>
        <w:rPr>
          <w:rStyle w:val="FootnoteReference"/>
          <w:rFonts w:ascii="Times New Roman" w:hAnsi="Times New Roman" w:cs="Times New Roman"/>
          <w:bCs/>
          <w:sz w:val="24"/>
          <w:szCs w:val="24"/>
        </w:rPr>
        <w:footnoteReference w:id="46"/>
      </w:r>
    </w:p>
    <w:p w:rsidR="00AB2FCF" w:rsidRPr="00424635" w:rsidP="00AB2FCF" w14:paraId="2902DA43" w14:textId="77777777">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proposed </w:t>
      </w:r>
      <w:r w:rsidRPr="00424635">
        <w:rPr>
          <w:rFonts w:ascii="Times New Roman" w:hAnsi="Times New Roman" w:cs="Times New Roman"/>
          <w:bCs/>
          <w:sz w:val="24"/>
          <w:szCs w:val="24"/>
        </w:rPr>
        <w:t>Settlement</w:t>
      </w:r>
      <w:r>
        <w:rPr>
          <w:rFonts w:ascii="Times New Roman" w:hAnsi="Times New Roman" w:cs="Times New Roman"/>
          <w:bCs/>
          <w:sz w:val="24"/>
          <w:szCs w:val="24"/>
        </w:rPr>
        <w:t xml:space="preserve"> also </w:t>
      </w:r>
      <w:r w:rsidRPr="00424635">
        <w:rPr>
          <w:rFonts w:ascii="Times New Roman" w:hAnsi="Times New Roman" w:cs="Times New Roman"/>
          <w:bCs/>
          <w:sz w:val="24"/>
          <w:szCs w:val="24"/>
        </w:rPr>
        <w:t>unreasonably treat</w:t>
      </w:r>
      <w:r>
        <w:rPr>
          <w:rFonts w:ascii="Times New Roman" w:hAnsi="Times New Roman" w:cs="Times New Roman"/>
          <w:bCs/>
          <w:sz w:val="24"/>
          <w:szCs w:val="24"/>
        </w:rPr>
        <w:t>s</w:t>
      </w:r>
      <w:r w:rsidRPr="00424635">
        <w:rPr>
          <w:rFonts w:ascii="Times New Roman" w:hAnsi="Times New Roman" w:cs="Times New Roman"/>
          <w:bCs/>
          <w:sz w:val="24"/>
          <w:szCs w:val="24"/>
        </w:rPr>
        <w:t xml:space="preserve"> the approximately $4,290,000 prior year SEET refund as an expense in 2018 for SEET purposes.</w:t>
      </w:r>
      <w:r>
        <w:rPr>
          <w:rStyle w:val="FootnoteReference"/>
          <w:rFonts w:ascii="Times New Roman" w:hAnsi="Times New Roman" w:cs="Times New Roman"/>
          <w:bCs/>
          <w:sz w:val="24"/>
          <w:szCs w:val="24"/>
        </w:rPr>
        <w:footnoteReference w:id="47"/>
      </w:r>
      <w:r w:rsidRPr="00424635">
        <w:rPr>
          <w:rFonts w:ascii="Times New Roman" w:hAnsi="Times New Roman" w:cs="Times New Roman"/>
          <w:bCs/>
          <w:sz w:val="24"/>
          <w:szCs w:val="24"/>
        </w:rPr>
        <w:t xml:space="preserve"> This proposed treatment by </w:t>
      </w:r>
      <w:r>
        <w:rPr>
          <w:rFonts w:ascii="Times New Roman" w:hAnsi="Times New Roman" w:cs="Times New Roman"/>
          <w:bCs/>
          <w:sz w:val="24"/>
          <w:szCs w:val="24"/>
        </w:rPr>
        <w:t>AEP</w:t>
      </w:r>
      <w:r w:rsidRPr="00424635">
        <w:rPr>
          <w:rFonts w:ascii="Times New Roman" w:hAnsi="Times New Roman" w:cs="Times New Roman"/>
          <w:bCs/>
          <w:sz w:val="24"/>
          <w:szCs w:val="24"/>
        </w:rPr>
        <w:t xml:space="preserve"> violates the PUCO rules regarding the treatment of one-time events for SEET purposes and contradicts </w:t>
      </w:r>
      <w:r>
        <w:rPr>
          <w:rFonts w:ascii="Times New Roman" w:hAnsi="Times New Roman" w:cs="Times New Roman"/>
          <w:bCs/>
          <w:sz w:val="24"/>
          <w:szCs w:val="24"/>
        </w:rPr>
        <w:t>AEP’s</w:t>
      </w:r>
      <w:r w:rsidRPr="00424635">
        <w:rPr>
          <w:rFonts w:ascii="Times New Roman" w:hAnsi="Times New Roman" w:cs="Times New Roman"/>
          <w:bCs/>
          <w:sz w:val="24"/>
          <w:szCs w:val="24"/>
        </w:rPr>
        <w:t xml:space="preserve"> own position regarding SEET refund in the past.   </w:t>
      </w:r>
    </w:p>
    <w:p w:rsidR="00AB2FCF" w:rsidP="00AB2FCF" w14:paraId="6D7BFDC0" w14:textId="416994C1">
      <w:pPr>
        <w:spacing w:after="0" w:line="480" w:lineRule="auto"/>
        <w:ind w:firstLine="720"/>
        <w:rPr>
          <w:bCs/>
        </w:rPr>
      </w:pPr>
      <w:r>
        <w:rPr>
          <w:rFonts w:ascii="Times New Roman" w:hAnsi="Times New Roman" w:cs="Times New Roman"/>
          <w:sz w:val="24"/>
          <w:szCs w:val="24"/>
        </w:rPr>
        <w:t xml:space="preserve">The PUCO should reject AEP’s proposed </w:t>
      </w:r>
      <w:r w:rsidRPr="00424635">
        <w:rPr>
          <w:rFonts w:ascii="Times New Roman" w:hAnsi="Times New Roman" w:cs="Times New Roman"/>
          <w:bCs/>
          <w:sz w:val="24"/>
          <w:szCs w:val="24"/>
        </w:rPr>
        <w:t xml:space="preserve">$27,564,000 </w:t>
      </w:r>
      <w:r>
        <w:rPr>
          <w:rFonts w:ascii="Times New Roman" w:hAnsi="Times New Roman" w:cs="Times New Roman"/>
          <w:sz w:val="24"/>
          <w:szCs w:val="24"/>
        </w:rPr>
        <w:t xml:space="preserve">and </w:t>
      </w:r>
      <w:r w:rsidRPr="00424635">
        <w:rPr>
          <w:rFonts w:ascii="Times New Roman" w:hAnsi="Times New Roman" w:cs="Times New Roman"/>
          <w:bCs/>
          <w:sz w:val="24"/>
          <w:szCs w:val="24"/>
        </w:rPr>
        <w:t xml:space="preserve">$4,290,000 </w:t>
      </w:r>
      <w:r>
        <w:rPr>
          <w:rFonts w:ascii="Times New Roman" w:hAnsi="Times New Roman" w:cs="Times New Roman"/>
          <w:sz w:val="24"/>
          <w:szCs w:val="24"/>
        </w:rPr>
        <w:t xml:space="preserve"> adjustments to its 2018 earnings.</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These unsupported adjustments are a thinly-veiled attempt by AEP to shift its 2018 earnings to prior years (that can no longer be reviewed for SEET purposes) to avoid refunding customers the amount that AEP overcharged them.</w:t>
      </w:r>
      <w:r w:rsidRPr="00424635">
        <w:rPr>
          <w:bCs/>
        </w:rPr>
        <w:t xml:space="preserve"> </w:t>
      </w:r>
      <w:r w:rsidRPr="005601EC">
        <w:rPr>
          <w:rFonts w:ascii="Times New Roman" w:hAnsi="Times New Roman" w:cs="Times New Roman"/>
          <w:bCs/>
          <w:sz w:val="24"/>
          <w:szCs w:val="24"/>
        </w:rPr>
        <w:t>The PUCO should not permit this.</w:t>
      </w:r>
      <w:r w:rsidR="00406C12">
        <w:rPr>
          <w:rFonts w:ascii="Times New Roman" w:hAnsi="Times New Roman" w:cs="Times New Roman"/>
          <w:bCs/>
          <w:sz w:val="24"/>
          <w:szCs w:val="24"/>
        </w:rPr>
        <w:t xml:space="preserve">  </w:t>
      </w:r>
    </w:p>
    <w:p w:rsidR="000B6A31" w:rsidP="000B6A31" w14:paraId="40FC17F3" w14:textId="3C51EB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w:t>
      </w:r>
      <w:r w:rsidRPr="000B6A31">
        <w:rPr>
          <w:rFonts w:ascii="Times New Roman" w:hAnsi="Times New Roman" w:cs="Times New Roman"/>
          <w:sz w:val="24"/>
          <w:szCs w:val="24"/>
        </w:rPr>
        <w:t xml:space="preserve"> has not demonstrated in this proceeding that the RSR-related earnings should be treated similarly to the earnings related to the PIRR.</w:t>
      </w:r>
      <w:r>
        <w:rPr>
          <w:rStyle w:val="FootnoteReference"/>
          <w:rFonts w:ascii="Times New Roman" w:hAnsi="Times New Roman" w:cs="Times New Roman"/>
          <w:sz w:val="24"/>
          <w:szCs w:val="24"/>
        </w:rPr>
        <w:footnoteReference w:id="49"/>
      </w:r>
      <w:r w:rsidRPr="000B6A31">
        <w:rPr>
          <w:rFonts w:ascii="Times New Roman" w:hAnsi="Times New Roman" w:cs="Times New Roman"/>
          <w:sz w:val="24"/>
          <w:szCs w:val="24"/>
        </w:rPr>
        <w:t xml:space="preserve"> </w:t>
      </w:r>
      <w:r>
        <w:rPr>
          <w:rFonts w:ascii="Times New Roman" w:hAnsi="Times New Roman" w:cs="Times New Roman"/>
          <w:sz w:val="24"/>
          <w:szCs w:val="24"/>
        </w:rPr>
        <w:t>AEP instead</w:t>
      </w:r>
      <w:r w:rsidRPr="000B6A31">
        <w:rPr>
          <w:rFonts w:ascii="Times New Roman" w:hAnsi="Times New Roman" w:cs="Times New Roman"/>
          <w:sz w:val="24"/>
          <w:szCs w:val="24"/>
        </w:rPr>
        <w:t xml:space="preserve"> demonstrated that there is </w:t>
      </w:r>
      <w:r w:rsidRPr="000B6A31">
        <w:rPr>
          <w:rFonts w:ascii="Times New Roman" w:hAnsi="Times New Roman" w:cs="Times New Roman"/>
          <w:i/>
          <w:iCs/>
          <w:sz w:val="24"/>
          <w:szCs w:val="24"/>
        </w:rPr>
        <w:t>no</w:t>
      </w:r>
      <w:r w:rsidRPr="000B6A31">
        <w:rPr>
          <w:rFonts w:ascii="Times New Roman" w:hAnsi="Times New Roman" w:cs="Times New Roman"/>
          <w:sz w:val="24"/>
          <w:szCs w:val="24"/>
        </w:rPr>
        <w:t xml:space="preserve"> PUCO precedent to “relocate” the RSR earnings booked and collected in 2018 to prior years for SEET purposes as proposed by </w:t>
      </w:r>
      <w:r>
        <w:rPr>
          <w:rFonts w:ascii="Times New Roman" w:hAnsi="Times New Roman" w:cs="Times New Roman"/>
          <w:sz w:val="24"/>
          <w:szCs w:val="24"/>
        </w:rPr>
        <w:t>AEP</w:t>
      </w:r>
      <w:r w:rsidRPr="000B6A31">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r w:rsidRPr="000B6A31">
        <w:rPr>
          <w:rFonts w:ascii="Times New Roman" w:hAnsi="Times New Roman" w:cs="Times New Roman"/>
          <w:sz w:val="24"/>
          <w:szCs w:val="24"/>
        </w:rPr>
        <w:t xml:space="preserve"> </w:t>
      </w:r>
      <w:r>
        <w:rPr>
          <w:rFonts w:ascii="Times New Roman" w:hAnsi="Times New Roman" w:cs="Times New Roman"/>
          <w:sz w:val="24"/>
          <w:szCs w:val="24"/>
        </w:rPr>
        <w:t>And AEP</w:t>
      </w:r>
      <w:r w:rsidRPr="000B6A31">
        <w:rPr>
          <w:rFonts w:ascii="Times New Roman" w:hAnsi="Times New Roman" w:cs="Times New Roman"/>
          <w:sz w:val="24"/>
          <w:szCs w:val="24"/>
        </w:rPr>
        <w:t xml:space="preserve"> has admitted that, in Case No. 17-1230-EL-UNC, the PUCO’s decision was related only to the earnings collected through the PIRR.</w:t>
      </w:r>
      <w:r>
        <w:rPr>
          <w:rFonts w:ascii="Times New Roman" w:hAnsi="Times New Roman" w:cs="Times New Roman"/>
          <w:sz w:val="24"/>
          <w:szCs w:val="24"/>
          <w:vertAlign w:val="superscript"/>
        </w:rPr>
        <w:footnoteReference w:id="51"/>
      </w:r>
      <w:r w:rsidRPr="000B6A31">
        <w:rPr>
          <w:rFonts w:ascii="Times New Roman" w:hAnsi="Times New Roman" w:cs="Times New Roman"/>
          <w:sz w:val="24"/>
          <w:szCs w:val="24"/>
        </w:rPr>
        <w:t xml:space="preserve"> Adjustment to earnings collected through RSR was not an issue in that case. The PIRR and RSR have been two different and distinct provisions of the approved electric security plan for </w:t>
      </w:r>
      <w:r>
        <w:rPr>
          <w:rFonts w:ascii="Times New Roman" w:hAnsi="Times New Roman" w:cs="Times New Roman"/>
          <w:sz w:val="24"/>
          <w:szCs w:val="24"/>
        </w:rPr>
        <w:t>AEP</w:t>
      </w:r>
      <w:r w:rsidRPr="000B6A31">
        <w:rPr>
          <w:rFonts w:ascii="Times New Roman" w:hAnsi="Times New Roman" w:cs="Times New Roman"/>
          <w:sz w:val="24"/>
          <w:szCs w:val="24"/>
        </w:rPr>
        <w:t xml:space="preserve">.  Additionally, it should be noted that </w:t>
      </w:r>
      <w:bookmarkStart w:id="11" w:name="_Hlk22110656"/>
      <w:r w:rsidRPr="000B6A31">
        <w:rPr>
          <w:rFonts w:ascii="Times New Roman" w:hAnsi="Times New Roman" w:cs="Times New Roman"/>
          <w:sz w:val="24"/>
          <w:szCs w:val="24"/>
        </w:rPr>
        <w:t xml:space="preserve">the Supreme Court of Ohio’s decision </w:t>
      </w:r>
      <w:r>
        <w:rPr>
          <w:rFonts w:ascii="Times New Roman" w:hAnsi="Times New Roman" w:cs="Times New Roman"/>
          <w:sz w:val="24"/>
          <w:szCs w:val="24"/>
        </w:rPr>
        <w:t>that reinstated</w:t>
      </w:r>
      <w:r w:rsidRPr="000B6A31">
        <w:rPr>
          <w:rFonts w:ascii="Times New Roman" w:hAnsi="Times New Roman" w:cs="Times New Roman"/>
          <w:sz w:val="24"/>
          <w:szCs w:val="24"/>
        </w:rPr>
        <w:t xml:space="preserve"> the weighted average cost of capital (</w:t>
      </w:r>
      <w:r>
        <w:rPr>
          <w:rFonts w:ascii="Times New Roman" w:hAnsi="Times New Roman" w:cs="Times New Roman"/>
          <w:sz w:val="24"/>
          <w:szCs w:val="24"/>
        </w:rPr>
        <w:t>“</w:t>
      </w:r>
      <w:r w:rsidRPr="000B6A31">
        <w:rPr>
          <w:rFonts w:ascii="Times New Roman" w:hAnsi="Times New Roman" w:cs="Times New Roman"/>
          <w:sz w:val="24"/>
          <w:szCs w:val="24"/>
        </w:rPr>
        <w:t>WACC</w:t>
      </w:r>
      <w:r>
        <w:rPr>
          <w:rFonts w:ascii="Times New Roman" w:hAnsi="Times New Roman" w:cs="Times New Roman"/>
          <w:sz w:val="24"/>
          <w:szCs w:val="24"/>
        </w:rPr>
        <w:t>”</w:t>
      </w:r>
      <w:r w:rsidRPr="000B6A31">
        <w:rPr>
          <w:rFonts w:ascii="Times New Roman" w:hAnsi="Times New Roman" w:cs="Times New Roman"/>
          <w:sz w:val="24"/>
          <w:szCs w:val="24"/>
        </w:rPr>
        <w:t>) on the  fuel costs deferral balance has nothing to do with the SEET proceeding or the reallocation of PIRR earnings from current year to prior years.</w:t>
      </w:r>
      <w:r>
        <w:rPr>
          <w:rFonts w:ascii="Times New Roman" w:hAnsi="Times New Roman" w:cs="Times New Roman"/>
          <w:sz w:val="24"/>
          <w:szCs w:val="24"/>
          <w:vertAlign w:val="superscript"/>
        </w:rPr>
        <w:footnoteReference w:id="52"/>
      </w:r>
      <w:r w:rsidRPr="000B6A31">
        <w:rPr>
          <w:rFonts w:ascii="Times New Roman" w:hAnsi="Times New Roman" w:cs="Times New Roman"/>
          <w:sz w:val="24"/>
          <w:szCs w:val="24"/>
          <w:vertAlign w:val="superscript"/>
        </w:rPr>
        <w:t xml:space="preserve"> </w:t>
      </w:r>
      <w:r w:rsidRPr="000B6A31">
        <w:rPr>
          <w:rFonts w:ascii="Times New Roman" w:hAnsi="Times New Roman" w:cs="Times New Roman"/>
          <w:sz w:val="24"/>
          <w:szCs w:val="24"/>
        </w:rPr>
        <w:t xml:space="preserve"> </w:t>
      </w:r>
      <w:bookmarkEnd w:id="11"/>
    </w:p>
    <w:p w:rsidR="000B6A31" w:rsidRPr="000B6A31" w:rsidP="000B6A31" w14:paraId="2DD2F0F4" w14:textId="2F8B1D04">
      <w:pPr>
        <w:spacing w:after="0" w:line="480" w:lineRule="auto"/>
        <w:ind w:firstLine="720"/>
        <w:rPr>
          <w:rFonts w:ascii="Times New Roman" w:hAnsi="Times New Roman" w:cs="Times New Roman"/>
          <w:sz w:val="24"/>
          <w:szCs w:val="24"/>
        </w:rPr>
      </w:pPr>
      <w:r w:rsidRPr="000B6A31">
        <w:rPr>
          <w:rFonts w:ascii="Times New Roman" w:hAnsi="Times New Roman" w:cs="Times New Roman"/>
          <w:sz w:val="24"/>
          <w:szCs w:val="24"/>
        </w:rPr>
        <w:t>AEP’s argument that its proposed adjustment to the RSR earnings is in line with exclusions to the SEET calculation as non-recurring, special, or extraordinary items determined by the PUCO in Case No. 09-786-EL-UNC is puzzling.</w:t>
      </w:r>
      <w:r>
        <w:rPr>
          <w:rFonts w:ascii="Times New Roman" w:hAnsi="Times New Roman" w:cs="Times New Roman"/>
          <w:sz w:val="24"/>
          <w:szCs w:val="24"/>
          <w:vertAlign w:val="superscript"/>
        </w:rPr>
        <w:footnoteReference w:id="53"/>
      </w:r>
      <w:r w:rsidRPr="000B6A31">
        <w:rPr>
          <w:rFonts w:ascii="Times New Roman" w:hAnsi="Times New Roman" w:cs="Times New Roman"/>
          <w:sz w:val="24"/>
          <w:szCs w:val="24"/>
          <w:vertAlign w:val="superscript"/>
        </w:rPr>
        <w:t xml:space="preserve"> </w:t>
      </w:r>
      <w:r w:rsidRPr="000B6A31">
        <w:rPr>
          <w:rFonts w:ascii="Times New Roman" w:hAnsi="Times New Roman" w:cs="Times New Roman"/>
          <w:sz w:val="24"/>
          <w:szCs w:val="24"/>
        </w:rPr>
        <w:t xml:space="preserve"> As Dr. Duann explained, RSR is a provision in an ESP approved by the PUCO and any earnings (or losses) associated with RSR should be part of the earnings subject to the SEET.</w:t>
      </w:r>
      <w:r>
        <w:rPr>
          <w:rFonts w:ascii="Times New Roman" w:hAnsi="Times New Roman" w:cs="Times New Roman"/>
          <w:sz w:val="24"/>
          <w:szCs w:val="24"/>
          <w:vertAlign w:val="superscript"/>
        </w:rPr>
        <w:footnoteReference w:id="54"/>
      </w:r>
      <w:r w:rsidRPr="000B6A31">
        <w:rPr>
          <w:rFonts w:ascii="Times New Roman" w:hAnsi="Times New Roman" w:cs="Times New Roman"/>
          <w:sz w:val="24"/>
          <w:szCs w:val="24"/>
        </w:rPr>
        <w:t xml:space="preserve">  Any decision by the Supreme Court of Ohio does not change that.  The decision by the Supreme Court of Ohio related to RSR does not make the RSR a non-recurring, special, or extraordinary item.  Additionally, the Supreme Court of Ohio’s remand regarding the determination of energy credit would only affect the amount of RSR to be collected and had nothing to do with the SEET proceeding or the reallocation of RSR earnings from current year to prior years.</w:t>
      </w:r>
      <w:r>
        <w:rPr>
          <w:rFonts w:ascii="Times New Roman" w:hAnsi="Times New Roman" w:cs="Times New Roman"/>
          <w:sz w:val="24"/>
          <w:szCs w:val="24"/>
          <w:vertAlign w:val="superscript"/>
        </w:rPr>
        <w:footnoteReference w:id="55"/>
      </w:r>
    </w:p>
    <w:p w:rsidR="000B6A31" w:rsidP="00CC5CCB" w14:paraId="1FAF2709" w14:textId="407936F7">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AEP</w:t>
      </w:r>
      <w:r w:rsidRPr="000B6A31">
        <w:rPr>
          <w:rFonts w:ascii="Times New Roman" w:hAnsi="Times New Roman" w:cs="Times New Roman"/>
          <w:iCs/>
          <w:sz w:val="24"/>
          <w:szCs w:val="24"/>
        </w:rPr>
        <w:t xml:space="preserve"> does not </w:t>
      </w:r>
      <w:r>
        <w:rPr>
          <w:rFonts w:ascii="Times New Roman" w:hAnsi="Times New Roman" w:cs="Times New Roman"/>
          <w:iCs/>
          <w:sz w:val="24"/>
          <w:szCs w:val="24"/>
        </w:rPr>
        <w:t>allocate its</w:t>
      </w:r>
      <w:r w:rsidRPr="000B6A31">
        <w:rPr>
          <w:rFonts w:ascii="Times New Roman" w:hAnsi="Times New Roman" w:cs="Times New Roman"/>
          <w:iCs/>
          <w:sz w:val="24"/>
          <w:szCs w:val="24"/>
        </w:rPr>
        <w:t xml:space="preserve"> earnings</w:t>
      </w:r>
      <w:r>
        <w:rPr>
          <w:rFonts w:ascii="Times New Roman" w:hAnsi="Times New Roman" w:cs="Times New Roman"/>
          <w:iCs/>
          <w:sz w:val="24"/>
          <w:szCs w:val="24"/>
        </w:rPr>
        <w:t xml:space="preserve"> when</w:t>
      </w:r>
      <w:r w:rsidRPr="000B6A31">
        <w:rPr>
          <w:rFonts w:ascii="Times New Roman" w:hAnsi="Times New Roman" w:cs="Times New Roman"/>
          <w:iCs/>
          <w:sz w:val="24"/>
          <w:szCs w:val="24"/>
        </w:rPr>
        <w:t xml:space="preserve"> preparing its financial statements in 2018 or any other years. As discussed in </w:t>
      </w:r>
      <w:r>
        <w:rPr>
          <w:rFonts w:ascii="Times New Roman" w:hAnsi="Times New Roman" w:cs="Times New Roman"/>
          <w:iCs/>
          <w:sz w:val="24"/>
          <w:szCs w:val="24"/>
        </w:rPr>
        <w:t xml:space="preserve">Dr. </w:t>
      </w:r>
      <w:r w:rsidRPr="000B6A31">
        <w:rPr>
          <w:rFonts w:ascii="Times New Roman" w:hAnsi="Times New Roman" w:cs="Times New Roman"/>
          <w:iCs/>
          <w:sz w:val="24"/>
          <w:szCs w:val="24"/>
        </w:rPr>
        <w:t>Duann</w:t>
      </w:r>
      <w:r>
        <w:rPr>
          <w:rFonts w:ascii="Times New Roman" w:hAnsi="Times New Roman" w:cs="Times New Roman"/>
          <w:iCs/>
          <w:sz w:val="24"/>
          <w:szCs w:val="24"/>
        </w:rPr>
        <w:t>’s</w:t>
      </w:r>
      <w:r w:rsidRPr="000B6A31">
        <w:rPr>
          <w:rFonts w:ascii="Times New Roman" w:hAnsi="Times New Roman" w:cs="Times New Roman"/>
          <w:iCs/>
          <w:sz w:val="24"/>
          <w:szCs w:val="24"/>
        </w:rPr>
        <w:t xml:space="preserve"> </w:t>
      </w:r>
      <w:r>
        <w:rPr>
          <w:rFonts w:ascii="Times New Roman" w:hAnsi="Times New Roman" w:cs="Times New Roman"/>
          <w:iCs/>
          <w:sz w:val="24"/>
          <w:szCs w:val="24"/>
        </w:rPr>
        <w:t>testimony</w:t>
      </w:r>
      <w:r w:rsidRPr="000B6A31">
        <w:rPr>
          <w:rFonts w:ascii="Times New Roman" w:hAnsi="Times New Roman" w:cs="Times New Roman"/>
          <w:iCs/>
          <w:sz w:val="24"/>
          <w:szCs w:val="24"/>
        </w:rPr>
        <w:t>, this reallocation of RSR earnings from 2018 to prior years is essentially hiding the $27,564,000 RSR earnings from SEET review in any year</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56"/>
      </w:r>
      <w:r w:rsidRPr="000B6A31">
        <w:rPr>
          <w:rFonts w:ascii="Times New Roman" w:hAnsi="Times New Roman" w:cs="Times New Roman"/>
          <w:iCs/>
          <w:sz w:val="24"/>
          <w:szCs w:val="24"/>
        </w:rPr>
        <w:t xml:space="preserve"> </w:t>
      </w:r>
      <w:r>
        <w:rPr>
          <w:rFonts w:ascii="Times New Roman" w:hAnsi="Times New Roman" w:cs="Times New Roman"/>
          <w:iCs/>
          <w:sz w:val="24"/>
          <w:szCs w:val="24"/>
        </w:rPr>
        <w:t xml:space="preserve">The PUCO may not permit this proposed treatment because it is </w:t>
      </w:r>
      <w:r w:rsidRPr="000B6A31">
        <w:rPr>
          <w:rFonts w:ascii="Times New Roman" w:hAnsi="Times New Roman" w:cs="Times New Roman"/>
          <w:iCs/>
          <w:sz w:val="24"/>
          <w:szCs w:val="24"/>
        </w:rPr>
        <w:t>contrary to the Ohio SEET statutes</w:t>
      </w:r>
      <w:r w:rsidR="00CC5CCB">
        <w:rPr>
          <w:rFonts w:ascii="Times New Roman" w:hAnsi="Times New Roman" w:cs="Times New Roman"/>
          <w:iCs/>
          <w:sz w:val="24"/>
          <w:szCs w:val="24"/>
        </w:rPr>
        <w:t>,</w:t>
      </w:r>
      <w:r w:rsidRPr="000B6A31">
        <w:rPr>
          <w:rFonts w:ascii="Times New Roman" w:hAnsi="Times New Roman" w:cs="Times New Roman"/>
          <w:iCs/>
          <w:sz w:val="24"/>
          <w:szCs w:val="24"/>
        </w:rPr>
        <w:t xml:space="preserve"> which require all earnings from a utility’s electric security plan to be included for SEET purposes.</w:t>
      </w:r>
      <w:r>
        <w:rPr>
          <w:rStyle w:val="FootnoteReference"/>
          <w:rFonts w:ascii="Times New Roman" w:hAnsi="Times New Roman" w:cs="Times New Roman"/>
          <w:iCs/>
          <w:sz w:val="24"/>
          <w:szCs w:val="24"/>
        </w:rPr>
        <w:footnoteReference w:id="57"/>
      </w:r>
      <w:r w:rsidRPr="000B6A31">
        <w:rPr>
          <w:rFonts w:ascii="Times New Roman" w:hAnsi="Times New Roman" w:cs="Times New Roman"/>
          <w:iCs/>
          <w:sz w:val="24"/>
          <w:szCs w:val="24"/>
        </w:rPr>
        <w:t xml:space="preserve"> </w:t>
      </w:r>
      <w:r w:rsidR="0074658D">
        <w:rPr>
          <w:rFonts w:ascii="Times New Roman" w:hAnsi="Times New Roman" w:cs="Times New Roman"/>
          <w:sz w:val="24"/>
          <w:szCs w:val="24"/>
        </w:rPr>
        <w:t>AEP’s request for excluding such a large amount resulting from its significantly excessive earnings in 201</w:t>
      </w:r>
      <w:r w:rsidR="00CC5CCB">
        <w:rPr>
          <w:rFonts w:ascii="Times New Roman" w:hAnsi="Times New Roman" w:cs="Times New Roman"/>
          <w:sz w:val="24"/>
          <w:szCs w:val="24"/>
        </w:rPr>
        <w:t>8</w:t>
      </w:r>
      <w:r w:rsidR="0074658D">
        <w:rPr>
          <w:rFonts w:ascii="Times New Roman" w:hAnsi="Times New Roman" w:cs="Times New Roman"/>
          <w:sz w:val="24"/>
          <w:szCs w:val="24"/>
        </w:rPr>
        <w:t xml:space="preserve"> is unlawful, unreasonable, does not benefit customers or the public interest, and should be rejected. </w:t>
      </w:r>
    </w:p>
    <w:p w:rsidR="00CF57C3" w:rsidRPr="005365F6" w:rsidP="009219F4" w14:paraId="109FAE6B" w14:textId="5240ABF4">
      <w:pPr>
        <w:pStyle w:val="Heading3"/>
      </w:pPr>
      <w:bookmarkStart w:id="12" w:name="_Toc26186886"/>
      <w:r w:rsidRPr="005365F6">
        <w:t xml:space="preserve">The </w:t>
      </w:r>
      <w:r>
        <w:t xml:space="preserve">PUCO should reject the proposed </w:t>
      </w:r>
      <w:r w:rsidRPr="005365F6">
        <w:t xml:space="preserve">Settlement </w:t>
      </w:r>
      <w:r>
        <w:t xml:space="preserve">because it </w:t>
      </w:r>
      <w:r w:rsidRPr="005365F6">
        <w:t xml:space="preserve">violates </w:t>
      </w:r>
      <w:r w:rsidR="00B36186">
        <w:t>important regulatory principles outlined in Ohio’s policy regarding electric service</w:t>
      </w:r>
      <w:r w:rsidRPr="005365F6">
        <w:t>.</w:t>
      </w:r>
      <w:bookmarkEnd w:id="12"/>
    </w:p>
    <w:p w:rsidR="00CF57C3" w:rsidP="00CF57C3" w14:paraId="053E6A44" w14:textId="1573BC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R.C. 4928.02 identifies the policies of the state of Ohio regarding electric services. It is the policy of the state of Ohio to ensure the availability to consumers of adequate, reliable, safe, efficient, nondiscriminatory, and reasonably priced retail electric service; to protect at-risk populations; and to facilitate the state’s effectiveness in the global economy.</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The proposed Settlement violates each of these state policies. The proposed Settlement would allow AEP to sidestep refunding its customers approximately $5.7 million, which is the </w:t>
      </w:r>
      <w:r w:rsidR="0007309C">
        <w:rPr>
          <w:rFonts w:ascii="Times New Roman" w:hAnsi="Times New Roman" w:cs="Times New Roman"/>
          <w:sz w:val="24"/>
          <w:szCs w:val="24"/>
        </w:rPr>
        <w:t xml:space="preserve">significantly </w:t>
      </w:r>
      <w:r w:rsidR="00406C12">
        <w:rPr>
          <w:rFonts w:ascii="Times New Roman" w:hAnsi="Times New Roman" w:cs="Times New Roman"/>
          <w:sz w:val="24"/>
          <w:szCs w:val="24"/>
        </w:rPr>
        <w:t xml:space="preserve">excessive earnings </w:t>
      </w:r>
      <w:r>
        <w:rPr>
          <w:rFonts w:ascii="Times New Roman" w:hAnsi="Times New Roman" w:cs="Times New Roman"/>
          <w:sz w:val="24"/>
          <w:szCs w:val="24"/>
        </w:rPr>
        <w:t xml:space="preserve">AEP </w:t>
      </w:r>
      <w:r w:rsidR="0007309C">
        <w:rPr>
          <w:rFonts w:ascii="Times New Roman" w:hAnsi="Times New Roman" w:cs="Times New Roman"/>
          <w:sz w:val="24"/>
          <w:szCs w:val="24"/>
        </w:rPr>
        <w:t xml:space="preserve">charged customers through the ESP rates. </w:t>
      </w:r>
      <w:r>
        <w:rPr>
          <w:rFonts w:ascii="Times New Roman" w:hAnsi="Times New Roman" w:cs="Times New Roman"/>
          <w:sz w:val="24"/>
          <w:szCs w:val="24"/>
        </w:rPr>
        <w:t>This is not providing reasonably priced retail electric service, protecting at-risk populations, or facilitating the state’s effectiveness in the global economy.</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The PUCO should reject the Settlement to protect consumers.</w:t>
      </w:r>
    </w:p>
    <w:p w:rsidR="00245DC9" w:rsidP="00245DC9" w14:paraId="642406F6" w14:textId="77777777">
      <w:pPr>
        <w:spacing w:after="0" w:line="240" w:lineRule="auto"/>
        <w:ind w:firstLine="720"/>
        <w:rPr>
          <w:rFonts w:ascii="Times New Roman" w:hAnsi="Times New Roman" w:cs="Times New Roman"/>
          <w:sz w:val="24"/>
          <w:szCs w:val="24"/>
        </w:rPr>
      </w:pPr>
    </w:p>
    <w:p w:rsidR="000B6A31" w:rsidRPr="005365F6" w:rsidP="000B6A31" w14:paraId="5001A9B5" w14:textId="77777777">
      <w:pPr>
        <w:pStyle w:val="Heading1"/>
      </w:pPr>
      <w:bookmarkStart w:id="13" w:name="_Toc26186887"/>
      <w:r w:rsidRPr="005365F6">
        <w:t>CONCLUSION</w:t>
      </w:r>
      <w:bookmarkEnd w:id="13"/>
      <w:r w:rsidRPr="005365F6">
        <w:t xml:space="preserve">      </w:t>
      </w:r>
    </w:p>
    <w:p w:rsidR="000B6A31" w:rsidP="000B6A31" w14:paraId="6AD877C4" w14:textId="2216BA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bears the statutory burden of proving that its 201</w:t>
      </w:r>
      <w:r w:rsidR="00CF57C3">
        <w:rPr>
          <w:rFonts w:ascii="Times New Roman" w:hAnsi="Times New Roman" w:cs="Times New Roman"/>
          <w:sz w:val="24"/>
          <w:szCs w:val="24"/>
        </w:rPr>
        <w:t>8</w:t>
      </w:r>
      <w:r>
        <w:rPr>
          <w:rFonts w:ascii="Times New Roman" w:hAnsi="Times New Roman" w:cs="Times New Roman"/>
          <w:sz w:val="24"/>
          <w:szCs w:val="24"/>
        </w:rPr>
        <w:t xml:space="preserve"> earnings were not significantly </w:t>
      </w:r>
      <w:r w:rsidR="00CF57C3">
        <w:rPr>
          <w:rFonts w:ascii="Times New Roman" w:hAnsi="Times New Roman" w:cs="Times New Roman"/>
          <w:sz w:val="24"/>
          <w:szCs w:val="24"/>
        </w:rPr>
        <w:t>excessive</w:t>
      </w:r>
      <w:r>
        <w:rPr>
          <w:rFonts w:ascii="Times New Roman" w:hAnsi="Times New Roman" w:cs="Times New Roman"/>
          <w:sz w:val="24"/>
          <w:szCs w:val="24"/>
        </w:rPr>
        <w:t>. AEP did not meet that burden in this case. Instead, AEP and the PUCO Staff signed a settlement that (i) fails to adopt any SEET threshold; (ii) relies on AEP’s analysis of its 201</w:t>
      </w:r>
      <w:r w:rsidR="00CC5CCB">
        <w:rPr>
          <w:rFonts w:ascii="Times New Roman" w:hAnsi="Times New Roman" w:cs="Times New Roman"/>
          <w:sz w:val="24"/>
          <w:szCs w:val="24"/>
        </w:rPr>
        <w:t>8</w:t>
      </w:r>
      <w:r>
        <w:rPr>
          <w:rFonts w:ascii="Times New Roman" w:hAnsi="Times New Roman" w:cs="Times New Roman"/>
          <w:sz w:val="24"/>
          <w:szCs w:val="24"/>
        </w:rPr>
        <w:t xml:space="preserve"> earnings, which includes two unlawful adjustments designed to avoid PUCO review of AEP’s earnings; and (iii) provides literally nothing to consumers for funding AEP’s significantly excessive earnings.</w:t>
      </w:r>
      <w:r w:rsidR="00406C12">
        <w:rPr>
          <w:rFonts w:ascii="Times New Roman" w:hAnsi="Times New Roman" w:cs="Times New Roman"/>
          <w:sz w:val="24"/>
          <w:szCs w:val="24"/>
        </w:rPr>
        <w:t xml:space="preserve">  </w:t>
      </w:r>
      <w:r w:rsidR="00192D4F">
        <w:rPr>
          <w:rFonts w:ascii="Times New Roman" w:hAnsi="Times New Roman" w:cs="Times New Roman"/>
          <w:sz w:val="24"/>
          <w:szCs w:val="24"/>
        </w:rPr>
        <w:t>For all the reasons discussed above, t</w:t>
      </w:r>
      <w:r w:rsidR="00406C12">
        <w:rPr>
          <w:rFonts w:ascii="Times New Roman" w:hAnsi="Times New Roman" w:cs="Times New Roman"/>
          <w:sz w:val="24"/>
          <w:szCs w:val="24"/>
        </w:rPr>
        <w:t xml:space="preserve">he Settlement </w:t>
      </w:r>
      <w:r w:rsidR="00192D4F">
        <w:rPr>
          <w:rFonts w:ascii="Times New Roman" w:hAnsi="Times New Roman" w:cs="Times New Roman"/>
          <w:sz w:val="24"/>
          <w:szCs w:val="24"/>
        </w:rPr>
        <w:t xml:space="preserve">in this case, </w:t>
      </w:r>
      <w:r w:rsidR="003E7CD2">
        <w:rPr>
          <w:rFonts w:ascii="Times New Roman" w:hAnsi="Times New Roman" w:cs="Times New Roman"/>
          <w:sz w:val="24"/>
          <w:szCs w:val="24"/>
        </w:rPr>
        <w:t xml:space="preserve">fails to meet the PUCO’s standard for evaluating </w:t>
      </w:r>
      <w:r w:rsidR="00192D4F">
        <w:rPr>
          <w:rFonts w:ascii="Times New Roman" w:hAnsi="Times New Roman" w:cs="Times New Roman"/>
          <w:sz w:val="24"/>
          <w:szCs w:val="24"/>
        </w:rPr>
        <w:t>stipulations</w:t>
      </w:r>
      <w:r w:rsidR="003E7CD2">
        <w:rPr>
          <w:rFonts w:ascii="Times New Roman" w:hAnsi="Times New Roman" w:cs="Times New Roman"/>
          <w:sz w:val="24"/>
          <w:szCs w:val="24"/>
        </w:rPr>
        <w:t xml:space="preserve"> because </w:t>
      </w:r>
      <w:r w:rsidR="00192D4F">
        <w:rPr>
          <w:rFonts w:ascii="Times New Roman" w:hAnsi="Times New Roman" w:cs="Times New Roman"/>
          <w:sz w:val="24"/>
          <w:szCs w:val="24"/>
        </w:rPr>
        <w:t xml:space="preserve">it </w:t>
      </w:r>
      <w:r w:rsidR="003E7CD2">
        <w:rPr>
          <w:rFonts w:ascii="Times New Roman" w:hAnsi="Times New Roman" w:cs="Times New Roman"/>
          <w:sz w:val="24"/>
          <w:szCs w:val="24"/>
        </w:rPr>
        <w:t xml:space="preserve">harms customers and is not in the public interest, and </w:t>
      </w:r>
      <w:r w:rsidR="00192D4F">
        <w:rPr>
          <w:rFonts w:ascii="Times New Roman" w:hAnsi="Times New Roman" w:cs="Times New Roman"/>
          <w:sz w:val="24"/>
          <w:szCs w:val="24"/>
        </w:rPr>
        <w:t xml:space="preserve">it </w:t>
      </w:r>
      <w:r w:rsidR="002162B5">
        <w:rPr>
          <w:rFonts w:ascii="Times New Roman" w:hAnsi="Times New Roman" w:cs="Times New Roman"/>
          <w:sz w:val="24"/>
          <w:szCs w:val="24"/>
        </w:rPr>
        <w:t xml:space="preserve">violates important  regulatory principles and </w:t>
      </w:r>
      <w:r w:rsidR="003E7CD2">
        <w:rPr>
          <w:rFonts w:ascii="Times New Roman" w:hAnsi="Times New Roman" w:cs="Times New Roman"/>
          <w:sz w:val="24"/>
          <w:szCs w:val="24"/>
        </w:rPr>
        <w:t>practices</w:t>
      </w:r>
      <w:r w:rsidR="002162B5">
        <w:rPr>
          <w:rFonts w:ascii="Times New Roman" w:hAnsi="Times New Roman" w:cs="Times New Roman"/>
          <w:sz w:val="24"/>
          <w:szCs w:val="24"/>
        </w:rPr>
        <w:t>.</w:t>
      </w:r>
    </w:p>
    <w:p w:rsidR="000B6A31" w:rsidP="000B6A31" w14:paraId="0D779371" w14:textId="688173B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reject the Settlement and instead order AEP to refund $</w:t>
      </w:r>
      <w:r w:rsidR="00CC5CCB">
        <w:rPr>
          <w:rFonts w:ascii="Times New Roman" w:hAnsi="Times New Roman" w:cs="Times New Roman"/>
          <w:sz w:val="24"/>
          <w:szCs w:val="24"/>
        </w:rPr>
        <w:t>5,718,971</w:t>
      </w:r>
      <w:r>
        <w:rPr>
          <w:rFonts w:ascii="Times New Roman" w:hAnsi="Times New Roman" w:cs="Times New Roman"/>
          <w:sz w:val="24"/>
          <w:szCs w:val="24"/>
        </w:rPr>
        <w:t xml:space="preserve"> to customers.</w:t>
      </w:r>
    </w:p>
    <w:p w:rsidR="000B6A31" w:rsidRPr="005365F6" w:rsidP="000B6A31" w14:paraId="3F6005A1" w14:textId="7777777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65F6">
        <w:rPr>
          <w:rFonts w:ascii="Times New Roman" w:hAnsi="Times New Roman" w:cs="Times New Roman"/>
          <w:sz w:val="24"/>
          <w:szCs w:val="24"/>
        </w:rPr>
        <w:t>Respectfully submitted,</w:t>
      </w:r>
    </w:p>
    <w:p w:rsidR="000B6A31" w:rsidRPr="005365F6" w:rsidP="000B6A31" w14:paraId="57B0308E" w14:textId="2BE9552E">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Bruce Weston (0016973)</w:t>
      </w:r>
    </w:p>
    <w:p w:rsidR="000B6A31" w:rsidRPr="005365F6" w:rsidP="000B6A31" w14:paraId="1D4398B2" w14:textId="0679ECCA">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Ohio Consumers’ Counsel</w:t>
      </w:r>
    </w:p>
    <w:p w:rsidR="000B6A31" w:rsidRPr="005365F6" w:rsidP="000B6A31" w14:paraId="4545A7BA" w14:textId="77777777">
      <w:pPr>
        <w:tabs>
          <w:tab w:val="left" w:pos="4320"/>
        </w:tabs>
        <w:spacing w:after="0" w:line="240" w:lineRule="auto"/>
        <w:ind w:left="4320"/>
        <w:rPr>
          <w:rFonts w:ascii="Times New Roman" w:eastAsia="Times New Roman" w:hAnsi="Times New Roman" w:cs="Times New Roman"/>
          <w:sz w:val="24"/>
          <w:szCs w:val="24"/>
        </w:rPr>
      </w:pPr>
    </w:p>
    <w:p w:rsidR="000B6A31" w:rsidRPr="005365F6" w:rsidP="000B6A31" w14:paraId="1C4053DA" w14:textId="0E05D946">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i/>
          <w:sz w:val="24"/>
          <w:szCs w:val="24"/>
          <w:u w:val="single"/>
        </w:rPr>
        <w:t xml:space="preserve">/s/ </w:t>
      </w:r>
      <w:r w:rsidRPr="00245DC9" w:rsidR="00CC5CCB">
        <w:rPr>
          <w:rFonts w:ascii="Times New Roman" w:eastAsia="Times New Roman" w:hAnsi="Times New Roman" w:cs="Times New Roman"/>
          <w:i/>
          <w:iCs/>
          <w:sz w:val="24"/>
          <w:szCs w:val="24"/>
          <w:u w:val="single"/>
        </w:rPr>
        <w:t>Ambrosia E. Logsdon</w:t>
      </w:r>
    </w:p>
    <w:p w:rsidR="000B6A31" w:rsidRPr="005365F6" w:rsidP="000B6A31" w14:paraId="6ADD9E65" w14:textId="77777777">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William J. Michael, (0070921)</w:t>
      </w:r>
    </w:p>
    <w:p w:rsidR="000B6A31" w:rsidRPr="005365F6" w:rsidP="000B6A31" w14:paraId="53127E7A" w14:textId="77777777">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Counsel of Record</w:t>
      </w:r>
    </w:p>
    <w:p w:rsidR="000B6A31" w:rsidRPr="005365F6" w:rsidP="000B6A31" w14:paraId="7A129ADF" w14:textId="7E1A1C00">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Ambrosia E. Logsdon, (0096598)</w:t>
      </w:r>
    </w:p>
    <w:p w:rsidR="000B6A31" w:rsidRPr="005365F6" w:rsidP="000B6A31" w14:paraId="36CC43E4" w14:textId="77777777">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Assistant Consumers’ Counsel</w:t>
      </w:r>
    </w:p>
    <w:p w:rsidR="000B6A31" w:rsidRPr="005365F6" w:rsidP="000B6A31" w14:paraId="55554470" w14:textId="77777777">
      <w:pPr>
        <w:tabs>
          <w:tab w:val="left" w:pos="4320"/>
        </w:tabs>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ab/>
      </w:r>
    </w:p>
    <w:p w:rsidR="000B6A31" w:rsidRPr="005365F6" w:rsidP="000B6A31" w14:paraId="432F68E2" w14:textId="77777777">
      <w:pPr>
        <w:spacing w:after="0" w:line="240" w:lineRule="auto"/>
        <w:ind w:left="4320"/>
        <w:rPr>
          <w:rFonts w:ascii="Times New Roman" w:eastAsia="Times New Roman" w:hAnsi="Times New Roman" w:cs="Times New Roman"/>
          <w:b/>
          <w:sz w:val="24"/>
          <w:szCs w:val="24"/>
        </w:rPr>
      </w:pPr>
      <w:r w:rsidRPr="005365F6">
        <w:rPr>
          <w:rFonts w:ascii="Times New Roman" w:eastAsia="Times New Roman" w:hAnsi="Times New Roman" w:cs="Times New Roman"/>
          <w:b/>
          <w:sz w:val="24"/>
          <w:szCs w:val="24"/>
        </w:rPr>
        <w:t>Office of the Ohio Consumers’ Counsel</w:t>
      </w:r>
    </w:p>
    <w:p w:rsidR="000B6A31" w:rsidRPr="005365F6" w:rsidP="000B6A31" w14:paraId="0CD78B09" w14:textId="77777777">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 xml:space="preserve">65 East State Street, </w:t>
      </w:r>
      <w:r>
        <w:rPr>
          <w:rFonts w:ascii="Times New Roman" w:eastAsia="Times New Roman" w:hAnsi="Times New Roman" w:cs="Times New Roman"/>
          <w:sz w:val="24"/>
          <w:szCs w:val="24"/>
        </w:rPr>
        <w:t>7</w:t>
      </w:r>
      <w:r w:rsidRPr="002D25F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rsidR="000B6A31" w:rsidRPr="005365F6" w:rsidP="000B6A31" w14:paraId="43FD7F15" w14:textId="77777777">
      <w:pPr>
        <w:spacing w:after="0" w:line="240" w:lineRule="auto"/>
        <w:ind w:left="4320"/>
        <w:rPr>
          <w:rFonts w:ascii="Times New Roman" w:eastAsia="Times New Roman" w:hAnsi="Times New Roman" w:cs="Times New Roman"/>
          <w:b/>
          <w:sz w:val="24"/>
          <w:szCs w:val="24"/>
        </w:rPr>
      </w:pPr>
      <w:r w:rsidRPr="005365F6">
        <w:rPr>
          <w:rFonts w:ascii="Times New Roman" w:eastAsia="Times New Roman" w:hAnsi="Times New Roman" w:cs="Times New Roman"/>
          <w:sz w:val="24"/>
          <w:szCs w:val="24"/>
        </w:rPr>
        <w:t>Columbus, Ohio 43215</w:t>
      </w:r>
    </w:p>
    <w:p w:rsidR="000B6A31" w:rsidRPr="005365F6" w:rsidP="000B6A31" w14:paraId="6F0125E9" w14:textId="77777777">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Telephone: [Michael] (614) 466-1291</w:t>
      </w:r>
    </w:p>
    <w:p w:rsidR="00CC5CCB" w:rsidRPr="00CC5CCB" w:rsidP="000B6A31" w14:paraId="08EE44BE" w14:textId="29752A9E">
      <w:pPr>
        <w:spacing w:after="0" w:line="240" w:lineRule="auto"/>
        <w:ind w:left="4320"/>
        <w:rPr>
          <w:rFonts w:ascii="Times New Roman" w:eastAsia="Times New Roman" w:hAnsi="Times New Roman" w:cs="Times New Roman"/>
          <w:sz w:val="24"/>
          <w:szCs w:val="24"/>
        </w:rPr>
      </w:pPr>
      <w:r w:rsidRPr="00CC5CCB">
        <w:rPr>
          <w:rFonts w:ascii="Times New Roman" w:eastAsia="Times New Roman" w:hAnsi="Times New Roman" w:cs="Times New Roman"/>
          <w:sz w:val="24"/>
          <w:szCs w:val="24"/>
        </w:rPr>
        <w:t>Telephone: [Logsdon] (614) 466-1292</w:t>
      </w:r>
    </w:p>
    <w:p w:rsidR="000B6A31" w:rsidRPr="005365F6" w:rsidP="000B6A31" w14:paraId="04BF1146" w14:textId="4AB1253C">
      <w:pPr>
        <w:spacing w:after="0" w:line="240" w:lineRule="auto"/>
        <w:ind w:left="4320"/>
        <w:rPr>
          <w:rFonts w:ascii="Times New Roman" w:eastAsia="Times New Roman" w:hAnsi="Times New Roman" w:cs="Times New Roman"/>
          <w:sz w:val="24"/>
          <w:szCs w:val="24"/>
        </w:rPr>
      </w:pPr>
      <w:r w:rsidRPr="005365F6">
        <w:rPr>
          <w:rFonts w:ascii="Times New Roman" w:eastAsia="Times New Roman" w:hAnsi="Times New Roman" w:cs="Times New Roman"/>
          <w:color w:val="0000FF" w:themeColor="hyperlink"/>
          <w:sz w:val="24"/>
          <w:szCs w:val="24"/>
          <w:u w:val="single"/>
        </w:rPr>
        <w:t>william.michael@occ.ohio.gov</w:t>
      </w:r>
    </w:p>
    <w:p w:rsidR="000B6A31" w:rsidRPr="005365F6" w:rsidP="000B6A31" w14:paraId="5EA903CB" w14:textId="1548DD73">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color w:val="0000FF" w:themeColor="hyperlink"/>
          <w:sz w:val="24"/>
          <w:szCs w:val="24"/>
          <w:u w:val="single"/>
        </w:rPr>
        <w:t>Ambrosia.Logsdon@occ.ohio.gov</w:t>
      </w:r>
    </w:p>
    <w:p w:rsidR="000B6A31" w:rsidP="000B6A31" w14:paraId="1B100394" w14:textId="77777777">
      <w:pPr>
        <w:spacing w:after="0" w:line="240" w:lineRule="auto"/>
        <w:rPr>
          <w:rFonts w:ascii="Times New Roman" w:eastAsia="Times New Roman" w:hAnsi="Times New Roman" w:cs="Times New Roman"/>
          <w:sz w:val="24"/>
          <w:szCs w:val="24"/>
        </w:rPr>
      </w:pP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r>
      <w:r w:rsidRPr="005365F6">
        <w:rPr>
          <w:rFonts w:ascii="Times New Roman" w:eastAsia="Times New Roman" w:hAnsi="Times New Roman" w:cs="Times New Roman"/>
          <w:sz w:val="24"/>
          <w:szCs w:val="24"/>
        </w:rPr>
        <w:tab/>
        <w:t xml:space="preserve">            (</w:t>
      </w:r>
      <w:r w:rsidR="00245DC9">
        <w:rPr>
          <w:rFonts w:ascii="Times New Roman" w:eastAsia="Times New Roman" w:hAnsi="Times New Roman" w:cs="Times New Roman"/>
          <w:sz w:val="24"/>
          <w:szCs w:val="24"/>
        </w:rPr>
        <w:t>Willing to</w:t>
      </w:r>
      <w:r w:rsidRPr="005365F6">
        <w:rPr>
          <w:rFonts w:ascii="Times New Roman" w:eastAsia="Times New Roman" w:hAnsi="Times New Roman" w:cs="Times New Roman"/>
          <w:sz w:val="24"/>
          <w:szCs w:val="24"/>
        </w:rPr>
        <w:t xml:space="preserve"> accept service </w:t>
      </w:r>
      <w:r w:rsidR="00245DC9">
        <w:rPr>
          <w:rFonts w:ascii="Times New Roman" w:eastAsia="Times New Roman" w:hAnsi="Times New Roman" w:cs="Times New Roman"/>
          <w:sz w:val="24"/>
          <w:szCs w:val="24"/>
        </w:rPr>
        <w:t>by</w:t>
      </w:r>
      <w:r w:rsidRPr="005365F6">
        <w:rPr>
          <w:rFonts w:ascii="Times New Roman" w:eastAsia="Times New Roman" w:hAnsi="Times New Roman" w:cs="Times New Roman"/>
          <w:sz w:val="24"/>
          <w:szCs w:val="24"/>
        </w:rPr>
        <w:t xml:space="preserve"> e</w:t>
      </w:r>
      <w:r w:rsidR="00245DC9">
        <w:rPr>
          <w:rFonts w:ascii="Times New Roman" w:eastAsia="Times New Roman" w:hAnsi="Times New Roman" w:cs="Times New Roman"/>
          <w:sz w:val="24"/>
          <w:szCs w:val="24"/>
        </w:rPr>
        <w:t>-</w:t>
      </w:r>
      <w:r w:rsidRPr="005365F6">
        <w:rPr>
          <w:rFonts w:ascii="Times New Roman" w:eastAsia="Times New Roman" w:hAnsi="Times New Roman" w:cs="Times New Roman"/>
          <w:sz w:val="24"/>
          <w:szCs w:val="24"/>
        </w:rPr>
        <w:t>mail)</w:t>
      </w:r>
    </w:p>
    <w:p w:rsidR="002637BF" w:rsidP="000B6A31" w14:paraId="761BCFB9" w14:textId="77777777">
      <w:pPr>
        <w:spacing w:after="0" w:line="240" w:lineRule="auto"/>
        <w:rPr>
          <w:rFonts w:ascii="Times New Roman" w:eastAsia="Times New Roman" w:hAnsi="Times New Roman" w:cs="Times New Roman"/>
          <w:sz w:val="24"/>
          <w:szCs w:val="24"/>
        </w:rPr>
      </w:pPr>
    </w:p>
    <w:p w:rsidR="002637BF" w:rsidP="000B6A31" w14:paraId="55206BE9" w14:textId="77777777">
      <w:pPr>
        <w:spacing w:after="0" w:line="240" w:lineRule="auto"/>
        <w:rPr>
          <w:rFonts w:ascii="Times New Roman" w:eastAsia="Times New Roman" w:hAnsi="Times New Roman" w:cs="Times New Roman"/>
          <w:sz w:val="24"/>
          <w:szCs w:val="24"/>
        </w:rPr>
        <w:sectPr w:rsidSect="000B6A31">
          <w:headerReference w:type="default" r:id="rId9"/>
          <w:footerReference w:type="default" r:id="rId10"/>
          <w:pgSz w:w="12240" w:h="15840"/>
          <w:pgMar w:top="1440" w:right="1800" w:bottom="1440" w:left="1800" w:header="720" w:footer="720" w:gutter="0"/>
          <w:pgNumType w:start="1"/>
          <w:cols w:space="720"/>
          <w:docGrid w:linePitch="360"/>
        </w:sectPr>
      </w:pPr>
    </w:p>
    <w:p w:rsidR="000B6A31" w:rsidRPr="005365F6" w:rsidP="000B6A31" w14:paraId="3F7C1BB6" w14:textId="77777777">
      <w:pPr>
        <w:spacing w:after="0" w:line="240" w:lineRule="auto"/>
        <w:jc w:val="center"/>
        <w:rPr>
          <w:rFonts w:ascii="Times New Roman" w:eastAsia="Calibri" w:hAnsi="Times New Roman" w:cs="Times New Roman"/>
          <w:b/>
          <w:bCs/>
          <w:sz w:val="24"/>
          <w:szCs w:val="24"/>
          <w:u w:val="single"/>
        </w:rPr>
      </w:pPr>
      <w:r w:rsidRPr="005365F6">
        <w:rPr>
          <w:rFonts w:ascii="Times New Roman" w:eastAsia="Calibri" w:hAnsi="Times New Roman" w:cs="Times New Roman"/>
          <w:b/>
          <w:bCs/>
          <w:sz w:val="24"/>
          <w:szCs w:val="24"/>
          <w:u w:val="single"/>
        </w:rPr>
        <w:t>CERTIFICATE OF SERVICE</w:t>
      </w:r>
    </w:p>
    <w:p w:rsidR="000B6A31" w:rsidP="000B6A31" w14:paraId="173FFC99" w14:textId="3A225A7E">
      <w:pPr>
        <w:spacing w:after="0" w:line="480" w:lineRule="atLeast"/>
        <w:ind w:firstLine="720"/>
        <w:rPr>
          <w:rFonts w:ascii="Times New Roman" w:eastAsia="Calibri" w:hAnsi="Times New Roman" w:cs="Times New Roman"/>
          <w:sz w:val="24"/>
          <w:szCs w:val="24"/>
        </w:rPr>
      </w:pPr>
      <w:r w:rsidRPr="005365F6">
        <w:rPr>
          <w:rFonts w:ascii="Times New Roman" w:eastAsia="Calibri" w:hAnsi="Times New Roman" w:cs="Times New Roman"/>
          <w:sz w:val="24"/>
          <w:szCs w:val="24"/>
        </w:rPr>
        <w:t xml:space="preserve">I hereby certify that a copy of this Initial Brief was served on the persons stated below via electronic service, this </w:t>
      </w:r>
      <w:r w:rsidR="00CC5CCB">
        <w:rPr>
          <w:rFonts w:ascii="Times New Roman" w:eastAsia="Calibri" w:hAnsi="Times New Roman" w:cs="Times New Roman"/>
          <w:sz w:val="24"/>
          <w:szCs w:val="24"/>
        </w:rPr>
        <w:t>4th</w:t>
      </w:r>
      <w:r w:rsidRPr="005365F6">
        <w:rPr>
          <w:rFonts w:ascii="Times New Roman" w:eastAsia="Calibri" w:hAnsi="Times New Roman" w:cs="Times New Roman"/>
          <w:sz w:val="24"/>
          <w:szCs w:val="24"/>
        </w:rPr>
        <w:t xml:space="preserve"> day of </w:t>
      </w:r>
      <w:r w:rsidR="00CC5CCB">
        <w:rPr>
          <w:rFonts w:ascii="Times New Roman" w:eastAsia="Calibri" w:hAnsi="Times New Roman" w:cs="Times New Roman"/>
          <w:sz w:val="24"/>
          <w:szCs w:val="24"/>
        </w:rPr>
        <w:t>December</w:t>
      </w:r>
      <w:r w:rsidRPr="005365F6">
        <w:rPr>
          <w:rFonts w:ascii="Times New Roman" w:eastAsia="Calibri" w:hAnsi="Times New Roman" w:cs="Times New Roman"/>
          <w:sz w:val="24"/>
          <w:szCs w:val="24"/>
        </w:rPr>
        <w:t xml:space="preserve"> 201</w:t>
      </w:r>
      <w:r w:rsidR="00CC5CCB">
        <w:rPr>
          <w:rFonts w:ascii="Times New Roman" w:eastAsia="Calibri" w:hAnsi="Times New Roman" w:cs="Times New Roman"/>
          <w:sz w:val="24"/>
          <w:szCs w:val="24"/>
        </w:rPr>
        <w:t>9</w:t>
      </w:r>
      <w:r w:rsidRPr="005365F6">
        <w:rPr>
          <w:rFonts w:ascii="Times New Roman" w:eastAsia="Calibri" w:hAnsi="Times New Roman" w:cs="Times New Roman"/>
          <w:sz w:val="24"/>
          <w:szCs w:val="24"/>
        </w:rPr>
        <w:t>.</w:t>
      </w:r>
    </w:p>
    <w:p w:rsidR="000B6A31" w:rsidRPr="005365F6" w:rsidP="000B6A31" w14:paraId="0CCA2724" w14:textId="77777777">
      <w:pPr>
        <w:spacing w:after="0" w:line="480" w:lineRule="atLeast"/>
        <w:ind w:firstLine="720"/>
        <w:rPr>
          <w:rFonts w:ascii="Times New Roman" w:eastAsia="Calibri" w:hAnsi="Times New Roman" w:cs="Times New Roman"/>
          <w:sz w:val="24"/>
          <w:szCs w:val="24"/>
        </w:rPr>
      </w:pPr>
    </w:p>
    <w:p w:rsidR="000B6A31" w:rsidRPr="005365F6" w:rsidP="000B6A31" w14:paraId="424C5457" w14:textId="77777777">
      <w:pPr>
        <w:spacing w:after="0" w:line="240" w:lineRule="auto"/>
        <w:rPr>
          <w:rFonts w:ascii="Times New Roman" w:eastAsia="Calibri" w:hAnsi="Times New Roman" w:cs="Times New Roman"/>
          <w:sz w:val="24"/>
          <w:szCs w:val="24"/>
        </w:rPr>
      </w:pPr>
    </w:p>
    <w:p w:rsidR="000B6A31" w:rsidRPr="005365F6" w:rsidP="000B6A31" w14:paraId="054C534B" w14:textId="37DDE83F">
      <w:pPr>
        <w:tabs>
          <w:tab w:val="left" w:pos="4320"/>
        </w:tabs>
        <w:spacing w:after="0" w:line="240" w:lineRule="auto"/>
        <w:rPr>
          <w:rFonts w:ascii="Times New Roman" w:eastAsia="Calibri" w:hAnsi="Times New Roman" w:cs="Times New Roman"/>
          <w:iCs/>
          <w:sz w:val="24"/>
          <w:szCs w:val="24"/>
          <w:u w:val="single"/>
        </w:rPr>
      </w:pP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u w:val="single"/>
        </w:rPr>
        <w:t xml:space="preserve">/s/ </w:t>
      </w:r>
      <w:r w:rsidRPr="00245DC9" w:rsidR="00CC5CCB">
        <w:rPr>
          <w:rFonts w:ascii="Times New Roman" w:eastAsia="Calibri" w:hAnsi="Times New Roman" w:cs="Times New Roman"/>
          <w:i/>
          <w:sz w:val="24"/>
          <w:szCs w:val="24"/>
          <w:u w:val="single"/>
        </w:rPr>
        <w:t>Ambrosia E. Logsdon</w:t>
      </w:r>
    </w:p>
    <w:p w:rsidR="000B6A31" w:rsidRPr="005365F6" w:rsidP="000B6A31" w14:paraId="5C2414E0" w14:textId="08658924">
      <w:pPr>
        <w:tabs>
          <w:tab w:val="left" w:pos="4320"/>
        </w:tabs>
        <w:spacing w:after="0" w:line="240" w:lineRule="auto"/>
        <w:rPr>
          <w:rFonts w:ascii="Times New Roman" w:eastAsia="Calibri" w:hAnsi="Times New Roman" w:cs="Times New Roman"/>
          <w:iCs/>
          <w:sz w:val="24"/>
          <w:szCs w:val="24"/>
        </w:rPr>
      </w:pP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rPr>
        <w:tab/>
      </w:r>
      <w:r w:rsidR="00CC5CCB">
        <w:rPr>
          <w:rFonts w:ascii="Times New Roman" w:eastAsia="Calibri" w:hAnsi="Times New Roman" w:cs="Times New Roman"/>
          <w:iCs/>
          <w:sz w:val="24"/>
          <w:szCs w:val="24"/>
        </w:rPr>
        <w:t>Ambrosia E. Logsdon</w:t>
      </w:r>
      <w:r w:rsidRPr="005365F6">
        <w:rPr>
          <w:rFonts w:ascii="Times New Roman" w:eastAsia="Calibri" w:hAnsi="Times New Roman" w:cs="Times New Roman"/>
          <w:iCs/>
          <w:sz w:val="24"/>
          <w:szCs w:val="24"/>
        </w:rPr>
        <w:t xml:space="preserve"> </w:t>
      </w:r>
    </w:p>
    <w:p w:rsidR="000B6A31" w:rsidP="000B6A31" w14:paraId="6F41AACA" w14:textId="3E2CC715">
      <w:pPr>
        <w:tabs>
          <w:tab w:val="left" w:pos="4320"/>
        </w:tabs>
        <w:spacing w:after="0" w:line="240" w:lineRule="auto"/>
        <w:rPr>
          <w:rFonts w:ascii="Times New Roman" w:eastAsia="Calibri" w:hAnsi="Times New Roman" w:cs="Times New Roman"/>
          <w:iCs/>
          <w:sz w:val="24"/>
          <w:szCs w:val="24"/>
        </w:rPr>
      </w:pPr>
      <w:r w:rsidRPr="005365F6">
        <w:rPr>
          <w:rFonts w:ascii="Times New Roman" w:eastAsia="Calibri" w:hAnsi="Times New Roman" w:cs="Times New Roman"/>
          <w:iCs/>
          <w:sz w:val="24"/>
          <w:szCs w:val="24"/>
        </w:rPr>
        <w:tab/>
      </w:r>
      <w:r w:rsidRPr="005365F6">
        <w:rPr>
          <w:rFonts w:ascii="Times New Roman" w:eastAsia="Calibri" w:hAnsi="Times New Roman" w:cs="Times New Roman"/>
          <w:iCs/>
          <w:sz w:val="24"/>
          <w:szCs w:val="24"/>
        </w:rPr>
        <w:tab/>
        <w:t>Assistant Consumers’ Counsel</w:t>
      </w:r>
    </w:p>
    <w:p w:rsidR="002637BF" w:rsidRPr="002637BF" w:rsidP="000B6A31" w14:paraId="56DE4BD1" w14:textId="290F6CF0">
      <w:pPr>
        <w:tabs>
          <w:tab w:val="left" w:pos="4320"/>
        </w:tabs>
        <w:spacing w:after="0" w:line="240" w:lineRule="auto"/>
        <w:rPr>
          <w:rFonts w:ascii="Times New Roman" w:eastAsia="Calibri" w:hAnsi="Times New Roman" w:cs="Times New Roman"/>
          <w:iCs/>
          <w:sz w:val="24"/>
          <w:szCs w:val="24"/>
        </w:rPr>
      </w:pPr>
    </w:p>
    <w:p w:rsidR="002637BF" w:rsidRPr="002637BF" w:rsidP="002637BF" w14:paraId="6EF81397" w14:textId="77777777">
      <w:pPr>
        <w:pStyle w:val="CommentText"/>
        <w:rPr>
          <w:rFonts w:ascii="Times New Roman" w:hAnsi="Times New Roman" w:cs="Times New Roman"/>
          <w:bCs/>
          <w:sz w:val="24"/>
          <w:szCs w:val="24"/>
        </w:rPr>
      </w:pPr>
      <w:r w:rsidRPr="002637BF">
        <w:rPr>
          <w:rFonts w:ascii="Times New Roman" w:hAnsi="Times New Roman" w:cs="Times New Roman"/>
          <w:bCs/>
          <w:sz w:val="24"/>
          <w:szCs w:val="24"/>
        </w:rPr>
        <w:t>The PUCO’s e-filing system will electronically serve notice of the filing of this document on the following parties:</w:t>
      </w:r>
    </w:p>
    <w:p w:rsidR="002637BF" w:rsidRPr="002637BF" w:rsidP="002637BF" w14:paraId="3497BA7E" w14:textId="77777777">
      <w:pPr>
        <w:jc w:val="center"/>
        <w:rPr>
          <w:rFonts w:ascii="Times New Roman" w:hAnsi="Times New Roman" w:cs="Times New Roman"/>
          <w:b/>
          <w:sz w:val="24"/>
          <w:szCs w:val="24"/>
          <w:u w:val="single"/>
        </w:rPr>
      </w:pPr>
    </w:p>
    <w:p w:rsidR="002637BF" w:rsidP="002637BF" w14:paraId="3BDA309E" w14:textId="0C14FF1C">
      <w:pPr>
        <w:pStyle w:val="CommentText"/>
        <w:jc w:val="center"/>
        <w:rPr>
          <w:rFonts w:ascii="Times New Roman" w:hAnsi="Times New Roman" w:cs="Times New Roman"/>
          <w:b/>
          <w:bCs/>
          <w:sz w:val="24"/>
          <w:szCs w:val="24"/>
          <w:u w:val="single"/>
        </w:rPr>
      </w:pPr>
      <w:r w:rsidRPr="002637BF">
        <w:rPr>
          <w:rFonts w:ascii="Times New Roman" w:hAnsi="Times New Roman" w:cs="Times New Roman"/>
          <w:b/>
          <w:bCs/>
          <w:sz w:val="24"/>
          <w:szCs w:val="24"/>
          <w:u w:val="single"/>
        </w:rPr>
        <w:t>SERVICE LIST</w:t>
      </w:r>
    </w:p>
    <w:p w:rsidR="002637BF" w:rsidRPr="002637BF" w:rsidP="002637BF" w14:paraId="1C8B98D6" w14:textId="77777777">
      <w:pPr>
        <w:pStyle w:val="CommentText"/>
        <w:jc w:val="center"/>
        <w:rPr>
          <w:rFonts w:ascii="Times New Roman" w:hAnsi="Times New Roman" w:cs="Times New Roman"/>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5"/>
        <w:gridCol w:w="4025"/>
      </w:tblGrid>
      <w:tr w14:paraId="2AB01992" w14:textId="77777777" w:rsidTr="002637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15" w:type="dxa"/>
          </w:tcPr>
          <w:p w:rsidR="002637BF" w:rsidRPr="002637BF" w:rsidP="00D42E3E" w14:paraId="661D2932" w14:textId="77777777">
            <w:pPr>
              <w:pStyle w:val="CommentText"/>
              <w:rPr>
                <w:sz w:val="24"/>
                <w:szCs w:val="24"/>
              </w:rPr>
            </w:pPr>
            <w:hyperlink r:id="rId11" w:history="1">
              <w:r w:rsidRPr="002637BF">
                <w:rPr>
                  <w:rStyle w:val="Hyperlink"/>
                  <w:sz w:val="24"/>
                  <w:szCs w:val="24"/>
                </w:rPr>
                <w:t>Thomas.mcnamee@ohioattorneygeneral.gov</w:t>
              </w:r>
            </w:hyperlink>
          </w:p>
          <w:p w:rsidR="002637BF" w:rsidRPr="002637BF" w:rsidP="00D42E3E" w14:paraId="07C24313" w14:textId="77777777">
            <w:pPr>
              <w:pStyle w:val="CommentText"/>
              <w:rPr>
                <w:sz w:val="24"/>
                <w:szCs w:val="24"/>
              </w:rPr>
            </w:pPr>
          </w:p>
          <w:p w:rsidR="002637BF" w:rsidRPr="002637BF" w:rsidP="00D42E3E" w14:paraId="4293F68F" w14:textId="77777777">
            <w:pPr>
              <w:pStyle w:val="CommentText"/>
              <w:rPr>
                <w:sz w:val="24"/>
                <w:szCs w:val="24"/>
              </w:rPr>
            </w:pPr>
            <w:r w:rsidRPr="002637BF">
              <w:rPr>
                <w:sz w:val="24"/>
                <w:szCs w:val="24"/>
              </w:rPr>
              <w:t>Attorney Examiners:</w:t>
            </w:r>
          </w:p>
          <w:p w:rsidR="002637BF" w:rsidRPr="002637BF" w:rsidP="00D42E3E" w14:paraId="4166B0CE" w14:textId="77777777">
            <w:pPr>
              <w:pStyle w:val="CommentText"/>
              <w:rPr>
                <w:sz w:val="24"/>
                <w:szCs w:val="24"/>
              </w:rPr>
            </w:pPr>
          </w:p>
          <w:p w:rsidR="002637BF" w:rsidRPr="002637BF" w:rsidP="00D42E3E" w14:paraId="1B99950C" w14:textId="77777777">
            <w:pPr>
              <w:pStyle w:val="CommentText"/>
              <w:rPr>
                <w:sz w:val="24"/>
                <w:szCs w:val="24"/>
              </w:rPr>
            </w:pPr>
            <w:hyperlink r:id="rId12" w:history="1">
              <w:r w:rsidRPr="002637BF">
                <w:rPr>
                  <w:rStyle w:val="Hyperlink"/>
                  <w:sz w:val="24"/>
                  <w:szCs w:val="24"/>
                </w:rPr>
                <w:t>Sarah.parrot@puco.ohio.gov</w:t>
              </w:r>
            </w:hyperlink>
          </w:p>
          <w:p w:rsidR="002637BF" w:rsidRPr="002637BF" w:rsidP="00D42E3E" w14:paraId="6DF7A867" w14:textId="77777777">
            <w:pPr>
              <w:pStyle w:val="CommentText"/>
              <w:rPr>
                <w:sz w:val="24"/>
                <w:szCs w:val="24"/>
              </w:rPr>
            </w:pPr>
            <w:hyperlink r:id="rId13" w:history="1">
              <w:r w:rsidRPr="002637BF">
                <w:rPr>
                  <w:rStyle w:val="Hyperlink"/>
                  <w:sz w:val="24"/>
                  <w:szCs w:val="24"/>
                </w:rPr>
                <w:t>Greta.see@puco.ohio.gov</w:t>
              </w:r>
            </w:hyperlink>
          </w:p>
          <w:p w:rsidR="002637BF" w:rsidRPr="002637BF" w:rsidP="00D42E3E" w14:paraId="5104565A" w14:textId="77777777">
            <w:pPr>
              <w:pStyle w:val="CommentText"/>
              <w:rPr>
                <w:sz w:val="24"/>
                <w:szCs w:val="24"/>
              </w:rPr>
            </w:pPr>
          </w:p>
        </w:tc>
        <w:tc>
          <w:tcPr>
            <w:tcW w:w="4025" w:type="dxa"/>
          </w:tcPr>
          <w:p w:rsidR="002637BF" w:rsidRPr="002637BF" w:rsidP="00D42E3E" w14:paraId="2E7199EE" w14:textId="77777777">
            <w:pPr>
              <w:pStyle w:val="CommentText"/>
              <w:ind w:left="1062"/>
              <w:rPr>
                <w:sz w:val="24"/>
                <w:szCs w:val="24"/>
              </w:rPr>
            </w:pPr>
            <w:hyperlink r:id="rId14" w:history="1">
              <w:r w:rsidRPr="002637BF">
                <w:rPr>
                  <w:rStyle w:val="Hyperlink"/>
                  <w:sz w:val="24"/>
                  <w:szCs w:val="24"/>
                </w:rPr>
                <w:t>stnourse@aep.com</w:t>
              </w:r>
            </w:hyperlink>
          </w:p>
          <w:p w:rsidR="002637BF" w:rsidRPr="002637BF" w:rsidP="00D42E3E" w14:paraId="572B1421" w14:textId="77777777">
            <w:pPr>
              <w:pStyle w:val="CommentText"/>
              <w:ind w:left="1062"/>
              <w:rPr>
                <w:sz w:val="24"/>
                <w:szCs w:val="24"/>
              </w:rPr>
            </w:pPr>
          </w:p>
        </w:tc>
      </w:tr>
    </w:tbl>
    <w:p w:rsidR="000B6A31" w:rsidP="000B6A31" w14:paraId="0F1A0396" w14:textId="77777777">
      <w:pPr>
        <w:spacing w:after="0" w:line="240" w:lineRule="auto"/>
        <w:jc w:val="center"/>
        <w:rPr>
          <w:rFonts w:ascii="Times New Roman" w:eastAsia="Times New Roman" w:hAnsi="Times New Roman" w:cs="Times New Roman"/>
          <w:b/>
          <w:bCs/>
          <w:sz w:val="24"/>
          <w:szCs w:val="24"/>
          <w:u w:val="single"/>
        </w:rPr>
      </w:pPr>
    </w:p>
    <w:p w:rsidR="000B6A31" w:rsidP="000B6A31" w14:paraId="740842B8" w14:textId="77777777">
      <w:pPr>
        <w:pStyle w:val="CommentText"/>
        <w:jc w:val="center"/>
        <w:rPr>
          <w:b/>
          <w:sz w:val="24"/>
          <w:szCs w:val="24"/>
          <w:u w:val="single"/>
        </w:rPr>
      </w:pPr>
    </w:p>
    <w:tbl>
      <w:tblPr>
        <w:tblW w:w="0" w:type="auto"/>
        <w:tblLook w:val="01E0"/>
      </w:tblPr>
      <w:tblGrid>
        <w:gridCol w:w="4320"/>
        <w:gridCol w:w="4320"/>
      </w:tblGrid>
      <w:tr w14:paraId="36DEFB73" w14:textId="77777777" w:rsidTr="000B6A31">
        <w:tblPrEx>
          <w:tblW w:w="0" w:type="auto"/>
          <w:tblLook w:val="01E0"/>
        </w:tblPrEx>
        <w:tc>
          <w:tcPr>
            <w:tcW w:w="4428" w:type="dxa"/>
          </w:tcPr>
          <w:p w:rsidR="000B6A31" w:rsidRPr="00E74175" w:rsidP="000B6A31" w14:paraId="57CB90BC" w14:textId="65E8B955">
            <w:pPr>
              <w:autoSpaceDE w:val="0"/>
              <w:autoSpaceDN w:val="0"/>
              <w:adjustRightInd w:val="0"/>
              <w:spacing w:after="0" w:line="240" w:lineRule="auto"/>
              <w:rPr>
                <w:rFonts w:ascii="Times New Roman" w:hAnsi="Times New Roman" w:cs="Times New Roman"/>
                <w:bCs/>
                <w:sz w:val="24"/>
                <w:szCs w:val="24"/>
              </w:rPr>
            </w:pPr>
          </w:p>
        </w:tc>
        <w:tc>
          <w:tcPr>
            <w:tcW w:w="4428" w:type="dxa"/>
          </w:tcPr>
          <w:p w:rsidR="000B6A31" w:rsidRPr="00D51482" w:rsidP="000B6A31" w14:paraId="377C4E92" w14:textId="77777777">
            <w:pPr>
              <w:tabs>
                <w:tab w:val="left" w:pos="-720"/>
              </w:tabs>
              <w:suppressAutoHyphens/>
              <w:jc w:val="both"/>
              <w:rPr>
                <w:bCs/>
                <w:snapToGrid w:val="0"/>
                <w:spacing w:val="-3"/>
              </w:rPr>
            </w:pPr>
          </w:p>
        </w:tc>
      </w:tr>
    </w:tbl>
    <w:p w:rsidR="000B6A31" w:rsidRPr="005365F6" w:rsidP="000B6A31" w14:paraId="23613E66" w14:textId="77777777">
      <w:pPr>
        <w:spacing w:after="0" w:line="240" w:lineRule="auto"/>
        <w:jc w:val="center"/>
        <w:rPr>
          <w:rFonts w:ascii="Times New Roman" w:eastAsia="Times New Roman" w:hAnsi="Times New Roman" w:cs="Times New Roman"/>
          <w:b/>
          <w:bCs/>
          <w:sz w:val="24"/>
          <w:szCs w:val="24"/>
          <w:u w:val="single"/>
        </w:rPr>
      </w:pPr>
    </w:p>
    <w:sectPr w:rsidSect="000B6A31">
      <w:footerReference w:type="defaul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3801737"/>
      <w:docPartObj>
        <w:docPartGallery w:val="Page Numbers (Bottom of Page)"/>
        <w:docPartUnique/>
      </w:docPartObj>
    </w:sdtPr>
    <w:sdtEndPr>
      <w:rPr>
        <w:rFonts w:ascii="Times New Roman" w:hAnsi="Times New Roman" w:cs="Times New Roman"/>
        <w:noProof/>
        <w:sz w:val="24"/>
        <w:szCs w:val="24"/>
      </w:rPr>
    </w:sdtEndPr>
    <w:sdtContent>
      <w:p w:rsidR="00245DC9" w:rsidRPr="00B73A79" w14:paraId="51814218" w14:textId="77777777">
        <w:pPr>
          <w:pStyle w:val="Footer"/>
          <w:jc w:val="center"/>
          <w:rPr>
            <w:rFonts w:ascii="Times New Roman" w:hAnsi="Times New Roman" w:cs="Times New Roman"/>
            <w:sz w:val="24"/>
            <w:szCs w:val="24"/>
          </w:rPr>
        </w:pPr>
        <w:r w:rsidRPr="00B73A79">
          <w:rPr>
            <w:rFonts w:ascii="Times New Roman" w:hAnsi="Times New Roman" w:cs="Times New Roman"/>
            <w:sz w:val="24"/>
            <w:szCs w:val="24"/>
          </w:rPr>
          <w:fldChar w:fldCharType="begin"/>
        </w:r>
        <w:r w:rsidRPr="00B73A79">
          <w:rPr>
            <w:rFonts w:ascii="Times New Roman" w:hAnsi="Times New Roman" w:cs="Times New Roman"/>
            <w:sz w:val="24"/>
            <w:szCs w:val="24"/>
          </w:rPr>
          <w:instrText xml:space="preserve"> PAGE   \* MERGEFORMAT </w:instrText>
        </w:r>
        <w:r w:rsidRPr="00B73A79">
          <w:rPr>
            <w:rFonts w:ascii="Times New Roman" w:hAnsi="Times New Roman" w:cs="Times New Roman"/>
            <w:sz w:val="24"/>
            <w:szCs w:val="24"/>
          </w:rPr>
          <w:fldChar w:fldCharType="separate"/>
        </w:r>
        <w:r w:rsidRPr="00B73A79">
          <w:rPr>
            <w:rFonts w:ascii="Times New Roman" w:hAnsi="Times New Roman" w:cs="Times New Roman"/>
            <w:noProof/>
            <w:sz w:val="24"/>
            <w:szCs w:val="24"/>
          </w:rPr>
          <w:t>2</w:t>
        </w:r>
        <w:r w:rsidRPr="00B73A79">
          <w:rPr>
            <w:rFonts w:ascii="Times New Roman" w:hAnsi="Times New Roman" w:cs="Times New Roman"/>
            <w:noProof/>
            <w:sz w:val="24"/>
            <w:szCs w:val="24"/>
          </w:rPr>
          <w:fldChar w:fldCharType="end"/>
        </w:r>
      </w:p>
    </w:sdtContent>
  </w:sdt>
  <w:p w:rsidR="00245DC9" w:rsidRPr="006706FC" w14:paraId="66D175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126026"/>
      <w:docPartObj>
        <w:docPartGallery w:val="Page Numbers (Bottom of Page)"/>
        <w:docPartUnique/>
      </w:docPartObj>
    </w:sdtPr>
    <w:sdtEndPr>
      <w:rPr>
        <w:rFonts w:ascii="Times New Roman" w:hAnsi="Times New Roman" w:cs="Times New Roman"/>
        <w:noProof/>
        <w:sz w:val="24"/>
        <w:szCs w:val="24"/>
      </w:rPr>
    </w:sdtEndPr>
    <w:sdtContent>
      <w:p w:rsidR="002637BF" w:rsidRPr="00B73A79" w14:paraId="4F1DF33E" w14:textId="462EA083">
        <w:pPr>
          <w:pStyle w:val="Footer"/>
          <w:jc w:val="center"/>
          <w:rPr>
            <w:rFonts w:ascii="Times New Roman" w:hAnsi="Times New Roman" w:cs="Times New Roman"/>
            <w:sz w:val="24"/>
            <w:szCs w:val="24"/>
          </w:rPr>
        </w:pPr>
        <w:r w:rsidRPr="00B73A79">
          <w:rPr>
            <w:rFonts w:ascii="Times New Roman" w:hAnsi="Times New Roman" w:cs="Times New Roman"/>
            <w:sz w:val="24"/>
            <w:szCs w:val="24"/>
          </w:rPr>
          <w:fldChar w:fldCharType="begin"/>
        </w:r>
        <w:r w:rsidRPr="00B73A79">
          <w:rPr>
            <w:rFonts w:ascii="Times New Roman" w:hAnsi="Times New Roman" w:cs="Times New Roman"/>
            <w:sz w:val="24"/>
            <w:szCs w:val="24"/>
          </w:rPr>
          <w:instrText xml:space="preserve"> PAGE   \* MERGEFORMAT </w:instrText>
        </w:r>
        <w:r w:rsidRPr="00B73A79">
          <w:rPr>
            <w:rFonts w:ascii="Times New Roman" w:hAnsi="Times New Roman" w:cs="Times New Roman"/>
            <w:sz w:val="24"/>
            <w:szCs w:val="24"/>
          </w:rPr>
          <w:fldChar w:fldCharType="separate"/>
        </w:r>
        <w:r w:rsidRPr="00B73A79">
          <w:rPr>
            <w:rFonts w:ascii="Times New Roman" w:hAnsi="Times New Roman" w:cs="Times New Roman"/>
            <w:noProof/>
            <w:sz w:val="24"/>
            <w:szCs w:val="24"/>
          </w:rPr>
          <w:t>2</w:t>
        </w:r>
        <w:r w:rsidRPr="00B73A79">
          <w:rPr>
            <w:rFonts w:ascii="Times New Roman" w:hAnsi="Times New Roman" w:cs="Times New Roman"/>
            <w:noProof/>
            <w:sz w:val="24"/>
            <w:szCs w:val="24"/>
          </w:rPr>
          <w:fldChar w:fldCharType="end"/>
        </w:r>
      </w:p>
    </w:sdtContent>
  </w:sdt>
  <w:p w:rsidR="000B6A31" w:rsidRPr="006706FC" w14:paraId="0D6DDE51" w14:textId="77777777">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A31" w:rsidRPr="006706FC" w14:paraId="6DAC7561" w14:textId="30CD33FF">
    <w:pPr>
      <w:pStyle w:val="Footer"/>
      <w:jc w:val="center"/>
      <w:rPr>
        <w:rFonts w:ascii="Times New Roman" w:hAnsi="Times New Roman" w:cs="Times New Roman"/>
        <w:sz w:val="24"/>
      </w:rPr>
    </w:pPr>
    <w:r>
      <w:rPr>
        <w:rFonts w:ascii="Times New Roman" w:hAnsi="Times New Roman" w:cs="Times New Roman"/>
        <w:sz w:val="24"/>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6D90" w:rsidP="000B6A31" w14:paraId="773EF010" w14:textId="77777777">
      <w:pPr>
        <w:spacing w:after="0" w:line="240" w:lineRule="auto"/>
      </w:pPr>
      <w:r>
        <w:separator/>
      </w:r>
    </w:p>
  </w:footnote>
  <w:footnote w:type="continuationSeparator" w:id="1">
    <w:p w:rsidR="00A56D90" w:rsidP="000B6A31" w14:paraId="5FF6AE1D" w14:textId="77777777">
      <w:pPr>
        <w:spacing w:after="0" w:line="240" w:lineRule="auto"/>
      </w:pPr>
      <w:r>
        <w:continuationSeparator/>
      </w:r>
    </w:p>
  </w:footnote>
  <w:footnote w:id="2">
    <w:p w:rsidR="000B6A31" w:rsidRPr="00245DC9" w:rsidP="00245DC9" w14:paraId="20CAE9E8" w14:textId="2CF42272">
      <w:pPr>
        <w:pStyle w:val="FootnoteText"/>
        <w:spacing w:after="120"/>
        <w:rPr>
          <w:rFonts w:cs="Times New Roman"/>
        </w:rPr>
      </w:pPr>
      <w:r w:rsidRPr="00245DC9">
        <w:rPr>
          <w:rStyle w:val="FootnoteReference"/>
          <w:rFonts w:cs="Times New Roman"/>
        </w:rPr>
        <w:footnoteRef/>
      </w:r>
      <w:r w:rsidRPr="00245DC9">
        <w:rPr>
          <w:rFonts w:cs="Times New Roman"/>
        </w:rPr>
        <w:t xml:space="preserve"> R.C. 4928.143(F).</w:t>
      </w:r>
    </w:p>
  </w:footnote>
  <w:footnote w:id="3">
    <w:p w:rsidR="000B6A31" w:rsidRPr="00245DC9" w:rsidP="00245DC9" w14:paraId="6D287BF9" w14:textId="2CDA389F">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Testimony at 2 (November 5, 2019).</w:t>
      </w:r>
    </w:p>
  </w:footnote>
  <w:footnote w:id="4">
    <w:p w:rsidR="000B6A31" w:rsidRPr="00245DC9" w:rsidP="00245DC9" w14:paraId="5294427F" w14:textId="657088D0">
      <w:pPr>
        <w:pStyle w:val="FootnoteText"/>
        <w:spacing w:after="120"/>
        <w:rPr>
          <w:rFonts w:cs="Times New Roman"/>
        </w:rPr>
      </w:pPr>
      <w:r w:rsidRPr="00245DC9">
        <w:rPr>
          <w:rStyle w:val="FootnoteReference"/>
          <w:rFonts w:cs="Times New Roman"/>
        </w:rPr>
        <w:footnoteRef/>
      </w:r>
      <w:r w:rsidRPr="00245DC9">
        <w:rPr>
          <w:rFonts w:cs="Times New Roman"/>
        </w:rPr>
        <w:t xml:space="preserve"> Stipulation and Recommendation (October 1, 2019) (“Settlement”).</w:t>
      </w:r>
    </w:p>
  </w:footnote>
  <w:footnote w:id="5">
    <w:p w:rsidR="000B6A31" w:rsidRPr="00245DC9" w:rsidP="00245DC9" w14:paraId="4C783B18" w14:textId="07AC7919">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rPr>
        <w:t>In re Application of the Ottoville Mut. Tel. Co.</w:t>
      </w:r>
      <w:r w:rsidRPr="00245DC9">
        <w:rPr>
          <w:rFonts w:cs="Times New Roman"/>
        </w:rPr>
        <w:t xml:space="preserve">, Case No. 73-356-Y, 1973 Ohio PUC LEXIS 3, at *4 ("the applicant must shoulder the burden of proof in every application proceeding before the Commission"); </w:t>
      </w:r>
      <w:r w:rsidRPr="00245DC9">
        <w:rPr>
          <w:rFonts w:cs="Times New Roman"/>
          <w:i/>
        </w:rPr>
        <w:t>In re Application of the Ohio Bell Tel. Co.</w:t>
      </w:r>
      <w:r w:rsidRPr="00245DC9">
        <w:rPr>
          <w:rFonts w:cs="Times New Roman"/>
        </w:rPr>
        <w:t>, No. 84-1435-TP-AIR, 1985 Ohio PUC LEXIS 7, at *79 (Dec. 10, 1985) ("The applicant has the burden of establishing the reasonableness of its proposals.").</w:t>
      </w:r>
    </w:p>
  </w:footnote>
  <w:footnote w:id="6">
    <w:p w:rsidR="000B6A31" w:rsidRPr="00245DC9" w:rsidP="00245DC9" w14:paraId="36D43BE7" w14:textId="7EAE568C">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rPr>
        <w:t>In re Application Seeking Approval of Ohio Power Co.'s Proposal to Enter into an Affiliate Power Purchase Agmt. for Inclusion in the Power Purchase Agmt. Rider</w:t>
      </w:r>
      <w:r w:rsidRPr="00245DC9">
        <w:rPr>
          <w:rFonts w:cs="Times New Roman"/>
        </w:rPr>
        <w:t>, No. 14-1693-EL-SSO, Opinion &amp; Order at 18 (Mar. 31, 2016).</w:t>
      </w:r>
    </w:p>
  </w:footnote>
  <w:footnote w:id="7">
    <w:p w:rsidR="000B6A31" w:rsidRPr="00245DC9" w:rsidP="00245DC9" w14:paraId="472C9EB1" w14:textId="013B27FB">
      <w:pPr>
        <w:pStyle w:val="FootnoteText"/>
        <w:spacing w:after="120"/>
        <w:rPr>
          <w:rFonts w:cs="Times New Roman"/>
        </w:rPr>
      </w:pPr>
      <w:r w:rsidRPr="00245DC9">
        <w:rPr>
          <w:rStyle w:val="FootnoteReference"/>
          <w:rFonts w:cs="Times New Roman"/>
        </w:rPr>
        <w:footnoteRef/>
      </w:r>
      <w:r w:rsidRPr="00245DC9">
        <w:rPr>
          <w:rFonts w:cs="Times New Roman"/>
        </w:rPr>
        <w:t xml:space="preserve"> R.C. 4928.143(F).</w:t>
      </w:r>
    </w:p>
  </w:footnote>
  <w:footnote w:id="8">
    <w:p w:rsidR="000B6A31" w:rsidRPr="00245DC9" w:rsidP="00245DC9" w14:paraId="09C4FF2C"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rPr>
        <w:t>Duff v. PUCO,</w:t>
      </w:r>
      <w:r w:rsidRPr="00245DC9">
        <w:rPr>
          <w:rFonts w:cs="Times New Roman"/>
        </w:rPr>
        <w:t xml:space="preserve"> 56 Ohio St.2d 367 (1978); </w:t>
      </w:r>
      <w:r w:rsidRPr="00245DC9">
        <w:rPr>
          <w:rFonts w:cs="Times New Roman"/>
          <w:i/>
        </w:rPr>
        <w:t>see also</w:t>
      </w:r>
      <w:r w:rsidRPr="00245DC9">
        <w:rPr>
          <w:rFonts w:cs="Times New Roman"/>
        </w:rPr>
        <w:t xml:space="preserve"> Ohio Adm. Code 4901-1-30(E).</w:t>
      </w:r>
    </w:p>
  </w:footnote>
  <w:footnote w:id="9">
    <w:p w:rsidR="000B6A31" w:rsidRPr="00245DC9" w:rsidP="00245DC9" w14:paraId="657DFDAB" w14:textId="15D0D5CD">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rPr>
        <w:t>Duff</w:t>
      </w:r>
      <w:r w:rsidRPr="00245DC9">
        <w:rPr>
          <w:rFonts w:cs="Times New Roman"/>
        </w:rPr>
        <w:t>, 56 Ohio St.2d 367.</w:t>
      </w:r>
    </w:p>
    <w:p w:rsidR="000B6A31" w:rsidRPr="00245DC9" w:rsidP="00245DC9" w14:paraId="07A6E9BA" w14:textId="77777777">
      <w:pPr>
        <w:pStyle w:val="FootnoteText"/>
        <w:spacing w:after="120"/>
        <w:rPr>
          <w:rFonts w:cs="Times New Roman"/>
        </w:rPr>
      </w:pPr>
    </w:p>
  </w:footnote>
  <w:footnote w:id="10">
    <w:p w:rsidR="000B6A31" w:rsidRPr="00245DC9" w:rsidP="00245DC9" w14:paraId="2A97DE87" w14:textId="4ABAF0FF">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rPr>
        <w:t>See</w:t>
      </w:r>
      <w:r w:rsidRPr="00245DC9">
        <w:rPr>
          <w:rFonts w:cs="Times New Roman"/>
        </w:rPr>
        <w:t xml:space="preserve"> </w:t>
      </w:r>
      <w:r w:rsidRPr="00245DC9">
        <w:rPr>
          <w:rFonts w:cs="Times New Roman"/>
          <w:i/>
        </w:rPr>
        <w:t>Consumers’ Counsel v. PUCO</w:t>
      </w:r>
      <w:r w:rsidRPr="00245DC9">
        <w:rPr>
          <w:rFonts w:cs="Times New Roman"/>
        </w:rPr>
        <w:t>, 64 Ohio St.3d 123, 126 (1992).</w:t>
      </w:r>
    </w:p>
  </w:footnote>
  <w:footnote w:id="11">
    <w:p w:rsidR="000B6A31" w:rsidRPr="00245DC9" w:rsidP="00245DC9" w14:paraId="10DB46F3" w14:textId="00BC3A30">
      <w:pPr>
        <w:pStyle w:val="FootnoteText"/>
        <w:spacing w:after="120"/>
        <w:rPr>
          <w:rFonts w:cs="Times New Roman"/>
        </w:rPr>
      </w:pPr>
      <w:r w:rsidRPr="00245DC9">
        <w:rPr>
          <w:rStyle w:val="FootnoteReference"/>
          <w:rFonts w:cs="Times New Roman"/>
        </w:rPr>
        <w:footnoteRef/>
      </w:r>
      <w:r w:rsidRPr="00245DC9">
        <w:rPr>
          <w:rFonts w:cs="Times New Roman"/>
        </w:rPr>
        <w:t xml:space="preserve"> R.C. 4928.143(B)(2)(h).</w:t>
      </w:r>
    </w:p>
  </w:footnote>
  <w:footnote w:id="12">
    <w:p w:rsidR="0070664B" w:rsidRPr="00245DC9" w:rsidP="00245DC9" w14:paraId="28FB08A9" w14:textId="77777777">
      <w:pPr>
        <w:pStyle w:val="FootnoteText"/>
        <w:spacing w:after="120"/>
        <w:rPr>
          <w:rFonts w:cs="Times New Roman"/>
          <w:color w:val="000000"/>
          <w:shd w:val="clear" w:color="auto" w:fill="FFFFFF"/>
        </w:rPr>
      </w:pPr>
      <w:r w:rsidRPr="00245DC9">
        <w:rPr>
          <w:rStyle w:val="FootnoteReference"/>
          <w:rFonts w:cs="Times New Roman"/>
        </w:rPr>
        <w:footnoteRef/>
      </w:r>
      <w:r w:rsidRPr="00245DC9">
        <w:rPr>
          <w:rFonts w:cs="Times New Roman"/>
        </w:rPr>
        <w:t xml:space="preserve"> </w:t>
      </w:r>
      <w:r w:rsidRPr="00245DC9">
        <w:rPr>
          <w:rFonts w:cs="Times New Roman"/>
        </w:rPr>
        <w:t>R.C. 4928.143(F) (the PUCO must determine if “</w:t>
      </w:r>
      <w:r w:rsidRPr="00245DC9">
        <w:rPr>
          <w:rFonts w:cs="Times New Roman"/>
          <w:color w:val="000000"/>
          <w:shd w:val="clear" w:color="auto" w:fill="FFFFFF"/>
        </w:rPr>
        <w:t>the earned return on common equity of the electric distribution utility is significantly in excess of the return on common equity that was earned during the same period by publicly traded companies, including utilities, that face comparable business and financial risk”).</w:t>
      </w:r>
    </w:p>
    <w:p w:rsidR="000B6A31" w:rsidRPr="00245DC9" w:rsidP="00245DC9" w14:paraId="0F06B4AF" w14:textId="77777777">
      <w:pPr>
        <w:pStyle w:val="FootnoteText"/>
        <w:spacing w:after="120"/>
        <w:rPr>
          <w:rFonts w:cs="Times New Roman"/>
        </w:rPr>
      </w:pPr>
    </w:p>
  </w:footnote>
  <w:footnote w:id="13">
    <w:p w:rsidR="000B6A31" w:rsidRPr="00245DC9" w:rsidP="00245DC9" w14:paraId="0AD8820C" w14:textId="5010E4DB">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sidR="0070664B">
        <w:rPr>
          <w:rFonts w:cs="Times New Roman"/>
          <w:i/>
          <w:iCs/>
        </w:rPr>
        <w:t>Id.</w:t>
      </w:r>
    </w:p>
  </w:footnote>
  <w:footnote w:id="14">
    <w:p w:rsidR="000B6A31" w:rsidRPr="00245DC9" w:rsidP="00245DC9" w14:paraId="5A152D17" w14:textId="33287FD9">
      <w:pPr>
        <w:pStyle w:val="FootnoteText"/>
        <w:spacing w:after="120"/>
        <w:rPr>
          <w:rFonts w:cs="Times New Roman"/>
          <w:i/>
        </w:rPr>
      </w:pPr>
      <w:r w:rsidRPr="00245DC9">
        <w:rPr>
          <w:rStyle w:val="FootnoteReference"/>
          <w:rFonts w:cs="Times New Roman"/>
        </w:rPr>
        <w:footnoteRef/>
      </w:r>
      <w:r w:rsidRPr="00245DC9">
        <w:rPr>
          <w:rFonts w:cs="Times New Roman"/>
        </w:rPr>
        <w:t xml:space="preserve"> </w:t>
      </w:r>
      <w:r w:rsidRPr="00245DC9">
        <w:rPr>
          <w:rFonts w:cs="Times New Roman"/>
          <w:i/>
        </w:rPr>
        <w:t>Id.</w:t>
      </w:r>
      <w:r w:rsidRPr="00245DC9">
        <w:rPr>
          <w:rFonts w:cs="Times New Roman"/>
        </w:rPr>
        <w:t xml:space="preserve"> </w:t>
      </w:r>
      <w:r w:rsidRPr="00245DC9">
        <w:rPr>
          <w:rFonts w:cs="Times New Roman"/>
          <w:i/>
        </w:rPr>
        <w:t>See also In re Application of Columbus S. Power Co</w:t>
      </w:r>
      <w:r w:rsidRPr="00245DC9">
        <w:rPr>
          <w:rFonts w:cs="Times New Roman"/>
        </w:rPr>
        <w:t>., 134 Ohio St.3d 392, 2012-Ohio-5690 ¶1.</w:t>
      </w:r>
    </w:p>
  </w:footnote>
  <w:footnote w:id="15">
    <w:p w:rsidR="000B6A31" w:rsidRPr="00245DC9" w:rsidP="00245DC9" w14:paraId="4FB60C12" w14:textId="33BD886A">
      <w:pPr>
        <w:pStyle w:val="FootnoteText"/>
        <w:spacing w:after="120"/>
        <w:rPr>
          <w:rFonts w:cs="Times New Roman"/>
        </w:rPr>
      </w:pPr>
      <w:r w:rsidRPr="00245DC9">
        <w:rPr>
          <w:rStyle w:val="FootnoteReference"/>
          <w:rFonts w:cs="Times New Roman"/>
        </w:rPr>
        <w:footnoteRef/>
      </w:r>
      <w:r w:rsidRPr="00245DC9">
        <w:rPr>
          <w:rFonts w:cs="Times New Roman"/>
        </w:rPr>
        <w:t xml:space="preserve"> R.C. 4928.143(F).</w:t>
      </w:r>
    </w:p>
  </w:footnote>
  <w:footnote w:id="16">
    <w:p w:rsidR="000B6A31" w:rsidRPr="00245DC9" w:rsidP="00245DC9" w14:paraId="3046180C" w14:textId="09272985">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Testimony at 5.</w:t>
      </w:r>
    </w:p>
  </w:footnote>
  <w:footnote w:id="17">
    <w:p w:rsidR="00B10D4B" w:rsidRPr="00245DC9" w:rsidP="00245DC9" w14:paraId="7BF35B37" w14:textId="7FC75634">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 xml:space="preserve">Id. </w:t>
      </w:r>
      <w:r w:rsidRPr="00245DC9">
        <w:rPr>
          <w:rFonts w:cs="Times New Roman"/>
        </w:rPr>
        <w:t>at 4.</w:t>
      </w:r>
    </w:p>
  </w:footnote>
  <w:footnote w:id="18">
    <w:p w:rsidR="00B10D4B" w:rsidRPr="00245DC9" w:rsidP="00245DC9" w14:paraId="7AF5EDBF" w14:textId="3E709315">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19">
    <w:p w:rsidR="00B10D4B" w:rsidRPr="00245DC9" w:rsidP="00245DC9" w14:paraId="1288063A" w14:textId="1D431755">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20">
    <w:p w:rsidR="00A86AE8" w:rsidRPr="00245DC9" w:rsidP="00245DC9" w14:paraId="2E61A06A" w14:textId="37654A18">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 Ohio 2018 SEET Application</w:t>
      </w:r>
      <w:r w:rsidRPr="00245DC9">
        <w:rPr>
          <w:rFonts w:cs="Times New Roman"/>
        </w:rPr>
        <w:t>, Direct Testimony of Joseph P. Buckley at 3 (September 3, 2019).</w:t>
      </w:r>
    </w:p>
  </w:footnote>
  <w:footnote w:id="21">
    <w:p w:rsidR="004B114E" w:rsidRPr="00245DC9" w:rsidP="00245DC9" w14:paraId="7231B0DF" w14:textId="31E2D6E5">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Testimony at 8.</w:t>
      </w:r>
    </w:p>
  </w:footnote>
  <w:footnote w:id="22">
    <w:p w:rsidR="00A86AE8" w:rsidRPr="00245DC9" w:rsidP="00245DC9" w14:paraId="14FF2996" w14:textId="6EE887A6">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 xml:space="preserve">Id. </w:t>
      </w:r>
    </w:p>
  </w:footnote>
  <w:footnote w:id="23">
    <w:p w:rsidR="004B114E" w:rsidRPr="00245DC9" w:rsidP="00245DC9" w14:paraId="5F9CF94B" w14:textId="665ADFD0">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w:t>
      </w:r>
      <w:r w:rsidRPr="00245DC9">
        <w:rPr>
          <w:rFonts w:cs="Times New Roman"/>
          <w:i/>
          <w:iCs/>
        </w:rPr>
        <w:t>Ohio 2018 SEET Application</w:t>
      </w:r>
      <w:r w:rsidRPr="00245DC9">
        <w:rPr>
          <w:rFonts w:cs="Times New Roman"/>
        </w:rPr>
        <w:t>, Direct Testimony of Buckley at 4.</w:t>
      </w:r>
    </w:p>
  </w:footnote>
  <w:footnote w:id="24">
    <w:p w:rsidR="004B114E" w:rsidRPr="00245DC9" w:rsidP="00245DC9" w14:paraId="450F657D" w14:textId="4749197C">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Testimony at 9.</w:t>
      </w:r>
    </w:p>
  </w:footnote>
  <w:footnote w:id="25">
    <w:p w:rsidR="004B114E" w:rsidRPr="00245DC9" w:rsidP="00245DC9" w14:paraId="18A807AA" w14:textId="5A638B9A">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26">
    <w:p w:rsidR="004B114E" w:rsidRPr="00245DC9" w:rsidP="00245DC9" w14:paraId="118B6D8B" w14:textId="2CF6338E">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Direct Testimony of Buckley, Attachment 1. </w:t>
      </w:r>
    </w:p>
  </w:footnote>
  <w:footnote w:id="27">
    <w:p w:rsidR="00012AC0" w:rsidRPr="00245DC9" w:rsidP="00245DC9" w14:paraId="4182F617" w14:textId="201CC79B">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Testimony at 9.</w:t>
      </w:r>
    </w:p>
  </w:footnote>
  <w:footnote w:id="28">
    <w:p w:rsidR="004B114E" w:rsidRPr="00245DC9" w:rsidP="00245DC9" w14:paraId="6CFFCDD7" w14:textId="37EF7FD1">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29">
    <w:p w:rsidR="00012AC0" w:rsidRPr="00245DC9" w:rsidP="00245DC9" w14:paraId="19CB9B89" w14:textId="37D52A5F">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30">
    <w:p w:rsidR="000B6A31" w:rsidRPr="00245DC9" w:rsidP="00245DC9" w14:paraId="7CF955F1" w14:textId="7A074BD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 xml:space="preserve">Id. </w:t>
      </w:r>
      <w:r w:rsidRPr="00245DC9">
        <w:rPr>
          <w:rFonts w:cs="Times New Roman"/>
        </w:rPr>
        <w:t>at 4-5.</w:t>
      </w:r>
    </w:p>
  </w:footnote>
  <w:footnote w:id="31">
    <w:p w:rsidR="00AB2FCF" w:rsidRPr="00245DC9" w:rsidP="00245DC9" w14:paraId="522DE6DF" w14:textId="5377CECA">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32">
    <w:p w:rsidR="000B6A31" w:rsidRPr="00245DC9" w:rsidP="00245DC9" w14:paraId="1D91ECDA" w14:textId="04F56BEC">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 xml:space="preserve">Id. </w:t>
      </w:r>
      <w:r w:rsidRPr="00245DC9">
        <w:rPr>
          <w:rFonts w:cs="Times New Roman"/>
        </w:rPr>
        <w:t>at 5.</w:t>
      </w:r>
    </w:p>
  </w:footnote>
  <w:footnote w:id="33">
    <w:p w:rsidR="000B6A31" w:rsidRPr="00245DC9" w:rsidP="00245DC9" w14:paraId="1B6C2EC4" w14:textId="5639F71A">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34">
    <w:p w:rsidR="000B6A31" w:rsidRPr="00245DC9" w:rsidP="00245DC9" w14:paraId="73DB8085" w14:textId="08C98D65">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35">
    <w:p w:rsidR="000B6A31" w:rsidRPr="00245DC9" w:rsidP="00245DC9" w14:paraId="515BAE82" w14:textId="3742133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36">
    <w:p w:rsidR="000B6A31" w:rsidRPr="00245DC9" w:rsidP="00245DC9" w14:paraId="0624CB76" w14:textId="7CE7EF4E">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37">
    <w:p w:rsidR="000B6A31" w:rsidRPr="00245DC9" w:rsidP="00245DC9" w14:paraId="4B10762C" w14:textId="10C661C5">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sidR="003C2BAF">
        <w:rPr>
          <w:rFonts w:cs="Times New Roman"/>
          <w:i/>
          <w:iCs/>
        </w:rPr>
        <w:t>Id.</w:t>
      </w:r>
      <w:r w:rsidRPr="00245DC9">
        <w:rPr>
          <w:rFonts w:cs="Times New Roman"/>
        </w:rPr>
        <w:t xml:space="preserve"> at 3-5.</w:t>
      </w:r>
    </w:p>
  </w:footnote>
  <w:footnote w:id="38">
    <w:p w:rsidR="000B6A31" w:rsidRPr="00245DC9" w:rsidP="00245DC9" w14:paraId="24DD038C"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R.C. 4905.22. </w:t>
      </w:r>
    </w:p>
  </w:footnote>
  <w:footnote w:id="39">
    <w:p w:rsidR="0070664B" w:rsidRPr="00245DC9" w:rsidP="00245DC9" w14:paraId="742A0168" w14:textId="68D48ABB">
      <w:pPr>
        <w:pStyle w:val="FootnoteText"/>
        <w:spacing w:after="120"/>
        <w:rPr>
          <w:rFonts w:cs="Times New Roman"/>
        </w:rPr>
      </w:pPr>
      <w:r w:rsidRPr="00245DC9">
        <w:rPr>
          <w:rStyle w:val="FootnoteReference"/>
          <w:rFonts w:cs="Times New Roman"/>
        </w:rPr>
        <w:footnoteRef/>
      </w:r>
      <w:r w:rsidRPr="00245DC9">
        <w:rPr>
          <w:rFonts w:cs="Times New Roman"/>
        </w:rPr>
        <w:t xml:space="preserve"> R.C. 4928.143(F).</w:t>
      </w:r>
    </w:p>
  </w:footnote>
  <w:footnote w:id="40">
    <w:p w:rsidR="000B6A31" w:rsidRPr="00245DC9" w:rsidP="00245DC9" w14:paraId="4DDDE63A"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rPr>
        <w:t>In re Application of Columbus S. Power Co</w:t>
      </w:r>
      <w:r w:rsidRPr="00245DC9">
        <w:rPr>
          <w:rFonts w:cs="Times New Roman"/>
        </w:rPr>
        <w:t>., 134 Ohio St.3d 392, 2012-Ohio-5690 at ¶30.</w:t>
      </w:r>
    </w:p>
  </w:footnote>
  <w:footnote w:id="41">
    <w:p w:rsidR="000B6A31" w:rsidRPr="00245DC9" w:rsidP="00245DC9" w14:paraId="0EB5C0BE" w14:textId="6B26EBA4">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w:t>
      </w:r>
      <w:r w:rsidRPr="00245DC9" w:rsidR="003D382E">
        <w:rPr>
          <w:rFonts w:cs="Times New Roman"/>
        </w:rPr>
        <w:t xml:space="preserve">Testimony </w:t>
      </w:r>
      <w:r w:rsidRPr="00245DC9">
        <w:rPr>
          <w:rFonts w:cs="Times New Roman"/>
        </w:rPr>
        <w:t>at 6.</w:t>
      </w:r>
    </w:p>
  </w:footnote>
  <w:footnote w:id="42">
    <w:p w:rsidR="000B6A31" w:rsidRPr="00245DC9" w:rsidP="00245DC9" w14:paraId="75FC4695" w14:textId="2B020DCF">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43">
    <w:p w:rsidR="00AB2FCF" w:rsidRPr="00245DC9" w:rsidP="00245DC9" w14:paraId="6D4914A2" w14:textId="3CDB0A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sidR="003D382E">
        <w:rPr>
          <w:rFonts w:cs="Times New Roman"/>
          <w:i/>
          <w:iCs/>
        </w:rPr>
        <w:t>Id.</w:t>
      </w:r>
      <w:r w:rsidRPr="00245DC9">
        <w:rPr>
          <w:rFonts w:cs="Times New Roman"/>
        </w:rPr>
        <w:t xml:space="preserve"> at 6-7.</w:t>
      </w:r>
    </w:p>
  </w:footnote>
  <w:footnote w:id="44">
    <w:p w:rsidR="00AB2FCF" w:rsidRPr="00245DC9" w:rsidP="00245DC9" w14:paraId="27A97866" w14:textId="5CEC58F1">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Ohio Revised Code 4928.143(F).</w:t>
      </w:r>
    </w:p>
  </w:footnote>
  <w:footnote w:id="45">
    <w:p w:rsidR="00AB2FCF" w:rsidRPr="00245DC9" w:rsidP="00245DC9" w14:paraId="6896D1D5" w14:textId="3A2D4B9A">
      <w:pPr>
        <w:pStyle w:val="FootnoteText"/>
        <w:spacing w:after="120"/>
        <w:rPr>
          <w:rFonts w:cs="Times New Roman"/>
        </w:rPr>
      </w:pPr>
      <w:r w:rsidRPr="00245DC9">
        <w:rPr>
          <w:rStyle w:val="FootnoteReference"/>
          <w:rFonts w:cs="Times New Roman"/>
        </w:rPr>
        <w:footnoteRef/>
      </w:r>
      <w:r w:rsidRPr="00245DC9">
        <w:rPr>
          <w:rFonts w:cs="Times New Roman"/>
        </w:rPr>
        <w:t xml:space="preserve"> Duann Supp. Testimony at 7.</w:t>
      </w:r>
    </w:p>
  </w:footnote>
  <w:footnote w:id="46">
    <w:p w:rsidR="003C2BAF" w:rsidRPr="00245DC9" w:rsidP="00245DC9" w14:paraId="01CBC1CD" w14:textId="5A3B82DB">
      <w:pPr>
        <w:pStyle w:val="FootnoteText"/>
        <w:spacing w:after="120"/>
        <w:rPr>
          <w:rFonts w:cs="Times New Roman"/>
        </w:rPr>
      </w:pPr>
      <w:r w:rsidRPr="00245DC9">
        <w:rPr>
          <w:rStyle w:val="FootnoteReference"/>
          <w:rFonts w:cs="Times New Roman"/>
        </w:rPr>
        <w:footnoteRef/>
      </w:r>
      <w:r w:rsidRPr="00245DC9">
        <w:rPr>
          <w:rFonts w:cs="Times New Roman"/>
        </w:rPr>
        <w:t xml:space="preserve"> R.C. 4928.143(F); </w:t>
      </w:r>
      <w:r w:rsidRPr="00245DC9">
        <w:rPr>
          <w:rFonts w:cs="Times New Roman"/>
          <w:i/>
          <w:iCs/>
        </w:rPr>
        <w:t>In re Columbus S. Power Co.</w:t>
      </w:r>
      <w:r w:rsidRPr="00245DC9">
        <w:rPr>
          <w:rFonts w:cs="Times New Roman"/>
        </w:rPr>
        <w:t>, 134 Ohio St.3d 392 (2012).</w:t>
      </w:r>
    </w:p>
  </w:footnote>
  <w:footnote w:id="47">
    <w:p w:rsidR="00AB2FCF" w:rsidRPr="00245DC9" w:rsidP="00245DC9" w14:paraId="7CFCB42A" w14:textId="76BA1AA6">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sidR="003C2BAF">
        <w:rPr>
          <w:rFonts w:cs="Times New Roman"/>
        </w:rPr>
        <w:t>Duann Supp. Testimony at 7.</w:t>
      </w:r>
    </w:p>
    <w:p w:rsidR="00AB2FCF" w:rsidRPr="00245DC9" w:rsidP="00245DC9" w14:paraId="05989CA8" w14:textId="77777777">
      <w:pPr>
        <w:pStyle w:val="FootnoteText"/>
        <w:spacing w:after="120"/>
        <w:rPr>
          <w:rFonts w:cs="Times New Roman"/>
          <w:i/>
          <w:iCs/>
        </w:rPr>
      </w:pPr>
    </w:p>
  </w:footnote>
  <w:footnote w:id="48">
    <w:p w:rsidR="00AB2FCF" w:rsidRPr="00245DC9" w:rsidP="00245DC9" w14:paraId="0C409BF8" w14:textId="5C9D4BFD">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49">
    <w:p w:rsidR="003D382E" w:rsidRPr="00245DC9" w:rsidP="00245DC9" w14:paraId="44109AFE" w14:textId="1979022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Id.</w:t>
      </w:r>
      <w:r w:rsidRPr="00245DC9">
        <w:rPr>
          <w:rFonts w:cs="Times New Roman"/>
        </w:rPr>
        <w:t xml:space="preserve"> at 11-13.</w:t>
      </w:r>
    </w:p>
  </w:footnote>
  <w:footnote w:id="50">
    <w:p w:rsidR="000B6A31" w:rsidRPr="00245DC9" w:rsidP="00245DC9" w14:paraId="631E022A" w14:textId="52545275">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51">
    <w:p w:rsidR="000B6A31" w:rsidRPr="00245DC9" w:rsidP="00245DC9" w14:paraId="222F9860" w14:textId="41FF0824">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 xml:space="preserve">See </w:t>
      </w:r>
      <w:r w:rsidRPr="00245DC9">
        <w:rPr>
          <w:rFonts w:cs="Times New Roman"/>
        </w:rPr>
        <w:t>Direct Testimony of Moore at 7-8.</w:t>
      </w:r>
    </w:p>
  </w:footnote>
  <w:footnote w:id="52">
    <w:p w:rsidR="000B6A31" w:rsidRPr="00245DC9" w:rsidP="00245DC9" w14:paraId="16F55F36"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w:t>
      </w:r>
      <w:r w:rsidRPr="00245DC9">
        <w:rPr>
          <w:rFonts w:cs="Times New Roman"/>
          <w:i/>
          <w:iCs/>
        </w:rPr>
        <w:t>In re Application of Ohio Power C</w:t>
      </w:r>
      <w:r w:rsidRPr="00245DC9">
        <w:rPr>
          <w:rFonts w:cs="Times New Roman"/>
        </w:rPr>
        <w:t xml:space="preserve">o., 144 Ohio St.3d 1, 2015-Ohio-2056. </w:t>
      </w:r>
    </w:p>
  </w:footnote>
  <w:footnote w:id="53">
    <w:p w:rsidR="000B6A31" w:rsidRPr="00245DC9" w:rsidP="00245DC9" w14:paraId="34195F80"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Direct Testimony of Moore at 7.</w:t>
      </w:r>
    </w:p>
  </w:footnote>
  <w:footnote w:id="54">
    <w:p w:rsidR="000B6A31" w:rsidRPr="00245DC9" w:rsidP="00245DC9" w14:paraId="42B75ACB" w14:textId="07EC2681">
      <w:pPr>
        <w:pStyle w:val="FootnoteText"/>
        <w:spacing w:after="120"/>
        <w:rPr>
          <w:rFonts w:cs="Times New Roman"/>
        </w:rPr>
      </w:pPr>
      <w:r w:rsidRPr="00245DC9">
        <w:rPr>
          <w:rStyle w:val="FootnoteReference"/>
          <w:rFonts w:cs="Times New Roman"/>
        </w:rPr>
        <w:footnoteRef/>
      </w:r>
      <w:r w:rsidRPr="00245DC9">
        <w:rPr>
          <w:rFonts w:cs="Times New Roman"/>
        </w:rPr>
        <w:t xml:space="preserve"> See Duann Supp. Testimony at 12.</w:t>
      </w:r>
    </w:p>
  </w:footnote>
  <w:footnote w:id="55">
    <w:p w:rsidR="000B6A31" w:rsidRPr="00245DC9" w:rsidP="00245DC9" w14:paraId="4C7177DB"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 In re Comm. Rev. of Capacity Charges of Ohio Power Co.</w:t>
      </w:r>
      <w:r w:rsidRPr="00245DC9">
        <w:rPr>
          <w:rFonts w:cs="Times New Roman"/>
        </w:rPr>
        <w:t>, 147 Ohio St.3d 59, 2016-Ohio-1607.</w:t>
      </w:r>
    </w:p>
  </w:footnote>
  <w:footnote w:id="56">
    <w:p w:rsidR="000B6A31" w:rsidRPr="00245DC9" w:rsidP="00245DC9" w14:paraId="509FE312" w14:textId="098DC7BB">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Duann Direct Testimony at 9-10.</w:t>
      </w:r>
    </w:p>
  </w:footnote>
  <w:footnote w:id="57">
    <w:p w:rsidR="000B6A31" w:rsidRPr="00245DC9" w:rsidP="00245DC9" w14:paraId="7298D06A" w14:textId="60259B31">
      <w:pPr>
        <w:pStyle w:val="FootnoteText"/>
        <w:spacing w:after="120"/>
        <w:rPr>
          <w:rFonts w:cs="Times New Roman"/>
          <w:i/>
          <w:iCs/>
        </w:rPr>
      </w:pPr>
      <w:r w:rsidRPr="00245DC9">
        <w:rPr>
          <w:rStyle w:val="FootnoteReference"/>
          <w:rFonts w:cs="Times New Roman"/>
        </w:rPr>
        <w:footnoteRef/>
      </w:r>
      <w:r w:rsidRPr="00245DC9">
        <w:rPr>
          <w:rFonts w:cs="Times New Roman"/>
        </w:rPr>
        <w:t xml:space="preserve"> </w:t>
      </w:r>
      <w:r w:rsidRPr="00245DC9">
        <w:rPr>
          <w:rFonts w:cs="Times New Roman"/>
          <w:i/>
          <w:iCs/>
        </w:rPr>
        <w:t>Id.</w:t>
      </w:r>
    </w:p>
  </w:footnote>
  <w:footnote w:id="58">
    <w:p w:rsidR="00CF57C3" w:rsidRPr="00245DC9" w:rsidP="00245DC9" w14:paraId="7869569C" w14:textId="77777777">
      <w:pPr>
        <w:pStyle w:val="FootnoteText"/>
        <w:spacing w:after="120"/>
        <w:rPr>
          <w:rFonts w:cs="Times New Roman"/>
        </w:rPr>
      </w:pPr>
      <w:r w:rsidRPr="00245DC9">
        <w:rPr>
          <w:rStyle w:val="FootnoteReference"/>
          <w:rFonts w:cs="Times New Roman"/>
        </w:rPr>
        <w:footnoteRef/>
      </w:r>
      <w:r w:rsidRPr="00245DC9">
        <w:rPr>
          <w:rFonts w:cs="Times New Roman"/>
        </w:rPr>
        <w:t xml:space="preserve"> </w:t>
      </w:r>
      <w:r w:rsidRPr="00245DC9">
        <w:rPr>
          <w:rFonts w:cs="Times New Roman"/>
          <w:i/>
          <w:iCs/>
        </w:rPr>
        <w:t>See</w:t>
      </w:r>
      <w:r w:rsidRPr="00245DC9">
        <w:rPr>
          <w:rFonts w:cs="Times New Roman"/>
        </w:rPr>
        <w:t xml:space="preserve"> R.C. 4928.02(A), (L), and (N).</w:t>
      </w:r>
    </w:p>
  </w:footnote>
  <w:footnote w:id="59">
    <w:p w:rsidR="004E3A4B" w:rsidRPr="004E3A4B" w14:paraId="4C7C6248" w14:textId="6A70ECA3">
      <w:pPr>
        <w:pStyle w:val="FootnoteText"/>
      </w:pPr>
      <w:r>
        <w:rPr>
          <w:rStyle w:val="FootnoteReference"/>
        </w:rPr>
        <w:footnoteRef/>
      </w:r>
      <w:r>
        <w:t xml:space="preserve"> </w:t>
      </w:r>
      <w:r>
        <w:rPr>
          <w:i/>
          <w:iCs/>
        </w:rPr>
        <w:t xml:space="preserve">See 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6A31" w14:paraId="0B11F4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5F00CAE"/>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58D948EC"/>
    <w:multiLevelType w:val="multilevel"/>
    <w:tmpl w:val="DED0533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5CAB515C"/>
    <w:multiLevelType w:val="hybridMultilevel"/>
    <w:tmpl w:val="262E253C"/>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E687A85"/>
    <w:multiLevelType w:val="multilevel"/>
    <w:tmpl w:val="C88EA11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64805109"/>
    <w:multiLevelType w:val="hybridMultilevel"/>
    <w:tmpl w:val="E640EBA0"/>
    <w:lvl w:ilvl="0">
      <w:start w:val="1"/>
      <w:numFmt w:val="upperLetter"/>
      <w:lvlText w:val="%1."/>
      <w:lvlJc w:val="left"/>
      <w:pPr>
        <w:ind w:left="1080" w:hanging="360"/>
      </w:pPr>
      <w:rPr>
        <w:rFonts w:asciiTheme="minorHAnsi" w:hAnsiTheme="minorHAnsi" w:cstheme="minorBidi"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6"/>
  </w:num>
  <w:num w:numId="7">
    <w:abstractNumId w:val="1"/>
  </w:num>
  <w:num w:numId="8">
    <w:abstractNumId w:val="5"/>
  </w:num>
  <w:num w:numId="9">
    <w:abstractNumId w:val="2"/>
    <w:lvlOverride w:ilvl="0">
      <w:startOverride w:val="1"/>
    </w:lvlOverride>
  </w:num>
  <w:num w:numId="10">
    <w:abstractNumId w:val="2"/>
    <w:lvlOverride w:ilvl="0">
      <w:startOverride w:val="1"/>
    </w:lvlOverride>
  </w:num>
  <w:num w:numId="11">
    <w:abstractNumId w:val="4"/>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67"/>
    <w:rsid w:val="00012AC0"/>
    <w:rsid w:val="000133FC"/>
    <w:rsid w:val="00025643"/>
    <w:rsid w:val="0007309C"/>
    <w:rsid w:val="0009173F"/>
    <w:rsid w:val="000B6A31"/>
    <w:rsid w:val="00161F40"/>
    <w:rsid w:val="00192D4F"/>
    <w:rsid w:val="001F55CF"/>
    <w:rsid w:val="002162B5"/>
    <w:rsid w:val="0023397F"/>
    <w:rsid w:val="00245853"/>
    <w:rsid w:val="00245DC9"/>
    <w:rsid w:val="002550BF"/>
    <w:rsid w:val="002637BF"/>
    <w:rsid w:val="002847FD"/>
    <w:rsid w:val="002D0391"/>
    <w:rsid w:val="002D25F7"/>
    <w:rsid w:val="003023CD"/>
    <w:rsid w:val="00335116"/>
    <w:rsid w:val="003C2BAF"/>
    <w:rsid w:val="003D382E"/>
    <w:rsid w:val="003E7CD2"/>
    <w:rsid w:val="003F70BD"/>
    <w:rsid w:val="004048B4"/>
    <w:rsid w:val="00406C12"/>
    <w:rsid w:val="00412167"/>
    <w:rsid w:val="00424635"/>
    <w:rsid w:val="00461E28"/>
    <w:rsid w:val="00462B36"/>
    <w:rsid w:val="004B114E"/>
    <w:rsid w:val="004E3A4B"/>
    <w:rsid w:val="005365F6"/>
    <w:rsid w:val="005601EC"/>
    <w:rsid w:val="0062607C"/>
    <w:rsid w:val="006706FC"/>
    <w:rsid w:val="00705F88"/>
    <w:rsid w:val="0070664B"/>
    <w:rsid w:val="0074658D"/>
    <w:rsid w:val="007F56EA"/>
    <w:rsid w:val="007F60E2"/>
    <w:rsid w:val="0080203A"/>
    <w:rsid w:val="00861469"/>
    <w:rsid w:val="00891DE2"/>
    <w:rsid w:val="008D0A04"/>
    <w:rsid w:val="009219F4"/>
    <w:rsid w:val="00927D51"/>
    <w:rsid w:val="00954378"/>
    <w:rsid w:val="00986682"/>
    <w:rsid w:val="009D484C"/>
    <w:rsid w:val="00A02EC4"/>
    <w:rsid w:val="00A56D90"/>
    <w:rsid w:val="00A86AE8"/>
    <w:rsid w:val="00AA119A"/>
    <w:rsid w:val="00AB2FCF"/>
    <w:rsid w:val="00AC534A"/>
    <w:rsid w:val="00B05DE4"/>
    <w:rsid w:val="00B10D4B"/>
    <w:rsid w:val="00B36186"/>
    <w:rsid w:val="00B44044"/>
    <w:rsid w:val="00B73A79"/>
    <w:rsid w:val="00CC5CCB"/>
    <w:rsid w:val="00CF57C3"/>
    <w:rsid w:val="00D42E3E"/>
    <w:rsid w:val="00D51482"/>
    <w:rsid w:val="00D943A8"/>
    <w:rsid w:val="00DD414B"/>
    <w:rsid w:val="00DF76D9"/>
    <w:rsid w:val="00E1349F"/>
    <w:rsid w:val="00E237D9"/>
    <w:rsid w:val="00E250F1"/>
    <w:rsid w:val="00E25C2B"/>
    <w:rsid w:val="00E74175"/>
    <w:rsid w:val="00E915E1"/>
    <w:rsid w:val="00EC71A7"/>
    <w:rsid w:val="00ED4FCD"/>
    <w:rsid w:val="00F01D60"/>
    <w:rsid w:val="00F454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86EE4"/>
    <w:pPr>
      <w:keepNext/>
      <w:keepLines/>
      <w:numPr>
        <w:numId w:val="2"/>
      </w:numPr>
      <w:spacing w:after="240" w:line="240" w:lineRule="auto"/>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245DC9"/>
    <w:pPr>
      <w:keepNext/>
      <w:keepLines/>
      <w:numPr>
        <w:ilvl w:val="1"/>
        <w:numId w:val="2"/>
      </w:numPr>
      <w:spacing w:after="240" w:line="240" w:lineRule="auto"/>
      <w:ind w:left="144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245DC9"/>
    <w:pPr>
      <w:keepNext/>
      <w:keepLines/>
      <w:numPr>
        <w:ilvl w:val="2"/>
        <w:numId w:val="2"/>
      </w:numPr>
      <w:spacing w:after="240" w:line="240" w:lineRule="auto"/>
      <w:ind w:left="216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numPr>
        <w:ilvl w:val="3"/>
        <w:numId w:val="2"/>
      </w:numPr>
      <w:spacing w:after="240" w:line="240" w:lineRule="auto"/>
      <w:ind w:right="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numPr>
        <w:ilvl w:val="4"/>
        <w:numId w:val="2"/>
      </w:numPr>
      <w:spacing w:after="240" w:line="240" w:lineRule="auto"/>
      <w:ind w:right="720"/>
      <w:outlineLvl w:val="4"/>
    </w:pPr>
    <w:rPr>
      <w:rFonts w:ascii="Times New Roman" w:hAnsi="Times New Roman" w:eastAsiaTheme="majorEastAsia" w:cstheme="majorBidi"/>
      <w:b/>
      <w:sz w:val="24"/>
    </w:rPr>
  </w:style>
  <w:style w:type="paragraph" w:styleId="Heading6">
    <w:name w:val="heading 6"/>
    <w:basedOn w:val="Normal"/>
    <w:next w:val="Normal"/>
    <w:link w:val="Heading6Char"/>
    <w:uiPriority w:val="9"/>
    <w:semiHidden/>
    <w:unhideWhenUsed/>
    <w:qFormat/>
    <w:rsid w:val="00025643"/>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5643"/>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2564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564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245DC9"/>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3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6EE4"/>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245DC9"/>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rsid w:val="009219F4"/>
    <w:pPr>
      <w:tabs>
        <w:tab w:val="right" w:leader="dot" w:pos="863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Heading6Char">
    <w:name w:val="Heading 6 Char"/>
    <w:basedOn w:val="DefaultParagraphFont"/>
    <w:link w:val="Heading6"/>
    <w:uiPriority w:val="9"/>
    <w:semiHidden/>
    <w:rsid w:val="0002564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2564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256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5643"/>
    <w:rPr>
      <w:rFonts w:asciiTheme="majorHAnsi" w:eastAsiaTheme="majorEastAsia" w:hAnsiTheme="majorHAnsi" w:cstheme="majorBidi"/>
      <w:i/>
      <w:iCs/>
      <w:color w:val="272727" w:themeColor="text1" w:themeTint="D8"/>
      <w:sz w:val="21"/>
      <w:szCs w:val="21"/>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025643"/>
  </w:style>
  <w:style w:type="character" w:styleId="LineNumber">
    <w:name w:val="line number"/>
    <w:basedOn w:val="DefaultParagraphFont"/>
    <w:uiPriority w:val="99"/>
    <w:semiHidden/>
    <w:unhideWhenUsed/>
    <w:rsid w:val="00025643"/>
  </w:style>
  <w:style w:type="character" w:customStyle="1" w:styleId="UnresolvedMention">
    <w:name w:val="Unresolved Mention"/>
    <w:basedOn w:val="DefaultParagraphFont"/>
    <w:uiPriority w:val="99"/>
    <w:semiHidden/>
    <w:unhideWhenUsed/>
    <w:rsid w:val="00245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Thomas.mcnamee@ohioattorneygeneral.gov" TargetMode="External" /><Relationship Id="rId12" Type="http://schemas.openxmlformats.org/officeDocument/2006/relationships/hyperlink" Target="mailto:Sarah.parrot@puco.ohio.gov" TargetMode="External" /><Relationship Id="rId13" Type="http://schemas.openxmlformats.org/officeDocument/2006/relationships/hyperlink" Target="mailto:Greta.see@puco.ohio.gov" TargetMode="External" /><Relationship Id="rId14" Type="http://schemas.openxmlformats.org/officeDocument/2006/relationships/hyperlink" Target="mailto:stnourse@aep.com" TargetMode="Externa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logsdon@occ.ohio.gov"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3453-1461-4AB4-87D5-2DD537A2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AEP SEET 19-1098 w/dfs  (00140374.DOCX;1)</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2019-12-04T16:38:24Z</dcterms:created>
  <dcterms:modified xsi:type="dcterms:W3CDTF">2019-12-04T16:38:24Z</dcterms:modified>
</cp:coreProperties>
</file>