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BEFORE</w:t>
      </w:r>
    </w:p>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THE PUBLIC UTILITIES COMMISSION OF OHIO</w:t>
      </w:r>
    </w:p>
    <w:p w:rsidR="00A35B09" w:rsidRPr="00CC28AA" w:rsidRDefault="00A35B09" w:rsidP="00A35B09">
      <w:pPr>
        <w:rPr>
          <w:rFonts w:ascii="Times New Roman" w:hAnsi="Times New Roman" w:cs="Times New Roman"/>
          <w:sz w:val="26"/>
          <w:szCs w:val="26"/>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900"/>
        <w:gridCol w:w="3510"/>
      </w:tblGrid>
      <w:tr w:rsidR="00A35B09" w:rsidRPr="00CC28AA" w:rsidTr="00E82D11">
        <w:tc>
          <w:tcPr>
            <w:tcW w:w="4608" w:type="dxa"/>
          </w:tcPr>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 xml:space="preserve">In the Matter of the Application to Modify, in Accordance with Section 4929.08, Revised Code, the Exemption Granted to </w:t>
            </w:r>
            <w:r w:rsidRPr="001260B4">
              <w:rPr>
                <w:rFonts w:ascii="Times New Roman" w:hAnsi="Times New Roman" w:cs="Times New Roman"/>
                <w:b/>
                <w:sz w:val="26"/>
                <w:szCs w:val="26"/>
              </w:rPr>
              <w:t>The East Ohio Gas Company d/b/a Dominion East Ohio</w:t>
            </w:r>
            <w:r w:rsidRPr="00CC28AA">
              <w:rPr>
                <w:rFonts w:ascii="Times New Roman" w:hAnsi="Times New Roman" w:cs="Times New Roman"/>
                <w:sz w:val="26"/>
                <w:szCs w:val="26"/>
              </w:rPr>
              <w:t xml:space="preserve"> in Case No. 07-1224-GA-EXM.</w:t>
            </w:r>
          </w:p>
        </w:tc>
        <w:tc>
          <w:tcPr>
            <w:tcW w:w="900" w:type="dxa"/>
          </w:tcPr>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tc>
        <w:tc>
          <w:tcPr>
            <w:tcW w:w="3510" w:type="dxa"/>
          </w:tcPr>
          <w:p w:rsidR="00A35B09" w:rsidRPr="00CC28AA" w:rsidRDefault="00A35B09" w:rsidP="00E82D11">
            <w:pPr>
              <w:rPr>
                <w:rFonts w:ascii="Times New Roman" w:hAnsi="Times New Roman" w:cs="Times New Roman"/>
                <w:sz w:val="26"/>
                <w:szCs w:val="26"/>
              </w:rPr>
            </w:pP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 xml:space="preserve">Case No. </w:t>
            </w:r>
            <w:r w:rsidRPr="001260B4">
              <w:rPr>
                <w:rFonts w:ascii="Times New Roman" w:hAnsi="Times New Roman" w:cs="Times New Roman"/>
                <w:b/>
                <w:sz w:val="26"/>
                <w:szCs w:val="26"/>
              </w:rPr>
              <w:t>12-1842-GA-EXM</w:t>
            </w:r>
          </w:p>
        </w:tc>
      </w:tr>
    </w:tbl>
    <w:p w:rsidR="00A35B09" w:rsidRDefault="00A35B09" w:rsidP="00A35B09">
      <w:pPr>
        <w:rPr>
          <w:rFonts w:ascii="Times New Roman" w:hAnsi="Times New Roman" w:cs="Times New Roman"/>
          <w:sz w:val="26"/>
          <w:szCs w:val="26"/>
        </w:rPr>
      </w:pPr>
    </w:p>
    <w:p w:rsidR="001260B4" w:rsidRPr="00CC28AA" w:rsidRDefault="001260B4" w:rsidP="00A35B09">
      <w:pPr>
        <w:rPr>
          <w:rFonts w:ascii="Times New Roman" w:hAnsi="Times New Roman" w:cs="Times New Roman"/>
          <w:sz w:val="26"/>
          <w:szCs w:val="26"/>
        </w:rPr>
      </w:pPr>
    </w:p>
    <w:p w:rsidR="00A35B09" w:rsidRPr="00CC28AA" w:rsidRDefault="00A35B09" w:rsidP="00A35B09">
      <w:pPr>
        <w:rPr>
          <w:rFonts w:ascii="Times New Roman" w:hAnsi="Times New Roman" w:cs="Times New Roman"/>
          <w:sz w:val="26"/>
          <w:szCs w:val="26"/>
        </w:rPr>
      </w:pPr>
      <w:r w:rsidRPr="00CC28AA">
        <w:rPr>
          <w:rFonts w:ascii="Times New Roman" w:hAnsi="Times New Roman" w:cs="Times New Roman"/>
          <w:sz w:val="26"/>
          <w:szCs w:val="26"/>
        </w:rPr>
        <w:t>________________________________________________________________________</w:t>
      </w:r>
    </w:p>
    <w:p w:rsidR="00A35B09" w:rsidRPr="001260B4" w:rsidRDefault="00A35B09" w:rsidP="00A35B09">
      <w:pPr>
        <w:spacing w:after="0" w:line="240" w:lineRule="auto"/>
        <w:jc w:val="center"/>
        <w:rPr>
          <w:rFonts w:ascii="Times New Roman" w:hAnsi="Times New Roman" w:cs="Times New Roman"/>
          <w:b/>
          <w:sz w:val="28"/>
          <w:szCs w:val="28"/>
        </w:rPr>
      </w:pPr>
      <w:r w:rsidRPr="001260B4">
        <w:rPr>
          <w:rFonts w:ascii="Times New Roman" w:hAnsi="Times New Roman" w:cs="Times New Roman"/>
          <w:b/>
          <w:sz w:val="28"/>
          <w:szCs w:val="28"/>
        </w:rPr>
        <w:t>INITIAL POST-HEARING BRIEF</w:t>
      </w:r>
    </w:p>
    <w:p w:rsidR="00A35B09" w:rsidRPr="00CC28AA" w:rsidRDefault="00A35B09" w:rsidP="00A35B0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SUBMITTED</w:t>
      </w:r>
      <w:r w:rsidRPr="00CC28AA">
        <w:rPr>
          <w:rFonts w:ascii="Times New Roman" w:hAnsi="Times New Roman" w:cs="Times New Roman"/>
          <w:b/>
          <w:sz w:val="26"/>
          <w:szCs w:val="26"/>
        </w:rPr>
        <w:t xml:space="preserve"> ON BEHALF OF THE STAFF OF </w:t>
      </w:r>
    </w:p>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THE PUBLIC UTILITIES COMMISSION OF OHIO</w:t>
      </w:r>
    </w:p>
    <w:p w:rsidR="00A35B09" w:rsidRDefault="00A35B09" w:rsidP="00A35B09">
      <w:pPr>
        <w:rPr>
          <w:rFonts w:ascii="Times New Roman" w:hAnsi="Times New Roman" w:cs="Times New Roman"/>
          <w:sz w:val="26"/>
          <w:szCs w:val="26"/>
        </w:rPr>
      </w:pPr>
      <w:r w:rsidRPr="00CC28AA">
        <w:rPr>
          <w:rFonts w:ascii="Times New Roman" w:hAnsi="Times New Roman" w:cs="Times New Roman"/>
          <w:sz w:val="26"/>
          <w:szCs w:val="26"/>
        </w:rPr>
        <w:t>________________________________________________________________________</w:t>
      </w:r>
    </w:p>
    <w:p w:rsidR="00A35B09" w:rsidRPr="00CC28AA" w:rsidRDefault="00A35B09" w:rsidP="00A35B09">
      <w:pPr>
        <w:spacing w:after="0" w:line="240" w:lineRule="auto"/>
        <w:ind w:left="5490"/>
        <w:rPr>
          <w:rFonts w:ascii="Times New Roman" w:hAnsi="Times New Roman" w:cs="Times New Roman"/>
          <w:sz w:val="26"/>
          <w:szCs w:val="26"/>
        </w:rPr>
      </w:pPr>
    </w:p>
    <w:p w:rsidR="00A35B09" w:rsidRPr="00CC28AA" w:rsidRDefault="00A35B09" w:rsidP="00A35B09">
      <w:pPr>
        <w:spacing w:after="0" w:line="240" w:lineRule="auto"/>
        <w:ind w:left="5490"/>
        <w:rPr>
          <w:rFonts w:ascii="Times New Roman" w:hAnsi="Times New Roman" w:cs="Times New Roman"/>
          <w:b/>
          <w:sz w:val="26"/>
          <w:szCs w:val="26"/>
        </w:rPr>
      </w:pPr>
      <w:r w:rsidRPr="00CC28AA">
        <w:rPr>
          <w:rFonts w:ascii="Times New Roman" w:hAnsi="Times New Roman" w:cs="Times New Roman"/>
          <w:b/>
          <w:sz w:val="26"/>
          <w:szCs w:val="26"/>
        </w:rPr>
        <w:t>Mike DeWine</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Ohio Attorney General</w:t>
      </w:r>
    </w:p>
    <w:p w:rsidR="00A35B09" w:rsidRPr="00CC28AA" w:rsidRDefault="00A35B09" w:rsidP="00A35B09">
      <w:pPr>
        <w:spacing w:after="0" w:line="240" w:lineRule="auto"/>
        <w:ind w:left="5490"/>
        <w:rPr>
          <w:rFonts w:ascii="Times New Roman" w:hAnsi="Times New Roman" w:cs="Times New Roman"/>
          <w:sz w:val="26"/>
          <w:szCs w:val="26"/>
        </w:rPr>
      </w:pPr>
    </w:p>
    <w:p w:rsidR="00A35B09" w:rsidRPr="00CC28AA" w:rsidRDefault="00A35B09" w:rsidP="00A35B09">
      <w:pPr>
        <w:spacing w:after="0" w:line="240" w:lineRule="auto"/>
        <w:ind w:left="5490"/>
        <w:rPr>
          <w:rFonts w:ascii="Times New Roman" w:hAnsi="Times New Roman" w:cs="Times New Roman"/>
          <w:b/>
          <w:sz w:val="26"/>
          <w:szCs w:val="26"/>
        </w:rPr>
      </w:pPr>
      <w:r w:rsidRPr="00CC28AA">
        <w:rPr>
          <w:rFonts w:ascii="Times New Roman" w:hAnsi="Times New Roman" w:cs="Times New Roman"/>
          <w:b/>
          <w:sz w:val="26"/>
          <w:szCs w:val="26"/>
        </w:rPr>
        <w:t>William L. Wright</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Section Chief</w:t>
      </w:r>
    </w:p>
    <w:p w:rsidR="00A35B09" w:rsidRPr="00CC28AA" w:rsidRDefault="00A35B09" w:rsidP="00A35B09">
      <w:pPr>
        <w:spacing w:after="0" w:line="240" w:lineRule="auto"/>
        <w:ind w:left="5490"/>
        <w:rPr>
          <w:rFonts w:ascii="Times New Roman" w:hAnsi="Times New Roman" w:cs="Times New Roman"/>
          <w:sz w:val="26"/>
          <w:szCs w:val="26"/>
        </w:rPr>
      </w:pPr>
    </w:p>
    <w:p w:rsidR="00A35B09" w:rsidRPr="00CC28AA" w:rsidRDefault="00A35B09" w:rsidP="00A35B09">
      <w:pPr>
        <w:spacing w:after="0" w:line="240" w:lineRule="auto"/>
        <w:ind w:left="5490"/>
        <w:rPr>
          <w:rFonts w:ascii="Times New Roman" w:hAnsi="Times New Roman" w:cs="Times New Roman"/>
          <w:b/>
          <w:sz w:val="26"/>
          <w:szCs w:val="26"/>
        </w:rPr>
      </w:pPr>
      <w:r w:rsidRPr="00CC28AA">
        <w:rPr>
          <w:rFonts w:ascii="Times New Roman" w:hAnsi="Times New Roman" w:cs="Times New Roman"/>
          <w:b/>
          <w:sz w:val="26"/>
          <w:szCs w:val="26"/>
        </w:rPr>
        <w:t>Stephen A. Reilly</w:t>
      </w:r>
    </w:p>
    <w:p w:rsidR="00A35B09" w:rsidRPr="00CC28AA" w:rsidRDefault="00A35B09" w:rsidP="00A35B09">
      <w:pPr>
        <w:spacing w:after="0" w:line="240" w:lineRule="auto"/>
        <w:ind w:left="5490"/>
        <w:rPr>
          <w:rFonts w:ascii="Times New Roman" w:hAnsi="Times New Roman" w:cs="Times New Roman"/>
          <w:b/>
          <w:sz w:val="26"/>
          <w:szCs w:val="26"/>
        </w:rPr>
      </w:pPr>
      <w:r w:rsidRPr="00CC28AA">
        <w:rPr>
          <w:rFonts w:ascii="Times New Roman" w:hAnsi="Times New Roman" w:cs="Times New Roman"/>
          <w:b/>
          <w:sz w:val="26"/>
          <w:szCs w:val="26"/>
        </w:rPr>
        <w:t>Devin D. Parram</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Assistant Attorneys General</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Public Utilities Section</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180 East Broad Street, 6</w:t>
      </w:r>
      <w:r w:rsidRPr="00CC28AA">
        <w:rPr>
          <w:rFonts w:ascii="Times New Roman" w:hAnsi="Times New Roman" w:cs="Times New Roman"/>
          <w:sz w:val="26"/>
          <w:szCs w:val="26"/>
          <w:vertAlign w:val="superscript"/>
        </w:rPr>
        <w:t>th</w:t>
      </w:r>
      <w:r w:rsidRPr="00CC28AA">
        <w:rPr>
          <w:rFonts w:ascii="Times New Roman" w:hAnsi="Times New Roman" w:cs="Times New Roman"/>
          <w:sz w:val="26"/>
          <w:szCs w:val="26"/>
        </w:rPr>
        <w:t xml:space="preserve"> Floor</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Columbus, Ohio  43215</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Telephone: (614) 466-4395</w:t>
      </w:r>
    </w:p>
    <w:p w:rsidR="00A35B09" w:rsidRPr="00CC28AA" w:rsidRDefault="00A35B09" w:rsidP="00A35B09">
      <w:pPr>
        <w:spacing w:after="0" w:line="240" w:lineRule="auto"/>
        <w:ind w:left="5490"/>
        <w:rPr>
          <w:rFonts w:ascii="Times New Roman" w:hAnsi="Times New Roman" w:cs="Times New Roman"/>
          <w:sz w:val="26"/>
          <w:szCs w:val="26"/>
        </w:rPr>
      </w:pPr>
      <w:r w:rsidRPr="00CC28AA">
        <w:rPr>
          <w:rFonts w:ascii="Times New Roman" w:hAnsi="Times New Roman" w:cs="Times New Roman"/>
          <w:sz w:val="26"/>
          <w:szCs w:val="26"/>
        </w:rPr>
        <w:t>Facsimile:  (614) 644-8764</w:t>
      </w:r>
    </w:p>
    <w:p w:rsidR="00A35B09" w:rsidRPr="00CC28AA" w:rsidRDefault="00906DA0" w:rsidP="00A35B09">
      <w:pPr>
        <w:spacing w:after="0" w:line="240" w:lineRule="auto"/>
        <w:ind w:left="5490"/>
        <w:rPr>
          <w:rFonts w:ascii="Times New Roman" w:hAnsi="Times New Roman" w:cs="Times New Roman"/>
          <w:sz w:val="26"/>
          <w:szCs w:val="26"/>
        </w:rPr>
      </w:pPr>
      <w:hyperlink r:id="rId9" w:history="1">
        <w:r w:rsidR="00A35B09" w:rsidRPr="00CC28AA">
          <w:rPr>
            <w:rFonts w:ascii="Times New Roman" w:hAnsi="Times New Roman" w:cs="Times New Roman"/>
            <w:color w:val="0000FF" w:themeColor="hyperlink"/>
            <w:sz w:val="26"/>
            <w:szCs w:val="26"/>
            <w:u w:val="single"/>
          </w:rPr>
          <w:t>stephen.reilly@puc.state.oh.us</w:t>
        </w:r>
      </w:hyperlink>
    </w:p>
    <w:p w:rsidR="00A35B09" w:rsidRPr="00CC28AA" w:rsidRDefault="00906DA0" w:rsidP="00A35B09">
      <w:pPr>
        <w:spacing w:after="0" w:line="240" w:lineRule="auto"/>
        <w:ind w:left="5490"/>
        <w:rPr>
          <w:rFonts w:ascii="Times New Roman" w:hAnsi="Times New Roman" w:cs="Times New Roman"/>
          <w:sz w:val="26"/>
          <w:szCs w:val="26"/>
        </w:rPr>
      </w:pPr>
      <w:hyperlink r:id="rId10" w:history="1">
        <w:r w:rsidR="00A35B09" w:rsidRPr="00CC28AA">
          <w:rPr>
            <w:rFonts w:ascii="Times New Roman" w:hAnsi="Times New Roman" w:cs="Times New Roman"/>
            <w:color w:val="0000FF" w:themeColor="hyperlink"/>
            <w:sz w:val="26"/>
            <w:szCs w:val="26"/>
            <w:u w:val="single"/>
          </w:rPr>
          <w:t>devin.parram@puc.state.oh.us</w:t>
        </w:r>
      </w:hyperlink>
    </w:p>
    <w:p w:rsidR="00A35B09" w:rsidRPr="00CC28AA" w:rsidRDefault="00A35B09" w:rsidP="00A35B09">
      <w:pPr>
        <w:spacing w:after="0" w:line="240" w:lineRule="auto"/>
        <w:rPr>
          <w:rFonts w:ascii="Times New Roman" w:hAnsi="Times New Roman" w:cs="Times New Roman"/>
          <w:sz w:val="26"/>
          <w:szCs w:val="26"/>
        </w:rPr>
      </w:pPr>
    </w:p>
    <w:p w:rsidR="00A35B09" w:rsidRDefault="00A35B09" w:rsidP="00A35B09">
      <w:pPr>
        <w:spacing w:after="0" w:line="240" w:lineRule="auto"/>
        <w:rPr>
          <w:rFonts w:ascii="Times New Roman" w:hAnsi="Times New Roman" w:cs="Times New Roman"/>
          <w:sz w:val="26"/>
          <w:szCs w:val="26"/>
        </w:rPr>
      </w:pPr>
    </w:p>
    <w:p w:rsidR="001260B4" w:rsidRDefault="001260B4" w:rsidP="00A35B09">
      <w:pPr>
        <w:spacing w:after="0" w:line="240" w:lineRule="auto"/>
        <w:rPr>
          <w:rFonts w:ascii="Times New Roman" w:hAnsi="Times New Roman" w:cs="Times New Roman"/>
          <w:sz w:val="26"/>
          <w:szCs w:val="26"/>
        </w:rPr>
      </w:pPr>
    </w:p>
    <w:p w:rsidR="001260B4" w:rsidRPr="00CC28AA" w:rsidRDefault="001260B4" w:rsidP="00A35B09">
      <w:pPr>
        <w:spacing w:after="0" w:line="240" w:lineRule="auto"/>
        <w:rPr>
          <w:rFonts w:ascii="Times New Roman" w:hAnsi="Times New Roman" w:cs="Times New Roman"/>
          <w:sz w:val="26"/>
          <w:szCs w:val="26"/>
        </w:rPr>
      </w:pPr>
    </w:p>
    <w:p w:rsidR="00A35B09" w:rsidRPr="00CC28AA" w:rsidRDefault="00A35B09" w:rsidP="00A35B09">
      <w:pPr>
        <w:spacing w:after="0" w:line="240" w:lineRule="auto"/>
        <w:rPr>
          <w:rFonts w:ascii="Times New Roman" w:hAnsi="Times New Roman" w:cs="Times New Roman"/>
          <w:sz w:val="26"/>
          <w:szCs w:val="26"/>
        </w:rPr>
      </w:pPr>
    </w:p>
    <w:p w:rsidR="001260B4" w:rsidRDefault="001260B4" w:rsidP="00A35B09">
      <w:pPr>
        <w:rPr>
          <w:rFonts w:ascii="Times New Roman" w:hAnsi="Times New Roman" w:cs="Times New Roman"/>
          <w:sz w:val="26"/>
          <w:szCs w:val="26"/>
        </w:rPr>
        <w:sectPr w:rsidR="001260B4" w:rsidSect="00544858">
          <w:footerReference w:type="default" r:id="rId11"/>
          <w:pgSz w:w="12240" w:h="15840"/>
          <w:pgMar w:top="1440" w:right="1440" w:bottom="1440" w:left="1440" w:header="720" w:footer="720" w:gutter="0"/>
          <w:cols w:space="720"/>
          <w:titlePg/>
          <w:docGrid w:linePitch="360"/>
        </w:sectPr>
      </w:pPr>
      <w:r>
        <w:rPr>
          <w:rFonts w:ascii="Times New Roman" w:hAnsi="Times New Roman" w:cs="Times New Roman"/>
          <w:sz w:val="26"/>
          <w:szCs w:val="26"/>
        </w:rPr>
        <w:t>November 13, 2012</w:t>
      </w:r>
    </w:p>
    <w:p w:rsidR="002F7201" w:rsidRDefault="002F7201">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"1-7" \u </w:instrText>
      </w:r>
      <w:r>
        <w:rPr>
          <w:rFonts w:cs="Times New Roman"/>
          <w:b/>
          <w:szCs w:val="26"/>
        </w:rPr>
        <w:fldChar w:fldCharType="separate"/>
      </w:r>
      <w:r>
        <w:rPr>
          <w:noProof/>
        </w:rPr>
        <w:t>I.</w:t>
      </w:r>
      <w:r>
        <w:rPr>
          <w:rFonts w:asciiTheme="minorHAnsi" w:eastAsiaTheme="minorEastAsia" w:hAnsiTheme="minorHAnsi"/>
          <w:noProof/>
          <w:sz w:val="22"/>
        </w:rPr>
        <w:tab/>
      </w:r>
      <w:r>
        <w:rPr>
          <w:noProof/>
        </w:rPr>
        <w:t>INTRODUCTION</w:t>
      </w:r>
      <w:r>
        <w:rPr>
          <w:noProof/>
        </w:rPr>
        <w:tab/>
      </w:r>
      <w:r>
        <w:rPr>
          <w:noProof/>
        </w:rPr>
        <w:fldChar w:fldCharType="begin"/>
      </w:r>
      <w:r>
        <w:rPr>
          <w:noProof/>
        </w:rPr>
        <w:instrText xml:space="preserve"> PAGEREF _Toc340565209 \h </w:instrText>
      </w:r>
      <w:r>
        <w:rPr>
          <w:noProof/>
        </w:rPr>
      </w:r>
      <w:r>
        <w:rPr>
          <w:noProof/>
        </w:rPr>
        <w:fldChar w:fldCharType="separate"/>
      </w:r>
      <w:r w:rsidR="00906DA0">
        <w:rPr>
          <w:noProof/>
        </w:rPr>
        <w:t>1</w:t>
      </w:r>
      <w:r>
        <w:rPr>
          <w:noProof/>
        </w:rPr>
        <w:fldChar w:fldCharType="end"/>
      </w:r>
    </w:p>
    <w:p w:rsidR="002F7201" w:rsidRDefault="002F7201">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BACKGROUND</w:t>
      </w:r>
      <w:r>
        <w:rPr>
          <w:noProof/>
        </w:rPr>
        <w:tab/>
      </w:r>
      <w:r>
        <w:rPr>
          <w:noProof/>
        </w:rPr>
        <w:fldChar w:fldCharType="begin"/>
      </w:r>
      <w:r>
        <w:rPr>
          <w:noProof/>
        </w:rPr>
        <w:instrText xml:space="preserve"> PAGEREF _Toc340565210 \h </w:instrText>
      </w:r>
      <w:r>
        <w:rPr>
          <w:noProof/>
        </w:rPr>
      </w:r>
      <w:r>
        <w:rPr>
          <w:noProof/>
        </w:rPr>
        <w:fldChar w:fldCharType="separate"/>
      </w:r>
      <w:r w:rsidR="00906DA0">
        <w:rPr>
          <w:noProof/>
        </w:rPr>
        <w:t>1</w:t>
      </w:r>
      <w:r>
        <w:rPr>
          <w:noProof/>
        </w:rPr>
        <w:fldChar w:fldCharType="end"/>
      </w:r>
    </w:p>
    <w:p w:rsidR="002F7201" w:rsidRDefault="002F7201">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THE STAFF GENERALLY SUPPORTS THE JOINT MOTION AND STIPULATION.</w:t>
      </w:r>
      <w:r>
        <w:rPr>
          <w:noProof/>
        </w:rPr>
        <w:tab/>
      </w:r>
      <w:r>
        <w:rPr>
          <w:noProof/>
        </w:rPr>
        <w:fldChar w:fldCharType="begin"/>
      </w:r>
      <w:r>
        <w:rPr>
          <w:noProof/>
        </w:rPr>
        <w:instrText xml:space="preserve"> PAGEREF _Toc340565211 \h </w:instrText>
      </w:r>
      <w:r>
        <w:rPr>
          <w:noProof/>
        </w:rPr>
      </w:r>
      <w:r>
        <w:rPr>
          <w:noProof/>
        </w:rPr>
        <w:fldChar w:fldCharType="separate"/>
      </w:r>
      <w:r w:rsidR="00906DA0">
        <w:rPr>
          <w:noProof/>
        </w:rPr>
        <w:t>2</w:t>
      </w:r>
      <w:r>
        <w:rPr>
          <w:noProof/>
        </w:rPr>
        <w:fldChar w:fldCharType="end"/>
      </w:r>
    </w:p>
    <w:p w:rsidR="002F7201" w:rsidRDefault="002F7201">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Dominion and the Marketers should ensure that customers are properly educated about Dominion’s exiting the merchant function.</w:t>
      </w:r>
      <w:r>
        <w:rPr>
          <w:noProof/>
        </w:rPr>
        <w:tab/>
      </w:r>
      <w:r>
        <w:rPr>
          <w:noProof/>
        </w:rPr>
        <w:fldChar w:fldCharType="begin"/>
      </w:r>
      <w:r>
        <w:rPr>
          <w:noProof/>
        </w:rPr>
        <w:instrText xml:space="preserve"> PAGEREF _Toc340565212 \h </w:instrText>
      </w:r>
      <w:r>
        <w:rPr>
          <w:noProof/>
        </w:rPr>
      </w:r>
      <w:r>
        <w:rPr>
          <w:noProof/>
        </w:rPr>
        <w:fldChar w:fldCharType="separate"/>
      </w:r>
      <w:r w:rsidR="00906DA0">
        <w:rPr>
          <w:noProof/>
        </w:rPr>
        <w:t>3</w:t>
      </w:r>
      <w:r>
        <w:rPr>
          <w:noProof/>
        </w:rPr>
        <w:fldChar w:fldCharType="end"/>
      </w:r>
    </w:p>
    <w:p w:rsidR="002F7201" w:rsidRDefault="002F7201">
      <w:pPr>
        <w:pStyle w:val="TOC3"/>
        <w:tabs>
          <w:tab w:val="left" w:pos="2160"/>
        </w:tabs>
        <w:rPr>
          <w:rFonts w:asciiTheme="minorHAnsi" w:eastAsiaTheme="minorEastAsia" w:hAnsiTheme="minorHAnsi"/>
          <w:noProof/>
          <w:sz w:val="22"/>
        </w:rPr>
      </w:pPr>
      <w:r>
        <w:rPr>
          <w:noProof/>
        </w:rPr>
        <w:t>1.</w:t>
      </w:r>
      <w:r>
        <w:rPr>
          <w:rFonts w:asciiTheme="minorHAnsi" w:eastAsiaTheme="minorEastAsia" w:hAnsiTheme="minorHAnsi"/>
          <w:noProof/>
          <w:sz w:val="22"/>
        </w:rPr>
        <w:tab/>
      </w:r>
      <w:r>
        <w:rPr>
          <w:noProof/>
        </w:rPr>
        <w:t>Dominion should implement a comprehensive consumer-education program in advance of any exit of the merchant function for non-residential customers.</w:t>
      </w:r>
      <w:r>
        <w:rPr>
          <w:noProof/>
        </w:rPr>
        <w:tab/>
      </w:r>
      <w:r>
        <w:rPr>
          <w:noProof/>
        </w:rPr>
        <w:fldChar w:fldCharType="begin"/>
      </w:r>
      <w:r>
        <w:rPr>
          <w:noProof/>
        </w:rPr>
        <w:instrText xml:space="preserve"> PAGEREF _Toc340565213 \h </w:instrText>
      </w:r>
      <w:r>
        <w:rPr>
          <w:noProof/>
        </w:rPr>
      </w:r>
      <w:r>
        <w:rPr>
          <w:noProof/>
        </w:rPr>
        <w:fldChar w:fldCharType="separate"/>
      </w:r>
      <w:r w:rsidR="00906DA0">
        <w:rPr>
          <w:noProof/>
        </w:rPr>
        <w:t>3</w:t>
      </w:r>
      <w:r>
        <w:rPr>
          <w:noProof/>
        </w:rPr>
        <w:fldChar w:fldCharType="end"/>
      </w:r>
    </w:p>
    <w:p w:rsidR="002F7201" w:rsidRDefault="002F7201">
      <w:pPr>
        <w:pStyle w:val="TOC3"/>
        <w:tabs>
          <w:tab w:val="left" w:pos="2160"/>
        </w:tabs>
        <w:rPr>
          <w:rFonts w:asciiTheme="minorHAnsi" w:eastAsiaTheme="minorEastAsia" w:hAnsiTheme="minorHAnsi"/>
          <w:noProof/>
          <w:sz w:val="22"/>
        </w:rPr>
      </w:pPr>
      <w:r>
        <w:rPr>
          <w:noProof/>
        </w:rPr>
        <w:t>2.</w:t>
      </w:r>
      <w:r>
        <w:rPr>
          <w:rFonts w:asciiTheme="minorHAnsi" w:eastAsiaTheme="minorEastAsia" w:hAnsiTheme="minorHAnsi"/>
          <w:noProof/>
          <w:sz w:val="22"/>
        </w:rPr>
        <w:tab/>
      </w:r>
      <w:r>
        <w:rPr>
          <w:noProof/>
        </w:rPr>
        <w:t xml:space="preserve">MVR suppliers should be required to provide customers </w:t>
      </w:r>
      <w:r w:rsidR="001E01CE">
        <w:rPr>
          <w:noProof/>
        </w:rPr>
        <w:t xml:space="preserve">with </w:t>
      </w:r>
      <w:r>
        <w:rPr>
          <w:noProof/>
        </w:rPr>
        <w:t>certain information regarding MVR rates.</w:t>
      </w:r>
      <w:r>
        <w:rPr>
          <w:noProof/>
        </w:rPr>
        <w:tab/>
      </w:r>
      <w:r>
        <w:rPr>
          <w:noProof/>
        </w:rPr>
        <w:fldChar w:fldCharType="begin"/>
      </w:r>
      <w:r>
        <w:rPr>
          <w:noProof/>
        </w:rPr>
        <w:instrText xml:space="preserve"> PAGEREF _Toc340565214 \h </w:instrText>
      </w:r>
      <w:r>
        <w:rPr>
          <w:noProof/>
        </w:rPr>
      </w:r>
      <w:r>
        <w:rPr>
          <w:noProof/>
        </w:rPr>
        <w:fldChar w:fldCharType="separate"/>
      </w:r>
      <w:r w:rsidR="00906DA0">
        <w:rPr>
          <w:noProof/>
        </w:rPr>
        <w:t>5</w:t>
      </w:r>
      <w:r>
        <w:rPr>
          <w:noProof/>
        </w:rPr>
        <w:fldChar w:fldCharType="end"/>
      </w:r>
    </w:p>
    <w:p w:rsidR="002F7201" w:rsidRDefault="002F7201">
      <w:pPr>
        <w:pStyle w:val="TOC3"/>
        <w:tabs>
          <w:tab w:val="left" w:pos="2160"/>
        </w:tabs>
        <w:rPr>
          <w:rFonts w:asciiTheme="minorHAnsi" w:eastAsiaTheme="minorEastAsia" w:hAnsiTheme="minorHAnsi"/>
          <w:noProof/>
          <w:sz w:val="22"/>
        </w:rPr>
      </w:pPr>
      <w:r>
        <w:rPr>
          <w:noProof/>
        </w:rPr>
        <w:t>3.</w:t>
      </w:r>
      <w:r>
        <w:rPr>
          <w:rFonts w:asciiTheme="minorHAnsi" w:eastAsiaTheme="minorEastAsia" w:hAnsiTheme="minorHAnsi"/>
          <w:noProof/>
          <w:sz w:val="22"/>
        </w:rPr>
        <w:tab/>
      </w:r>
      <w:r>
        <w:rPr>
          <w:noProof/>
        </w:rPr>
        <w:t>Development of the customer-education materials should be funded through the customer-education fund established in Case No. 05-474-GA-ATA.</w:t>
      </w:r>
      <w:r>
        <w:rPr>
          <w:noProof/>
        </w:rPr>
        <w:tab/>
      </w:r>
      <w:r>
        <w:rPr>
          <w:noProof/>
        </w:rPr>
        <w:fldChar w:fldCharType="begin"/>
      </w:r>
      <w:r>
        <w:rPr>
          <w:noProof/>
        </w:rPr>
        <w:instrText xml:space="preserve"> PAGEREF _Toc340565215 \h </w:instrText>
      </w:r>
      <w:r>
        <w:rPr>
          <w:noProof/>
        </w:rPr>
      </w:r>
      <w:r>
        <w:rPr>
          <w:noProof/>
        </w:rPr>
        <w:fldChar w:fldCharType="separate"/>
      </w:r>
      <w:r w:rsidR="00906DA0">
        <w:rPr>
          <w:noProof/>
        </w:rPr>
        <w:t>6</w:t>
      </w:r>
      <w:r>
        <w:rPr>
          <w:noProof/>
        </w:rPr>
        <w:fldChar w:fldCharType="end"/>
      </w:r>
    </w:p>
    <w:p w:rsidR="002F7201" w:rsidRDefault="002F7201">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sidRPr="002058C3">
        <w:rPr>
          <w:rFonts w:cs="Times New Roman"/>
          <w:noProof/>
        </w:rPr>
        <w:t>Dominion should provide the Commission with information regarding the results of Dominion’s exit of the merchant function for non-residential customers.</w:t>
      </w:r>
      <w:r>
        <w:rPr>
          <w:noProof/>
        </w:rPr>
        <w:tab/>
      </w:r>
      <w:r>
        <w:rPr>
          <w:noProof/>
        </w:rPr>
        <w:fldChar w:fldCharType="begin"/>
      </w:r>
      <w:r>
        <w:rPr>
          <w:noProof/>
        </w:rPr>
        <w:instrText xml:space="preserve"> PAGEREF _Toc340565216 \h </w:instrText>
      </w:r>
      <w:r>
        <w:rPr>
          <w:noProof/>
        </w:rPr>
      </w:r>
      <w:r>
        <w:rPr>
          <w:noProof/>
        </w:rPr>
        <w:fldChar w:fldCharType="separate"/>
      </w:r>
      <w:r w:rsidR="00906DA0">
        <w:rPr>
          <w:noProof/>
        </w:rPr>
        <w:t>7</w:t>
      </w:r>
      <w:r>
        <w:rPr>
          <w:noProof/>
        </w:rPr>
        <w:fldChar w:fldCharType="end"/>
      </w:r>
    </w:p>
    <w:p w:rsidR="002F7201" w:rsidRDefault="002F7201">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THE COMMISSION MAINTAINS THE JURISDICTION TO ABROGATE OR MODIFY ITS EXEMPTION ORDER PURSUANT TO R.C. 4929.08.</w:t>
      </w:r>
      <w:r>
        <w:rPr>
          <w:noProof/>
        </w:rPr>
        <w:tab/>
      </w:r>
      <w:r>
        <w:rPr>
          <w:noProof/>
        </w:rPr>
        <w:fldChar w:fldCharType="begin"/>
      </w:r>
      <w:r>
        <w:rPr>
          <w:noProof/>
        </w:rPr>
        <w:instrText xml:space="preserve"> PAGEREF _Toc340565217 \h </w:instrText>
      </w:r>
      <w:r>
        <w:rPr>
          <w:noProof/>
        </w:rPr>
      </w:r>
      <w:r>
        <w:rPr>
          <w:noProof/>
        </w:rPr>
        <w:fldChar w:fldCharType="separate"/>
      </w:r>
      <w:r w:rsidR="00906DA0">
        <w:rPr>
          <w:noProof/>
        </w:rPr>
        <w:t>9</w:t>
      </w:r>
      <w:r>
        <w:rPr>
          <w:noProof/>
        </w:rPr>
        <w:fldChar w:fldCharType="end"/>
      </w:r>
    </w:p>
    <w:p w:rsidR="002F7201" w:rsidRDefault="002F7201">
      <w:pPr>
        <w:pStyle w:val="TOC1"/>
        <w:rPr>
          <w:rFonts w:asciiTheme="minorHAnsi" w:eastAsiaTheme="minorEastAsia" w:hAnsiTheme="minorHAnsi"/>
          <w:noProof/>
          <w:sz w:val="22"/>
        </w:rPr>
      </w:pPr>
      <w:r>
        <w:rPr>
          <w:noProof/>
        </w:rPr>
        <w:t>V.</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_Toc340565218 \h </w:instrText>
      </w:r>
      <w:r>
        <w:rPr>
          <w:noProof/>
        </w:rPr>
      </w:r>
      <w:r>
        <w:rPr>
          <w:noProof/>
        </w:rPr>
        <w:fldChar w:fldCharType="separate"/>
      </w:r>
      <w:r w:rsidR="00906DA0">
        <w:rPr>
          <w:noProof/>
        </w:rPr>
        <w:t>10</w:t>
      </w:r>
      <w:r>
        <w:rPr>
          <w:noProof/>
        </w:rPr>
        <w:fldChar w:fldCharType="end"/>
      </w:r>
    </w:p>
    <w:p w:rsidR="002F7201" w:rsidRPr="002F7201" w:rsidRDefault="002F7201" w:rsidP="002F7201">
      <w:pPr>
        <w:pStyle w:val="TOC6"/>
        <w:rPr>
          <w:noProof/>
        </w:rPr>
      </w:pPr>
      <w:r w:rsidRPr="002F7201">
        <w:rPr>
          <w:noProof/>
        </w:rPr>
        <w:t>CERTIFICATE OF SERVICE</w:t>
      </w:r>
      <w:r w:rsidRPr="002F7201">
        <w:rPr>
          <w:noProof/>
        </w:rPr>
        <w:tab/>
      </w:r>
      <w:r w:rsidRPr="002F7201">
        <w:rPr>
          <w:noProof/>
        </w:rPr>
        <w:fldChar w:fldCharType="begin"/>
      </w:r>
      <w:r w:rsidRPr="002F7201">
        <w:rPr>
          <w:noProof/>
        </w:rPr>
        <w:instrText xml:space="preserve"> PAGEREF _Toc340565219 \h </w:instrText>
      </w:r>
      <w:r w:rsidRPr="002F7201">
        <w:rPr>
          <w:noProof/>
        </w:rPr>
      </w:r>
      <w:r w:rsidRPr="002F7201">
        <w:rPr>
          <w:noProof/>
        </w:rPr>
        <w:fldChar w:fldCharType="separate"/>
      </w:r>
      <w:r w:rsidR="00906DA0">
        <w:rPr>
          <w:noProof/>
        </w:rPr>
        <w:t>11</w:t>
      </w:r>
      <w:r w:rsidRPr="002F7201">
        <w:rPr>
          <w:noProof/>
        </w:rPr>
        <w:fldChar w:fldCharType="end"/>
      </w:r>
    </w:p>
    <w:p w:rsidR="00A35B09" w:rsidRDefault="002F7201" w:rsidP="00A35B09">
      <w:pPr>
        <w:spacing w:after="0" w:line="240" w:lineRule="auto"/>
        <w:jc w:val="center"/>
        <w:rPr>
          <w:rFonts w:ascii="Times New Roman" w:hAnsi="Times New Roman" w:cs="Times New Roman"/>
          <w:b/>
          <w:sz w:val="26"/>
          <w:szCs w:val="26"/>
        </w:rPr>
        <w:sectPr w:rsidR="00A35B09" w:rsidSect="00C220A2">
          <w:headerReference w:type="first" r:id="rId12"/>
          <w:footerReference w:type="first" r:id="rId13"/>
          <w:pgSz w:w="12240" w:h="15840"/>
          <w:pgMar w:top="1440" w:right="1440" w:bottom="1440" w:left="1440" w:header="720" w:footer="720" w:gutter="0"/>
          <w:pgNumType w:fmt="lowerRoman" w:start="1"/>
          <w:cols w:space="720"/>
          <w:titlePg/>
          <w:docGrid w:linePitch="360"/>
        </w:sectPr>
      </w:pPr>
      <w:r>
        <w:rPr>
          <w:rFonts w:ascii="Times New Roman" w:hAnsi="Times New Roman" w:cs="Times New Roman"/>
          <w:b/>
          <w:sz w:val="26"/>
          <w:szCs w:val="26"/>
        </w:rPr>
        <w:fldChar w:fldCharType="end"/>
      </w:r>
    </w:p>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lastRenderedPageBreak/>
        <w:t>BEFORE</w:t>
      </w:r>
    </w:p>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THE PUBLIC UTILITIES COMMISSION OF OHIO</w:t>
      </w:r>
    </w:p>
    <w:p w:rsidR="00A35B09" w:rsidRPr="00CC28AA" w:rsidRDefault="00A35B09" w:rsidP="00A35B09">
      <w:pPr>
        <w:rPr>
          <w:rFonts w:ascii="Times New Roman" w:hAnsi="Times New Roman" w:cs="Times New Roman"/>
          <w:sz w:val="26"/>
          <w:szCs w:val="26"/>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900"/>
        <w:gridCol w:w="3510"/>
      </w:tblGrid>
      <w:tr w:rsidR="00A35B09" w:rsidRPr="00CC28AA" w:rsidTr="00E82D11">
        <w:tc>
          <w:tcPr>
            <w:tcW w:w="4608" w:type="dxa"/>
          </w:tcPr>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 xml:space="preserve">In the Matter of the Application to Modify, in Accordance with Section 4929.08, Revised Code, the Exemption Granted to </w:t>
            </w:r>
            <w:r w:rsidRPr="001260B4">
              <w:rPr>
                <w:rFonts w:ascii="Times New Roman" w:hAnsi="Times New Roman" w:cs="Times New Roman"/>
                <w:b/>
                <w:sz w:val="26"/>
                <w:szCs w:val="26"/>
              </w:rPr>
              <w:t>The East Ohio Gas Company d/b/a Dominion East Ohio</w:t>
            </w:r>
            <w:r w:rsidRPr="00CC28AA">
              <w:rPr>
                <w:rFonts w:ascii="Times New Roman" w:hAnsi="Times New Roman" w:cs="Times New Roman"/>
                <w:sz w:val="26"/>
                <w:szCs w:val="26"/>
              </w:rPr>
              <w:t xml:space="preserve"> in Case No. 07-1224-GA-EXM.</w:t>
            </w:r>
          </w:p>
        </w:tc>
        <w:tc>
          <w:tcPr>
            <w:tcW w:w="900" w:type="dxa"/>
          </w:tcPr>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w:t>
            </w:r>
          </w:p>
        </w:tc>
        <w:tc>
          <w:tcPr>
            <w:tcW w:w="3510" w:type="dxa"/>
          </w:tcPr>
          <w:p w:rsidR="00A35B09" w:rsidRPr="00CC28AA" w:rsidRDefault="00A35B09" w:rsidP="00E82D11">
            <w:pPr>
              <w:rPr>
                <w:rFonts w:ascii="Times New Roman" w:hAnsi="Times New Roman" w:cs="Times New Roman"/>
                <w:sz w:val="26"/>
                <w:szCs w:val="26"/>
              </w:rPr>
            </w:pPr>
          </w:p>
          <w:p w:rsidR="00A35B09" w:rsidRPr="00CC28AA" w:rsidRDefault="00A35B09" w:rsidP="00E82D11">
            <w:pPr>
              <w:rPr>
                <w:rFonts w:ascii="Times New Roman" w:hAnsi="Times New Roman" w:cs="Times New Roman"/>
                <w:sz w:val="26"/>
                <w:szCs w:val="26"/>
              </w:rPr>
            </w:pPr>
            <w:r w:rsidRPr="00CC28AA">
              <w:rPr>
                <w:rFonts w:ascii="Times New Roman" w:hAnsi="Times New Roman" w:cs="Times New Roman"/>
                <w:sz w:val="26"/>
                <w:szCs w:val="26"/>
              </w:rPr>
              <w:t xml:space="preserve">Case No. </w:t>
            </w:r>
            <w:r w:rsidRPr="001260B4">
              <w:rPr>
                <w:rFonts w:ascii="Times New Roman" w:hAnsi="Times New Roman" w:cs="Times New Roman"/>
                <w:b/>
                <w:sz w:val="26"/>
                <w:szCs w:val="26"/>
              </w:rPr>
              <w:t>12-1842-GA-EXM</w:t>
            </w:r>
          </w:p>
        </w:tc>
      </w:tr>
    </w:tbl>
    <w:p w:rsidR="00A35B09" w:rsidRPr="00CC28AA" w:rsidRDefault="00A35B09" w:rsidP="00A35B09">
      <w:pPr>
        <w:rPr>
          <w:rFonts w:ascii="Times New Roman" w:hAnsi="Times New Roman" w:cs="Times New Roman"/>
          <w:sz w:val="26"/>
          <w:szCs w:val="26"/>
        </w:rPr>
      </w:pPr>
    </w:p>
    <w:p w:rsidR="00A35B09" w:rsidRPr="00CC28AA" w:rsidRDefault="00A35B09" w:rsidP="00A35B09">
      <w:pPr>
        <w:rPr>
          <w:rFonts w:ascii="Times New Roman" w:hAnsi="Times New Roman" w:cs="Times New Roman"/>
          <w:sz w:val="26"/>
          <w:szCs w:val="26"/>
        </w:rPr>
      </w:pPr>
      <w:r w:rsidRPr="00CC28AA">
        <w:rPr>
          <w:rFonts w:ascii="Times New Roman" w:hAnsi="Times New Roman" w:cs="Times New Roman"/>
          <w:sz w:val="26"/>
          <w:szCs w:val="26"/>
        </w:rPr>
        <w:t>________________________________________________________________________</w:t>
      </w:r>
    </w:p>
    <w:p w:rsidR="00A35B09"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 xml:space="preserve">INITIAL </w:t>
      </w:r>
      <w:r>
        <w:rPr>
          <w:rFonts w:ascii="Times New Roman" w:hAnsi="Times New Roman" w:cs="Times New Roman"/>
          <w:b/>
          <w:sz w:val="26"/>
          <w:szCs w:val="26"/>
        </w:rPr>
        <w:t>POST-HEARING BRIEF</w:t>
      </w:r>
    </w:p>
    <w:p w:rsidR="00A35B09" w:rsidRPr="00CC28AA" w:rsidRDefault="00A35B09" w:rsidP="00A35B0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SUBMITTED</w:t>
      </w:r>
      <w:r w:rsidRPr="00CC28AA">
        <w:rPr>
          <w:rFonts w:ascii="Times New Roman" w:hAnsi="Times New Roman" w:cs="Times New Roman"/>
          <w:b/>
          <w:sz w:val="26"/>
          <w:szCs w:val="26"/>
        </w:rPr>
        <w:t xml:space="preserve"> ON BEHALF OF THE STAFF OF </w:t>
      </w:r>
    </w:p>
    <w:p w:rsidR="00A35B09" w:rsidRPr="00CC28AA" w:rsidRDefault="00A35B09" w:rsidP="00A35B09">
      <w:pPr>
        <w:spacing w:after="0" w:line="240" w:lineRule="auto"/>
        <w:jc w:val="center"/>
        <w:rPr>
          <w:rFonts w:ascii="Times New Roman" w:hAnsi="Times New Roman" w:cs="Times New Roman"/>
          <w:b/>
          <w:sz w:val="26"/>
          <w:szCs w:val="26"/>
        </w:rPr>
      </w:pPr>
      <w:r w:rsidRPr="00CC28AA">
        <w:rPr>
          <w:rFonts w:ascii="Times New Roman" w:hAnsi="Times New Roman" w:cs="Times New Roman"/>
          <w:b/>
          <w:sz w:val="26"/>
          <w:szCs w:val="26"/>
        </w:rPr>
        <w:t>THE PUBLIC UTILITIES COMMISSION OF OHIO</w:t>
      </w:r>
    </w:p>
    <w:p w:rsidR="00A35B09" w:rsidRPr="00CC28AA" w:rsidRDefault="00A35B09" w:rsidP="00A35B09">
      <w:pPr>
        <w:rPr>
          <w:rFonts w:ascii="Times New Roman" w:hAnsi="Times New Roman" w:cs="Times New Roman"/>
          <w:sz w:val="26"/>
          <w:szCs w:val="26"/>
        </w:rPr>
      </w:pPr>
      <w:r w:rsidRPr="00CC28AA">
        <w:rPr>
          <w:rFonts w:ascii="Times New Roman" w:hAnsi="Times New Roman" w:cs="Times New Roman"/>
          <w:sz w:val="26"/>
          <w:szCs w:val="26"/>
        </w:rPr>
        <w:t>________________________________________________________________________</w:t>
      </w:r>
    </w:p>
    <w:p w:rsidR="00A35B09" w:rsidRDefault="00A35B09" w:rsidP="001F45A2">
      <w:pPr>
        <w:pStyle w:val="Heading1"/>
      </w:pPr>
      <w:bookmarkStart w:id="0" w:name="_Toc340565209"/>
      <w:r>
        <w:t>INTRODUCTION</w:t>
      </w:r>
      <w:bookmarkEnd w:id="0"/>
    </w:p>
    <w:p w:rsidR="00A35B09" w:rsidRDefault="00A35B09" w:rsidP="002F7201">
      <w:pPr>
        <w:pStyle w:val="TEXTSTYLE"/>
      </w:pPr>
      <w:r>
        <w:tab/>
      </w:r>
      <w:r w:rsidRPr="00771E01">
        <w:t xml:space="preserve">This case involves another chapter in </w:t>
      </w:r>
      <w:r>
        <w:t xml:space="preserve">the story of </w:t>
      </w:r>
      <w:r w:rsidRPr="00771E01">
        <w:t>The East Ohio Gas Company, d/b/a Dominion East Ohio</w:t>
      </w:r>
      <w:r>
        <w:t>’s</w:t>
      </w:r>
      <w:r w:rsidRPr="00771E01">
        <w:t xml:space="preserve"> (“Dominion”</w:t>
      </w:r>
      <w:r w:rsidR="00FB5197">
        <w:t xml:space="preserve"> or “DEO”</w:t>
      </w:r>
      <w:r w:rsidRPr="00771E01">
        <w:t>)</w:t>
      </w:r>
      <w:r>
        <w:t xml:space="preserve"> move towards a full exit from the merchant function.  This case specifically addresses Dominion’s exit from the merchant function for non-residential customers.  In general, Staff is supportive of this next step.  Staff request, however, that the Commission adopt certain recommendations before allowing Dominion to exit the merchant function for non-residential customers.  </w:t>
      </w:r>
    </w:p>
    <w:p w:rsidR="00A35B09" w:rsidRPr="00791C27" w:rsidRDefault="00A35B09" w:rsidP="001F45A2">
      <w:pPr>
        <w:pStyle w:val="Heading1"/>
      </w:pPr>
      <w:bookmarkStart w:id="1" w:name="_Toc340565210"/>
      <w:r>
        <w:t>BACKGROUND</w:t>
      </w:r>
      <w:bookmarkEnd w:id="1"/>
    </w:p>
    <w:p w:rsidR="00A35B09" w:rsidRDefault="00A35B09" w:rsidP="002F7201">
      <w:pPr>
        <w:pStyle w:val="TEXTSTYLE"/>
      </w:pPr>
      <w:r w:rsidRPr="00CC28AA">
        <w:tab/>
        <w:t>On June 15, 2012</w:t>
      </w:r>
      <w:r>
        <w:t>, Dominion</w:t>
      </w:r>
      <w:r w:rsidRPr="00CC28AA">
        <w:t xml:space="preserve"> and the Ohio Gas Marketers Group (“OGMG”</w:t>
      </w:r>
      <w:r w:rsidR="002B3119">
        <w:t xml:space="preserve"> or the “Marketers”</w:t>
      </w:r>
      <w:r w:rsidRPr="00CC28AA">
        <w:t xml:space="preserve">) filed a joint motion to modify (“Joint Motion”) Dominion’s  existing exemption plan which was approved by the Commission on June 18, 2008 in Case No. 07-1224-GA-EXM.  The proposed modification would allow Dominion to discontinue </w:t>
      </w:r>
      <w:r w:rsidRPr="00CC28AA">
        <w:lastRenderedPageBreak/>
        <w:t xml:space="preserve">the availability of the Standard Choice Offer (“SCO”) pricing mechanism </w:t>
      </w:r>
      <w:r>
        <w:t>from</w:t>
      </w:r>
      <w:r w:rsidRPr="00CC28AA">
        <w:t xml:space="preserve"> non-resi</w:t>
      </w:r>
      <w:r w:rsidR="002D565A">
        <w:softHyphen/>
      </w:r>
      <w:r w:rsidRPr="00CC28AA">
        <w:t xml:space="preserve">dential customers beginning April 1, 2013.  </w:t>
      </w:r>
      <w:r>
        <w:t>If the Joint Motion is approved</w:t>
      </w:r>
      <w:r w:rsidRPr="00CC28AA">
        <w:t xml:space="preserve">, </w:t>
      </w:r>
      <w:r>
        <w:t xml:space="preserve">Dominion’s </w:t>
      </w:r>
      <w:r w:rsidRPr="00CC28AA">
        <w:t>non-residential customers that are not participating in the Choice program or in a gov</w:t>
      </w:r>
      <w:r w:rsidR="002D565A">
        <w:softHyphen/>
      </w:r>
      <w:r w:rsidRPr="00CC28AA">
        <w:t>ernmental aggregation program would be assigned to a participating marketer on a rotat</w:t>
      </w:r>
      <w:r w:rsidR="002D565A">
        <w:softHyphen/>
      </w:r>
      <w:r w:rsidRPr="00CC28AA">
        <w:t>ing basis and would be served at that marketer’s Monthly Variable Rate (“MVR”).  A stipulation (“</w:t>
      </w:r>
      <w:r>
        <w:t xml:space="preserve">2012 </w:t>
      </w:r>
      <w:r w:rsidRPr="00CC28AA">
        <w:t>Stipulation”) was filed along with the Joint Motion, which was signed by Dominion, OGMG and the Ohio Consumers’ Counsel.  The Stipulation recommends that the Commission approve the modifications proposed in the Joint Motion and pro</w:t>
      </w:r>
      <w:r w:rsidR="002D565A">
        <w:softHyphen/>
      </w:r>
      <w:r w:rsidRPr="00CC28AA">
        <w:t xml:space="preserve">vides that Dominion will not </w:t>
      </w:r>
      <w:r>
        <w:t xml:space="preserve">request permission </w:t>
      </w:r>
      <w:r w:rsidRPr="00CC28AA">
        <w:t>to exit the merchant function for resi</w:t>
      </w:r>
      <w:r w:rsidR="002D565A">
        <w:softHyphen/>
      </w:r>
      <w:r w:rsidRPr="00CC28AA">
        <w:t xml:space="preserve">dential customers before April 1, 2015. </w:t>
      </w:r>
    </w:p>
    <w:p w:rsidR="00A35B09" w:rsidRDefault="00A35B09" w:rsidP="001F45A2">
      <w:pPr>
        <w:pStyle w:val="Heading1"/>
      </w:pPr>
      <w:bookmarkStart w:id="2" w:name="_Toc340565211"/>
      <w:r>
        <w:t>THE STAFF GENERALLY SUPPORTS THE JOINT MOTION AND STIPULATION.</w:t>
      </w:r>
      <w:bookmarkEnd w:id="2"/>
      <w:r w:rsidRPr="00AF6500">
        <w:t xml:space="preserve"> </w:t>
      </w:r>
    </w:p>
    <w:p w:rsidR="00A35B09" w:rsidRPr="00236758" w:rsidRDefault="00A35B09" w:rsidP="002F7201">
      <w:pPr>
        <w:pStyle w:val="TEXTSTYLE"/>
      </w:pPr>
      <w:r>
        <w:tab/>
      </w:r>
      <w:r w:rsidRPr="00236758">
        <w:t xml:space="preserve">Although Staff is not a signatory party to the </w:t>
      </w:r>
      <w:r>
        <w:t xml:space="preserve">2012 </w:t>
      </w:r>
      <w:r w:rsidRPr="00236758">
        <w:t>Stipulation, Staff generally sup</w:t>
      </w:r>
      <w:r w:rsidR="002D565A">
        <w:softHyphen/>
      </w:r>
      <w:r w:rsidRPr="00236758">
        <w:t xml:space="preserve">ports the Joint Motion and </w:t>
      </w:r>
      <w:r>
        <w:t xml:space="preserve">2012 </w:t>
      </w:r>
      <w:r w:rsidRPr="00236758">
        <w:t>Stipulation.</w:t>
      </w:r>
      <w:r>
        <w:rPr>
          <w:rStyle w:val="FootnoteReference"/>
        </w:rPr>
        <w:footnoteReference w:id="1"/>
      </w:r>
      <w:r w:rsidRPr="00236758">
        <w:t xml:space="preserve"> Staff proposes, however, that the Commis</w:t>
      </w:r>
      <w:r w:rsidR="002D565A">
        <w:softHyphen/>
      </w:r>
      <w:r w:rsidRPr="00236758">
        <w:t>sion adopt a number of Staff’s recommendation</w:t>
      </w:r>
      <w:r w:rsidR="00496DA6">
        <w:t>s</w:t>
      </w:r>
      <w:r w:rsidRPr="00236758">
        <w:t xml:space="preserve"> if it choses to ultimately approve the Joint Motion and Stipulation.  </w:t>
      </w:r>
    </w:p>
    <w:p w:rsidR="00A35B09" w:rsidRDefault="00A35B09" w:rsidP="00A35B09">
      <w:pPr>
        <w:pStyle w:val="Heading2"/>
      </w:pPr>
      <w:bookmarkStart w:id="3" w:name="_Toc340565212"/>
      <w:r>
        <w:lastRenderedPageBreak/>
        <w:t>A.</w:t>
      </w:r>
      <w:r>
        <w:tab/>
        <w:t>Dominion and the Marketers should ensure that customers are properly educated about Dominion’s exiting the mer</w:t>
      </w:r>
      <w:r w:rsidR="002D565A">
        <w:softHyphen/>
      </w:r>
      <w:r>
        <w:t>chant function.</w:t>
      </w:r>
      <w:bookmarkEnd w:id="3"/>
      <w:r>
        <w:t xml:space="preserve"> </w:t>
      </w:r>
    </w:p>
    <w:p w:rsidR="00A35B09" w:rsidRDefault="00A35B09" w:rsidP="00A35B09">
      <w:pPr>
        <w:pStyle w:val="Heading3"/>
      </w:pPr>
      <w:bookmarkStart w:id="4" w:name="_Toc340565213"/>
      <w:r>
        <w:t>1.</w:t>
      </w:r>
      <w:r>
        <w:tab/>
        <w:t>Dominion should implement a comprehensive con</w:t>
      </w:r>
      <w:r w:rsidR="002D565A">
        <w:softHyphen/>
      </w:r>
      <w:r>
        <w:t>sumer-education program in advance of any exit of the merchant function for non-residential customers.</w:t>
      </w:r>
      <w:bookmarkEnd w:id="4"/>
      <w:r>
        <w:t xml:space="preserve"> </w:t>
      </w:r>
    </w:p>
    <w:p w:rsidR="00A35B09" w:rsidRDefault="00A35B09" w:rsidP="002F7201">
      <w:pPr>
        <w:pStyle w:val="TEXTSTYLE"/>
      </w:pPr>
      <w:r>
        <w:tab/>
        <w:t>Dominion’s exit of the merchant function will lead to a fundamental change in cus</w:t>
      </w:r>
      <w:r w:rsidR="002D565A">
        <w:softHyphen/>
      </w:r>
      <w:r>
        <w:t xml:space="preserve">tomers’ relationship with Dominion.  </w:t>
      </w:r>
      <w:r w:rsidRPr="008A14DD">
        <w:t>In addition, s</w:t>
      </w:r>
      <w:r>
        <w:t xml:space="preserve">ome </w:t>
      </w:r>
      <w:r w:rsidR="00496DA6">
        <w:t xml:space="preserve">non-residential </w:t>
      </w:r>
      <w:r>
        <w:t xml:space="preserve">customers who are currently on </w:t>
      </w:r>
      <w:r w:rsidRPr="008A14DD">
        <w:t>the SCO tariff service may not be f</w:t>
      </w:r>
      <w:r>
        <w:t xml:space="preserve">amiliar with or educated about </w:t>
      </w:r>
      <w:r w:rsidRPr="008A14DD">
        <w:t>Ohio’s natural gas choice service or the natural gas commodity market in</w:t>
      </w:r>
      <w:r>
        <w:t xml:space="preserve"> </w:t>
      </w:r>
      <w:r w:rsidRPr="008A14DD">
        <w:t>general.</w:t>
      </w:r>
      <w:r>
        <w:rPr>
          <w:rStyle w:val="FootnoteReference"/>
        </w:rPr>
        <w:footnoteReference w:id="2"/>
      </w:r>
      <w:r>
        <w:t xml:space="preserve">  As such, it is important to ensure that customers are fully informed about how this next phase of Dominion’s exit will occur.  In order to properly educate customers, Dominion</w:t>
      </w:r>
      <w:r w:rsidRPr="00CC28AA">
        <w:t xml:space="preserve"> </w:t>
      </w:r>
      <w:r>
        <w:t>should implement</w:t>
      </w:r>
      <w:r w:rsidRPr="00CC28AA">
        <w:t xml:space="preserve"> a comprehensive consumer education program in advance of any exit</w:t>
      </w:r>
      <w:r>
        <w:t>.</w:t>
      </w:r>
      <w:r>
        <w:rPr>
          <w:rStyle w:val="FootnoteReference"/>
        </w:rPr>
        <w:footnoteReference w:id="3"/>
      </w:r>
      <w:r>
        <w:t xml:space="preserve">  As part of this consumer-education program, </w:t>
      </w:r>
      <w:r w:rsidRPr="00CC28AA">
        <w:t xml:space="preserve">Dominion </w:t>
      </w:r>
      <w:r>
        <w:t>should provide specific customer-</w:t>
      </w:r>
      <w:r w:rsidRPr="00CC28AA">
        <w:t xml:space="preserve">education material to all non-residential customers who are currently eligible for SCO tariff service.  </w:t>
      </w:r>
      <w:r>
        <w:t xml:space="preserve">Customers that will be </w:t>
      </w:r>
      <w:r w:rsidRPr="00CC28AA">
        <w:t xml:space="preserve">affected </w:t>
      </w:r>
      <w:r>
        <w:t>by Dominion’s exit should r</w:t>
      </w:r>
      <w:r w:rsidRPr="00CC28AA">
        <w:t xml:space="preserve">eceive at least two notices prior to </w:t>
      </w:r>
      <w:r>
        <w:t>the date the exit will become effective.</w:t>
      </w:r>
      <w:r>
        <w:rPr>
          <w:rStyle w:val="FootnoteReference"/>
        </w:rPr>
        <w:footnoteReference w:id="4"/>
      </w:r>
      <w:r>
        <w:t xml:space="preserve">   T</w:t>
      </w:r>
      <w:r w:rsidRPr="00CC28AA">
        <w:t xml:space="preserve">he last notice </w:t>
      </w:r>
      <w:r>
        <w:t xml:space="preserve">should be </w:t>
      </w:r>
      <w:r w:rsidRPr="00CC28AA">
        <w:t xml:space="preserve">sent at least 60 days prior to the </w:t>
      </w:r>
      <w:r>
        <w:t xml:space="preserve">date the exit becomes </w:t>
      </w:r>
      <w:r w:rsidRPr="00CC28AA">
        <w:t>effective</w:t>
      </w:r>
      <w:r>
        <w:t xml:space="preserve"> because </w:t>
      </w:r>
      <w:r w:rsidRPr="00CC28AA">
        <w:t xml:space="preserve">it can take up to two billing cycles for a customer’s natural gas supplier to be switched.  </w:t>
      </w:r>
    </w:p>
    <w:p w:rsidR="00A35B09" w:rsidRPr="00CC28AA" w:rsidRDefault="00A35B09" w:rsidP="002F7201">
      <w:pPr>
        <w:pStyle w:val="TEXTSTYLE"/>
      </w:pPr>
      <w:r>
        <w:lastRenderedPageBreak/>
        <w:tab/>
        <w:t xml:space="preserve">Staff believes that Dominion should notify customers by mail that </w:t>
      </w:r>
      <w:r w:rsidRPr="00CC28AA">
        <w:t>Dominion will no longer offer SCO tariff service to non-residenti</w:t>
      </w:r>
      <w:r>
        <w:t xml:space="preserve">al customers after </w:t>
      </w:r>
      <w:r w:rsidRPr="00CC28AA">
        <w:t>April 1, 2013</w:t>
      </w:r>
      <w:r>
        <w:t>.</w:t>
      </w:r>
      <w:r>
        <w:rPr>
          <w:rStyle w:val="FootnoteReference"/>
        </w:rPr>
        <w:footnoteReference w:id="5"/>
      </w:r>
      <w:r>
        <w:t xml:space="preserve">  The letter sent to customers should </w:t>
      </w:r>
      <w:r w:rsidRPr="00CC28AA">
        <w:t>include the following information:</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CC28AA">
        <w:rPr>
          <w:rFonts w:ascii="Times New Roman" w:eastAsia="Times New Roman" w:hAnsi="Times New Roman" w:cs="Times New Roman"/>
          <w:sz w:val="26"/>
          <w:szCs w:val="26"/>
        </w:rPr>
        <w:t xml:space="preserve">ustomers who have not selected a Certified Retail Natural Gas Suppliers (“CRNGS”) by April 1, 2013, will be removed from SCO service and DEO will assign those customers to an approved MVR supplier. </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CRNGS price of natural gas is not regulated by the PUCO.</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Pr="00CC28AA">
        <w:rPr>
          <w:rFonts w:ascii="Times New Roman" w:eastAsia="Times New Roman" w:hAnsi="Times New Roman" w:cs="Times New Roman"/>
          <w:sz w:val="26"/>
          <w:szCs w:val="26"/>
        </w:rPr>
        <w:t xml:space="preserve">MVR supplier is required to post its rate on the PUCO Apples to Apples chart. </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Any</w:t>
      </w:r>
      <w:r w:rsidRPr="00CC28AA">
        <w:rPr>
          <w:rFonts w:ascii="Times New Roman" w:eastAsia="Times New Roman" w:hAnsi="Times New Roman" w:cs="Times New Roman"/>
          <w:sz w:val="26"/>
          <w:szCs w:val="26"/>
        </w:rPr>
        <w:t xml:space="preserve"> customer whose natural gas supply has been assigned to an MVR sup</w:t>
      </w:r>
      <w:r w:rsidR="002D565A">
        <w:rPr>
          <w:rFonts w:ascii="Times New Roman" w:eastAsia="Times New Roman" w:hAnsi="Times New Roman" w:cs="Times New Roman"/>
          <w:sz w:val="26"/>
          <w:szCs w:val="26"/>
        </w:rPr>
        <w:softHyphen/>
      </w:r>
      <w:r w:rsidRPr="00CC28AA">
        <w:rPr>
          <w:rFonts w:ascii="Times New Roman" w:eastAsia="Times New Roman" w:hAnsi="Times New Roman" w:cs="Times New Roman"/>
          <w:sz w:val="26"/>
          <w:szCs w:val="26"/>
        </w:rPr>
        <w:t>plier may switch to another supplier at anytime without penalty.</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Pr="00CC28AA">
        <w:rPr>
          <w:rFonts w:ascii="Times New Roman" w:eastAsia="Times New Roman" w:hAnsi="Times New Roman" w:cs="Times New Roman"/>
          <w:sz w:val="26"/>
          <w:szCs w:val="26"/>
        </w:rPr>
        <w:t>t may take up to two billing cycles to switch a customer’s natural gas sup</w:t>
      </w:r>
      <w:r w:rsidR="002D565A">
        <w:rPr>
          <w:rFonts w:ascii="Times New Roman" w:eastAsia="Times New Roman" w:hAnsi="Times New Roman" w:cs="Times New Roman"/>
          <w:sz w:val="26"/>
          <w:szCs w:val="26"/>
        </w:rPr>
        <w:softHyphen/>
      </w:r>
      <w:r w:rsidRPr="00CC28AA">
        <w:rPr>
          <w:rFonts w:ascii="Times New Roman" w:eastAsia="Times New Roman" w:hAnsi="Times New Roman" w:cs="Times New Roman"/>
          <w:sz w:val="26"/>
          <w:szCs w:val="26"/>
        </w:rPr>
        <w:t>plier.</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Dominion will supply a list of the current CRNGS in its service territory or identify where to find a list of available CRNGS.</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CRNGS are required to follow the Ohio Administrative Code Chapter 4901:1-29, Minimum Standards for Competitive Retail Natural Gas Service.</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CC28AA">
        <w:rPr>
          <w:rFonts w:ascii="Times New Roman" w:eastAsia="Times New Roman" w:hAnsi="Times New Roman" w:cs="Times New Roman"/>
          <w:sz w:val="26"/>
          <w:szCs w:val="26"/>
        </w:rPr>
        <w:t>ustomers currently under contract with a CRNGS will not be impacted by this change, other than the fact that they are no longer eligible to return to Dominion’s SCO commodity tariff.</w:t>
      </w:r>
    </w:p>
    <w:p w:rsidR="00A35B09" w:rsidRPr="00CC28AA" w:rsidRDefault="00A35B09" w:rsidP="001260B4">
      <w:pPr>
        <w:numPr>
          <w:ilvl w:val="1"/>
          <w:numId w:val="1"/>
        </w:numPr>
        <w:spacing w:after="240" w:line="240" w:lineRule="auto"/>
        <w:ind w:left="1440" w:hanging="720"/>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Dominion will still supply the bill and maintain the natural gas pipes.</w:t>
      </w:r>
      <w:r w:rsidRPr="001260B4">
        <w:rPr>
          <w:rStyle w:val="FootnoteReference"/>
        </w:rPr>
        <w:footnoteReference w:id="6"/>
      </w:r>
    </w:p>
    <w:p w:rsidR="001260B4" w:rsidRDefault="001260B4" w:rsidP="002F7201">
      <w:pPr>
        <w:pStyle w:val="TEXTSTYLE"/>
      </w:pPr>
      <w:r>
        <w:br w:type="page"/>
      </w:r>
    </w:p>
    <w:p w:rsidR="00A35B09" w:rsidRDefault="00A35B09" w:rsidP="002F7201">
      <w:pPr>
        <w:pStyle w:val="TEXTSTYLE"/>
        <w:rPr>
          <w:rFonts w:eastAsia="Times New Roman"/>
          <w:szCs w:val="24"/>
        </w:rPr>
      </w:pPr>
      <w:r w:rsidRPr="00592DC6">
        <w:lastRenderedPageBreak/>
        <w:tab/>
      </w:r>
      <w:r>
        <w:t>In its Reply Comments, Dominion accepted Staff’s recommendation to provide customer-education materials.</w:t>
      </w:r>
      <w:r>
        <w:rPr>
          <w:rStyle w:val="FootnoteReference"/>
        </w:rPr>
        <w:footnoteReference w:id="7"/>
      </w:r>
      <w:r>
        <w:t xml:space="preserve">  </w:t>
      </w:r>
      <w:r w:rsidRPr="00592DC6">
        <w:t>Staff recommends that the Commission direct Dominion to wo</w:t>
      </w:r>
      <w:r>
        <w:t>rk with Staff to develop these customer-</w:t>
      </w:r>
      <w:r w:rsidRPr="00592DC6">
        <w:t>education material</w:t>
      </w:r>
      <w:r>
        <w:t>s</w:t>
      </w:r>
      <w:r w:rsidRPr="00592DC6">
        <w:t>.</w:t>
      </w:r>
      <w:r>
        <w:rPr>
          <w:rStyle w:val="FootnoteReference"/>
        </w:rPr>
        <w:footnoteReference w:id="8"/>
      </w:r>
      <w:r w:rsidRPr="00592DC6">
        <w:t xml:space="preserve">  </w:t>
      </w:r>
      <w:r>
        <w:t>A</w:t>
      </w:r>
      <w:r>
        <w:rPr>
          <w:rFonts w:eastAsia="Times New Roman"/>
          <w:szCs w:val="24"/>
        </w:rPr>
        <w:t>ssuming the Stipula</w:t>
      </w:r>
      <w:r w:rsidR="002D565A">
        <w:rPr>
          <w:rFonts w:eastAsia="Times New Roman"/>
          <w:szCs w:val="24"/>
        </w:rPr>
        <w:softHyphen/>
      </w:r>
      <w:r>
        <w:rPr>
          <w:rFonts w:eastAsia="Times New Roman"/>
          <w:szCs w:val="24"/>
        </w:rPr>
        <w:t xml:space="preserve">tion is </w:t>
      </w:r>
      <w:proofErr w:type="gramStart"/>
      <w:r>
        <w:rPr>
          <w:rFonts w:eastAsia="Times New Roman"/>
          <w:szCs w:val="24"/>
        </w:rPr>
        <w:t>approved,</w:t>
      </w:r>
      <w:proofErr w:type="gramEnd"/>
      <w:r>
        <w:rPr>
          <w:rFonts w:eastAsia="Times New Roman"/>
          <w:szCs w:val="24"/>
        </w:rPr>
        <w:t xml:space="preserve"> </w:t>
      </w:r>
      <w:r w:rsidRPr="00592DC6">
        <w:rPr>
          <w:rFonts w:eastAsia="Times New Roman"/>
          <w:szCs w:val="24"/>
        </w:rPr>
        <w:t xml:space="preserve">Staff </w:t>
      </w:r>
      <w:r>
        <w:rPr>
          <w:rFonts w:eastAsia="Times New Roman"/>
          <w:szCs w:val="24"/>
        </w:rPr>
        <w:t xml:space="preserve">recommends that Dominion meet with Staff within two weeks of the issuance of an Order to </w:t>
      </w:r>
      <w:r w:rsidRPr="00592DC6">
        <w:rPr>
          <w:rFonts w:eastAsia="Times New Roman"/>
          <w:szCs w:val="24"/>
        </w:rPr>
        <w:t>develop the</w:t>
      </w:r>
      <w:r>
        <w:rPr>
          <w:rFonts w:eastAsia="Times New Roman"/>
          <w:szCs w:val="24"/>
        </w:rPr>
        <w:t xml:space="preserve"> appropriate</w:t>
      </w:r>
      <w:r w:rsidRPr="00592DC6">
        <w:rPr>
          <w:rFonts w:eastAsia="Times New Roman"/>
          <w:szCs w:val="24"/>
        </w:rPr>
        <w:t xml:space="preserve"> educational materials.</w:t>
      </w:r>
      <w:r>
        <w:rPr>
          <w:rStyle w:val="FootnoteReference"/>
          <w:rFonts w:eastAsia="Times New Roman"/>
          <w:szCs w:val="24"/>
        </w:rPr>
        <w:footnoteReference w:id="9"/>
      </w:r>
      <w:r w:rsidRPr="00592DC6">
        <w:rPr>
          <w:rFonts w:eastAsia="Times New Roman"/>
          <w:szCs w:val="24"/>
        </w:rPr>
        <w:t xml:space="preserve">  </w:t>
      </w:r>
      <w:r>
        <w:rPr>
          <w:rFonts w:eastAsia="Times New Roman"/>
          <w:szCs w:val="24"/>
        </w:rPr>
        <w:t xml:space="preserve">Staff also recommends that, within 60 days of </w:t>
      </w:r>
      <w:r w:rsidR="00693A72">
        <w:rPr>
          <w:rFonts w:eastAsia="Times New Roman"/>
          <w:szCs w:val="24"/>
        </w:rPr>
        <w:t>the issuance of an Order</w:t>
      </w:r>
      <w:r>
        <w:rPr>
          <w:rFonts w:eastAsia="Times New Roman"/>
          <w:szCs w:val="24"/>
        </w:rPr>
        <w:t>, Dominion pro</w:t>
      </w:r>
      <w:r w:rsidR="002D565A">
        <w:rPr>
          <w:rFonts w:eastAsia="Times New Roman"/>
          <w:szCs w:val="24"/>
        </w:rPr>
        <w:softHyphen/>
      </w:r>
      <w:r>
        <w:rPr>
          <w:rFonts w:eastAsia="Times New Roman"/>
          <w:szCs w:val="24"/>
        </w:rPr>
        <w:t xml:space="preserve">vide Staff with the proposed educational materials and a </w:t>
      </w:r>
      <w:r w:rsidR="00FB5197">
        <w:rPr>
          <w:rFonts w:eastAsia="Times New Roman"/>
          <w:szCs w:val="24"/>
        </w:rPr>
        <w:t>schedule</w:t>
      </w:r>
      <w:r>
        <w:rPr>
          <w:rFonts w:eastAsia="Times New Roman"/>
          <w:szCs w:val="24"/>
        </w:rPr>
        <w:t xml:space="preserve"> that is consistent with the timelines recommended by Staff. </w:t>
      </w:r>
      <w:r>
        <w:rPr>
          <w:rStyle w:val="FootnoteReference"/>
          <w:rFonts w:eastAsia="Times New Roman"/>
          <w:szCs w:val="24"/>
        </w:rPr>
        <w:footnoteReference w:id="10"/>
      </w:r>
    </w:p>
    <w:p w:rsidR="00A35B09" w:rsidRDefault="00A35B09" w:rsidP="00A35B09">
      <w:pPr>
        <w:pStyle w:val="Heading3"/>
      </w:pPr>
      <w:bookmarkStart w:id="5" w:name="_Toc340565214"/>
      <w:r>
        <w:t>2.</w:t>
      </w:r>
      <w:r>
        <w:tab/>
        <w:t>MVR suppliers should be required to provide custom</w:t>
      </w:r>
      <w:r w:rsidR="002D565A">
        <w:softHyphen/>
      </w:r>
      <w:r>
        <w:t xml:space="preserve">ers </w:t>
      </w:r>
      <w:r w:rsidR="001E01CE">
        <w:t xml:space="preserve">with </w:t>
      </w:r>
      <w:r>
        <w:t>certain information regarding MVR rates.</w:t>
      </w:r>
      <w:bookmarkEnd w:id="5"/>
      <w:r>
        <w:t xml:space="preserve"> </w:t>
      </w:r>
    </w:p>
    <w:p w:rsidR="00A35B09" w:rsidRPr="00CC28AA" w:rsidRDefault="00A35B09" w:rsidP="002F7201">
      <w:pPr>
        <w:pStyle w:val="TEXTSTYLE"/>
      </w:pPr>
      <w:r>
        <w:rPr>
          <w:rFonts w:eastAsia="Times New Roman"/>
        </w:rPr>
        <w:tab/>
        <w:t xml:space="preserve">Staff </w:t>
      </w:r>
      <w:r>
        <w:t>also believes MVR suppliers should be required to provide certain educa</w:t>
      </w:r>
      <w:r w:rsidR="002D565A">
        <w:softHyphen/>
      </w:r>
      <w:r>
        <w:t xml:space="preserve">tional materials to customers.  </w:t>
      </w:r>
      <w:r w:rsidRPr="00CC28AA">
        <w:t xml:space="preserve">MVR supplier rates are typically different from </w:t>
      </w:r>
      <w:r>
        <w:t>supplier to supplier and may vary significantly.</w:t>
      </w:r>
      <w:r>
        <w:rPr>
          <w:rStyle w:val="FootnoteReference"/>
        </w:rPr>
        <w:footnoteReference w:id="11"/>
      </w:r>
      <w:r>
        <w:t xml:space="preserve">  Because of these potential price differences, it is important for customers to understand how the MVR is determined.  </w:t>
      </w:r>
      <w:r w:rsidRPr="00CC28AA">
        <w:t xml:space="preserve">Staff recommends that within the </w:t>
      </w:r>
      <w:r>
        <w:t xml:space="preserve">first month of MVR service, </w:t>
      </w:r>
      <w:r w:rsidRPr="00CC28AA">
        <w:t xml:space="preserve">MVR suppliers </w:t>
      </w:r>
      <w:r>
        <w:t xml:space="preserve">should </w:t>
      </w:r>
      <w:r w:rsidRPr="00CC28AA">
        <w:t xml:space="preserve">notify </w:t>
      </w:r>
      <w:r>
        <w:t xml:space="preserve">their </w:t>
      </w:r>
      <w:r w:rsidRPr="00CC28AA">
        <w:t xml:space="preserve">customers </w:t>
      </w:r>
      <w:r>
        <w:t>and explain how their MVR is determined.</w:t>
      </w:r>
      <w:r>
        <w:rPr>
          <w:rStyle w:val="FootnoteReference"/>
        </w:rPr>
        <w:footnoteReference w:id="12"/>
      </w:r>
      <w:r>
        <w:t xml:space="preserve">  In addition, MVR suppliers should inform </w:t>
      </w:r>
      <w:r>
        <w:lastRenderedPageBreak/>
        <w:t>customers that the M</w:t>
      </w:r>
      <w:r w:rsidRPr="00CC28AA">
        <w:t>VR is posted on the PUCO’s Apples to Apples chart monthly</w:t>
      </w:r>
      <w:r>
        <w:t xml:space="preserve"> </w:t>
      </w:r>
      <w:r w:rsidRPr="00CC28AA">
        <w:t xml:space="preserve">and </w:t>
      </w:r>
      <w:r>
        <w:t xml:space="preserve">notify the </w:t>
      </w:r>
      <w:r w:rsidRPr="00CC28AA">
        <w:t>customer</w:t>
      </w:r>
      <w:r>
        <w:t>s</w:t>
      </w:r>
      <w:r w:rsidRPr="00CC28AA">
        <w:t xml:space="preserve"> </w:t>
      </w:r>
      <w:r>
        <w:t xml:space="preserve">that they </w:t>
      </w:r>
      <w:r w:rsidRPr="00CC28AA">
        <w:t>may switch to another offered rate or CRNGS at anytime without penalty.</w:t>
      </w:r>
      <w:r>
        <w:rPr>
          <w:rStyle w:val="FootnoteReference"/>
        </w:rPr>
        <w:footnoteReference w:id="13"/>
      </w:r>
    </w:p>
    <w:p w:rsidR="00A35B09" w:rsidRDefault="00A35B09" w:rsidP="00A35B09">
      <w:pPr>
        <w:pStyle w:val="Heading3"/>
      </w:pPr>
      <w:bookmarkStart w:id="6" w:name="_Toc340565215"/>
      <w:r>
        <w:t>3.</w:t>
      </w:r>
      <w:r>
        <w:tab/>
        <w:t>Development of the customer-education materials should be funded through the customer-education fund established in Case No. 05-474-GA-ATA.</w:t>
      </w:r>
      <w:bookmarkEnd w:id="6"/>
      <w:r>
        <w:t xml:space="preserve">  </w:t>
      </w:r>
    </w:p>
    <w:p w:rsidR="00A35B09" w:rsidRDefault="00A35B09" w:rsidP="002F7201">
      <w:pPr>
        <w:pStyle w:val="TEXTSTYLE"/>
      </w:pPr>
      <w:r>
        <w:tab/>
      </w:r>
      <w:r w:rsidRPr="00CC28AA">
        <w:t xml:space="preserve">Staff recommends that the cost of </w:t>
      </w:r>
      <w:r>
        <w:t>developing this recommended customer-</w:t>
      </w:r>
      <w:r w:rsidRPr="00CC28AA">
        <w:t>educa</w:t>
      </w:r>
      <w:r w:rsidR="002D565A">
        <w:softHyphen/>
      </w:r>
      <w:r w:rsidRPr="00CC28AA">
        <w:t>tion material be funded through the $</w:t>
      </w:r>
      <w:r w:rsidRPr="00E90544">
        <w:t>14 million Dominion</w:t>
      </w:r>
      <w:r w:rsidRPr="00CC28AA">
        <w:t xml:space="preserve"> collected pursuant to the Stip</w:t>
      </w:r>
      <w:r w:rsidR="002D565A">
        <w:softHyphen/>
      </w:r>
      <w:r w:rsidRPr="00CC28AA">
        <w:t xml:space="preserve">ulation and Recommendation approved in </w:t>
      </w:r>
      <w:r>
        <w:t xml:space="preserve">Case No. </w:t>
      </w:r>
      <w:r w:rsidRPr="00CC28AA">
        <w:t>05-474-GA-ATA.</w:t>
      </w:r>
      <w:r w:rsidRPr="00CC28AA">
        <w:rPr>
          <w:vertAlign w:val="superscript"/>
        </w:rPr>
        <w:footnoteReference w:id="14"/>
      </w:r>
      <w:r>
        <w:t xml:space="preserve">  </w:t>
      </w:r>
      <w:r w:rsidR="00FB5197">
        <w:t xml:space="preserve">In Case No. 05-474-GA-ATA,  </w:t>
      </w:r>
      <w:r>
        <w:t xml:space="preserve">Dominion and a number of other signatory parties agreed that consumer education be would funded from “the amounts  attributable to the 1% accounts receivable discount…. and </w:t>
      </w:r>
      <w:r w:rsidR="00D639A8">
        <w:t>a n</w:t>
      </w:r>
      <w:r>
        <w:t>ew Program Cost Fee” that was applied to all suppliers participating in the Energy Choice program.</w:t>
      </w:r>
      <w:r>
        <w:rPr>
          <w:rStyle w:val="FootnoteReference"/>
        </w:rPr>
        <w:footnoteReference w:id="15"/>
      </w:r>
      <w:r w:rsidR="00D23EF9">
        <w:t xml:space="preserve">  </w:t>
      </w:r>
      <w:r>
        <w:t xml:space="preserve">The parties to the 2005 Stipulation agreed to cap this fund at $14 million.  Staff recommends that any customer-education program implemented by Dominion be funded using the customer-education funds as agreed to by parties to the 2005 Stipulation.  </w:t>
      </w:r>
    </w:p>
    <w:p w:rsidR="00A35B09" w:rsidRDefault="00A35B09" w:rsidP="00A35B09">
      <w:pPr>
        <w:pStyle w:val="Heading2"/>
      </w:pPr>
      <w:bookmarkStart w:id="7" w:name="_Toc340565216"/>
      <w:r>
        <w:lastRenderedPageBreak/>
        <w:t>B.</w:t>
      </w:r>
      <w:r>
        <w:tab/>
      </w:r>
      <w:r w:rsidRPr="004A3F36">
        <w:rPr>
          <w:rFonts w:cs="Times New Roman"/>
          <w:szCs w:val="28"/>
        </w:rPr>
        <w:t>Dominion should provide the Commission with information regarding the results of Dominion’s exit of the merchant function for non-residential customers</w:t>
      </w:r>
      <w:r>
        <w:rPr>
          <w:rFonts w:cs="Times New Roman"/>
          <w:szCs w:val="28"/>
        </w:rPr>
        <w:t>.</w:t>
      </w:r>
      <w:bookmarkEnd w:id="7"/>
      <w:r>
        <w:t xml:space="preserve">  </w:t>
      </w:r>
    </w:p>
    <w:p w:rsidR="00A35B09" w:rsidRDefault="00A35B09" w:rsidP="002F7201">
      <w:pPr>
        <w:pStyle w:val="TEXTSTYLE"/>
      </w:pPr>
      <w:r>
        <w:tab/>
        <w:t>If the Stipulation is granted, Dominion should provide information to the Commis</w:t>
      </w:r>
      <w:r w:rsidR="002D565A">
        <w:softHyphen/>
      </w:r>
      <w:r>
        <w:t>sion to help it evaluate and understand the consequences of Dominion’s exit from the merchant function for non-residential customers.  Dominion and the Marketers view Dominion’s exit of the merchant function for non-residential customer</w:t>
      </w:r>
      <w:r w:rsidR="00C76891">
        <w:t>s</w:t>
      </w:r>
      <w:r>
        <w:t xml:space="preserve"> as a necessary step in Dominion’s progression towards a fully competitive market.</w:t>
      </w:r>
      <w:r w:rsidR="00565082">
        <w:rPr>
          <w:rStyle w:val="FootnoteReference"/>
        </w:rPr>
        <w:footnoteReference w:id="16"/>
      </w:r>
      <w:r>
        <w:t xml:space="preserve">  The final step in Dominion’s exit of the merchant function would presumably be a full exit for residential customers.   Although Dominion, the Marketers, and OCC agreed not to request an exit of the merchant function</w:t>
      </w:r>
      <w:r w:rsidR="00C76891">
        <w:t xml:space="preserve"> for residential customers</w:t>
      </w:r>
      <w:r>
        <w:t xml:space="preserve"> before April 1, 2015</w:t>
      </w:r>
      <w:r w:rsidR="00C76891">
        <w:t>,</w:t>
      </w:r>
      <w:r>
        <w:rPr>
          <w:rStyle w:val="FootnoteReference"/>
        </w:rPr>
        <w:footnoteReference w:id="17"/>
      </w:r>
      <w:r>
        <w:t xml:space="preserve">  Dominion’s exit of the merchant function for non-residential customers, if granted, provides the Commission with an opportunity to observe the effects of Dominion’s continuing pro</w:t>
      </w:r>
      <w:r w:rsidR="002D565A">
        <w:softHyphen/>
      </w:r>
      <w:r>
        <w:t>gression towards full competition.  If Dominion and the Marketers are able to report to the Commission the results of Dominion’s exit for non-residential customers, the Com</w:t>
      </w:r>
      <w:r w:rsidR="002D565A">
        <w:softHyphen/>
      </w:r>
      <w:r>
        <w:t xml:space="preserve">mission will be more informed and prepared to decide whether any future request by Dominion </w:t>
      </w:r>
      <w:r w:rsidRPr="00501BA4">
        <w:t xml:space="preserve">to exit for residential customers is appropriate.   </w:t>
      </w:r>
      <w:r>
        <w:tab/>
      </w:r>
    </w:p>
    <w:p w:rsidR="00A35B09" w:rsidRDefault="00A35B09" w:rsidP="002F7201">
      <w:pPr>
        <w:pStyle w:val="TEXTSTYLE"/>
        <w:rPr>
          <w:rFonts w:eastAsia="Times New Roman"/>
        </w:rPr>
      </w:pPr>
      <w:r>
        <w:tab/>
        <w:t>OGMG and RESA’s witness, Teresa Ringenbach, testified regarding areas that should be studied by the Commission if the Stipulation is ultimately granted.</w:t>
      </w:r>
      <w:r w:rsidRPr="002F75EB">
        <w:rPr>
          <w:rFonts w:eastAsia="Times New Roman"/>
          <w:vertAlign w:val="superscript"/>
        </w:rPr>
        <w:t xml:space="preserve"> </w:t>
      </w:r>
      <w:r w:rsidRPr="002F75EB">
        <w:rPr>
          <w:rFonts w:eastAsia="Times New Roman"/>
          <w:vertAlign w:val="superscript"/>
        </w:rPr>
        <w:footnoteReference w:id="18"/>
      </w:r>
      <w:r w:rsidRPr="002F75EB">
        <w:rPr>
          <w:rFonts w:eastAsia="Times New Roman"/>
        </w:rPr>
        <w:t xml:space="preserve"> </w:t>
      </w:r>
      <w:r>
        <w:t xml:space="preserve">  Based </w:t>
      </w:r>
      <w:r>
        <w:lastRenderedPageBreak/>
        <w:t xml:space="preserve">upon Ms. Ringenbach’s assessment, Staff believes that the following information should be provided to the </w:t>
      </w:r>
      <w:r w:rsidRPr="002F75EB">
        <w:rPr>
          <w:rFonts w:eastAsia="Times New Roman"/>
        </w:rPr>
        <w:t xml:space="preserve">Commission </w:t>
      </w:r>
      <w:r>
        <w:rPr>
          <w:rFonts w:eastAsia="Times New Roman"/>
        </w:rPr>
        <w:t xml:space="preserve">to help the Commission analyze the effects of Dominion’s exit for non-residential customers:  </w:t>
      </w:r>
    </w:p>
    <w:p w:rsidR="00A35B09" w:rsidRDefault="00A35B09" w:rsidP="002D565A">
      <w:pPr>
        <w:pStyle w:val="ListParagraph"/>
        <w:numPr>
          <w:ilvl w:val="0"/>
          <w:numId w:val="9"/>
        </w:numPr>
        <w:autoSpaceDE w:val="0"/>
        <w:autoSpaceDN w:val="0"/>
        <w:adjustRightInd w:val="0"/>
        <w:spacing w:after="0" w:line="48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record of  the </w:t>
      </w:r>
      <w:r w:rsidRPr="00296DD8">
        <w:rPr>
          <w:rFonts w:ascii="Times New Roman" w:eastAsia="Times New Roman" w:hAnsi="Times New Roman" w:cs="Times New Roman"/>
          <w:sz w:val="26"/>
          <w:szCs w:val="26"/>
        </w:rPr>
        <w:t xml:space="preserve">number of </w:t>
      </w:r>
      <w:r w:rsidR="001E01CE">
        <w:rPr>
          <w:rFonts w:ascii="Times New Roman" w:eastAsia="Times New Roman" w:hAnsi="Times New Roman" w:cs="Times New Roman"/>
          <w:sz w:val="26"/>
          <w:szCs w:val="26"/>
        </w:rPr>
        <w:t>supplier</w:t>
      </w:r>
      <w:r w:rsidR="001315E7">
        <w:rPr>
          <w:rFonts w:ascii="Times New Roman" w:eastAsia="Times New Roman" w:hAnsi="Times New Roman" w:cs="Times New Roman"/>
          <w:sz w:val="26"/>
          <w:szCs w:val="26"/>
        </w:rPr>
        <w:t>s</w:t>
      </w:r>
      <w:r w:rsidR="001E01CE">
        <w:rPr>
          <w:rFonts w:ascii="Times New Roman" w:eastAsia="Times New Roman" w:hAnsi="Times New Roman" w:cs="Times New Roman"/>
          <w:sz w:val="26"/>
          <w:szCs w:val="26"/>
        </w:rPr>
        <w:t xml:space="preserve"> </w:t>
      </w:r>
      <w:r w:rsidRPr="00296DD8">
        <w:rPr>
          <w:rFonts w:ascii="Times New Roman" w:eastAsia="Times New Roman" w:hAnsi="Times New Roman" w:cs="Times New Roman"/>
          <w:sz w:val="26"/>
          <w:szCs w:val="26"/>
        </w:rPr>
        <w:t xml:space="preserve">participating </w:t>
      </w:r>
      <w:r w:rsidR="001E01CE">
        <w:rPr>
          <w:rFonts w:ascii="Times New Roman" w:eastAsia="Times New Roman" w:hAnsi="Times New Roman" w:cs="Times New Roman"/>
          <w:sz w:val="26"/>
          <w:szCs w:val="26"/>
        </w:rPr>
        <w:t xml:space="preserve">in Dominion’s territory </w:t>
      </w:r>
      <w:r>
        <w:rPr>
          <w:rFonts w:ascii="Times New Roman" w:eastAsia="Times New Roman" w:hAnsi="Times New Roman" w:cs="Times New Roman"/>
          <w:sz w:val="26"/>
          <w:szCs w:val="26"/>
        </w:rPr>
        <w:t xml:space="preserve">over the next three years in order to determine whether there have been </w:t>
      </w:r>
      <w:r w:rsidRPr="00296DD8">
        <w:rPr>
          <w:rFonts w:ascii="Times New Roman" w:eastAsia="Times New Roman" w:hAnsi="Times New Roman" w:cs="Times New Roman"/>
          <w:sz w:val="26"/>
          <w:szCs w:val="26"/>
        </w:rPr>
        <w:t xml:space="preserve">increases or decreases </w:t>
      </w:r>
      <w:r>
        <w:rPr>
          <w:rFonts w:ascii="Times New Roman" w:eastAsia="Times New Roman" w:hAnsi="Times New Roman" w:cs="Times New Roman"/>
          <w:sz w:val="26"/>
          <w:szCs w:val="26"/>
        </w:rPr>
        <w:t xml:space="preserve">in supplier participation; </w:t>
      </w:r>
    </w:p>
    <w:p w:rsidR="00A35B09" w:rsidRDefault="00A35B09" w:rsidP="002D565A">
      <w:pPr>
        <w:pStyle w:val="ListParagraph"/>
        <w:numPr>
          <w:ilvl w:val="0"/>
          <w:numId w:val="9"/>
        </w:numPr>
        <w:autoSpaceDE w:val="0"/>
        <w:autoSpaceDN w:val="0"/>
        <w:adjustRightInd w:val="0"/>
        <w:spacing w:after="0" w:line="48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record of the </w:t>
      </w:r>
      <w:r w:rsidRPr="00296DD8">
        <w:rPr>
          <w:rFonts w:ascii="Times New Roman" w:eastAsia="Times New Roman" w:hAnsi="Times New Roman" w:cs="Times New Roman"/>
          <w:sz w:val="26"/>
          <w:szCs w:val="26"/>
        </w:rPr>
        <w:t>number and type of various supplier offe</w:t>
      </w:r>
      <w:r>
        <w:rPr>
          <w:rFonts w:ascii="Times New Roman" w:eastAsia="Times New Roman" w:hAnsi="Times New Roman" w:cs="Times New Roman"/>
          <w:sz w:val="26"/>
          <w:szCs w:val="26"/>
        </w:rPr>
        <w:t xml:space="preserve">rs of new products and services; </w:t>
      </w:r>
    </w:p>
    <w:p w:rsidR="00A35B09" w:rsidRDefault="00A35B09" w:rsidP="002D565A">
      <w:pPr>
        <w:pStyle w:val="ListParagraph"/>
        <w:numPr>
          <w:ilvl w:val="0"/>
          <w:numId w:val="9"/>
        </w:numPr>
        <w:autoSpaceDE w:val="0"/>
        <w:autoSpaceDN w:val="0"/>
        <w:adjustRightInd w:val="0"/>
        <w:spacing w:after="0" w:line="480"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A record of customer</w:t>
      </w:r>
      <w:r w:rsidRPr="00296DD8">
        <w:rPr>
          <w:rFonts w:ascii="Times New Roman" w:eastAsia="Times New Roman" w:hAnsi="Times New Roman" w:cs="Times New Roman"/>
          <w:sz w:val="26"/>
          <w:szCs w:val="26"/>
        </w:rPr>
        <w:t xml:space="preserve"> participation </w:t>
      </w:r>
      <w:r>
        <w:rPr>
          <w:rFonts w:ascii="Times New Roman" w:eastAsia="Times New Roman" w:hAnsi="Times New Roman" w:cs="Times New Roman"/>
          <w:sz w:val="26"/>
          <w:szCs w:val="26"/>
        </w:rPr>
        <w:t xml:space="preserve">levels in new supplier product and service offerings; </w:t>
      </w:r>
    </w:p>
    <w:p w:rsidR="00A35B09" w:rsidRDefault="00A35B09" w:rsidP="002D565A">
      <w:pPr>
        <w:pStyle w:val="ListParagraph"/>
        <w:numPr>
          <w:ilvl w:val="0"/>
          <w:numId w:val="9"/>
        </w:numPr>
        <w:autoSpaceDE w:val="0"/>
        <w:autoSpaceDN w:val="0"/>
        <w:adjustRightInd w:val="0"/>
        <w:spacing w:after="0" w:line="480" w:lineRule="auto"/>
        <w:ind w:left="1440" w:hanging="720"/>
        <w:rPr>
          <w:rFonts w:ascii="Times New Roman" w:eastAsia="Times New Roman" w:hAnsi="Times New Roman" w:cs="Times New Roman"/>
          <w:sz w:val="26"/>
          <w:szCs w:val="26"/>
        </w:rPr>
      </w:pPr>
      <w:r w:rsidRPr="002541E6">
        <w:rPr>
          <w:rFonts w:ascii="Times New Roman" w:eastAsia="Times New Roman" w:hAnsi="Times New Roman" w:cs="Times New Roman"/>
          <w:sz w:val="26"/>
          <w:szCs w:val="26"/>
        </w:rPr>
        <w:t>An analysis of any increased investment in Ohio by supplier</w:t>
      </w:r>
      <w:r>
        <w:rPr>
          <w:rFonts w:ascii="Times New Roman" w:eastAsia="Times New Roman" w:hAnsi="Times New Roman" w:cs="Times New Roman"/>
          <w:sz w:val="26"/>
          <w:szCs w:val="26"/>
        </w:rPr>
        <w:t>s that was</w:t>
      </w:r>
      <w:r w:rsidRPr="002541E6">
        <w:rPr>
          <w:rFonts w:ascii="Times New Roman" w:eastAsia="Times New Roman" w:hAnsi="Times New Roman" w:cs="Times New Roman"/>
          <w:sz w:val="26"/>
          <w:szCs w:val="26"/>
        </w:rPr>
        <w:t xml:space="preserve"> caused by Dominion’s exit </w:t>
      </w:r>
      <w:r>
        <w:rPr>
          <w:rFonts w:ascii="Times New Roman" w:eastAsia="Times New Roman" w:hAnsi="Times New Roman" w:cs="Times New Roman"/>
          <w:sz w:val="26"/>
          <w:szCs w:val="26"/>
        </w:rPr>
        <w:t xml:space="preserve">of </w:t>
      </w:r>
      <w:r w:rsidRPr="002541E6">
        <w:rPr>
          <w:rFonts w:ascii="Times New Roman" w:eastAsia="Times New Roman" w:hAnsi="Times New Roman" w:cs="Times New Roman"/>
          <w:sz w:val="26"/>
          <w:szCs w:val="26"/>
        </w:rPr>
        <w:t xml:space="preserve">the merchant function for non-residential customers; and </w:t>
      </w:r>
    </w:p>
    <w:p w:rsidR="00A35B09" w:rsidRPr="002541E6" w:rsidRDefault="00A35B09" w:rsidP="002D565A">
      <w:pPr>
        <w:pStyle w:val="ListParagraph"/>
        <w:numPr>
          <w:ilvl w:val="0"/>
          <w:numId w:val="9"/>
        </w:numPr>
        <w:autoSpaceDE w:val="0"/>
        <w:autoSpaceDN w:val="0"/>
        <w:adjustRightInd w:val="0"/>
        <w:spacing w:after="0" w:line="480" w:lineRule="auto"/>
        <w:ind w:left="1440" w:hanging="720"/>
        <w:rPr>
          <w:rFonts w:ascii="Times New Roman" w:eastAsia="Times New Roman" w:hAnsi="Times New Roman" w:cs="Times New Roman"/>
          <w:sz w:val="26"/>
          <w:szCs w:val="26"/>
        </w:rPr>
      </w:pPr>
      <w:r w:rsidRPr="002541E6">
        <w:rPr>
          <w:rFonts w:ascii="Times New Roman" w:eastAsia="Times New Roman" w:hAnsi="Times New Roman" w:cs="Times New Roman"/>
          <w:sz w:val="26"/>
          <w:szCs w:val="26"/>
        </w:rPr>
        <w:t>Specific customer billing determinants</w:t>
      </w:r>
      <w:r w:rsidR="00054435">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19"/>
      </w:r>
    </w:p>
    <w:p w:rsidR="00A35B09" w:rsidRPr="002541E6" w:rsidRDefault="00A35B09" w:rsidP="00A35B09">
      <w:pPr>
        <w:autoSpaceDE w:val="0"/>
        <w:autoSpaceDN w:val="0"/>
        <w:adjustRightInd w:val="0"/>
        <w:spacing w:after="0" w:line="480" w:lineRule="auto"/>
        <w:rPr>
          <w:rFonts w:ascii="Times New Roman" w:eastAsia="Times New Roman" w:hAnsi="Times New Roman" w:cs="Times New Roman"/>
          <w:sz w:val="26"/>
          <w:szCs w:val="26"/>
        </w:rPr>
      </w:pPr>
      <w:r w:rsidRPr="002541E6">
        <w:rPr>
          <w:rFonts w:ascii="Times New Roman" w:eastAsia="Times New Roman" w:hAnsi="Times New Roman" w:cs="Times New Roman"/>
          <w:sz w:val="26"/>
          <w:szCs w:val="26"/>
        </w:rPr>
        <w:tab/>
        <w:t xml:space="preserve">Supplying this information to the Commission will </w:t>
      </w:r>
      <w:r>
        <w:rPr>
          <w:rFonts w:ascii="Times New Roman" w:eastAsia="Times New Roman" w:hAnsi="Times New Roman" w:cs="Times New Roman"/>
          <w:sz w:val="26"/>
          <w:szCs w:val="26"/>
        </w:rPr>
        <w:t xml:space="preserve">help the Commission make a more informed decision regarding any potential request by Dominion to exit the merchant function for residential customers.  </w:t>
      </w:r>
    </w:p>
    <w:p w:rsidR="00A35B09" w:rsidRPr="00873BB7" w:rsidRDefault="00A35B09" w:rsidP="001F45A2">
      <w:pPr>
        <w:pStyle w:val="Heading1"/>
      </w:pPr>
      <w:bookmarkStart w:id="8" w:name="_Toc340565217"/>
      <w:r w:rsidRPr="00873BB7">
        <w:lastRenderedPageBreak/>
        <w:t xml:space="preserve">THE COMMISSION MAINTAINS </w:t>
      </w:r>
      <w:r>
        <w:t xml:space="preserve">THE </w:t>
      </w:r>
      <w:r w:rsidRPr="00873BB7">
        <w:t>JURISDICTION TO ABROGATE OR MODIFY ITS EXEMPTION ORDER PURSUANT TO R.C. 4929.08.</w:t>
      </w:r>
      <w:bookmarkEnd w:id="8"/>
      <w:r w:rsidRPr="00873BB7">
        <w:t xml:space="preserve">  </w:t>
      </w:r>
    </w:p>
    <w:p w:rsidR="00A35B09" w:rsidRDefault="00A35B09" w:rsidP="00A35B09">
      <w:pPr>
        <w:spacing w:line="480" w:lineRule="auto"/>
        <w:rPr>
          <w:rFonts w:ascii="Times New Roman" w:hAnsi="Times New Roman" w:cs="Times New Roman"/>
          <w:sz w:val="26"/>
          <w:szCs w:val="26"/>
        </w:rPr>
      </w:pPr>
      <w:r>
        <w:tab/>
      </w:r>
      <w:r w:rsidRPr="004A3F36">
        <w:rPr>
          <w:rFonts w:ascii="Times New Roman" w:hAnsi="Times New Roman" w:cs="Times New Roman"/>
          <w:sz w:val="26"/>
          <w:szCs w:val="26"/>
        </w:rPr>
        <w:t xml:space="preserve">In its Initial Comments, Staff requested that the Commission clarify that </w:t>
      </w:r>
      <w:r>
        <w:rPr>
          <w:rFonts w:ascii="Times New Roman" w:hAnsi="Times New Roman" w:cs="Times New Roman"/>
          <w:sz w:val="26"/>
          <w:szCs w:val="26"/>
        </w:rPr>
        <w:t>“</w:t>
      </w:r>
      <w:r w:rsidRPr="004A3F36">
        <w:rPr>
          <w:rFonts w:ascii="Times New Roman" w:hAnsi="Times New Roman" w:cs="Times New Roman"/>
          <w:sz w:val="26"/>
          <w:szCs w:val="26"/>
        </w:rPr>
        <w:t>nothing precludes the Commission from re-establishing the SCO or other pricing mechanism if it determines that Dominion’s exit is unjust or unreasonable for non-residential or residen</w:t>
      </w:r>
      <w:r w:rsidR="002D565A">
        <w:rPr>
          <w:rFonts w:ascii="Times New Roman" w:hAnsi="Times New Roman" w:cs="Times New Roman"/>
          <w:sz w:val="26"/>
          <w:szCs w:val="26"/>
        </w:rPr>
        <w:softHyphen/>
      </w:r>
      <w:r w:rsidRPr="004A3F36">
        <w:rPr>
          <w:rFonts w:ascii="Times New Roman" w:hAnsi="Times New Roman" w:cs="Times New Roman"/>
          <w:sz w:val="26"/>
          <w:szCs w:val="26"/>
        </w:rPr>
        <w:t>tial customers.”</w:t>
      </w:r>
      <w:r w:rsidRPr="004A3F36">
        <w:rPr>
          <w:rFonts w:ascii="Times New Roman" w:hAnsi="Times New Roman" w:cs="Times New Roman"/>
          <w:sz w:val="26"/>
          <w:szCs w:val="26"/>
          <w:vertAlign w:val="superscript"/>
        </w:rPr>
        <w:footnoteReference w:id="20"/>
      </w:r>
      <w:r w:rsidRPr="004A3F36">
        <w:rPr>
          <w:rFonts w:ascii="Times New Roman" w:hAnsi="Times New Roman" w:cs="Times New Roman"/>
          <w:sz w:val="26"/>
          <w:szCs w:val="26"/>
        </w:rPr>
        <w:t xml:space="preserve">  </w:t>
      </w:r>
      <w:r>
        <w:rPr>
          <w:rFonts w:ascii="Times New Roman" w:hAnsi="Times New Roman" w:cs="Times New Roman"/>
          <w:sz w:val="26"/>
          <w:szCs w:val="26"/>
        </w:rPr>
        <w:t xml:space="preserve">In reply, </w:t>
      </w:r>
      <w:r w:rsidRPr="004A3F36">
        <w:rPr>
          <w:rFonts w:ascii="Times New Roman" w:hAnsi="Times New Roman" w:cs="Times New Roman"/>
          <w:sz w:val="26"/>
          <w:szCs w:val="26"/>
        </w:rPr>
        <w:t xml:space="preserve">Dominion indicated that it “does not disagree with the broader thrust of this comment” by Staff but “recommends that the Order in this case </w:t>
      </w:r>
      <w:r w:rsidR="00BE3D3C">
        <w:rPr>
          <w:rFonts w:ascii="Times New Roman" w:hAnsi="Times New Roman" w:cs="Times New Roman"/>
          <w:sz w:val="26"/>
          <w:szCs w:val="26"/>
        </w:rPr>
        <w:t xml:space="preserve">… </w:t>
      </w:r>
      <w:r w:rsidRPr="004A3F36">
        <w:rPr>
          <w:rFonts w:ascii="Times New Roman" w:hAnsi="Times New Roman" w:cs="Times New Roman"/>
          <w:sz w:val="26"/>
          <w:szCs w:val="26"/>
        </w:rPr>
        <w:t>state, in effect, that the Commission retains authority to modify or abrogate the order in this case as set forth in R.C. 4929.08.”</w:t>
      </w:r>
      <w:r w:rsidRPr="004A3F36">
        <w:rPr>
          <w:rFonts w:ascii="Times New Roman" w:hAnsi="Times New Roman" w:cs="Times New Roman"/>
          <w:sz w:val="26"/>
          <w:szCs w:val="26"/>
          <w:vertAlign w:val="superscript"/>
        </w:rPr>
        <w:footnoteReference w:id="21"/>
      </w:r>
      <w:r w:rsidRPr="004A3F36">
        <w:rPr>
          <w:rFonts w:ascii="Times New Roman" w:hAnsi="Times New Roman" w:cs="Times New Roman"/>
          <w:sz w:val="26"/>
          <w:szCs w:val="26"/>
        </w:rPr>
        <w:t xml:space="preserve">  Staff acknowledges that R.C. 4929.08 sets forth certain requirements that must be met before the Commission can modify an exemption order.  That being said, Staff believes it would be helpful for customers to understand that the Commission will continue to monitor Dominion’s exit from the mer</w:t>
      </w:r>
      <w:r w:rsidR="002D565A">
        <w:rPr>
          <w:rFonts w:ascii="Times New Roman" w:hAnsi="Times New Roman" w:cs="Times New Roman"/>
          <w:sz w:val="26"/>
          <w:szCs w:val="26"/>
        </w:rPr>
        <w:softHyphen/>
      </w:r>
      <w:r w:rsidRPr="004A3F36">
        <w:rPr>
          <w:rFonts w:ascii="Times New Roman" w:hAnsi="Times New Roman" w:cs="Times New Roman"/>
          <w:sz w:val="26"/>
          <w:szCs w:val="26"/>
        </w:rPr>
        <w:t xml:space="preserve">chant function in the future and, within the confines of the law, will ensure </w:t>
      </w:r>
      <w:r>
        <w:rPr>
          <w:rFonts w:ascii="Times New Roman" w:hAnsi="Times New Roman" w:cs="Times New Roman"/>
          <w:sz w:val="26"/>
          <w:szCs w:val="26"/>
        </w:rPr>
        <w:t xml:space="preserve">that </w:t>
      </w:r>
      <w:r w:rsidRPr="004A3F36">
        <w:rPr>
          <w:rFonts w:ascii="Times New Roman" w:hAnsi="Times New Roman" w:cs="Times New Roman"/>
          <w:sz w:val="26"/>
          <w:szCs w:val="26"/>
        </w:rPr>
        <w:t xml:space="preserve">the </w:t>
      </w:r>
      <w:r>
        <w:rPr>
          <w:rFonts w:ascii="Times New Roman" w:hAnsi="Times New Roman" w:cs="Times New Roman"/>
          <w:sz w:val="26"/>
          <w:szCs w:val="26"/>
        </w:rPr>
        <w:t xml:space="preserve">exit is in the public interest.  </w:t>
      </w:r>
      <w:r w:rsidR="00861D1A">
        <w:rPr>
          <w:rFonts w:ascii="Times New Roman" w:hAnsi="Times New Roman" w:cs="Times New Roman"/>
          <w:sz w:val="26"/>
          <w:szCs w:val="26"/>
        </w:rPr>
        <w:t>Staff requests</w:t>
      </w:r>
      <w:r>
        <w:rPr>
          <w:rFonts w:ascii="Times New Roman" w:hAnsi="Times New Roman" w:cs="Times New Roman"/>
          <w:sz w:val="26"/>
          <w:szCs w:val="26"/>
        </w:rPr>
        <w:t xml:space="preserve"> that the Commission make this clear by including such a statement in any Order issued in this case. </w:t>
      </w:r>
    </w:p>
    <w:p w:rsidR="001260B4" w:rsidRDefault="001260B4" w:rsidP="00A35B09">
      <w:pPr>
        <w:spacing w:line="480" w:lineRule="auto"/>
        <w:rPr>
          <w:rFonts w:ascii="Times New Roman" w:hAnsi="Times New Roman" w:cs="Times New Roman"/>
          <w:sz w:val="26"/>
          <w:szCs w:val="26"/>
        </w:rPr>
      </w:pPr>
    </w:p>
    <w:p w:rsidR="001260B4" w:rsidRPr="004A3F36" w:rsidRDefault="001260B4" w:rsidP="00A35B09">
      <w:pPr>
        <w:spacing w:line="480" w:lineRule="auto"/>
        <w:rPr>
          <w:rFonts w:ascii="Times New Roman" w:hAnsi="Times New Roman" w:cs="Times New Roman"/>
          <w:sz w:val="26"/>
          <w:szCs w:val="26"/>
        </w:rPr>
      </w:pPr>
    </w:p>
    <w:p w:rsidR="00A35B09" w:rsidRDefault="00A35B09" w:rsidP="001F45A2">
      <w:pPr>
        <w:pStyle w:val="Heading1"/>
      </w:pPr>
      <w:bookmarkStart w:id="9" w:name="_Toc340565218"/>
      <w:r>
        <w:lastRenderedPageBreak/>
        <w:t>CONCLUSION</w:t>
      </w:r>
      <w:bookmarkEnd w:id="9"/>
      <w:r>
        <w:t xml:space="preserve"> </w:t>
      </w:r>
    </w:p>
    <w:p w:rsidR="00A35B09" w:rsidRDefault="00A35B09" w:rsidP="002F7201">
      <w:pPr>
        <w:pStyle w:val="TEXTSTYLE"/>
      </w:pPr>
      <w:r w:rsidRPr="00CC28AA">
        <w:tab/>
        <w:t xml:space="preserve">Subject to the foregoing recommendations, Staff supports and recommends that the Commission adopt the Joint Motion and Stipulation.    </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Respectfully Submitted,</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b/>
          <w:sz w:val="26"/>
          <w:szCs w:val="26"/>
        </w:rPr>
      </w:pPr>
      <w:r w:rsidRPr="00CC28AA">
        <w:rPr>
          <w:rFonts w:ascii="Times New Roman" w:eastAsia="Times New Roman" w:hAnsi="Times New Roman" w:cs="Times New Roman"/>
          <w:b/>
          <w:sz w:val="26"/>
          <w:szCs w:val="26"/>
        </w:rPr>
        <w:t xml:space="preserve">Michael DeWine </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Attorney General</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r w:rsidRPr="00CC28AA">
        <w:rPr>
          <w:rFonts w:ascii="Times New Roman" w:eastAsia="Times New Roman" w:hAnsi="Times New Roman" w:cs="Times New Roman"/>
          <w:b/>
          <w:sz w:val="26"/>
          <w:szCs w:val="26"/>
        </w:rPr>
        <w:t>William L. Wright</w:t>
      </w:r>
      <w:r w:rsidRPr="00CC28AA">
        <w:rPr>
          <w:rFonts w:ascii="Times New Roman" w:eastAsia="Times New Roman" w:hAnsi="Times New Roman" w:cs="Times New Roman"/>
          <w:sz w:val="26"/>
          <w:szCs w:val="26"/>
        </w:rPr>
        <w:t>, Section Chief</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r w:rsidRPr="00CC28AA">
        <w:rPr>
          <w:rFonts w:ascii="Times New Roman" w:eastAsia="Times New Roman" w:hAnsi="Times New Roman" w:cs="Times New Roman"/>
          <w:sz w:val="26"/>
          <w:szCs w:val="26"/>
        </w:rPr>
        <w:t>Public Utilities Section</w:t>
      </w: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p>
    <w:p w:rsidR="00A35B09" w:rsidRPr="00CC28AA" w:rsidRDefault="00A35B09" w:rsidP="00A35B09">
      <w:pPr>
        <w:tabs>
          <w:tab w:val="left" w:pos="9360"/>
        </w:tabs>
        <w:spacing w:after="0" w:line="240" w:lineRule="auto"/>
        <w:ind w:left="4320"/>
        <w:jc w:val="both"/>
        <w:rPr>
          <w:rFonts w:ascii="Times New Roman" w:eastAsia="Times New Roman" w:hAnsi="Times New Roman" w:cs="Times New Roman"/>
          <w:sz w:val="26"/>
          <w:szCs w:val="26"/>
        </w:rPr>
      </w:pPr>
    </w:p>
    <w:p w:rsidR="002D565A" w:rsidRDefault="002D565A" w:rsidP="002D565A">
      <w:pPr>
        <w:tabs>
          <w:tab w:val="left" w:pos="9360"/>
        </w:tabs>
        <w:spacing w:after="0" w:line="240" w:lineRule="auto"/>
        <w:ind w:left="4320"/>
        <w:rPr>
          <w:rFonts w:ascii="Viner Hand ITC" w:hAnsi="Viner Hand ITC" w:cs="Times New Roman"/>
          <w:sz w:val="26"/>
          <w:szCs w:val="26"/>
          <w:u w:val="single"/>
        </w:rPr>
      </w:pPr>
      <w:r w:rsidRPr="002D565A">
        <w:rPr>
          <w:rFonts w:ascii="Viner Hand ITC" w:hAnsi="Viner Hand ITC" w:cs="Times New Roman"/>
          <w:sz w:val="26"/>
          <w:szCs w:val="26"/>
          <w:u w:val="single"/>
        </w:rPr>
        <w:t>/s/ Devin D. Parram</w:t>
      </w:r>
      <w:r>
        <w:rPr>
          <w:rFonts w:ascii="Viner Hand ITC" w:hAnsi="Viner Hand ITC" w:cs="Times New Roman"/>
          <w:sz w:val="26"/>
          <w:szCs w:val="26"/>
          <w:u w:val="single"/>
        </w:rPr>
        <w:tab/>
      </w:r>
    </w:p>
    <w:p w:rsidR="00A35B09" w:rsidRPr="00CC28AA" w:rsidRDefault="00A35B09" w:rsidP="00A35B09">
      <w:pPr>
        <w:spacing w:after="0" w:line="240" w:lineRule="auto"/>
        <w:ind w:left="4320"/>
        <w:rPr>
          <w:rFonts w:ascii="Times New Roman" w:hAnsi="Times New Roman" w:cs="Times New Roman"/>
          <w:b/>
          <w:sz w:val="26"/>
          <w:szCs w:val="26"/>
        </w:rPr>
      </w:pPr>
      <w:r w:rsidRPr="00CC28AA">
        <w:rPr>
          <w:rFonts w:ascii="Times New Roman" w:hAnsi="Times New Roman" w:cs="Times New Roman"/>
          <w:b/>
          <w:sz w:val="26"/>
          <w:szCs w:val="26"/>
        </w:rPr>
        <w:t>Devin D. Parram</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Assistant Attorney General</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Public Utilities Section</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180 East Broad Street, 6</w:t>
      </w:r>
      <w:r w:rsidRPr="00CC28AA">
        <w:rPr>
          <w:rFonts w:ascii="Times New Roman" w:hAnsi="Times New Roman" w:cs="Times New Roman"/>
          <w:sz w:val="26"/>
          <w:szCs w:val="26"/>
          <w:vertAlign w:val="superscript"/>
        </w:rPr>
        <w:t>th</w:t>
      </w:r>
      <w:r w:rsidRPr="00CC28AA">
        <w:rPr>
          <w:rFonts w:ascii="Times New Roman" w:hAnsi="Times New Roman" w:cs="Times New Roman"/>
          <w:sz w:val="26"/>
          <w:szCs w:val="26"/>
        </w:rPr>
        <w:t xml:space="preserve"> Floor</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Columbus, Ohio  43215</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Telephone: (614) 644-8599</w:t>
      </w:r>
    </w:p>
    <w:p w:rsidR="00A35B09" w:rsidRPr="00CC28AA" w:rsidRDefault="00A35B09" w:rsidP="00A35B09">
      <w:pPr>
        <w:spacing w:after="0" w:line="240" w:lineRule="auto"/>
        <w:ind w:left="4320"/>
        <w:rPr>
          <w:rFonts w:ascii="Times New Roman" w:hAnsi="Times New Roman" w:cs="Times New Roman"/>
          <w:sz w:val="26"/>
          <w:szCs w:val="26"/>
        </w:rPr>
      </w:pPr>
      <w:r w:rsidRPr="00CC28AA">
        <w:rPr>
          <w:rFonts w:ascii="Times New Roman" w:hAnsi="Times New Roman" w:cs="Times New Roman"/>
          <w:sz w:val="26"/>
          <w:szCs w:val="26"/>
        </w:rPr>
        <w:t>Facsimile:  (614) 644-8764</w:t>
      </w:r>
    </w:p>
    <w:p w:rsidR="00A35B09" w:rsidRPr="00CC28AA" w:rsidRDefault="00906DA0" w:rsidP="00A35B09">
      <w:pPr>
        <w:spacing w:after="0" w:line="240" w:lineRule="auto"/>
        <w:ind w:left="4320"/>
        <w:rPr>
          <w:rFonts w:ascii="Times New Roman" w:hAnsi="Times New Roman" w:cs="Times New Roman"/>
          <w:sz w:val="26"/>
          <w:szCs w:val="26"/>
        </w:rPr>
      </w:pPr>
      <w:hyperlink r:id="rId14" w:history="1">
        <w:r w:rsidR="00A35B09" w:rsidRPr="00CC28AA">
          <w:rPr>
            <w:rFonts w:ascii="Times New Roman" w:hAnsi="Times New Roman" w:cs="Times New Roman"/>
            <w:color w:val="0000FF" w:themeColor="hyperlink"/>
            <w:sz w:val="26"/>
            <w:szCs w:val="26"/>
            <w:u w:val="single"/>
          </w:rPr>
          <w:t>devin.parram@puc.state.oh.us</w:t>
        </w:r>
      </w:hyperlink>
    </w:p>
    <w:p w:rsidR="00A35B09" w:rsidRPr="00CC28AA" w:rsidRDefault="00A35B09" w:rsidP="00A35B09">
      <w:pPr>
        <w:rPr>
          <w:rFonts w:ascii="Times New Roman" w:hAnsi="Times New Roman" w:cs="Times New Roman"/>
          <w:sz w:val="26"/>
          <w:szCs w:val="26"/>
        </w:rPr>
      </w:pPr>
    </w:p>
    <w:p w:rsidR="00A35B09" w:rsidRDefault="00A35B09" w:rsidP="00A35B0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br w:type="page"/>
      </w:r>
    </w:p>
    <w:p w:rsidR="00A35B09" w:rsidRPr="002D565A" w:rsidRDefault="00A35B09" w:rsidP="002F7201">
      <w:pPr>
        <w:pStyle w:val="Heading6"/>
        <w:rPr>
          <w:b w:val="0"/>
        </w:rPr>
      </w:pPr>
      <w:bookmarkStart w:id="10" w:name="_Toc340565219"/>
      <w:r w:rsidRPr="002D565A">
        <w:lastRenderedPageBreak/>
        <w:t>CERTIFICATE OF SERVICE</w:t>
      </w:r>
      <w:bookmarkEnd w:id="10"/>
    </w:p>
    <w:p w:rsidR="00A35B09" w:rsidRPr="00CC28AA" w:rsidRDefault="00A35B09" w:rsidP="002F7201">
      <w:pPr>
        <w:pStyle w:val="TEXTSTYLE"/>
      </w:pPr>
      <w:r w:rsidRPr="00CC28AA">
        <w:tab/>
        <w:t xml:space="preserve">I certify that a copy of the foregoing </w:t>
      </w:r>
      <w:r w:rsidRPr="00CC28AA">
        <w:rPr>
          <w:b/>
        </w:rPr>
        <w:t xml:space="preserve">Initial </w:t>
      </w:r>
      <w:r>
        <w:rPr>
          <w:b/>
        </w:rPr>
        <w:t xml:space="preserve">Post-Hearing Brief </w:t>
      </w:r>
      <w:r w:rsidRPr="00C220A2">
        <w:t xml:space="preserve">submitted on behalf of the Staff of the Public Utilities Commission of Ohio </w:t>
      </w:r>
      <w:r w:rsidRPr="00CC28AA">
        <w:t>was served via electronic mail upon the follo</w:t>
      </w:r>
      <w:r>
        <w:t>wing parties of record on the 13</w:t>
      </w:r>
      <w:r w:rsidR="001260B4" w:rsidRPr="001260B4">
        <w:rPr>
          <w:vertAlign w:val="superscript"/>
        </w:rPr>
        <w:t>th</w:t>
      </w:r>
      <w:r w:rsidR="001260B4">
        <w:t xml:space="preserve"> </w:t>
      </w:r>
      <w:r w:rsidRPr="00CC28AA">
        <w:t xml:space="preserve">day of </w:t>
      </w:r>
      <w:r>
        <w:t>November</w:t>
      </w:r>
      <w:r w:rsidRPr="00CC28AA">
        <w:t>, 2012.</w:t>
      </w:r>
    </w:p>
    <w:p w:rsidR="00A35B09" w:rsidRPr="002D565A" w:rsidRDefault="002D565A" w:rsidP="002D565A">
      <w:pPr>
        <w:tabs>
          <w:tab w:val="left" w:pos="9360"/>
        </w:tabs>
        <w:spacing w:after="0" w:line="240" w:lineRule="auto"/>
        <w:ind w:left="3600" w:firstLine="720"/>
        <w:rPr>
          <w:rFonts w:ascii="Viner Hand ITC" w:hAnsi="Viner Hand ITC" w:cs="Times New Roman"/>
          <w:sz w:val="26"/>
          <w:szCs w:val="26"/>
          <w:u w:val="single"/>
        </w:rPr>
      </w:pPr>
      <w:r w:rsidRPr="002D565A">
        <w:rPr>
          <w:rFonts w:ascii="Viner Hand ITC" w:hAnsi="Viner Hand ITC" w:cs="Times New Roman"/>
          <w:sz w:val="26"/>
          <w:szCs w:val="26"/>
          <w:u w:val="single"/>
        </w:rPr>
        <w:t>/s/ Devin D. Parram</w:t>
      </w:r>
      <w:r w:rsidRPr="002D565A">
        <w:rPr>
          <w:rFonts w:ascii="Viner Hand ITC" w:hAnsi="Viner Hand ITC" w:cs="Times New Roman"/>
          <w:sz w:val="26"/>
          <w:szCs w:val="26"/>
          <w:u w:val="single"/>
        </w:rPr>
        <w:tab/>
      </w:r>
    </w:p>
    <w:p w:rsidR="00A35B09" w:rsidRPr="00CC28AA" w:rsidRDefault="00A35B09" w:rsidP="00A35B09">
      <w:pPr>
        <w:spacing w:after="0" w:line="240" w:lineRule="auto"/>
        <w:ind w:left="3600" w:right="720" w:firstLine="720"/>
        <w:jc w:val="both"/>
        <w:rPr>
          <w:rFonts w:ascii="Times New Roman" w:hAnsi="Times New Roman" w:cs="Times New Roman"/>
          <w:b/>
          <w:sz w:val="26"/>
          <w:szCs w:val="26"/>
        </w:rPr>
      </w:pPr>
      <w:r w:rsidRPr="00CC28AA">
        <w:rPr>
          <w:rFonts w:ascii="Times New Roman" w:hAnsi="Times New Roman" w:cs="Times New Roman"/>
          <w:b/>
          <w:sz w:val="26"/>
          <w:szCs w:val="26"/>
        </w:rPr>
        <w:t xml:space="preserve">Devin D. Parram </w:t>
      </w:r>
    </w:p>
    <w:p w:rsidR="00A35B09" w:rsidRPr="00CC28AA" w:rsidRDefault="00A35B09" w:rsidP="00A35B09">
      <w:pPr>
        <w:spacing w:after="0" w:line="240" w:lineRule="auto"/>
        <w:ind w:left="3600" w:right="720" w:firstLine="720"/>
        <w:jc w:val="both"/>
        <w:rPr>
          <w:rFonts w:ascii="Times New Roman" w:hAnsi="Times New Roman" w:cs="Times New Roman"/>
          <w:sz w:val="26"/>
          <w:szCs w:val="26"/>
        </w:rPr>
      </w:pPr>
      <w:r w:rsidRPr="00CC28AA">
        <w:rPr>
          <w:rFonts w:ascii="Times New Roman" w:hAnsi="Times New Roman" w:cs="Times New Roman"/>
          <w:sz w:val="26"/>
          <w:szCs w:val="26"/>
        </w:rPr>
        <w:t>Assistant Attorney General</w:t>
      </w:r>
    </w:p>
    <w:p w:rsidR="00A35B09" w:rsidRPr="00CC28AA" w:rsidRDefault="00A35B09" w:rsidP="00A35B09">
      <w:pPr>
        <w:spacing w:after="0" w:line="240" w:lineRule="auto"/>
        <w:rPr>
          <w:rFonts w:ascii="Times New Roman" w:hAnsi="Times New Roman" w:cs="Times New Roman"/>
          <w:sz w:val="26"/>
          <w:szCs w:val="26"/>
        </w:rPr>
      </w:pPr>
    </w:p>
    <w:p w:rsidR="00A35B09" w:rsidRPr="00CC28AA" w:rsidRDefault="00A35B09" w:rsidP="00A35B09">
      <w:pPr>
        <w:spacing w:after="0" w:line="240" w:lineRule="auto"/>
        <w:rPr>
          <w:rFonts w:ascii="Times New Roman" w:hAnsi="Times New Roman" w:cs="Times New Roman"/>
          <w:b/>
          <w:sz w:val="26"/>
          <w:szCs w:val="26"/>
        </w:rPr>
      </w:pPr>
      <w:r w:rsidRPr="00CC28AA">
        <w:rPr>
          <w:rFonts w:ascii="Times New Roman" w:hAnsi="Times New Roman" w:cs="Times New Roman"/>
          <w:b/>
          <w:sz w:val="26"/>
          <w:szCs w:val="26"/>
        </w:rPr>
        <w:t>Parties of Record:</w:t>
      </w:r>
    </w:p>
    <w:p w:rsidR="00A35B09" w:rsidRDefault="00A35B09" w:rsidP="00A35B09">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60B4" w:rsidTr="001260B4">
        <w:tc>
          <w:tcPr>
            <w:tcW w:w="4788" w:type="dxa"/>
          </w:tcPr>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Mark A. Whitt</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Andrew J. Campbell</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Whitt Sturtevant, LLP</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155 East Broad Street</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Columbus, Ohio  43215</w:t>
            </w:r>
          </w:p>
          <w:p w:rsidR="001260B4" w:rsidRPr="00CC28AA" w:rsidRDefault="00906DA0" w:rsidP="001260B4">
            <w:pPr>
              <w:rPr>
                <w:rFonts w:ascii="Times New Roman" w:hAnsi="Times New Roman" w:cs="Times New Roman"/>
                <w:sz w:val="26"/>
                <w:szCs w:val="26"/>
              </w:rPr>
            </w:pPr>
            <w:hyperlink r:id="rId15" w:history="1">
              <w:r w:rsidR="001260B4" w:rsidRPr="00CC28AA">
                <w:rPr>
                  <w:rFonts w:ascii="Times New Roman" w:hAnsi="Times New Roman" w:cs="Times New Roman"/>
                  <w:color w:val="0000FF" w:themeColor="hyperlink"/>
                  <w:sz w:val="26"/>
                  <w:szCs w:val="26"/>
                  <w:u w:val="single"/>
                </w:rPr>
                <w:t>whitt@whitt-sturtevant.com</w:t>
              </w:r>
            </w:hyperlink>
          </w:p>
          <w:p w:rsidR="001260B4" w:rsidRDefault="00906DA0" w:rsidP="001260B4">
            <w:pPr>
              <w:rPr>
                <w:rFonts w:ascii="Times New Roman" w:hAnsi="Times New Roman" w:cs="Times New Roman"/>
                <w:color w:val="0000FF" w:themeColor="hyperlink"/>
                <w:sz w:val="26"/>
                <w:szCs w:val="26"/>
                <w:u w:val="single"/>
              </w:rPr>
            </w:pPr>
            <w:hyperlink r:id="rId16" w:history="1">
              <w:r w:rsidR="001260B4" w:rsidRPr="00CC28AA">
                <w:rPr>
                  <w:rFonts w:ascii="Times New Roman" w:hAnsi="Times New Roman" w:cs="Times New Roman"/>
                  <w:color w:val="0000FF" w:themeColor="hyperlink"/>
                  <w:sz w:val="26"/>
                  <w:szCs w:val="26"/>
                  <w:u w:val="single"/>
                </w:rPr>
                <w:t>campbell@whitt-sturtevant.com</w:t>
              </w:r>
            </w:hyperlink>
          </w:p>
          <w:p w:rsidR="001260B4" w:rsidRPr="00CC28AA" w:rsidRDefault="001260B4" w:rsidP="001260B4">
            <w:pPr>
              <w:rPr>
                <w:rFonts w:ascii="Times New Roman" w:hAnsi="Times New Roman" w:cs="Times New Roman"/>
                <w:sz w:val="26"/>
                <w:szCs w:val="26"/>
              </w:rPr>
            </w:pP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M. Howard Petricoff</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Stephen M. Howard</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Vorys, Sater, Seymour and Pease</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52 East Gay Street</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Columbus, Ohio  43215</w:t>
            </w:r>
          </w:p>
          <w:p w:rsidR="001260B4" w:rsidRPr="00CC28AA" w:rsidRDefault="00906DA0" w:rsidP="001260B4">
            <w:pPr>
              <w:rPr>
                <w:rFonts w:ascii="Times New Roman" w:hAnsi="Times New Roman" w:cs="Times New Roman"/>
                <w:sz w:val="26"/>
                <w:szCs w:val="26"/>
              </w:rPr>
            </w:pPr>
            <w:hyperlink r:id="rId17" w:history="1">
              <w:r w:rsidR="001260B4" w:rsidRPr="00CC28AA">
                <w:rPr>
                  <w:rFonts w:ascii="Times New Roman" w:hAnsi="Times New Roman" w:cs="Times New Roman"/>
                  <w:color w:val="0000FF" w:themeColor="hyperlink"/>
                  <w:sz w:val="26"/>
                  <w:szCs w:val="26"/>
                  <w:u w:val="single"/>
                </w:rPr>
                <w:t>mhpetricoff@vorys.com</w:t>
              </w:r>
            </w:hyperlink>
          </w:p>
          <w:p w:rsidR="001260B4" w:rsidRDefault="00906DA0" w:rsidP="00A35B09">
            <w:pPr>
              <w:rPr>
                <w:rFonts w:ascii="Times New Roman" w:hAnsi="Times New Roman" w:cs="Times New Roman"/>
                <w:sz w:val="26"/>
                <w:szCs w:val="26"/>
              </w:rPr>
            </w:pPr>
            <w:hyperlink r:id="rId18" w:history="1">
              <w:r w:rsidR="001260B4" w:rsidRPr="00CC28AA">
                <w:rPr>
                  <w:rFonts w:ascii="Times New Roman" w:hAnsi="Times New Roman" w:cs="Times New Roman"/>
                  <w:color w:val="0000FF" w:themeColor="hyperlink"/>
                  <w:sz w:val="26"/>
                  <w:szCs w:val="26"/>
                  <w:u w:val="single"/>
                </w:rPr>
                <w:t>smhoward@vorys.com</w:t>
              </w:r>
            </w:hyperlink>
          </w:p>
        </w:tc>
        <w:tc>
          <w:tcPr>
            <w:tcW w:w="4788" w:type="dxa"/>
          </w:tcPr>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Colleen L. Mooney</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Ohio Partners for Affordable Energy</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231 West Lima Street</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Findlay, Ohio  45840</w:t>
            </w:r>
          </w:p>
          <w:p w:rsidR="001260B4" w:rsidRDefault="00906DA0" w:rsidP="001260B4">
            <w:pPr>
              <w:rPr>
                <w:rFonts w:ascii="Times New Roman" w:hAnsi="Times New Roman" w:cs="Times New Roman"/>
                <w:color w:val="0000FF" w:themeColor="hyperlink"/>
                <w:sz w:val="26"/>
                <w:szCs w:val="26"/>
                <w:u w:val="single"/>
              </w:rPr>
            </w:pPr>
            <w:hyperlink r:id="rId19" w:history="1">
              <w:r w:rsidR="001260B4" w:rsidRPr="00CC28AA">
                <w:rPr>
                  <w:rFonts w:ascii="Times New Roman" w:hAnsi="Times New Roman" w:cs="Times New Roman"/>
                  <w:color w:val="0000FF" w:themeColor="hyperlink"/>
                  <w:sz w:val="26"/>
                  <w:szCs w:val="26"/>
                  <w:u w:val="single"/>
                </w:rPr>
                <w:t>Cmooney2@columbus.rr.com</w:t>
              </w:r>
            </w:hyperlink>
          </w:p>
          <w:p w:rsidR="001260B4" w:rsidRDefault="001260B4" w:rsidP="001260B4">
            <w:pPr>
              <w:rPr>
                <w:rFonts w:ascii="Times New Roman" w:hAnsi="Times New Roman" w:cs="Times New Roman"/>
                <w:color w:val="0000FF" w:themeColor="hyperlink"/>
                <w:sz w:val="26"/>
                <w:szCs w:val="26"/>
                <w:u w:val="single"/>
              </w:rPr>
            </w:pP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Joseph P. Serio</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Larry S. Sauer</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Office of Consumers’ Counsel</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10 West Broad Street</w:t>
            </w:r>
          </w:p>
          <w:p w:rsidR="001260B4" w:rsidRPr="00CC28AA" w:rsidRDefault="001260B4" w:rsidP="001260B4">
            <w:pPr>
              <w:rPr>
                <w:rFonts w:ascii="Times New Roman" w:hAnsi="Times New Roman" w:cs="Times New Roman"/>
                <w:sz w:val="26"/>
                <w:szCs w:val="26"/>
              </w:rPr>
            </w:pPr>
            <w:r w:rsidRPr="00CC28AA">
              <w:rPr>
                <w:rFonts w:ascii="Times New Roman" w:hAnsi="Times New Roman" w:cs="Times New Roman"/>
                <w:sz w:val="26"/>
                <w:szCs w:val="26"/>
              </w:rPr>
              <w:t>Columbus, Ohio  43215</w:t>
            </w:r>
          </w:p>
          <w:p w:rsidR="001260B4" w:rsidRPr="00CC28AA" w:rsidRDefault="00906DA0" w:rsidP="001260B4">
            <w:pPr>
              <w:rPr>
                <w:rFonts w:ascii="Times New Roman" w:hAnsi="Times New Roman" w:cs="Times New Roman"/>
                <w:sz w:val="26"/>
                <w:szCs w:val="26"/>
              </w:rPr>
            </w:pPr>
            <w:hyperlink r:id="rId20" w:history="1">
              <w:r w:rsidR="001260B4" w:rsidRPr="00CC28AA">
                <w:rPr>
                  <w:rFonts w:ascii="Times New Roman" w:hAnsi="Times New Roman" w:cs="Times New Roman"/>
                  <w:color w:val="0000FF" w:themeColor="hyperlink"/>
                  <w:sz w:val="26"/>
                  <w:szCs w:val="26"/>
                  <w:u w:val="single"/>
                </w:rPr>
                <w:t>serio@occ.state.oh.us</w:t>
              </w:r>
            </w:hyperlink>
          </w:p>
          <w:p w:rsidR="001260B4" w:rsidRPr="00CC28AA" w:rsidRDefault="00906DA0" w:rsidP="001260B4">
            <w:pPr>
              <w:rPr>
                <w:rFonts w:ascii="Times New Roman" w:hAnsi="Times New Roman" w:cs="Times New Roman"/>
                <w:sz w:val="26"/>
                <w:szCs w:val="26"/>
              </w:rPr>
            </w:pPr>
            <w:hyperlink r:id="rId21" w:history="1">
              <w:r w:rsidR="001260B4" w:rsidRPr="00CC28AA">
                <w:rPr>
                  <w:rFonts w:ascii="Times New Roman" w:hAnsi="Times New Roman" w:cs="Times New Roman"/>
                  <w:color w:val="0000FF" w:themeColor="hyperlink"/>
                  <w:sz w:val="26"/>
                  <w:szCs w:val="26"/>
                  <w:u w:val="single"/>
                </w:rPr>
                <w:t>sauer@occ.state.oh.us</w:t>
              </w:r>
            </w:hyperlink>
          </w:p>
          <w:p w:rsidR="001260B4" w:rsidRDefault="001260B4" w:rsidP="001260B4">
            <w:pPr>
              <w:rPr>
                <w:rFonts w:ascii="Times New Roman" w:hAnsi="Times New Roman" w:cs="Times New Roman"/>
                <w:sz w:val="26"/>
                <w:szCs w:val="26"/>
              </w:rPr>
            </w:pPr>
          </w:p>
        </w:tc>
      </w:tr>
    </w:tbl>
    <w:p w:rsidR="001260B4" w:rsidRPr="00CC28AA" w:rsidRDefault="001260B4" w:rsidP="00A35B09">
      <w:pPr>
        <w:spacing w:after="0" w:line="240" w:lineRule="auto"/>
        <w:rPr>
          <w:rFonts w:ascii="Times New Roman" w:hAnsi="Times New Roman" w:cs="Times New Roman"/>
          <w:sz w:val="26"/>
          <w:szCs w:val="26"/>
        </w:rPr>
      </w:pPr>
    </w:p>
    <w:p w:rsidR="00A35B09" w:rsidRPr="00CC28AA" w:rsidRDefault="00A35B09" w:rsidP="00A35B09">
      <w:pPr>
        <w:spacing w:after="0" w:line="240" w:lineRule="auto"/>
        <w:rPr>
          <w:rFonts w:ascii="Times New Roman" w:hAnsi="Times New Roman" w:cs="Times New Roman"/>
          <w:sz w:val="26"/>
          <w:szCs w:val="26"/>
        </w:rPr>
      </w:pPr>
    </w:p>
    <w:p w:rsidR="00CC28AA" w:rsidRPr="00A35B09" w:rsidRDefault="00CC28AA" w:rsidP="001F45A2">
      <w:pPr>
        <w:spacing w:after="0" w:line="240" w:lineRule="auto"/>
      </w:pPr>
      <w:bookmarkStart w:id="11" w:name="_GoBack"/>
      <w:bookmarkEnd w:id="11"/>
    </w:p>
    <w:sectPr w:rsidR="00CC28AA" w:rsidRPr="00A35B09" w:rsidSect="00C220A2">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11" w:rsidRDefault="00E82D11" w:rsidP="00CC28AA">
      <w:pPr>
        <w:spacing w:after="0" w:line="240" w:lineRule="auto"/>
      </w:pPr>
      <w:r>
        <w:separator/>
      </w:r>
    </w:p>
  </w:endnote>
  <w:endnote w:type="continuationSeparator" w:id="0">
    <w:p w:rsidR="00E82D11" w:rsidRDefault="00E82D11" w:rsidP="00CC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1919"/>
      <w:docPartObj>
        <w:docPartGallery w:val="Page Numbers (Bottom of Page)"/>
        <w:docPartUnique/>
      </w:docPartObj>
    </w:sdtPr>
    <w:sdtEndPr>
      <w:rPr>
        <w:noProof/>
      </w:rPr>
    </w:sdtEndPr>
    <w:sdtContent>
      <w:p w:rsidR="00E82D11" w:rsidRDefault="00E82D11">
        <w:pPr>
          <w:pStyle w:val="Footer"/>
          <w:jc w:val="center"/>
        </w:pPr>
        <w:r w:rsidRPr="003D2B58">
          <w:rPr>
            <w:rFonts w:ascii="Times New Roman" w:hAnsi="Times New Roman" w:cs="Times New Roman"/>
          </w:rPr>
          <w:fldChar w:fldCharType="begin"/>
        </w:r>
        <w:r w:rsidRPr="003D2B58">
          <w:rPr>
            <w:rFonts w:ascii="Times New Roman" w:hAnsi="Times New Roman" w:cs="Times New Roman"/>
          </w:rPr>
          <w:instrText xml:space="preserve"> PAGE   \* MERGEFORMAT </w:instrText>
        </w:r>
        <w:r w:rsidRPr="003D2B58">
          <w:rPr>
            <w:rFonts w:ascii="Times New Roman" w:hAnsi="Times New Roman" w:cs="Times New Roman"/>
          </w:rPr>
          <w:fldChar w:fldCharType="separate"/>
        </w:r>
        <w:r>
          <w:rPr>
            <w:rFonts w:ascii="Times New Roman" w:hAnsi="Times New Roman" w:cs="Times New Roman"/>
            <w:noProof/>
          </w:rPr>
          <w:t>2</w:t>
        </w:r>
        <w:r w:rsidRPr="003D2B58">
          <w:rPr>
            <w:rFonts w:ascii="Times New Roman" w:hAnsi="Times New Roman" w:cs="Times New Roman"/>
          </w:rPr>
          <w:fldChar w:fldCharType="end"/>
        </w:r>
      </w:p>
    </w:sdtContent>
  </w:sdt>
  <w:p w:rsidR="00E82D11" w:rsidRDefault="00E82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95778"/>
      <w:docPartObj>
        <w:docPartGallery w:val="Page Numbers (Bottom of Page)"/>
        <w:docPartUnique/>
      </w:docPartObj>
    </w:sdtPr>
    <w:sdtEndPr>
      <w:rPr>
        <w:noProof/>
      </w:rPr>
    </w:sdtEndPr>
    <w:sdtContent>
      <w:p w:rsidR="00E82D11" w:rsidRDefault="00E82D11" w:rsidP="00C220A2">
        <w:pPr>
          <w:pStyle w:val="Footer"/>
          <w:jc w:val="center"/>
        </w:pPr>
        <w:r>
          <w:fldChar w:fldCharType="begin"/>
        </w:r>
        <w:r>
          <w:instrText xml:space="preserve"> PAGE   \* MERGEFORMAT </w:instrText>
        </w:r>
        <w:r>
          <w:fldChar w:fldCharType="separate"/>
        </w:r>
        <w:r w:rsidR="00906DA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852646299"/>
      <w:docPartObj>
        <w:docPartGallery w:val="Page Numbers (Bottom of Page)"/>
        <w:docPartUnique/>
      </w:docPartObj>
    </w:sdtPr>
    <w:sdtEndPr>
      <w:rPr>
        <w:noProof/>
      </w:rPr>
    </w:sdtEndPr>
    <w:sdtContent>
      <w:p w:rsidR="00E82D11" w:rsidRPr="00C220A2" w:rsidRDefault="00E82D11" w:rsidP="00C220A2">
        <w:pPr>
          <w:pStyle w:val="Footer"/>
          <w:jc w:val="center"/>
          <w:rPr>
            <w:sz w:val="24"/>
            <w:szCs w:val="24"/>
          </w:rPr>
        </w:pPr>
        <w:r w:rsidRPr="00C220A2">
          <w:rPr>
            <w:rFonts w:ascii="Times New Roman" w:hAnsi="Times New Roman" w:cs="Times New Roman"/>
            <w:sz w:val="24"/>
            <w:szCs w:val="24"/>
          </w:rPr>
          <w:fldChar w:fldCharType="begin"/>
        </w:r>
        <w:r w:rsidRPr="00C220A2">
          <w:rPr>
            <w:rFonts w:ascii="Times New Roman" w:hAnsi="Times New Roman" w:cs="Times New Roman"/>
            <w:sz w:val="24"/>
            <w:szCs w:val="24"/>
          </w:rPr>
          <w:instrText xml:space="preserve"> PAGE   \* MERGEFORMAT </w:instrText>
        </w:r>
        <w:r w:rsidRPr="00C220A2">
          <w:rPr>
            <w:rFonts w:ascii="Times New Roman" w:hAnsi="Times New Roman" w:cs="Times New Roman"/>
            <w:sz w:val="24"/>
            <w:szCs w:val="24"/>
          </w:rPr>
          <w:fldChar w:fldCharType="separate"/>
        </w:r>
        <w:r w:rsidR="00906DA0">
          <w:rPr>
            <w:rFonts w:ascii="Times New Roman" w:hAnsi="Times New Roman" w:cs="Times New Roman"/>
            <w:noProof/>
            <w:sz w:val="24"/>
            <w:szCs w:val="24"/>
          </w:rPr>
          <w:t>11</w:t>
        </w:r>
        <w:r w:rsidRPr="00C220A2">
          <w:rPr>
            <w:rFonts w:ascii="Times New Roman" w:hAnsi="Times New Roman" w:cs="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11" w:rsidRPr="00C220A2" w:rsidRDefault="00E82D11" w:rsidP="00C22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11" w:rsidRDefault="00E82D11" w:rsidP="00CC28AA">
      <w:pPr>
        <w:spacing w:after="0" w:line="240" w:lineRule="auto"/>
      </w:pPr>
      <w:r>
        <w:separator/>
      </w:r>
    </w:p>
  </w:footnote>
  <w:footnote w:type="continuationSeparator" w:id="0">
    <w:p w:rsidR="00E82D11" w:rsidRDefault="00E82D11" w:rsidP="00CC28AA">
      <w:pPr>
        <w:spacing w:after="0" w:line="240" w:lineRule="auto"/>
      </w:pPr>
      <w:r>
        <w:continuationSeparator/>
      </w:r>
    </w:p>
  </w:footnote>
  <w:footnote w:id="1">
    <w:p w:rsidR="00E82D11" w:rsidRPr="00A4239E" w:rsidRDefault="00E82D11" w:rsidP="00A35B09">
      <w:pPr>
        <w:pStyle w:val="FootnoteText"/>
        <w:rPr>
          <w:rFonts w:cs="Times New Roman"/>
          <w:szCs w:val="22"/>
        </w:rPr>
      </w:pPr>
      <w:r w:rsidRPr="00A4239E">
        <w:rPr>
          <w:rStyle w:val="FootnoteReference"/>
          <w:rFonts w:cs="Times New Roman"/>
          <w:szCs w:val="22"/>
        </w:rPr>
        <w:footnoteRef/>
      </w:r>
      <w:r w:rsidRPr="00A4239E">
        <w:rPr>
          <w:rFonts w:cs="Times New Roman"/>
          <w:szCs w:val="22"/>
        </w:rPr>
        <w:t xml:space="preserve"> </w:t>
      </w:r>
      <w:r w:rsidRPr="00A4239E">
        <w:rPr>
          <w:rFonts w:cs="Times New Roman"/>
          <w:szCs w:val="22"/>
        </w:rPr>
        <w:tab/>
      </w:r>
      <w:r>
        <w:rPr>
          <w:rFonts w:cs="Times New Roman"/>
          <w:szCs w:val="22"/>
        </w:rPr>
        <w:tab/>
      </w:r>
      <w:r w:rsidRPr="00A4239E">
        <w:rPr>
          <w:rFonts w:cs="Times New Roman"/>
          <w:szCs w:val="22"/>
        </w:rPr>
        <w:t>St</w:t>
      </w:r>
      <w:r w:rsidRPr="00C220A2">
        <w:t>aff Ex. 2, Staff Co</w:t>
      </w:r>
      <w:r w:rsidRPr="00A4239E">
        <w:rPr>
          <w:rFonts w:cs="Times New Roman"/>
          <w:szCs w:val="22"/>
        </w:rPr>
        <w:t>mments</w:t>
      </w:r>
      <w:r>
        <w:rPr>
          <w:rFonts w:cs="Times New Roman"/>
          <w:szCs w:val="22"/>
        </w:rPr>
        <w:t xml:space="preserve"> at 3</w:t>
      </w:r>
      <w:r w:rsidRPr="00A4239E">
        <w:rPr>
          <w:rFonts w:cs="Times New Roman"/>
          <w:szCs w:val="22"/>
        </w:rPr>
        <w:t xml:space="preserve"> (August 30, 2012).    </w:t>
      </w:r>
    </w:p>
  </w:footnote>
  <w:footnote w:id="2">
    <w:p w:rsidR="00E82D11" w:rsidRDefault="00E82D11" w:rsidP="00A35B09">
      <w:pPr>
        <w:pStyle w:val="FootnoteText"/>
      </w:pPr>
      <w:r>
        <w:rPr>
          <w:rStyle w:val="FootnoteReference"/>
        </w:rPr>
        <w:footnoteRef/>
      </w:r>
      <w:r>
        <w:t xml:space="preserve"> </w:t>
      </w:r>
      <w:r>
        <w:tab/>
      </w:r>
      <w:r>
        <w:tab/>
      </w:r>
      <w:proofErr w:type="gramStart"/>
      <w:r w:rsidRPr="00376434">
        <w:rPr>
          <w:rFonts w:cs="Times New Roman"/>
          <w:szCs w:val="22"/>
        </w:rPr>
        <w:t xml:space="preserve">Staff Ex. 1, Prefiled Testimony of Barbara Bossart </w:t>
      </w:r>
      <w:r>
        <w:rPr>
          <w:rFonts w:cs="Times New Roman"/>
          <w:szCs w:val="22"/>
        </w:rPr>
        <w:t xml:space="preserve">at 3 </w:t>
      </w:r>
      <w:r w:rsidRPr="00376434">
        <w:rPr>
          <w:rFonts w:cs="Times New Roman"/>
          <w:szCs w:val="22"/>
        </w:rPr>
        <w:t>(“Bossart Direct”)</w:t>
      </w:r>
      <w:r>
        <w:rPr>
          <w:rFonts w:cs="Times New Roman"/>
          <w:szCs w:val="22"/>
        </w:rPr>
        <w:t>.</w:t>
      </w:r>
      <w:proofErr w:type="gramEnd"/>
    </w:p>
  </w:footnote>
  <w:footnote w:id="3">
    <w:p w:rsidR="00E82D11" w:rsidRPr="00376434" w:rsidRDefault="00E82D11" w:rsidP="00A35B09">
      <w:pPr>
        <w:pStyle w:val="FootnoteText"/>
        <w:rPr>
          <w:rFonts w:cs="Times New Roman"/>
          <w:szCs w:val="22"/>
        </w:rPr>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r>
      <w:r w:rsidRPr="00A4239E">
        <w:rPr>
          <w:rFonts w:cs="Times New Roman"/>
          <w:szCs w:val="22"/>
        </w:rPr>
        <w:t xml:space="preserve">Staff Ex. 2, Staff Comments </w:t>
      </w:r>
      <w:r w:rsidRPr="00376434">
        <w:rPr>
          <w:rFonts w:cs="Times New Roman"/>
          <w:szCs w:val="22"/>
        </w:rPr>
        <w:t xml:space="preserve">at 3-4.  </w:t>
      </w:r>
    </w:p>
  </w:footnote>
  <w:footnote w:id="4">
    <w:p w:rsidR="00E82D11" w:rsidRPr="00376434" w:rsidRDefault="00E82D11" w:rsidP="00A35B09">
      <w:pPr>
        <w:pStyle w:val="FootnoteText"/>
        <w:rPr>
          <w:rFonts w:cs="Times New Roman"/>
          <w:szCs w:val="22"/>
        </w:rPr>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r>
      <w:r w:rsidRPr="00C220A2">
        <w:rPr>
          <w:rFonts w:cs="Times New Roman"/>
          <w:i/>
          <w:szCs w:val="22"/>
        </w:rPr>
        <w:t>Id</w:t>
      </w:r>
      <w:r w:rsidRPr="00376434">
        <w:rPr>
          <w:rFonts w:cs="Times New Roman"/>
          <w:szCs w:val="22"/>
        </w:rPr>
        <w:t xml:space="preserve">. at 4; Staff Ex. 1, </w:t>
      </w:r>
      <w:r>
        <w:rPr>
          <w:rFonts w:cs="Times New Roman"/>
          <w:szCs w:val="22"/>
        </w:rPr>
        <w:t>Bossart Direct</w:t>
      </w:r>
      <w:r w:rsidRPr="00376434">
        <w:rPr>
          <w:rFonts w:cs="Times New Roman"/>
          <w:szCs w:val="22"/>
        </w:rPr>
        <w:t xml:space="preserve"> at 4.  </w:t>
      </w:r>
    </w:p>
  </w:footnote>
  <w:footnote w:id="5">
    <w:p w:rsidR="00E82D11" w:rsidRDefault="00E82D11" w:rsidP="00A35B09">
      <w:pPr>
        <w:pStyle w:val="FootnoteText"/>
      </w:pPr>
      <w:r w:rsidRPr="00376434">
        <w:rPr>
          <w:rStyle w:val="FootnoteReference"/>
          <w:rFonts w:cs="Times New Roman"/>
          <w:szCs w:val="22"/>
        </w:rPr>
        <w:footnoteRef/>
      </w:r>
      <w:r>
        <w:rPr>
          <w:rFonts w:cs="Times New Roman"/>
          <w:szCs w:val="22"/>
        </w:rPr>
        <w:t xml:space="preserve"> </w:t>
      </w:r>
      <w:r>
        <w:rPr>
          <w:rFonts w:cs="Times New Roman"/>
          <w:szCs w:val="22"/>
        </w:rPr>
        <w:tab/>
      </w:r>
      <w:r>
        <w:rPr>
          <w:rFonts w:cs="Times New Roman"/>
          <w:szCs w:val="22"/>
        </w:rPr>
        <w:tab/>
        <w:t>Staff Ex. 2, Staff Comments</w:t>
      </w:r>
      <w:r w:rsidRPr="00376434">
        <w:rPr>
          <w:rFonts w:cs="Times New Roman"/>
          <w:szCs w:val="22"/>
        </w:rPr>
        <w:t xml:space="preserve"> at 4;</w:t>
      </w:r>
      <w:r>
        <w:rPr>
          <w:rFonts w:cs="Times New Roman"/>
          <w:szCs w:val="22"/>
        </w:rPr>
        <w:t xml:space="preserve"> Staff Ex. 1</w:t>
      </w:r>
      <w:r w:rsidRPr="00376434">
        <w:rPr>
          <w:rFonts w:cs="Times New Roman"/>
          <w:szCs w:val="22"/>
        </w:rPr>
        <w:t>, Bossart Direct at 4.</w:t>
      </w:r>
      <w:r>
        <w:rPr>
          <w:rFonts w:cs="Times New Roman"/>
        </w:rPr>
        <w:t xml:space="preserve"> </w:t>
      </w:r>
      <w:r>
        <w:t xml:space="preserve"> </w:t>
      </w:r>
    </w:p>
  </w:footnote>
  <w:footnote w:id="6">
    <w:p w:rsidR="00E82D11" w:rsidRPr="00376434" w:rsidRDefault="00E82D11" w:rsidP="00A35B09">
      <w:pPr>
        <w:pStyle w:val="FootnoteText"/>
        <w:rPr>
          <w:rFonts w:cs="Times New Roman"/>
          <w:szCs w:val="22"/>
        </w:rPr>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r>
      <w:r w:rsidRPr="00376434">
        <w:rPr>
          <w:rFonts w:cs="Times New Roman"/>
          <w:szCs w:val="22"/>
        </w:rPr>
        <w:t>Staff Ex. 2, Staff Comments</w:t>
      </w:r>
      <w:r>
        <w:rPr>
          <w:rFonts w:cs="Times New Roman"/>
          <w:szCs w:val="22"/>
        </w:rPr>
        <w:t xml:space="preserve"> </w:t>
      </w:r>
      <w:r w:rsidRPr="00376434">
        <w:rPr>
          <w:rFonts w:cs="Times New Roman"/>
          <w:szCs w:val="22"/>
        </w:rPr>
        <w:t>at 4-5;</w:t>
      </w:r>
      <w:r>
        <w:rPr>
          <w:rFonts w:cs="Times New Roman"/>
          <w:szCs w:val="22"/>
        </w:rPr>
        <w:t xml:space="preserve"> </w:t>
      </w:r>
      <w:r w:rsidRPr="00376434">
        <w:rPr>
          <w:rFonts w:cs="Times New Roman"/>
          <w:szCs w:val="22"/>
        </w:rPr>
        <w:t xml:space="preserve">Staff Ex. </w:t>
      </w:r>
      <w:r>
        <w:rPr>
          <w:rFonts w:cs="Times New Roman"/>
          <w:szCs w:val="22"/>
        </w:rPr>
        <w:t>1</w:t>
      </w:r>
      <w:r w:rsidRPr="00376434">
        <w:rPr>
          <w:rFonts w:cs="Times New Roman"/>
          <w:szCs w:val="22"/>
        </w:rPr>
        <w:t xml:space="preserve">, Bossart Direct at 5-6.  </w:t>
      </w:r>
    </w:p>
  </w:footnote>
  <w:footnote w:id="7">
    <w:p w:rsidR="00E82D11" w:rsidRDefault="00E82D11" w:rsidP="00A35B09">
      <w:pPr>
        <w:pStyle w:val="FootnoteText"/>
      </w:pPr>
      <w:r>
        <w:rPr>
          <w:rStyle w:val="FootnoteReference"/>
        </w:rPr>
        <w:footnoteRef/>
      </w:r>
      <w:r>
        <w:t xml:space="preserve"> </w:t>
      </w:r>
      <w:r>
        <w:tab/>
      </w:r>
      <w:r>
        <w:tab/>
        <w:t xml:space="preserve">DEO Exhibit 4, </w:t>
      </w:r>
      <w:r w:rsidRPr="00A4239E">
        <w:rPr>
          <w:rFonts w:cs="Times New Roman"/>
          <w:szCs w:val="22"/>
        </w:rPr>
        <w:t>Dominion’s</w:t>
      </w:r>
      <w:r>
        <w:t xml:space="preserve"> Reply Comments at 1 (September 13, 2012).  </w:t>
      </w:r>
    </w:p>
  </w:footnote>
  <w:footnote w:id="8">
    <w:p w:rsidR="00E82D11" w:rsidRPr="00376434" w:rsidRDefault="00E82D11" w:rsidP="00A35B09">
      <w:pPr>
        <w:pStyle w:val="FootnoteText"/>
        <w:rPr>
          <w:rFonts w:cs="Times New Roman"/>
          <w:szCs w:val="22"/>
        </w:rPr>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t xml:space="preserve">Staff Ex. 2, Staff Comments </w:t>
      </w:r>
      <w:r w:rsidRPr="00376434">
        <w:rPr>
          <w:rFonts w:cs="Times New Roman"/>
          <w:szCs w:val="22"/>
        </w:rPr>
        <w:t xml:space="preserve">at 5. </w:t>
      </w:r>
    </w:p>
  </w:footnote>
  <w:footnote w:id="9">
    <w:p w:rsidR="00E82D11" w:rsidRPr="00376434" w:rsidRDefault="00E82D11" w:rsidP="00A35B09">
      <w:pPr>
        <w:pStyle w:val="FootnoteText"/>
        <w:rPr>
          <w:rFonts w:cs="Times New Roman"/>
          <w:szCs w:val="22"/>
        </w:rPr>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r>
      <w:r w:rsidRPr="00376434">
        <w:rPr>
          <w:rFonts w:cs="Times New Roman"/>
          <w:szCs w:val="22"/>
        </w:rPr>
        <w:t>Staff Ex.</w:t>
      </w:r>
      <w:r>
        <w:rPr>
          <w:rFonts w:cs="Times New Roman"/>
          <w:szCs w:val="22"/>
        </w:rPr>
        <w:t xml:space="preserve"> 1</w:t>
      </w:r>
      <w:r w:rsidRPr="00376434">
        <w:rPr>
          <w:rFonts w:cs="Times New Roman"/>
          <w:szCs w:val="22"/>
        </w:rPr>
        <w:t>, Bossart Direct at 7.</w:t>
      </w:r>
    </w:p>
  </w:footnote>
  <w:footnote w:id="10">
    <w:p w:rsidR="00E82D11" w:rsidRDefault="00E82D11" w:rsidP="00A35B09">
      <w:pPr>
        <w:pStyle w:val="FootnoteText"/>
      </w:pPr>
      <w:r w:rsidRPr="00376434">
        <w:rPr>
          <w:rStyle w:val="FootnoteReference"/>
          <w:rFonts w:cs="Times New Roman"/>
          <w:szCs w:val="22"/>
        </w:rPr>
        <w:footnoteRef/>
      </w:r>
      <w:r w:rsidRPr="00376434">
        <w:rPr>
          <w:rFonts w:cs="Times New Roman"/>
          <w:szCs w:val="22"/>
        </w:rPr>
        <w:t xml:space="preserve"> </w:t>
      </w:r>
      <w:r>
        <w:rPr>
          <w:rFonts w:cs="Times New Roman"/>
          <w:szCs w:val="22"/>
        </w:rPr>
        <w:tab/>
      </w:r>
      <w:r>
        <w:rPr>
          <w:rFonts w:cs="Times New Roman"/>
          <w:szCs w:val="22"/>
        </w:rPr>
        <w:tab/>
      </w:r>
      <w:r w:rsidRPr="00376434">
        <w:rPr>
          <w:rFonts w:cs="Times New Roman"/>
          <w:i/>
          <w:szCs w:val="22"/>
        </w:rPr>
        <w:t>Id.</w:t>
      </w:r>
      <w:r>
        <w:t xml:space="preserve"> </w:t>
      </w:r>
    </w:p>
  </w:footnote>
  <w:footnote w:id="11">
    <w:p w:rsidR="00E82D11" w:rsidRPr="00A4239E" w:rsidRDefault="00E82D11" w:rsidP="00A35B09">
      <w:pPr>
        <w:pStyle w:val="FootnoteText"/>
        <w:rPr>
          <w:rFonts w:cs="Times New Roman"/>
          <w:szCs w:val="22"/>
        </w:rPr>
      </w:pPr>
      <w:r w:rsidRPr="00A4239E">
        <w:rPr>
          <w:rStyle w:val="FootnoteReference"/>
          <w:rFonts w:cs="Times New Roman"/>
          <w:szCs w:val="22"/>
        </w:rPr>
        <w:footnoteRef/>
      </w:r>
      <w:r w:rsidRPr="00A4239E">
        <w:rPr>
          <w:rFonts w:cs="Times New Roman"/>
          <w:szCs w:val="22"/>
        </w:rPr>
        <w:t xml:space="preserve"> </w:t>
      </w:r>
      <w:r w:rsidRPr="00A4239E">
        <w:rPr>
          <w:rFonts w:cs="Times New Roman"/>
          <w:szCs w:val="22"/>
        </w:rPr>
        <w:tab/>
      </w:r>
      <w:r>
        <w:rPr>
          <w:rFonts w:cs="Times New Roman"/>
          <w:szCs w:val="22"/>
        </w:rPr>
        <w:tab/>
      </w:r>
      <w:r w:rsidRPr="00A4239E">
        <w:rPr>
          <w:rFonts w:cs="Times New Roman"/>
          <w:szCs w:val="22"/>
        </w:rPr>
        <w:t xml:space="preserve">Staff Ex. 2, Staff Comments at 5. </w:t>
      </w:r>
    </w:p>
  </w:footnote>
  <w:footnote w:id="12">
    <w:p w:rsidR="00E82D11" w:rsidRPr="00A4239E" w:rsidRDefault="00E82D11" w:rsidP="00A35B09">
      <w:pPr>
        <w:pStyle w:val="FootnoteText"/>
        <w:rPr>
          <w:rFonts w:cs="Times New Roman"/>
          <w:szCs w:val="22"/>
        </w:rPr>
      </w:pPr>
      <w:r w:rsidRPr="00A4239E">
        <w:rPr>
          <w:rStyle w:val="FootnoteReference"/>
          <w:rFonts w:cs="Times New Roman"/>
          <w:szCs w:val="22"/>
        </w:rPr>
        <w:footnoteRef/>
      </w:r>
      <w:r w:rsidRPr="00A4239E">
        <w:rPr>
          <w:rFonts w:cs="Times New Roman"/>
          <w:szCs w:val="22"/>
        </w:rPr>
        <w:t xml:space="preserve">  </w:t>
      </w:r>
      <w:r>
        <w:rPr>
          <w:rFonts w:cs="Times New Roman"/>
          <w:szCs w:val="22"/>
        </w:rPr>
        <w:tab/>
      </w:r>
      <w:r>
        <w:rPr>
          <w:rFonts w:cs="Times New Roman"/>
          <w:szCs w:val="22"/>
        </w:rPr>
        <w:tab/>
      </w:r>
      <w:r w:rsidRPr="00C220A2">
        <w:rPr>
          <w:rFonts w:cs="Times New Roman"/>
          <w:i/>
          <w:szCs w:val="22"/>
        </w:rPr>
        <w:t>Id</w:t>
      </w:r>
      <w:r w:rsidRPr="00A4239E">
        <w:rPr>
          <w:rFonts w:cs="Times New Roman"/>
          <w:szCs w:val="22"/>
        </w:rPr>
        <w:t xml:space="preserve">. </w:t>
      </w:r>
    </w:p>
  </w:footnote>
  <w:footnote w:id="13">
    <w:p w:rsidR="00E82D11" w:rsidRPr="00A4239E" w:rsidRDefault="00E82D11" w:rsidP="00A35B09">
      <w:pPr>
        <w:pStyle w:val="FootnoteText"/>
        <w:rPr>
          <w:rFonts w:cs="Times New Roman"/>
          <w:szCs w:val="22"/>
        </w:rPr>
      </w:pPr>
      <w:r w:rsidRPr="00A4239E">
        <w:rPr>
          <w:rStyle w:val="FootnoteReference"/>
          <w:rFonts w:cs="Times New Roman"/>
          <w:szCs w:val="22"/>
        </w:rPr>
        <w:footnoteRef/>
      </w:r>
      <w:r w:rsidRPr="00A4239E">
        <w:rPr>
          <w:rFonts w:cs="Times New Roman"/>
          <w:szCs w:val="22"/>
        </w:rPr>
        <w:t xml:space="preserve"> </w:t>
      </w:r>
      <w:r>
        <w:rPr>
          <w:rFonts w:cs="Times New Roman"/>
          <w:szCs w:val="22"/>
        </w:rPr>
        <w:tab/>
      </w:r>
      <w:r>
        <w:rPr>
          <w:rFonts w:cs="Times New Roman"/>
          <w:szCs w:val="22"/>
        </w:rPr>
        <w:tab/>
      </w:r>
      <w:r w:rsidRPr="00A4239E">
        <w:rPr>
          <w:rFonts w:cs="Times New Roman"/>
          <w:szCs w:val="22"/>
        </w:rPr>
        <w:t xml:space="preserve">Staff Ex. 2, Staff Comments at 5. </w:t>
      </w:r>
    </w:p>
  </w:footnote>
  <w:footnote w:id="14">
    <w:p w:rsidR="00E82D11" w:rsidRPr="00C2087B" w:rsidRDefault="00E82D11" w:rsidP="002D565A">
      <w:pPr>
        <w:pStyle w:val="FootnoteText"/>
        <w:rPr>
          <w:rFonts w:cs="Times New Roman"/>
        </w:rPr>
      </w:pPr>
      <w:r w:rsidRPr="00A4239E">
        <w:rPr>
          <w:rStyle w:val="FootnoteReference"/>
          <w:rFonts w:cs="Times New Roman"/>
          <w:szCs w:val="22"/>
        </w:rPr>
        <w:footnoteRef/>
      </w:r>
      <w:r w:rsidRPr="00A4239E">
        <w:t xml:space="preserve"> </w:t>
      </w:r>
      <w:r w:rsidRPr="00A4239E">
        <w:tab/>
      </w:r>
      <w:r>
        <w:tab/>
      </w:r>
      <w:r w:rsidRPr="002D565A">
        <w:rPr>
          <w:i/>
        </w:rPr>
        <w:t>In the Matter of the Application of The East Ohio Gas Company d/b/a Dominion East Ohio for Approval of a Plan to Restructure Its Commodity Service Function</w:t>
      </w:r>
      <w:r w:rsidRPr="00A4239E">
        <w:t>, Case No. 05-474-GA-ATA</w:t>
      </w:r>
      <w:r>
        <w:t xml:space="preserve"> (</w:t>
      </w:r>
      <w:r w:rsidRPr="00A4239E">
        <w:t>Opinion and Order</w:t>
      </w:r>
      <w:r>
        <w:t xml:space="preserve"> at 6, 21-22)</w:t>
      </w:r>
      <w:r w:rsidRPr="00A4239E">
        <w:t xml:space="preserve"> </w:t>
      </w:r>
      <w:r>
        <w:t>(May 26, 2006)</w:t>
      </w:r>
      <w:r w:rsidRPr="00A4239E">
        <w:t>.</w:t>
      </w:r>
    </w:p>
  </w:footnote>
  <w:footnote w:id="15">
    <w:p w:rsidR="00E82D11" w:rsidRPr="00C220A2" w:rsidRDefault="00E82D11" w:rsidP="00A35B09">
      <w:pPr>
        <w:pStyle w:val="FootnoteText"/>
      </w:pPr>
      <w:r w:rsidRPr="00A4239E">
        <w:rPr>
          <w:rStyle w:val="FootnoteReference"/>
          <w:rFonts w:cs="Times New Roman"/>
          <w:szCs w:val="22"/>
        </w:rPr>
        <w:footnoteRef/>
      </w:r>
      <w:r w:rsidRPr="00A4239E">
        <w:rPr>
          <w:rFonts w:cs="Times New Roman"/>
          <w:szCs w:val="22"/>
        </w:rPr>
        <w:t xml:space="preserve"> </w:t>
      </w:r>
      <w:r w:rsidRPr="00A4239E">
        <w:rPr>
          <w:rFonts w:cs="Times New Roman"/>
          <w:szCs w:val="22"/>
        </w:rPr>
        <w:tab/>
      </w:r>
      <w:r w:rsidRPr="00C220A2">
        <w:tab/>
      </w:r>
      <w:r w:rsidRPr="00C220A2">
        <w:rPr>
          <w:i/>
        </w:rPr>
        <w:t>In the Matter of the Application of The East Ohio Gas Company d/b/a Dominion East Ohio for Approval of a Plan to Restructure Its Commodity Service Function</w:t>
      </w:r>
      <w:r w:rsidRPr="00C220A2">
        <w:t xml:space="preserve">, Case No. 05-474-GA-ATA (Stipulation at ¶1) (December 7, 2005). </w:t>
      </w:r>
    </w:p>
  </w:footnote>
  <w:footnote w:id="16">
    <w:p w:rsidR="00E82D11" w:rsidRPr="002D565A" w:rsidRDefault="00E82D11">
      <w:pPr>
        <w:pStyle w:val="FootnoteText"/>
        <w:rPr>
          <w:szCs w:val="22"/>
        </w:rPr>
      </w:pPr>
      <w:r>
        <w:rPr>
          <w:rStyle w:val="FootnoteReference"/>
        </w:rPr>
        <w:footnoteRef/>
      </w:r>
      <w:r>
        <w:t xml:space="preserve"> </w:t>
      </w:r>
      <w:r>
        <w:tab/>
      </w:r>
      <w:r>
        <w:tab/>
      </w:r>
      <w:r w:rsidRPr="002D565A">
        <w:rPr>
          <w:szCs w:val="22"/>
        </w:rPr>
        <w:t xml:space="preserve">DEO Exhibit 1.0, Direct Testimony of Jeffery A. Murphy at 6-7; </w:t>
      </w:r>
      <w:r w:rsidRPr="002D565A">
        <w:rPr>
          <w:rFonts w:cs="Times New Roman"/>
          <w:szCs w:val="22"/>
        </w:rPr>
        <w:t xml:space="preserve">OGMA/RESA Ex. 1, Direct Prepared Testimony of Teresa L. Ringenbach at </w:t>
      </w:r>
      <w:r>
        <w:rPr>
          <w:rFonts w:cs="Times New Roman"/>
          <w:szCs w:val="22"/>
        </w:rPr>
        <w:t>3-6</w:t>
      </w:r>
      <w:r w:rsidRPr="002D565A">
        <w:rPr>
          <w:rFonts w:cs="Times New Roman"/>
          <w:szCs w:val="22"/>
        </w:rPr>
        <w:t xml:space="preserve"> (“Ringenbach Direct</w:t>
      </w:r>
      <w:r>
        <w:rPr>
          <w:rFonts w:cs="Times New Roman"/>
          <w:szCs w:val="22"/>
        </w:rPr>
        <w:t>”</w:t>
      </w:r>
      <w:r w:rsidRPr="002D565A">
        <w:rPr>
          <w:rFonts w:cs="Times New Roman"/>
          <w:szCs w:val="22"/>
        </w:rPr>
        <w:t>)</w:t>
      </w:r>
      <w:r>
        <w:rPr>
          <w:rFonts w:cs="Times New Roman"/>
          <w:szCs w:val="22"/>
        </w:rPr>
        <w:t xml:space="preserve"> (</w:t>
      </w:r>
      <w:r w:rsidRPr="002D565A">
        <w:rPr>
          <w:rFonts w:cs="Times New Roman"/>
          <w:szCs w:val="22"/>
        </w:rPr>
        <w:t xml:space="preserve">September 13, 2012). </w:t>
      </w:r>
    </w:p>
  </w:footnote>
  <w:footnote w:id="17">
    <w:p w:rsidR="00E82D11" w:rsidRDefault="00E82D11" w:rsidP="00A35B09">
      <w:pPr>
        <w:pStyle w:val="FootnoteText"/>
      </w:pPr>
      <w:r w:rsidRPr="00A4239E">
        <w:rPr>
          <w:rStyle w:val="FootnoteReference"/>
          <w:rFonts w:cs="Times New Roman"/>
          <w:szCs w:val="22"/>
        </w:rPr>
        <w:footnoteRef/>
      </w:r>
      <w:r w:rsidRPr="00A4239E">
        <w:rPr>
          <w:rFonts w:cs="Times New Roman"/>
          <w:szCs w:val="22"/>
        </w:rPr>
        <w:t xml:space="preserve"> </w:t>
      </w:r>
      <w:r w:rsidRPr="00A4239E">
        <w:rPr>
          <w:rFonts w:cs="Times New Roman"/>
          <w:szCs w:val="22"/>
        </w:rPr>
        <w:tab/>
      </w:r>
      <w:r>
        <w:rPr>
          <w:rFonts w:cs="Times New Roman"/>
          <w:szCs w:val="22"/>
        </w:rPr>
        <w:tab/>
      </w:r>
      <w:r w:rsidRPr="00A4239E">
        <w:rPr>
          <w:rFonts w:cs="Times New Roman"/>
          <w:szCs w:val="22"/>
        </w:rPr>
        <w:t xml:space="preserve">Joint Exhibit 1, </w:t>
      </w:r>
      <w:r>
        <w:rPr>
          <w:rFonts w:cs="Times New Roman"/>
          <w:szCs w:val="22"/>
        </w:rPr>
        <w:t xml:space="preserve">2012 Stipulation at </w:t>
      </w:r>
      <w:r w:rsidRPr="00A4239E">
        <w:rPr>
          <w:rFonts w:cs="Times New Roman"/>
          <w:szCs w:val="22"/>
        </w:rPr>
        <w:t>¶ 1(b).</w:t>
      </w:r>
      <w:r>
        <w:t xml:space="preserve"> </w:t>
      </w:r>
    </w:p>
  </w:footnote>
  <w:footnote w:id="18">
    <w:p w:rsidR="00E82D11" w:rsidRPr="00A4239E" w:rsidRDefault="00E82D11" w:rsidP="00A35B09">
      <w:pPr>
        <w:pStyle w:val="FootnoteText"/>
        <w:rPr>
          <w:rFonts w:cs="Times New Roman"/>
          <w:szCs w:val="22"/>
        </w:rPr>
      </w:pPr>
      <w:r w:rsidRPr="00A4239E">
        <w:rPr>
          <w:rStyle w:val="FootnoteReference"/>
          <w:rFonts w:cs="Times New Roman"/>
          <w:szCs w:val="22"/>
        </w:rPr>
        <w:footnoteRef/>
      </w:r>
      <w:r w:rsidRPr="00A4239E">
        <w:rPr>
          <w:rFonts w:cs="Times New Roman"/>
          <w:szCs w:val="22"/>
        </w:rPr>
        <w:t xml:space="preserve"> </w:t>
      </w:r>
      <w:r w:rsidRPr="00A4239E">
        <w:rPr>
          <w:rFonts w:cs="Times New Roman"/>
          <w:szCs w:val="22"/>
        </w:rPr>
        <w:tab/>
      </w:r>
      <w:r>
        <w:rPr>
          <w:rFonts w:cs="Times New Roman"/>
          <w:szCs w:val="22"/>
        </w:rPr>
        <w:tab/>
        <w:t xml:space="preserve">OGMA/RESA Ex. 1, </w:t>
      </w:r>
      <w:r w:rsidRPr="00A4239E">
        <w:rPr>
          <w:rFonts w:cs="Times New Roman"/>
          <w:szCs w:val="22"/>
        </w:rPr>
        <w:t>Ringenbach Direct at 6-7.</w:t>
      </w:r>
    </w:p>
  </w:footnote>
  <w:footnote w:id="19">
    <w:p w:rsidR="00E82D11" w:rsidRDefault="00E82D11" w:rsidP="00A35B09">
      <w:pPr>
        <w:pStyle w:val="FootnoteText"/>
      </w:pPr>
      <w:r w:rsidRPr="00A4239E">
        <w:rPr>
          <w:rStyle w:val="FootnoteReference"/>
          <w:rFonts w:cs="Times New Roman"/>
          <w:szCs w:val="22"/>
        </w:rPr>
        <w:footnoteRef/>
      </w:r>
      <w:r w:rsidRPr="00A4239E">
        <w:rPr>
          <w:rFonts w:cs="Times New Roman"/>
          <w:szCs w:val="22"/>
        </w:rPr>
        <w:t xml:space="preserve"> </w:t>
      </w:r>
      <w:r>
        <w:rPr>
          <w:rFonts w:cs="Times New Roman"/>
          <w:szCs w:val="22"/>
        </w:rPr>
        <w:tab/>
      </w:r>
      <w:r>
        <w:rPr>
          <w:rFonts w:cs="Times New Roman"/>
          <w:szCs w:val="22"/>
        </w:rPr>
        <w:tab/>
      </w:r>
      <w:r w:rsidRPr="00A4239E">
        <w:rPr>
          <w:rFonts w:cs="Times New Roman"/>
          <w:szCs w:val="22"/>
        </w:rPr>
        <w:t xml:space="preserve">Staff Ex. 1, Bossart Direct at 6-7. </w:t>
      </w:r>
    </w:p>
  </w:footnote>
  <w:footnote w:id="20">
    <w:p w:rsidR="00E82D11" w:rsidRPr="00A4239E" w:rsidRDefault="00E82D11" w:rsidP="00A35B09">
      <w:pPr>
        <w:pStyle w:val="FootnoteText"/>
        <w:rPr>
          <w:szCs w:val="22"/>
        </w:rPr>
      </w:pPr>
      <w:r w:rsidRPr="00A4239E">
        <w:rPr>
          <w:rStyle w:val="FootnoteReference"/>
          <w:szCs w:val="22"/>
        </w:rPr>
        <w:footnoteRef/>
      </w:r>
      <w:r w:rsidRPr="00A4239E">
        <w:rPr>
          <w:szCs w:val="22"/>
        </w:rPr>
        <w:t xml:space="preserve"> </w:t>
      </w:r>
      <w:r>
        <w:rPr>
          <w:szCs w:val="22"/>
        </w:rPr>
        <w:tab/>
      </w:r>
      <w:r>
        <w:rPr>
          <w:szCs w:val="22"/>
        </w:rPr>
        <w:tab/>
      </w:r>
      <w:r w:rsidR="001315E7">
        <w:rPr>
          <w:rFonts w:cs="Times New Roman"/>
          <w:szCs w:val="22"/>
        </w:rPr>
        <w:t>Staff Ex. 2, Staff Comments at 3</w:t>
      </w:r>
      <w:r w:rsidRPr="00A4239E">
        <w:rPr>
          <w:rFonts w:cs="Times New Roman"/>
          <w:szCs w:val="22"/>
        </w:rPr>
        <w:t>.</w:t>
      </w:r>
    </w:p>
  </w:footnote>
  <w:footnote w:id="21">
    <w:p w:rsidR="00E82D11" w:rsidRPr="008357DF" w:rsidRDefault="00E82D11" w:rsidP="00A35B09">
      <w:pPr>
        <w:pStyle w:val="FootnoteText"/>
        <w:rPr>
          <w:rFonts w:cs="Times New Roman"/>
        </w:rPr>
      </w:pPr>
      <w:r w:rsidRPr="00A4239E">
        <w:rPr>
          <w:rStyle w:val="FootnoteReference"/>
          <w:rFonts w:cs="Times New Roman"/>
          <w:szCs w:val="22"/>
        </w:rPr>
        <w:footnoteRef/>
      </w:r>
      <w:r w:rsidRPr="00A4239E">
        <w:rPr>
          <w:rFonts w:cs="Times New Roman"/>
          <w:szCs w:val="22"/>
        </w:rPr>
        <w:t xml:space="preserve"> </w:t>
      </w:r>
      <w:r>
        <w:rPr>
          <w:rFonts w:cs="Times New Roman"/>
          <w:szCs w:val="22"/>
        </w:rPr>
        <w:tab/>
      </w:r>
      <w:r>
        <w:rPr>
          <w:rFonts w:cs="Times New Roman"/>
          <w:szCs w:val="22"/>
        </w:rPr>
        <w:tab/>
      </w:r>
      <w:r w:rsidRPr="00A4239E">
        <w:rPr>
          <w:rFonts w:cs="Times New Roman"/>
          <w:szCs w:val="22"/>
        </w:rPr>
        <w:t xml:space="preserve">DEO Exhibit 4, Dominion’s Reply Comments </w:t>
      </w:r>
      <w:r>
        <w:rPr>
          <w:rFonts w:cs="Times New Roman"/>
          <w:szCs w:val="22"/>
        </w:rPr>
        <w:t>at 2</w:t>
      </w:r>
      <w:r w:rsidRPr="00A4239E">
        <w:rPr>
          <w:rFonts w:cs="Times New Roman"/>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11" w:rsidRDefault="00E82D11" w:rsidP="00C220A2">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E82D11" w:rsidRDefault="00E82D11" w:rsidP="00C220A2">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E82D11" w:rsidRPr="00C220A2" w:rsidRDefault="00E82D11" w:rsidP="00C220A2">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11" w:rsidRDefault="00E82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11" w:rsidRPr="00C220A2" w:rsidRDefault="00E82D11" w:rsidP="00C2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90D"/>
    <w:multiLevelType w:val="hybridMultilevel"/>
    <w:tmpl w:val="DB9EFFD4"/>
    <w:lvl w:ilvl="0" w:tplc="189A5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B37F6"/>
    <w:multiLevelType w:val="hybridMultilevel"/>
    <w:tmpl w:val="45F2A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C616B8"/>
    <w:multiLevelType w:val="hybridMultilevel"/>
    <w:tmpl w:val="388227E8"/>
    <w:lvl w:ilvl="0" w:tplc="72B855A8">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A1DB3"/>
    <w:multiLevelType w:val="hybridMultilevel"/>
    <w:tmpl w:val="2A207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0109A4"/>
    <w:multiLevelType w:val="hybridMultilevel"/>
    <w:tmpl w:val="064E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E62C3"/>
    <w:multiLevelType w:val="hybridMultilevel"/>
    <w:tmpl w:val="4CE8B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3C4AEE"/>
    <w:multiLevelType w:val="hybridMultilevel"/>
    <w:tmpl w:val="8B2EE0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D537C7"/>
    <w:multiLevelType w:val="hybridMultilevel"/>
    <w:tmpl w:val="035C4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74440"/>
    <w:multiLevelType w:val="hybridMultilevel"/>
    <w:tmpl w:val="3D9AD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BD0972"/>
    <w:multiLevelType w:val="hybridMultilevel"/>
    <w:tmpl w:val="E62EFFD4"/>
    <w:lvl w:ilvl="0" w:tplc="189A52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D81E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9096F"/>
    <w:multiLevelType w:val="hybridMultilevel"/>
    <w:tmpl w:val="32D20D5A"/>
    <w:lvl w:ilvl="0" w:tplc="FCE6B58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409DA"/>
    <w:multiLevelType w:val="hybridMultilevel"/>
    <w:tmpl w:val="10B09644"/>
    <w:lvl w:ilvl="0" w:tplc="189A52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D81E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64544"/>
    <w:multiLevelType w:val="hybridMultilevel"/>
    <w:tmpl w:val="F320A7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11"/>
  </w:num>
  <w:num w:numId="3">
    <w:abstractNumId w:val="0"/>
  </w:num>
  <w:num w:numId="4">
    <w:abstractNumId w:val="3"/>
  </w:num>
  <w:num w:numId="5">
    <w:abstractNumId w:val="5"/>
  </w:num>
  <w:num w:numId="6">
    <w:abstractNumId w:val="12"/>
  </w:num>
  <w:num w:numId="7">
    <w:abstractNumId w:val="7"/>
  </w:num>
  <w:num w:numId="8">
    <w:abstractNumId w:val="8"/>
  </w:num>
  <w:num w:numId="9">
    <w:abstractNumId w:val="4"/>
  </w:num>
  <w:num w:numId="10">
    <w:abstractNumId w:val="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AA"/>
    <w:rsid w:val="00015F2B"/>
    <w:rsid w:val="00054435"/>
    <w:rsid w:val="00070F07"/>
    <w:rsid w:val="000972D9"/>
    <w:rsid w:val="000A355B"/>
    <w:rsid w:val="000D127B"/>
    <w:rsid w:val="000E1E8E"/>
    <w:rsid w:val="000F5F37"/>
    <w:rsid w:val="001260B4"/>
    <w:rsid w:val="001315E7"/>
    <w:rsid w:val="00155F31"/>
    <w:rsid w:val="0019160B"/>
    <w:rsid w:val="001A6D54"/>
    <w:rsid w:val="001D01C8"/>
    <w:rsid w:val="001D653F"/>
    <w:rsid w:val="001E01CE"/>
    <w:rsid w:val="001F45A2"/>
    <w:rsid w:val="00236758"/>
    <w:rsid w:val="00243ABA"/>
    <w:rsid w:val="002541E6"/>
    <w:rsid w:val="00265B6B"/>
    <w:rsid w:val="0029117E"/>
    <w:rsid w:val="00296DD8"/>
    <w:rsid w:val="002A44CE"/>
    <w:rsid w:val="002B3119"/>
    <w:rsid w:val="002C263F"/>
    <w:rsid w:val="002D3D31"/>
    <w:rsid w:val="002D565A"/>
    <w:rsid w:val="002F7201"/>
    <w:rsid w:val="002F75EB"/>
    <w:rsid w:val="003012F5"/>
    <w:rsid w:val="00376434"/>
    <w:rsid w:val="003A4359"/>
    <w:rsid w:val="003A4F55"/>
    <w:rsid w:val="003E62C6"/>
    <w:rsid w:val="00420748"/>
    <w:rsid w:val="004221B5"/>
    <w:rsid w:val="00422983"/>
    <w:rsid w:val="00424C5D"/>
    <w:rsid w:val="00432807"/>
    <w:rsid w:val="00445C3C"/>
    <w:rsid w:val="0045341C"/>
    <w:rsid w:val="00496DA6"/>
    <w:rsid w:val="004A3F36"/>
    <w:rsid w:val="004B2EE5"/>
    <w:rsid w:val="00501BA4"/>
    <w:rsid w:val="005154E6"/>
    <w:rsid w:val="00544858"/>
    <w:rsid w:val="005541A3"/>
    <w:rsid w:val="0056466A"/>
    <w:rsid w:val="00565082"/>
    <w:rsid w:val="00585E9A"/>
    <w:rsid w:val="00592DC6"/>
    <w:rsid w:val="0060618F"/>
    <w:rsid w:val="006177B4"/>
    <w:rsid w:val="0064030C"/>
    <w:rsid w:val="00693A72"/>
    <w:rsid w:val="006957F8"/>
    <w:rsid w:val="0069682C"/>
    <w:rsid w:val="006D50A1"/>
    <w:rsid w:val="006D72D3"/>
    <w:rsid w:val="006E3167"/>
    <w:rsid w:val="006F6566"/>
    <w:rsid w:val="00726548"/>
    <w:rsid w:val="00746CF7"/>
    <w:rsid w:val="00754ECB"/>
    <w:rsid w:val="00765F4C"/>
    <w:rsid w:val="00771E01"/>
    <w:rsid w:val="00781E5F"/>
    <w:rsid w:val="00786DC6"/>
    <w:rsid w:val="007904F3"/>
    <w:rsid w:val="00791C27"/>
    <w:rsid w:val="007B3AF6"/>
    <w:rsid w:val="007D2A74"/>
    <w:rsid w:val="007E12C6"/>
    <w:rsid w:val="008357DF"/>
    <w:rsid w:val="00861D1A"/>
    <w:rsid w:val="00873BB7"/>
    <w:rsid w:val="00883D5B"/>
    <w:rsid w:val="008A14DD"/>
    <w:rsid w:val="008B3284"/>
    <w:rsid w:val="008D4B1F"/>
    <w:rsid w:val="00904B56"/>
    <w:rsid w:val="00906DA0"/>
    <w:rsid w:val="0091545F"/>
    <w:rsid w:val="00921978"/>
    <w:rsid w:val="00975BEB"/>
    <w:rsid w:val="00997455"/>
    <w:rsid w:val="009E353C"/>
    <w:rsid w:val="00A0354A"/>
    <w:rsid w:val="00A222F3"/>
    <w:rsid w:val="00A24C90"/>
    <w:rsid w:val="00A35B09"/>
    <w:rsid w:val="00A4239E"/>
    <w:rsid w:val="00A52010"/>
    <w:rsid w:val="00A541C6"/>
    <w:rsid w:val="00A65011"/>
    <w:rsid w:val="00A9412E"/>
    <w:rsid w:val="00AF0516"/>
    <w:rsid w:val="00AF6500"/>
    <w:rsid w:val="00B075E7"/>
    <w:rsid w:val="00B3413A"/>
    <w:rsid w:val="00B61380"/>
    <w:rsid w:val="00B9113A"/>
    <w:rsid w:val="00B92FDE"/>
    <w:rsid w:val="00BC4BDE"/>
    <w:rsid w:val="00BD45FD"/>
    <w:rsid w:val="00BE264F"/>
    <w:rsid w:val="00BE3D3C"/>
    <w:rsid w:val="00BF7002"/>
    <w:rsid w:val="00C2087B"/>
    <w:rsid w:val="00C220A2"/>
    <w:rsid w:val="00C378E0"/>
    <w:rsid w:val="00C41726"/>
    <w:rsid w:val="00C45568"/>
    <w:rsid w:val="00C62073"/>
    <w:rsid w:val="00C76891"/>
    <w:rsid w:val="00C93B82"/>
    <w:rsid w:val="00CA0E79"/>
    <w:rsid w:val="00CC28AA"/>
    <w:rsid w:val="00CD3E64"/>
    <w:rsid w:val="00D00CBC"/>
    <w:rsid w:val="00D23EF9"/>
    <w:rsid w:val="00D639A8"/>
    <w:rsid w:val="00D72837"/>
    <w:rsid w:val="00D74912"/>
    <w:rsid w:val="00DA4FF8"/>
    <w:rsid w:val="00DB4092"/>
    <w:rsid w:val="00DD29BE"/>
    <w:rsid w:val="00DF0A73"/>
    <w:rsid w:val="00E03224"/>
    <w:rsid w:val="00E732F9"/>
    <w:rsid w:val="00E82D11"/>
    <w:rsid w:val="00E90544"/>
    <w:rsid w:val="00EA3F2B"/>
    <w:rsid w:val="00EB3459"/>
    <w:rsid w:val="00F07BAF"/>
    <w:rsid w:val="00F40D0F"/>
    <w:rsid w:val="00F47379"/>
    <w:rsid w:val="00F5215F"/>
    <w:rsid w:val="00FA11FD"/>
    <w:rsid w:val="00FB5197"/>
    <w:rsid w:val="00FD4CF3"/>
    <w:rsid w:val="00FD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9"/>
  </w:style>
  <w:style w:type="paragraph" w:styleId="Heading1">
    <w:name w:val="heading 1"/>
    <w:basedOn w:val="Normal"/>
    <w:next w:val="Normal"/>
    <w:link w:val="Heading1Char"/>
    <w:autoRedefine/>
    <w:uiPriority w:val="9"/>
    <w:qFormat/>
    <w:rsid w:val="002D565A"/>
    <w:pPr>
      <w:keepNext/>
      <w:keepLines/>
      <w:numPr>
        <w:numId w:val="13"/>
      </w:numPr>
      <w:spacing w:before="360" w:after="240" w:line="240" w:lineRule="auto"/>
      <w:ind w:hanging="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C220A2"/>
    <w:pPr>
      <w:keepNext/>
      <w:keepLines/>
      <w:spacing w:before="360" w:after="240" w:line="240" w:lineRule="auto"/>
      <w:ind w:left="1440" w:right="720" w:hanging="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C220A2"/>
    <w:pPr>
      <w:keepNext/>
      <w:keepLines/>
      <w:spacing w:before="360" w:after="240" w:line="240" w:lineRule="auto"/>
      <w:ind w:left="2160" w:right="720" w:hanging="720"/>
      <w:outlineLvl w:val="2"/>
    </w:pPr>
    <w:rPr>
      <w:rFonts w:ascii="Times New Roman" w:eastAsiaTheme="majorEastAsia" w:hAnsi="Times New Roman" w:cstheme="majorBidi"/>
      <w:b/>
      <w:bCs/>
      <w:sz w:val="28"/>
    </w:rPr>
  </w:style>
  <w:style w:type="paragraph" w:styleId="Heading6">
    <w:name w:val="heading 6"/>
    <w:basedOn w:val="Normal"/>
    <w:next w:val="Normal"/>
    <w:link w:val="Heading6Char"/>
    <w:autoRedefine/>
    <w:uiPriority w:val="9"/>
    <w:unhideWhenUsed/>
    <w:qFormat/>
    <w:rsid w:val="002F7201"/>
    <w:pPr>
      <w:keepNext/>
      <w:keepLines/>
      <w:spacing w:before="360" w:after="240" w:line="240" w:lineRule="auto"/>
      <w:jc w:val="center"/>
      <w:outlineLvl w:val="5"/>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2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8AA"/>
    <w:rPr>
      <w:sz w:val="20"/>
      <w:szCs w:val="20"/>
    </w:rPr>
  </w:style>
  <w:style w:type="paragraph" w:styleId="FootnoteText">
    <w:name w:val="footnote text"/>
    <w:basedOn w:val="Normal"/>
    <w:link w:val="FootnoteTextChar"/>
    <w:autoRedefine/>
    <w:uiPriority w:val="99"/>
    <w:unhideWhenUsed/>
    <w:rsid w:val="002D565A"/>
    <w:pPr>
      <w:spacing w:before="240" w:after="240" w:line="240" w:lineRule="auto"/>
      <w:ind w:left="720" w:hanging="720"/>
    </w:pPr>
    <w:rPr>
      <w:rFonts w:ascii="Times New Roman" w:hAnsi="Times New Roman"/>
      <w:szCs w:val="20"/>
    </w:rPr>
  </w:style>
  <w:style w:type="character" w:customStyle="1" w:styleId="FootnoteTextChar">
    <w:name w:val="Footnote Text Char"/>
    <w:basedOn w:val="DefaultParagraphFont"/>
    <w:link w:val="FootnoteText"/>
    <w:uiPriority w:val="99"/>
    <w:rsid w:val="002D565A"/>
    <w:rPr>
      <w:rFonts w:ascii="Times New Roman" w:hAnsi="Times New Roman"/>
      <w:szCs w:val="20"/>
    </w:rPr>
  </w:style>
  <w:style w:type="character" w:styleId="FootnoteReference">
    <w:name w:val="footnote reference"/>
    <w:uiPriority w:val="99"/>
    <w:unhideWhenUsed/>
    <w:rsid w:val="00CC28AA"/>
    <w:rPr>
      <w:vertAlign w:val="superscript"/>
    </w:rPr>
  </w:style>
  <w:style w:type="table" w:styleId="TableGrid">
    <w:name w:val="Table Grid"/>
    <w:basedOn w:val="TableNormal"/>
    <w:uiPriority w:val="59"/>
    <w:rsid w:val="00CC2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AA"/>
  </w:style>
  <w:style w:type="paragraph" w:styleId="ListParagraph">
    <w:name w:val="List Paragraph"/>
    <w:basedOn w:val="Normal"/>
    <w:uiPriority w:val="34"/>
    <w:qFormat/>
    <w:rsid w:val="00791C27"/>
    <w:pPr>
      <w:ind w:left="720"/>
      <w:contextualSpacing/>
    </w:pPr>
  </w:style>
  <w:style w:type="paragraph" w:customStyle="1" w:styleId="question">
    <w:name w:val="question"/>
    <w:basedOn w:val="Normal"/>
    <w:rsid w:val="00501BA4"/>
    <w:pPr>
      <w:tabs>
        <w:tab w:val="left" w:pos="720"/>
      </w:tabs>
      <w:spacing w:after="0" w:line="480" w:lineRule="auto"/>
      <w:ind w:left="1440" w:hanging="144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2D565A"/>
    <w:rPr>
      <w:rFonts w:ascii="Times New Roman" w:eastAsiaTheme="majorEastAsia" w:hAnsi="Times New Roman" w:cstheme="majorBidi"/>
      <w:b/>
      <w:bCs/>
      <w:sz w:val="28"/>
      <w:szCs w:val="28"/>
    </w:rPr>
  </w:style>
  <w:style w:type="paragraph" w:customStyle="1" w:styleId="TEXTSTYLE">
    <w:name w:val="TEXT STYLE"/>
    <w:basedOn w:val="ListParagraph"/>
    <w:autoRedefine/>
    <w:rsid w:val="002F7201"/>
    <w:pPr>
      <w:spacing w:after="0" w:line="480" w:lineRule="auto"/>
      <w:ind w:left="0"/>
      <w:contextualSpacing w:val="0"/>
    </w:pPr>
    <w:rPr>
      <w:rFonts w:ascii="Times New Roman" w:hAnsi="Times New Roman" w:cs="Times New Roman"/>
      <w:sz w:val="26"/>
      <w:szCs w:val="26"/>
    </w:rPr>
  </w:style>
  <w:style w:type="character" w:customStyle="1" w:styleId="Heading2Char">
    <w:name w:val="Heading 2 Char"/>
    <w:basedOn w:val="DefaultParagraphFont"/>
    <w:link w:val="Heading2"/>
    <w:uiPriority w:val="9"/>
    <w:rsid w:val="00C220A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C220A2"/>
    <w:rPr>
      <w:rFonts w:ascii="Times New Roman" w:eastAsiaTheme="majorEastAsia" w:hAnsi="Times New Roman" w:cstheme="majorBidi"/>
      <w:b/>
      <w:bCs/>
      <w:sz w:val="28"/>
    </w:rPr>
  </w:style>
  <w:style w:type="paragraph" w:customStyle="1" w:styleId="Footnotete">
    <w:name w:val="Footnote te"/>
    <w:basedOn w:val="EndnoteText"/>
    <w:rsid w:val="00C220A2"/>
    <w:rPr>
      <w:rFonts w:ascii="Times New Roman" w:hAnsi="Times New Roman" w:cs="Times New Roman"/>
      <w:sz w:val="22"/>
      <w:szCs w:val="22"/>
    </w:rPr>
  </w:style>
  <w:style w:type="paragraph" w:styleId="Header">
    <w:name w:val="header"/>
    <w:basedOn w:val="Normal"/>
    <w:link w:val="HeaderChar"/>
    <w:uiPriority w:val="99"/>
    <w:unhideWhenUsed/>
    <w:rsid w:val="00C2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2"/>
  </w:style>
  <w:style w:type="paragraph" w:styleId="TOC1">
    <w:name w:val="toc 1"/>
    <w:basedOn w:val="Normal"/>
    <w:next w:val="Normal"/>
    <w:autoRedefine/>
    <w:uiPriority w:val="39"/>
    <w:unhideWhenUsed/>
    <w:rsid w:val="00265B6B"/>
    <w:pPr>
      <w:tabs>
        <w:tab w:val="right" w:leader="dot" w:pos="9346"/>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265B6B"/>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rsid w:val="00265B6B"/>
    <w:pPr>
      <w:tabs>
        <w:tab w:val="right" w:leader="dot" w:pos="9350"/>
      </w:tabs>
      <w:spacing w:before="240" w:after="240" w:line="240" w:lineRule="auto"/>
      <w:ind w:left="2160" w:right="1440" w:hanging="720"/>
    </w:pPr>
    <w:rPr>
      <w:rFonts w:ascii="Times New Roman" w:hAnsi="Times New Roman"/>
      <w:sz w:val="26"/>
    </w:rPr>
  </w:style>
  <w:style w:type="paragraph" w:styleId="BalloonText">
    <w:name w:val="Balloon Text"/>
    <w:basedOn w:val="Normal"/>
    <w:link w:val="BalloonTextChar"/>
    <w:uiPriority w:val="99"/>
    <w:semiHidden/>
    <w:unhideWhenUsed/>
    <w:rsid w:val="00E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24"/>
    <w:rPr>
      <w:rFonts w:ascii="Tahoma" w:hAnsi="Tahoma" w:cs="Tahoma"/>
      <w:sz w:val="16"/>
      <w:szCs w:val="16"/>
    </w:rPr>
  </w:style>
  <w:style w:type="character" w:customStyle="1" w:styleId="Heading6Char">
    <w:name w:val="Heading 6 Char"/>
    <w:basedOn w:val="DefaultParagraphFont"/>
    <w:link w:val="Heading6"/>
    <w:uiPriority w:val="9"/>
    <w:rsid w:val="002F7201"/>
    <w:rPr>
      <w:rFonts w:ascii="Times New Roman" w:eastAsiaTheme="majorEastAsia" w:hAnsi="Times New Roman" w:cstheme="majorBidi"/>
      <w:b/>
      <w:iCs/>
      <w:sz w:val="28"/>
    </w:rPr>
  </w:style>
  <w:style w:type="paragraph" w:styleId="TOC6">
    <w:name w:val="toc 6"/>
    <w:basedOn w:val="Normal"/>
    <w:next w:val="Normal"/>
    <w:autoRedefine/>
    <w:uiPriority w:val="39"/>
    <w:unhideWhenUsed/>
    <w:rsid w:val="002F7201"/>
    <w:pPr>
      <w:tabs>
        <w:tab w:val="right" w:leader="dot" w:pos="9350"/>
      </w:tabs>
      <w:spacing w:before="240" w:after="240" w:line="240" w:lineRule="auto"/>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9"/>
  </w:style>
  <w:style w:type="paragraph" w:styleId="Heading1">
    <w:name w:val="heading 1"/>
    <w:basedOn w:val="Normal"/>
    <w:next w:val="Normal"/>
    <w:link w:val="Heading1Char"/>
    <w:autoRedefine/>
    <w:uiPriority w:val="9"/>
    <w:qFormat/>
    <w:rsid w:val="002D565A"/>
    <w:pPr>
      <w:keepNext/>
      <w:keepLines/>
      <w:numPr>
        <w:numId w:val="13"/>
      </w:numPr>
      <w:spacing w:before="360" w:after="240" w:line="240" w:lineRule="auto"/>
      <w:ind w:hanging="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C220A2"/>
    <w:pPr>
      <w:keepNext/>
      <w:keepLines/>
      <w:spacing w:before="360" w:after="240" w:line="240" w:lineRule="auto"/>
      <w:ind w:left="1440" w:right="720" w:hanging="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C220A2"/>
    <w:pPr>
      <w:keepNext/>
      <w:keepLines/>
      <w:spacing w:before="360" w:after="240" w:line="240" w:lineRule="auto"/>
      <w:ind w:left="2160" w:right="720" w:hanging="720"/>
      <w:outlineLvl w:val="2"/>
    </w:pPr>
    <w:rPr>
      <w:rFonts w:ascii="Times New Roman" w:eastAsiaTheme="majorEastAsia" w:hAnsi="Times New Roman" w:cstheme="majorBidi"/>
      <w:b/>
      <w:bCs/>
      <w:sz w:val="28"/>
    </w:rPr>
  </w:style>
  <w:style w:type="paragraph" w:styleId="Heading6">
    <w:name w:val="heading 6"/>
    <w:basedOn w:val="Normal"/>
    <w:next w:val="Normal"/>
    <w:link w:val="Heading6Char"/>
    <w:autoRedefine/>
    <w:uiPriority w:val="9"/>
    <w:unhideWhenUsed/>
    <w:qFormat/>
    <w:rsid w:val="002F7201"/>
    <w:pPr>
      <w:keepNext/>
      <w:keepLines/>
      <w:spacing w:before="360" w:after="240" w:line="240" w:lineRule="auto"/>
      <w:jc w:val="center"/>
      <w:outlineLvl w:val="5"/>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2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8AA"/>
    <w:rPr>
      <w:sz w:val="20"/>
      <w:szCs w:val="20"/>
    </w:rPr>
  </w:style>
  <w:style w:type="paragraph" w:styleId="FootnoteText">
    <w:name w:val="footnote text"/>
    <w:basedOn w:val="Normal"/>
    <w:link w:val="FootnoteTextChar"/>
    <w:autoRedefine/>
    <w:uiPriority w:val="99"/>
    <w:unhideWhenUsed/>
    <w:rsid w:val="002D565A"/>
    <w:pPr>
      <w:spacing w:before="240" w:after="240" w:line="240" w:lineRule="auto"/>
      <w:ind w:left="720" w:hanging="720"/>
    </w:pPr>
    <w:rPr>
      <w:rFonts w:ascii="Times New Roman" w:hAnsi="Times New Roman"/>
      <w:szCs w:val="20"/>
    </w:rPr>
  </w:style>
  <w:style w:type="character" w:customStyle="1" w:styleId="FootnoteTextChar">
    <w:name w:val="Footnote Text Char"/>
    <w:basedOn w:val="DefaultParagraphFont"/>
    <w:link w:val="FootnoteText"/>
    <w:uiPriority w:val="99"/>
    <w:rsid w:val="002D565A"/>
    <w:rPr>
      <w:rFonts w:ascii="Times New Roman" w:hAnsi="Times New Roman"/>
      <w:szCs w:val="20"/>
    </w:rPr>
  </w:style>
  <w:style w:type="character" w:styleId="FootnoteReference">
    <w:name w:val="footnote reference"/>
    <w:uiPriority w:val="99"/>
    <w:unhideWhenUsed/>
    <w:rsid w:val="00CC28AA"/>
    <w:rPr>
      <w:vertAlign w:val="superscript"/>
    </w:rPr>
  </w:style>
  <w:style w:type="table" w:styleId="TableGrid">
    <w:name w:val="Table Grid"/>
    <w:basedOn w:val="TableNormal"/>
    <w:uiPriority w:val="59"/>
    <w:rsid w:val="00CC2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AA"/>
  </w:style>
  <w:style w:type="paragraph" w:styleId="ListParagraph">
    <w:name w:val="List Paragraph"/>
    <w:basedOn w:val="Normal"/>
    <w:uiPriority w:val="34"/>
    <w:qFormat/>
    <w:rsid w:val="00791C27"/>
    <w:pPr>
      <w:ind w:left="720"/>
      <w:contextualSpacing/>
    </w:pPr>
  </w:style>
  <w:style w:type="paragraph" w:customStyle="1" w:styleId="question">
    <w:name w:val="question"/>
    <w:basedOn w:val="Normal"/>
    <w:rsid w:val="00501BA4"/>
    <w:pPr>
      <w:tabs>
        <w:tab w:val="left" w:pos="720"/>
      </w:tabs>
      <w:spacing w:after="0" w:line="480" w:lineRule="auto"/>
      <w:ind w:left="1440" w:hanging="144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2D565A"/>
    <w:rPr>
      <w:rFonts w:ascii="Times New Roman" w:eastAsiaTheme="majorEastAsia" w:hAnsi="Times New Roman" w:cstheme="majorBidi"/>
      <w:b/>
      <w:bCs/>
      <w:sz w:val="28"/>
      <w:szCs w:val="28"/>
    </w:rPr>
  </w:style>
  <w:style w:type="paragraph" w:customStyle="1" w:styleId="TEXTSTYLE">
    <w:name w:val="TEXT STYLE"/>
    <w:basedOn w:val="ListParagraph"/>
    <w:autoRedefine/>
    <w:rsid w:val="002F7201"/>
    <w:pPr>
      <w:spacing w:after="0" w:line="480" w:lineRule="auto"/>
      <w:ind w:left="0"/>
      <w:contextualSpacing w:val="0"/>
    </w:pPr>
    <w:rPr>
      <w:rFonts w:ascii="Times New Roman" w:hAnsi="Times New Roman" w:cs="Times New Roman"/>
      <w:sz w:val="26"/>
      <w:szCs w:val="26"/>
    </w:rPr>
  </w:style>
  <w:style w:type="character" w:customStyle="1" w:styleId="Heading2Char">
    <w:name w:val="Heading 2 Char"/>
    <w:basedOn w:val="DefaultParagraphFont"/>
    <w:link w:val="Heading2"/>
    <w:uiPriority w:val="9"/>
    <w:rsid w:val="00C220A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C220A2"/>
    <w:rPr>
      <w:rFonts w:ascii="Times New Roman" w:eastAsiaTheme="majorEastAsia" w:hAnsi="Times New Roman" w:cstheme="majorBidi"/>
      <w:b/>
      <w:bCs/>
      <w:sz w:val="28"/>
    </w:rPr>
  </w:style>
  <w:style w:type="paragraph" w:customStyle="1" w:styleId="Footnotete">
    <w:name w:val="Footnote te"/>
    <w:basedOn w:val="EndnoteText"/>
    <w:rsid w:val="00C220A2"/>
    <w:rPr>
      <w:rFonts w:ascii="Times New Roman" w:hAnsi="Times New Roman" w:cs="Times New Roman"/>
      <w:sz w:val="22"/>
      <w:szCs w:val="22"/>
    </w:rPr>
  </w:style>
  <w:style w:type="paragraph" w:styleId="Header">
    <w:name w:val="header"/>
    <w:basedOn w:val="Normal"/>
    <w:link w:val="HeaderChar"/>
    <w:uiPriority w:val="99"/>
    <w:unhideWhenUsed/>
    <w:rsid w:val="00C2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2"/>
  </w:style>
  <w:style w:type="paragraph" w:styleId="TOC1">
    <w:name w:val="toc 1"/>
    <w:basedOn w:val="Normal"/>
    <w:next w:val="Normal"/>
    <w:autoRedefine/>
    <w:uiPriority w:val="39"/>
    <w:unhideWhenUsed/>
    <w:rsid w:val="00265B6B"/>
    <w:pPr>
      <w:tabs>
        <w:tab w:val="right" w:leader="dot" w:pos="9346"/>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265B6B"/>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rsid w:val="00265B6B"/>
    <w:pPr>
      <w:tabs>
        <w:tab w:val="right" w:leader="dot" w:pos="9350"/>
      </w:tabs>
      <w:spacing w:before="240" w:after="240" w:line="240" w:lineRule="auto"/>
      <w:ind w:left="2160" w:right="1440" w:hanging="720"/>
    </w:pPr>
    <w:rPr>
      <w:rFonts w:ascii="Times New Roman" w:hAnsi="Times New Roman"/>
      <w:sz w:val="26"/>
    </w:rPr>
  </w:style>
  <w:style w:type="paragraph" w:styleId="BalloonText">
    <w:name w:val="Balloon Text"/>
    <w:basedOn w:val="Normal"/>
    <w:link w:val="BalloonTextChar"/>
    <w:uiPriority w:val="99"/>
    <w:semiHidden/>
    <w:unhideWhenUsed/>
    <w:rsid w:val="00E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24"/>
    <w:rPr>
      <w:rFonts w:ascii="Tahoma" w:hAnsi="Tahoma" w:cs="Tahoma"/>
      <w:sz w:val="16"/>
      <w:szCs w:val="16"/>
    </w:rPr>
  </w:style>
  <w:style w:type="character" w:customStyle="1" w:styleId="Heading6Char">
    <w:name w:val="Heading 6 Char"/>
    <w:basedOn w:val="DefaultParagraphFont"/>
    <w:link w:val="Heading6"/>
    <w:uiPriority w:val="9"/>
    <w:rsid w:val="002F7201"/>
    <w:rPr>
      <w:rFonts w:ascii="Times New Roman" w:eastAsiaTheme="majorEastAsia" w:hAnsi="Times New Roman" w:cstheme="majorBidi"/>
      <w:b/>
      <w:iCs/>
      <w:sz w:val="28"/>
    </w:rPr>
  </w:style>
  <w:style w:type="paragraph" w:styleId="TOC6">
    <w:name w:val="toc 6"/>
    <w:basedOn w:val="Normal"/>
    <w:next w:val="Normal"/>
    <w:autoRedefine/>
    <w:uiPriority w:val="39"/>
    <w:unhideWhenUsed/>
    <w:rsid w:val="002F7201"/>
    <w:pPr>
      <w:tabs>
        <w:tab w:val="right" w:leader="dot" w:pos="9350"/>
      </w:tabs>
      <w:spacing w:before="240" w:after="24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mhoward@vory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uer@occ.state.oh.u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hpetricoff@vorys.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ampbell@whitt-sturtevant.com" TargetMode="External"/><Relationship Id="rId20" Type="http://schemas.openxmlformats.org/officeDocument/2006/relationships/hyperlink" Target="mailto:serio@oc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whitt@whitt-sturtevant.com" TargetMode="External"/><Relationship Id="rId23" Type="http://schemas.openxmlformats.org/officeDocument/2006/relationships/footer" Target="footer3.xml"/><Relationship Id="rId10" Type="http://schemas.openxmlformats.org/officeDocument/2006/relationships/hyperlink" Target="mailto:devin.parram@puc.state.oh.us" TargetMode="External"/><Relationship Id="rId19" Type="http://schemas.openxmlformats.org/officeDocument/2006/relationships/hyperlink" Target="mailto:Cmooney2@columbus.rr.com" TargetMode="External"/><Relationship Id="rId4" Type="http://schemas.microsoft.com/office/2007/relationships/stylesWithEffects" Target="stylesWithEffects.xml"/><Relationship Id="rId9" Type="http://schemas.openxmlformats.org/officeDocument/2006/relationships/hyperlink" Target="mailto:stephen.reilly@puc.state.oh.us" TargetMode="External"/><Relationship Id="rId14" Type="http://schemas.openxmlformats.org/officeDocument/2006/relationships/hyperlink" Target="mailto:devin.parram@puc.state.oh.u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CBCF-C865-422F-8E79-9CCB78EB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Parram, Devin</dc:creator>
  <cp:lastModifiedBy>Keeton, Kim</cp:lastModifiedBy>
  <cp:revision>46</cp:revision>
  <cp:lastPrinted>2012-11-13T18:34:00Z</cp:lastPrinted>
  <dcterms:created xsi:type="dcterms:W3CDTF">2012-11-06T21:17:00Z</dcterms:created>
  <dcterms:modified xsi:type="dcterms:W3CDTF">2012-11-13T18:34:00Z</dcterms:modified>
</cp:coreProperties>
</file>