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D0D32" w:rsidP="00605835" w14:paraId="18B6FE77" w14:textId="71FBB4F5">
      <w:pPr>
        <w:spacing w:after="0" w:line="240" w:lineRule="auto"/>
        <w:jc w:val="center"/>
      </w:pPr>
      <w:bookmarkStart w:id="0" w:name="_GoBack"/>
      <w:bookmarkEnd w:id="0"/>
      <w:r>
        <w:t>BEFORE</w:t>
      </w:r>
    </w:p>
    <w:p w:rsidR="00605835" w:rsidP="00605835" w14:paraId="605A15CF" w14:textId="6A13C308">
      <w:pPr>
        <w:spacing w:after="0" w:line="240" w:lineRule="auto"/>
        <w:jc w:val="center"/>
      </w:pPr>
      <w:r>
        <w:t>THE PUBLIC UTILITIES COMMISSION OF OHIO</w:t>
      </w:r>
    </w:p>
    <w:p w:rsidR="00605835" w:rsidP="00605835" w14:paraId="132E0CBC" w14:textId="68AB4151">
      <w:pPr>
        <w:spacing w:after="0" w:line="240" w:lineRule="auto"/>
        <w:jc w:val="center"/>
      </w:pPr>
    </w:p>
    <w:tbl>
      <w:tblPr>
        <w:tblW w:w="9098" w:type="dxa"/>
        <w:tblLook w:val="01E0"/>
      </w:tblPr>
      <w:tblGrid>
        <w:gridCol w:w="4590"/>
        <w:gridCol w:w="450"/>
        <w:gridCol w:w="4058"/>
      </w:tblGrid>
      <w:tr w14:paraId="2319A73B" w14:textId="77777777" w:rsidTr="001513E4">
        <w:tblPrEx>
          <w:tblW w:w="9098" w:type="dxa"/>
          <w:tblLook w:val="01E0"/>
        </w:tblPrEx>
        <w:trPr>
          <w:trHeight w:val="807"/>
        </w:trPr>
        <w:tc>
          <w:tcPr>
            <w:tcW w:w="4590" w:type="dxa"/>
            <w:shd w:val="clear" w:color="auto" w:fill="auto"/>
          </w:tcPr>
          <w:p w:rsidR="001513E4" w:rsidRPr="00764FEA" w:rsidP="0012149B" w14:paraId="040F017E" w14:textId="77777777">
            <w:pPr>
              <w:pStyle w:val="HTMLPreformatted"/>
              <w:rPr>
                <w:rFonts w:cs="Times New Roman"/>
                <w:szCs w:val="24"/>
              </w:rPr>
            </w:pPr>
            <w:r w:rsidRPr="00A044B5">
              <w:rPr>
                <w:rFonts w:cs="Times New Roman"/>
                <w:szCs w:val="24"/>
              </w:rPr>
              <w:t>In the Matter of</w:t>
            </w:r>
            <w:r>
              <w:rPr>
                <w:rFonts w:cs="Times New Roman"/>
                <w:szCs w:val="24"/>
              </w:rPr>
              <w:t xml:space="preserve"> the Review of the Reconciliation Rider of The Dayton Power and Light Company.</w:t>
            </w:r>
          </w:p>
        </w:tc>
        <w:tc>
          <w:tcPr>
            <w:tcW w:w="450" w:type="dxa"/>
            <w:shd w:val="clear" w:color="auto" w:fill="auto"/>
          </w:tcPr>
          <w:p w:rsidR="001513E4" w:rsidRPr="00A044B5" w:rsidP="0012149B" w14:paraId="4EB8EDC1" w14:textId="77777777">
            <w:pPr>
              <w:pStyle w:val="HTMLPreformatted"/>
            </w:pPr>
            <w:r w:rsidRPr="00A044B5">
              <w:t>)</w:t>
            </w:r>
          </w:p>
          <w:p w:rsidR="001513E4" w:rsidRPr="00A044B5" w:rsidP="0012149B" w14:paraId="2785DAAF" w14:textId="77777777">
            <w:pPr>
              <w:pStyle w:val="HTMLPreformatted"/>
            </w:pPr>
            <w:r w:rsidRPr="00A044B5">
              <w:t>)</w:t>
            </w:r>
          </w:p>
          <w:p w:rsidR="001513E4" w:rsidRPr="00A044B5" w:rsidP="0012149B" w14:paraId="55232FAF" w14:textId="77777777">
            <w:pPr>
              <w:pStyle w:val="HTMLPreformatted"/>
            </w:pPr>
            <w:r w:rsidRPr="00A044B5">
              <w:t>)</w:t>
            </w:r>
          </w:p>
        </w:tc>
        <w:tc>
          <w:tcPr>
            <w:tcW w:w="4058" w:type="dxa"/>
            <w:shd w:val="clear" w:color="auto" w:fill="auto"/>
          </w:tcPr>
          <w:p w:rsidR="001513E4" w:rsidRPr="00A044B5" w:rsidP="0012149B" w14:paraId="41E92AAF" w14:textId="77777777">
            <w:pPr>
              <w:pStyle w:val="HTMLPreformatted"/>
            </w:pPr>
          </w:p>
          <w:p w:rsidR="001513E4" w:rsidRPr="00A044B5" w:rsidP="0012149B" w14:paraId="29175ACF" w14:textId="77777777">
            <w:pPr>
              <w:pStyle w:val="HTMLPreformatted"/>
            </w:pPr>
            <w:r w:rsidRPr="00A044B5">
              <w:t xml:space="preserve">Case No. </w:t>
            </w:r>
            <w:r>
              <w:t>20-165-EL-RDR</w:t>
            </w:r>
          </w:p>
          <w:p w:rsidR="001513E4" w:rsidRPr="00A044B5" w:rsidP="0012149B" w14:paraId="00038BDF" w14:textId="77777777">
            <w:pPr>
              <w:pStyle w:val="HTMLPreformatted"/>
            </w:pPr>
          </w:p>
        </w:tc>
      </w:tr>
    </w:tbl>
    <w:p w:rsidR="00605835" w:rsidRPr="0012149B" w:rsidP="00605835" w14:paraId="3BB153C2" w14:textId="3E13749C">
      <w:pPr>
        <w:spacing w:after="0" w:line="240" w:lineRule="auto"/>
      </w:pPr>
      <w:r w:rsidRPr="0012149B">
        <w:t>______________________________________________________________________________</w:t>
      </w:r>
    </w:p>
    <w:p w:rsidR="00605835" w:rsidP="00605835" w14:paraId="7E28B540" w14:textId="77777777">
      <w:pPr>
        <w:spacing w:after="0" w:line="240" w:lineRule="auto"/>
        <w:jc w:val="center"/>
      </w:pPr>
    </w:p>
    <w:p w:rsidR="00605835" w:rsidP="00605835" w14:paraId="7BC66AA7" w14:textId="2D2B8E40">
      <w:pPr>
        <w:spacing w:after="0" w:line="240" w:lineRule="auto"/>
        <w:jc w:val="center"/>
      </w:pPr>
      <w:r>
        <w:t xml:space="preserve">INITIAL </w:t>
      </w:r>
      <w:r>
        <w:t>COMMENTS</w:t>
      </w:r>
    </w:p>
    <w:p w:rsidR="00605835" w:rsidP="00605835" w14:paraId="7995A89D" w14:textId="7BFCB1D1">
      <w:pPr>
        <w:spacing w:after="0" w:line="240" w:lineRule="auto"/>
        <w:jc w:val="center"/>
      </w:pPr>
      <w:r>
        <w:t>BY</w:t>
      </w:r>
    </w:p>
    <w:p w:rsidR="00605835" w:rsidP="00605835" w14:paraId="283E94DD" w14:textId="7913B998">
      <w:pPr>
        <w:spacing w:after="0" w:line="240" w:lineRule="auto"/>
        <w:jc w:val="center"/>
      </w:pPr>
      <w:r>
        <w:t>THE OFFICE OF THE OHIO CONSUMERS’ COUNSEL</w:t>
      </w:r>
    </w:p>
    <w:p w:rsidR="00605835" w:rsidRPr="0012149B" w:rsidP="00605835" w14:paraId="71255998" w14:textId="7182204C">
      <w:pPr>
        <w:spacing w:after="0" w:line="240" w:lineRule="auto"/>
        <w:jc w:val="center"/>
      </w:pPr>
      <w:r w:rsidRPr="0012149B">
        <w:t>______________________________________________________________________________</w:t>
      </w:r>
    </w:p>
    <w:p w:rsidR="00FF0773" w:rsidRPr="0012149B" w:rsidP="00FF0773" w14:paraId="4BE923FA" w14:textId="35969BFE">
      <w:pPr>
        <w:spacing w:after="0" w:line="240" w:lineRule="auto"/>
      </w:pPr>
    </w:p>
    <w:p w:rsidR="005D4EA5" w:rsidP="00FF0773" w14:paraId="6DEB404E" w14:textId="750ED2CA">
      <w:pPr>
        <w:spacing w:after="0" w:line="240" w:lineRule="auto"/>
        <w:rPr>
          <w:b w:val="0"/>
          <w:bCs w:val="0"/>
        </w:rPr>
      </w:pPr>
    </w:p>
    <w:p w:rsidR="005D4EA5" w:rsidP="00FF0773" w14:paraId="54B9834C" w14:textId="6BEED472">
      <w:pPr>
        <w:spacing w:after="0" w:line="240" w:lineRule="auto"/>
        <w:rPr>
          <w:b w:val="0"/>
          <w:bCs w:val="0"/>
        </w:rPr>
      </w:pPr>
    </w:p>
    <w:p w:rsidR="005D4EA5" w:rsidP="00FF0773" w14:paraId="44591173" w14:textId="77777777">
      <w:pPr>
        <w:spacing w:after="0" w:line="240" w:lineRule="auto"/>
        <w:rPr>
          <w:b w:val="0"/>
          <w:bCs w:val="0"/>
        </w:rPr>
      </w:pPr>
    </w:p>
    <w:p w:rsidR="00FF0773" w:rsidP="00FF0773" w14:paraId="4B44A3A7" w14:textId="2BDB0366">
      <w:pPr>
        <w:spacing w:after="0" w:line="240" w:lineRule="auto"/>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t>Bruce Weston (0016973)</w:t>
      </w:r>
    </w:p>
    <w:p w:rsidR="00FF0773" w:rsidP="00FF0773" w14:paraId="0C1E394C" w14:textId="2034BF98">
      <w:pPr>
        <w:spacing w:after="0" w:line="240" w:lineRule="auto"/>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t>Ohio Consumers’ Counsel</w:t>
      </w:r>
    </w:p>
    <w:p w:rsidR="00FF0773" w:rsidP="00FF0773" w14:paraId="22A6EA96" w14:textId="78823117">
      <w:pPr>
        <w:spacing w:after="0" w:line="240" w:lineRule="auto"/>
        <w:rPr>
          <w:b w:val="0"/>
          <w:bCs w:val="0"/>
        </w:rPr>
      </w:pPr>
    </w:p>
    <w:p w:rsidR="001513E4" w:rsidRPr="001513E4" w:rsidP="001513E4" w14:paraId="2E64DBE5" w14:textId="11F1967A">
      <w:pPr>
        <w:spacing w:after="0"/>
        <w:ind w:left="3600"/>
        <w:rPr>
          <w:rFonts w:eastAsia="Times New Roman"/>
          <w:b w:val="0"/>
          <w:bCs w:val="0"/>
        </w:rPr>
      </w:pPr>
      <w:r>
        <w:rPr>
          <w:b w:val="0"/>
          <w:bCs w:val="0"/>
        </w:rPr>
        <w:tab/>
      </w:r>
      <w:r w:rsidRPr="001513E4">
        <w:rPr>
          <w:rFonts w:eastAsia="Times New Roman"/>
          <w:b w:val="0"/>
          <w:bCs w:val="0"/>
        </w:rPr>
        <w:t>William J. Michael (0070921)</w:t>
      </w:r>
    </w:p>
    <w:p w:rsidR="001513E4" w:rsidRPr="001513E4" w:rsidP="001513E4" w14:paraId="6E549B62" w14:textId="77777777">
      <w:pPr>
        <w:spacing w:after="0" w:line="240" w:lineRule="auto"/>
        <w:ind w:left="4320"/>
        <w:rPr>
          <w:rFonts w:eastAsia="Times New Roman"/>
          <w:b w:val="0"/>
          <w:bCs w:val="0"/>
        </w:rPr>
      </w:pPr>
      <w:r w:rsidRPr="001513E4">
        <w:rPr>
          <w:rFonts w:eastAsia="Times New Roman"/>
          <w:b w:val="0"/>
          <w:bCs w:val="0"/>
        </w:rPr>
        <w:t>Counsel of Record</w:t>
      </w:r>
    </w:p>
    <w:p w:rsidR="001513E4" w:rsidRPr="001513E4" w:rsidP="001513E4" w14:paraId="3ED9EB79" w14:textId="77777777">
      <w:pPr>
        <w:spacing w:after="0" w:line="240" w:lineRule="auto"/>
        <w:ind w:left="4320"/>
        <w:rPr>
          <w:rFonts w:eastAsia="Times New Roman"/>
          <w:b w:val="0"/>
          <w:bCs w:val="0"/>
        </w:rPr>
      </w:pPr>
      <w:r w:rsidRPr="001513E4">
        <w:rPr>
          <w:rFonts w:eastAsia="Times New Roman"/>
          <w:b w:val="0"/>
          <w:bCs w:val="0"/>
        </w:rPr>
        <w:t xml:space="preserve">Amy Botschner O’Brien (0074423) </w:t>
      </w:r>
    </w:p>
    <w:p w:rsidR="001513E4" w:rsidRPr="001513E4" w:rsidP="001513E4" w14:paraId="492B57F3" w14:textId="77777777">
      <w:pPr>
        <w:spacing w:after="0" w:line="240" w:lineRule="auto"/>
        <w:ind w:left="4320"/>
        <w:rPr>
          <w:rFonts w:eastAsia="Times New Roman"/>
          <w:b w:val="0"/>
          <w:bCs w:val="0"/>
        </w:rPr>
      </w:pPr>
      <w:r w:rsidRPr="001513E4">
        <w:rPr>
          <w:rFonts w:eastAsia="Times New Roman"/>
          <w:b w:val="0"/>
          <w:bCs w:val="0"/>
        </w:rPr>
        <w:t>John Finnigan (0018689)</w:t>
      </w:r>
    </w:p>
    <w:p w:rsidR="001513E4" w:rsidRPr="001513E4" w:rsidP="001513E4" w14:paraId="1ED9DAB3" w14:textId="77777777">
      <w:pPr>
        <w:spacing w:after="0" w:line="240" w:lineRule="auto"/>
        <w:ind w:left="4320"/>
        <w:rPr>
          <w:rFonts w:eastAsia="Times New Roman"/>
          <w:b w:val="0"/>
          <w:bCs w:val="0"/>
        </w:rPr>
      </w:pPr>
      <w:r w:rsidRPr="001513E4">
        <w:rPr>
          <w:rFonts w:eastAsia="Times New Roman"/>
          <w:b w:val="0"/>
          <w:bCs w:val="0"/>
        </w:rPr>
        <w:t>Assistant Consumers’ Counsel</w:t>
      </w:r>
    </w:p>
    <w:p w:rsidR="001513E4" w:rsidRPr="001513E4" w:rsidP="001513E4" w14:paraId="26A7BB34" w14:textId="77777777">
      <w:pPr>
        <w:tabs>
          <w:tab w:val="left" w:pos="4320"/>
        </w:tabs>
        <w:spacing w:after="200" w:line="240" w:lineRule="auto"/>
        <w:ind w:left="4320"/>
        <w:contextualSpacing/>
        <w:rPr>
          <w:rFonts w:eastAsia="Calibri"/>
          <w:b w:val="0"/>
          <w:bCs w:val="0"/>
        </w:rPr>
      </w:pPr>
    </w:p>
    <w:p w:rsidR="001513E4" w:rsidRPr="001513E4" w:rsidP="001513E4" w14:paraId="0BC579E2" w14:textId="77777777">
      <w:pPr>
        <w:spacing w:after="0" w:line="240" w:lineRule="auto"/>
        <w:ind w:left="4320"/>
        <w:contextualSpacing/>
        <w:rPr>
          <w:rFonts w:eastAsia="Calibri"/>
        </w:rPr>
      </w:pPr>
      <w:r w:rsidRPr="001513E4">
        <w:rPr>
          <w:rFonts w:eastAsia="Calibri"/>
        </w:rPr>
        <w:t>Office of the Ohio Consumers’ Counsel</w:t>
      </w:r>
    </w:p>
    <w:p w:rsidR="001513E4" w:rsidRPr="001513E4" w:rsidP="001513E4" w14:paraId="31E18B39" w14:textId="77777777">
      <w:pPr>
        <w:spacing w:after="0" w:line="240" w:lineRule="auto"/>
        <w:ind w:left="4320"/>
        <w:rPr>
          <w:rFonts w:eastAsia="Times New Roman"/>
          <w:b w:val="0"/>
          <w:bCs w:val="0"/>
          <w:szCs w:val="20"/>
        </w:rPr>
      </w:pPr>
      <w:r w:rsidRPr="001513E4">
        <w:rPr>
          <w:rFonts w:eastAsia="Times New Roman"/>
          <w:b w:val="0"/>
          <w:bCs w:val="0"/>
          <w:szCs w:val="20"/>
        </w:rPr>
        <w:t>65 East State Street, 7th Floor</w:t>
      </w:r>
    </w:p>
    <w:p w:rsidR="001513E4" w:rsidRPr="001513E4" w:rsidP="001513E4" w14:paraId="34A6E56C" w14:textId="77777777">
      <w:pPr>
        <w:spacing w:after="0" w:line="240" w:lineRule="auto"/>
        <w:ind w:left="4320"/>
        <w:rPr>
          <w:rFonts w:eastAsia="Times New Roman"/>
          <w:b w:val="0"/>
          <w:bCs w:val="0"/>
          <w:szCs w:val="20"/>
        </w:rPr>
      </w:pPr>
      <w:r w:rsidRPr="001513E4">
        <w:rPr>
          <w:rFonts w:eastAsia="Times New Roman"/>
          <w:b w:val="0"/>
          <w:bCs w:val="0"/>
          <w:szCs w:val="20"/>
        </w:rPr>
        <w:t>Columbus, Ohio 43215</w:t>
      </w:r>
    </w:p>
    <w:p w:rsidR="001513E4" w:rsidRPr="001513E4" w:rsidP="001513E4" w14:paraId="01BC204D" w14:textId="77777777">
      <w:pPr>
        <w:autoSpaceDE w:val="0"/>
        <w:autoSpaceDN w:val="0"/>
        <w:adjustRightInd w:val="0"/>
        <w:spacing w:after="0" w:line="240" w:lineRule="auto"/>
        <w:ind w:left="4320"/>
        <w:rPr>
          <w:rFonts w:eastAsia="Times New Roman"/>
          <w:b w:val="0"/>
          <w:bCs w:val="0"/>
        </w:rPr>
      </w:pPr>
      <w:r w:rsidRPr="001513E4">
        <w:rPr>
          <w:rFonts w:eastAsia="Times New Roman"/>
          <w:b w:val="0"/>
          <w:bCs w:val="0"/>
        </w:rPr>
        <w:t>Telephone [Michael]: (614) 466-1291</w:t>
      </w:r>
    </w:p>
    <w:p w:rsidR="001513E4" w:rsidRPr="001513E4" w:rsidP="001513E4" w14:paraId="292FE910" w14:textId="77777777">
      <w:pPr>
        <w:autoSpaceDE w:val="0"/>
        <w:autoSpaceDN w:val="0"/>
        <w:adjustRightInd w:val="0"/>
        <w:spacing w:after="0" w:line="240" w:lineRule="auto"/>
        <w:ind w:left="4320"/>
        <w:rPr>
          <w:rFonts w:eastAsia="Times New Roman"/>
          <w:b w:val="0"/>
          <w:bCs w:val="0"/>
        </w:rPr>
      </w:pPr>
      <w:r w:rsidRPr="001513E4">
        <w:rPr>
          <w:rFonts w:eastAsia="Times New Roman"/>
          <w:b w:val="0"/>
          <w:bCs w:val="0"/>
        </w:rPr>
        <w:t>Telephone [Botschner O’Brien]: (614) 466-9575</w:t>
      </w:r>
    </w:p>
    <w:p w:rsidR="001513E4" w:rsidRPr="001513E4" w:rsidP="001513E4" w14:paraId="2E0CE268" w14:textId="77777777">
      <w:pPr>
        <w:autoSpaceDE w:val="0"/>
        <w:autoSpaceDN w:val="0"/>
        <w:adjustRightInd w:val="0"/>
        <w:spacing w:after="0" w:line="240" w:lineRule="auto"/>
        <w:ind w:left="4320"/>
        <w:contextualSpacing/>
        <w:rPr>
          <w:rFonts w:eastAsia="Calibri"/>
          <w:b w:val="0"/>
          <w:bCs w:val="0"/>
        </w:rPr>
      </w:pPr>
      <w:r w:rsidRPr="001513E4">
        <w:rPr>
          <w:rFonts w:eastAsia="Calibri"/>
          <w:b w:val="0"/>
          <w:bCs w:val="0"/>
        </w:rPr>
        <w:t>Telephone [Finnigan]: (614) 466-9585</w:t>
      </w:r>
    </w:p>
    <w:p w:rsidR="001513E4" w:rsidRPr="001513E4" w:rsidP="001513E4" w14:paraId="3F568739" w14:textId="175D24C9">
      <w:pPr>
        <w:autoSpaceDE w:val="0"/>
        <w:autoSpaceDN w:val="0"/>
        <w:adjustRightInd w:val="0"/>
        <w:spacing w:after="0" w:line="240" w:lineRule="auto"/>
        <w:ind w:left="4320"/>
        <w:contextualSpacing/>
        <w:rPr>
          <w:rFonts w:eastAsia="Calibri"/>
          <w:b w:val="0"/>
          <w:bCs w:val="0"/>
        </w:rPr>
      </w:pPr>
      <w:hyperlink r:id="rId6" w:history="1">
        <w:r w:rsidRPr="001513E4">
          <w:rPr>
            <w:rFonts w:eastAsia="Calibri"/>
            <w:b w:val="0"/>
            <w:bCs w:val="0"/>
            <w:color w:val="0000FF"/>
            <w:u w:val="single"/>
          </w:rPr>
          <w:t>william.michael@occ.ohio.gov</w:t>
        </w:r>
      </w:hyperlink>
    </w:p>
    <w:p w:rsidR="001513E4" w:rsidRPr="001513E4" w:rsidP="001513E4" w14:paraId="758E6E92" w14:textId="77777777">
      <w:pPr>
        <w:autoSpaceDE w:val="0"/>
        <w:autoSpaceDN w:val="0"/>
        <w:adjustRightInd w:val="0"/>
        <w:spacing w:after="0" w:line="240" w:lineRule="auto"/>
        <w:ind w:left="4320"/>
        <w:rPr>
          <w:rFonts w:eastAsia="Times New Roman"/>
          <w:b w:val="0"/>
          <w:bCs w:val="0"/>
          <w:color w:val="0000FF"/>
          <w:u w:val="single"/>
        </w:rPr>
      </w:pPr>
      <w:r w:rsidRPr="001513E4">
        <w:rPr>
          <w:rFonts w:eastAsia="Times New Roman"/>
          <w:b w:val="0"/>
          <w:bCs w:val="0"/>
          <w:color w:val="0000FF"/>
          <w:u w:val="single"/>
        </w:rPr>
        <w:t xml:space="preserve">amy.botschner.obrien@occ.ohio.gov </w:t>
      </w:r>
    </w:p>
    <w:p w:rsidR="001513E4" w:rsidRPr="001513E4" w:rsidP="001513E4" w14:paraId="7434C136" w14:textId="7AC50336">
      <w:pPr>
        <w:autoSpaceDE w:val="0"/>
        <w:autoSpaceDN w:val="0"/>
        <w:adjustRightInd w:val="0"/>
        <w:spacing w:after="0" w:line="240" w:lineRule="auto"/>
        <w:ind w:left="4320"/>
        <w:contextualSpacing/>
        <w:rPr>
          <w:rFonts w:eastAsia="Calibri"/>
          <w:b w:val="0"/>
          <w:bCs w:val="0"/>
          <w:color w:val="0000FF"/>
          <w:u w:val="single"/>
        </w:rPr>
      </w:pPr>
      <w:hyperlink r:id="rId7" w:history="1">
        <w:r w:rsidRPr="001513E4">
          <w:rPr>
            <w:rFonts w:eastAsia="Calibri"/>
            <w:b w:val="0"/>
            <w:bCs w:val="0"/>
            <w:color w:val="0000FF"/>
            <w:u w:val="single"/>
          </w:rPr>
          <w:t>john.finnigan@occ.ohio.gov</w:t>
        </w:r>
      </w:hyperlink>
    </w:p>
    <w:p w:rsidR="001513E4" w:rsidRPr="001513E4" w:rsidP="001513E4" w14:paraId="26E51D4B" w14:textId="00686B22">
      <w:pPr>
        <w:autoSpaceDE w:val="0"/>
        <w:autoSpaceDN w:val="0"/>
        <w:adjustRightInd w:val="0"/>
        <w:spacing w:after="0" w:line="240" w:lineRule="auto"/>
        <w:contextualSpacing/>
        <w:rPr>
          <w:rFonts w:eastAsia="Calibri"/>
          <w:b w:val="0"/>
          <w:bCs w:val="0"/>
        </w:rPr>
      </w:pPr>
      <w:r>
        <w:rPr>
          <w:rFonts w:eastAsia="Calibri"/>
          <w:b w:val="0"/>
          <w:bCs w:val="0"/>
        </w:rPr>
        <w:t>January 5, 2021</w:t>
      </w:r>
      <w:r>
        <w:rPr>
          <w:rFonts w:eastAsia="Calibri"/>
          <w:b w:val="0"/>
          <w:bCs w:val="0"/>
        </w:rPr>
        <w:tab/>
      </w:r>
      <w:r>
        <w:rPr>
          <w:rFonts w:eastAsia="Calibri"/>
          <w:b w:val="0"/>
          <w:bCs w:val="0"/>
        </w:rPr>
        <w:tab/>
      </w:r>
      <w:r>
        <w:rPr>
          <w:rFonts w:eastAsia="Calibri"/>
          <w:b w:val="0"/>
          <w:bCs w:val="0"/>
        </w:rPr>
        <w:tab/>
      </w:r>
      <w:r>
        <w:rPr>
          <w:rFonts w:eastAsia="Calibri"/>
          <w:b w:val="0"/>
          <w:bCs w:val="0"/>
        </w:rPr>
        <w:tab/>
      </w:r>
      <w:r w:rsidRPr="001513E4">
        <w:rPr>
          <w:rFonts w:eastAsia="Calibri"/>
          <w:b w:val="0"/>
          <w:bCs w:val="0"/>
        </w:rPr>
        <w:t>(willing to accept service by e-mail)</w:t>
      </w:r>
    </w:p>
    <w:p w:rsidR="001513E4" w:rsidRPr="001513E4" w:rsidP="001513E4" w14:paraId="3EA196A5" w14:textId="77777777">
      <w:pPr>
        <w:tabs>
          <w:tab w:val="left" w:pos="4320"/>
          <w:tab w:val="right" w:pos="8640"/>
        </w:tabs>
        <w:spacing w:after="0" w:line="480" w:lineRule="auto"/>
        <w:ind w:left="4320"/>
        <w:rPr>
          <w:rFonts w:eastAsia="Times New Roman"/>
          <w:b w:val="0"/>
          <w:bCs w:val="0"/>
        </w:rPr>
      </w:pPr>
    </w:p>
    <w:p w:rsidR="00863C56" w:rsidP="00FF0773" w14:paraId="5802AC01" w14:textId="77777777">
      <w:pPr>
        <w:spacing w:after="0" w:line="240" w:lineRule="auto"/>
        <w:rPr>
          <w:b w:val="0"/>
          <w:bCs w:val="0"/>
        </w:rPr>
        <w:sectPr w:rsidSect="00531B59">
          <w:footerReference w:type="default" r:id="rId8"/>
          <w:pgSz w:w="12240" w:h="15840"/>
          <w:pgMar w:top="1440" w:right="1440" w:bottom="1440" w:left="1440" w:header="720" w:footer="720" w:gutter="0"/>
          <w:pgNumType w:fmt="lowerRoman" w:start="1"/>
          <w:cols w:space="720"/>
          <w:docGrid w:linePitch="360"/>
        </w:sectPr>
      </w:pPr>
    </w:p>
    <w:p w:rsidR="00106D11" w:rsidRPr="00106D11" w:rsidP="00106D11" w14:paraId="3B55B961" w14:textId="77777777">
      <w:pPr>
        <w:spacing w:after="0" w:line="240" w:lineRule="auto"/>
        <w:jc w:val="center"/>
        <w:rPr>
          <w:u w:val="single"/>
        </w:rPr>
      </w:pPr>
      <w:r w:rsidRPr="00106D11">
        <w:rPr>
          <w:u w:val="single"/>
        </w:rPr>
        <w:t>TABLE OF CONTENTS</w:t>
      </w:r>
    </w:p>
    <w:p w:rsidR="00106D11" w:rsidRPr="00106D11" w:rsidP="00106D11" w14:paraId="62B59A66" w14:textId="77777777">
      <w:pPr>
        <w:spacing w:after="0" w:line="240" w:lineRule="auto"/>
        <w:jc w:val="center"/>
      </w:pPr>
    </w:p>
    <w:p w:rsidR="00106D11" w:rsidRPr="00106D11" w:rsidP="00106D11" w14:paraId="6BF124ED" w14:textId="77777777">
      <w:pPr>
        <w:spacing w:after="0" w:line="240" w:lineRule="auto"/>
        <w:jc w:val="center"/>
      </w:pPr>
      <w:r w:rsidRPr="00106D11">
        <w:tab/>
      </w:r>
      <w:r w:rsidRPr="00106D11">
        <w:tab/>
      </w:r>
      <w:r w:rsidRPr="00106D11">
        <w:tab/>
      </w:r>
      <w:r w:rsidRPr="00106D11">
        <w:tab/>
      </w:r>
      <w:r w:rsidRPr="00106D11">
        <w:tab/>
      </w:r>
      <w:r w:rsidRPr="00106D11">
        <w:tab/>
      </w:r>
      <w:r w:rsidRPr="00106D11">
        <w:tab/>
      </w:r>
      <w:r w:rsidRPr="00106D11">
        <w:tab/>
      </w:r>
      <w:r w:rsidRPr="00106D11">
        <w:tab/>
      </w:r>
      <w:r w:rsidRPr="00106D11">
        <w:tab/>
      </w:r>
      <w:r w:rsidRPr="00106D11">
        <w:tab/>
      </w:r>
      <w:r w:rsidRPr="00106D11">
        <w:tab/>
        <w:t>PAGE</w:t>
      </w:r>
    </w:p>
    <w:p w:rsidR="00106D11" w:rsidRPr="00106D11" w:rsidP="00106D11" w14:paraId="1D228B31" w14:textId="77777777">
      <w:pPr>
        <w:spacing w:after="0" w:line="240" w:lineRule="auto"/>
        <w:jc w:val="center"/>
      </w:pPr>
    </w:p>
    <w:p w:rsidR="008E21FE" w14:paraId="7CEEB1AD" w14:textId="071C9341">
      <w:pPr>
        <w:pStyle w:val="TOC1"/>
        <w:rPr>
          <w:rFonts w:asciiTheme="minorHAnsi" w:eastAsiaTheme="minorEastAsia" w:hAnsiTheme="minorHAnsi" w:cstheme="minorBidi"/>
          <w:bCs w:val="0"/>
          <w:noProof/>
          <w:sz w:val="22"/>
          <w:szCs w:val="22"/>
        </w:rPr>
      </w:pPr>
      <w:r>
        <w:rPr>
          <w:rFonts w:ascii="Times New Roman Bold" w:hAnsi="Times New Roman Bold"/>
          <w:caps/>
        </w:rPr>
        <w:fldChar w:fldCharType="begin"/>
      </w:r>
      <w:r>
        <w:rPr>
          <w:rFonts w:ascii="Times New Roman Bold" w:hAnsi="Times New Roman Bold"/>
          <w:caps/>
        </w:rPr>
        <w:instrText xml:space="preserve"> TOC \o "1-2" \h \z \u </w:instrText>
      </w:r>
      <w:r>
        <w:rPr>
          <w:rFonts w:ascii="Times New Roman Bold" w:hAnsi="Times New Roman Bold"/>
          <w:caps/>
        </w:rPr>
        <w:fldChar w:fldCharType="separate"/>
      </w:r>
      <w:hyperlink w:anchor="_Toc60754365" w:history="1">
        <w:r w:rsidRPr="009C0816">
          <w:rPr>
            <w:rStyle w:val="Hyperlink"/>
            <w:noProof/>
          </w:rPr>
          <w:t>I.</w:t>
        </w:r>
        <w:r>
          <w:rPr>
            <w:rFonts w:asciiTheme="minorHAnsi" w:eastAsiaTheme="minorEastAsia" w:hAnsiTheme="minorHAnsi" w:cstheme="minorBidi"/>
            <w:bCs w:val="0"/>
            <w:noProof/>
            <w:sz w:val="22"/>
            <w:szCs w:val="22"/>
          </w:rPr>
          <w:tab/>
        </w:r>
        <w:r w:rsidRPr="009C0816">
          <w:rPr>
            <w:rStyle w:val="Hyperlink"/>
            <w:noProof/>
          </w:rPr>
          <w:t>INTRODUCTION</w:t>
        </w:r>
        <w:r>
          <w:rPr>
            <w:noProof/>
            <w:webHidden/>
          </w:rPr>
          <w:tab/>
        </w:r>
        <w:r>
          <w:rPr>
            <w:noProof/>
            <w:webHidden/>
          </w:rPr>
          <w:fldChar w:fldCharType="begin"/>
        </w:r>
        <w:r>
          <w:rPr>
            <w:noProof/>
            <w:webHidden/>
          </w:rPr>
          <w:instrText xml:space="preserve"> PAGEREF _Toc60754365 \h </w:instrText>
        </w:r>
        <w:r>
          <w:rPr>
            <w:noProof/>
            <w:webHidden/>
          </w:rPr>
          <w:fldChar w:fldCharType="separate"/>
        </w:r>
        <w:r>
          <w:rPr>
            <w:noProof/>
            <w:webHidden/>
          </w:rPr>
          <w:t>1</w:t>
        </w:r>
        <w:r>
          <w:rPr>
            <w:noProof/>
            <w:webHidden/>
          </w:rPr>
          <w:fldChar w:fldCharType="end"/>
        </w:r>
      </w:hyperlink>
    </w:p>
    <w:p w:rsidR="008E21FE" w14:paraId="6C233DE7" w14:textId="2A45B6D1">
      <w:pPr>
        <w:pStyle w:val="TOC1"/>
        <w:rPr>
          <w:rFonts w:asciiTheme="minorHAnsi" w:eastAsiaTheme="minorEastAsia" w:hAnsiTheme="minorHAnsi" w:cstheme="minorBidi"/>
          <w:bCs w:val="0"/>
          <w:noProof/>
          <w:sz w:val="22"/>
          <w:szCs w:val="22"/>
        </w:rPr>
      </w:pPr>
      <w:hyperlink w:anchor="_Toc60754366" w:history="1">
        <w:r w:rsidRPr="009C0816">
          <w:rPr>
            <w:rStyle w:val="Hyperlink"/>
            <w:noProof/>
          </w:rPr>
          <w:t>II.</w:t>
        </w:r>
        <w:r>
          <w:rPr>
            <w:rFonts w:asciiTheme="minorHAnsi" w:eastAsiaTheme="minorEastAsia" w:hAnsiTheme="minorHAnsi" w:cstheme="minorBidi"/>
            <w:bCs w:val="0"/>
            <w:noProof/>
            <w:sz w:val="22"/>
            <w:szCs w:val="22"/>
          </w:rPr>
          <w:tab/>
        </w:r>
        <w:r w:rsidRPr="009C0816">
          <w:rPr>
            <w:rStyle w:val="Hyperlink"/>
            <w:noProof/>
          </w:rPr>
          <w:t>CONSUMER PROTECTION RECOMMENDATIONS</w:t>
        </w:r>
        <w:r>
          <w:rPr>
            <w:noProof/>
            <w:webHidden/>
          </w:rPr>
          <w:tab/>
        </w:r>
        <w:r>
          <w:rPr>
            <w:noProof/>
            <w:webHidden/>
          </w:rPr>
          <w:fldChar w:fldCharType="begin"/>
        </w:r>
        <w:r>
          <w:rPr>
            <w:noProof/>
            <w:webHidden/>
          </w:rPr>
          <w:instrText xml:space="preserve"> PAGEREF _Toc60754366 \h </w:instrText>
        </w:r>
        <w:r>
          <w:rPr>
            <w:noProof/>
            <w:webHidden/>
          </w:rPr>
          <w:fldChar w:fldCharType="separate"/>
        </w:r>
        <w:r>
          <w:rPr>
            <w:noProof/>
            <w:webHidden/>
          </w:rPr>
          <w:t>3</w:t>
        </w:r>
        <w:r>
          <w:rPr>
            <w:noProof/>
            <w:webHidden/>
          </w:rPr>
          <w:fldChar w:fldCharType="end"/>
        </w:r>
      </w:hyperlink>
    </w:p>
    <w:p w:rsidR="008E21FE" w:rsidP="008E21FE" w14:paraId="1F0AB1D8" w14:textId="114BD1EB">
      <w:pPr>
        <w:pStyle w:val="TOC2"/>
        <w:rPr>
          <w:rFonts w:asciiTheme="minorHAnsi" w:eastAsiaTheme="minorEastAsia" w:hAnsiTheme="minorHAnsi" w:cstheme="minorBidi"/>
          <w:sz w:val="22"/>
          <w:szCs w:val="22"/>
        </w:rPr>
      </w:pPr>
      <w:hyperlink w:anchor="_Toc60754367" w:history="1">
        <w:r w:rsidRPr="009C0816">
          <w:rPr>
            <w:rStyle w:val="Hyperlink"/>
          </w:rPr>
          <w:t>A.</w:t>
        </w:r>
        <w:r>
          <w:rPr>
            <w:rFonts w:asciiTheme="minorHAnsi" w:eastAsiaTheme="minorEastAsia" w:hAnsiTheme="minorHAnsi" w:cstheme="minorBidi"/>
            <w:sz w:val="22"/>
            <w:szCs w:val="22"/>
          </w:rPr>
          <w:tab/>
        </w:r>
        <w:r w:rsidRPr="009C0816">
          <w:rPr>
            <w:rStyle w:val="Hyperlink"/>
          </w:rPr>
          <w:t>Consumer protection requires that DP&amp;L meet the burden of proof regarding prudency.</w:t>
        </w:r>
        <w:r>
          <w:rPr>
            <w:webHidden/>
          </w:rPr>
          <w:tab/>
        </w:r>
        <w:r>
          <w:rPr>
            <w:webHidden/>
          </w:rPr>
          <w:fldChar w:fldCharType="begin"/>
        </w:r>
        <w:r>
          <w:rPr>
            <w:webHidden/>
          </w:rPr>
          <w:instrText xml:space="preserve"> PAGEREF _Toc60754367 \h </w:instrText>
        </w:r>
        <w:r>
          <w:rPr>
            <w:webHidden/>
          </w:rPr>
          <w:fldChar w:fldCharType="separate"/>
        </w:r>
        <w:r>
          <w:rPr>
            <w:webHidden/>
          </w:rPr>
          <w:t>3</w:t>
        </w:r>
        <w:r>
          <w:rPr>
            <w:webHidden/>
          </w:rPr>
          <w:fldChar w:fldCharType="end"/>
        </w:r>
      </w:hyperlink>
    </w:p>
    <w:p w:rsidR="008E21FE" w:rsidRPr="008E21FE" w:rsidP="008E21FE" w14:paraId="785566BC" w14:textId="7FBDDAB7">
      <w:pPr>
        <w:pStyle w:val="TOC2"/>
        <w:rPr>
          <w:rFonts w:eastAsiaTheme="minorEastAsia" w:cstheme="minorBidi"/>
          <w:sz w:val="22"/>
          <w:szCs w:val="22"/>
        </w:rPr>
      </w:pPr>
      <w:hyperlink w:anchor="_Toc60754368" w:history="1">
        <w:r w:rsidRPr="008E21FE">
          <w:rPr>
            <w:rStyle w:val="Hyperlink"/>
          </w:rPr>
          <w:t>B.</w:t>
        </w:r>
        <w:r w:rsidRPr="008E21FE">
          <w:rPr>
            <w:rFonts w:eastAsiaTheme="minorEastAsia" w:cstheme="minorBidi"/>
            <w:sz w:val="22"/>
            <w:szCs w:val="22"/>
          </w:rPr>
          <w:tab/>
        </w:r>
        <w:r w:rsidRPr="008E21FE">
          <w:rPr>
            <w:rStyle w:val="Hyperlink"/>
          </w:rPr>
          <w:t xml:space="preserve">The PUCO should protect DP&amp;L’s customers by disallowing any additional </w:t>
        </w:r>
        <w:r>
          <w:rPr>
            <w:rStyle w:val="Hyperlink"/>
          </w:rPr>
          <w:br/>
        </w:r>
        <w:r w:rsidRPr="008E21FE">
          <w:rPr>
            <w:rStyle w:val="Hyperlink"/>
          </w:rPr>
          <w:t>costs DP&amp;L might incur if it purchased FirstEnergy Solutions’ OVEC share, which was not in the best interests of customers.</w:t>
        </w:r>
        <w:r w:rsidRPr="008E21FE">
          <w:rPr>
            <w:webHidden/>
          </w:rPr>
          <w:tab/>
        </w:r>
        <w:r w:rsidRPr="008E21FE">
          <w:rPr>
            <w:webHidden/>
          </w:rPr>
          <w:fldChar w:fldCharType="begin"/>
        </w:r>
        <w:r w:rsidRPr="008E21FE">
          <w:rPr>
            <w:webHidden/>
          </w:rPr>
          <w:instrText xml:space="preserve"> PAGEREF _Toc60754368 \h </w:instrText>
        </w:r>
        <w:r w:rsidRPr="008E21FE">
          <w:rPr>
            <w:webHidden/>
          </w:rPr>
          <w:fldChar w:fldCharType="separate"/>
        </w:r>
        <w:r w:rsidRPr="008E21FE">
          <w:rPr>
            <w:webHidden/>
          </w:rPr>
          <w:t>4</w:t>
        </w:r>
        <w:r w:rsidRPr="008E21FE">
          <w:rPr>
            <w:webHidden/>
          </w:rPr>
          <w:fldChar w:fldCharType="end"/>
        </w:r>
      </w:hyperlink>
    </w:p>
    <w:p w:rsidR="008E21FE" w:rsidP="008E21FE" w14:paraId="7F532E22" w14:textId="317C9BD6">
      <w:pPr>
        <w:pStyle w:val="TOC2"/>
        <w:rPr>
          <w:rFonts w:asciiTheme="minorHAnsi" w:eastAsiaTheme="minorEastAsia" w:hAnsiTheme="minorHAnsi" w:cstheme="minorBidi"/>
          <w:sz w:val="22"/>
          <w:szCs w:val="22"/>
        </w:rPr>
      </w:pPr>
      <w:hyperlink w:anchor="_Toc60754369" w:history="1">
        <w:r w:rsidRPr="009C0816">
          <w:rPr>
            <w:rStyle w:val="Hyperlink"/>
          </w:rPr>
          <w:t>C.</w:t>
        </w:r>
        <w:r>
          <w:rPr>
            <w:rFonts w:asciiTheme="minorHAnsi" w:eastAsiaTheme="minorEastAsia" w:hAnsiTheme="minorHAnsi" w:cstheme="minorBidi"/>
            <w:sz w:val="22"/>
            <w:szCs w:val="22"/>
          </w:rPr>
          <w:tab/>
        </w:r>
        <w:r w:rsidRPr="009C0816">
          <w:rPr>
            <w:rStyle w:val="Hyperlink"/>
          </w:rPr>
          <w:t xml:space="preserve">To protect consumers, the PUCO should disallow DP&amp;L’s request to collect OVEC costs from customers because OVEC’s commitment of the plants into </w:t>
        </w:r>
        <w:r>
          <w:rPr>
            <w:rStyle w:val="Hyperlink"/>
          </w:rPr>
          <w:br/>
        </w:r>
        <w:r w:rsidRPr="009C0816">
          <w:rPr>
            <w:rStyle w:val="Hyperlink"/>
          </w:rPr>
          <w:t>PJM as must-run units was not prudent.</w:t>
        </w:r>
        <w:r>
          <w:rPr>
            <w:webHidden/>
          </w:rPr>
          <w:tab/>
        </w:r>
        <w:r>
          <w:rPr>
            <w:webHidden/>
          </w:rPr>
          <w:fldChar w:fldCharType="begin"/>
        </w:r>
        <w:r>
          <w:rPr>
            <w:webHidden/>
          </w:rPr>
          <w:instrText xml:space="preserve"> PAGEREF _Toc60754369 \h </w:instrText>
        </w:r>
        <w:r>
          <w:rPr>
            <w:webHidden/>
          </w:rPr>
          <w:fldChar w:fldCharType="separate"/>
        </w:r>
        <w:r>
          <w:rPr>
            <w:webHidden/>
          </w:rPr>
          <w:t>6</w:t>
        </w:r>
        <w:r>
          <w:rPr>
            <w:webHidden/>
          </w:rPr>
          <w:fldChar w:fldCharType="end"/>
        </w:r>
      </w:hyperlink>
    </w:p>
    <w:p w:rsidR="008E21FE" w:rsidP="008E21FE" w14:paraId="351DC7A9" w14:textId="1473363D">
      <w:pPr>
        <w:pStyle w:val="TOC2"/>
        <w:rPr>
          <w:rFonts w:asciiTheme="minorHAnsi" w:eastAsiaTheme="minorEastAsia" w:hAnsiTheme="minorHAnsi" w:cstheme="minorBidi"/>
          <w:sz w:val="22"/>
          <w:szCs w:val="22"/>
        </w:rPr>
      </w:pPr>
      <w:hyperlink w:anchor="_Toc60754370" w:history="1">
        <w:r w:rsidRPr="009C0816">
          <w:rPr>
            <w:rStyle w:val="Hyperlink"/>
          </w:rPr>
          <w:t>D.</w:t>
        </w:r>
        <w:r>
          <w:rPr>
            <w:rFonts w:asciiTheme="minorHAnsi" w:eastAsiaTheme="minorEastAsia" w:hAnsiTheme="minorHAnsi" w:cstheme="minorBidi"/>
            <w:sz w:val="22"/>
            <w:szCs w:val="22"/>
          </w:rPr>
          <w:tab/>
        </w:r>
        <w:r w:rsidRPr="009C0816">
          <w:rPr>
            <w:rStyle w:val="Hyperlink"/>
          </w:rPr>
          <w:t xml:space="preserve">To protect consumers, the PUCO should require DP&amp;L to provide a report detailing the potential ancillary services that the OVEC plants could provide </w:t>
        </w:r>
        <w:r>
          <w:rPr>
            <w:rStyle w:val="Hyperlink"/>
          </w:rPr>
          <w:br/>
        </w:r>
        <w:r w:rsidRPr="009C0816">
          <w:rPr>
            <w:rStyle w:val="Hyperlink"/>
          </w:rPr>
          <w:t>to PJM, along with the projected annual revenue.</w:t>
        </w:r>
        <w:r>
          <w:rPr>
            <w:webHidden/>
          </w:rPr>
          <w:tab/>
        </w:r>
        <w:r>
          <w:rPr>
            <w:webHidden/>
          </w:rPr>
          <w:fldChar w:fldCharType="begin"/>
        </w:r>
        <w:r>
          <w:rPr>
            <w:webHidden/>
          </w:rPr>
          <w:instrText xml:space="preserve"> PAGEREF _Toc60754370 \h </w:instrText>
        </w:r>
        <w:r>
          <w:rPr>
            <w:webHidden/>
          </w:rPr>
          <w:fldChar w:fldCharType="separate"/>
        </w:r>
        <w:r>
          <w:rPr>
            <w:webHidden/>
          </w:rPr>
          <w:t>7</w:t>
        </w:r>
        <w:r>
          <w:rPr>
            <w:webHidden/>
          </w:rPr>
          <w:fldChar w:fldCharType="end"/>
        </w:r>
      </w:hyperlink>
    </w:p>
    <w:p w:rsidR="008E21FE" w:rsidP="008E21FE" w14:paraId="52817B3B" w14:textId="22F47F4E">
      <w:pPr>
        <w:pStyle w:val="TOC2"/>
        <w:rPr>
          <w:rFonts w:asciiTheme="minorHAnsi" w:eastAsiaTheme="minorEastAsia" w:hAnsiTheme="minorHAnsi" w:cstheme="minorBidi"/>
          <w:sz w:val="22"/>
          <w:szCs w:val="22"/>
        </w:rPr>
      </w:pPr>
      <w:hyperlink w:anchor="_Toc60754371" w:history="1">
        <w:r w:rsidRPr="009C0816">
          <w:rPr>
            <w:rStyle w:val="Hyperlink"/>
          </w:rPr>
          <w:t>E.</w:t>
        </w:r>
        <w:r>
          <w:rPr>
            <w:rFonts w:asciiTheme="minorHAnsi" w:eastAsiaTheme="minorEastAsia" w:hAnsiTheme="minorHAnsi" w:cstheme="minorBidi"/>
            <w:sz w:val="22"/>
            <w:szCs w:val="22"/>
          </w:rPr>
          <w:tab/>
        </w:r>
        <w:r w:rsidRPr="009C0816">
          <w:rPr>
            <w:rStyle w:val="Hyperlink"/>
          </w:rPr>
          <w:t xml:space="preserve">To protect consumers, the PUCO should require DPL to formally document </w:t>
        </w:r>
        <w:r>
          <w:rPr>
            <w:rStyle w:val="Hyperlink"/>
          </w:rPr>
          <w:br/>
        </w:r>
        <w:r w:rsidRPr="009C0816">
          <w:rPr>
            <w:rStyle w:val="Hyperlink"/>
          </w:rPr>
          <w:t>the procedures for the calculation of cost recovery of OVEC capital costs and expenses.</w:t>
        </w:r>
        <w:r>
          <w:rPr>
            <w:webHidden/>
          </w:rPr>
          <w:tab/>
        </w:r>
        <w:r>
          <w:rPr>
            <w:webHidden/>
          </w:rPr>
          <w:fldChar w:fldCharType="begin"/>
        </w:r>
        <w:r>
          <w:rPr>
            <w:webHidden/>
          </w:rPr>
          <w:instrText xml:space="preserve"> PAGEREF _Toc60754371 \h </w:instrText>
        </w:r>
        <w:r>
          <w:rPr>
            <w:webHidden/>
          </w:rPr>
          <w:fldChar w:fldCharType="separate"/>
        </w:r>
        <w:r>
          <w:rPr>
            <w:webHidden/>
          </w:rPr>
          <w:t>8</w:t>
        </w:r>
        <w:r>
          <w:rPr>
            <w:webHidden/>
          </w:rPr>
          <w:fldChar w:fldCharType="end"/>
        </w:r>
      </w:hyperlink>
    </w:p>
    <w:p w:rsidR="008E21FE" w14:paraId="4C61624C" w14:textId="248AE69D">
      <w:pPr>
        <w:pStyle w:val="TOC1"/>
        <w:rPr>
          <w:rFonts w:asciiTheme="minorHAnsi" w:eastAsiaTheme="minorEastAsia" w:hAnsiTheme="minorHAnsi" w:cstheme="minorBidi"/>
          <w:bCs w:val="0"/>
          <w:noProof/>
          <w:sz w:val="22"/>
          <w:szCs w:val="22"/>
        </w:rPr>
      </w:pPr>
      <w:hyperlink w:anchor="_Toc60754372" w:history="1">
        <w:r w:rsidRPr="009C0816">
          <w:rPr>
            <w:rStyle w:val="Hyperlink"/>
            <w:noProof/>
          </w:rPr>
          <w:t>III.</w:t>
        </w:r>
        <w:r>
          <w:rPr>
            <w:rFonts w:asciiTheme="minorHAnsi" w:eastAsiaTheme="minorEastAsia" w:hAnsiTheme="minorHAnsi" w:cstheme="minorBidi"/>
            <w:bCs w:val="0"/>
            <w:noProof/>
            <w:sz w:val="22"/>
            <w:szCs w:val="22"/>
          </w:rPr>
          <w:tab/>
        </w:r>
        <w:r w:rsidRPr="009C0816">
          <w:rPr>
            <w:rStyle w:val="Hyperlink"/>
            <w:noProof/>
          </w:rPr>
          <w:t>CONCLUSION</w:t>
        </w:r>
        <w:r>
          <w:rPr>
            <w:noProof/>
            <w:webHidden/>
          </w:rPr>
          <w:tab/>
        </w:r>
        <w:r>
          <w:rPr>
            <w:noProof/>
            <w:webHidden/>
          </w:rPr>
          <w:fldChar w:fldCharType="begin"/>
        </w:r>
        <w:r>
          <w:rPr>
            <w:noProof/>
            <w:webHidden/>
          </w:rPr>
          <w:instrText xml:space="preserve"> PAGEREF _Toc60754372 \h </w:instrText>
        </w:r>
        <w:r>
          <w:rPr>
            <w:noProof/>
            <w:webHidden/>
          </w:rPr>
          <w:fldChar w:fldCharType="separate"/>
        </w:r>
        <w:r>
          <w:rPr>
            <w:noProof/>
            <w:webHidden/>
          </w:rPr>
          <w:t>9</w:t>
        </w:r>
        <w:r>
          <w:rPr>
            <w:noProof/>
            <w:webHidden/>
          </w:rPr>
          <w:fldChar w:fldCharType="end"/>
        </w:r>
      </w:hyperlink>
    </w:p>
    <w:p w:rsidR="00106D11" w:rsidRPr="00106D11" w:rsidP="00106D11" w14:paraId="74B0B1AE" w14:textId="4F04CB9C">
      <w:pPr>
        <w:spacing w:after="0" w:line="240" w:lineRule="auto"/>
        <w:jc w:val="center"/>
      </w:pPr>
      <w:r>
        <w:rPr>
          <w:rFonts w:ascii="Times New Roman Bold" w:hAnsi="Times New Roman Bold"/>
          <w:caps/>
        </w:rPr>
        <w:fldChar w:fldCharType="end"/>
      </w:r>
    </w:p>
    <w:p w:rsidR="00106D11" w:rsidRPr="00106D11" w:rsidP="00106D11" w14:paraId="399D48E3" w14:textId="77777777">
      <w:pPr>
        <w:spacing w:after="0" w:line="240" w:lineRule="auto"/>
        <w:jc w:val="center"/>
      </w:pPr>
      <w:r w:rsidRPr="00106D11">
        <w:tab/>
      </w:r>
    </w:p>
    <w:p w:rsidR="00106D11" w:rsidRPr="00106D11" w:rsidP="00106D11" w14:paraId="6201FCDC" w14:textId="77777777">
      <w:pPr>
        <w:spacing w:after="0" w:line="240" w:lineRule="auto"/>
        <w:jc w:val="center"/>
      </w:pPr>
    </w:p>
    <w:p w:rsidR="00106D11" w:rsidRPr="00106D11" w:rsidP="00106D11" w14:paraId="014E804F" w14:textId="77777777">
      <w:pPr>
        <w:spacing w:after="0" w:line="240" w:lineRule="auto"/>
        <w:jc w:val="center"/>
      </w:pPr>
    </w:p>
    <w:p w:rsidR="00106D11" w:rsidRPr="00106D11" w:rsidP="00106D11" w14:paraId="3B9CF7E5" w14:textId="77777777">
      <w:pPr>
        <w:spacing w:after="0" w:line="240" w:lineRule="auto"/>
        <w:jc w:val="center"/>
      </w:pPr>
    </w:p>
    <w:p w:rsidR="00106D11" w:rsidRPr="00106D11" w:rsidP="00106D11" w14:paraId="0FDED194" w14:textId="77777777">
      <w:pPr>
        <w:spacing w:after="0" w:line="240" w:lineRule="auto"/>
        <w:jc w:val="center"/>
      </w:pPr>
    </w:p>
    <w:p w:rsidR="00106D11" w:rsidRPr="00106D11" w:rsidP="00106D11" w14:paraId="721AE158" w14:textId="77777777">
      <w:pPr>
        <w:spacing w:after="0" w:line="240" w:lineRule="auto"/>
        <w:jc w:val="center"/>
        <w:sectPr w:rsidSect="00531B59">
          <w:footerReference w:type="default" r:id="rId9"/>
          <w:pgSz w:w="12240" w:h="15840"/>
          <w:pgMar w:top="1440" w:right="1440" w:bottom="1440" w:left="1440" w:header="720" w:footer="720" w:gutter="0"/>
          <w:pgNumType w:fmt="lowerRoman" w:start="1"/>
          <w:cols w:space="720"/>
          <w:docGrid w:linePitch="360"/>
        </w:sectPr>
      </w:pPr>
    </w:p>
    <w:p w:rsidR="00106D11" w:rsidRPr="00106D11" w:rsidP="00106D11" w14:paraId="0C43F138" w14:textId="77777777">
      <w:pPr>
        <w:spacing w:after="0" w:line="240" w:lineRule="auto"/>
        <w:jc w:val="center"/>
      </w:pPr>
      <w:r w:rsidRPr="00106D11">
        <w:t>BEFORE</w:t>
      </w:r>
    </w:p>
    <w:p w:rsidR="00106D11" w:rsidRPr="00106D11" w:rsidP="00106D11" w14:paraId="2589BBC0" w14:textId="77777777">
      <w:pPr>
        <w:spacing w:after="0" w:line="240" w:lineRule="auto"/>
        <w:jc w:val="center"/>
      </w:pPr>
      <w:r w:rsidRPr="00106D11">
        <w:t>THE PUBLIC UTILITIES COMMISSION OF OHIO</w:t>
      </w:r>
    </w:p>
    <w:p w:rsidR="005D4EA5" w:rsidP="005D4EA5" w14:paraId="61A0FF00" w14:textId="77777777">
      <w:pPr>
        <w:pStyle w:val="HTMLPreformatted"/>
      </w:pPr>
    </w:p>
    <w:tbl>
      <w:tblPr>
        <w:tblW w:w="9098" w:type="dxa"/>
        <w:tblLook w:val="01E0"/>
      </w:tblPr>
      <w:tblGrid>
        <w:gridCol w:w="4590"/>
        <w:gridCol w:w="540"/>
        <w:gridCol w:w="3968"/>
      </w:tblGrid>
      <w:tr w14:paraId="67209B16" w14:textId="77777777" w:rsidTr="005D4EA5">
        <w:tblPrEx>
          <w:tblW w:w="9098" w:type="dxa"/>
          <w:tblLook w:val="01E0"/>
        </w:tblPrEx>
        <w:trPr>
          <w:trHeight w:val="807"/>
        </w:trPr>
        <w:tc>
          <w:tcPr>
            <w:tcW w:w="4590" w:type="dxa"/>
            <w:shd w:val="clear" w:color="auto" w:fill="auto"/>
          </w:tcPr>
          <w:p w:rsidR="005D4EA5" w:rsidRPr="00764FEA" w:rsidP="0012149B" w14:paraId="78637F89" w14:textId="77777777">
            <w:pPr>
              <w:pStyle w:val="HTMLPreformatted"/>
              <w:rPr>
                <w:rFonts w:cs="Times New Roman"/>
                <w:szCs w:val="24"/>
              </w:rPr>
            </w:pPr>
            <w:r w:rsidRPr="00A044B5">
              <w:rPr>
                <w:rFonts w:cs="Times New Roman"/>
                <w:szCs w:val="24"/>
              </w:rPr>
              <w:t>In the Matter of</w:t>
            </w:r>
            <w:r>
              <w:rPr>
                <w:rFonts w:cs="Times New Roman"/>
                <w:szCs w:val="24"/>
              </w:rPr>
              <w:t xml:space="preserve"> the Review of the Reconciliation Rider of The Dayton Power and Light Company.</w:t>
            </w:r>
          </w:p>
        </w:tc>
        <w:tc>
          <w:tcPr>
            <w:tcW w:w="540" w:type="dxa"/>
            <w:shd w:val="clear" w:color="auto" w:fill="auto"/>
          </w:tcPr>
          <w:p w:rsidR="005D4EA5" w:rsidRPr="00A044B5" w:rsidP="0012149B" w14:paraId="1C209120" w14:textId="77777777">
            <w:pPr>
              <w:pStyle w:val="HTMLPreformatted"/>
            </w:pPr>
            <w:r w:rsidRPr="00A044B5">
              <w:t>)</w:t>
            </w:r>
          </w:p>
          <w:p w:rsidR="005D4EA5" w:rsidRPr="00A044B5" w:rsidP="0012149B" w14:paraId="286C30E6" w14:textId="77777777">
            <w:pPr>
              <w:pStyle w:val="HTMLPreformatted"/>
            </w:pPr>
            <w:r w:rsidRPr="00A044B5">
              <w:t>)</w:t>
            </w:r>
          </w:p>
          <w:p w:rsidR="005D4EA5" w:rsidRPr="00A044B5" w:rsidP="0012149B" w14:paraId="599CAAD7" w14:textId="77777777">
            <w:pPr>
              <w:pStyle w:val="HTMLPreformatted"/>
            </w:pPr>
            <w:r w:rsidRPr="00A044B5">
              <w:t>)</w:t>
            </w:r>
          </w:p>
        </w:tc>
        <w:tc>
          <w:tcPr>
            <w:tcW w:w="3968" w:type="dxa"/>
            <w:shd w:val="clear" w:color="auto" w:fill="auto"/>
          </w:tcPr>
          <w:p w:rsidR="005D4EA5" w:rsidRPr="00A044B5" w:rsidP="0012149B" w14:paraId="6A52D84A" w14:textId="77777777">
            <w:pPr>
              <w:pStyle w:val="HTMLPreformatted"/>
            </w:pPr>
          </w:p>
          <w:p w:rsidR="005D4EA5" w:rsidRPr="00A044B5" w:rsidP="0012149B" w14:paraId="07407517" w14:textId="77777777">
            <w:pPr>
              <w:pStyle w:val="HTMLPreformatted"/>
            </w:pPr>
            <w:r w:rsidRPr="00A044B5">
              <w:t xml:space="preserve">Case No. </w:t>
            </w:r>
            <w:r>
              <w:t>20-165-EL-RDR</w:t>
            </w:r>
          </w:p>
          <w:p w:rsidR="005D4EA5" w:rsidRPr="00A044B5" w:rsidP="0012149B" w14:paraId="4ED89D8A" w14:textId="77777777">
            <w:pPr>
              <w:pStyle w:val="HTMLPreformatted"/>
            </w:pPr>
          </w:p>
        </w:tc>
      </w:tr>
    </w:tbl>
    <w:p w:rsidR="00106D11" w:rsidRPr="00106D11" w:rsidP="00106D11" w14:paraId="15CBBCCB" w14:textId="77777777">
      <w:pPr>
        <w:spacing w:after="0" w:line="240" w:lineRule="auto"/>
        <w:rPr>
          <w:b w:val="0"/>
          <w:bCs w:val="0"/>
        </w:rPr>
      </w:pPr>
      <w:r w:rsidRPr="00106D11">
        <w:rPr>
          <w:b w:val="0"/>
          <w:bCs w:val="0"/>
        </w:rPr>
        <w:t>______________________________________________________________________________</w:t>
      </w:r>
    </w:p>
    <w:p w:rsidR="00106D11" w:rsidRPr="00106D11" w:rsidP="00106D11" w14:paraId="44167004" w14:textId="77777777">
      <w:pPr>
        <w:spacing w:after="0" w:line="240" w:lineRule="auto"/>
        <w:jc w:val="center"/>
      </w:pPr>
    </w:p>
    <w:p w:rsidR="00106D11" w:rsidRPr="00106D11" w:rsidP="00106D11" w14:paraId="2BD4331B" w14:textId="77777777">
      <w:pPr>
        <w:spacing w:after="0" w:line="240" w:lineRule="auto"/>
        <w:jc w:val="center"/>
      </w:pPr>
      <w:r w:rsidRPr="00106D11">
        <w:t>INITIAL COMMENTS</w:t>
      </w:r>
    </w:p>
    <w:p w:rsidR="00106D11" w:rsidRPr="00106D11" w:rsidP="00106D11" w14:paraId="06B94AA2" w14:textId="77777777">
      <w:pPr>
        <w:spacing w:after="0" w:line="240" w:lineRule="auto"/>
        <w:jc w:val="center"/>
      </w:pPr>
      <w:r w:rsidRPr="00106D11">
        <w:t>BY</w:t>
      </w:r>
    </w:p>
    <w:p w:rsidR="00106D11" w:rsidRPr="00106D11" w:rsidP="00106D11" w14:paraId="0D70E8B2" w14:textId="77777777">
      <w:pPr>
        <w:spacing w:after="0" w:line="240" w:lineRule="auto"/>
        <w:jc w:val="center"/>
      </w:pPr>
      <w:r w:rsidRPr="00106D11">
        <w:t>THE OFFICE OF THE OHIO CONSUMERS’ COUNSEL</w:t>
      </w:r>
    </w:p>
    <w:p w:rsidR="00106D11" w:rsidRPr="00106D11" w:rsidP="00106D11" w14:paraId="3F9B9ED9" w14:textId="77777777">
      <w:pPr>
        <w:pBdr>
          <w:bottom w:val="single" w:sz="12" w:space="1" w:color="auto"/>
        </w:pBdr>
        <w:spacing w:after="0" w:line="240" w:lineRule="auto"/>
        <w:jc w:val="center"/>
      </w:pPr>
    </w:p>
    <w:p w:rsidR="00106D11" w:rsidRPr="00106D11" w:rsidP="00106D11" w14:paraId="5029CEC9" w14:textId="77777777">
      <w:pPr>
        <w:spacing w:after="0" w:line="240" w:lineRule="auto"/>
        <w:rPr>
          <w:b w:val="0"/>
          <w:bCs w:val="0"/>
        </w:rPr>
      </w:pPr>
    </w:p>
    <w:p w:rsidR="00106D11" w:rsidRPr="00106D11" w:rsidP="00F17F69" w14:paraId="6EEEDAB2" w14:textId="372F108B">
      <w:pPr>
        <w:pStyle w:val="Heading1"/>
      </w:pPr>
      <w:bookmarkStart w:id="1" w:name="_Toc60754365"/>
      <w:r>
        <w:t>I</w:t>
      </w:r>
      <w:r w:rsidRPr="00106D11">
        <w:t>.</w:t>
      </w:r>
      <w:r w:rsidRPr="00106D11">
        <w:tab/>
        <w:t>INTRODUCTION</w:t>
      </w:r>
      <w:bookmarkEnd w:id="1"/>
    </w:p>
    <w:p w:rsidR="00106D11" w:rsidP="00F122F7" w14:paraId="72C88EA4" w14:textId="4FD2BDE8">
      <w:pPr>
        <w:pStyle w:val="BodyTextIndent3"/>
        <w:spacing w:after="0" w:line="480" w:lineRule="auto"/>
        <w:ind w:left="0" w:right="-312" w:firstLine="720"/>
        <w:rPr>
          <w:rFonts w:eastAsia="Times New Roman"/>
          <w:b w:val="0"/>
          <w:bCs w:val="0"/>
          <w:sz w:val="24"/>
          <w:szCs w:val="24"/>
        </w:rPr>
      </w:pPr>
      <w:r w:rsidRPr="00194C93">
        <w:rPr>
          <w:rFonts w:eastAsia="Times New Roman"/>
          <w:b w:val="0"/>
          <w:bCs w:val="0"/>
          <w:sz w:val="24"/>
          <w:szCs w:val="24"/>
        </w:rPr>
        <w:t xml:space="preserve">The PUCO ordered a prudence audit of the charges that </w:t>
      </w:r>
      <w:r w:rsidR="00B367B7">
        <w:rPr>
          <w:rFonts w:eastAsia="Times New Roman"/>
          <w:b w:val="0"/>
          <w:bCs w:val="0"/>
          <w:sz w:val="24"/>
          <w:szCs w:val="24"/>
        </w:rPr>
        <w:t xml:space="preserve">526,000 customers </w:t>
      </w:r>
      <w:r w:rsidR="005675D6">
        <w:rPr>
          <w:rFonts w:eastAsia="Times New Roman"/>
          <w:b w:val="0"/>
          <w:bCs w:val="0"/>
          <w:sz w:val="24"/>
          <w:szCs w:val="24"/>
        </w:rPr>
        <w:t>of The Dayton Power and Light Company (“DP&amp;L”</w:t>
      </w:r>
      <w:r>
        <w:rPr>
          <w:rFonts w:eastAsia="Times New Roman"/>
          <w:b w:val="0"/>
          <w:bCs w:val="0"/>
          <w:sz w:val="24"/>
          <w:szCs w:val="24"/>
        </w:rPr>
        <w:t xml:space="preserve">) </w:t>
      </w:r>
      <w:r w:rsidRPr="00194C93">
        <w:rPr>
          <w:rFonts w:eastAsia="Times New Roman"/>
          <w:b w:val="0"/>
          <w:bCs w:val="0"/>
          <w:sz w:val="24"/>
          <w:szCs w:val="24"/>
        </w:rPr>
        <w:t xml:space="preserve">have paid to subsidize </w:t>
      </w:r>
      <w:r w:rsidR="005675D6">
        <w:rPr>
          <w:rFonts w:eastAsia="Times New Roman"/>
          <w:b w:val="0"/>
          <w:bCs w:val="0"/>
          <w:sz w:val="24"/>
          <w:szCs w:val="24"/>
        </w:rPr>
        <w:t xml:space="preserve">DP&amp;L’s </w:t>
      </w:r>
      <w:r w:rsidRPr="00194C93">
        <w:rPr>
          <w:rFonts w:eastAsia="Times New Roman"/>
          <w:b w:val="0"/>
          <w:bCs w:val="0"/>
          <w:sz w:val="24"/>
          <w:szCs w:val="24"/>
        </w:rPr>
        <w:t xml:space="preserve">interest in two </w:t>
      </w:r>
      <w:r w:rsidR="00D1576F">
        <w:rPr>
          <w:rFonts w:eastAsia="Times New Roman"/>
          <w:b w:val="0"/>
          <w:bCs w:val="0"/>
          <w:sz w:val="24"/>
          <w:szCs w:val="24"/>
        </w:rPr>
        <w:t xml:space="preserve">coal power plants, one in </w:t>
      </w:r>
      <w:r w:rsidRPr="00194C93">
        <w:rPr>
          <w:rFonts w:eastAsia="Times New Roman"/>
          <w:b w:val="0"/>
          <w:bCs w:val="0"/>
          <w:sz w:val="24"/>
          <w:szCs w:val="24"/>
        </w:rPr>
        <w:t xml:space="preserve">Ohio and </w:t>
      </w:r>
      <w:r w:rsidR="00D1576F">
        <w:rPr>
          <w:rFonts w:eastAsia="Times New Roman"/>
          <w:b w:val="0"/>
          <w:bCs w:val="0"/>
          <w:sz w:val="24"/>
          <w:szCs w:val="24"/>
        </w:rPr>
        <w:t xml:space="preserve">the other in </w:t>
      </w:r>
      <w:r w:rsidRPr="00194C93">
        <w:rPr>
          <w:rFonts w:eastAsia="Times New Roman"/>
          <w:b w:val="0"/>
          <w:bCs w:val="0"/>
          <w:sz w:val="24"/>
          <w:szCs w:val="24"/>
        </w:rPr>
        <w:t>Indiana</w:t>
      </w:r>
      <w:r w:rsidR="008E21FE">
        <w:rPr>
          <w:rFonts w:eastAsia="Times New Roman"/>
          <w:b w:val="0"/>
          <w:bCs w:val="0"/>
          <w:sz w:val="24"/>
          <w:szCs w:val="24"/>
        </w:rPr>
        <w:t xml:space="preserve"> </w:t>
      </w:r>
      <w:r w:rsidR="005675D6">
        <w:rPr>
          <w:rFonts w:eastAsia="Times New Roman"/>
          <w:b w:val="0"/>
          <w:bCs w:val="0"/>
          <w:sz w:val="24"/>
          <w:szCs w:val="24"/>
        </w:rPr>
        <w:t>(the OVEC power plants)</w:t>
      </w:r>
      <w:r w:rsidRPr="00194C93">
        <w:rPr>
          <w:rFonts w:eastAsia="Times New Roman"/>
          <w:b w:val="0"/>
          <w:bCs w:val="0"/>
          <w:sz w:val="24"/>
          <w:szCs w:val="24"/>
        </w:rPr>
        <w:t>.</w:t>
      </w:r>
      <w:r>
        <w:rPr>
          <w:rStyle w:val="FootnoteReference"/>
          <w:rFonts w:eastAsia="Times New Roman"/>
          <w:b w:val="0"/>
          <w:bCs w:val="0"/>
          <w:sz w:val="24"/>
          <w:szCs w:val="24"/>
        </w:rPr>
        <w:footnoteReference w:id="2"/>
      </w:r>
      <w:r w:rsidRPr="00194C93">
        <w:rPr>
          <w:rFonts w:eastAsia="Times New Roman"/>
          <w:b w:val="0"/>
          <w:bCs w:val="0"/>
          <w:sz w:val="24"/>
          <w:szCs w:val="24"/>
        </w:rPr>
        <w:t xml:space="preserve"> </w:t>
      </w:r>
      <w:r>
        <w:rPr>
          <w:rFonts w:eastAsia="Times New Roman"/>
          <w:b w:val="0"/>
          <w:bCs w:val="0"/>
          <w:sz w:val="24"/>
          <w:szCs w:val="24"/>
        </w:rPr>
        <w:t xml:space="preserve">Because these </w:t>
      </w:r>
      <w:r w:rsidR="00F8439E">
        <w:rPr>
          <w:rFonts w:eastAsia="Times New Roman"/>
          <w:b w:val="0"/>
          <w:bCs w:val="0"/>
          <w:sz w:val="24"/>
          <w:szCs w:val="24"/>
        </w:rPr>
        <w:t xml:space="preserve">polluting </w:t>
      </w:r>
      <w:r>
        <w:rPr>
          <w:rFonts w:eastAsia="Times New Roman"/>
          <w:b w:val="0"/>
          <w:bCs w:val="0"/>
          <w:sz w:val="24"/>
          <w:szCs w:val="24"/>
        </w:rPr>
        <w:t xml:space="preserve">old plants are uneconomic, </w:t>
      </w:r>
      <w:r w:rsidR="002B6443">
        <w:rPr>
          <w:rFonts w:eastAsia="Times New Roman"/>
          <w:b w:val="0"/>
          <w:bCs w:val="0"/>
          <w:sz w:val="24"/>
          <w:szCs w:val="24"/>
        </w:rPr>
        <w:t>DP&amp;L’s</w:t>
      </w:r>
      <w:r>
        <w:rPr>
          <w:rFonts w:eastAsia="Times New Roman"/>
          <w:b w:val="0"/>
          <w:bCs w:val="0"/>
          <w:sz w:val="24"/>
          <w:szCs w:val="24"/>
        </w:rPr>
        <w:t xml:space="preserve"> customers pay a subsidy </w:t>
      </w:r>
      <w:r w:rsidR="000102E8">
        <w:rPr>
          <w:rFonts w:eastAsia="Times New Roman"/>
          <w:b w:val="0"/>
          <w:bCs w:val="0"/>
          <w:sz w:val="24"/>
          <w:szCs w:val="24"/>
        </w:rPr>
        <w:t>if</w:t>
      </w:r>
      <w:r>
        <w:rPr>
          <w:rFonts w:eastAsia="Times New Roman"/>
          <w:b w:val="0"/>
          <w:bCs w:val="0"/>
          <w:sz w:val="24"/>
          <w:szCs w:val="24"/>
        </w:rPr>
        <w:t xml:space="preserve"> the </w:t>
      </w:r>
      <w:r w:rsidRPr="005D21EE">
        <w:rPr>
          <w:rFonts w:eastAsia="Times New Roman"/>
          <w:b w:val="0"/>
          <w:bCs w:val="0"/>
          <w:sz w:val="24"/>
          <w:szCs w:val="24"/>
        </w:rPr>
        <w:t xml:space="preserve">costs for the two coal plants </w:t>
      </w:r>
      <w:r>
        <w:rPr>
          <w:rFonts w:eastAsia="Times New Roman"/>
          <w:b w:val="0"/>
          <w:bCs w:val="0"/>
          <w:sz w:val="24"/>
          <w:szCs w:val="24"/>
        </w:rPr>
        <w:t>exceed</w:t>
      </w:r>
      <w:r w:rsidRPr="005D21EE">
        <w:rPr>
          <w:rFonts w:eastAsia="Times New Roman"/>
          <w:b w:val="0"/>
          <w:bCs w:val="0"/>
          <w:sz w:val="24"/>
          <w:szCs w:val="24"/>
        </w:rPr>
        <w:t xml:space="preserve"> any revenues </w:t>
      </w:r>
      <w:r w:rsidR="002B6443">
        <w:rPr>
          <w:rFonts w:eastAsia="Times New Roman"/>
          <w:b w:val="0"/>
          <w:bCs w:val="0"/>
          <w:sz w:val="24"/>
          <w:szCs w:val="24"/>
        </w:rPr>
        <w:t>DP&amp;L</w:t>
      </w:r>
      <w:r w:rsidRPr="005D21EE">
        <w:rPr>
          <w:rFonts w:eastAsia="Times New Roman"/>
          <w:b w:val="0"/>
          <w:bCs w:val="0"/>
          <w:sz w:val="24"/>
          <w:szCs w:val="24"/>
        </w:rPr>
        <w:t xml:space="preserve"> derives from bidding </w:t>
      </w:r>
      <w:r>
        <w:rPr>
          <w:rFonts w:eastAsia="Times New Roman"/>
          <w:b w:val="0"/>
          <w:bCs w:val="0"/>
          <w:sz w:val="24"/>
          <w:szCs w:val="24"/>
        </w:rPr>
        <w:t xml:space="preserve">the power produced by the plants </w:t>
      </w:r>
      <w:r w:rsidR="002F7533">
        <w:rPr>
          <w:rFonts w:eastAsia="Times New Roman"/>
          <w:b w:val="0"/>
          <w:bCs w:val="0"/>
          <w:sz w:val="24"/>
          <w:szCs w:val="24"/>
        </w:rPr>
        <w:t xml:space="preserve">and selling the plants’ capacity </w:t>
      </w:r>
      <w:r w:rsidRPr="005D21EE">
        <w:rPr>
          <w:rFonts w:eastAsia="Times New Roman"/>
          <w:b w:val="0"/>
          <w:bCs w:val="0"/>
          <w:sz w:val="24"/>
          <w:szCs w:val="24"/>
        </w:rPr>
        <w:t xml:space="preserve">into PJM markets. </w:t>
      </w:r>
      <w:r w:rsidR="00F8267C">
        <w:rPr>
          <w:rFonts w:eastAsia="Times New Roman"/>
          <w:b w:val="0"/>
          <w:bCs w:val="0"/>
          <w:sz w:val="24"/>
          <w:szCs w:val="24"/>
        </w:rPr>
        <w:t>DP&amp;L’s</w:t>
      </w:r>
      <w:r w:rsidRPr="005D21EE" w:rsidR="00F8267C">
        <w:rPr>
          <w:rFonts w:eastAsia="Times New Roman"/>
          <w:b w:val="0"/>
          <w:bCs w:val="0"/>
          <w:sz w:val="24"/>
          <w:szCs w:val="24"/>
        </w:rPr>
        <w:t xml:space="preserve"> customers pay </w:t>
      </w:r>
      <w:r w:rsidR="00F8267C">
        <w:rPr>
          <w:rFonts w:eastAsia="Times New Roman"/>
          <w:b w:val="0"/>
          <w:bCs w:val="0"/>
          <w:sz w:val="24"/>
          <w:szCs w:val="24"/>
        </w:rPr>
        <w:t>an amount based on DP&amp;L’s</w:t>
      </w:r>
      <w:r w:rsidRPr="005D21EE" w:rsidR="00F8267C">
        <w:rPr>
          <w:rFonts w:eastAsia="Times New Roman"/>
          <w:b w:val="0"/>
          <w:bCs w:val="0"/>
          <w:sz w:val="24"/>
          <w:szCs w:val="24"/>
        </w:rPr>
        <w:t xml:space="preserve"> </w:t>
      </w:r>
      <w:r w:rsidR="00F8267C">
        <w:rPr>
          <w:rFonts w:eastAsia="Times New Roman"/>
          <w:b w:val="0"/>
          <w:bCs w:val="0"/>
          <w:sz w:val="24"/>
          <w:szCs w:val="24"/>
        </w:rPr>
        <w:t xml:space="preserve">ownership </w:t>
      </w:r>
      <w:r w:rsidRPr="005D21EE" w:rsidR="00F8267C">
        <w:rPr>
          <w:rFonts w:eastAsia="Times New Roman"/>
          <w:b w:val="0"/>
          <w:bCs w:val="0"/>
          <w:sz w:val="24"/>
          <w:szCs w:val="24"/>
        </w:rPr>
        <w:t xml:space="preserve">share </w:t>
      </w:r>
      <w:r w:rsidR="00F8267C">
        <w:rPr>
          <w:rFonts w:eastAsia="Times New Roman"/>
          <w:b w:val="0"/>
          <w:bCs w:val="0"/>
          <w:sz w:val="24"/>
          <w:szCs w:val="24"/>
        </w:rPr>
        <w:t xml:space="preserve">(currently 4.9%) </w:t>
      </w:r>
      <w:r w:rsidRPr="005D21EE" w:rsidR="00F8267C">
        <w:rPr>
          <w:rFonts w:eastAsia="Times New Roman"/>
          <w:b w:val="0"/>
          <w:bCs w:val="0"/>
          <w:sz w:val="24"/>
          <w:szCs w:val="24"/>
        </w:rPr>
        <w:t xml:space="preserve">of the </w:t>
      </w:r>
      <w:r w:rsidR="00F8267C">
        <w:rPr>
          <w:rFonts w:eastAsia="Times New Roman"/>
          <w:b w:val="0"/>
          <w:bCs w:val="0"/>
          <w:sz w:val="24"/>
          <w:szCs w:val="24"/>
        </w:rPr>
        <w:t>plants.</w:t>
      </w:r>
      <w:r w:rsidR="005D4EA5">
        <w:rPr>
          <w:rFonts w:eastAsia="Times New Roman"/>
          <w:b w:val="0"/>
          <w:bCs w:val="0"/>
          <w:sz w:val="24"/>
          <w:szCs w:val="24"/>
        </w:rPr>
        <w:t xml:space="preserve"> </w:t>
      </w:r>
      <w:r w:rsidRPr="005D21EE">
        <w:rPr>
          <w:rFonts w:eastAsia="Times New Roman"/>
          <w:b w:val="0"/>
          <w:bCs w:val="0"/>
          <w:sz w:val="24"/>
          <w:szCs w:val="24"/>
        </w:rPr>
        <w:t xml:space="preserve">To minimize charges to consumers, therefore, it is essential that </w:t>
      </w:r>
      <w:r>
        <w:rPr>
          <w:rFonts w:eastAsia="Times New Roman"/>
          <w:b w:val="0"/>
          <w:bCs w:val="0"/>
          <w:sz w:val="24"/>
          <w:szCs w:val="24"/>
        </w:rPr>
        <w:t xml:space="preserve">the two power plants be operated prudently and efficiently and that </w:t>
      </w:r>
      <w:r w:rsidR="002B6443">
        <w:rPr>
          <w:rFonts w:eastAsia="Times New Roman"/>
          <w:b w:val="0"/>
          <w:bCs w:val="0"/>
          <w:sz w:val="24"/>
          <w:szCs w:val="24"/>
        </w:rPr>
        <w:t>DP&amp;L</w:t>
      </w:r>
      <w:r>
        <w:rPr>
          <w:rFonts w:eastAsia="Times New Roman"/>
          <w:b w:val="0"/>
          <w:bCs w:val="0"/>
          <w:sz w:val="24"/>
          <w:szCs w:val="24"/>
        </w:rPr>
        <w:t xml:space="preserve"> act prudently and reasonably in </w:t>
      </w:r>
      <w:r w:rsidR="00D81541">
        <w:rPr>
          <w:rFonts w:eastAsia="Times New Roman"/>
          <w:b w:val="0"/>
          <w:bCs w:val="0"/>
          <w:sz w:val="24"/>
          <w:szCs w:val="24"/>
        </w:rPr>
        <w:t xml:space="preserve">requiring OVEC to </w:t>
      </w:r>
      <w:r>
        <w:rPr>
          <w:rFonts w:eastAsia="Times New Roman"/>
          <w:b w:val="0"/>
          <w:bCs w:val="0"/>
          <w:sz w:val="24"/>
          <w:szCs w:val="24"/>
        </w:rPr>
        <w:t xml:space="preserve">bid its energy and capacity </w:t>
      </w:r>
      <w:r w:rsidRPr="005D21EE">
        <w:rPr>
          <w:rFonts w:eastAsia="Times New Roman"/>
          <w:b w:val="0"/>
          <w:bCs w:val="0"/>
          <w:sz w:val="24"/>
          <w:szCs w:val="24"/>
        </w:rPr>
        <w:t>into th</w:t>
      </w:r>
      <w:r>
        <w:rPr>
          <w:rFonts w:eastAsia="Times New Roman"/>
          <w:b w:val="0"/>
          <w:bCs w:val="0"/>
          <w:sz w:val="24"/>
          <w:szCs w:val="24"/>
        </w:rPr>
        <w:t xml:space="preserve">e </w:t>
      </w:r>
      <w:r w:rsidRPr="005D21EE">
        <w:rPr>
          <w:rFonts w:eastAsia="Times New Roman"/>
          <w:b w:val="0"/>
          <w:bCs w:val="0"/>
          <w:sz w:val="24"/>
          <w:szCs w:val="24"/>
        </w:rPr>
        <w:t xml:space="preserve">competitive </w:t>
      </w:r>
      <w:r>
        <w:rPr>
          <w:rFonts w:eastAsia="Times New Roman"/>
          <w:b w:val="0"/>
          <w:bCs w:val="0"/>
          <w:sz w:val="24"/>
          <w:szCs w:val="24"/>
        </w:rPr>
        <w:t xml:space="preserve">PJM </w:t>
      </w:r>
      <w:r w:rsidRPr="005D21EE">
        <w:rPr>
          <w:rFonts w:eastAsia="Times New Roman"/>
          <w:b w:val="0"/>
          <w:bCs w:val="0"/>
          <w:sz w:val="24"/>
          <w:szCs w:val="24"/>
        </w:rPr>
        <w:t>markets</w:t>
      </w:r>
      <w:r>
        <w:rPr>
          <w:rFonts w:eastAsia="Times New Roman"/>
          <w:b w:val="0"/>
          <w:bCs w:val="0"/>
          <w:sz w:val="24"/>
          <w:szCs w:val="24"/>
        </w:rPr>
        <w:t xml:space="preserve">. </w:t>
      </w:r>
    </w:p>
    <w:p w:rsidR="00D029EC" w:rsidP="00D029EC" w14:paraId="5D4E1A5E" w14:textId="4C058BE0">
      <w:pPr>
        <w:spacing w:after="0" w:line="480" w:lineRule="auto"/>
        <w:ind w:firstLine="720"/>
        <w:rPr>
          <w:b w:val="0"/>
          <w:bCs w:val="0"/>
        </w:rPr>
      </w:pPr>
      <w:r w:rsidRPr="00F8267C">
        <w:rPr>
          <w:b w:val="0"/>
          <w:bCs w:val="0"/>
        </w:rPr>
        <w:t>The PUCO engaged an outside auditor, Vantage Energy Consulting, LLC (“Vantage”</w:t>
      </w:r>
      <w:r w:rsidR="00D1576F">
        <w:rPr>
          <w:b w:val="0"/>
          <w:bCs w:val="0"/>
        </w:rPr>
        <w:t xml:space="preserve"> or “Auditor”</w:t>
      </w:r>
      <w:r w:rsidRPr="00F8267C">
        <w:rPr>
          <w:b w:val="0"/>
          <w:bCs w:val="0"/>
        </w:rPr>
        <w:t>), to audit the OVEC subsidy charge for the period of November 1, 2018 through December 31, 2019 (“Audit Period”). The Auditor submitted a Final Report (“Audit Report”) on October 7, 2020.</w:t>
      </w:r>
      <w:r w:rsidR="005D4EA5">
        <w:rPr>
          <w:b w:val="0"/>
          <w:bCs w:val="0"/>
        </w:rPr>
        <w:t xml:space="preserve"> </w:t>
      </w:r>
      <w:r w:rsidRPr="00F8267C">
        <w:rPr>
          <w:b w:val="0"/>
          <w:bCs w:val="0"/>
        </w:rPr>
        <w:t xml:space="preserve">As stated in the Audit Report, the purpose of the audit is to “establish the prudency of all the costs and sales flowing through the </w:t>
      </w:r>
      <w:r w:rsidR="00D81541">
        <w:rPr>
          <w:b w:val="0"/>
          <w:bCs w:val="0"/>
        </w:rPr>
        <w:t xml:space="preserve">Reconciliation Rider (“OVEC subsidy charge”) </w:t>
      </w:r>
      <w:r w:rsidRPr="00F8267C">
        <w:rPr>
          <w:b w:val="0"/>
          <w:bCs w:val="0"/>
        </w:rPr>
        <w:t>and to demonstrate that the Company’s [DP&amp;L’s] actions were in the best interest of its retail ratepayers.”</w:t>
      </w:r>
      <w:r>
        <w:rPr>
          <w:rStyle w:val="FootnoteReference"/>
          <w:b w:val="0"/>
          <w:bCs w:val="0"/>
        </w:rPr>
        <w:footnoteReference w:id="3"/>
      </w:r>
      <w:r w:rsidRPr="00F8267C">
        <w:rPr>
          <w:rFonts w:eastAsia="Times New Roman"/>
          <w:b w:val="0"/>
          <w:bCs w:val="0"/>
        </w:rPr>
        <w:t xml:space="preserve"> </w:t>
      </w:r>
      <w:r>
        <w:rPr>
          <w:b w:val="0"/>
          <w:bCs w:val="0"/>
        </w:rPr>
        <w:t>As ordered by the PUCO, the scope of the Audit Report includes the following: disposition of energy and capacity, fuel and variable expenses, capital expenses, environmental compliance, power plant performance, and utility industry perspective.</w:t>
      </w:r>
      <w:r>
        <w:rPr>
          <w:rStyle w:val="FootnoteReference"/>
          <w:b w:val="0"/>
          <w:bCs w:val="0"/>
        </w:rPr>
        <w:footnoteReference w:id="4"/>
      </w:r>
      <w:r w:rsidR="005D4EA5">
        <w:rPr>
          <w:b w:val="0"/>
          <w:bCs w:val="0"/>
        </w:rPr>
        <w:t xml:space="preserve"> </w:t>
      </w:r>
    </w:p>
    <w:p w:rsidR="00F122F7" w:rsidP="00EE0C3C" w14:paraId="27A45275" w14:textId="3B8905E7">
      <w:pPr>
        <w:spacing w:after="0" w:line="480" w:lineRule="auto"/>
        <w:ind w:firstLine="720"/>
        <w:rPr>
          <w:b w:val="0"/>
          <w:bCs w:val="0"/>
        </w:rPr>
      </w:pPr>
      <w:r>
        <w:rPr>
          <w:b w:val="0"/>
          <w:bCs w:val="0"/>
        </w:rPr>
        <w:t>The PUCO approved DP&amp;L’s OVEC subsidy charge in Case Nos. 16-395-EL-SSO et al.</w:t>
      </w:r>
      <w:r w:rsidR="005D4EA5">
        <w:rPr>
          <w:b w:val="0"/>
          <w:bCs w:val="0"/>
        </w:rPr>
        <w:t xml:space="preserve"> </w:t>
      </w:r>
      <w:r>
        <w:rPr>
          <w:b w:val="0"/>
          <w:bCs w:val="0"/>
        </w:rPr>
        <w:t>In approving th</w:t>
      </w:r>
      <w:r w:rsidR="000102E8">
        <w:rPr>
          <w:b w:val="0"/>
          <w:bCs w:val="0"/>
        </w:rPr>
        <w:t>e</w:t>
      </w:r>
      <w:r>
        <w:rPr>
          <w:b w:val="0"/>
          <w:bCs w:val="0"/>
        </w:rPr>
        <w:t xml:space="preserve"> OVEC subsidy charge, customers were forced to pay a subsidy to DP&amp;L starting November 1, 2017.</w:t>
      </w:r>
      <w:r>
        <w:rPr>
          <w:rStyle w:val="FootnoteReference"/>
          <w:b w:val="0"/>
          <w:bCs w:val="0"/>
        </w:rPr>
        <w:footnoteReference w:id="5"/>
      </w:r>
      <w:r w:rsidR="005D4EA5">
        <w:rPr>
          <w:b w:val="0"/>
          <w:bCs w:val="0"/>
        </w:rPr>
        <w:t xml:space="preserve"> </w:t>
      </w:r>
      <w:r>
        <w:rPr>
          <w:b w:val="0"/>
          <w:bCs w:val="0"/>
        </w:rPr>
        <w:t xml:space="preserve">Based on DP&amp;L’s own filings with the PUCO, </w:t>
      </w:r>
      <w:r w:rsidR="000102E8">
        <w:rPr>
          <w:b w:val="0"/>
          <w:bCs w:val="0"/>
        </w:rPr>
        <w:t>the OVEC subsidy charge</w:t>
      </w:r>
      <w:r w:rsidR="008F6A36">
        <w:rPr>
          <w:b w:val="0"/>
          <w:bCs w:val="0"/>
        </w:rPr>
        <w:t xml:space="preserve"> has been a significant cost burden on DP&amp;L’s customers.</w:t>
      </w:r>
      <w:r w:rsidR="005D4EA5">
        <w:rPr>
          <w:b w:val="0"/>
          <w:bCs w:val="0"/>
        </w:rPr>
        <w:t xml:space="preserve"> </w:t>
      </w:r>
      <w:r w:rsidR="008F6A36">
        <w:rPr>
          <w:b w:val="0"/>
          <w:bCs w:val="0"/>
        </w:rPr>
        <w:t xml:space="preserve">Out of the 26 months during the period of November 2017 to December 2019, DP&amp;L </w:t>
      </w:r>
      <w:r w:rsidR="000102E8">
        <w:rPr>
          <w:b w:val="0"/>
          <w:bCs w:val="0"/>
        </w:rPr>
        <w:t>has lost</w:t>
      </w:r>
      <w:r w:rsidR="008F6A36">
        <w:rPr>
          <w:b w:val="0"/>
          <w:bCs w:val="0"/>
        </w:rPr>
        <w:t xml:space="preserve"> money in 23 months.</w:t>
      </w:r>
      <w:r>
        <w:rPr>
          <w:rStyle w:val="FootnoteReference"/>
          <w:b w:val="0"/>
          <w:bCs w:val="0"/>
        </w:rPr>
        <w:footnoteReference w:id="6"/>
      </w:r>
      <w:r w:rsidR="008F6A36">
        <w:rPr>
          <w:b w:val="0"/>
          <w:bCs w:val="0"/>
        </w:rPr>
        <w:t xml:space="preserve"> See </w:t>
      </w:r>
      <w:r w:rsidR="007E77EB">
        <w:rPr>
          <w:b w:val="0"/>
          <w:bCs w:val="0"/>
        </w:rPr>
        <w:t xml:space="preserve">Attachment </w:t>
      </w:r>
      <w:r w:rsidR="00CF56CE">
        <w:rPr>
          <w:b w:val="0"/>
          <w:bCs w:val="0"/>
        </w:rPr>
        <w:t>1.</w:t>
      </w:r>
      <w:r w:rsidR="005D4EA5">
        <w:rPr>
          <w:b w:val="0"/>
          <w:bCs w:val="0"/>
        </w:rPr>
        <w:t xml:space="preserve"> </w:t>
      </w:r>
      <w:r>
        <w:rPr>
          <w:b w:val="0"/>
          <w:bCs w:val="0"/>
        </w:rPr>
        <w:t>DP&amp;L’s customers ha</w:t>
      </w:r>
      <w:r w:rsidR="000102E8">
        <w:rPr>
          <w:b w:val="0"/>
          <w:bCs w:val="0"/>
        </w:rPr>
        <w:t>ve</w:t>
      </w:r>
      <w:r>
        <w:rPr>
          <w:b w:val="0"/>
          <w:bCs w:val="0"/>
        </w:rPr>
        <w:t xml:space="preserve"> paid approximately $18.7 million </w:t>
      </w:r>
      <w:r w:rsidR="000102E8">
        <w:rPr>
          <w:b w:val="0"/>
          <w:bCs w:val="0"/>
        </w:rPr>
        <w:t xml:space="preserve">in subsidies </w:t>
      </w:r>
      <w:r>
        <w:rPr>
          <w:b w:val="0"/>
          <w:bCs w:val="0"/>
        </w:rPr>
        <w:t xml:space="preserve">to DP&amp;L for its share of the OVEC power plants through the </w:t>
      </w:r>
      <w:r w:rsidR="000102E8">
        <w:rPr>
          <w:b w:val="0"/>
          <w:bCs w:val="0"/>
        </w:rPr>
        <w:t>OVEC subsidy charge</w:t>
      </w:r>
      <w:r>
        <w:rPr>
          <w:b w:val="0"/>
          <w:bCs w:val="0"/>
        </w:rPr>
        <w:t xml:space="preserve"> </w:t>
      </w:r>
      <w:r w:rsidR="008F6A36">
        <w:rPr>
          <w:b w:val="0"/>
          <w:bCs w:val="0"/>
        </w:rPr>
        <w:t>in the same period.</w:t>
      </w:r>
      <w:r w:rsidR="005D4EA5">
        <w:rPr>
          <w:b w:val="0"/>
          <w:bCs w:val="0"/>
        </w:rPr>
        <w:t xml:space="preserve"> </w:t>
      </w:r>
      <w:r w:rsidR="008F6A36">
        <w:rPr>
          <w:b w:val="0"/>
          <w:bCs w:val="0"/>
        </w:rPr>
        <w:t xml:space="preserve">During the </w:t>
      </w:r>
      <w:r>
        <w:rPr>
          <w:b w:val="0"/>
          <w:bCs w:val="0"/>
        </w:rPr>
        <w:t>Audit Period of November 1, 2018 through December 31, 2019, the OVEC subsidy paid by DP&amp;L’s customers is approximately $11.1 million.</w:t>
      </w:r>
      <w:r w:rsidR="008F6A36">
        <w:rPr>
          <w:b w:val="0"/>
          <w:bCs w:val="0"/>
        </w:rPr>
        <w:t xml:space="preserve"> </w:t>
      </w:r>
    </w:p>
    <w:p w:rsidR="00EE0C3C" w:rsidP="00EE0C3C" w14:paraId="3151E31C" w14:textId="12B4356E">
      <w:pPr>
        <w:spacing w:after="0" w:line="480" w:lineRule="auto"/>
        <w:ind w:firstLine="720"/>
        <w:rPr>
          <w:b w:val="0"/>
          <w:bCs w:val="0"/>
        </w:rPr>
      </w:pPr>
      <w:r>
        <w:rPr>
          <w:b w:val="0"/>
          <w:bCs w:val="0"/>
        </w:rPr>
        <w:t xml:space="preserve">OCC and the many others who objected to the OVEC </w:t>
      </w:r>
      <w:r w:rsidR="00D1576F">
        <w:rPr>
          <w:b w:val="0"/>
          <w:bCs w:val="0"/>
        </w:rPr>
        <w:t xml:space="preserve">subsidies </w:t>
      </w:r>
      <w:r>
        <w:rPr>
          <w:b w:val="0"/>
          <w:bCs w:val="0"/>
        </w:rPr>
        <w:t>warned that customers would be forced to pay above-market costs and that customers would not benefit from these plants in any way, shape</w:t>
      </w:r>
      <w:r w:rsidR="000102E8">
        <w:rPr>
          <w:b w:val="0"/>
          <w:bCs w:val="0"/>
        </w:rPr>
        <w:t>,</w:t>
      </w:r>
      <w:r>
        <w:rPr>
          <w:b w:val="0"/>
          <w:bCs w:val="0"/>
        </w:rPr>
        <w:t xml:space="preserve"> or form.</w:t>
      </w:r>
      <w:r w:rsidR="005D4EA5">
        <w:rPr>
          <w:b w:val="0"/>
          <w:bCs w:val="0"/>
        </w:rPr>
        <w:t xml:space="preserve"> </w:t>
      </w:r>
      <w:r w:rsidR="008F6A36">
        <w:rPr>
          <w:b w:val="0"/>
          <w:bCs w:val="0"/>
        </w:rPr>
        <w:t>There is no doubt that customer</w:t>
      </w:r>
      <w:r w:rsidR="000102E8">
        <w:rPr>
          <w:b w:val="0"/>
          <w:bCs w:val="0"/>
        </w:rPr>
        <w:t>s</w:t>
      </w:r>
      <w:r w:rsidR="008F6A36">
        <w:rPr>
          <w:b w:val="0"/>
          <w:bCs w:val="0"/>
        </w:rPr>
        <w:t xml:space="preserve"> will not </w:t>
      </w:r>
      <w:r w:rsidR="00DF1FED">
        <w:rPr>
          <w:b w:val="0"/>
          <w:bCs w:val="0"/>
        </w:rPr>
        <w:t xml:space="preserve">likely </w:t>
      </w:r>
      <w:r w:rsidR="008F6A36">
        <w:rPr>
          <w:b w:val="0"/>
          <w:bCs w:val="0"/>
        </w:rPr>
        <w:t>get any benefits from the OVEC entitlement owned by its monopoly distribution utility, DP&amp;L, in the foreseeable future.</w:t>
      </w:r>
      <w:r w:rsidR="005D4EA5">
        <w:rPr>
          <w:b w:val="0"/>
          <w:bCs w:val="0"/>
        </w:rPr>
        <w:t xml:space="preserve"> </w:t>
      </w:r>
      <w:r w:rsidR="00DF1FED">
        <w:rPr>
          <w:b w:val="0"/>
          <w:bCs w:val="0"/>
        </w:rPr>
        <w:t xml:space="preserve">This makes the annual prudency audit of the OVEC subsidy </w:t>
      </w:r>
      <w:r w:rsidR="000102E8">
        <w:rPr>
          <w:b w:val="0"/>
          <w:bCs w:val="0"/>
        </w:rPr>
        <w:t xml:space="preserve">charge </w:t>
      </w:r>
      <w:r w:rsidR="00DF1FED">
        <w:rPr>
          <w:b w:val="0"/>
          <w:bCs w:val="0"/>
        </w:rPr>
        <w:t xml:space="preserve">even more important </w:t>
      </w:r>
      <w:r w:rsidR="000102E8">
        <w:rPr>
          <w:b w:val="0"/>
          <w:bCs w:val="0"/>
        </w:rPr>
        <w:t>to help minimize</w:t>
      </w:r>
      <w:r w:rsidR="00DF1FED">
        <w:rPr>
          <w:b w:val="0"/>
          <w:bCs w:val="0"/>
        </w:rPr>
        <w:t xml:space="preserve"> the costs to the customers.</w:t>
      </w:r>
      <w:r w:rsidR="005D4EA5">
        <w:rPr>
          <w:b w:val="0"/>
          <w:bCs w:val="0"/>
        </w:rPr>
        <w:t xml:space="preserve"> </w:t>
      </w:r>
    </w:p>
    <w:p w:rsidR="00EE0C3C" w:rsidP="00F8267C" w14:paraId="7521EFFB" w14:textId="68F86646">
      <w:pPr>
        <w:spacing w:after="0" w:line="480" w:lineRule="auto"/>
        <w:ind w:firstLine="720"/>
        <w:rPr>
          <w:b w:val="0"/>
          <w:bCs w:val="0"/>
        </w:rPr>
      </w:pPr>
      <w:r w:rsidRPr="005D21EE">
        <w:rPr>
          <w:rFonts w:eastAsia="Times New Roman"/>
          <w:b w:val="0"/>
          <w:bCs w:val="0"/>
        </w:rPr>
        <w:t>The Attorney Examiner allowed parties to provide comments on the Audit Report.</w:t>
      </w:r>
      <w:r>
        <w:rPr>
          <w:rStyle w:val="FootnoteReference"/>
          <w:rFonts w:eastAsia="Times New Roman"/>
          <w:b w:val="0"/>
          <w:bCs w:val="0"/>
        </w:rPr>
        <w:footnoteReference w:id="7"/>
      </w:r>
      <w:r w:rsidRPr="005D21EE">
        <w:rPr>
          <w:rFonts w:eastAsia="Times New Roman"/>
          <w:b w:val="0"/>
          <w:bCs w:val="0"/>
        </w:rPr>
        <w:t xml:space="preserve"> The Office of the Ohio Consumers’ Counsel (“OCC”) respectfully requests that the PUCO consider the following consumer-protection </w:t>
      </w:r>
      <w:r>
        <w:rPr>
          <w:rFonts w:eastAsia="Times New Roman"/>
          <w:b w:val="0"/>
          <w:bCs w:val="0"/>
        </w:rPr>
        <w:t xml:space="preserve">comments and </w:t>
      </w:r>
      <w:r w:rsidRPr="005D21EE">
        <w:rPr>
          <w:rFonts w:eastAsia="Times New Roman"/>
          <w:b w:val="0"/>
          <w:bCs w:val="0"/>
        </w:rPr>
        <w:t>recommendations regarding the findings of the Audit</w:t>
      </w:r>
      <w:r>
        <w:rPr>
          <w:rFonts w:eastAsia="Times New Roman"/>
          <w:b w:val="0"/>
          <w:bCs w:val="0"/>
        </w:rPr>
        <w:t xml:space="preserve">or </w:t>
      </w:r>
      <w:r w:rsidR="00D029EC">
        <w:rPr>
          <w:rFonts w:eastAsia="Times New Roman"/>
          <w:b w:val="0"/>
          <w:bCs w:val="0"/>
        </w:rPr>
        <w:t xml:space="preserve">and relevant information </w:t>
      </w:r>
      <w:r w:rsidRPr="005D21EE">
        <w:rPr>
          <w:rFonts w:eastAsia="Times New Roman"/>
          <w:b w:val="0"/>
          <w:bCs w:val="0"/>
        </w:rPr>
        <w:t xml:space="preserve">and charges to consumers under the OVEC </w:t>
      </w:r>
      <w:r>
        <w:rPr>
          <w:rFonts w:eastAsia="Times New Roman"/>
          <w:b w:val="0"/>
          <w:bCs w:val="0"/>
        </w:rPr>
        <w:t xml:space="preserve">subsidy </w:t>
      </w:r>
      <w:r w:rsidR="000102E8">
        <w:rPr>
          <w:b w:val="0"/>
          <w:bCs w:val="0"/>
        </w:rPr>
        <w:t>charge</w:t>
      </w:r>
      <w:r>
        <w:rPr>
          <w:b w:val="0"/>
          <w:bCs w:val="0"/>
        </w:rPr>
        <w:t xml:space="preserve">. </w:t>
      </w:r>
    </w:p>
    <w:p w:rsidR="00F17F69" w:rsidP="00F17F69" w14:paraId="1C786EB6" w14:textId="77777777">
      <w:pPr>
        <w:spacing w:after="0" w:line="240" w:lineRule="auto"/>
        <w:ind w:firstLine="720"/>
        <w:rPr>
          <w:b w:val="0"/>
          <w:bCs w:val="0"/>
        </w:rPr>
      </w:pPr>
    </w:p>
    <w:p w:rsidR="000102E8" w:rsidP="00F17F69" w14:paraId="1856C249" w14:textId="798E73AB">
      <w:pPr>
        <w:pStyle w:val="Heading1"/>
      </w:pPr>
      <w:bookmarkStart w:id="2" w:name="_Toc60754366"/>
      <w:r w:rsidRPr="00F122F7">
        <w:t>II.</w:t>
      </w:r>
      <w:r w:rsidRPr="00F122F7">
        <w:tab/>
      </w:r>
      <w:r w:rsidR="00F17F69">
        <w:t>CONSUMER PROTECTION RECOMMENDATIONS</w:t>
      </w:r>
      <w:bookmarkEnd w:id="2"/>
    </w:p>
    <w:p w:rsidR="00405223" w:rsidRPr="00881181" w:rsidP="00881181" w14:paraId="79BFD743" w14:textId="30437B17">
      <w:pPr>
        <w:pStyle w:val="Heading2"/>
      </w:pPr>
      <w:bookmarkStart w:id="3" w:name="_Toc60754367"/>
      <w:r w:rsidRPr="00881181">
        <w:rPr>
          <w:rStyle w:val="Heading2Char"/>
          <w:bCs w:val="0"/>
        </w:rPr>
        <w:t>Consumer protection requires that DP&amp;L meet the burden of proof regarding</w:t>
      </w:r>
      <w:r w:rsidRPr="00881181">
        <w:t xml:space="preserve"> prudency.</w:t>
      </w:r>
      <w:bookmarkEnd w:id="3"/>
    </w:p>
    <w:p w:rsidR="00F122F7" w:rsidP="00D07F47" w14:paraId="5E71E14B" w14:textId="26CC5C42">
      <w:pPr>
        <w:spacing w:after="0" w:line="480" w:lineRule="auto"/>
        <w:ind w:firstLine="720"/>
        <w:rPr>
          <w:b w:val="0"/>
          <w:bCs w:val="0"/>
        </w:rPr>
      </w:pPr>
      <w:r>
        <w:rPr>
          <w:b w:val="0"/>
          <w:bCs w:val="0"/>
        </w:rPr>
        <w:t xml:space="preserve">When the PUCO approved </w:t>
      </w:r>
      <w:r w:rsidR="00B92A7B">
        <w:rPr>
          <w:b w:val="0"/>
          <w:bCs w:val="0"/>
        </w:rPr>
        <w:t>the OVEC subsidy charge</w:t>
      </w:r>
      <w:r>
        <w:rPr>
          <w:b w:val="0"/>
          <w:bCs w:val="0"/>
        </w:rPr>
        <w:t xml:space="preserve">, </w:t>
      </w:r>
      <w:r w:rsidR="00CB28D8">
        <w:rPr>
          <w:b w:val="0"/>
          <w:bCs w:val="0"/>
        </w:rPr>
        <w:t>it ordered</w:t>
      </w:r>
      <w:r>
        <w:rPr>
          <w:b w:val="0"/>
          <w:bCs w:val="0"/>
        </w:rPr>
        <w:t xml:space="preserve"> that the </w:t>
      </w:r>
      <w:r>
        <w:rPr>
          <w:b w:val="0"/>
          <w:bCs w:val="0"/>
        </w:rPr>
        <w:t>charge</w:t>
      </w:r>
      <w:r>
        <w:rPr>
          <w:b w:val="0"/>
          <w:bCs w:val="0"/>
        </w:rPr>
        <w:t xml:space="preserve"> would be subject to </w:t>
      </w:r>
      <w:r w:rsidR="00B92A7B">
        <w:rPr>
          <w:b w:val="0"/>
          <w:bCs w:val="0"/>
        </w:rPr>
        <w:t>audit</w:t>
      </w:r>
      <w:r w:rsidR="00F87F2A">
        <w:rPr>
          <w:b w:val="0"/>
          <w:bCs w:val="0"/>
        </w:rPr>
        <w:t xml:space="preserve"> and update</w:t>
      </w:r>
      <w:r w:rsidR="00B92A7B">
        <w:rPr>
          <w:b w:val="0"/>
          <w:bCs w:val="0"/>
        </w:rPr>
        <w:t>s</w:t>
      </w:r>
      <w:r>
        <w:rPr>
          <w:b w:val="0"/>
          <w:bCs w:val="0"/>
        </w:rPr>
        <w:t>.</w:t>
      </w:r>
      <w:r>
        <w:rPr>
          <w:rStyle w:val="FootnoteReference"/>
          <w:b w:val="0"/>
          <w:bCs w:val="0"/>
        </w:rPr>
        <w:footnoteReference w:id="8"/>
      </w:r>
      <w:r w:rsidR="005D4EA5">
        <w:rPr>
          <w:b w:val="0"/>
          <w:bCs w:val="0"/>
        </w:rPr>
        <w:t xml:space="preserve"> </w:t>
      </w:r>
      <w:r w:rsidR="00CB28D8">
        <w:rPr>
          <w:b w:val="0"/>
          <w:bCs w:val="0"/>
        </w:rPr>
        <w:t xml:space="preserve">The </w:t>
      </w:r>
      <w:r w:rsidR="00F87F2A">
        <w:rPr>
          <w:b w:val="0"/>
          <w:bCs w:val="0"/>
        </w:rPr>
        <w:t xml:space="preserve">audit process </w:t>
      </w:r>
      <w:r w:rsidR="00B92A7B">
        <w:rPr>
          <w:b w:val="0"/>
          <w:bCs w:val="0"/>
        </w:rPr>
        <w:t xml:space="preserve">is not described </w:t>
      </w:r>
      <w:r w:rsidR="00CB28D8">
        <w:rPr>
          <w:b w:val="0"/>
          <w:bCs w:val="0"/>
        </w:rPr>
        <w:t>in detail.</w:t>
      </w:r>
      <w:r w:rsidR="005D4EA5">
        <w:rPr>
          <w:b w:val="0"/>
          <w:bCs w:val="0"/>
        </w:rPr>
        <w:t xml:space="preserve"> </w:t>
      </w:r>
      <w:r w:rsidR="00B92A7B">
        <w:rPr>
          <w:b w:val="0"/>
          <w:bCs w:val="0"/>
        </w:rPr>
        <w:t>But the audit of</w:t>
      </w:r>
      <w:r w:rsidR="00F87F2A">
        <w:rPr>
          <w:b w:val="0"/>
          <w:bCs w:val="0"/>
        </w:rPr>
        <w:t xml:space="preserve"> DP&amp;L’s</w:t>
      </w:r>
      <w:r w:rsidR="00B92A7B">
        <w:rPr>
          <w:b w:val="0"/>
          <w:bCs w:val="0"/>
        </w:rPr>
        <w:t xml:space="preserve"> OVEC subsidy charge</w:t>
      </w:r>
      <w:r w:rsidR="00F87F2A">
        <w:rPr>
          <w:b w:val="0"/>
          <w:bCs w:val="0"/>
        </w:rPr>
        <w:t xml:space="preserve"> should be comparable to </w:t>
      </w:r>
      <w:r w:rsidR="00B92A7B">
        <w:rPr>
          <w:b w:val="0"/>
          <w:bCs w:val="0"/>
        </w:rPr>
        <w:t xml:space="preserve">the </w:t>
      </w:r>
      <w:r w:rsidR="00CB28D8">
        <w:rPr>
          <w:b w:val="0"/>
          <w:bCs w:val="0"/>
        </w:rPr>
        <w:t xml:space="preserve">two other </w:t>
      </w:r>
      <w:r w:rsidR="00B92A7B">
        <w:rPr>
          <w:b w:val="0"/>
          <w:bCs w:val="0"/>
        </w:rPr>
        <w:t xml:space="preserve">electric </w:t>
      </w:r>
      <w:r w:rsidR="00CB28D8">
        <w:rPr>
          <w:b w:val="0"/>
          <w:bCs w:val="0"/>
        </w:rPr>
        <w:t xml:space="preserve">utilities </w:t>
      </w:r>
      <w:r w:rsidR="00F87F2A">
        <w:rPr>
          <w:b w:val="0"/>
          <w:bCs w:val="0"/>
        </w:rPr>
        <w:t xml:space="preserve">that </w:t>
      </w:r>
      <w:r w:rsidR="00CB28D8">
        <w:rPr>
          <w:b w:val="0"/>
          <w:bCs w:val="0"/>
        </w:rPr>
        <w:t xml:space="preserve">have a similar OVEC </w:t>
      </w:r>
      <w:r w:rsidR="00F87F2A">
        <w:rPr>
          <w:b w:val="0"/>
          <w:bCs w:val="0"/>
        </w:rPr>
        <w:t>subsidy.</w:t>
      </w:r>
      <w:r w:rsidR="005D4EA5">
        <w:rPr>
          <w:b w:val="0"/>
          <w:bCs w:val="0"/>
        </w:rPr>
        <w:t xml:space="preserve"> </w:t>
      </w:r>
    </w:p>
    <w:p w:rsidR="00EF6CE2" w:rsidP="00D07F47" w14:paraId="4B99D172" w14:textId="5010BD9F">
      <w:pPr>
        <w:spacing w:after="0" w:line="480" w:lineRule="auto"/>
        <w:ind w:firstLine="720"/>
        <w:rPr>
          <w:b w:val="0"/>
          <w:bCs w:val="0"/>
        </w:rPr>
      </w:pPr>
      <w:r>
        <w:rPr>
          <w:b w:val="0"/>
          <w:bCs w:val="0"/>
        </w:rPr>
        <w:t>T</w:t>
      </w:r>
      <w:r w:rsidR="00CB28D8">
        <w:rPr>
          <w:b w:val="0"/>
          <w:bCs w:val="0"/>
        </w:rPr>
        <w:t xml:space="preserve">he PUCO </w:t>
      </w:r>
      <w:r w:rsidR="00EE0C3C">
        <w:rPr>
          <w:b w:val="0"/>
          <w:bCs w:val="0"/>
        </w:rPr>
        <w:t xml:space="preserve">has </w:t>
      </w:r>
      <w:r w:rsidR="00CB28D8">
        <w:rPr>
          <w:b w:val="0"/>
          <w:bCs w:val="0"/>
        </w:rPr>
        <w:t>approach</w:t>
      </w:r>
      <w:r w:rsidR="00EE0C3C">
        <w:rPr>
          <w:b w:val="0"/>
          <w:bCs w:val="0"/>
        </w:rPr>
        <w:t>ed</w:t>
      </w:r>
      <w:r w:rsidR="00CB28D8">
        <w:rPr>
          <w:b w:val="0"/>
          <w:bCs w:val="0"/>
        </w:rPr>
        <w:t xml:space="preserve"> the </w:t>
      </w:r>
      <w:r w:rsidR="00EE0C3C">
        <w:rPr>
          <w:b w:val="0"/>
          <w:bCs w:val="0"/>
        </w:rPr>
        <w:t xml:space="preserve">annual audit as </w:t>
      </w:r>
      <w:r w:rsidR="00DF1FED">
        <w:rPr>
          <w:b w:val="0"/>
          <w:bCs w:val="0"/>
        </w:rPr>
        <w:t xml:space="preserve">more than just an exercise in checking the accuracy of the mathematics or the accounting records. </w:t>
      </w:r>
      <w:r w:rsidR="00B832DC">
        <w:rPr>
          <w:b w:val="0"/>
          <w:bCs w:val="0"/>
        </w:rPr>
        <w:t>For example, the PUCO’s order in AEP Ohio’s electric security plan case (the first case in which an OVEC subsidy was approved) held that AEP Ohio would bear the burden of proof in the annual prudence reviews (audit).</w:t>
      </w:r>
      <w:r w:rsidR="005D4EA5">
        <w:rPr>
          <w:b w:val="0"/>
          <w:bCs w:val="0"/>
        </w:rPr>
        <w:t xml:space="preserve"> </w:t>
      </w:r>
      <w:r w:rsidR="00B832DC">
        <w:rPr>
          <w:b w:val="0"/>
          <w:bCs w:val="0"/>
        </w:rPr>
        <w:t>The PUCO’s order states:</w:t>
      </w:r>
      <w:r w:rsidR="005D4EA5">
        <w:rPr>
          <w:b w:val="0"/>
          <w:bCs w:val="0"/>
        </w:rPr>
        <w:t xml:space="preserve"> </w:t>
      </w:r>
      <w:r w:rsidRPr="00E01941" w:rsidR="00B832DC">
        <w:rPr>
          <w:b w:val="0"/>
          <w:bCs w:val="0"/>
        </w:rPr>
        <w:t>“AEP Ohio will bear the burden of proof in demonstrating the prudency of all costs and sales during the review, as well as that such actions were in the best interest of retail ratepayers.”</w:t>
      </w:r>
      <w:r>
        <w:rPr>
          <w:rStyle w:val="FootnoteReference"/>
          <w:b w:val="0"/>
          <w:bCs w:val="0"/>
        </w:rPr>
        <w:footnoteReference w:id="9"/>
      </w:r>
      <w:r w:rsidR="005D4EA5">
        <w:rPr>
          <w:b w:val="0"/>
          <w:bCs w:val="0"/>
        </w:rPr>
        <w:t xml:space="preserve"> </w:t>
      </w:r>
      <w:r w:rsidRPr="00E01941" w:rsidR="00B832DC">
        <w:rPr>
          <w:b w:val="0"/>
          <w:bCs w:val="0"/>
        </w:rPr>
        <w:t>Likewise, the PUCO ruled that “[r]etail cost recovery may be disallowed as a result of the annual prudency review if the output from the units was not bid in a manner that is consistent with participation in a broader competitive marketplace comprised of sellers attempting to maximize revenues.”</w:t>
      </w:r>
      <w:r>
        <w:rPr>
          <w:rStyle w:val="FootnoteReference"/>
          <w:b w:val="0"/>
          <w:bCs w:val="0"/>
        </w:rPr>
        <w:footnoteReference w:id="10"/>
      </w:r>
      <w:r w:rsidR="008E21FE">
        <w:rPr>
          <w:b w:val="0"/>
          <w:bCs w:val="0"/>
        </w:rPr>
        <w:t xml:space="preserve"> </w:t>
      </w:r>
      <w:r w:rsidR="00B832DC">
        <w:rPr>
          <w:b w:val="0"/>
          <w:bCs w:val="0"/>
        </w:rPr>
        <w:t>T</w:t>
      </w:r>
      <w:r>
        <w:rPr>
          <w:b w:val="0"/>
          <w:bCs w:val="0"/>
        </w:rPr>
        <w:t xml:space="preserve">he Settlement </w:t>
      </w:r>
      <w:r w:rsidR="00F122F7">
        <w:rPr>
          <w:b w:val="0"/>
          <w:bCs w:val="0"/>
        </w:rPr>
        <w:t xml:space="preserve">involving Duke’s OVEC subsidy </w:t>
      </w:r>
      <w:r w:rsidR="00B832DC">
        <w:rPr>
          <w:b w:val="0"/>
          <w:bCs w:val="0"/>
        </w:rPr>
        <w:t>approved by the PUCO acknowledge that all of the electric utilities’ OVEC subsidies should be treated the same</w:t>
      </w:r>
      <w:r w:rsidR="00CB28D8">
        <w:rPr>
          <w:b w:val="0"/>
          <w:bCs w:val="0"/>
        </w:rPr>
        <w:t>:</w:t>
      </w:r>
    </w:p>
    <w:p w:rsidR="00CB28D8" w:rsidP="00F122F7" w14:paraId="3C107462" w14:textId="0D1CCC7C">
      <w:pPr>
        <w:spacing w:after="0" w:line="240" w:lineRule="auto"/>
        <w:ind w:left="1440" w:right="1440"/>
        <w:rPr>
          <w:b w:val="0"/>
          <w:bCs w:val="0"/>
        </w:rPr>
      </w:pPr>
      <w:r>
        <w:rPr>
          <w:b w:val="0"/>
          <w:bCs w:val="0"/>
        </w:rPr>
        <w:t>The Stipulating Parties acknowledge that two other Ohio electric distribution utilities are Sponsoring Parties pursuant to the ICPA and, as such, the Signatory Parties recommend that the Commission approach the determination of prudently incurred costs and the reasonableness of the generation revenue for all three jurisdictional electric distribution utilities in a uniform manner, pursuant to controlling law, which affords parties of interest with due process.</w:t>
      </w:r>
      <w:r>
        <w:rPr>
          <w:rStyle w:val="FootnoteReference"/>
          <w:b w:val="0"/>
          <w:bCs w:val="0"/>
        </w:rPr>
        <w:footnoteReference w:id="11"/>
      </w:r>
    </w:p>
    <w:p w:rsidR="00F122F7" w:rsidP="00F122F7" w14:paraId="24DD771B" w14:textId="77777777">
      <w:pPr>
        <w:spacing w:after="0" w:line="240" w:lineRule="auto"/>
        <w:ind w:left="1440" w:right="1440"/>
        <w:rPr>
          <w:b w:val="0"/>
          <w:bCs w:val="0"/>
        </w:rPr>
      </w:pPr>
    </w:p>
    <w:p w:rsidR="00531B59" w:rsidRPr="00531B59" w:rsidP="00F122F7" w14:paraId="29B9B3DB" w14:textId="59689481">
      <w:pPr>
        <w:spacing w:after="0" w:line="480" w:lineRule="auto"/>
        <w:ind w:firstLine="720"/>
        <w:rPr>
          <w:rFonts w:ascii="Times New Roman Bold" w:hAnsi="Times New Roman Bold" w:eastAsiaTheme="majorEastAsia" w:cstheme="majorBidi"/>
          <w:caps/>
          <w:szCs w:val="32"/>
        </w:rPr>
      </w:pPr>
      <w:r>
        <w:rPr>
          <w:b w:val="0"/>
          <w:bCs w:val="0"/>
        </w:rPr>
        <w:t>The annual audit of the OVEC subsidy charge is an examination of the prudency and reasonableness for all matters related to the OVEC subsidy.</w:t>
      </w:r>
      <w:r>
        <w:rPr>
          <w:rStyle w:val="FootnoteReference"/>
          <w:b w:val="0"/>
          <w:bCs w:val="0"/>
        </w:rPr>
        <w:footnoteReference w:id="12"/>
      </w:r>
      <w:r>
        <w:rPr>
          <w:b w:val="0"/>
          <w:bCs w:val="0"/>
        </w:rPr>
        <w:t xml:space="preserve"> C</w:t>
      </w:r>
      <w:r w:rsidR="00272370">
        <w:rPr>
          <w:b w:val="0"/>
          <w:bCs w:val="0"/>
        </w:rPr>
        <w:t>onsistent with the PUCO ruling that the standards for the prudence review shall be the same for all three utilities, D</w:t>
      </w:r>
      <w:r w:rsidR="00D029EC">
        <w:rPr>
          <w:b w:val="0"/>
          <w:bCs w:val="0"/>
        </w:rPr>
        <w:t>P&amp;L</w:t>
      </w:r>
      <w:r w:rsidR="00272370">
        <w:rPr>
          <w:b w:val="0"/>
          <w:bCs w:val="0"/>
        </w:rPr>
        <w:t xml:space="preserve"> has the burden of proof to show that all actions </w:t>
      </w:r>
      <w:r w:rsidR="00DF1FED">
        <w:rPr>
          <w:b w:val="0"/>
          <w:bCs w:val="0"/>
        </w:rPr>
        <w:t xml:space="preserve">and decisions </w:t>
      </w:r>
      <w:r w:rsidR="00272370">
        <w:rPr>
          <w:b w:val="0"/>
          <w:bCs w:val="0"/>
        </w:rPr>
        <w:t>related to the OVEC plants were prudent and in consumers’ best interests.</w:t>
      </w:r>
      <w:r w:rsidR="00D029EC">
        <w:rPr>
          <w:b w:val="0"/>
          <w:bCs w:val="0"/>
        </w:rPr>
        <w:t xml:space="preserve"> </w:t>
      </w:r>
    </w:p>
    <w:p w:rsidR="00531B59" w:rsidRPr="00057815" w:rsidP="00F122F7" w14:paraId="54359C98" w14:textId="513942BD">
      <w:pPr>
        <w:keepNext/>
        <w:keepLines/>
        <w:spacing w:after="240" w:line="240" w:lineRule="auto"/>
        <w:ind w:left="1440" w:hanging="720"/>
        <w:outlineLvl w:val="1"/>
        <w:rPr>
          <w:rFonts w:ascii="Times New Roman Bold" w:hAnsi="Times New Roman Bold" w:eastAsiaTheme="majorEastAsia" w:cstheme="majorBidi"/>
          <w:szCs w:val="26"/>
        </w:rPr>
      </w:pPr>
      <w:bookmarkStart w:id="4" w:name="_Toc60754368"/>
      <w:r w:rsidRPr="00057815">
        <w:rPr>
          <w:rStyle w:val="Heading2Char"/>
          <w:bCs/>
        </w:rPr>
        <w:t>B</w:t>
      </w:r>
      <w:r w:rsidRPr="00057815">
        <w:rPr>
          <w:rStyle w:val="Heading2Char"/>
        </w:rPr>
        <w:t>.</w:t>
      </w:r>
      <w:r w:rsidRPr="00057815">
        <w:rPr>
          <w:rStyle w:val="Heading2Char"/>
        </w:rPr>
        <w:tab/>
      </w:r>
      <w:r w:rsidRPr="00057815">
        <w:rPr>
          <w:rStyle w:val="Heading2Char"/>
          <w:bCs/>
        </w:rPr>
        <w:t xml:space="preserve">The PUCO should protect </w:t>
      </w:r>
      <w:r w:rsidRPr="00057815" w:rsidR="006F2158">
        <w:rPr>
          <w:rStyle w:val="Heading2Char"/>
          <w:bCs/>
        </w:rPr>
        <w:t>DP&amp;L’s</w:t>
      </w:r>
      <w:r w:rsidRPr="00057815">
        <w:rPr>
          <w:rStyle w:val="Heading2Char"/>
          <w:bCs/>
        </w:rPr>
        <w:t xml:space="preserve"> customers by disallowing </w:t>
      </w:r>
      <w:r w:rsidRPr="00057815" w:rsidR="006F2158">
        <w:rPr>
          <w:rStyle w:val="Heading2Char"/>
          <w:bCs/>
        </w:rPr>
        <w:t xml:space="preserve">any </w:t>
      </w:r>
      <w:r w:rsidRPr="00057815">
        <w:rPr>
          <w:rStyle w:val="Heading2Char"/>
          <w:bCs/>
        </w:rPr>
        <w:t>additional</w:t>
      </w:r>
      <w:r w:rsidRPr="00057815">
        <w:rPr>
          <w:rStyle w:val="Heading2Char"/>
        </w:rPr>
        <w:t xml:space="preserve"> </w:t>
      </w:r>
      <w:r w:rsidRPr="00057815">
        <w:rPr>
          <w:rStyle w:val="Heading2Char"/>
          <w:bCs/>
        </w:rPr>
        <w:t>costs D</w:t>
      </w:r>
      <w:r w:rsidRPr="00057815" w:rsidR="006F2158">
        <w:rPr>
          <w:rStyle w:val="Heading2Char"/>
          <w:bCs/>
        </w:rPr>
        <w:t>P&amp;L</w:t>
      </w:r>
      <w:r w:rsidRPr="00057815" w:rsidR="006F2158">
        <w:rPr>
          <w:rStyle w:val="Heading2Char"/>
        </w:rPr>
        <w:t xml:space="preserve"> </w:t>
      </w:r>
      <w:r w:rsidRPr="00057815" w:rsidR="006F2158">
        <w:rPr>
          <w:rStyle w:val="Heading2Char"/>
          <w:bCs/>
        </w:rPr>
        <w:t xml:space="preserve">might </w:t>
      </w:r>
      <w:r w:rsidRPr="00057815">
        <w:rPr>
          <w:rStyle w:val="Heading2Char"/>
          <w:bCs/>
        </w:rPr>
        <w:t>incur</w:t>
      </w:r>
      <w:r w:rsidRPr="00057815" w:rsidR="006F2158">
        <w:rPr>
          <w:rStyle w:val="Heading2Char"/>
          <w:bCs/>
        </w:rPr>
        <w:t xml:space="preserve"> </w:t>
      </w:r>
      <w:r w:rsidRPr="00057815" w:rsidR="006B667E">
        <w:rPr>
          <w:rStyle w:val="Heading2Char"/>
          <w:bCs/>
        </w:rPr>
        <w:t>if it</w:t>
      </w:r>
      <w:r w:rsidRPr="00057815" w:rsidR="00470B64">
        <w:rPr>
          <w:rStyle w:val="Heading2Char"/>
          <w:bCs/>
        </w:rPr>
        <w:t xml:space="preserve"> </w:t>
      </w:r>
      <w:r w:rsidRPr="00057815">
        <w:rPr>
          <w:rStyle w:val="Heading2Char"/>
          <w:bCs/>
        </w:rPr>
        <w:t>purchase</w:t>
      </w:r>
      <w:r w:rsidRPr="00057815" w:rsidR="00B367B7">
        <w:rPr>
          <w:rStyle w:val="Heading2Char"/>
          <w:bCs/>
        </w:rPr>
        <w:t>d</w:t>
      </w:r>
      <w:r w:rsidRPr="00057815">
        <w:rPr>
          <w:rStyle w:val="Heading2Char"/>
          <w:bCs/>
        </w:rPr>
        <w:t xml:space="preserve"> FirstEnergy</w:t>
      </w:r>
      <w:r w:rsidRPr="00057815" w:rsidR="00F122F7">
        <w:rPr>
          <w:rStyle w:val="Heading2Char"/>
        </w:rPr>
        <w:t xml:space="preserve"> </w:t>
      </w:r>
      <w:r w:rsidRPr="00057815" w:rsidR="00F122F7">
        <w:rPr>
          <w:rStyle w:val="Heading2Char"/>
          <w:bCs/>
        </w:rPr>
        <w:t>Solutions’</w:t>
      </w:r>
      <w:r w:rsidRPr="00057815">
        <w:rPr>
          <w:rStyle w:val="Heading2Char"/>
          <w:bCs/>
        </w:rPr>
        <w:t xml:space="preserve"> OVEC share</w:t>
      </w:r>
      <w:r w:rsidRPr="00057815" w:rsidR="00B367B7">
        <w:rPr>
          <w:rStyle w:val="Heading2Char"/>
          <w:bCs/>
        </w:rPr>
        <w:t>,</w:t>
      </w:r>
      <w:r w:rsidRPr="00057815">
        <w:rPr>
          <w:rStyle w:val="Heading2Char"/>
        </w:rPr>
        <w:t xml:space="preserve"> </w:t>
      </w:r>
      <w:r w:rsidRPr="00057815">
        <w:rPr>
          <w:rStyle w:val="Heading2Char"/>
          <w:bCs/>
        </w:rPr>
        <w:t>which was not in</w:t>
      </w:r>
      <w:r w:rsidRPr="00057815">
        <w:rPr>
          <w:rStyle w:val="Heading2Char"/>
        </w:rPr>
        <w:t xml:space="preserve"> </w:t>
      </w:r>
      <w:r w:rsidRPr="00057815">
        <w:rPr>
          <w:rStyle w:val="Heading2Char"/>
          <w:bCs/>
        </w:rPr>
        <w:t>the best interests of customers</w:t>
      </w:r>
      <w:r w:rsidRPr="00057815">
        <w:rPr>
          <w:rStyle w:val="Heading2Char"/>
        </w:rPr>
        <w:t>.</w:t>
      </w:r>
      <w:bookmarkEnd w:id="4"/>
    </w:p>
    <w:p w:rsidR="00F122F7" w:rsidP="00531B59" w14:paraId="5DC4DFC2" w14:textId="23F4CD94">
      <w:pPr>
        <w:spacing w:after="0" w:line="480" w:lineRule="auto"/>
        <w:ind w:firstLine="720"/>
        <w:rPr>
          <w:b w:val="0"/>
          <w:bCs w:val="0"/>
        </w:rPr>
      </w:pPr>
      <w:r w:rsidRPr="00531B59">
        <w:rPr>
          <w:b w:val="0"/>
          <w:bCs w:val="0"/>
        </w:rPr>
        <w:t>D</w:t>
      </w:r>
      <w:r w:rsidR="006F2158">
        <w:rPr>
          <w:b w:val="0"/>
          <w:bCs w:val="0"/>
        </w:rPr>
        <w:t xml:space="preserve">P&amp;L </w:t>
      </w:r>
      <w:r w:rsidRPr="00531B59">
        <w:rPr>
          <w:b w:val="0"/>
          <w:bCs w:val="0"/>
        </w:rPr>
        <w:t>co-owns OVEC with several other entities.</w:t>
      </w:r>
      <w:r w:rsidR="005D4EA5">
        <w:rPr>
          <w:b w:val="0"/>
          <w:bCs w:val="0"/>
        </w:rPr>
        <w:t xml:space="preserve"> </w:t>
      </w:r>
      <w:r w:rsidRPr="00531B59">
        <w:rPr>
          <w:b w:val="0"/>
          <w:bCs w:val="0"/>
        </w:rPr>
        <w:t>One of the co-owners, FirstEnergy Solutions, filed for bankruptcy on March 31, 2018.</w:t>
      </w:r>
      <w:r w:rsidR="005D4EA5">
        <w:rPr>
          <w:b w:val="0"/>
          <w:bCs w:val="0"/>
        </w:rPr>
        <w:t xml:space="preserve"> </w:t>
      </w:r>
      <w:r w:rsidRPr="00531B59">
        <w:rPr>
          <w:b w:val="0"/>
          <w:bCs w:val="0"/>
        </w:rPr>
        <w:t>After FirstEnergy Solutions filed for bankruptcy, it stopped buying its share (or “entitlement”) of OVEC’s electricity and capacity.</w:t>
      </w:r>
      <w:r w:rsidR="005D4EA5">
        <w:rPr>
          <w:b w:val="0"/>
          <w:bCs w:val="0"/>
        </w:rPr>
        <w:t xml:space="preserve"> </w:t>
      </w:r>
      <w:r w:rsidRPr="00531B59">
        <w:rPr>
          <w:b w:val="0"/>
          <w:bCs w:val="0"/>
        </w:rPr>
        <w:t>As a result, each of the OVEC co-owners received the opportunity to buy part of FirstEnergy Solutions’ entitlement to OVEC’s output</w:t>
      </w:r>
      <w:r w:rsidR="006F2158">
        <w:rPr>
          <w:b w:val="0"/>
          <w:bCs w:val="0"/>
        </w:rPr>
        <w:t>.</w:t>
      </w:r>
      <w:r w:rsidR="008E21FE">
        <w:rPr>
          <w:b w:val="0"/>
          <w:bCs w:val="0"/>
        </w:rPr>
        <w:t xml:space="preserve"> </w:t>
      </w:r>
      <w:r w:rsidR="0026277F">
        <w:rPr>
          <w:b w:val="0"/>
          <w:bCs w:val="0"/>
        </w:rPr>
        <w:t>As part of the settlement dated May 18, 2020, for Energy Harbor (formerly FirstEnergy Solutions) to exit bankruptcy, the OVEC obligation was assumed by Energy Harbor effective June 1, 2020.</w:t>
      </w:r>
      <w:r w:rsidR="006F2158">
        <w:rPr>
          <w:b w:val="0"/>
          <w:bCs w:val="0"/>
        </w:rPr>
        <w:t xml:space="preserve"> </w:t>
      </w:r>
    </w:p>
    <w:p w:rsidR="006F2158" w:rsidP="00531B59" w14:paraId="55C4548D" w14:textId="5AF91D4E">
      <w:pPr>
        <w:spacing w:after="0" w:line="480" w:lineRule="auto"/>
        <w:ind w:firstLine="720"/>
        <w:rPr>
          <w:b w:val="0"/>
          <w:bCs w:val="0"/>
        </w:rPr>
      </w:pPr>
      <w:r>
        <w:rPr>
          <w:b w:val="0"/>
          <w:bCs w:val="0"/>
        </w:rPr>
        <w:t>The Audit Report did not indicate if DP&amp;L had made such a purchase.</w:t>
      </w:r>
      <w:r w:rsidR="005D4EA5">
        <w:rPr>
          <w:b w:val="0"/>
          <w:bCs w:val="0"/>
        </w:rPr>
        <w:t xml:space="preserve"> </w:t>
      </w:r>
      <w:r>
        <w:rPr>
          <w:b w:val="0"/>
          <w:bCs w:val="0"/>
        </w:rPr>
        <w:t xml:space="preserve">The Audit Report did not conclude that DP&amp;L declined to make such a purchase, either. </w:t>
      </w:r>
      <w:r>
        <w:rPr>
          <w:b w:val="0"/>
          <w:bCs w:val="0"/>
        </w:rPr>
        <w:t xml:space="preserve">At this time, OCC is waiting on the discovery response </w:t>
      </w:r>
      <w:r>
        <w:rPr>
          <w:b w:val="0"/>
          <w:bCs w:val="0"/>
        </w:rPr>
        <w:t xml:space="preserve">from </w:t>
      </w:r>
      <w:r>
        <w:rPr>
          <w:b w:val="0"/>
          <w:bCs w:val="0"/>
        </w:rPr>
        <w:t xml:space="preserve">DP&amp;L </w:t>
      </w:r>
      <w:r w:rsidR="006B667E">
        <w:rPr>
          <w:b w:val="0"/>
          <w:bCs w:val="0"/>
        </w:rPr>
        <w:t>about whether</w:t>
      </w:r>
      <w:r>
        <w:rPr>
          <w:b w:val="0"/>
          <w:bCs w:val="0"/>
        </w:rPr>
        <w:t xml:space="preserve"> it voluntarily increase</w:t>
      </w:r>
      <w:r w:rsidR="00470B64">
        <w:rPr>
          <w:b w:val="0"/>
          <w:bCs w:val="0"/>
        </w:rPr>
        <w:t>d</w:t>
      </w:r>
      <w:r>
        <w:rPr>
          <w:b w:val="0"/>
          <w:bCs w:val="0"/>
        </w:rPr>
        <w:t xml:space="preserve"> its purchase of energy available from FirstEnergy Solution’s entitlement during the audit period</w:t>
      </w:r>
      <w:r>
        <w:rPr>
          <w:b w:val="0"/>
          <w:bCs w:val="0"/>
        </w:rPr>
        <w:t xml:space="preserve"> and if any such additional costs of the purchase were passed along to DP&amp;L’s customers</w:t>
      </w:r>
      <w:r>
        <w:rPr>
          <w:b w:val="0"/>
          <w:bCs w:val="0"/>
        </w:rPr>
        <w:t xml:space="preserve">. </w:t>
      </w:r>
    </w:p>
    <w:p w:rsidR="00292994" w:rsidP="00531B59" w14:paraId="5221AEAB" w14:textId="49876313">
      <w:pPr>
        <w:spacing w:after="0" w:line="480" w:lineRule="auto"/>
        <w:ind w:firstLine="720"/>
        <w:rPr>
          <w:b w:val="0"/>
          <w:bCs w:val="0"/>
        </w:rPr>
      </w:pPr>
      <w:r>
        <w:rPr>
          <w:b w:val="0"/>
          <w:bCs w:val="0"/>
        </w:rPr>
        <w:t>One of the OVEC owner</w:t>
      </w:r>
      <w:r w:rsidR="006B667E">
        <w:rPr>
          <w:b w:val="0"/>
          <w:bCs w:val="0"/>
        </w:rPr>
        <w:t>s</w:t>
      </w:r>
      <w:r>
        <w:rPr>
          <w:b w:val="0"/>
          <w:bCs w:val="0"/>
        </w:rPr>
        <w:t>, Duke Energy of Ohio, Inc. (“Duke”),</w:t>
      </w:r>
      <w:r w:rsidR="005F0955">
        <w:rPr>
          <w:b w:val="0"/>
          <w:bCs w:val="0"/>
        </w:rPr>
        <w:t xml:space="preserve"> did </w:t>
      </w:r>
      <w:r w:rsidRPr="00531B59" w:rsidR="005F0955">
        <w:rPr>
          <w:b w:val="0"/>
          <w:bCs w:val="0"/>
        </w:rPr>
        <w:t xml:space="preserve">voluntarily buy </w:t>
      </w:r>
      <w:r w:rsidR="00D1576F">
        <w:rPr>
          <w:b w:val="0"/>
          <w:bCs w:val="0"/>
        </w:rPr>
        <w:t xml:space="preserve">a portion </w:t>
      </w:r>
      <w:r w:rsidRPr="00531B59" w:rsidR="005F0955">
        <w:rPr>
          <w:b w:val="0"/>
          <w:bCs w:val="0"/>
        </w:rPr>
        <w:t>of the FirstEnergy Solutions</w:t>
      </w:r>
      <w:r w:rsidR="00F122F7">
        <w:rPr>
          <w:b w:val="0"/>
          <w:bCs w:val="0"/>
        </w:rPr>
        <w:t>’</w:t>
      </w:r>
      <w:r w:rsidRPr="00531B59" w:rsidR="005F0955">
        <w:rPr>
          <w:b w:val="0"/>
          <w:bCs w:val="0"/>
        </w:rPr>
        <w:t xml:space="preserve"> entitlement during 2019</w:t>
      </w:r>
      <w:r w:rsidR="006B667E">
        <w:rPr>
          <w:b w:val="0"/>
          <w:bCs w:val="0"/>
        </w:rPr>
        <w:t>.</w:t>
      </w:r>
      <w:r w:rsidR="005D4EA5">
        <w:rPr>
          <w:b w:val="0"/>
          <w:bCs w:val="0"/>
        </w:rPr>
        <w:t xml:space="preserve"> </w:t>
      </w:r>
      <w:r w:rsidR="006B667E">
        <w:rPr>
          <w:b w:val="0"/>
          <w:bCs w:val="0"/>
        </w:rPr>
        <w:t>T</w:t>
      </w:r>
      <w:r w:rsidR="005726B8">
        <w:rPr>
          <w:b w:val="0"/>
          <w:bCs w:val="0"/>
        </w:rPr>
        <w:t>his has increased the OVEC subsidy paid by Duke’s customers by approximately $700,000</w:t>
      </w:r>
      <w:r w:rsidRPr="00531B59" w:rsidR="005F0955">
        <w:rPr>
          <w:b w:val="0"/>
          <w:bCs w:val="0"/>
        </w:rPr>
        <w:t>.</w:t>
      </w:r>
      <w:r>
        <w:rPr>
          <w:rStyle w:val="FootnoteReference"/>
          <w:b w:val="0"/>
          <w:bCs w:val="0"/>
        </w:rPr>
        <w:footnoteReference w:id="13"/>
      </w:r>
      <w:r w:rsidR="005D4EA5">
        <w:rPr>
          <w:b w:val="0"/>
          <w:bCs w:val="0"/>
        </w:rPr>
        <w:t xml:space="preserve"> </w:t>
      </w:r>
      <w:r w:rsidR="00DF1FED">
        <w:rPr>
          <w:b w:val="0"/>
          <w:bCs w:val="0"/>
        </w:rPr>
        <w:t xml:space="preserve">Consequently, </w:t>
      </w:r>
      <w:r w:rsidR="00E31567">
        <w:rPr>
          <w:b w:val="0"/>
          <w:bCs w:val="0"/>
        </w:rPr>
        <w:t>if DP&amp;L also purchased its share of FirstEnergy Solutions</w:t>
      </w:r>
      <w:r>
        <w:rPr>
          <w:b w:val="0"/>
          <w:bCs w:val="0"/>
        </w:rPr>
        <w:t>’</w:t>
      </w:r>
      <w:r w:rsidR="00E31567">
        <w:rPr>
          <w:b w:val="0"/>
          <w:bCs w:val="0"/>
        </w:rPr>
        <w:t xml:space="preserve"> entitlement, </w:t>
      </w:r>
      <w:r w:rsidR="00DF1FED">
        <w:rPr>
          <w:b w:val="0"/>
          <w:bCs w:val="0"/>
        </w:rPr>
        <w:t xml:space="preserve">DP&amp;L’s customers may be paying unnecessary or imprudent costs incurred by DP&amp;L. </w:t>
      </w:r>
    </w:p>
    <w:p w:rsidR="00E31567" w:rsidP="00292994" w14:paraId="4F34F41B" w14:textId="7DFB87D3">
      <w:pPr>
        <w:spacing w:after="0" w:line="480" w:lineRule="auto"/>
        <w:ind w:firstLine="720"/>
        <w:rPr>
          <w:b w:val="0"/>
          <w:bCs w:val="0"/>
        </w:rPr>
      </w:pPr>
      <w:r w:rsidRPr="00531B59">
        <w:rPr>
          <w:b w:val="0"/>
          <w:bCs w:val="0"/>
        </w:rPr>
        <w:t xml:space="preserve">There is no evidence that </w:t>
      </w:r>
      <w:r w:rsidR="005F0955">
        <w:rPr>
          <w:b w:val="0"/>
          <w:bCs w:val="0"/>
        </w:rPr>
        <w:t xml:space="preserve">DP&amp;L, or any of the OVEC owners, </w:t>
      </w:r>
      <w:r w:rsidRPr="00531B59">
        <w:rPr>
          <w:b w:val="0"/>
          <w:bCs w:val="0"/>
        </w:rPr>
        <w:t>is required to purchase th</w:t>
      </w:r>
      <w:r w:rsidR="006B667E">
        <w:rPr>
          <w:b w:val="0"/>
          <w:bCs w:val="0"/>
        </w:rPr>
        <w:t>e</w:t>
      </w:r>
      <w:r w:rsidRPr="00531B59">
        <w:rPr>
          <w:b w:val="0"/>
          <w:bCs w:val="0"/>
        </w:rPr>
        <w:t xml:space="preserve"> additional FirstEnergy Solutions entitlement</w:t>
      </w:r>
      <w:r w:rsidR="000224ED">
        <w:rPr>
          <w:b w:val="0"/>
          <w:bCs w:val="0"/>
        </w:rPr>
        <w:t>.</w:t>
      </w:r>
      <w:r w:rsidR="005D4EA5">
        <w:rPr>
          <w:b w:val="0"/>
          <w:bCs w:val="0"/>
        </w:rPr>
        <w:t xml:space="preserve"> </w:t>
      </w:r>
      <w:r w:rsidR="000224ED">
        <w:rPr>
          <w:b w:val="0"/>
          <w:bCs w:val="0"/>
        </w:rPr>
        <w:t>G</w:t>
      </w:r>
      <w:r w:rsidR="005F0955">
        <w:rPr>
          <w:b w:val="0"/>
          <w:bCs w:val="0"/>
        </w:rPr>
        <w:t xml:space="preserve">iven the history of the </w:t>
      </w:r>
      <w:r w:rsidR="006B667E">
        <w:rPr>
          <w:b w:val="0"/>
          <w:bCs w:val="0"/>
        </w:rPr>
        <w:t>OVEC subsidy charge</w:t>
      </w:r>
      <w:r w:rsidR="005F0955">
        <w:rPr>
          <w:b w:val="0"/>
          <w:bCs w:val="0"/>
        </w:rPr>
        <w:t xml:space="preserve"> as shown in </w:t>
      </w:r>
      <w:r w:rsidRPr="00292994" w:rsidR="00CF56CE">
        <w:rPr>
          <w:b w:val="0"/>
          <w:bCs w:val="0"/>
        </w:rPr>
        <w:t>Attachment 1</w:t>
      </w:r>
      <w:r w:rsidRPr="00292994" w:rsidR="005F0955">
        <w:rPr>
          <w:b w:val="0"/>
          <w:bCs w:val="0"/>
        </w:rPr>
        <w:t>,</w:t>
      </w:r>
      <w:r w:rsidR="005F0955">
        <w:rPr>
          <w:b w:val="0"/>
          <w:bCs w:val="0"/>
        </w:rPr>
        <w:t xml:space="preserve"> </w:t>
      </w:r>
      <w:r w:rsidR="006216B1">
        <w:rPr>
          <w:b w:val="0"/>
          <w:bCs w:val="0"/>
        </w:rPr>
        <w:t>it is abundantly clear that the proceeds from the disposition of energy and capacity of OVEC power plants rarely exceeded the costs of the OVEC entitlement.</w:t>
      </w:r>
      <w:r w:rsidR="005D4EA5">
        <w:rPr>
          <w:b w:val="0"/>
          <w:bCs w:val="0"/>
        </w:rPr>
        <w:t xml:space="preserve"> So,</w:t>
      </w:r>
      <w:r w:rsidR="006216B1">
        <w:rPr>
          <w:b w:val="0"/>
          <w:bCs w:val="0"/>
        </w:rPr>
        <w:t xml:space="preserve"> any </w:t>
      </w:r>
      <w:r w:rsidR="005F0955">
        <w:rPr>
          <w:b w:val="0"/>
          <w:bCs w:val="0"/>
        </w:rPr>
        <w:t xml:space="preserve">such </w:t>
      </w:r>
      <w:r w:rsidRPr="00531B59">
        <w:rPr>
          <w:b w:val="0"/>
          <w:bCs w:val="0"/>
        </w:rPr>
        <w:t>voluntary purchase by D</w:t>
      </w:r>
      <w:r w:rsidR="005F0955">
        <w:rPr>
          <w:b w:val="0"/>
          <w:bCs w:val="0"/>
        </w:rPr>
        <w:t xml:space="preserve">P&amp;L </w:t>
      </w:r>
      <w:r w:rsidR="006216B1">
        <w:rPr>
          <w:b w:val="0"/>
          <w:bCs w:val="0"/>
        </w:rPr>
        <w:t xml:space="preserve">of FirstEnergy Solutions’ OVEC </w:t>
      </w:r>
      <w:r w:rsidR="00292994">
        <w:rPr>
          <w:b w:val="0"/>
          <w:bCs w:val="0"/>
        </w:rPr>
        <w:t>entitlement</w:t>
      </w:r>
      <w:r w:rsidR="006216B1">
        <w:rPr>
          <w:b w:val="0"/>
          <w:bCs w:val="0"/>
        </w:rPr>
        <w:t xml:space="preserve"> </w:t>
      </w:r>
      <w:r w:rsidR="005F0955">
        <w:rPr>
          <w:b w:val="0"/>
          <w:bCs w:val="0"/>
        </w:rPr>
        <w:t xml:space="preserve">would </w:t>
      </w:r>
      <w:r w:rsidR="006216B1">
        <w:rPr>
          <w:b w:val="0"/>
          <w:bCs w:val="0"/>
        </w:rPr>
        <w:t xml:space="preserve">only further </w:t>
      </w:r>
      <w:r w:rsidRPr="00531B59">
        <w:rPr>
          <w:b w:val="0"/>
          <w:bCs w:val="0"/>
        </w:rPr>
        <w:t xml:space="preserve">increase the OVEC </w:t>
      </w:r>
      <w:r w:rsidR="005F0955">
        <w:rPr>
          <w:b w:val="0"/>
          <w:bCs w:val="0"/>
        </w:rPr>
        <w:t xml:space="preserve">subsidy </w:t>
      </w:r>
      <w:r w:rsidR="006B667E">
        <w:rPr>
          <w:b w:val="0"/>
          <w:bCs w:val="0"/>
        </w:rPr>
        <w:t>charge</w:t>
      </w:r>
      <w:r w:rsidR="005F0955">
        <w:rPr>
          <w:b w:val="0"/>
          <w:bCs w:val="0"/>
        </w:rPr>
        <w:t xml:space="preserve"> </w:t>
      </w:r>
      <w:r w:rsidRPr="00531B59">
        <w:rPr>
          <w:b w:val="0"/>
          <w:bCs w:val="0"/>
        </w:rPr>
        <w:t xml:space="preserve">paid by </w:t>
      </w:r>
      <w:r w:rsidR="005F0955">
        <w:rPr>
          <w:b w:val="0"/>
          <w:bCs w:val="0"/>
        </w:rPr>
        <w:t xml:space="preserve">DP&amp;L’s </w:t>
      </w:r>
      <w:r w:rsidRPr="00531B59">
        <w:rPr>
          <w:b w:val="0"/>
          <w:bCs w:val="0"/>
        </w:rPr>
        <w:t>customers</w:t>
      </w:r>
      <w:r w:rsidR="006216B1">
        <w:rPr>
          <w:b w:val="0"/>
          <w:bCs w:val="0"/>
        </w:rPr>
        <w:t>.</w:t>
      </w:r>
      <w:r w:rsidR="005D4EA5">
        <w:rPr>
          <w:b w:val="0"/>
          <w:bCs w:val="0"/>
        </w:rPr>
        <w:t xml:space="preserve"> </w:t>
      </w:r>
      <w:r w:rsidR="006216B1">
        <w:rPr>
          <w:b w:val="0"/>
          <w:bCs w:val="0"/>
        </w:rPr>
        <w:t xml:space="preserve">This is imprudent </w:t>
      </w:r>
      <w:r w:rsidR="000224ED">
        <w:rPr>
          <w:b w:val="0"/>
          <w:bCs w:val="0"/>
        </w:rPr>
        <w:t>and would not benefit DP&amp;L’s retail customers.</w:t>
      </w:r>
      <w:r w:rsidR="005D4EA5">
        <w:rPr>
          <w:b w:val="0"/>
          <w:bCs w:val="0"/>
        </w:rPr>
        <w:t xml:space="preserve"> </w:t>
      </w:r>
      <w:r w:rsidR="006B667E">
        <w:rPr>
          <w:b w:val="0"/>
          <w:bCs w:val="0"/>
        </w:rPr>
        <w:t>If DP&amp;L did purchase some or all of FirstEnergy Solutions’ OVEC entitlement, t</w:t>
      </w:r>
      <w:r w:rsidRPr="00531B59">
        <w:rPr>
          <w:b w:val="0"/>
          <w:bCs w:val="0"/>
        </w:rPr>
        <w:t xml:space="preserve">he PUCO should protect consumers by denying </w:t>
      </w:r>
      <w:r w:rsidR="005F0955">
        <w:rPr>
          <w:b w:val="0"/>
          <w:bCs w:val="0"/>
        </w:rPr>
        <w:t xml:space="preserve">DP&amp;L </w:t>
      </w:r>
      <w:r w:rsidRPr="00531B59">
        <w:rPr>
          <w:b w:val="0"/>
          <w:bCs w:val="0"/>
        </w:rPr>
        <w:t xml:space="preserve">collection of </w:t>
      </w:r>
      <w:r w:rsidR="006B667E">
        <w:rPr>
          <w:b w:val="0"/>
          <w:bCs w:val="0"/>
        </w:rPr>
        <w:t xml:space="preserve">any resulting </w:t>
      </w:r>
      <w:r w:rsidRPr="00531B59">
        <w:rPr>
          <w:b w:val="0"/>
          <w:bCs w:val="0"/>
        </w:rPr>
        <w:t xml:space="preserve">additional charges </w:t>
      </w:r>
      <w:r w:rsidR="005F0955">
        <w:rPr>
          <w:b w:val="0"/>
          <w:bCs w:val="0"/>
        </w:rPr>
        <w:t>during the audit period</w:t>
      </w:r>
      <w:r w:rsidRPr="00531B59">
        <w:rPr>
          <w:b w:val="0"/>
          <w:bCs w:val="0"/>
        </w:rPr>
        <w:t>.</w:t>
      </w:r>
      <w:r w:rsidR="005D4EA5">
        <w:rPr>
          <w:b w:val="0"/>
          <w:bCs w:val="0"/>
        </w:rPr>
        <w:t xml:space="preserve"> </w:t>
      </w:r>
    </w:p>
    <w:p w:rsidR="00E31567" w:rsidP="008E21FE" w14:paraId="396DB8C7" w14:textId="0EBC5FC0">
      <w:pPr>
        <w:ind w:left="1440" w:hanging="720"/>
        <w:rPr>
          <w:b w:val="0"/>
          <w:bCs w:val="0"/>
        </w:rPr>
      </w:pPr>
      <w:bookmarkStart w:id="5" w:name="_Toc60754369"/>
      <w:r w:rsidRPr="00881181">
        <w:rPr>
          <w:rStyle w:val="Heading2Char"/>
        </w:rPr>
        <w:t>C.</w:t>
      </w:r>
      <w:r w:rsidR="00881181">
        <w:rPr>
          <w:rStyle w:val="Heading2Char"/>
        </w:rPr>
        <w:tab/>
      </w:r>
      <w:r w:rsidRPr="00881181">
        <w:rPr>
          <w:rStyle w:val="Heading2Char"/>
        </w:rPr>
        <w:t>To protect consumers, the PUCO should disallow DP&amp;L’s request to collect OVEC costs from customers because OVEC’s commitment of the plants into PJM as must-run units was not prudent</w:t>
      </w:r>
      <w:r w:rsidRPr="00881181" w:rsidR="00292994">
        <w:rPr>
          <w:rStyle w:val="Heading2Char"/>
        </w:rPr>
        <w:t>.</w:t>
      </w:r>
      <w:bookmarkEnd w:id="5"/>
    </w:p>
    <w:p w:rsidR="00292994" w:rsidP="00E8500C" w14:paraId="4CA5E5E1" w14:textId="0F341D00">
      <w:pPr>
        <w:spacing w:after="0" w:line="480" w:lineRule="auto"/>
        <w:ind w:firstLine="720"/>
        <w:rPr>
          <w:b w:val="0"/>
          <w:bCs w:val="0"/>
        </w:rPr>
      </w:pPr>
      <w:r>
        <w:rPr>
          <w:b w:val="0"/>
          <w:bCs w:val="0"/>
        </w:rPr>
        <w:t xml:space="preserve">The Audit Report </w:t>
      </w:r>
      <w:r w:rsidR="000F4849">
        <w:rPr>
          <w:b w:val="0"/>
          <w:bCs w:val="0"/>
        </w:rPr>
        <w:t xml:space="preserve">recognizes </w:t>
      </w:r>
      <w:r w:rsidR="006C3ECC">
        <w:rPr>
          <w:b w:val="0"/>
          <w:bCs w:val="0"/>
        </w:rPr>
        <w:t xml:space="preserve">that </w:t>
      </w:r>
      <w:r w:rsidR="000F4849">
        <w:rPr>
          <w:b w:val="0"/>
          <w:bCs w:val="0"/>
        </w:rPr>
        <w:t xml:space="preserve">the multiple ownership stakes and interested parties </w:t>
      </w:r>
      <w:r w:rsidR="006C3ECC">
        <w:rPr>
          <w:b w:val="0"/>
          <w:bCs w:val="0"/>
        </w:rPr>
        <w:t>in</w:t>
      </w:r>
      <w:r w:rsidR="000F4849">
        <w:rPr>
          <w:b w:val="0"/>
          <w:bCs w:val="0"/>
        </w:rPr>
        <w:t xml:space="preserve"> OVEC</w:t>
      </w:r>
      <w:r w:rsidR="005D4EA5">
        <w:rPr>
          <w:b w:val="0"/>
          <w:bCs w:val="0"/>
        </w:rPr>
        <w:t xml:space="preserve"> </w:t>
      </w:r>
      <w:r w:rsidR="000F4849">
        <w:rPr>
          <w:b w:val="0"/>
          <w:bCs w:val="0"/>
        </w:rPr>
        <w:t>makes it even more complex to manag</w:t>
      </w:r>
      <w:r w:rsidR="006C3ECC">
        <w:rPr>
          <w:b w:val="0"/>
          <w:bCs w:val="0"/>
        </w:rPr>
        <w:t>e</w:t>
      </w:r>
      <w:r w:rsidR="000F4849">
        <w:rPr>
          <w:b w:val="0"/>
          <w:bCs w:val="0"/>
        </w:rPr>
        <w:t xml:space="preserve"> </w:t>
      </w:r>
      <w:r w:rsidR="006C3ECC">
        <w:rPr>
          <w:b w:val="0"/>
          <w:bCs w:val="0"/>
        </w:rPr>
        <w:t xml:space="preserve">the </w:t>
      </w:r>
      <w:r w:rsidR="000F4849">
        <w:rPr>
          <w:b w:val="0"/>
          <w:bCs w:val="0"/>
        </w:rPr>
        <w:t xml:space="preserve">plants and </w:t>
      </w:r>
      <w:r w:rsidR="00D81541">
        <w:rPr>
          <w:b w:val="0"/>
          <w:bCs w:val="0"/>
        </w:rPr>
        <w:t xml:space="preserve">prudently </w:t>
      </w:r>
      <w:r w:rsidR="006C3ECC">
        <w:rPr>
          <w:b w:val="0"/>
          <w:bCs w:val="0"/>
        </w:rPr>
        <w:t xml:space="preserve">bid them </w:t>
      </w:r>
      <w:r w:rsidR="000F4849">
        <w:rPr>
          <w:b w:val="0"/>
          <w:bCs w:val="0"/>
        </w:rPr>
        <w:t>into competitive regional power markets like PJM.</w:t>
      </w:r>
      <w:r>
        <w:rPr>
          <w:rStyle w:val="FootnoteReference"/>
          <w:b w:val="0"/>
          <w:bCs w:val="0"/>
        </w:rPr>
        <w:footnoteReference w:id="14"/>
      </w:r>
      <w:r w:rsidR="000F4849">
        <w:rPr>
          <w:b w:val="0"/>
          <w:bCs w:val="0"/>
        </w:rPr>
        <w:t xml:space="preserve"> </w:t>
      </w:r>
      <w:r w:rsidR="006C3ECC">
        <w:rPr>
          <w:b w:val="0"/>
          <w:bCs w:val="0"/>
        </w:rPr>
        <w:t>Vantage</w:t>
      </w:r>
      <w:r w:rsidR="00E31567">
        <w:rPr>
          <w:b w:val="0"/>
          <w:bCs w:val="0"/>
        </w:rPr>
        <w:t xml:space="preserve"> did not address whether OVEC’s disposition of the plants into the PJM real-time and day-ahead energy markets was prudent.</w:t>
      </w:r>
      <w:r w:rsidR="005D4EA5">
        <w:rPr>
          <w:b w:val="0"/>
          <w:bCs w:val="0"/>
        </w:rPr>
        <w:t xml:space="preserve"> </w:t>
      </w:r>
      <w:r w:rsidR="00E31567">
        <w:rPr>
          <w:b w:val="0"/>
          <w:bCs w:val="0"/>
        </w:rPr>
        <w:t xml:space="preserve">This is a major issue that </w:t>
      </w:r>
      <w:r w:rsidR="006C3ECC">
        <w:rPr>
          <w:b w:val="0"/>
          <w:bCs w:val="0"/>
        </w:rPr>
        <w:t>Vantage</w:t>
      </w:r>
      <w:r w:rsidR="00E31567">
        <w:rPr>
          <w:b w:val="0"/>
          <w:bCs w:val="0"/>
        </w:rPr>
        <w:t xml:space="preserve"> overlooked.</w:t>
      </w:r>
      <w:r w:rsidR="008E21FE">
        <w:rPr>
          <w:b w:val="0"/>
          <w:bCs w:val="0"/>
        </w:rPr>
        <w:t xml:space="preserve"> </w:t>
      </w:r>
    </w:p>
    <w:p w:rsidR="00292994" w:rsidP="00E8500C" w14:paraId="283EEAD5" w14:textId="1706B91D">
      <w:pPr>
        <w:spacing w:after="0" w:line="480" w:lineRule="auto"/>
        <w:ind w:firstLine="720"/>
        <w:rPr>
          <w:b w:val="0"/>
          <w:bCs w:val="0"/>
        </w:rPr>
      </w:pPr>
      <w:r>
        <w:rPr>
          <w:b w:val="0"/>
          <w:bCs w:val="0"/>
        </w:rPr>
        <w:t>But the Audit Report’s recognition</w:t>
      </w:r>
      <w:r w:rsidR="00E31567">
        <w:rPr>
          <w:b w:val="0"/>
          <w:bCs w:val="0"/>
        </w:rPr>
        <w:t xml:space="preserve"> that </w:t>
      </w:r>
      <w:r w:rsidR="000F4849">
        <w:rPr>
          <w:b w:val="0"/>
          <w:bCs w:val="0"/>
        </w:rPr>
        <w:t xml:space="preserve">the power plants </w:t>
      </w:r>
      <w:r>
        <w:rPr>
          <w:b w:val="0"/>
          <w:bCs w:val="0"/>
        </w:rPr>
        <w:t xml:space="preserve">were committed to the PJM market </w:t>
      </w:r>
      <w:r w:rsidR="000F4849">
        <w:rPr>
          <w:b w:val="0"/>
          <w:bCs w:val="0"/>
        </w:rPr>
        <w:t>as “must-run unit</w:t>
      </w:r>
      <w:r w:rsidR="00E31567">
        <w:rPr>
          <w:b w:val="0"/>
          <w:bCs w:val="0"/>
        </w:rPr>
        <w:t>s</w:t>
      </w:r>
      <w:r w:rsidR="000F4849">
        <w:rPr>
          <w:b w:val="0"/>
          <w:bCs w:val="0"/>
        </w:rPr>
        <w:t>”</w:t>
      </w:r>
      <w:r>
        <w:rPr>
          <w:b w:val="0"/>
          <w:bCs w:val="0"/>
        </w:rPr>
        <w:t xml:space="preserve"> indicates that OVEC’s disposition of the plants’ into PJM</w:t>
      </w:r>
      <w:r w:rsidR="000F4849">
        <w:rPr>
          <w:b w:val="0"/>
          <w:bCs w:val="0"/>
        </w:rPr>
        <w:t xml:space="preserve"> </w:t>
      </w:r>
      <w:r w:rsidR="00E31567">
        <w:rPr>
          <w:b w:val="0"/>
          <w:bCs w:val="0"/>
        </w:rPr>
        <w:t>was</w:t>
      </w:r>
      <w:r w:rsidR="000F4849">
        <w:rPr>
          <w:b w:val="0"/>
          <w:bCs w:val="0"/>
        </w:rPr>
        <w:t xml:space="preserve"> </w:t>
      </w:r>
      <w:r w:rsidR="00D81541">
        <w:rPr>
          <w:b w:val="0"/>
          <w:bCs w:val="0"/>
        </w:rPr>
        <w:t>not done on an economic basis.</w:t>
      </w:r>
      <w:r w:rsidR="008E21FE">
        <w:rPr>
          <w:b w:val="0"/>
          <w:bCs w:val="0"/>
        </w:rPr>
        <w:t xml:space="preserve"> </w:t>
      </w:r>
      <w:r w:rsidR="00D81541">
        <w:rPr>
          <w:b w:val="0"/>
          <w:bCs w:val="0"/>
        </w:rPr>
        <w:t xml:space="preserve">Therefore, the auditor should have found the disposition of the plants </w:t>
      </w:r>
      <w:r w:rsidR="0088545E">
        <w:rPr>
          <w:b w:val="0"/>
          <w:bCs w:val="0"/>
        </w:rPr>
        <w:t xml:space="preserve">into PJM to have been </w:t>
      </w:r>
      <w:r w:rsidR="00E31567">
        <w:rPr>
          <w:b w:val="0"/>
          <w:bCs w:val="0"/>
        </w:rPr>
        <w:t>im</w:t>
      </w:r>
      <w:r w:rsidR="000F4849">
        <w:rPr>
          <w:b w:val="0"/>
          <w:bCs w:val="0"/>
        </w:rPr>
        <w:t xml:space="preserve">prudent and </w:t>
      </w:r>
      <w:r w:rsidR="00E31567">
        <w:rPr>
          <w:b w:val="0"/>
          <w:bCs w:val="0"/>
        </w:rPr>
        <w:t>un</w:t>
      </w:r>
      <w:r w:rsidR="000F4849">
        <w:rPr>
          <w:b w:val="0"/>
          <w:bCs w:val="0"/>
        </w:rPr>
        <w:t xml:space="preserve">reasonable. </w:t>
      </w:r>
      <w:r>
        <w:rPr>
          <w:b w:val="0"/>
          <w:bCs w:val="0"/>
        </w:rPr>
        <w:t>This is</w:t>
      </w:r>
      <w:r w:rsidR="00E31567">
        <w:rPr>
          <w:b w:val="0"/>
          <w:bCs w:val="0"/>
        </w:rPr>
        <w:t xml:space="preserve"> because</w:t>
      </w:r>
      <w:r w:rsidR="009276B0">
        <w:rPr>
          <w:b w:val="0"/>
          <w:bCs w:val="0"/>
        </w:rPr>
        <w:t xml:space="preserve"> much of the time throughout the year,</w:t>
      </w:r>
      <w:r w:rsidR="00E31567">
        <w:rPr>
          <w:b w:val="0"/>
          <w:bCs w:val="0"/>
        </w:rPr>
        <w:t xml:space="preserve"> the </w:t>
      </w:r>
      <w:r w:rsidR="009276B0">
        <w:rPr>
          <w:b w:val="0"/>
          <w:bCs w:val="0"/>
        </w:rPr>
        <w:t>plants’ variable operating costs exceeded the revenues from the PJM energy market</w:t>
      </w:r>
      <w:r w:rsidR="000F4849">
        <w:rPr>
          <w:b w:val="0"/>
          <w:bCs w:val="0"/>
        </w:rPr>
        <w:t>.</w:t>
      </w:r>
      <w:r>
        <w:rPr>
          <w:rStyle w:val="FootnoteReference"/>
          <w:b w:val="0"/>
          <w:bCs w:val="0"/>
        </w:rPr>
        <w:footnoteReference w:id="15"/>
      </w:r>
      <w:r w:rsidR="008E21FE">
        <w:rPr>
          <w:b w:val="0"/>
          <w:bCs w:val="0"/>
        </w:rPr>
        <w:t xml:space="preserve"> </w:t>
      </w:r>
      <w:r w:rsidR="00AD3780">
        <w:rPr>
          <w:b w:val="0"/>
          <w:bCs w:val="0"/>
        </w:rPr>
        <w:t xml:space="preserve">As detailed in </w:t>
      </w:r>
      <w:r>
        <w:rPr>
          <w:b w:val="0"/>
          <w:bCs w:val="0"/>
        </w:rPr>
        <w:t xml:space="preserve">OCC’s comments regarding </w:t>
      </w:r>
      <w:r w:rsidR="00AD3780">
        <w:rPr>
          <w:b w:val="0"/>
          <w:bCs w:val="0"/>
        </w:rPr>
        <w:t>the</w:t>
      </w:r>
      <w:r w:rsidR="005D4EA5">
        <w:rPr>
          <w:b w:val="0"/>
          <w:bCs w:val="0"/>
        </w:rPr>
        <w:t xml:space="preserve"> </w:t>
      </w:r>
      <w:r w:rsidR="00AD3780">
        <w:rPr>
          <w:b w:val="0"/>
          <w:bCs w:val="0"/>
        </w:rPr>
        <w:t>audit report of Duke</w:t>
      </w:r>
      <w:r>
        <w:rPr>
          <w:b w:val="0"/>
          <w:bCs w:val="0"/>
        </w:rPr>
        <w:t>’s OVEC subsidy</w:t>
      </w:r>
      <w:r w:rsidR="00AD3780">
        <w:rPr>
          <w:b w:val="0"/>
          <w:bCs w:val="0"/>
        </w:rPr>
        <w:t xml:space="preserve">, </w:t>
      </w:r>
      <w:r w:rsidR="009E416D">
        <w:rPr>
          <w:b w:val="0"/>
          <w:bCs w:val="0"/>
        </w:rPr>
        <w:t xml:space="preserve">OVEC </w:t>
      </w:r>
      <w:r w:rsidR="00AD3780">
        <w:rPr>
          <w:b w:val="0"/>
          <w:bCs w:val="0"/>
        </w:rPr>
        <w:t xml:space="preserve">currently </w:t>
      </w:r>
      <w:r w:rsidR="009E416D">
        <w:rPr>
          <w:b w:val="0"/>
          <w:bCs w:val="0"/>
        </w:rPr>
        <w:t>operates the plants (except one unit) as “must-run” units in the PJM energy markets – meaning that the plants are designated to run at all times, except when shut down for scheduled maintenance or unexpected outages.</w:t>
      </w:r>
      <w:r>
        <w:rPr>
          <w:rStyle w:val="FootnoteReference"/>
          <w:b w:val="0"/>
          <w:bCs w:val="0"/>
        </w:rPr>
        <w:footnoteReference w:id="16"/>
      </w:r>
      <w:r w:rsidR="005D4EA5">
        <w:rPr>
          <w:b w:val="0"/>
          <w:bCs w:val="0"/>
        </w:rPr>
        <w:t xml:space="preserve"> </w:t>
      </w:r>
    </w:p>
    <w:p w:rsidR="009E416D" w:rsidRPr="00E8500C" w:rsidP="00E8500C" w14:paraId="6D7E1A47" w14:textId="0D77D883">
      <w:pPr>
        <w:spacing w:after="0" w:line="480" w:lineRule="auto"/>
        <w:ind w:firstLine="720"/>
        <w:rPr>
          <w:b w:val="0"/>
          <w:bCs w:val="0"/>
        </w:rPr>
      </w:pPr>
      <w:r>
        <w:rPr>
          <w:b w:val="0"/>
          <w:bCs w:val="0"/>
        </w:rPr>
        <w:t>D</w:t>
      </w:r>
      <w:r>
        <w:rPr>
          <w:b w:val="0"/>
          <w:bCs w:val="0"/>
        </w:rPr>
        <w:t>uring 2019, it made no economic sense to run the plants continuously because the plants lost money a great deal of the time.</w:t>
      </w:r>
      <w:r w:rsidR="005D4EA5">
        <w:rPr>
          <w:b w:val="0"/>
          <w:bCs w:val="0"/>
        </w:rPr>
        <w:t xml:space="preserve"> </w:t>
      </w:r>
      <w:r w:rsidR="00D1576F">
        <w:rPr>
          <w:b w:val="0"/>
          <w:bCs w:val="0"/>
        </w:rPr>
        <w:t>That is, t</w:t>
      </w:r>
      <w:r>
        <w:rPr>
          <w:b w:val="0"/>
          <w:bCs w:val="0"/>
        </w:rPr>
        <w:t xml:space="preserve">he plants operated at a loss much of the time because </w:t>
      </w:r>
      <w:r w:rsidR="006C3ECC">
        <w:rPr>
          <w:b w:val="0"/>
          <w:bCs w:val="0"/>
        </w:rPr>
        <w:t xml:space="preserve">their </w:t>
      </w:r>
      <w:r>
        <w:rPr>
          <w:b w:val="0"/>
          <w:bCs w:val="0"/>
        </w:rPr>
        <w:t>variable operating costs often exceeded the market value of their capacity and energy</w:t>
      </w:r>
      <w:r w:rsidR="00D1576F">
        <w:rPr>
          <w:b w:val="0"/>
          <w:bCs w:val="0"/>
        </w:rPr>
        <w:t xml:space="preserve"> sold into the market</w:t>
      </w:r>
      <w:r>
        <w:rPr>
          <w:b w:val="0"/>
          <w:bCs w:val="0"/>
        </w:rPr>
        <w:t>.</w:t>
      </w:r>
      <w:r w:rsidR="005D4EA5">
        <w:rPr>
          <w:b w:val="0"/>
          <w:bCs w:val="0"/>
        </w:rPr>
        <w:t xml:space="preserve"> </w:t>
      </w:r>
      <w:r>
        <w:rPr>
          <w:b w:val="0"/>
          <w:bCs w:val="0"/>
        </w:rPr>
        <w:t>The prudent course of action is clear – if a plant is losing money so much of the time, don’t run it when the plants’ variable operating costs exceed the PJM market price.</w:t>
      </w:r>
      <w:r w:rsidR="005D4EA5">
        <w:rPr>
          <w:b w:val="0"/>
          <w:bCs w:val="0"/>
        </w:rPr>
        <w:t xml:space="preserve"> </w:t>
      </w:r>
      <w:r>
        <w:rPr>
          <w:b w:val="0"/>
          <w:bCs w:val="0"/>
        </w:rPr>
        <w:t>This is an obvious recommendation from industry experts who have reviewed the situation.</w:t>
      </w:r>
      <w:r>
        <w:rPr>
          <w:rStyle w:val="FootnoteReference"/>
          <w:b w:val="0"/>
          <w:bCs w:val="0"/>
        </w:rPr>
        <w:footnoteReference w:id="17"/>
      </w:r>
      <w:r w:rsidR="005D4EA5">
        <w:rPr>
          <w:b w:val="0"/>
          <w:bCs w:val="0"/>
        </w:rPr>
        <w:t xml:space="preserve"> </w:t>
      </w:r>
      <w:r w:rsidR="000C0EB0">
        <w:rPr>
          <w:b w:val="0"/>
          <w:bCs w:val="0"/>
        </w:rPr>
        <w:t>M</w:t>
      </w:r>
      <w:r w:rsidR="00AD3780">
        <w:rPr>
          <w:b w:val="0"/>
          <w:bCs w:val="0"/>
        </w:rPr>
        <w:t>ost utilities operate their plants in an economic manner (i.e. economic dispatch).</w:t>
      </w:r>
      <w:r w:rsidR="005D4EA5">
        <w:rPr>
          <w:b w:val="0"/>
          <w:bCs w:val="0"/>
        </w:rPr>
        <w:t xml:space="preserve"> </w:t>
      </w:r>
      <w:r w:rsidR="00AD3780">
        <w:rPr>
          <w:b w:val="0"/>
          <w:bCs w:val="0"/>
        </w:rPr>
        <w:t>It is also noted that merchant operators of coal plants routinely dispatched their plants on an economic basis and, as a result, their operations were much more profitable than the coal plants operated by vertically integrated utilities.</w:t>
      </w:r>
      <w:r>
        <w:rPr>
          <w:rStyle w:val="FootnoteReference"/>
          <w:b w:val="0"/>
          <w:bCs w:val="0"/>
        </w:rPr>
        <w:footnoteReference w:id="18"/>
      </w:r>
      <w:r w:rsidR="008E21FE">
        <w:rPr>
          <w:b w:val="0"/>
          <w:bCs w:val="0"/>
        </w:rPr>
        <w:t xml:space="preserve"> </w:t>
      </w:r>
    </w:p>
    <w:p w:rsidR="000C0EB0" w:rsidP="007E77EB" w14:paraId="60510B7B" w14:textId="527E5ABE">
      <w:pPr>
        <w:pStyle w:val="NormalWeb"/>
        <w:shd w:val="clear" w:color="auto" w:fill="FFFFFF"/>
        <w:spacing w:before="0" w:beforeAutospacing="0" w:after="0" w:afterAutospacing="0" w:line="480" w:lineRule="auto"/>
        <w:textAlignment w:val="baseline"/>
        <w:rPr>
          <w:b/>
        </w:rPr>
      </w:pPr>
      <w:r>
        <w:rPr>
          <w:rFonts w:eastAsiaTheme="minorHAnsi"/>
        </w:rPr>
        <w:tab/>
      </w:r>
      <w:r>
        <w:t xml:space="preserve">The importance of prudent plant operations </w:t>
      </w:r>
      <w:r w:rsidRPr="007E77EB">
        <w:rPr>
          <w:bCs/>
        </w:rPr>
        <w:t xml:space="preserve">and disposition of energy and capacity of the OVEC power plants </w:t>
      </w:r>
      <w:r w:rsidRPr="007E77EB">
        <w:t xml:space="preserve">cannot be </w:t>
      </w:r>
      <w:r w:rsidRPr="007E77EB">
        <w:rPr>
          <w:bCs/>
        </w:rPr>
        <w:t>overstated</w:t>
      </w:r>
      <w:r w:rsidR="00E8500C">
        <w:rPr>
          <w:bCs/>
        </w:rPr>
        <w:t>,</w:t>
      </w:r>
      <w:r w:rsidRPr="007E77EB">
        <w:t xml:space="preserve"> especially when the utility </w:t>
      </w:r>
      <w:r w:rsidRPr="007E77EB">
        <w:rPr>
          <w:bCs/>
        </w:rPr>
        <w:t xml:space="preserve">(such as DP&amp;L) </w:t>
      </w:r>
      <w:r w:rsidRPr="007E77EB">
        <w:t xml:space="preserve">has captive </w:t>
      </w:r>
      <w:r w:rsidR="00CC3F46">
        <w:t>monopoly</w:t>
      </w:r>
      <w:r w:rsidRPr="007E77EB" w:rsidR="00CC3F46">
        <w:t xml:space="preserve"> </w:t>
      </w:r>
      <w:r w:rsidRPr="007E77EB">
        <w:t>customers absorb</w:t>
      </w:r>
      <w:r w:rsidR="00CC3F46">
        <w:t>ing</w:t>
      </w:r>
      <w:r w:rsidRPr="007E77EB">
        <w:t xml:space="preserve"> the operating losses (through above-market subsidy charges).</w:t>
      </w:r>
      <w:r w:rsidR="005D4EA5">
        <w:t xml:space="preserve"> </w:t>
      </w:r>
      <w:r w:rsidRPr="007E77EB">
        <w:rPr>
          <w:bCs/>
        </w:rPr>
        <w:t>A</w:t>
      </w:r>
      <w:r w:rsidRPr="007E77EB">
        <w:rPr>
          <w:rFonts w:eastAsiaTheme="minorHAnsi"/>
        </w:rPr>
        <w:t>s noted earlier, the PUCO placed the burden of proof on utilities to show that the OVEC costs are reasonable.</w:t>
      </w:r>
      <w:r w:rsidR="005D4EA5">
        <w:rPr>
          <w:rFonts w:eastAsiaTheme="minorHAnsi"/>
        </w:rPr>
        <w:t xml:space="preserve"> </w:t>
      </w:r>
      <w:r w:rsidRPr="007E77EB">
        <w:rPr>
          <w:rFonts w:eastAsiaTheme="minorHAnsi"/>
        </w:rPr>
        <w:t>The Ohio utilities, taken together, own a major share of OVEC.</w:t>
      </w:r>
      <w:r w:rsidR="005D4EA5">
        <w:rPr>
          <w:rFonts w:eastAsiaTheme="minorHAnsi"/>
        </w:rPr>
        <w:t xml:space="preserve"> </w:t>
      </w:r>
      <w:r w:rsidRPr="007E77EB">
        <w:t>T</w:t>
      </w:r>
      <w:r w:rsidRPr="007E77EB">
        <w:rPr>
          <w:rFonts w:eastAsiaTheme="minorHAnsi"/>
        </w:rPr>
        <w:t>he Ohio utilities</w:t>
      </w:r>
      <w:r w:rsidRPr="007E77EB">
        <w:t>, including DP&amp;L,</w:t>
      </w:r>
      <w:r w:rsidRPr="007E77EB">
        <w:rPr>
          <w:rFonts w:eastAsiaTheme="minorHAnsi"/>
        </w:rPr>
        <w:t xml:space="preserve"> should have collectively required the OVEC operating committee to change the practice of running the plants on a “must-run” basis.</w:t>
      </w:r>
      <w:r w:rsidR="005D4EA5">
        <w:rPr>
          <w:rFonts w:eastAsiaTheme="minorHAnsi"/>
          <w:b/>
        </w:rPr>
        <w:t xml:space="preserve"> </w:t>
      </w:r>
    </w:p>
    <w:p w:rsidR="00531B59" w:rsidP="00881181" w14:paraId="3C2E3521" w14:textId="758600FF">
      <w:pPr>
        <w:spacing w:after="0" w:line="240" w:lineRule="auto"/>
        <w:ind w:left="1440" w:hanging="720"/>
        <w:rPr>
          <w:rFonts w:ascii="Times New Roman Bold" w:hAnsi="Times New Roman Bold" w:eastAsiaTheme="majorEastAsia" w:cstheme="majorBidi"/>
          <w:szCs w:val="26"/>
        </w:rPr>
      </w:pPr>
      <w:bookmarkStart w:id="6" w:name="_Toc60754370"/>
      <w:r w:rsidRPr="00881181">
        <w:rPr>
          <w:rStyle w:val="Heading2Char"/>
        </w:rPr>
        <w:t>D.</w:t>
      </w:r>
      <w:r w:rsidRPr="00881181" w:rsidR="000C0EB0">
        <w:rPr>
          <w:rStyle w:val="Heading2Char"/>
        </w:rPr>
        <w:tab/>
      </w:r>
      <w:r w:rsidRPr="00881181">
        <w:rPr>
          <w:rStyle w:val="Heading2Char"/>
        </w:rPr>
        <w:t xml:space="preserve">To protect consumers, the PUCO should require </w:t>
      </w:r>
      <w:r w:rsidRPr="00881181" w:rsidR="000224ED">
        <w:rPr>
          <w:rStyle w:val="Heading2Char"/>
        </w:rPr>
        <w:t>DP</w:t>
      </w:r>
      <w:r w:rsidR="00CC3F46">
        <w:rPr>
          <w:rStyle w:val="Heading2Char"/>
        </w:rPr>
        <w:t>&amp;</w:t>
      </w:r>
      <w:r w:rsidRPr="00881181" w:rsidR="000224ED">
        <w:rPr>
          <w:rStyle w:val="Heading2Char"/>
        </w:rPr>
        <w:t>L</w:t>
      </w:r>
      <w:r w:rsidRPr="00881181">
        <w:rPr>
          <w:rStyle w:val="Heading2Char"/>
        </w:rPr>
        <w:t xml:space="preserve"> to provide a report </w:t>
      </w:r>
      <w:r w:rsidRPr="00881181" w:rsidR="000224ED">
        <w:rPr>
          <w:rStyle w:val="Heading2Char"/>
        </w:rPr>
        <w:t xml:space="preserve">detailing the potential ancillary services that </w:t>
      </w:r>
      <w:r w:rsidRPr="00881181">
        <w:rPr>
          <w:rStyle w:val="Heading2Char"/>
        </w:rPr>
        <w:t xml:space="preserve">the OVEC plants </w:t>
      </w:r>
      <w:r w:rsidRPr="00881181" w:rsidR="000224ED">
        <w:rPr>
          <w:rStyle w:val="Heading2Char"/>
        </w:rPr>
        <w:t>could provide to PJM, along with the projected annual revenue.</w:t>
      </w:r>
      <w:bookmarkEnd w:id="6"/>
    </w:p>
    <w:p w:rsidR="000C0EB0" w:rsidRPr="000224ED" w:rsidP="000C0EB0" w14:paraId="3EC351E2" w14:textId="77777777">
      <w:pPr>
        <w:spacing w:after="0" w:line="240" w:lineRule="auto"/>
        <w:ind w:left="1080" w:hanging="360"/>
        <w:rPr>
          <w:rFonts w:ascii="Times New Roman Bold" w:hAnsi="Times New Roman Bold" w:eastAsiaTheme="majorEastAsia" w:cstheme="majorBidi"/>
          <w:szCs w:val="26"/>
          <w:u w:val="single"/>
        </w:rPr>
      </w:pPr>
    </w:p>
    <w:p w:rsidR="00292994" w:rsidP="00D13F7E" w14:paraId="58EC863A" w14:textId="713E7883">
      <w:pPr>
        <w:spacing w:after="0" w:line="480" w:lineRule="auto"/>
        <w:ind w:firstLine="720"/>
        <w:rPr>
          <w:b w:val="0"/>
          <w:bCs w:val="0"/>
        </w:rPr>
      </w:pPr>
      <w:r w:rsidRPr="00531B59">
        <w:rPr>
          <w:b w:val="0"/>
          <w:bCs w:val="0"/>
        </w:rPr>
        <w:t xml:space="preserve">The Audit Report </w:t>
      </w:r>
      <w:r w:rsidR="00F13815">
        <w:rPr>
          <w:b w:val="0"/>
          <w:bCs w:val="0"/>
        </w:rPr>
        <w:t>recommends that “DPL[DP&amp;L], through its representation on the OVEC Operating Committee, should investigate and analyze the potential for the Clifty and Kyger Creek Power Plants to participate in the PJM ancillary service markets in order to obtain additional revenue for ratepayers.”</w:t>
      </w:r>
      <w:r>
        <w:rPr>
          <w:rStyle w:val="FootnoteReference"/>
          <w:b w:val="0"/>
          <w:bCs w:val="0"/>
        </w:rPr>
        <w:footnoteReference w:id="19"/>
      </w:r>
      <w:r w:rsidR="005D4EA5">
        <w:rPr>
          <w:b w:val="0"/>
          <w:bCs w:val="0"/>
        </w:rPr>
        <w:t xml:space="preserve"> </w:t>
      </w:r>
      <w:r w:rsidR="00F13815">
        <w:rPr>
          <w:b w:val="0"/>
          <w:bCs w:val="0"/>
        </w:rPr>
        <w:t xml:space="preserve">We support this recommendation. </w:t>
      </w:r>
    </w:p>
    <w:p w:rsidR="00D13F7E" w:rsidP="00D13F7E" w14:paraId="43869F9B" w14:textId="73D6C414">
      <w:pPr>
        <w:spacing w:after="0" w:line="480" w:lineRule="auto"/>
        <w:ind w:firstLine="720"/>
        <w:rPr>
          <w:b w:val="0"/>
          <w:bCs w:val="0"/>
        </w:rPr>
      </w:pPr>
      <w:r>
        <w:rPr>
          <w:b w:val="0"/>
          <w:bCs w:val="0"/>
        </w:rPr>
        <w:t xml:space="preserve">DP&amp;L </w:t>
      </w:r>
      <w:r w:rsidRPr="00531B59" w:rsidR="00531B59">
        <w:rPr>
          <w:b w:val="0"/>
          <w:bCs w:val="0"/>
        </w:rPr>
        <w:t>explains that OVEC is continuing to evaluate whether the plants should participate in PJM’s ancillary services markets.</w:t>
      </w:r>
      <w:r>
        <w:rPr>
          <w:b w:val="0"/>
          <w:bCs w:val="0"/>
          <w:vertAlign w:val="superscript"/>
        </w:rPr>
        <w:footnoteReference w:id="20"/>
      </w:r>
      <w:r w:rsidR="005D4EA5">
        <w:rPr>
          <w:b w:val="0"/>
          <w:bCs w:val="0"/>
        </w:rPr>
        <w:t xml:space="preserve"> </w:t>
      </w:r>
      <w:r w:rsidR="00766932">
        <w:rPr>
          <w:b w:val="0"/>
          <w:bCs w:val="0"/>
        </w:rPr>
        <w:t xml:space="preserve">In the </w:t>
      </w:r>
      <w:r w:rsidR="00E8500C">
        <w:rPr>
          <w:b w:val="0"/>
          <w:bCs w:val="0"/>
        </w:rPr>
        <w:t>a</w:t>
      </w:r>
      <w:r w:rsidR="00766932">
        <w:rPr>
          <w:b w:val="0"/>
          <w:bCs w:val="0"/>
        </w:rPr>
        <w:t xml:space="preserve">udit </w:t>
      </w:r>
      <w:r w:rsidR="00E8500C">
        <w:rPr>
          <w:b w:val="0"/>
          <w:bCs w:val="0"/>
        </w:rPr>
        <w:t>r</w:t>
      </w:r>
      <w:r w:rsidR="00766932">
        <w:rPr>
          <w:b w:val="0"/>
          <w:bCs w:val="0"/>
        </w:rPr>
        <w:t xml:space="preserve">eport prepared by another auditor in the annual audit of Duke Energy Ohio’s OVEC subsidy, it </w:t>
      </w:r>
      <w:r w:rsidRPr="00531B59" w:rsidR="00531B59">
        <w:rPr>
          <w:b w:val="0"/>
          <w:bCs w:val="0"/>
        </w:rPr>
        <w:t>notes that OVEC is preparing a study on this subject, and that the report will be completed by the end of 2020.</w:t>
      </w:r>
      <w:r>
        <w:rPr>
          <w:b w:val="0"/>
          <w:bCs w:val="0"/>
          <w:vertAlign w:val="superscript"/>
        </w:rPr>
        <w:footnoteReference w:id="21"/>
      </w:r>
      <w:r w:rsidR="005D4EA5">
        <w:rPr>
          <w:b w:val="0"/>
          <w:bCs w:val="0"/>
        </w:rPr>
        <w:t xml:space="preserve"> </w:t>
      </w:r>
      <w:r w:rsidRPr="00531B59" w:rsidR="00531B59">
        <w:rPr>
          <w:b w:val="0"/>
          <w:bCs w:val="0"/>
        </w:rPr>
        <w:t xml:space="preserve">This topic has been debated in past OVEC proceedings, but no data </w:t>
      </w:r>
      <w:r w:rsidR="00766932">
        <w:rPr>
          <w:b w:val="0"/>
          <w:bCs w:val="0"/>
        </w:rPr>
        <w:t xml:space="preserve">or report </w:t>
      </w:r>
      <w:r w:rsidRPr="00531B59" w:rsidR="00531B59">
        <w:rPr>
          <w:b w:val="0"/>
          <w:bCs w:val="0"/>
        </w:rPr>
        <w:t>has ever produced.</w:t>
      </w:r>
      <w:r w:rsidR="005D4EA5">
        <w:rPr>
          <w:b w:val="0"/>
          <w:bCs w:val="0"/>
        </w:rPr>
        <w:t xml:space="preserve"> </w:t>
      </w:r>
      <w:r w:rsidRPr="00531B59" w:rsidR="00531B59">
        <w:rPr>
          <w:b w:val="0"/>
          <w:bCs w:val="0"/>
        </w:rPr>
        <w:t xml:space="preserve">It would be prudent for the OVEC owners to evaluate whether the OVEC plants should participate in </w:t>
      </w:r>
      <w:r w:rsidR="00E8500C">
        <w:rPr>
          <w:b w:val="0"/>
          <w:bCs w:val="0"/>
        </w:rPr>
        <w:t>the ancillary services</w:t>
      </w:r>
      <w:r w:rsidRPr="00531B59" w:rsidR="00E8500C">
        <w:rPr>
          <w:b w:val="0"/>
          <w:bCs w:val="0"/>
        </w:rPr>
        <w:t xml:space="preserve"> </w:t>
      </w:r>
      <w:r w:rsidRPr="00531B59" w:rsidR="00531B59">
        <w:rPr>
          <w:b w:val="0"/>
          <w:bCs w:val="0"/>
        </w:rPr>
        <w:t>markets.</w:t>
      </w:r>
      <w:r w:rsidR="005D4EA5">
        <w:rPr>
          <w:b w:val="0"/>
          <w:bCs w:val="0"/>
        </w:rPr>
        <w:t xml:space="preserve"> </w:t>
      </w:r>
      <w:r w:rsidRPr="00531B59" w:rsidR="00531B59">
        <w:rPr>
          <w:b w:val="0"/>
          <w:bCs w:val="0"/>
        </w:rPr>
        <w:t xml:space="preserve">OCC recommends that: (1) </w:t>
      </w:r>
      <w:r w:rsidR="00766932">
        <w:rPr>
          <w:b w:val="0"/>
          <w:bCs w:val="0"/>
        </w:rPr>
        <w:t xml:space="preserve">DP&amp;L </w:t>
      </w:r>
      <w:r w:rsidRPr="00531B59" w:rsidR="00531B59">
        <w:rPr>
          <w:b w:val="0"/>
          <w:bCs w:val="0"/>
        </w:rPr>
        <w:t xml:space="preserve">file such a report in this docket by </w:t>
      </w:r>
      <w:r w:rsidR="00766932">
        <w:rPr>
          <w:b w:val="0"/>
          <w:bCs w:val="0"/>
        </w:rPr>
        <w:t xml:space="preserve">March </w:t>
      </w:r>
      <w:r w:rsidRPr="00531B59" w:rsidR="00531B59">
        <w:rPr>
          <w:b w:val="0"/>
          <w:bCs w:val="0"/>
        </w:rPr>
        <w:t xml:space="preserve">1, 2021; and (2) the OVEC plants should participate in the PJM ancillary services markets to maximize revenues, thus lowering the overall subsidy being charged to </w:t>
      </w:r>
      <w:r w:rsidR="00CC3F46">
        <w:rPr>
          <w:b w:val="0"/>
          <w:bCs w:val="0"/>
        </w:rPr>
        <w:t xml:space="preserve">captive monopoly </w:t>
      </w:r>
      <w:r w:rsidRPr="00531B59" w:rsidR="00531B59">
        <w:rPr>
          <w:b w:val="0"/>
          <w:bCs w:val="0"/>
        </w:rPr>
        <w:t>consumers.</w:t>
      </w:r>
    </w:p>
    <w:p w:rsidR="009E416D" w:rsidP="00881181" w14:paraId="17F7E006" w14:textId="1051D95E">
      <w:pPr>
        <w:spacing w:after="0" w:line="240" w:lineRule="auto"/>
        <w:ind w:left="1440" w:hanging="720"/>
        <w:rPr>
          <w:bCs w:val="0"/>
        </w:rPr>
      </w:pPr>
      <w:bookmarkStart w:id="7" w:name="_Toc60754371"/>
      <w:r w:rsidRPr="00881181">
        <w:rPr>
          <w:rStyle w:val="Heading2Char"/>
        </w:rPr>
        <w:t>E.</w:t>
      </w:r>
      <w:r w:rsidR="00881181">
        <w:rPr>
          <w:rStyle w:val="Heading2Char"/>
        </w:rPr>
        <w:tab/>
      </w:r>
      <w:r w:rsidRPr="00657AEF" w:rsidR="00766932">
        <w:rPr>
          <w:rStyle w:val="Heading2Char"/>
        </w:rPr>
        <w:t>To protect consumers, the PUCO should require DPL to formally document the procedures for the calculation of cost recovery of OVEC capital costs and expenses</w:t>
      </w:r>
      <w:r w:rsidRPr="00657AEF" w:rsidR="00A60FEC">
        <w:rPr>
          <w:rStyle w:val="Heading2Char"/>
        </w:rPr>
        <w:t>.</w:t>
      </w:r>
      <w:bookmarkEnd w:id="7"/>
      <w:r w:rsidRPr="00D13F7E" w:rsidR="00A60FEC">
        <w:rPr>
          <w:rFonts w:ascii="Times New Roman Bold" w:hAnsi="Times New Roman Bold" w:eastAsiaTheme="majorEastAsia" w:cstheme="majorBidi"/>
          <w:szCs w:val="26"/>
        </w:rPr>
        <w:t xml:space="preserve"> </w:t>
      </w:r>
    </w:p>
    <w:p w:rsidR="009E416D" w:rsidP="009E416D" w14:paraId="1B5A0E0A" w14:textId="77777777">
      <w:pPr>
        <w:spacing w:after="0" w:line="240" w:lineRule="auto"/>
        <w:rPr>
          <w:bCs w:val="0"/>
        </w:rPr>
      </w:pPr>
    </w:p>
    <w:p w:rsidR="00270699" w:rsidP="00881181" w14:paraId="604F517B" w14:textId="55E240F4">
      <w:pPr>
        <w:spacing w:after="0" w:line="480" w:lineRule="auto"/>
        <w:ind w:firstLine="720"/>
        <w:rPr>
          <w:b w:val="0"/>
          <w:bCs w:val="0"/>
        </w:rPr>
      </w:pPr>
      <w:r>
        <w:rPr>
          <w:b w:val="0"/>
          <w:bCs w:val="0"/>
        </w:rPr>
        <w:t>We support</w:t>
      </w:r>
      <w:r w:rsidR="005D4EA5">
        <w:rPr>
          <w:b w:val="0"/>
          <w:bCs w:val="0"/>
        </w:rPr>
        <w:t xml:space="preserve"> </w:t>
      </w:r>
      <w:r>
        <w:rPr>
          <w:b w:val="0"/>
          <w:bCs w:val="0"/>
        </w:rPr>
        <w:t>the Audit Report</w:t>
      </w:r>
      <w:r w:rsidR="00E8500C">
        <w:rPr>
          <w:b w:val="0"/>
          <w:bCs w:val="0"/>
        </w:rPr>
        <w:t>’s recommendation that DP&amp;L formally document the procedures for the calculation of cost recovery of OVEC capital costs and expenses</w:t>
      </w:r>
      <w:r>
        <w:rPr>
          <w:b w:val="0"/>
          <w:bCs w:val="0"/>
        </w:rPr>
        <w:t>.</w:t>
      </w:r>
      <w:r>
        <w:rPr>
          <w:rStyle w:val="FootnoteReference"/>
          <w:b w:val="0"/>
          <w:bCs w:val="0"/>
        </w:rPr>
        <w:footnoteReference w:id="22"/>
      </w:r>
      <w:r w:rsidR="005D4EA5">
        <w:rPr>
          <w:b w:val="0"/>
          <w:bCs w:val="0"/>
        </w:rPr>
        <w:t xml:space="preserve"> </w:t>
      </w:r>
      <w:r w:rsidR="009E416D">
        <w:rPr>
          <w:b w:val="0"/>
          <w:bCs w:val="0"/>
        </w:rPr>
        <w:t>A</w:t>
      </w:r>
      <w:r>
        <w:rPr>
          <w:b w:val="0"/>
          <w:bCs w:val="0"/>
        </w:rPr>
        <w:t xml:space="preserve"> formal written procedure regarding the process for calculating the </w:t>
      </w:r>
      <w:r w:rsidR="00E8500C">
        <w:rPr>
          <w:b w:val="0"/>
          <w:bCs w:val="0"/>
        </w:rPr>
        <w:t>OVEC subsidy charge</w:t>
      </w:r>
      <w:r>
        <w:rPr>
          <w:b w:val="0"/>
          <w:bCs w:val="0"/>
        </w:rPr>
        <w:t xml:space="preserve"> </w:t>
      </w:r>
      <w:r w:rsidR="00E8500C">
        <w:rPr>
          <w:b w:val="0"/>
          <w:bCs w:val="0"/>
        </w:rPr>
        <w:t xml:space="preserve">and </w:t>
      </w:r>
      <w:r>
        <w:rPr>
          <w:b w:val="0"/>
          <w:bCs w:val="0"/>
        </w:rPr>
        <w:t xml:space="preserve">the Legacy Generation Resource Rider (“LGRR”) is </w:t>
      </w:r>
      <w:r w:rsidR="00A60FEC">
        <w:rPr>
          <w:b w:val="0"/>
          <w:bCs w:val="0"/>
        </w:rPr>
        <w:t>essential</w:t>
      </w:r>
      <w:r w:rsidR="00E8500C">
        <w:rPr>
          <w:b w:val="0"/>
          <w:bCs w:val="0"/>
        </w:rPr>
        <w:t>.</w:t>
      </w:r>
      <w:r w:rsidR="005D4EA5">
        <w:rPr>
          <w:b w:val="0"/>
          <w:bCs w:val="0"/>
        </w:rPr>
        <w:t xml:space="preserve"> </w:t>
      </w:r>
      <w:r w:rsidR="00E8500C">
        <w:rPr>
          <w:b w:val="0"/>
          <w:bCs w:val="0"/>
        </w:rPr>
        <w:t>This is because</w:t>
      </w:r>
      <w:r>
        <w:rPr>
          <w:b w:val="0"/>
          <w:bCs w:val="0"/>
        </w:rPr>
        <w:t xml:space="preserve"> </w:t>
      </w:r>
      <w:r w:rsidR="00E8500C">
        <w:rPr>
          <w:b w:val="0"/>
          <w:bCs w:val="0"/>
        </w:rPr>
        <w:t>of the</w:t>
      </w:r>
      <w:r>
        <w:rPr>
          <w:b w:val="0"/>
          <w:bCs w:val="0"/>
        </w:rPr>
        <w:t xml:space="preserve"> transition period </w:t>
      </w:r>
      <w:r w:rsidR="00A60FEC">
        <w:rPr>
          <w:b w:val="0"/>
          <w:bCs w:val="0"/>
        </w:rPr>
        <w:t xml:space="preserve">(starting January 1, 2020) </w:t>
      </w:r>
      <w:r>
        <w:rPr>
          <w:b w:val="0"/>
          <w:bCs w:val="0"/>
        </w:rPr>
        <w:t xml:space="preserve">when the </w:t>
      </w:r>
      <w:r w:rsidR="00E8500C">
        <w:rPr>
          <w:b w:val="0"/>
          <w:bCs w:val="0"/>
        </w:rPr>
        <w:t>OVEC subsidy charge</w:t>
      </w:r>
      <w:r>
        <w:rPr>
          <w:b w:val="0"/>
          <w:bCs w:val="0"/>
        </w:rPr>
        <w:t xml:space="preserve"> was replaced by </w:t>
      </w:r>
      <w:r w:rsidR="00E8500C">
        <w:rPr>
          <w:b w:val="0"/>
          <w:bCs w:val="0"/>
        </w:rPr>
        <w:t>the</w:t>
      </w:r>
      <w:r>
        <w:rPr>
          <w:b w:val="0"/>
          <w:bCs w:val="0"/>
        </w:rPr>
        <w:t xml:space="preserve"> LGRR</w:t>
      </w:r>
      <w:r w:rsidR="00E8500C">
        <w:rPr>
          <w:b w:val="0"/>
          <w:bCs w:val="0"/>
        </w:rPr>
        <w:t>, under which</w:t>
      </w:r>
      <w:r w:rsidR="00A60FEC">
        <w:rPr>
          <w:b w:val="0"/>
          <w:bCs w:val="0"/>
        </w:rPr>
        <w:t xml:space="preserve"> the calculation of charges </w:t>
      </w:r>
      <w:r w:rsidR="00E8500C">
        <w:rPr>
          <w:b w:val="0"/>
          <w:bCs w:val="0"/>
        </w:rPr>
        <w:t xml:space="preserve">is </w:t>
      </w:r>
      <w:r w:rsidR="00A60FEC">
        <w:rPr>
          <w:b w:val="0"/>
          <w:bCs w:val="0"/>
        </w:rPr>
        <w:t>quite different.</w:t>
      </w:r>
      <w:r w:rsidR="005D4EA5">
        <w:rPr>
          <w:b w:val="0"/>
          <w:bCs w:val="0"/>
        </w:rPr>
        <w:t xml:space="preserve"> </w:t>
      </w:r>
      <w:r w:rsidR="00A60FEC">
        <w:rPr>
          <w:b w:val="0"/>
          <w:bCs w:val="0"/>
        </w:rPr>
        <w:t xml:space="preserve">The current </w:t>
      </w:r>
      <w:r w:rsidR="00CC3F46">
        <w:rPr>
          <w:b w:val="0"/>
          <w:bCs w:val="0"/>
        </w:rPr>
        <w:t xml:space="preserve">corona </w:t>
      </w:r>
      <w:r w:rsidR="00E8500C">
        <w:rPr>
          <w:b w:val="0"/>
          <w:bCs w:val="0"/>
        </w:rPr>
        <w:t>virus</w:t>
      </w:r>
      <w:r w:rsidR="00A60FEC">
        <w:rPr>
          <w:b w:val="0"/>
          <w:bCs w:val="0"/>
        </w:rPr>
        <w:t xml:space="preserve"> pandemic could further complicate the matter when certain personnel may be unavailable or limited for </w:t>
      </w:r>
      <w:r>
        <w:rPr>
          <w:b w:val="0"/>
          <w:bCs w:val="0"/>
        </w:rPr>
        <w:t>calculating and implementing</w:t>
      </w:r>
      <w:r w:rsidR="00A60FEC">
        <w:rPr>
          <w:b w:val="0"/>
          <w:bCs w:val="0"/>
        </w:rPr>
        <w:t xml:space="preserve"> the LGRR.</w:t>
      </w:r>
      <w:r w:rsidR="005D4EA5">
        <w:rPr>
          <w:b w:val="0"/>
          <w:bCs w:val="0"/>
        </w:rPr>
        <w:t xml:space="preserve"> </w:t>
      </w:r>
    </w:p>
    <w:p w:rsidR="00766932" w:rsidP="00881181" w14:paraId="719D773E" w14:textId="2F0CB541">
      <w:pPr>
        <w:spacing w:line="480" w:lineRule="auto"/>
        <w:ind w:firstLine="720"/>
        <w:rPr>
          <w:b w:val="0"/>
          <w:bCs w:val="0"/>
        </w:rPr>
      </w:pPr>
      <w:r>
        <w:rPr>
          <w:b w:val="0"/>
          <w:bCs w:val="0"/>
        </w:rPr>
        <w:t xml:space="preserve">All these considerations </w:t>
      </w:r>
      <w:r w:rsidR="00A60FEC">
        <w:rPr>
          <w:b w:val="0"/>
          <w:bCs w:val="0"/>
        </w:rPr>
        <w:t>make a formal written procedure on documenting and calculating all OVEC-related costs billed to DP&amp;L and the charges collected from customers indispensable.</w:t>
      </w:r>
      <w:r w:rsidR="005D4EA5">
        <w:rPr>
          <w:b w:val="0"/>
          <w:bCs w:val="0"/>
        </w:rPr>
        <w:t xml:space="preserve"> </w:t>
      </w:r>
      <w:r w:rsidR="00D13F7E">
        <w:rPr>
          <w:b w:val="0"/>
          <w:bCs w:val="0"/>
        </w:rPr>
        <w:t>Because these process and procedure are already in place, DP&amp;L should be able to produce the formal written documents within a reasonable time.</w:t>
      </w:r>
    </w:p>
    <w:p w:rsidR="00531B59" w:rsidRPr="00531B59" w:rsidP="00881181" w14:paraId="610FFAC9" w14:textId="1CBA89F1">
      <w:pPr>
        <w:pStyle w:val="Heading1"/>
      </w:pPr>
      <w:bookmarkStart w:id="8" w:name="_Toc60754372"/>
      <w:r w:rsidRPr="00531B59">
        <w:t>I</w:t>
      </w:r>
      <w:r w:rsidR="00292994">
        <w:t>II</w:t>
      </w:r>
      <w:r w:rsidRPr="00531B59">
        <w:t>.</w:t>
      </w:r>
      <w:r w:rsidRPr="00531B59">
        <w:tab/>
        <w:t>CONCLUSION</w:t>
      </w:r>
      <w:bookmarkEnd w:id="8"/>
    </w:p>
    <w:p w:rsidR="00102F37" w:rsidP="00531B59" w14:paraId="3D14D9D8" w14:textId="2345DF0D">
      <w:pPr>
        <w:widowControl w:val="0"/>
        <w:spacing w:after="120" w:line="480" w:lineRule="auto"/>
        <w:ind w:right="-312"/>
        <w:rPr>
          <w:b w:val="0"/>
          <w:bCs w:val="0"/>
        </w:rPr>
      </w:pPr>
      <w:r w:rsidRPr="00531B59">
        <w:rPr>
          <w:b w:val="0"/>
          <w:bCs w:val="0"/>
          <w:sz w:val="16"/>
          <w:szCs w:val="16"/>
        </w:rPr>
        <w:tab/>
      </w:r>
      <w:r w:rsidRPr="00531B59">
        <w:rPr>
          <w:rFonts w:eastAsia="Times New Roman"/>
          <w:b w:val="0"/>
          <w:bCs w:val="0"/>
        </w:rPr>
        <w:t xml:space="preserve">Given the lack of market discipline for these OVEC power plants whose losses are subsidized by Ohioans, the PUCO should closely scrutinize all subsidy charges to Ohio consumers for the </w:t>
      </w:r>
      <w:r w:rsidR="00CC3F46">
        <w:rPr>
          <w:rFonts w:eastAsia="Times New Roman"/>
          <w:b w:val="0"/>
          <w:bCs w:val="0"/>
        </w:rPr>
        <w:t xml:space="preserve">power </w:t>
      </w:r>
      <w:r w:rsidRPr="00531B59">
        <w:rPr>
          <w:rFonts w:eastAsia="Times New Roman"/>
          <w:b w:val="0"/>
          <w:bCs w:val="0"/>
        </w:rPr>
        <w:t>plants. D</w:t>
      </w:r>
      <w:r w:rsidR="009E416D">
        <w:rPr>
          <w:rFonts w:eastAsia="Times New Roman"/>
          <w:b w:val="0"/>
          <w:bCs w:val="0"/>
        </w:rPr>
        <w:t xml:space="preserve">P&amp;L </w:t>
      </w:r>
      <w:r w:rsidRPr="00531B59">
        <w:rPr>
          <w:rFonts w:eastAsia="Times New Roman"/>
          <w:b w:val="0"/>
          <w:bCs w:val="0"/>
        </w:rPr>
        <w:t>ha</w:t>
      </w:r>
      <w:r w:rsidR="00270699">
        <w:rPr>
          <w:rFonts w:eastAsia="Times New Roman"/>
          <w:b w:val="0"/>
          <w:bCs w:val="0"/>
        </w:rPr>
        <w:t>s</w:t>
      </w:r>
      <w:r w:rsidRPr="00531B59">
        <w:rPr>
          <w:rFonts w:eastAsia="Times New Roman"/>
          <w:b w:val="0"/>
          <w:bCs w:val="0"/>
        </w:rPr>
        <w:t xml:space="preserve"> </w:t>
      </w:r>
      <w:r w:rsidR="00CC3F46">
        <w:rPr>
          <w:rFonts w:eastAsia="Times New Roman"/>
          <w:b w:val="0"/>
          <w:bCs w:val="0"/>
        </w:rPr>
        <w:t xml:space="preserve">the obligation </w:t>
      </w:r>
      <w:r w:rsidRPr="00531B59">
        <w:rPr>
          <w:rFonts w:eastAsia="Times New Roman"/>
          <w:b w:val="0"/>
          <w:bCs w:val="0"/>
        </w:rPr>
        <w:t xml:space="preserve">to prove in this case that the subsidy charges were prudent, that its actions were in the best interests of customers, and that all charges comply with the various limitations set forth in the PUCO Orders approving the OVEC </w:t>
      </w:r>
      <w:r w:rsidR="00270699">
        <w:rPr>
          <w:rFonts w:eastAsia="Times New Roman"/>
          <w:b w:val="0"/>
          <w:bCs w:val="0"/>
        </w:rPr>
        <w:t>s</w:t>
      </w:r>
      <w:r w:rsidRPr="00531B59">
        <w:rPr>
          <w:rFonts w:eastAsia="Times New Roman"/>
          <w:b w:val="0"/>
          <w:bCs w:val="0"/>
        </w:rPr>
        <w:t>ubsidy charge</w:t>
      </w:r>
      <w:r w:rsidR="00CC3F46">
        <w:rPr>
          <w:rFonts w:eastAsia="Times New Roman"/>
          <w:b w:val="0"/>
          <w:bCs w:val="0"/>
        </w:rPr>
        <w:t xml:space="preserve"> to consumers</w:t>
      </w:r>
      <w:r w:rsidRPr="00531B59">
        <w:rPr>
          <w:rFonts w:eastAsia="Times New Roman"/>
          <w:b w:val="0"/>
          <w:bCs w:val="0"/>
        </w:rPr>
        <w:t>.</w:t>
      </w:r>
      <w:r w:rsidR="005D4EA5">
        <w:rPr>
          <w:rFonts w:eastAsia="Times New Roman"/>
          <w:b w:val="0"/>
          <w:bCs w:val="0"/>
        </w:rPr>
        <w:t xml:space="preserve"> </w:t>
      </w:r>
      <w:r w:rsidRPr="00531B59">
        <w:rPr>
          <w:rFonts w:eastAsia="Times New Roman"/>
          <w:b w:val="0"/>
          <w:bCs w:val="0"/>
        </w:rPr>
        <w:t>As explained above, D</w:t>
      </w:r>
      <w:r w:rsidR="009E416D">
        <w:rPr>
          <w:rFonts w:eastAsia="Times New Roman"/>
          <w:b w:val="0"/>
          <w:bCs w:val="0"/>
        </w:rPr>
        <w:t xml:space="preserve">P&amp;L </w:t>
      </w:r>
      <w:r w:rsidRPr="00531B59">
        <w:rPr>
          <w:rFonts w:eastAsia="Times New Roman"/>
          <w:b w:val="0"/>
          <w:bCs w:val="0"/>
        </w:rPr>
        <w:t xml:space="preserve">did not meet its burden of proof in several respects. </w:t>
      </w:r>
      <w:r w:rsidRPr="00531B59">
        <w:rPr>
          <w:b w:val="0"/>
          <w:bCs w:val="0"/>
        </w:rPr>
        <w:t xml:space="preserve">OCC respectfully requests that the PUCO disallow the collection of </w:t>
      </w:r>
      <w:r w:rsidR="009E416D">
        <w:rPr>
          <w:b w:val="0"/>
          <w:bCs w:val="0"/>
        </w:rPr>
        <w:t xml:space="preserve">certain </w:t>
      </w:r>
      <w:r w:rsidRPr="00531B59">
        <w:rPr>
          <w:b w:val="0"/>
          <w:bCs w:val="0"/>
        </w:rPr>
        <w:t xml:space="preserve">OVEC costs from </w:t>
      </w:r>
      <w:r w:rsidR="009E416D">
        <w:rPr>
          <w:b w:val="0"/>
          <w:bCs w:val="0"/>
        </w:rPr>
        <w:t xml:space="preserve">DP&amp;L’s </w:t>
      </w:r>
      <w:r w:rsidRPr="00531B59">
        <w:rPr>
          <w:b w:val="0"/>
          <w:bCs w:val="0"/>
        </w:rPr>
        <w:t xml:space="preserve">consumers and implement the recommended </w:t>
      </w:r>
      <w:r w:rsidR="0088545E">
        <w:rPr>
          <w:b w:val="0"/>
          <w:bCs w:val="0"/>
        </w:rPr>
        <w:t xml:space="preserve">consumer protection </w:t>
      </w:r>
      <w:r w:rsidRPr="00531B59">
        <w:rPr>
          <w:b w:val="0"/>
          <w:bCs w:val="0"/>
        </w:rPr>
        <w:t>practices as discussed in these comments.</w:t>
      </w:r>
    </w:p>
    <w:p w:rsidR="00102F37" w14:paraId="4A8AB137" w14:textId="77777777">
      <w:pPr>
        <w:rPr>
          <w:b w:val="0"/>
          <w:bCs w:val="0"/>
        </w:rPr>
      </w:pPr>
      <w:r>
        <w:rPr>
          <w:b w:val="0"/>
          <w:bCs w:val="0"/>
        </w:rPr>
        <w:br w:type="page"/>
      </w:r>
    </w:p>
    <w:p w:rsidR="005D4EA5" w:rsidRPr="005D4EA5" w:rsidP="005D4EA5" w14:paraId="6F064BD8" w14:textId="77777777">
      <w:pPr>
        <w:spacing w:after="0" w:line="480" w:lineRule="auto"/>
        <w:ind w:left="3600"/>
        <w:rPr>
          <w:rFonts w:eastAsia="Times New Roman"/>
          <w:b w:val="0"/>
          <w:bCs w:val="0"/>
          <w:szCs w:val="20"/>
        </w:rPr>
      </w:pPr>
      <w:r w:rsidRPr="005D4EA5">
        <w:rPr>
          <w:rFonts w:eastAsia="Times New Roman"/>
          <w:b w:val="0"/>
          <w:bCs w:val="0"/>
          <w:szCs w:val="20"/>
        </w:rPr>
        <w:t>Respectfully submitted,</w:t>
      </w:r>
    </w:p>
    <w:p w:rsidR="005D4EA5" w:rsidRPr="005D4EA5" w:rsidP="005D4EA5" w14:paraId="5F9890EF" w14:textId="77777777">
      <w:pPr>
        <w:tabs>
          <w:tab w:val="right" w:pos="8640"/>
        </w:tabs>
        <w:spacing w:after="0" w:line="240" w:lineRule="auto"/>
        <w:ind w:left="3600"/>
        <w:rPr>
          <w:rFonts w:eastAsia="Times New Roman"/>
          <w:b w:val="0"/>
          <w:bCs w:val="0"/>
        </w:rPr>
      </w:pPr>
      <w:r w:rsidRPr="005D4EA5">
        <w:rPr>
          <w:rFonts w:eastAsia="Times New Roman"/>
          <w:b w:val="0"/>
          <w:bCs w:val="0"/>
        </w:rPr>
        <w:t>Bruce Weston (0016973)</w:t>
      </w:r>
    </w:p>
    <w:p w:rsidR="005D4EA5" w:rsidRPr="005D4EA5" w:rsidP="005D4EA5" w14:paraId="7AFCF737" w14:textId="77777777">
      <w:pPr>
        <w:spacing w:after="0" w:line="240" w:lineRule="auto"/>
        <w:ind w:left="3600"/>
        <w:contextualSpacing/>
        <w:rPr>
          <w:rFonts w:eastAsia="Calibri"/>
          <w:b w:val="0"/>
          <w:bCs w:val="0"/>
        </w:rPr>
      </w:pPr>
      <w:r w:rsidRPr="005D4EA5">
        <w:rPr>
          <w:rFonts w:eastAsia="Calibri"/>
          <w:b w:val="0"/>
          <w:bCs w:val="0"/>
        </w:rPr>
        <w:t>Ohio Consumers’ Counsel</w:t>
      </w:r>
    </w:p>
    <w:p w:rsidR="005D4EA5" w:rsidRPr="005D4EA5" w:rsidP="005D4EA5" w14:paraId="55A4E361" w14:textId="77777777">
      <w:pPr>
        <w:spacing w:after="200" w:line="276" w:lineRule="auto"/>
        <w:ind w:left="3600"/>
        <w:contextualSpacing/>
        <w:rPr>
          <w:rFonts w:eastAsia="Calibri"/>
          <w:b w:val="0"/>
          <w:bCs w:val="0"/>
        </w:rPr>
      </w:pPr>
      <w:r w:rsidRPr="005D4EA5">
        <w:rPr>
          <w:rFonts w:eastAsia="Calibri"/>
          <w:b w:val="0"/>
          <w:bCs w:val="0"/>
        </w:rPr>
        <w:tab/>
      </w:r>
    </w:p>
    <w:p w:rsidR="005D4EA5" w:rsidRPr="005D4EA5" w:rsidP="005D4EA5" w14:paraId="31B3D762" w14:textId="77777777">
      <w:pPr>
        <w:spacing w:after="200" w:line="240" w:lineRule="auto"/>
        <w:ind w:left="3600"/>
        <w:contextualSpacing/>
        <w:rPr>
          <w:rFonts w:eastAsia="Calibri"/>
          <w:b w:val="0"/>
          <w:bCs w:val="0"/>
          <w:i/>
          <w:iCs/>
          <w:u w:val="single"/>
        </w:rPr>
      </w:pPr>
      <w:r w:rsidRPr="005D4EA5">
        <w:rPr>
          <w:rFonts w:eastAsia="Calibri"/>
          <w:b w:val="0"/>
          <w:bCs w:val="0"/>
          <w:i/>
          <w:iCs/>
          <w:u w:val="single"/>
        </w:rPr>
        <w:t>/s/ William J. Michael</w:t>
      </w:r>
      <w:r w:rsidRPr="005D4EA5">
        <w:rPr>
          <w:rFonts w:eastAsia="Calibri"/>
          <w:b w:val="0"/>
          <w:bCs w:val="0"/>
          <w:i/>
          <w:iCs/>
          <w:u w:val="single"/>
        </w:rPr>
        <w:tab/>
      </w:r>
      <w:r w:rsidRPr="005D4EA5">
        <w:rPr>
          <w:rFonts w:eastAsia="Calibri"/>
          <w:b w:val="0"/>
          <w:bCs w:val="0"/>
          <w:i/>
          <w:iCs/>
          <w:u w:val="single"/>
        </w:rPr>
        <w:tab/>
      </w:r>
    </w:p>
    <w:p w:rsidR="005D4EA5" w:rsidRPr="005D4EA5" w:rsidP="005D4EA5" w14:paraId="5B5A8798" w14:textId="77777777">
      <w:pPr>
        <w:spacing w:after="0" w:line="240" w:lineRule="auto"/>
        <w:ind w:left="3600"/>
        <w:rPr>
          <w:rFonts w:eastAsia="Times New Roman"/>
          <w:b w:val="0"/>
          <w:bCs w:val="0"/>
        </w:rPr>
      </w:pPr>
      <w:r w:rsidRPr="005D4EA5">
        <w:rPr>
          <w:rFonts w:eastAsia="Times New Roman"/>
          <w:b w:val="0"/>
          <w:bCs w:val="0"/>
        </w:rPr>
        <w:t>William J. Michael (0070921)</w:t>
      </w:r>
    </w:p>
    <w:p w:rsidR="005D4EA5" w:rsidRPr="005D4EA5" w:rsidP="005D4EA5" w14:paraId="3B10A684" w14:textId="77777777">
      <w:pPr>
        <w:spacing w:after="0" w:line="240" w:lineRule="auto"/>
        <w:ind w:left="3600"/>
        <w:rPr>
          <w:rFonts w:eastAsia="Times New Roman"/>
          <w:b w:val="0"/>
          <w:bCs w:val="0"/>
        </w:rPr>
      </w:pPr>
      <w:r w:rsidRPr="005D4EA5">
        <w:rPr>
          <w:rFonts w:eastAsia="Times New Roman"/>
          <w:b w:val="0"/>
          <w:bCs w:val="0"/>
        </w:rPr>
        <w:t>Counsel of Record</w:t>
      </w:r>
    </w:p>
    <w:p w:rsidR="005D4EA5" w:rsidRPr="005D4EA5" w:rsidP="005D4EA5" w14:paraId="08D0D6B2" w14:textId="77777777">
      <w:pPr>
        <w:spacing w:after="0" w:line="240" w:lineRule="auto"/>
        <w:ind w:left="3600"/>
        <w:rPr>
          <w:rFonts w:eastAsia="Times New Roman"/>
          <w:b w:val="0"/>
          <w:bCs w:val="0"/>
        </w:rPr>
      </w:pPr>
      <w:r w:rsidRPr="005D4EA5">
        <w:rPr>
          <w:rFonts w:eastAsia="Times New Roman"/>
          <w:b w:val="0"/>
          <w:bCs w:val="0"/>
        </w:rPr>
        <w:t xml:space="preserve">Amy Botschner O’Brien (0074423) </w:t>
      </w:r>
    </w:p>
    <w:p w:rsidR="005D4EA5" w:rsidRPr="005D4EA5" w:rsidP="005D4EA5" w14:paraId="4EC91BBE" w14:textId="77777777">
      <w:pPr>
        <w:spacing w:after="0" w:line="240" w:lineRule="auto"/>
        <w:ind w:left="3600"/>
        <w:rPr>
          <w:rFonts w:eastAsia="Times New Roman"/>
          <w:b w:val="0"/>
          <w:bCs w:val="0"/>
        </w:rPr>
      </w:pPr>
      <w:r w:rsidRPr="005D4EA5">
        <w:rPr>
          <w:rFonts w:eastAsia="Times New Roman"/>
          <w:b w:val="0"/>
          <w:bCs w:val="0"/>
        </w:rPr>
        <w:t>John Finnigan (0018689)</w:t>
      </w:r>
    </w:p>
    <w:p w:rsidR="005D4EA5" w:rsidRPr="005D4EA5" w:rsidP="005D4EA5" w14:paraId="143A20E4" w14:textId="77777777">
      <w:pPr>
        <w:spacing w:after="0" w:line="240" w:lineRule="auto"/>
        <w:ind w:left="3600"/>
        <w:rPr>
          <w:rFonts w:eastAsia="Times New Roman"/>
          <w:b w:val="0"/>
          <w:bCs w:val="0"/>
        </w:rPr>
      </w:pPr>
      <w:r w:rsidRPr="005D4EA5">
        <w:rPr>
          <w:rFonts w:eastAsia="Times New Roman"/>
          <w:b w:val="0"/>
          <w:bCs w:val="0"/>
        </w:rPr>
        <w:t>Assistant Consumers’ Counsel</w:t>
      </w:r>
    </w:p>
    <w:p w:rsidR="005D4EA5" w:rsidRPr="005D4EA5" w:rsidP="005D4EA5" w14:paraId="150C8EA4" w14:textId="77777777">
      <w:pPr>
        <w:tabs>
          <w:tab w:val="left" w:pos="4320"/>
        </w:tabs>
        <w:spacing w:after="200" w:line="240" w:lineRule="auto"/>
        <w:ind w:left="4320"/>
        <w:contextualSpacing/>
        <w:rPr>
          <w:rFonts w:eastAsia="Calibri"/>
          <w:b w:val="0"/>
          <w:bCs w:val="0"/>
        </w:rPr>
      </w:pPr>
    </w:p>
    <w:p w:rsidR="005D4EA5" w:rsidRPr="005D4EA5" w:rsidP="005D4EA5" w14:paraId="1DC8EBD1" w14:textId="77777777">
      <w:pPr>
        <w:spacing w:after="0" w:line="240" w:lineRule="auto"/>
        <w:ind w:left="3600"/>
        <w:contextualSpacing/>
        <w:rPr>
          <w:rFonts w:eastAsia="Calibri"/>
        </w:rPr>
      </w:pPr>
      <w:r w:rsidRPr="005D4EA5">
        <w:rPr>
          <w:rFonts w:eastAsia="Calibri"/>
        </w:rPr>
        <w:t>Office of the Ohio Consumers’ Counsel</w:t>
      </w:r>
    </w:p>
    <w:p w:rsidR="005D4EA5" w:rsidRPr="005D4EA5" w:rsidP="005D4EA5" w14:paraId="400B7A48" w14:textId="77777777">
      <w:pPr>
        <w:spacing w:after="0" w:line="240" w:lineRule="auto"/>
        <w:ind w:left="3600"/>
        <w:rPr>
          <w:rFonts w:eastAsia="Times New Roman"/>
          <w:b w:val="0"/>
          <w:bCs w:val="0"/>
          <w:szCs w:val="20"/>
        </w:rPr>
      </w:pPr>
      <w:r w:rsidRPr="005D4EA5">
        <w:rPr>
          <w:rFonts w:eastAsia="Times New Roman"/>
          <w:b w:val="0"/>
          <w:bCs w:val="0"/>
          <w:szCs w:val="20"/>
        </w:rPr>
        <w:t>65 East State Street, 7th Floor</w:t>
      </w:r>
    </w:p>
    <w:p w:rsidR="005D4EA5" w:rsidRPr="005D4EA5" w:rsidP="005D4EA5" w14:paraId="135EEF54" w14:textId="77777777">
      <w:pPr>
        <w:spacing w:after="0" w:line="240" w:lineRule="auto"/>
        <w:ind w:left="3600"/>
        <w:rPr>
          <w:rFonts w:eastAsia="Times New Roman"/>
          <w:b w:val="0"/>
          <w:bCs w:val="0"/>
          <w:szCs w:val="20"/>
        </w:rPr>
      </w:pPr>
      <w:r w:rsidRPr="005D4EA5">
        <w:rPr>
          <w:rFonts w:eastAsia="Times New Roman"/>
          <w:b w:val="0"/>
          <w:bCs w:val="0"/>
          <w:szCs w:val="20"/>
        </w:rPr>
        <w:t>Columbus, Ohio 43215</w:t>
      </w:r>
    </w:p>
    <w:p w:rsidR="005D4EA5" w:rsidRPr="005D4EA5" w:rsidP="005D4EA5" w14:paraId="3C1034D2" w14:textId="77777777">
      <w:pPr>
        <w:autoSpaceDE w:val="0"/>
        <w:autoSpaceDN w:val="0"/>
        <w:adjustRightInd w:val="0"/>
        <w:spacing w:after="0" w:line="240" w:lineRule="auto"/>
        <w:ind w:left="3600"/>
        <w:rPr>
          <w:rFonts w:eastAsia="Times New Roman"/>
          <w:b w:val="0"/>
          <w:bCs w:val="0"/>
        </w:rPr>
      </w:pPr>
      <w:r w:rsidRPr="005D4EA5">
        <w:rPr>
          <w:rFonts w:eastAsia="Times New Roman"/>
          <w:b w:val="0"/>
          <w:bCs w:val="0"/>
        </w:rPr>
        <w:t>Telephone [Michael]: (614) 466-1291</w:t>
      </w:r>
    </w:p>
    <w:p w:rsidR="005D4EA5" w:rsidRPr="005D4EA5" w:rsidP="005D4EA5" w14:paraId="54C724D2" w14:textId="77777777">
      <w:pPr>
        <w:autoSpaceDE w:val="0"/>
        <w:autoSpaceDN w:val="0"/>
        <w:adjustRightInd w:val="0"/>
        <w:spacing w:after="0" w:line="240" w:lineRule="auto"/>
        <w:ind w:left="3600"/>
        <w:rPr>
          <w:rFonts w:eastAsia="Times New Roman"/>
          <w:b w:val="0"/>
          <w:bCs w:val="0"/>
        </w:rPr>
      </w:pPr>
      <w:r w:rsidRPr="005D4EA5">
        <w:rPr>
          <w:rFonts w:eastAsia="Times New Roman"/>
          <w:b w:val="0"/>
          <w:bCs w:val="0"/>
        </w:rPr>
        <w:t>Telephone [Botschner O’Brien]: (614) 466-9575</w:t>
      </w:r>
    </w:p>
    <w:p w:rsidR="005D4EA5" w:rsidRPr="005D4EA5" w:rsidP="005D4EA5" w14:paraId="76DC5F88" w14:textId="77777777">
      <w:pPr>
        <w:autoSpaceDE w:val="0"/>
        <w:autoSpaceDN w:val="0"/>
        <w:adjustRightInd w:val="0"/>
        <w:spacing w:after="0" w:line="240" w:lineRule="auto"/>
        <w:ind w:left="3600"/>
        <w:contextualSpacing/>
        <w:rPr>
          <w:rFonts w:eastAsia="Calibri"/>
          <w:b w:val="0"/>
          <w:bCs w:val="0"/>
        </w:rPr>
      </w:pPr>
      <w:r w:rsidRPr="005D4EA5">
        <w:rPr>
          <w:rFonts w:eastAsia="Calibri"/>
          <w:b w:val="0"/>
          <w:bCs w:val="0"/>
        </w:rPr>
        <w:t>Telephone [Finnigan]: (614) 466-9585</w:t>
      </w:r>
    </w:p>
    <w:p w:rsidR="005D4EA5" w:rsidRPr="005D4EA5" w:rsidP="005D4EA5" w14:paraId="7F49DD0A" w14:textId="77777777">
      <w:pPr>
        <w:autoSpaceDE w:val="0"/>
        <w:autoSpaceDN w:val="0"/>
        <w:adjustRightInd w:val="0"/>
        <w:spacing w:after="0" w:line="240" w:lineRule="auto"/>
        <w:contextualSpacing/>
        <w:rPr>
          <w:rFonts w:eastAsia="Calibri"/>
          <w:b w:val="0"/>
          <w:bCs w:val="0"/>
        </w:rPr>
      </w:pPr>
      <w:r w:rsidRPr="005D4EA5">
        <w:rPr>
          <w:rFonts w:eastAsia="Calibri"/>
          <w:b w:val="0"/>
          <w:bCs w:val="0"/>
        </w:rPr>
        <w:tab/>
      </w:r>
      <w:r w:rsidRPr="005D4EA5">
        <w:rPr>
          <w:rFonts w:eastAsia="Calibri"/>
          <w:b w:val="0"/>
          <w:bCs w:val="0"/>
        </w:rPr>
        <w:tab/>
      </w:r>
      <w:r w:rsidRPr="005D4EA5">
        <w:rPr>
          <w:rFonts w:eastAsia="Calibri"/>
          <w:b w:val="0"/>
          <w:bCs w:val="0"/>
        </w:rPr>
        <w:tab/>
      </w:r>
      <w:r w:rsidRPr="005D4EA5">
        <w:rPr>
          <w:rFonts w:eastAsia="Calibri"/>
          <w:b w:val="0"/>
          <w:bCs w:val="0"/>
        </w:rPr>
        <w:tab/>
      </w:r>
      <w:r w:rsidRPr="005D4EA5">
        <w:rPr>
          <w:rFonts w:eastAsia="Calibri"/>
          <w:b w:val="0"/>
          <w:bCs w:val="0"/>
        </w:rPr>
        <w:tab/>
      </w:r>
      <w:hyperlink r:id="rId6" w:history="1">
        <w:r w:rsidRPr="005D4EA5">
          <w:rPr>
            <w:rFonts w:eastAsia="Calibri"/>
            <w:b w:val="0"/>
            <w:bCs w:val="0"/>
            <w:color w:val="0000FF"/>
            <w:u w:val="single"/>
          </w:rPr>
          <w:t>william.michael@occ.ohio.gov</w:t>
        </w:r>
      </w:hyperlink>
    </w:p>
    <w:p w:rsidR="005D4EA5" w:rsidRPr="005D4EA5" w:rsidP="005D4EA5" w14:paraId="4FB1B38E" w14:textId="77777777">
      <w:pPr>
        <w:autoSpaceDE w:val="0"/>
        <w:autoSpaceDN w:val="0"/>
        <w:adjustRightInd w:val="0"/>
        <w:spacing w:after="0" w:line="240" w:lineRule="auto"/>
        <w:ind w:left="2880" w:firstLine="720"/>
        <w:rPr>
          <w:rFonts w:eastAsia="Times New Roman"/>
          <w:b w:val="0"/>
          <w:bCs w:val="0"/>
          <w:color w:val="0000FF"/>
          <w:u w:val="single"/>
        </w:rPr>
      </w:pPr>
      <w:r w:rsidRPr="005D4EA5">
        <w:rPr>
          <w:rFonts w:eastAsia="Times New Roman"/>
          <w:b w:val="0"/>
          <w:bCs w:val="0"/>
          <w:color w:val="0000FF"/>
          <w:u w:val="single"/>
        </w:rPr>
        <w:t xml:space="preserve">amy.botschner.obrien@occ.ohio.gov </w:t>
      </w:r>
    </w:p>
    <w:p w:rsidR="005D4EA5" w:rsidRPr="005D4EA5" w:rsidP="005D4EA5" w14:paraId="6F423037" w14:textId="77777777">
      <w:pPr>
        <w:autoSpaceDE w:val="0"/>
        <w:autoSpaceDN w:val="0"/>
        <w:adjustRightInd w:val="0"/>
        <w:spacing w:after="0" w:line="240" w:lineRule="auto"/>
        <w:contextualSpacing/>
        <w:rPr>
          <w:rFonts w:eastAsia="Calibri"/>
          <w:b w:val="0"/>
          <w:bCs w:val="0"/>
          <w:color w:val="0000FF"/>
          <w:u w:val="single"/>
        </w:rPr>
      </w:pPr>
      <w:r w:rsidRPr="005D4EA5">
        <w:rPr>
          <w:rFonts w:eastAsia="Calibri"/>
          <w:b w:val="0"/>
          <w:bCs w:val="0"/>
          <w:color w:val="0000FF"/>
        </w:rPr>
        <w:tab/>
      </w:r>
      <w:r w:rsidRPr="005D4EA5">
        <w:rPr>
          <w:rFonts w:eastAsia="Calibri"/>
          <w:b w:val="0"/>
          <w:bCs w:val="0"/>
          <w:color w:val="0000FF"/>
        </w:rPr>
        <w:tab/>
      </w:r>
      <w:r w:rsidRPr="005D4EA5">
        <w:rPr>
          <w:rFonts w:eastAsia="Calibri"/>
          <w:b w:val="0"/>
          <w:bCs w:val="0"/>
          <w:color w:val="0000FF"/>
        </w:rPr>
        <w:tab/>
      </w:r>
      <w:r w:rsidRPr="005D4EA5">
        <w:rPr>
          <w:rFonts w:eastAsia="Calibri"/>
          <w:b w:val="0"/>
          <w:bCs w:val="0"/>
          <w:color w:val="0000FF"/>
        </w:rPr>
        <w:tab/>
      </w:r>
      <w:r w:rsidRPr="005D4EA5">
        <w:rPr>
          <w:rFonts w:eastAsia="Calibri"/>
          <w:b w:val="0"/>
          <w:bCs w:val="0"/>
          <w:color w:val="0000FF"/>
        </w:rPr>
        <w:tab/>
      </w:r>
      <w:hyperlink r:id="rId7" w:history="1">
        <w:r w:rsidRPr="005D4EA5">
          <w:rPr>
            <w:rFonts w:eastAsia="Calibri"/>
            <w:b w:val="0"/>
            <w:bCs w:val="0"/>
            <w:color w:val="0000FF"/>
            <w:u w:val="single"/>
          </w:rPr>
          <w:t>john.finnigan@occ.ohio.gov</w:t>
        </w:r>
      </w:hyperlink>
    </w:p>
    <w:p w:rsidR="005D4EA5" w:rsidRPr="005D4EA5" w:rsidP="005D4EA5" w14:paraId="5940A1D2" w14:textId="77777777">
      <w:pPr>
        <w:autoSpaceDE w:val="0"/>
        <w:autoSpaceDN w:val="0"/>
        <w:adjustRightInd w:val="0"/>
        <w:spacing w:after="0" w:line="240" w:lineRule="auto"/>
        <w:ind w:left="3600"/>
        <w:contextualSpacing/>
        <w:rPr>
          <w:rFonts w:eastAsia="Calibri"/>
          <w:b w:val="0"/>
          <w:bCs w:val="0"/>
        </w:rPr>
      </w:pPr>
      <w:r w:rsidRPr="005D4EA5">
        <w:rPr>
          <w:rFonts w:eastAsia="Calibri"/>
          <w:b w:val="0"/>
          <w:bCs w:val="0"/>
        </w:rPr>
        <w:t>(willing to accept service by e-mail)</w:t>
      </w:r>
    </w:p>
    <w:p w:rsidR="00531B59" w:rsidRPr="00531B59" w:rsidP="00531B59" w14:paraId="27ECA3FD" w14:textId="77777777">
      <w:pPr>
        <w:spacing w:after="0" w:line="240" w:lineRule="auto"/>
        <w:rPr>
          <w:b w:val="0"/>
          <w:bCs w:val="0"/>
        </w:rPr>
      </w:pPr>
      <w:r w:rsidRPr="00531B59">
        <w:rPr>
          <w:b w:val="0"/>
          <w:bCs w:val="0"/>
        </w:rPr>
        <w:tab/>
      </w:r>
      <w:r w:rsidRPr="00531B59">
        <w:rPr>
          <w:b w:val="0"/>
          <w:bCs w:val="0"/>
        </w:rPr>
        <w:tab/>
      </w:r>
      <w:r w:rsidRPr="00531B59">
        <w:rPr>
          <w:b w:val="0"/>
          <w:bCs w:val="0"/>
        </w:rPr>
        <w:tab/>
      </w:r>
      <w:r w:rsidRPr="00531B59">
        <w:rPr>
          <w:b w:val="0"/>
          <w:bCs w:val="0"/>
        </w:rPr>
        <w:tab/>
      </w:r>
      <w:r w:rsidRPr="00531B59">
        <w:rPr>
          <w:b w:val="0"/>
          <w:bCs w:val="0"/>
        </w:rPr>
        <w:tab/>
      </w:r>
      <w:r w:rsidRPr="00531B59">
        <w:rPr>
          <w:b w:val="0"/>
          <w:bCs w:val="0"/>
        </w:rPr>
        <w:tab/>
      </w:r>
    </w:p>
    <w:p w:rsidR="00531B59" w:rsidRPr="00531B59" w:rsidP="00531B59" w14:paraId="3C5BD882" w14:textId="77777777">
      <w:pPr>
        <w:spacing w:after="0" w:line="240" w:lineRule="auto"/>
        <w:jc w:val="center"/>
        <w:rPr>
          <w:u w:val="single"/>
        </w:rPr>
        <w:sectPr w:rsidSect="005D4EA5">
          <w:headerReference w:type="default" r:id="rId10"/>
          <w:footerReference w:type="default" r:id="rId11"/>
          <w:pgSz w:w="12240" w:h="15840"/>
          <w:pgMar w:top="1440" w:right="1440" w:bottom="1440" w:left="1440" w:header="720" w:footer="720" w:gutter="0"/>
          <w:pgNumType w:start="1"/>
          <w:cols w:space="720"/>
          <w:docGrid w:linePitch="360"/>
        </w:sectPr>
      </w:pPr>
    </w:p>
    <w:p w:rsidR="00531B59" w:rsidRPr="00531B59" w:rsidP="00531B59" w14:paraId="2A8DC487" w14:textId="77777777">
      <w:pPr>
        <w:spacing w:after="0" w:line="240" w:lineRule="auto"/>
        <w:jc w:val="center"/>
        <w:rPr>
          <w:u w:val="single"/>
        </w:rPr>
      </w:pPr>
      <w:r w:rsidRPr="00531B59">
        <w:rPr>
          <w:u w:val="single"/>
        </w:rPr>
        <w:t>CERTIFICATE OF SERVICE</w:t>
      </w:r>
    </w:p>
    <w:p w:rsidR="00531B59" w:rsidRPr="00531B59" w:rsidP="00531B59" w14:paraId="1BB92598" w14:textId="77777777">
      <w:pPr>
        <w:spacing w:after="0" w:line="240" w:lineRule="auto"/>
        <w:jc w:val="center"/>
        <w:rPr>
          <w:u w:val="single"/>
        </w:rPr>
      </w:pPr>
    </w:p>
    <w:p w:rsidR="00531B59" w:rsidRPr="00531B59" w:rsidP="00531B59" w14:paraId="28E3F4B0" w14:textId="479A0065">
      <w:pPr>
        <w:spacing w:after="0" w:line="480" w:lineRule="auto"/>
        <w:rPr>
          <w:b w:val="0"/>
          <w:bCs w:val="0"/>
        </w:rPr>
      </w:pPr>
      <w:r w:rsidRPr="00531B59">
        <w:rPr>
          <w:b w:val="0"/>
          <w:bCs w:val="0"/>
        </w:rPr>
        <w:tab/>
        <w:t xml:space="preserve">I hereby certify that a copy of these Initial Comments were served on the persons stated below via electric </w:t>
      </w:r>
      <w:r w:rsidRPr="005D4EA5">
        <w:rPr>
          <w:b w:val="0"/>
          <w:bCs w:val="0"/>
        </w:rPr>
        <w:t xml:space="preserve">transmission this </w:t>
      </w:r>
      <w:r w:rsidRPr="005D4EA5" w:rsidR="005D4EA5">
        <w:rPr>
          <w:b w:val="0"/>
          <w:bCs w:val="0"/>
        </w:rPr>
        <w:t>5th</w:t>
      </w:r>
      <w:r w:rsidRPr="005D4EA5">
        <w:rPr>
          <w:b w:val="0"/>
          <w:bCs w:val="0"/>
        </w:rPr>
        <w:t xml:space="preserve"> day of </w:t>
      </w:r>
      <w:r w:rsidRPr="005D4EA5" w:rsidR="005D4EA5">
        <w:rPr>
          <w:b w:val="0"/>
          <w:bCs w:val="0"/>
        </w:rPr>
        <w:t>January</w:t>
      </w:r>
      <w:r w:rsidRPr="005D4EA5">
        <w:rPr>
          <w:b w:val="0"/>
          <w:bCs w:val="0"/>
        </w:rPr>
        <w:t xml:space="preserve"> 202</w:t>
      </w:r>
      <w:r w:rsidRPr="005D4EA5" w:rsidR="005D4EA5">
        <w:rPr>
          <w:b w:val="0"/>
          <w:bCs w:val="0"/>
        </w:rPr>
        <w:t>1</w:t>
      </w:r>
      <w:r w:rsidRPr="005D4EA5">
        <w:rPr>
          <w:b w:val="0"/>
          <w:bCs w:val="0"/>
        </w:rPr>
        <w:t>.</w:t>
      </w:r>
    </w:p>
    <w:p w:rsidR="00531B59" w:rsidRPr="00531B59" w:rsidP="00531B59" w14:paraId="3A9AA883" w14:textId="77777777">
      <w:pPr>
        <w:spacing w:after="0" w:line="240" w:lineRule="auto"/>
        <w:rPr>
          <w:b w:val="0"/>
          <w:bCs w:val="0"/>
        </w:rPr>
      </w:pPr>
    </w:p>
    <w:p w:rsidR="00531B59" w:rsidRPr="005D4EA5" w:rsidP="00531B59" w14:paraId="5A3F7E68" w14:textId="44966FC1">
      <w:pPr>
        <w:spacing w:after="0" w:line="240" w:lineRule="auto"/>
        <w:rPr>
          <w:b w:val="0"/>
          <w:bCs w:val="0"/>
          <w:i/>
          <w:iCs/>
          <w:u w:val="single"/>
        </w:rPr>
      </w:pPr>
      <w:r w:rsidRPr="00531B59">
        <w:rPr>
          <w:b w:val="0"/>
          <w:bCs w:val="0"/>
        </w:rPr>
        <w:tab/>
      </w:r>
      <w:r w:rsidRPr="00531B59">
        <w:rPr>
          <w:b w:val="0"/>
          <w:bCs w:val="0"/>
        </w:rPr>
        <w:tab/>
      </w:r>
      <w:r w:rsidRPr="00531B59">
        <w:rPr>
          <w:b w:val="0"/>
          <w:bCs w:val="0"/>
        </w:rPr>
        <w:tab/>
      </w:r>
      <w:r w:rsidRPr="00531B59">
        <w:rPr>
          <w:b w:val="0"/>
          <w:bCs w:val="0"/>
        </w:rPr>
        <w:tab/>
      </w:r>
      <w:r w:rsidRPr="00531B59">
        <w:rPr>
          <w:b w:val="0"/>
          <w:bCs w:val="0"/>
        </w:rPr>
        <w:tab/>
      </w:r>
      <w:r w:rsidRPr="00531B59">
        <w:rPr>
          <w:b w:val="0"/>
          <w:bCs w:val="0"/>
        </w:rPr>
        <w:tab/>
      </w:r>
      <w:r w:rsidRPr="005D4EA5">
        <w:rPr>
          <w:b w:val="0"/>
          <w:bCs w:val="0"/>
          <w:i/>
          <w:iCs/>
          <w:u w:val="single"/>
        </w:rPr>
        <w:t>/s</w:t>
      </w:r>
      <w:r w:rsidRPr="005D4EA5" w:rsidR="005D4EA5">
        <w:rPr>
          <w:b w:val="0"/>
          <w:bCs w:val="0"/>
          <w:i/>
          <w:iCs/>
          <w:u w:val="single"/>
        </w:rPr>
        <w:t>/ William J. Michael</w:t>
      </w:r>
      <w:r w:rsidRPr="005D4EA5" w:rsidR="005D4EA5">
        <w:rPr>
          <w:b w:val="0"/>
          <w:bCs w:val="0"/>
          <w:i/>
          <w:iCs/>
          <w:u w:val="single"/>
        </w:rPr>
        <w:tab/>
      </w:r>
      <w:r w:rsidRPr="005D4EA5" w:rsidR="005D4EA5">
        <w:rPr>
          <w:b w:val="0"/>
          <w:bCs w:val="0"/>
          <w:i/>
          <w:iCs/>
          <w:u w:val="single"/>
        </w:rPr>
        <w:tab/>
      </w:r>
    </w:p>
    <w:p w:rsidR="00531B59" w:rsidRPr="005D4EA5" w:rsidP="00531B59" w14:paraId="50E14D4C" w14:textId="3CEB1DCF">
      <w:pPr>
        <w:spacing w:after="0" w:line="240" w:lineRule="auto"/>
        <w:rPr>
          <w:b w:val="0"/>
          <w:bCs w:val="0"/>
        </w:rPr>
      </w:pPr>
      <w:r w:rsidRPr="005D4EA5">
        <w:rPr>
          <w:b w:val="0"/>
          <w:bCs w:val="0"/>
        </w:rPr>
        <w:tab/>
      </w:r>
      <w:r w:rsidRPr="005D4EA5">
        <w:rPr>
          <w:b w:val="0"/>
          <w:bCs w:val="0"/>
        </w:rPr>
        <w:tab/>
      </w:r>
      <w:r w:rsidRPr="005D4EA5">
        <w:rPr>
          <w:b w:val="0"/>
          <w:bCs w:val="0"/>
        </w:rPr>
        <w:tab/>
      </w:r>
      <w:r w:rsidRPr="005D4EA5">
        <w:rPr>
          <w:b w:val="0"/>
          <w:bCs w:val="0"/>
        </w:rPr>
        <w:tab/>
      </w:r>
      <w:r w:rsidRPr="005D4EA5">
        <w:rPr>
          <w:b w:val="0"/>
          <w:bCs w:val="0"/>
        </w:rPr>
        <w:tab/>
      </w:r>
      <w:r w:rsidRPr="005D4EA5">
        <w:rPr>
          <w:b w:val="0"/>
          <w:bCs w:val="0"/>
        </w:rPr>
        <w:tab/>
      </w:r>
      <w:r w:rsidRPr="005D4EA5" w:rsidR="005D4EA5">
        <w:rPr>
          <w:b w:val="0"/>
          <w:bCs w:val="0"/>
        </w:rPr>
        <w:t>William J. Michael</w:t>
      </w:r>
    </w:p>
    <w:p w:rsidR="00531B59" w:rsidRPr="00531B59" w:rsidP="00531B59" w14:paraId="6E5F3D90" w14:textId="77777777">
      <w:pPr>
        <w:spacing w:after="0" w:line="240" w:lineRule="auto"/>
        <w:rPr>
          <w:b w:val="0"/>
          <w:bCs w:val="0"/>
        </w:rPr>
      </w:pPr>
      <w:r w:rsidRPr="005D4EA5">
        <w:rPr>
          <w:b w:val="0"/>
          <w:bCs w:val="0"/>
        </w:rPr>
        <w:tab/>
      </w:r>
      <w:r w:rsidRPr="005D4EA5">
        <w:rPr>
          <w:b w:val="0"/>
          <w:bCs w:val="0"/>
        </w:rPr>
        <w:tab/>
      </w:r>
      <w:r w:rsidRPr="005D4EA5">
        <w:rPr>
          <w:b w:val="0"/>
          <w:bCs w:val="0"/>
        </w:rPr>
        <w:tab/>
      </w:r>
      <w:r w:rsidRPr="005D4EA5">
        <w:rPr>
          <w:b w:val="0"/>
          <w:bCs w:val="0"/>
        </w:rPr>
        <w:tab/>
      </w:r>
      <w:r w:rsidRPr="005D4EA5">
        <w:rPr>
          <w:b w:val="0"/>
          <w:bCs w:val="0"/>
        </w:rPr>
        <w:tab/>
      </w:r>
      <w:r w:rsidRPr="005D4EA5">
        <w:rPr>
          <w:b w:val="0"/>
          <w:bCs w:val="0"/>
        </w:rPr>
        <w:tab/>
        <w:t>Assistant Consumers’ Counsel</w:t>
      </w:r>
    </w:p>
    <w:p w:rsidR="00531B59" w:rsidRPr="00531B59" w:rsidP="00531B59" w14:paraId="56C9BF2A" w14:textId="77777777">
      <w:pPr>
        <w:spacing w:after="0" w:line="240" w:lineRule="auto"/>
        <w:rPr>
          <w:b w:val="0"/>
          <w:bCs w:val="0"/>
        </w:rPr>
      </w:pPr>
    </w:p>
    <w:p w:rsidR="005D4EA5" w:rsidRPr="005D4EA5" w:rsidP="005D4EA5" w14:paraId="23284339" w14:textId="77777777">
      <w:pPr>
        <w:spacing w:after="0" w:line="240" w:lineRule="auto"/>
        <w:rPr>
          <w:rFonts w:eastAsia="Times New Roman"/>
          <w:b w:val="0"/>
          <w:bCs w:val="0"/>
        </w:rPr>
      </w:pPr>
      <w:r w:rsidRPr="005D4EA5">
        <w:rPr>
          <w:rFonts w:eastAsia="Times New Roman"/>
          <w:b w:val="0"/>
          <w:bCs w:val="0"/>
        </w:rPr>
        <w:t>The PUCO’s e-filing system will electronically serve notice of the filing of this document on the following parties:</w:t>
      </w:r>
    </w:p>
    <w:p w:rsidR="005D4EA5" w:rsidRPr="005D4EA5" w:rsidP="005D4EA5" w14:paraId="5AA79D33" w14:textId="77777777">
      <w:pPr>
        <w:widowControl w:val="0"/>
        <w:autoSpaceDE w:val="0"/>
        <w:autoSpaceDN w:val="0"/>
        <w:adjustRightInd w:val="0"/>
        <w:spacing w:after="0" w:line="240" w:lineRule="auto"/>
        <w:rPr>
          <w:rFonts w:eastAsia="Times New Roman"/>
        </w:rPr>
      </w:pPr>
    </w:p>
    <w:p w:rsidR="005D4EA5" w:rsidRPr="005D4EA5" w:rsidP="005D4EA5" w14:paraId="6B468FE8" w14:textId="77777777">
      <w:pPr>
        <w:spacing w:after="0" w:line="240" w:lineRule="auto"/>
        <w:jc w:val="center"/>
        <w:rPr>
          <w:rFonts w:eastAsia="Times New Roman"/>
          <w:bCs w:val="0"/>
          <w:u w:val="single"/>
        </w:rPr>
      </w:pPr>
      <w:r w:rsidRPr="005D4EA5">
        <w:rPr>
          <w:rFonts w:eastAsia="Times New Roman"/>
          <w:bCs w:val="0"/>
          <w:u w:val="single"/>
        </w:rPr>
        <w:t>SERVICE LIST</w:t>
      </w:r>
    </w:p>
    <w:p w:rsidR="005D4EA5" w:rsidRPr="005D4EA5" w:rsidP="005D4EA5" w14:paraId="0D0BA415" w14:textId="77777777">
      <w:pPr>
        <w:spacing w:after="0" w:line="480" w:lineRule="auto"/>
        <w:rPr>
          <w:rFonts w:eastAsia="Times New Roman"/>
          <w:b w:val="0"/>
        </w:rPr>
      </w:pPr>
    </w:p>
    <w:tbl>
      <w:tblPr>
        <w:tblW w:w="0" w:type="auto"/>
        <w:tblLook w:val="01E0"/>
      </w:tblPr>
      <w:tblGrid>
        <w:gridCol w:w="4428"/>
        <w:gridCol w:w="4428"/>
      </w:tblGrid>
      <w:tr w14:paraId="2CB3BC58" w14:textId="77777777" w:rsidTr="0012149B">
        <w:tblPrEx>
          <w:tblW w:w="0" w:type="auto"/>
          <w:tblLook w:val="01E0"/>
        </w:tblPrEx>
        <w:tc>
          <w:tcPr>
            <w:tcW w:w="4428" w:type="dxa"/>
            <w:shd w:val="clear" w:color="auto" w:fill="auto"/>
          </w:tcPr>
          <w:p w:rsidR="005D4EA5" w:rsidRPr="005D4EA5" w:rsidP="005D4EA5" w14:paraId="12A26338" w14:textId="77777777">
            <w:pPr>
              <w:spacing w:after="0" w:line="240" w:lineRule="auto"/>
              <w:rPr>
                <w:rFonts w:eastAsia="Times New Roman"/>
                <w:b w:val="0"/>
                <w:color w:val="0000FF"/>
                <w:u w:val="single"/>
              </w:rPr>
            </w:pPr>
            <w:hyperlink r:id="rId12" w:history="1">
              <w:r w:rsidRPr="005D4EA5">
                <w:rPr>
                  <w:rFonts w:eastAsia="Times New Roman"/>
                  <w:b w:val="0"/>
                  <w:bCs w:val="0"/>
                  <w:color w:val="0000FF"/>
                  <w:u w:val="single"/>
                </w:rPr>
                <w:t>kyle</w:t>
              </w:r>
              <w:r w:rsidRPr="005D4EA5">
                <w:rPr>
                  <w:rFonts w:eastAsia="Times New Roman"/>
                  <w:b w:val="0"/>
                  <w:color w:val="0000FF"/>
                  <w:u w:val="single"/>
                </w:rPr>
                <w:t>.kern@ohioattorneygeneral.gov</w:t>
              </w:r>
            </w:hyperlink>
          </w:p>
          <w:p w:rsidR="005D4EA5" w:rsidRPr="005D4EA5" w:rsidP="005D4EA5" w14:paraId="7AC5078C" w14:textId="77777777">
            <w:pPr>
              <w:spacing w:after="0" w:line="240" w:lineRule="auto"/>
              <w:rPr>
                <w:rFonts w:eastAsia="Times New Roman"/>
                <w:b w:val="0"/>
                <w:color w:val="0000FF"/>
                <w:u w:val="single"/>
              </w:rPr>
            </w:pPr>
            <w:hyperlink r:id="rId13" w:history="1">
              <w:r w:rsidRPr="005D4EA5">
                <w:rPr>
                  <w:rFonts w:eastAsia="Times New Roman"/>
                  <w:b w:val="0"/>
                  <w:color w:val="0000FF"/>
                  <w:u w:val="single"/>
                </w:rPr>
                <w:t>thomas.lindgren@ohioattorneygeneral.gov</w:t>
              </w:r>
            </w:hyperlink>
          </w:p>
          <w:p w:rsidR="00881181" w:rsidP="005D4EA5" w14:paraId="3F3FF1F6" w14:textId="77777777">
            <w:pPr>
              <w:spacing w:after="0" w:line="480" w:lineRule="auto"/>
              <w:rPr>
                <w:rFonts w:eastAsia="Times New Roman"/>
                <w:b w:val="0"/>
              </w:rPr>
            </w:pPr>
          </w:p>
          <w:p w:rsidR="005D4EA5" w:rsidRPr="005D4EA5" w:rsidP="00881181" w14:paraId="167E1A71" w14:textId="284A237B">
            <w:pPr>
              <w:spacing w:after="0" w:line="240" w:lineRule="auto"/>
              <w:rPr>
                <w:rFonts w:eastAsia="Times New Roman"/>
                <w:b w:val="0"/>
              </w:rPr>
            </w:pPr>
            <w:r w:rsidRPr="005D4EA5">
              <w:rPr>
                <w:rFonts w:eastAsia="Times New Roman"/>
                <w:b w:val="0"/>
              </w:rPr>
              <w:t>Attorney Examiners:</w:t>
            </w:r>
          </w:p>
          <w:p w:rsidR="005D4EA5" w:rsidRPr="005D4EA5" w:rsidP="005D4EA5" w14:paraId="7EC911FA" w14:textId="77777777">
            <w:pPr>
              <w:spacing w:after="0" w:line="240" w:lineRule="auto"/>
              <w:rPr>
                <w:rFonts w:eastAsia="Times New Roman"/>
                <w:b w:val="0"/>
              </w:rPr>
            </w:pPr>
            <w:hyperlink r:id="rId14" w:history="1">
              <w:r w:rsidRPr="005D4EA5">
                <w:rPr>
                  <w:rFonts w:eastAsia="Times New Roman"/>
                  <w:b w:val="0"/>
                  <w:bCs w:val="0"/>
                  <w:color w:val="0000FF"/>
                  <w:u w:val="single"/>
                </w:rPr>
                <w:t>p</w:t>
              </w:r>
              <w:r w:rsidRPr="005D4EA5">
                <w:rPr>
                  <w:rFonts w:eastAsia="Times New Roman"/>
                  <w:b w:val="0"/>
                  <w:bCs w:val="0"/>
                  <w:color w:val="0000FF"/>
                  <w:szCs w:val="20"/>
                  <w:u w:val="single"/>
                </w:rPr>
                <w:t>atricia</w:t>
              </w:r>
              <w:r w:rsidRPr="005D4EA5">
                <w:rPr>
                  <w:rFonts w:eastAsia="Times New Roman"/>
                  <w:b w:val="0"/>
                  <w:color w:val="0000FF"/>
                  <w:u w:val="single"/>
                </w:rPr>
                <w:t>.schabo@puco.ohio.gov</w:t>
              </w:r>
            </w:hyperlink>
          </w:p>
          <w:p w:rsidR="005D4EA5" w:rsidRPr="005D4EA5" w:rsidP="00881181" w14:paraId="243C4597" w14:textId="70F53A50">
            <w:pPr>
              <w:spacing w:after="0" w:line="480" w:lineRule="auto"/>
              <w:rPr>
                <w:rFonts w:eastAsia="Times New Roman"/>
                <w:b w:val="0"/>
              </w:rPr>
            </w:pPr>
            <w:hyperlink r:id="rId15" w:history="1">
              <w:r w:rsidRPr="005D4EA5">
                <w:rPr>
                  <w:rFonts w:eastAsia="Times New Roman"/>
                  <w:b w:val="0"/>
                  <w:color w:val="0000FF"/>
                  <w:u w:val="single"/>
                </w:rPr>
                <w:t>michael</w:t>
              </w:r>
              <w:r w:rsidRPr="005D4EA5">
                <w:rPr>
                  <w:rFonts w:eastAsia="Times New Roman"/>
                  <w:b w:val="0"/>
                  <w:color w:val="0000FF"/>
                  <w:szCs w:val="20"/>
                  <w:u w:val="single"/>
                </w:rPr>
                <w:t>.williams@puco.ohio.gov</w:t>
              </w:r>
            </w:hyperlink>
          </w:p>
        </w:tc>
        <w:tc>
          <w:tcPr>
            <w:tcW w:w="4428" w:type="dxa"/>
            <w:shd w:val="clear" w:color="auto" w:fill="auto"/>
          </w:tcPr>
          <w:p w:rsidR="005D4EA5" w:rsidRPr="005D4EA5" w:rsidP="005D4EA5" w14:paraId="37467359" w14:textId="77777777">
            <w:pPr>
              <w:autoSpaceDE w:val="0"/>
              <w:autoSpaceDN w:val="0"/>
              <w:adjustRightInd w:val="0"/>
              <w:spacing w:after="0" w:line="240" w:lineRule="auto"/>
              <w:ind w:left="1247"/>
              <w:rPr>
                <w:rFonts w:eastAsia="Times New Roman"/>
                <w:b w:val="0"/>
              </w:rPr>
            </w:pPr>
            <w:hyperlink r:id="rId16" w:history="1">
              <w:r w:rsidRPr="005D4EA5">
                <w:rPr>
                  <w:rFonts w:eastAsia="Times New Roman"/>
                  <w:b w:val="0"/>
                  <w:color w:val="0000FF"/>
                  <w:u w:val="single"/>
                </w:rPr>
                <w:t>michael.schuler@aes.com</w:t>
              </w:r>
            </w:hyperlink>
          </w:p>
          <w:p w:rsidR="005D4EA5" w:rsidRPr="005D4EA5" w:rsidP="005D4EA5" w14:paraId="24C3DE5F" w14:textId="77777777">
            <w:pPr>
              <w:autoSpaceDE w:val="0"/>
              <w:autoSpaceDN w:val="0"/>
              <w:adjustRightInd w:val="0"/>
              <w:spacing w:after="0" w:line="240" w:lineRule="auto"/>
              <w:ind w:left="1247"/>
              <w:rPr>
                <w:rFonts w:eastAsia="Times New Roman"/>
                <w:b w:val="0"/>
                <w:color w:val="0000FF"/>
                <w:u w:val="single"/>
              </w:rPr>
            </w:pPr>
          </w:p>
          <w:p w:rsidR="005D4EA5" w:rsidRPr="005D4EA5" w:rsidP="005D4EA5" w14:paraId="0936AF77" w14:textId="77777777">
            <w:pPr>
              <w:autoSpaceDE w:val="0"/>
              <w:autoSpaceDN w:val="0"/>
              <w:adjustRightInd w:val="0"/>
              <w:spacing w:after="0" w:line="240" w:lineRule="auto"/>
              <w:ind w:left="1247"/>
              <w:rPr>
                <w:rFonts w:eastAsia="Times New Roman"/>
                <w:b w:val="0"/>
              </w:rPr>
            </w:pPr>
          </w:p>
          <w:p w:rsidR="005D4EA5" w:rsidRPr="005D4EA5" w:rsidP="005D4EA5" w14:paraId="11F6309D" w14:textId="77777777">
            <w:pPr>
              <w:autoSpaceDE w:val="0"/>
              <w:autoSpaceDN w:val="0"/>
              <w:adjustRightInd w:val="0"/>
              <w:spacing w:after="0" w:line="240" w:lineRule="auto"/>
              <w:rPr>
                <w:rFonts w:eastAsia="Times New Roman"/>
                <w:b w:val="0"/>
              </w:rPr>
            </w:pPr>
          </w:p>
        </w:tc>
      </w:tr>
    </w:tbl>
    <w:p w:rsidR="00531B59" w:rsidRPr="00531B59" w:rsidP="00531B59" w14:paraId="70C67C13" w14:textId="77777777">
      <w:pPr>
        <w:spacing w:after="0" w:line="240" w:lineRule="auto"/>
        <w:jc w:val="center"/>
        <w:rPr>
          <w:b w:val="0"/>
          <w:bCs w:val="0"/>
        </w:rPr>
      </w:pPr>
    </w:p>
    <w:p w:rsidR="007E77EB" w:rsidP="007E77EB" w14:paraId="2A51A3B9" w14:textId="77777777">
      <w:pPr>
        <w:spacing w:after="0" w:line="240" w:lineRule="auto"/>
        <w:ind w:firstLine="720"/>
        <w:jc w:val="center"/>
        <w:rPr>
          <w:bCs w:val="0"/>
        </w:rPr>
      </w:pPr>
    </w:p>
    <w:p w:rsidR="007E77EB" w:rsidP="007E77EB" w14:paraId="1902AD80" w14:textId="77777777">
      <w:pPr>
        <w:spacing w:after="0" w:line="240" w:lineRule="auto"/>
        <w:ind w:firstLine="720"/>
        <w:jc w:val="center"/>
        <w:rPr>
          <w:bCs w:val="0"/>
        </w:rPr>
      </w:pPr>
    </w:p>
    <w:p w:rsidR="007E77EB" w:rsidP="007E77EB" w14:paraId="16C6D14F" w14:textId="77777777">
      <w:pPr>
        <w:spacing w:after="0" w:line="240" w:lineRule="auto"/>
        <w:ind w:firstLine="720"/>
        <w:jc w:val="center"/>
        <w:rPr>
          <w:bCs w:val="0"/>
        </w:rPr>
      </w:pPr>
    </w:p>
    <w:p w:rsidR="007E77EB" w:rsidP="007E77EB" w14:paraId="645873F3" w14:textId="77777777">
      <w:pPr>
        <w:spacing w:after="0" w:line="240" w:lineRule="auto"/>
        <w:ind w:firstLine="720"/>
        <w:jc w:val="center"/>
        <w:rPr>
          <w:bCs w:val="0"/>
        </w:rPr>
      </w:pPr>
    </w:p>
    <w:p w:rsidR="007E77EB" w:rsidP="007E77EB" w14:paraId="30653095" w14:textId="77777777">
      <w:pPr>
        <w:spacing w:after="0" w:line="240" w:lineRule="auto"/>
        <w:ind w:firstLine="720"/>
        <w:jc w:val="center"/>
        <w:rPr>
          <w:bCs w:val="0"/>
        </w:rPr>
      </w:pPr>
    </w:p>
    <w:p w:rsidR="007E77EB" w:rsidP="007E77EB" w14:paraId="35058EE9" w14:textId="77777777">
      <w:pPr>
        <w:spacing w:after="0" w:line="240" w:lineRule="auto"/>
        <w:ind w:firstLine="720"/>
        <w:jc w:val="center"/>
        <w:rPr>
          <w:bCs w:val="0"/>
        </w:rPr>
      </w:pPr>
    </w:p>
    <w:p w:rsidR="007E77EB" w:rsidP="007E77EB" w14:paraId="31483EC3" w14:textId="77777777">
      <w:pPr>
        <w:spacing w:after="0" w:line="240" w:lineRule="auto"/>
        <w:ind w:firstLine="720"/>
        <w:jc w:val="center"/>
        <w:rPr>
          <w:bCs w:val="0"/>
        </w:rPr>
      </w:pPr>
    </w:p>
    <w:p w:rsidR="007E77EB" w:rsidP="007E77EB" w14:paraId="3B9C8892" w14:textId="77777777">
      <w:pPr>
        <w:spacing w:after="0" w:line="240" w:lineRule="auto"/>
        <w:ind w:firstLine="720"/>
        <w:jc w:val="center"/>
        <w:rPr>
          <w:bCs w:val="0"/>
        </w:rPr>
      </w:pPr>
    </w:p>
    <w:p w:rsidR="007E77EB" w:rsidP="007E77EB" w14:paraId="7F3018AF" w14:textId="77777777">
      <w:pPr>
        <w:spacing w:after="0" w:line="240" w:lineRule="auto"/>
        <w:ind w:firstLine="720"/>
        <w:jc w:val="center"/>
        <w:rPr>
          <w:bCs w:val="0"/>
        </w:rPr>
      </w:pPr>
    </w:p>
    <w:p w:rsidR="007E77EB" w:rsidP="007E77EB" w14:paraId="732FF4FF" w14:textId="77777777">
      <w:pPr>
        <w:spacing w:after="0" w:line="240" w:lineRule="auto"/>
        <w:ind w:firstLine="720"/>
        <w:jc w:val="center"/>
        <w:rPr>
          <w:bCs w:val="0"/>
        </w:rPr>
      </w:pPr>
    </w:p>
    <w:p w:rsidR="007E77EB" w:rsidP="007E77EB" w14:paraId="11D6CB8F" w14:textId="77777777">
      <w:pPr>
        <w:spacing w:after="0" w:line="240" w:lineRule="auto"/>
        <w:ind w:firstLine="720"/>
        <w:jc w:val="center"/>
        <w:rPr>
          <w:bCs w:val="0"/>
        </w:rPr>
      </w:pPr>
    </w:p>
    <w:p w:rsidR="007E77EB" w:rsidP="007E77EB" w14:paraId="784BD63B" w14:textId="77777777">
      <w:pPr>
        <w:spacing w:after="0" w:line="240" w:lineRule="auto"/>
        <w:ind w:firstLine="720"/>
        <w:jc w:val="center"/>
        <w:rPr>
          <w:bCs w:val="0"/>
        </w:rPr>
      </w:pPr>
    </w:p>
    <w:p w:rsidR="007E77EB" w:rsidP="007E77EB" w14:paraId="106698DC" w14:textId="77777777">
      <w:pPr>
        <w:spacing w:after="0" w:line="240" w:lineRule="auto"/>
        <w:ind w:firstLine="720"/>
        <w:jc w:val="center"/>
        <w:rPr>
          <w:bCs w:val="0"/>
        </w:rPr>
      </w:pPr>
    </w:p>
    <w:p w:rsidR="007E77EB" w:rsidP="007E77EB" w14:paraId="4B02FA7A" w14:textId="77777777">
      <w:pPr>
        <w:spacing w:after="0" w:line="240" w:lineRule="auto"/>
        <w:ind w:firstLine="720"/>
        <w:jc w:val="center"/>
        <w:rPr>
          <w:bCs w:val="0"/>
        </w:rPr>
      </w:pPr>
    </w:p>
    <w:p w:rsidR="007E77EB" w:rsidP="007E77EB" w14:paraId="4C4FE9E5" w14:textId="77777777">
      <w:pPr>
        <w:spacing w:after="0" w:line="240" w:lineRule="auto"/>
        <w:ind w:firstLine="720"/>
        <w:jc w:val="center"/>
        <w:rPr>
          <w:bCs w:val="0"/>
        </w:rPr>
      </w:pPr>
    </w:p>
    <w:p w:rsidR="007E77EB" w:rsidP="007E77EB" w14:paraId="30CCCC49" w14:textId="77777777">
      <w:pPr>
        <w:spacing w:after="0" w:line="240" w:lineRule="auto"/>
        <w:ind w:firstLine="720"/>
        <w:jc w:val="center"/>
        <w:rPr>
          <w:bCs w:val="0"/>
        </w:rPr>
      </w:pPr>
    </w:p>
    <w:p w:rsidR="007E77EB" w:rsidP="007E77EB" w14:paraId="3BC5DB0C" w14:textId="77777777">
      <w:pPr>
        <w:spacing w:after="0" w:line="240" w:lineRule="auto"/>
        <w:ind w:firstLine="720"/>
        <w:jc w:val="center"/>
        <w:rPr>
          <w:bCs w:val="0"/>
        </w:rPr>
      </w:pPr>
    </w:p>
    <w:p w:rsidR="007E77EB" w:rsidP="007E77EB" w14:paraId="30711CA0" w14:textId="77777777">
      <w:pPr>
        <w:spacing w:after="0" w:line="240" w:lineRule="auto"/>
        <w:ind w:firstLine="720"/>
        <w:jc w:val="center"/>
        <w:rPr>
          <w:bCs w:val="0"/>
        </w:rPr>
      </w:pPr>
    </w:p>
    <w:p w:rsidR="007E77EB" w:rsidP="007E77EB" w14:paraId="7E63E19D" w14:textId="77777777">
      <w:pPr>
        <w:spacing w:after="0" w:line="240" w:lineRule="auto"/>
        <w:ind w:firstLine="720"/>
        <w:jc w:val="center"/>
        <w:rPr>
          <w:bCs w:val="0"/>
        </w:rPr>
      </w:pPr>
    </w:p>
    <w:p w:rsidR="007E77EB" w:rsidP="007E77EB" w14:paraId="58D34CC7" w14:textId="77777777">
      <w:pPr>
        <w:spacing w:after="0" w:line="240" w:lineRule="auto"/>
        <w:ind w:firstLine="720"/>
        <w:jc w:val="center"/>
        <w:rPr>
          <w:bCs w:val="0"/>
        </w:rPr>
      </w:pPr>
    </w:p>
    <w:p w:rsidR="007E77EB" w:rsidRPr="00EF5095" w:rsidP="007E77EB" w14:paraId="3D355B2A" w14:textId="4D0B4B25">
      <w:pPr>
        <w:spacing w:after="0" w:line="240" w:lineRule="auto"/>
        <w:ind w:firstLine="720"/>
        <w:rPr>
          <w:bCs w:val="0"/>
        </w:rPr>
      </w:pPr>
      <w:r w:rsidRPr="00EF5095">
        <w:rPr>
          <w:bCs w:val="0"/>
        </w:rPr>
        <w:t>ATTACHMENT 1</w:t>
      </w:r>
    </w:p>
    <w:p w:rsidR="00DA0701" w:rsidRPr="00F122F7" w:rsidP="007E77EB" w14:paraId="6E8DF6FB" w14:textId="77777777">
      <w:pPr>
        <w:spacing w:after="0" w:line="240" w:lineRule="auto"/>
        <w:ind w:firstLine="720"/>
        <w:rPr>
          <w:bCs w:val="0"/>
          <w:highlight w:val="yellow"/>
        </w:rPr>
      </w:pPr>
    </w:p>
    <w:p w:rsidR="007E77EB" w:rsidRPr="00D97707" w:rsidP="007E77EB" w14:paraId="53BFD80A" w14:textId="454EBA62">
      <w:pPr>
        <w:spacing w:after="0" w:line="240" w:lineRule="auto"/>
        <w:ind w:firstLine="720"/>
        <w:jc w:val="center"/>
        <w:rPr>
          <w:bCs w:val="0"/>
        </w:rPr>
      </w:pPr>
    </w:p>
    <w:p w:rsidR="007E77EB" w:rsidRPr="00D97707" w:rsidP="007E77EB" w14:paraId="01CFD286" w14:textId="77777777">
      <w:pPr>
        <w:spacing w:after="0" w:line="240" w:lineRule="auto"/>
        <w:ind w:firstLine="720"/>
        <w:jc w:val="center"/>
        <w:rPr>
          <w:bCs w:val="0"/>
        </w:rPr>
      </w:pPr>
      <w:r w:rsidRPr="00D97707">
        <w:rPr>
          <w:bCs w:val="0"/>
        </w:rPr>
        <w:t>Summary of OVEC Subsidy Charge Paid by DP&amp;L’s Customers</w:t>
      </w:r>
    </w:p>
    <w:p w:rsidR="007E77EB" w:rsidP="007E77EB" w14:paraId="1CCC1ED2" w14:textId="77777777">
      <w:pPr>
        <w:spacing w:after="0" w:line="240" w:lineRule="auto"/>
        <w:ind w:firstLine="720"/>
        <w:jc w:val="center"/>
        <w:rPr>
          <w:bCs w:val="0"/>
        </w:rPr>
      </w:pPr>
      <w:r w:rsidRPr="00D97707">
        <w:rPr>
          <w:bCs w:val="0"/>
        </w:rPr>
        <w:t xml:space="preserve">(November 2017 – December 2019) </w:t>
      </w:r>
    </w:p>
    <w:p w:rsidR="007E77EB" w:rsidRPr="00D97707" w:rsidP="007E77EB" w14:paraId="5DC72459" w14:textId="77777777">
      <w:pPr>
        <w:spacing w:after="0" w:line="240" w:lineRule="auto"/>
        <w:ind w:firstLine="720"/>
        <w:jc w:val="center"/>
        <w:rPr>
          <w:bCs w:val="0"/>
        </w:rPr>
      </w:pPr>
    </w:p>
    <w:p w:rsidR="007E77EB" w:rsidP="007E77EB" w14:paraId="3BCA54CE" w14:textId="77777777">
      <w:pPr>
        <w:spacing w:after="0" w:line="240" w:lineRule="auto"/>
        <w:ind w:firstLine="720"/>
        <w:jc w:val="center"/>
        <w:rPr>
          <w:bCs w:val="0"/>
          <w:sz w:val="20"/>
          <w:szCs w:val="20"/>
        </w:rPr>
      </w:pPr>
    </w:p>
    <w:tbl>
      <w:tblPr>
        <w:tblStyle w:val="TableGrid"/>
        <w:tblW w:w="0" w:type="auto"/>
        <w:tblLook w:val="04A0"/>
      </w:tblPr>
      <w:tblGrid>
        <w:gridCol w:w="2483"/>
        <w:gridCol w:w="3182"/>
        <w:gridCol w:w="3240"/>
      </w:tblGrid>
      <w:tr w14:paraId="4CDE6EB0" w14:textId="77777777" w:rsidTr="006C3ECC">
        <w:tblPrEx>
          <w:tblW w:w="0" w:type="auto"/>
          <w:tblLook w:val="04A0"/>
        </w:tblPrEx>
        <w:tc>
          <w:tcPr>
            <w:tcW w:w="0" w:type="auto"/>
          </w:tcPr>
          <w:p w:rsidR="007E77EB" w:rsidRPr="00470B64" w:rsidP="006C3ECC" w14:paraId="5C2440F2" w14:textId="77777777">
            <w:pPr>
              <w:jc w:val="center"/>
              <w:rPr>
                <w:bCs w:val="0"/>
              </w:rPr>
            </w:pPr>
            <w:r w:rsidRPr="00470B64">
              <w:rPr>
                <w:bCs w:val="0"/>
              </w:rPr>
              <w:t>Period</w:t>
            </w:r>
          </w:p>
        </w:tc>
        <w:tc>
          <w:tcPr>
            <w:tcW w:w="3182" w:type="dxa"/>
          </w:tcPr>
          <w:p w:rsidR="007E77EB" w:rsidRPr="00470B64" w:rsidP="006C3ECC" w14:paraId="75DC6325" w14:textId="77777777">
            <w:pPr>
              <w:jc w:val="center"/>
              <w:rPr>
                <w:bCs w:val="0"/>
              </w:rPr>
            </w:pPr>
            <w:r w:rsidRPr="00470B64">
              <w:rPr>
                <w:bCs w:val="0"/>
              </w:rPr>
              <w:t>Net Proceeds and Costs</w:t>
            </w:r>
          </w:p>
        </w:tc>
        <w:tc>
          <w:tcPr>
            <w:tcW w:w="3240" w:type="dxa"/>
          </w:tcPr>
          <w:p w:rsidR="007E77EB" w:rsidRPr="00470B64" w:rsidP="006C3ECC" w14:paraId="22D47D7A" w14:textId="77777777">
            <w:pPr>
              <w:jc w:val="center"/>
              <w:rPr>
                <w:bCs w:val="0"/>
              </w:rPr>
            </w:pPr>
            <w:r w:rsidRPr="00470B64">
              <w:rPr>
                <w:bCs w:val="0"/>
              </w:rPr>
              <w:t>RR Revenue</w:t>
            </w:r>
          </w:p>
        </w:tc>
      </w:tr>
      <w:tr w14:paraId="66E1B9F3" w14:textId="77777777" w:rsidTr="006C3ECC">
        <w:tblPrEx>
          <w:tblW w:w="0" w:type="auto"/>
          <w:tblLook w:val="04A0"/>
        </w:tblPrEx>
        <w:tc>
          <w:tcPr>
            <w:tcW w:w="0" w:type="auto"/>
          </w:tcPr>
          <w:p w:rsidR="007E77EB" w:rsidRPr="00470B64" w:rsidP="006C3ECC" w14:paraId="0C4926B7" w14:textId="77777777">
            <w:pPr>
              <w:jc w:val="center"/>
              <w:rPr>
                <w:bCs w:val="0"/>
                <w:sz w:val="20"/>
                <w:szCs w:val="20"/>
              </w:rPr>
            </w:pPr>
            <w:r w:rsidRPr="00470B64">
              <w:rPr>
                <w:bCs w:val="0"/>
                <w:sz w:val="20"/>
                <w:szCs w:val="20"/>
              </w:rPr>
              <w:t>November 2017</w:t>
            </w:r>
          </w:p>
        </w:tc>
        <w:tc>
          <w:tcPr>
            <w:tcW w:w="3182" w:type="dxa"/>
          </w:tcPr>
          <w:p w:rsidR="007E77EB" w:rsidRPr="00470B64" w:rsidP="006C3ECC" w14:paraId="6D5EE69C" w14:textId="77777777">
            <w:pPr>
              <w:jc w:val="center"/>
              <w:rPr>
                <w:b w:val="0"/>
                <w:bCs w:val="0"/>
                <w:sz w:val="20"/>
                <w:szCs w:val="20"/>
              </w:rPr>
            </w:pPr>
            <w:r>
              <w:rPr>
                <w:b w:val="0"/>
                <w:bCs w:val="0"/>
                <w:sz w:val="20"/>
                <w:szCs w:val="20"/>
              </w:rPr>
              <w:t>$658,974</w:t>
            </w:r>
          </w:p>
        </w:tc>
        <w:tc>
          <w:tcPr>
            <w:tcW w:w="3240" w:type="dxa"/>
          </w:tcPr>
          <w:p w:rsidR="007E77EB" w:rsidRPr="00470B64" w:rsidP="006C3ECC" w14:paraId="6CC1EE59" w14:textId="77777777">
            <w:pPr>
              <w:jc w:val="center"/>
              <w:rPr>
                <w:b w:val="0"/>
                <w:bCs w:val="0"/>
                <w:sz w:val="20"/>
                <w:szCs w:val="20"/>
              </w:rPr>
            </w:pPr>
            <w:r w:rsidRPr="00567322">
              <w:rPr>
                <w:b w:val="0"/>
                <w:bCs w:val="0"/>
                <w:sz w:val="20"/>
                <w:szCs w:val="20"/>
              </w:rPr>
              <w:t>$</w:t>
            </w:r>
            <w:r>
              <w:rPr>
                <w:b w:val="0"/>
                <w:bCs w:val="0"/>
                <w:sz w:val="20"/>
                <w:szCs w:val="20"/>
              </w:rPr>
              <w:t>536,519</w:t>
            </w:r>
          </w:p>
        </w:tc>
      </w:tr>
      <w:tr w14:paraId="3D18D5FB" w14:textId="77777777" w:rsidTr="006C3ECC">
        <w:tblPrEx>
          <w:tblW w:w="0" w:type="auto"/>
          <w:tblLook w:val="04A0"/>
        </w:tblPrEx>
        <w:tc>
          <w:tcPr>
            <w:tcW w:w="0" w:type="auto"/>
          </w:tcPr>
          <w:p w:rsidR="007E77EB" w:rsidRPr="00470B64" w:rsidP="006C3ECC" w14:paraId="7CA79596" w14:textId="77777777">
            <w:pPr>
              <w:jc w:val="center"/>
              <w:rPr>
                <w:bCs w:val="0"/>
                <w:sz w:val="20"/>
                <w:szCs w:val="20"/>
              </w:rPr>
            </w:pPr>
            <w:r w:rsidRPr="00470B64">
              <w:rPr>
                <w:bCs w:val="0"/>
                <w:sz w:val="20"/>
                <w:szCs w:val="20"/>
              </w:rPr>
              <w:t>December 2018</w:t>
            </w:r>
          </w:p>
        </w:tc>
        <w:tc>
          <w:tcPr>
            <w:tcW w:w="3182" w:type="dxa"/>
          </w:tcPr>
          <w:p w:rsidR="007E77EB" w:rsidRPr="00470B64" w:rsidP="006C3ECC" w14:paraId="4422946D" w14:textId="77777777">
            <w:pPr>
              <w:jc w:val="center"/>
              <w:rPr>
                <w:b w:val="0"/>
                <w:bCs w:val="0"/>
                <w:sz w:val="20"/>
                <w:szCs w:val="20"/>
              </w:rPr>
            </w:pPr>
            <w:r>
              <w:rPr>
                <w:b w:val="0"/>
                <w:bCs w:val="0"/>
                <w:sz w:val="20"/>
                <w:szCs w:val="20"/>
              </w:rPr>
              <w:t>$431,793</w:t>
            </w:r>
          </w:p>
        </w:tc>
        <w:tc>
          <w:tcPr>
            <w:tcW w:w="3240" w:type="dxa"/>
          </w:tcPr>
          <w:p w:rsidR="007E77EB" w:rsidRPr="00470B64" w:rsidP="006C3ECC" w14:paraId="7DA4FA07" w14:textId="77777777">
            <w:pPr>
              <w:jc w:val="center"/>
              <w:rPr>
                <w:b w:val="0"/>
                <w:bCs w:val="0"/>
                <w:sz w:val="20"/>
                <w:szCs w:val="20"/>
              </w:rPr>
            </w:pPr>
            <w:r w:rsidRPr="00567322">
              <w:rPr>
                <w:b w:val="0"/>
                <w:bCs w:val="0"/>
                <w:sz w:val="20"/>
                <w:szCs w:val="20"/>
              </w:rPr>
              <w:t>$</w:t>
            </w:r>
            <w:r>
              <w:rPr>
                <w:b w:val="0"/>
                <w:bCs w:val="0"/>
                <w:sz w:val="20"/>
                <w:szCs w:val="20"/>
              </w:rPr>
              <w:t>596,082</w:t>
            </w:r>
          </w:p>
        </w:tc>
      </w:tr>
      <w:tr w14:paraId="21BCF39C" w14:textId="77777777" w:rsidTr="006C3ECC">
        <w:tblPrEx>
          <w:tblW w:w="0" w:type="auto"/>
          <w:tblLook w:val="04A0"/>
        </w:tblPrEx>
        <w:tc>
          <w:tcPr>
            <w:tcW w:w="0" w:type="auto"/>
          </w:tcPr>
          <w:p w:rsidR="007E77EB" w:rsidRPr="00470B64" w:rsidP="006C3ECC" w14:paraId="7CD5C656" w14:textId="77777777">
            <w:pPr>
              <w:jc w:val="center"/>
              <w:rPr>
                <w:bCs w:val="0"/>
              </w:rPr>
            </w:pPr>
            <w:r w:rsidRPr="00470B64">
              <w:rPr>
                <w:bCs w:val="0"/>
              </w:rPr>
              <w:t>2017 Total</w:t>
            </w:r>
          </w:p>
        </w:tc>
        <w:tc>
          <w:tcPr>
            <w:tcW w:w="3182" w:type="dxa"/>
          </w:tcPr>
          <w:p w:rsidR="007E77EB" w:rsidRPr="00CC73DB" w:rsidP="006C3ECC" w14:paraId="3026CE60" w14:textId="77777777">
            <w:pPr>
              <w:jc w:val="center"/>
              <w:rPr>
                <w:bCs w:val="0"/>
                <w:sz w:val="20"/>
                <w:szCs w:val="20"/>
              </w:rPr>
            </w:pPr>
            <w:r w:rsidRPr="00CC73DB">
              <w:rPr>
                <w:bCs w:val="0"/>
                <w:sz w:val="20"/>
                <w:szCs w:val="20"/>
              </w:rPr>
              <w:t>$1,090,367</w:t>
            </w:r>
          </w:p>
        </w:tc>
        <w:tc>
          <w:tcPr>
            <w:tcW w:w="3240" w:type="dxa"/>
          </w:tcPr>
          <w:p w:rsidR="007E77EB" w:rsidRPr="00CC73DB" w:rsidP="006C3ECC" w14:paraId="5BC7F989" w14:textId="77777777">
            <w:pPr>
              <w:jc w:val="center"/>
              <w:rPr>
                <w:bCs w:val="0"/>
                <w:sz w:val="20"/>
                <w:szCs w:val="20"/>
              </w:rPr>
            </w:pPr>
            <w:r w:rsidRPr="00CC73DB">
              <w:rPr>
                <w:bCs w:val="0"/>
                <w:sz w:val="20"/>
                <w:szCs w:val="20"/>
              </w:rPr>
              <w:t>$1,132,601</w:t>
            </w:r>
          </w:p>
        </w:tc>
      </w:tr>
      <w:tr w14:paraId="6C7DDBDB" w14:textId="77777777" w:rsidTr="006C3ECC">
        <w:tblPrEx>
          <w:tblW w:w="0" w:type="auto"/>
          <w:tblLook w:val="04A0"/>
        </w:tblPrEx>
        <w:tc>
          <w:tcPr>
            <w:tcW w:w="0" w:type="auto"/>
          </w:tcPr>
          <w:p w:rsidR="007E77EB" w:rsidRPr="00470B64" w:rsidP="006C3ECC" w14:paraId="68DA5E4B" w14:textId="77777777">
            <w:pPr>
              <w:jc w:val="center"/>
              <w:rPr>
                <w:bCs w:val="0"/>
                <w:sz w:val="20"/>
                <w:szCs w:val="20"/>
              </w:rPr>
            </w:pPr>
            <w:r w:rsidRPr="00470B64">
              <w:rPr>
                <w:bCs w:val="0"/>
                <w:sz w:val="20"/>
                <w:szCs w:val="20"/>
              </w:rPr>
              <w:t>January 2018</w:t>
            </w:r>
          </w:p>
        </w:tc>
        <w:tc>
          <w:tcPr>
            <w:tcW w:w="3182" w:type="dxa"/>
          </w:tcPr>
          <w:p w:rsidR="007E77EB" w:rsidRPr="00470B64" w:rsidP="006C3ECC" w14:paraId="1C604D0C" w14:textId="77777777">
            <w:pPr>
              <w:jc w:val="center"/>
              <w:rPr>
                <w:b w:val="0"/>
                <w:bCs w:val="0"/>
                <w:sz w:val="20"/>
                <w:szCs w:val="20"/>
              </w:rPr>
            </w:pPr>
            <w:r>
              <w:rPr>
                <w:b w:val="0"/>
                <w:bCs w:val="0"/>
                <w:sz w:val="20"/>
                <w:szCs w:val="20"/>
              </w:rPr>
              <w:t>($983,481)</w:t>
            </w:r>
          </w:p>
        </w:tc>
        <w:tc>
          <w:tcPr>
            <w:tcW w:w="3240" w:type="dxa"/>
          </w:tcPr>
          <w:p w:rsidR="007E77EB" w:rsidRPr="00470B64" w:rsidP="006C3ECC" w14:paraId="35788B1E" w14:textId="77777777">
            <w:pPr>
              <w:jc w:val="center"/>
              <w:rPr>
                <w:b w:val="0"/>
                <w:bCs w:val="0"/>
                <w:sz w:val="20"/>
                <w:szCs w:val="20"/>
              </w:rPr>
            </w:pPr>
            <w:r w:rsidRPr="00567322">
              <w:rPr>
                <w:b w:val="0"/>
                <w:bCs w:val="0"/>
                <w:sz w:val="20"/>
                <w:szCs w:val="20"/>
              </w:rPr>
              <w:t>$</w:t>
            </w:r>
            <w:r>
              <w:rPr>
                <w:b w:val="0"/>
                <w:bCs w:val="0"/>
                <w:sz w:val="20"/>
                <w:szCs w:val="20"/>
              </w:rPr>
              <w:t>736,166</w:t>
            </w:r>
          </w:p>
        </w:tc>
      </w:tr>
      <w:tr w14:paraId="3DD32A2F" w14:textId="77777777" w:rsidTr="006C3ECC">
        <w:tblPrEx>
          <w:tblW w:w="0" w:type="auto"/>
          <w:tblLook w:val="04A0"/>
        </w:tblPrEx>
        <w:tc>
          <w:tcPr>
            <w:tcW w:w="0" w:type="auto"/>
          </w:tcPr>
          <w:p w:rsidR="007E77EB" w:rsidRPr="00470B64" w:rsidP="006C3ECC" w14:paraId="33685838" w14:textId="77777777">
            <w:pPr>
              <w:jc w:val="center"/>
              <w:rPr>
                <w:bCs w:val="0"/>
                <w:sz w:val="20"/>
                <w:szCs w:val="20"/>
              </w:rPr>
            </w:pPr>
            <w:r w:rsidRPr="00470B64">
              <w:rPr>
                <w:bCs w:val="0"/>
                <w:sz w:val="20"/>
                <w:szCs w:val="20"/>
              </w:rPr>
              <w:t>February 2018</w:t>
            </w:r>
          </w:p>
        </w:tc>
        <w:tc>
          <w:tcPr>
            <w:tcW w:w="3182" w:type="dxa"/>
          </w:tcPr>
          <w:p w:rsidR="007E77EB" w:rsidRPr="00470B64" w:rsidP="006C3ECC" w14:paraId="450D3954" w14:textId="77777777">
            <w:pPr>
              <w:jc w:val="center"/>
              <w:rPr>
                <w:b w:val="0"/>
                <w:bCs w:val="0"/>
                <w:sz w:val="20"/>
                <w:szCs w:val="20"/>
              </w:rPr>
            </w:pPr>
            <w:r>
              <w:rPr>
                <w:b w:val="0"/>
                <w:bCs w:val="0"/>
                <w:sz w:val="20"/>
                <w:szCs w:val="20"/>
              </w:rPr>
              <w:t>$1,261,759</w:t>
            </w:r>
          </w:p>
        </w:tc>
        <w:tc>
          <w:tcPr>
            <w:tcW w:w="3240" w:type="dxa"/>
          </w:tcPr>
          <w:p w:rsidR="007E77EB" w:rsidRPr="00470B64" w:rsidP="006C3ECC" w14:paraId="275D3551" w14:textId="77777777">
            <w:pPr>
              <w:jc w:val="center"/>
              <w:rPr>
                <w:b w:val="0"/>
                <w:bCs w:val="0"/>
                <w:sz w:val="20"/>
                <w:szCs w:val="20"/>
              </w:rPr>
            </w:pPr>
            <w:r>
              <w:rPr>
                <w:b w:val="0"/>
                <w:bCs w:val="0"/>
                <w:sz w:val="20"/>
                <w:szCs w:val="20"/>
              </w:rPr>
              <w:t>$679,111</w:t>
            </w:r>
          </w:p>
        </w:tc>
      </w:tr>
      <w:tr w14:paraId="71F60952" w14:textId="77777777" w:rsidTr="006C3ECC">
        <w:tblPrEx>
          <w:tblW w:w="0" w:type="auto"/>
          <w:tblLook w:val="04A0"/>
        </w:tblPrEx>
        <w:tc>
          <w:tcPr>
            <w:tcW w:w="0" w:type="auto"/>
          </w:tcPr>
          <w:p w:rsidR="007E77EB" w:rsidRPr="00470B64" w:rsidP="006C3ECC" w14:paraId="69062B08" w14:textId="77777777">
            <w:pPr>
              <w:jc w:val="center"/>
              <w:rPr>
                <w:bCs w:val="0"/>
                <w:sz w:val="20"/>
                <w:szCs w:val="20"/>
              </w:rPr>
            </w:pPr>
            <w:r w:rsidRPr="00470B64">
              <w:rPr>
                <w:bCs w:val="0"/>
                <w:sz w:val="20"/>
                <w:szCs w:val="20"/>
              </w:rPr>
              <w:t>March 2018</w:t>
            </w:r>
          </w:p>
        </w:tc>
        <w:tc>
          <w:tcPr>
            <w:tcW w:w="3182" w:type="dxa"/>
          </w:tcPr>
          <w:p w:rsidR="007E77EB" w:rsidRPr="00470B64" w:rsidP="006C3ECC" w14:paraId="2CADC991" w14:textId="77777777">
            <w:pPr>
              <w:jc w:val="center"/>
              <w:rPr>
                <w:b w:val="0"/>
                <w:bCs w:val="0"/>
                <w:sz w:val="20"/>
                <w:szCs w:val="20"/>
              </w:rPr>
            </w:pPr>
            <w:r w:rsidRPr="00A14BA7">
              <w:rPr>
                <w:b w:val="0"/>
                <w:bCs w:val="0"/>
                <w:sz w:val="20"/>
                <w:szCs w:val="20"/>
              </w:rPr>
              <w:t>$</w:t>
            </w:r>
            <w:r>
              <w:rPr>
                <w:b w:val="0"/>
                <w:bCs w:val="0"/>
                <w:sz w:val="20"/>
                <w:szCs w:val="20"/>
              </w:rPr>
              <w:t>380</w:t>
            </w:r>
            <w:r w:rsidRPr="00A14BA7">
              <w:rPr>
                <w:b w:val="0"/>
                <w:bCs w:val="0"/>
                <w:sz w:val="20"/>
                <w:szCs w:val="20"/>
              </w:rPr>
              <w:t>,</w:t>
            </w:r>
            <w:r>
              <w:rPr>
                <w:b w:val="0"/>
                <w:bCs w:val="0"/>
                <w:sz w:val="20"/>
                <w:szCs w:val="20"/>
              </w:rPr>
              <w:t>971</w:t>
            </w:r>
          </w:p>
        </w:tc>
        <w:tc>
          <w:tcPr>
            <w:tcW w:w="3240" w:type="dxa"/>
          </w:tcPr>
          <w:p w:rsidR="007E77EB" w:rsidRPr="00470B64" w:rsidP="006C3ECC" w14:paraId="221A9C97" w14:textId="77777777">
            <w:pPr>
              <w:jc w:val="center"/>
              <w:rPr>
                <w:b w:val="0"/>
                <w:bCs w:val="0"/>
                <w:sz w:val="20"/>
                <w:szCs w:val="20"/>
              </w:rPr>
            </w:pPr>
            <w:r w:rsidRPr="00A14BA7">
              <w:rPr>
                <w:b w:val="0"/>
                <w:bCs w:val="0"/>
                <w:sz w:val="20"/>
                <w:szCs w:val="20"/>
              </w:rPr>
              <w:t>$</w:t>
            </w:r>
            <w:r>
              <w:rPr>
                <w:b w:val="0"/>
                <w:bCs w:val="0"/>
                <w:sz w:val="20"/>
                <w:szCs w:val="20"/>
              </w:rPr>
              <w:t>591,860</w:t>
            </w:r>
          </w:p>
        </w:tc>
      </w:tr>
      <w:tr w14:paraId="495E8F27" w14:textId="77777777" w:rsidTr="006C3ECC">
        <w:tblPrEx>
          <w:tblW w:w="0" w:type="auto"/>
          <w:tblLook w:val="04A0"/>
        </w:tblPrEx>
        <w:tc>
          <w:tcPr>
            <w:tcW w:w="0" w:type="auto"/>
          </w:tcPr>
          <w:p w:rsidR="007E77EB" w:rsidRPr="00470B64" w:rsidP="006C3ECC" w14:paraId="06D07F09" w14:textId="77777777">
            <w:pPr>
              <w:jc w:val="center"/>
              <w:rPr>
                <w:bCs w:val="0"/>
                <w:sz w:val="20"/>
                <w:szCs w:val="20"/>
              </w:rPr>
            </w:pPr>
            <w:r w:rsidRPr="00470B64">
              <w:rPr>
                <w:bCs w:val="0"/>
                <w:sz w:val="20"/>
                <w:szCs w:val="20"/>
              </w:rPr>
              <w:t>April 2018</w:t>
            </w:r>
          </w:p>
        </w:tc>
        <w:tc>
          <w:tcPr>
            <w:tcW w:w="3182" w:type="dxa"/>
          </w:tcPr>
          <w:p w:rsidR="007E77EB" w:rsidRPr="00470B64" w:rsidP="006C3ECC" w14:paraId="07A633A5" w14:textId="77777777">
            <w:pPr>
              <w:jc w:val="center"/>
              <w:rPr>
                <w:b w:val="0"/>
                <w:bCs w:val="0"/>
                <w:sz w:val="20"/>
                <w:szCs w:val="20"/>
              </w:rPr>
            </w:pPr>
            <w:r w:rsidRPr="00A14BA7">
              <w:rPr>
                <w:b w:val="0"/>
                <w:bCs w:val="0"/>
                <w:sz w:val="20"/>
                <w:szCs w:val="20"/>
              </w:rPr>
              <w:t>$</w:t>
            </w:r>
            <w:r>
              <w:rPr>
                <w:b w:val="0"/>
                <w:bCs w:val="0"/>
                <w:sz w:val="20"/>
                <w:szCs w:val="20"/>
              </w:rPr>
              <w:t>908,204</w:t>
            </w:r>
          </w:p>
        </w:tc>
        <w:tc>
          <w:tcPr>
            <w:tcW w:w="3240" w:type="dxa"/>
          </w:tcPr>
          <w:p w:rsidR="007E77EB" w:rsidRPr="00470B64" w:rsidP="006C3ECC" w14:paraId="0E17FD56" w14:textId="77777777">
            <w:pPr>
              <w:jc w:val="center"/>
              <w:rPr>
                <w:b w:val="0"/>
                <w:bCs w:val="0"/>
                <w:sz w:val="20"/>
                <w:szCs w:val="20"/>
              </w:rPr>
            </w:pPr>
            <w:r w:rsidRPr="00A14BA7">
              <w:rPr>
                <w:b w:val="0"/>
                <w:bCs w:val="0"/>
                <w:sz w:val="20"/>
                <w:szCs w:val="20"/>
              </w:rPr>
              <w:t>$</w:t>
            </w:r>
            <w:r>
              <w:rPr>
                <w:b w:val="0"/>
                <w:bCs w:val="0"/>
                <w:sz w:val="20"/>
                <w:szCs w:val="20"/>
              </w:rPr>
              <w:t>578,933</w:t>
            </w:r>
          </w:p>
        </w:tc>
      </w:tr>
      <w:tr w14:paraId="744AE9ED" w14:textId="77777777" w:rsidTr="006C3ECC">
        <w:tblPrEx>
          <w:tblW w:w="0" w:type="auto"/>
          <w:tblLook w:val="04A0"/>
        </w:tblPrEx>
        <w:tc>
          <w:tcPr>
            <w:tcW w:w="0" w:type="auto"/>
          </w:tcPr>
          <w:p w:rsidR="007E77EB" w:rsidRPr="00470B64" w:rsidP="006C3ECC" w14:paraId="4BA6ACE0" w14:textId="77777777">
            <w:pPr>
              <w:jc w:val="center"/>
              <w:rPr>
                <w:bCs w:val="0"/>
                <w:sz w:val="20"/>
                <w:szCs w:val="20"/>
              </w:rPr>
            </w:pPr>
            <w:r w:rsidRPr="00470B64">
              <w:rPr>
                <w:bCs w:val="0"/>
                <w:sz w:val="20"/>
                <w:szCs w:val="20"/>
              </w:rPr>
              <w:t>May 2018</w:t>
            </w:r>
          </w:p>
        </w:tc>
        <w:tc>
          <w:tcPr>
            <w:tcW w:w="3182" w:type="dxa"/>
          </w:tcPr>
          <w:p w:rsidR="007E77EB" w:rsidRPr="00470B64" w:rsidP="006C3ECC" w14:paraId="5442E1D1" w14:textId="77777777">
            <w:pPr>
              <w:jc w:val="center"/>
              <w:rPr>
                <w:b w:val="0"/>
                <w:bCs w:val="0"/>
                <w:sz w:val="20"/>
                <w:szCs w:val="20"/>
              </w:rPr>
            </w:pPr>
            <w:r w:rsidRPr="00A14BA7">
              <w:rPr>
                <w:b w:val="0"/>
                <w:bCs w:val="0"/>
                <w:sz w:val="20"/>
                <w:szCs w:val="20"/>
              </w:rPr>
              <w:t>$</w:t>
            </w:r>
            <w:r>
              <w:rPr>
                <w:b w:val="0"/>
                <w:bCs w:val="0"/>
                <w:sz w:val="20"/>
                <w:szCs w:val="20"/>
              </w:rPr>
              <w:t>986,002</w:t>
            </w:r>
          </w:p>
        </w:tc>
        <w:tc>
          <w:tcPr>
            <w:tcW w:w="3240" w:type="dxa"/>
          </w:tcPr>
          <w:p w:rsidR="007E77EB" w:rsidRPr="00470B64" w:rsidP="006C3ECC" w14:paraId="24DE03F7" w14:textId="77777777">
            <w:pPr>
              <w:jc w:val="center"/>
              <w:rPr>
                <w:b w:val="0"/>
                <w:bCs w:val="0"/>
                <w:sz w:val="20"/>
                <w:szCs w:val="20"/>
              </w:rPr>
            </w:pPr>
            <w:r w:rsidRPr="00A14BA7">
              <w:rPr>
                <w:b w:val="0"/>
                <w:bCs w:val="0"/>
                <w:sz w:val="20"/>
                <w:szCs w:val="20"/>
              </w:rPr>
              <w:t>$</w:t>
            </w:r>
            <w:r>
              <w:rPr>
                <w:b w:val="0"/>
                <w:bCs w:val="0"/>
                <w:sz w:val="20"/>
                <w:szCs w:val="20"/>
              </w:rPr>
              <w:t>556,612</w:t>
            </w:r>
          </w:p>
        </w:tc>
      </w:tr>
      <w:tr w14:paraId="17F8215F" w14:textId="77777777" w:rsidTr="006C3ECC">
        <w:tblPrEx>
          <w:tblW w:w="0" w:type="auto"/>
          <w:tblLook w:val="04A0"/>
        </w:tblPrEx>
        <w:tc>
          <w:tcPr>
            <w:tcW w:w="0" w:type="auto"/>
          </w:tcPr>
          <w:p w:rsidR="007E77EB" w:rsidRPr="00470B64" w:rsidP="006C3ECC" w14:paraId="78FD2912" w14:textId="77777777">
            <w:pPr>
              <w:jc w:val="center"/>
              <w:rPr>
                <w:bCs w:val="0"/>
                <w:sz w:val="20"/>
                <w:szCs w:val="20"/>
              </w:rPr>
            </w:pPr>
            <w:r w:rsidRPr="00470B64">
              <w:rPr>
                <w:bCs w:val="0"/>
                <w:sz w:val="20"/>
                <w:szCs w:val="20"/>
              </w:rPr>
              <w:t>June 2018</w:t>
            </w:r>
          </w:p>
        </w:tc>
        <w:tc>
          <w:tcPr>
            <w:tcW w:w="3182" w:type="dxa"/>
          </w:tcPr>
          <w:p w:rsidR="007E77EB" w:rsidRPr="00470B64" w:rsidP="006C3ECC" w14:paraId="231DA109" w14:textId="77777777">
            <w:pPr>
              <w:jc w:val="center"/>
              <w:rPr>
                <w:b w:val="0"/>
                <w:bCs w:val="0"/>
                <w:sz w:val="20"/>
                <w:szCs w:val="20"/>
              </w:rPr>
            </w:pPr>
            <w:r w:rsidRPr="00A14BA7">
              <w:rPr>
                <w:b w:val="0"/>
                <w:bCs w:val="0"/>
                <w:sz w:val="20"/>
                <w:szCs w:val="20"/>
              </w:rPr>
              <w:t>$</w:t>
            </w:r>
            <w:r>
              <w:rPr>
                <w:b w:val="0"/>
                <w:bCs w:val="0"/>
                <w:sz w:val="20"/>
                <w:szCs w:val="20"/>
              </w:rPr>
              <w:t>452,513</w:t>
            </w:r>
          </w:p>
        </w:tc>
        <w:tc>
          <w:tcPr>
            <w:tcW w:w="3240" w:type="dxa"/>
          </w:tcPr>
          <w:p w:rsidR="007E77EB" w:rsidRPr="00470B64" w:rsidP="006C3ECC" w14:paraId="42B795BC" w14:textId="77777777">
            <w:pPr>
              <w:jc w:val="center"/>
              <w:rPr>
                <w:b w:val="0"/>
                <w:bCs w:val="0"/>
                <w:sz w:val="20"/>
                <w:szCs w:val="20"/>
              </w:rPr>
            </w:pPr>
            <w:r w:rsidRPr="00A14BA7">
              <w:rPr>
                <w:b w:val="0"/>
                <w:bCs w:val="0"/>
                <w:sz w:val="20"/>
                <w:szCs w:val="20"/>
              </w:rPr>
              <w:t>$</w:t>
            </w:r>
            <w:r>
              <w:rPr>
                <w:b w:val="0"/>
                <w:bCs w:val="0"/>
                <w:sz w:val="20"/>
                <w:szCs w:val="20"/>
              </w:rPr>
              <w:t>639,524</w:t>
            </w:r>
          </w:p>
        </w:tc>
      </w:tr>
      <w:tr w14:paraId="492A8FDC" w14:textId="77777777" w:rsidTr="006C3ECC">
        <w:tblPrEx>
          <w:tblW w:w="0" w:type="auto"/>
          <w:tblLook w:val="04A0"/>
        </w:tblPrEx>
        <w:tc>
          <w:tcPr>
            <w:tcW w:w="0" w:type="auto"/>
          </w:tcPr>
          <w:p w:rsidR="007E77EB" w:rsidRPr="00470B64" w:rsidP="006C3ECC" w14:paraId="2524E559" w14:textId="77777777">
            <w:pPr>
              <w:jc w:val="center"/>
              <w:rPr>
                <w:bCs w:val="0"/>
                <w:sz w:val="20"/>
                <w:szCs w:val="20"/>
              </w:rPr>
            </w:pPr>
            <w:r w:rsidRPr="00470B64">
              <w:rPr>
                <w:bCs w:val="0"/>
                <w:sz w:val="20"/>
                <w:szCs w:val="20"/>
              </w:rPr>
              <w:t>July 2018</w:t>
            </w:r>
          </w:p>
        </w:tc>
        <w:tc>
          <w:tcPr>
            <w:tcW w:w="3182" w:type="dxa"/>
          </w:tcPr>
          <w:p w:rsidR="007E77EB" w:rsidRPr="00470B64" w:rsidP="006C3ECC" w14:paraId="137F44C7" w14:textId="77777777">
            <w:pPr>
              <w:jc w:val="center"/>
              <w:rPr>
                <w:b w:val="0"/>
                <w:bCs w:val="0"/>
                <w:sz w:val="20"/>
                <w:szCs w:val="20"/>
              </w:rPr>
            </w:pPr>
            <w:r>
              <w:rPr>
                <w:b w:val="0"/>
                <w:bCs w:val="0"/>
                <w:sz w:val="20"/>
                <w:szCs w:val="20"/>
              </w:rPr>
              <w:t>(</w:t>
            </w:r>
            <w:r w:rsidRPr="00A14BA7">
              <w:rPr>
                <w:b w:val="0"/>
                <w:bCs w:val="0"/>
                <w:sz w:val="20"/>
                <w:szCs w:val="20"/>
              </w:rPr>
              <w:t>$</w:t>
            </w:r>
            <w:r>
              <w:rPr>
                <w:b w:val="0"/>
                <w:bCs w:val="0"/>
                <w:sz w:val="20"/>
                <w:szCs w:val="20"/>
              </w:rPr>
              <w:t>298,476)</w:t>
            </w:r>
          </w:p>
        </w:tc>
        <w:tc>
          <w:tcPr>
            <w:tcW w:w="3240" w:type="dxa"/>
          </w:tcPr>
          <w:p w:rsidR="007E77EB" w:rsidRPr="00470B64" w:rsidP="006C3ECC" w14:paraId="147E37AC" w14:textId="77777777">
            <w:pPr>
              <w:jc w:val="center"/>
              <w:rPr>
                <w:b w:val="0"/>
                <w:bCs w:val="0"/>
                <w:sz w:val="20"/>
                <w:szCs w:val="20"/>
              </w:rPr>
            </w:pPr>
            <w:r w:rsidRPr="00A14BA7">
              <w:rPr>
                <w:b w:val="0"/>
                <w:bCs w:val="0"/>
                <w:sz w:val="20"/>
                <w:szCs w:val="20"/>
              </w:rPr>
              <w:t>$</w:t>
            </w:r>
            <w:r>
              <w:rPr>
                <w:b w:val="0"/>
                <w:bCs w:val="0"/>
                <w:sz w:val="20"/>
                <w:szCs w:val="20"/>
              </w:rPr>
              <w:t>698,248</w:t>
            </w:r>
          </w:p>
        </w:tc>
      </w:tr>
      <w:tr w14:paraId="665AD677" w14:textId="77777777" w:rsidTr="006C3ECC">
        <w:tblPrEx>
          <w:tblW w:w="0" w:type="auto"/>
          <w:tblLook w:val="04A0"/>
        </w:tblPrEx>
        <w:tc>
          <w:tcPr>
            <w:tcW w:w="0" w:type="auto"/>
          </w:tcPr>
          <w:p w:rsidR="007E77EB" w:rsidRPr="00470B64" w:rsidP="006C3ECC" w14:paraId="00DDC49D" w14:textId="77777777">
            <w:pPr>
              <w:jc w:val="center"/>
              <w:rPr>
                <w:bCs w:val="0"/>
                <w:sz w:val="20"/>
                <w:szCs w:val="20"/>
              </w:rPr>
            </w:pPr>
            <w:r w:rsidRPr="00470B64">
              <w:rPr>
                <w:bCs w:val="0"/>
                <w:sz w:val="20"/>
                <w:szCs w:val="20"/>
              </w:rPr>
              <w:t>August 2018</w:t>
            </w:r>
          </w:p>
        </w:tc>
        <w:tc>
          <w:tcPr>
            <w:tcW w:w="3182" w:type="dxa"/>
          </w:tcPr>
          <w:p w:rsidR="007E77EB" w:rsidRPr="00470B64" w:rsidP="006C3ECC" w14:paraId="56CC7EC5" w14:textId="77777777">
            <w:pPr>
              <w:jc w:val="center"/>
              <w:rPr>
                <w:b w:val="0"/>
                <w:bCs w:val="0"/>
                <w:sz w:val="20"/>
                <w:szCs w:val="20"/>
              </w:rPr>
            </w:pPr>
            <w:r w:rsidRPr="00A14BA7">
              <w:rPr>
                <w:b w:val="0"/>
                <w:bCs w:val="0"/>
                <w:sz w:val="20"/>
                <w:szCs w:val="20"/>
              </w:rPr>
              <w:t>$</w:t>
            </w:r>
            <w:r>
              <w:rPr>
                <w:b w:val="0"/>
                <w:bCs w:val="0"/>
                <w:sz w:val="20"/>
                <w:szCs w:val="20"/>
              </w:rPr>
              <w:t>454,993</w:t>
            </w:r>
          </w:p>
        </w:tc>
        <w:tc>
          <w:tcPr>
            <w:tcW w:w="3240" w:type="dxa"/>
          </w:tcPr>
          <w:p w:rsidR="007E77EB" w:rsidRPr="00470B64" w:rsidP="006C3ECC" w14:paraId="7E282D32" w14:textId="77777777">
            <w:pPr>
              <w:jc w:val="center"/>
              <w:rPr>
                <w:b w:val="0"/>
                <w:bCs w:val="0"/>
                <w:sz w:val="20"/>
                <w:szCs w:val="20"/>
              </w:rPr>
            </w:pPr>
            <w:r w:rsidRPr="00A14BA7">
              <w:rPr>
                <w:b w:val="0"/>
                <w:bCs w:val="0"/>
                <w:sz w:val="20"/>
                <w:szCs w:val="20"/>
              </w:rPr>
              <w:t>$</w:t>
            </w:r>
            <w:r>
              <w:rPr>
                <w:b w:val="0"/>
                <w:bCs w:val="0"/>
                <w:sz w:val="20"/>
                <w:szCs w:val="20"/>
              </w:rPr>
              <w:t>687,541</w:t>
            </w:r>
          </w:p>
        </w:tc>
      </w:tr>
      <w:tr w14:paraId="5BA72C37" w14:textId="77777777" w:rsidTr="006C3ECC">
        <w:tblPrEx>
          <w:tblW w:w="0" w:type="auto"/>
          <w:tblLook w:val="04A0"/>
        </w:tblPrEx>
        <w:tc>
          <w:tcPr>
            <w:tcW w:w="0" w:type="auto"/>
          </w:tcPr>
          <w:p w:rsidR="007E77EB" w:rsidRPr="00470B64" w:rsidP="006C3ECC" w14:paraId="45E28472" w14:textId="77777777">
            <w:pPr>
              <w:jc w:val="center"/>
              <w:rPr>
                <w:bCs w:val="0"/>
                <w:sz w:val="20"/>
                <w:szCs w:val="20"/>
              </w:rPr>
            </w:pPr>
            <w:r w:rsidRPr="00470B64">
              <w:rPr>
                <w:bCs w:val="0"/>
                <w:sz w:val="20"/>
                <w:szCs w:val="20"/>
              </w:rPr>
              <w:t>September 2018</w:t>
            </w:r>
          </w:p>
        </w:tc>
        <w:tc>
          <w:tcPr>
            <w:tcW w:w="3182" w:type="dxa"/>
          </w:tcPr>
          <w:p w:rsidR="007E77EB" w:rsidRPr="00470B64" w:rsidP="006C3ECC" w14:paraId="1DFFF4DD" w14:textId="77777777">
            <w:pPr>
              <w:jc w:val="center"/>
              <w:rPr>
                <w:b w:val="0"/>
                <w:bCs w:val="0"/>
                <w:sz w:val="20"/>
                <w:szCs w:val="20"/>
              </w:rPr>
            </w:pPr>
            <w:r w:rsidRPr="00A14BA7">
              <w:rPr>
                <w:b w:val="0"/>
                <w:bCs w:val="0"/>
                <w:sz w:val="20"/>
                <w:szCs w:val="20"/>
              </w:rPr>
              <w:t>$</w:t>
            </w:r>
            <w:r>
              <w:rPr>
                <w:b w:val="0"/>
                <w:bCs w:val="0"/>
                <w:sz w:val="20"/>
                <w:szCs w:val="20"/>
              </w:rPr>
              <w:t>565,640</w:t>
            </w:r>
          </w:p>
        </w:tc>
        <w:tc>
          <w:tcPr>
            <w:tcW w:w="3240" w:type="dxa"/>
          </w:tcPr>
          <w:p w:rsidR="007E77EB" w:rsidRPr="00470B64" w:rsidP="006C3ECC" w14:paraId="7F6187E4" w14:textId="77777777">
            <w:pPr>
              <w:jc w:val="center"/>
              <w:rPr>
                <w:b w:val="0"/>
                <w:bCs w:val="0"/>
                <w:sz w:val="20"/>
                <w:szCs w:val="20"/>
              </w:rPr>
            </w:pPr>
            <w:r w:rsidRPr="00A14BA7">
              <w:rPr>
                <w:b w:val="0"/>
                <w:bCs w:val="0"/>
                <w:sz w:val="20"/>
                <w:szCs w:val="20"/>
              </w:rPr>
              <w:t>$</w:t>
            </w:r>
            <w:r>
              <w:rPr>
                <w:b w:val="0"/>
                <w:bCs w:val="0"/>
                <w:sz w:val="20"/>
                <w:szCs w:val="20"/>
              </w:rPr>
              <w:t>679,417</w:t>
            </w:r>
          </w:p>
        </w:tc>
      </w:tr>
      <w:tr w14:paraId="5B466DE4" w14:textId="77777777" w:rsidTr="006C3ECC">
        <w:tblPrEx>
          <w:tblW w:w="0" w:type="auto"/>
          <w:tblLook w:val="04A0"/>
        </w:tblPrEx>
        <w:tc>
          <w:tcPr>
            <w:tcW w:w="0" w:type="auto"/>
          </w:tcPr>
          <w:p w:rsidR="007E77EB" w:rsidRPr="00470B64" w:rsidP="006C3ECC" w14:paraId="37581385" w14:textId="77777777">
            <w:pPr>
              <w:jc w:val="center"/>
              <w:rPr>
                <w:bCs w:val="0"/>
                <w:sz w:val="20"/>
                <w:szCs w:val="20"/>
              </w:rPr>
            </w:pPr>
            <w:r w:rsidRPr="00470B64">
              <w:rPr>
                <w:bCs w:val="0"/>
                <w:sz w:val="20"/>
                <w:szCs w:val="20"/>
              </w:rPr>
              <w:t>October 2018</w:t>
            </w:r>
          </w:p>
        </w:tc>
        <w:tc>
          <w:tcPr>
            <w:tcW w:w="3182" w:type="dxa"/>
          </w:tcPr>
          <w:p w:rsidR="007E77EB" w:rsidRPr="00470B64" w:rsidP="006C3ECC" w14:paraId="48F1B17A" w14:textId="77777777">
            <w:pPr>
              <w:jc w:val="center"/>
              <w:rPr>
                <w:b w:val="0"/>
                <w:bCs w:val="0"/>
                <w:sz w:val="20"/>
                <w:szCs w:val="20"/>
              </w:rPr>
            </w:pPr>
            <w:r w:rsidRPr="00A14BA7">
              <w:rPr>
                <w:b w:val="0"/>
                <w:bCs w:val="0"/>
                <w:sz w:val="20"/>
                <w:szCs w:val="20"/>
              </w:rPr>
              <w:t>$</w:t>
            </w:r>
            <w:r>
              <w:rPr>
                <w:b w:val="0"/>
                <w:bCs w:val="0"/>
                <w:sz w:val="20"/>
                <w:szCs w:val="20"/>
              </w:rPr>
              <w:t>734,512</w:t>
            </w:r>
          </w:p>
        </w:tc>
        <w:tc>
          <w:tcPr>
            <w:tcW w:w="3240" w:type="dxa"/>
          </w:tcPr>
          <w:p w:rsidR="007E77EB" w:rsidRPr="00470B64" w:rsidP="006C3ECC" w14:paraId="7B327F31" w14:textId="77777777">
            <w:pPr>
              <w:jc w:val="center"/>
              <w:rPr>
                <w:b w:val="0"/>
                <w:bCs w:val="0"/>
                <w:sz w:val="20"/>
                <w:szCs w:val="20"/>
              </w:rPr>
            </w:pPr>
            <w:r w:rsidRPr="00A14BA7">
              <w:rPr>
                <w:b w:val="0"/>
                <w:bCs w:val="0"/>
                <w:sz w:val="20"/>
                <w:szCs w:val="20"/>
              </w:rPr>
              <w:t>$</w:t>
            </w:r>
            <w:r>
              <w:rPr>
                <w:b w:val="0"/>
                <w:bCs w:val="0"/>
                <w:sz w:val="20"/>
                <w:szCs w:val="20"/>
              </w:rPr>
              <w:t>599,230</w:t>
            </w:r>
          </w:p>
        </w:tc>
      </w:tr>
      <w:tr w14:paraId="7108E803" w14:textId="77777777" w:rsidTr="006C3ECC">
        <w:tblPrEx>
          <w:tblW w:w="0" w:type="auto"/>
          <w:tblLook w:val="04A0"/>
        </w:tblPrEx>
        <w:tc>
          <w:tcPr>
            <w:tcW w:w="0" w:type="auto"/>
          </w:tcPr>
          <w:p w:rsidR="007E77EB" w:rsidRPr="00470B64" w:rsidP="006C3ECC" w14:paraId="37F29DAB" w14:textId="77777777">
            <w:pPr>
              <w:jc w:val="center"/>
              <w:rPr>
                <w:bCs w:val="0"/>
              </w:rPr>
            </w:pPr>
            <w:r w:rsidRPr="00470B64">
              <w:rPr>
                <w:bCs w:val="0"/>
              </w:rPr>
              <w:t>2018 through October</w:t>
            </w:r>
          </w:p>
        </w:tc>
        <w:tc>
          <w:tcPr>
            <w:tcW w:w="3182" w:type="dxa"/>
          </w:tcPr>
          <w:p w:rsidR="007E77EB" w:rsidRPr="00CC73DB" w:rsidP="006C3ECC" w14:paraId="71977ACA" w14:textId="77777777">
            <w:pPr>
              <w:jc w:val="center"/>
              <w:rPr>
                <w:bCs w:val="0"/>
                <w:sz w:val="20"/>
                <w:szCs w:val="20"/>
              </w:rPr>
            </w:pPr>
            <w:r w:rsidRPr="00CC73DB">
              <w:rPr>
                <w:bCs w:val="0"/>
                <w:sz w:val="20"/>
                <w:szCs w:val="20"/>
              </w:rPr>
              <w:t>$4,462,637</w:t>
            </w:r>
          </w:p>
        </w:tc>
        <w:tc>
          <w:tcPr>
            <w:tcW w:w="3240" w:type="dxa"/>
          </w:tcPr>
          <w:p w:rsidR="007E77EB" w:rsidRPr="00CC73DB" w:rsidP="006C3ECC" w14:paraId="5B4E9722" w14:textId="77777777">
            <w:pPr>
              <w:jc w:val="center"/>
              <w:rPr>
                <w:bCs w:val="0"/>
                <w:sz w:val="20"/>
                <w:szCs w:val="20"/>
              </w:rPr>
            </w:pPr>
            <w:r w:rsidRPr="00CC73DB">
              <w:rPr>
                <w:bCs w:val="0"/>
                <w:sz w:val="20"/>
                <w:szCs w:val="20"/>
              </w:rPr>
              <w:t>$6,446,642</w:t>
            </w:r>
          </w:p>
        </w:tc>
      </w:tr>
      <w:tr w14:paraId="0EA298AD" w14:textId="77777777" w:rsidTr="006C3ECC">
        <w:tblPrEx>
          <w:tblW w:w="0" w:type="auto"/>
          <w:tblLook w:val="04A0"/>
        </w:tblPrEx>
        <w:tc>
          <w:tcPr>
            <w:tcW w:w="0" w:type="auto"/>
          </w:tcPr>
          <w:p w:rsidR="007E77EB" w:rsidRPr="00470B64" w:rsidP="006C3ECC" w14:paraId="7DB9B42C" w14:textId="77777777">
            <w:pPr>
              <w:jc w:val="center"/>
              <w:rPr>
                <w:bCs w:val="0"/>
                <w:sz w:val="20"/>
                <w:szCs w:val="20"/>
              </w:rPr>
            </w:pPr>
            <w:r w:rsidRPr="00470B64">
              <w:rPr>
                <w:bCs w:val="0"/>
                <w:sz w:val="20"/>
                <w:szCs w:val="20"/>
              </w:rPr>
              <w:t>November 2018</w:t>
            </w:r>
          </w:p>
        </w:tc>
        <w:tc>
          <w:tcPr>
            <w:tcW w:w="3182" w:type="dxa"/>
          </w:tcPr>
          <w:p w:rsidR="007E77EB" w:rsidRPr="00470B64" w:rsidP="006C3ECC" w14:paraId="5841EA34" w14:textId="77777777">
            <w:pPr>
              <w:jc w:val="center"/>
              <w:rPr>
                <w:b w:val="0"/>
                <w:bCs w:val="0"/>
                <w:sz w:val="20"/>
                <w:szCs w:val="20"/>
              </w:rPr>
            </w:pPr>
            <w:r>
              <w:rPr>
                <w:b w:val="0"/>
                <w:bCs w:val="0"/>
                <w:sz w:val="20"/>
                <w:szCs w:val="20"/>
              </w:rPr>
              <w:t>(</w:t>
            </w:r>
            <w:r w:rsidRPr="00A14BA7">
              <w:rPr>
                <w:b w:val="0"/>
                <w:bCs w:val="0"/>
                <w:sz w:val="20"/>
                <w:szCs w:val="20"/>
              </w:rPr>
              <w:t>$</w:t>
            </w:r>
            <w:r>
              <w:rPr>
                <w:b w:val="0"/>
                <w:bCs w:val="0"/>
                <w:sz w:val="20"/>
                <w:szCs w:val="20"/>
              </w:rPr>
              <w:t>37,368)</w:t>
            </w:r>
          </w:p>
        </w:tc>
        <w:tc>
          <w:tcPr>
            <w:tcW w:w="3240" w:type="dxa"/>
          </w:tcPr>
          <w:p w:rsidR="007E77EB" w:rsidRPr="00470B64" w:rsidP="006C3ECC" w14:paraId="73C2AE38" w14:textId="77777777">
            <w:pPr>
              <w:jc w:val="center"/>
              <w:rPr>
                <w:b w:val="0"/>
                <w:bCs w:val="0"/>
                <w:sz w:val="20"/>
                <w:szCs w:val="20"/>
              </w:rPr>
            </w:pPr>
            <w:r w:rsidRPr="00A14BA7">
              <w:rPr>
                <w:b w:val="0"/>
                <w:bCs w:val="0"/>
                <w:sz w:val="20"/>
                <w:szCs w:val="20"/>
              </w:rPr>
              <w:t>$</w:t>
            </w:r>
            <w:r>
              <w:rPr>
                <w:b w:val="0"/>
                <w:bCs w:val="0"/>
                <w:sz w:val="20"/>
                <w:szCs w:val="20"/>
              </w:rPr>
              <w:t>681,789</w:t>
            </w:r>
          </w:p>
        </w:tc>
      </w:tr>
      <w:tr w14:paraId="17A6672E" w14:textId="77777777" w:rsidTr="006C3ECC">
        <w:tblPrEx>
          <w:tblW w:w="0" w:type="auto"/>
          <w:tblLook w:val="04A0"/>
        </w:tblPrEx>
        <w:tc>
          <w:tcPr>
            <w:tcW w:w="0" w:type="auto"/>
          </w:tcPr>
          <w:p w:rsidR="007E77EB" w:rsidRPr="00470B64" w:rsidP="006C3ECC" w14:paraId="0EC7E1EB" w14:textId="77777777">
            <w:pPr>
              <w:jc w:val="center"/>
              <w:rPr>
                <w:bCs w:val="0"/>
                <w:sz w:val="20"/>
                <w:szCs w:val="20"/>
              </w:rPr>
            </w:pPr>
            <w:r w:rsidRPr="00470B64">
              <w:rPr>
                <w:bCs w:val="0"/>
                <w:sz w:val="20"/>
                <w:szCs w:val="20"/>
              </w:rPr>
              <w:t>December 2018</w:t>
            </w:r>
          </w:p>
        </w:tc>
        <w:tc>
          <w:tcPr>
            <w:tcW w:w="3182" w:type="dxa"/>
          </w:tcPr>
          <w:p w:rsidR="007E77EB" w:rsidRPr="00470B64" w:rsidP="006C3ECC" w14:paraId="2532A946" w14:textId="77777777">
            <w:pPr>
              <w:jc w:val="center"/>
              <w:rPr>
                <w:b w:val="0"/>
                <w:bCs w:val="0"/>
                <w:sz w:val="20"/>
                <w:szCs w:val="20"/>
              </w:rPr>
            </w:pPr>
            <w:r w:rsidRPr="00A14BA7">
              <w:rPr>
                <w:b w:val="0"/>
                <w:bCs w:val="0"/>
                <w:sz w:val="20"/>
                <w:szCs w:val="20"/>
              </w:rPr>
              <w:t>$</w:t>
            </w:r>
            <w:r>
              <w:rPr>
                <w:b w:val="0"/>
                <w:bCs w:val="0"/>
                <w:sz w:val="20"/>
                <w:szCs w:val="20"/>
              </w:rPr>
              <w:t>567,633</w:t>
            </w:r>
          </w:p>
        </w:tc>
        <w:tc>
          <w:tcPr>
            <w:tcW w:w="3240" w:type="dxa"/>
          </w:tcPr>
          <w:p w:rsidR="007E77EB" w:rsidRPr="00470B64" w:rsidP="006C3ECC" w14:paraId="23949F0C" w14:textId="77777777">
            <w:pPr>
              <w:jc w:val="center"/>
              <w:rPr>
                <w:b w:val="0"/>
                <w:bCs w:val="0"/>
                <w:sz w:val="20"/>
                <w:szCs w:val="20"/>
              </w:rPr>
            </w:pPr>
            <w:r w:rsidRPr="00A14BA7">
              <w:rPr>
                <w:b w:val="0"/>
                <w:bCs w:val="0"/>
                <w:sz w:val="20"/>
                <w:szCs w:val="20"/>
              </w:rPr>
              <w:t>$</w:t>
            </w:r>
            <w:r>
              <w:rPr>
                <w:b w:val="0"/>
                <w:bCs w:val="0"/>
                <w:sz w:val="20"/>
                <w:szCs w:val="20"/>
              </w:rPr>
              <w:t>734,733</w:t>
            </w:r>
          </w:p>
        </w:tc>
      </w:tr>
      <w:tr w14:paraId="386CFF5F" w14:textId="77777777" w:rsidTr="006C3ECC">
        <w:tblPrEx>
          <w:tblW w:w="0" w:type="auto"/>
          <w:tblLook w:val="04A0"/>
        </w:tblPrEx>
        <w:tc>
          <w:tcPr>
            <w:tcW w:w="0" w:type="auto"/>
          </w:tcPr>
          <w:p w:rsidR="007E77EB" w:rsidRPr="00470B64" w:rsidP="006C3ECC" w14:paraId="65D0FEB0" w14:textId="77777777">
            <w:pPr>
              <w:jc w:val="center"/>
              <w:rPr>
                <w:bCs w:val="0"/>
              </w:rPr>
            </w:pPr>
            <w:r w:rsidRPr="00470B64">
              <w:rPr>
                <w:bCs w:val="0"/>
              </w:rPr>
              <w:t>2018 Total</w:t>
            </w:r>
          </w:p>
        </w:tc>
        <w:tc>
          <w:tcPr>
            <w:tcW w:w="3182" w:type="dxa"/>
          </w:tcPr>
          <w:p w:rsidR="007E77EB" w:rsidRPr="00CC73DB" w:rsidP="006C3ECC" w14:paraId="1DC7A1DF" w14:textId="77777777">
            <w:pPr>
              <w:jc w:val="center"/>
              <w:rPr>
                <w:bCs w:val="0"/>
                <w:sz w:val="20"/>
                <w:szCs w:val="20"/>
              </w:rPr>
            </w:pPr>
            <w:r w:rsidRPr="00CC73DB">
              <w:rPr>
                <w:bCs w:val="0"/>
                <w:sz w:val="20"/>
                <w:szCs w:val="20"/>
              </w:rPr>
              <w:t>$4,992,902</w:t>
            </w:r>
          </w:p>
        </w:tc>
        <w:tc>
          <w:tcPr>
            <w:tcW w:w="3240" w:type="dxa"/>
          </w:tcPr>
          <w:p w:rsidR="007E77EB" w:rsidRPr="00CC73DB" w:rsidP="006C3ECC" w14:paraId="0E99AC20" w14:textId="77777777">
            <w:pPr>
              <w:jc w:val="center"/>
              <w:rPr>
                <w:bCs w:val="0"/>
                <w:sz w:val="20"/>
                <w:szCs w:val="20"/>
              </w:rPr>
            </w:pPr>
            <w:r w:rsidRPr="00CC73DB">
              <w:rPr>
                <w:bCs w:val="0"/>
                <w:sz w:val="20"/>
                <w:szCs w:val="20"/>
              </w:rPr>
              <w:t>$7,863,164</w:t>
            </w:r>
          </w:p>
        </w:tc>
      </w:tr>
      <w:tr w14:paraId="6464B8F5" w14:textId="77777777" w:rsidTr="006C3ECC">
        <w:tblPrEx>
          <w:tblW w:w="0" w:type="auto"/>
          <w:tblLook w:val="04A0"/>
        </w:tblPrEx>
        <w:tc>
          <w:tcPr>
            <w:tcW w:w="0" w:type="auto"/>
          </w:tcPr>
          <w:p w:rsidR="007E77EB" w:rsidRPr="00470B64" w:rsidP="006C3ECC" w14:paraId="488DBEBF" w14:textId="77777777">
            <w:pPr>
              <w:jc w:val="center"/>
              <w:rPr>
                <w:bCs w:val="0"/>
                <w:sz w:val="20"/>
                <w:szCs w:val="20"/>
              </w:rPr>
            </w:pPr>
            <w:r w:rsidRPr="00470B64">
              <w:rPr>
                <w:bCs w:val="0"/>
                <w:sz w:val="20"/>
                <w:szCs w:val="20"/>
              </w:rPr>
              <w:t>January 2019</w:t>
            </w:r>
          </w:p>
        </w:tc>
        <w:tc>
          <w:tcPr>
            <w:tcW w:w="3182" w:type="dxa"/>
          </w:tcPr>
          <w:p w:rsidR="007E77EB" w:rsidRPr="00470B64" w:rsidP="006C3ECC" w14:paraId="00DB7A0F" w14:textId="77777777">
            <w:pPr>
              <w:jc w:val="center"/>
              <w:rPr>
                <w:b w:val="0"/>
                <w:bCs w:val="0"/>
                <w:sz w:val="20"/>
                <w:szCs w:val="20"/>
              </w:rPr>
            </w:pPr>
            <w:r w:rsidRPr="00A14BA7">
              <w:rPr>
                <w:b w:val="0"/>
                <w:bCs w:val="0"/>
                <w:sz w:val="20"/>
                <w:szCs w:val="20"/>
              </w:rPr>
              <w:t>$</w:t>
            </w:r>
            <w:r>
              <w:rPr>
                <w:b w:val="0"/>
                <w:bCs w:val="0"/>
                <w:sz w:val="20"/>
                <w:szCs w:val="20"/>
              </w:rPr>
              <w:t>980,160</w:t>
            </w:r>
          </w:p>
        </w:tc>
        <w:tc>
          <w:tcPr>
            <w:tcW w:w="3240" w:type="dxa"/>
          </w:tcPr>
          <w:p w:rsidR="007E77EB" w:rsidRPr="00470B64" w:rsidP="006C3ECC" w14:paraId="7EE64EAA" w14:textId="77777777">
            <w:pPr>
              <w:jc w:val="center"/>
              <w:rPr>
                <w:b w:val="0"/>
                <w:bCs w:val="0"/>
                <w:sz w:val="20"/>
                <w:szCs w:val="20"/>
              </w:rPr>
            </w:pPr>
            <w:r w:rsidRPr="00A14BA7">
              <w:rPr>
                <w:b w:val="0"/>
                <w:bCs w:val="0"/>
                <w:sz w:val="20"/>
                <w:szCs w:val="20"/>
              </w:rPr>
              <w:t>$</w:t>
            </w:r>
            <w:r>
              <w:rPr>
                <w:b w:val="0"/>
                <w:bCs w:val="0"/>
                <w:sz w:val="20"/>
                <w:szCs w:val="20"/>
              </w:rPr>
              <w:t>810,285</w:t>
            </w:r>
          </w:p>
        </w:tc>
      </w:tr>
      <w:tr w14:paraId="3914097B" w14:textId="77777777" w:rsidTr="006C3ECC">
        <w:tblPrEx>
          <w:tblW w:w="0" w:type="auto"/>
          <w:tblLook w:val="04A0"/>
        </w:tblPrEx>
        <w:tc>
          <w:tcPr>
            <w:tcW w:w="0" w:type="auto"/>
          </w:tcPr>
          <w:p w:rsidR="007E77EB" w:rsidRPr="00470B64" w:rsidP="006C3ECC" w14:paraId="07187549" w14:textId="77777777">
            <w:pPr>
              <w:jc w:val="center"/>
              <w:rPr>
                <w:bCs w:val="0"/>
                <w:sz w:val="20"/>
                <w:szCs w:val="20"/>
              </w:rPr>
            </w:pPr>
            <w:r w:rsidRPr="00470B64">
              <w:rPr>
                <w:bCs w:val="0"/>
                <w:sz w:val="20"/>
                <w:szCs w:val="20"/>
              </w:rPr>
              <w:t>February 2019</w:t>
            </w:r>
          </w:p>
        </w:tc>
        <w:tc>
          <w:tcPr>
            <w:tcW w:w="3182" w:type="dxa"/>
          </w:tcPr>
          <w:p w:rsidR="007E77EB" w:rsidRPr="00470B64" w:rsidP="006C3ECC" w14:paraId="505822AC" w14:textId="77777777">
            <w:pPr>
              <w:jc w:val="center"/>
              <w:rPr>
                <w:b w:val="0"/>
                <w:bCs w:val="0"/>
                <w:sz w:val="20"/>
                <w:szCs w:val="20"/>
              </w:rPr>
            </w:pPr>
            <w:r w:rsidRPr="00A14BA7">
              <w:rPr>
                <w:b w:val="0"/>
                <w:bCs w:val="0"/>
                <w:sz w:val="20"/>
                <w:szCs w:val="20"/>
              </w:rPr>
              <w:t>$1,</w:t>
            </w:r>
            <w:r>
              <w:rPr>
                <w:b w:val="0"/>
                <w:bCs w:val="0"/>
                <w:sz w:val="20"/>
                <w:szCs w:val="20"/>
              </w:rPr>
              <w:t>136,108</w:t>
            </w:r>
          </w:p>
        </w:tc>
        <w:tc>
          <w:tcPr>
            <w:tcW w:w="3240" w:type="dxa"/>
          </w:tcPr>
          <w:p w:rsidR="007E77EB" w:rsidRPr="00470B64" w:rsidP="006C3ECC" w14:paraId="60370051" w14:textId="77777777">
            <w:pPr>
              <w:jc w:val="center"/>
              <w:rPr>
                <w:b w:val="0"/>
                <w:bCs w:val="0"/>
                <w:sz w:val="20"/>
                <w:szCs w:val="20"/>
              </w:rPr>
            </w:pPr>
            <w:r w:rsidRPr="00A14BA7">
              <w:rPr>
                <w:b w:val="0"/>
                <w:bCs w:val="0"/>
                <w:sz w:val="20"/>
                <w:szCs w:val="20"/>
              </w:rPr>
              <w:t>$</w:t>
            </w:r>
            <w:r>
              <w:rPr>
                <w:b w:val="0"/>
                <w:bCs w:val="0"/>
                <w:sz w:val="20"/>
                <w:szCs w:val="20"/>
              </w:rPr>
              <w:t>827,225</w:t>
            </w:r>
          </w:p>
        </w:tc>
      </w:tr>
      <w:tr w14:paraId="2775905D" w14:textId="77777777" w:rsidTr="006C3ECC">
        <w:tblPrEx>
          <w:tblW w:w="0" w:type="auto"/>
          <w:tblLook w:val="04A0"/>
        </w:tblPrEx>
        <w:tc>
          <w:tcPr>
            <w:tcW w:w="0" w:type="auto"/>
          </w:tcPr>
          <w:p w:rsidR="007E77EB" w:rsidRPr="00470B64" w:rsidP="006C3ECC" w14:paraId="50BC764B" w14:textId="77777777">
            <w:pPr>
              <w:jc w:val="center"/>
              <w:rPr>
                <w:bCs w:val="0"/>
                <w:sz w:val="20"/>
                <w:szCs w:val="20"/>
              </w:rPr>
            </w:pPr>
            <w:r w:rsidRPr="00470B64">
              <w:rPr>
                <w:bCs w:val="0"/>
                <w:sz w:val="20"/>
                <w:szCs w:val="20"/>
              </w:rPr>
              <w:t>March 2019</w:t>
            </w:r>
          </w:p>
        </w:tc>
        <w:tc>
          <w:tcPr>
            <w:tcW w:w="3182" w:type="dxa"/>
          </w:tcPr>
          <w:p w:rsidR="007E77EB" w:rsidRPr="00470B64" w:rsidP="006C3ECC" w14:paraId="69130771" w14:textId="77777777">
            <w:pPr>
              <w:jc w:val="center"/>
              <w:rPr>
                <w:b w:val="0"/>
                <w:bCs w:val="0"/>
                <w:sz w:val="20"/>
                <w:szCs w:val="20"/>
              </w:rPr>
            </w:pPr>
            <w:r w:rsidRPr="00A14BA7">
              <w:rPr>
                <w:b w:val="0"/>
                <w:bCs w:val="0"/>
                <w:sz w:val="20"/>
                <w:szCs w:val="20"/>
              </w:rPr>
              <w:t>$</w:t>
            </w:r>
            <w:r>
              <w:rPr>
                <w:b w:val="0"/>
                <w:bCs w:val="0"/>
                <w:sz w:val="20"/>
                <w:szCs w:val="20"/>
              </w:rPr>
              <w:t>599,844</w:t>
            </w:r>
          </w:p>
        </w:tc>
        <w:tc>
          <w:tcPr>
            <w:tcW w:w="3240" w:type="dxa"/>
          </w:tcPr>
          <w:p w:rsidR="007E77EB" w:rsidRPr="00470B64" w:rsidP="006C3ECC" w14:paraId="1A115EFB" w14:textId="77777777">
            <w:pPr>
              <w:jc w:val="center"/>
              <w:rPr>
                <w:b w:val="0"/>
                <w:bCs w:val="0"/>
                <w:sz w:val="20"/>
                <w:szCs w:val="20"/>
              </w:rPr>
            </w:pPr>
            <w:r w:rsidRPr="00A14BA7">
              <w:rPr>
                <w:b w:val="0"/>
                <w:bCs w:val="0"/>
                <w:sz w:val="20"/>
                <w:szCs w:val="20"/>
              </w:rPr>
              <w:t>$</w:t>
            </w:r>
            <w:r>
              <w:rPr>
                <w:b w:val="0"/>
                <w:bCs w:val="0"/>
                <w:sz w:val="20"/>
                <w:szCs w:val="20"/>
              </w:rPr>
              <w:t>737,353</w:t>
            </w:r>
          </w:p>
        </w:tc>
      </w:tr>
      <w:tr w14:paraId="7D18BD3C" w14:textId="77777777" w:rsidTr="006C3ECC">
        <w:tblPrEx>
          <w:tblW w:w="0" w:type="auto"/>
          <w:tblLook w:val="04A0"/>
        </w:tblPrEx>
        <w:tc>
          <w:tcPr>
            <w:tcW w:w="0" w:type="auto"/>
          </w:tcPr>
          <w:p w:rsidR="007E77EB" w:rsidRPr="00470B64" w:rsidP="006C3ECC" w14:paraId="642FF6B5" w14:textId="77777777">
            <w:pPr>
              <w:jc w:val="center"/>
              <w:rPr>
                <w:bCs w:val="0"/>
                <w:sz w:val="20"/>
                <w:szCs w:val="20"/>
              </w:rPr>
            </w:pPr>
            <w:r w:rsidRPr="00470B64">
              <w:rPr>
                <w:bCs w:val="0"/>
                <w:sz w:val="20"/>
                <w:szCs w:val="20"/>
              </w:rPr>
              <w:t>April 2019</w:t>
            </w:r>
          </w:p>
        </w:tc>
        <w:tc>
          <w:tcPr>
            <w:tcW w:w="3182" w:type="dxa"/>
          </w:tcPr>
          <w:p w:rsidR="007E77EB" w:rsidRPr="00470B64" w:rsidP="006C3ECC" w14:paraId="1F185D11" w14:textId="77777777">
            <w:pPr>
              <w:jc w:val="center"/>
              <w:rPr>
                <w:b w:val="0"/>
                <w:bCs w:val="0"/>
                <w:sz w:val="20"/>
                <w:szCs w:val="20"/>
              </w:rPr>
            </w:pPr>
            <w:r w:rsidRPr="00A14BA7">
              <w:rPr>
                <w:b w:val="0"/>
                <w:bCs w:val="0"/>
                <w:sz w:val="20"/>
                <w:szCs w:val="20"/>
              </w:rPr>
              <w:t>$1,</w:t>
            </w:r>
            <w:r>
              <w:rPr>
                <w:b w:val="0"/>
                <w:bCs w:val="0"/>
                <w:sz w:val="20"/>
                <w:szCs w:val="20"/>
              </w:rPr>
              <w:t>660,751</w:t>
            </w:r>
          </w:p>
        </w:tc>
        <w:tc>
          <w:tcPr>
            <w:tcW w:w="3240" w:type="dxa"/>
          </w:tcPr>
          <w:p w:rsidR="007E77EB" w:rsidRPr="00470B64" w:rsidP="006C3ECC" w14:paraId="04B70A74" w14:textId="77777777">
            <w:pPr>
              <w:jc w:val="center"/>
              <w:rPr>
                <w:b w:val="0"/>
                <w:bCs w:val="0"/>
                <w:sz w:val="20"/>
                <w:szCs w:val="20"/>
              </w:rPr>
            </w:pPr>
            <w:r w:rsidRPr="00A14BA7">
              <w:rPr>
                <w:b w:val="0"/>
                <w:bCs w:val="0"/>
                <w:sz w:val="20"/>
                <w:szCs w:val="20"/>
              </w:rPr>
              <w:t>$</w:t>
            </w:r>
            <w:r>
              <w:rPr>
                <w:b w:val="0"/>
                <w:bCs w:val="0"/>
                <w:sz w:val="20"/>
                <w:szCs w:val="20"/>
              </w:rPr>
              <w:t>674,455</w:t>
            </w:r>
          </w:p>
        </w:tc>
      </w:tr>
      <w:tr w14:paraId="25884B42" w14:textId="77777777" w:rsidTr="006C3ECC">
        <w:tblPrEx>
          <w:tblW w:w="0" w:type="auto"/>
          <w:tblLook w:val="04A0"/>
        </w:tblPrEx>
        <w:tc>
          <w:tcPr>
            <w:tcW w:w="0" w:type="auto"/>
          </w:tcPr>
          <w:p w:rsidR="007E77EB" w:rsidRPr="00470B64" w:rsidP="006C3ECC" w14:paraId="3920905F" w14:textId="77777777">
            <w:pPr>
              <w:jc w:val="center"/>
              <w:rPr>
                <w:bCs w:val="0"/>
                <w:sz w:val="20"/>
                <w:szCs w:val="20"/>
              </w:rPr>
            </w:pPr>
            <w:r w:rsidRPr="00470B64">
              <w:rPr>
                <w:bCs w:val="0"/>
                <w:sz w:val="20"/>
                <w:szCs w:val="20"/>
              </w:rPr>
              <w:t>May 2019</w:t>
            </w:r>
          </w:p>
        </w:tc>
        <w:tc>
          <w:tcPr>
            <w:tcW w:w="3182" w:type="dxa"/>
          </w:tcPr>
          <w:p w:rsidR="007E77EB" w:rsidRPr="00470B64" w:rsidP="006C3ECC" w14:paraId="314F63CE" w14:textId="77777777">
            <w:pPr>
              <w:jc w:val="center"/>
              <w:rPr>
                <w:b w:val="0"/>
                <w:bCs w:val="0"/>
                <w:sz w:val="20"/>
                <w:szCs w:val="20"/>
              </w:rPr>
            </w:pPr>
            <w:r w:rsidRPr="00A14BA7">
              <w:rPr>
                <w:b w:val="0"/>
                <w:bCs w:val="0"/>
                <w:sz w:val="20"/>
                <w:szCs w:val="20"/>
              </w:rPr>
              <w:t>$1,</w:t>
            </w:r>
            <w:r>
              <w:rPr>
                <w:b w:val="0"/>
                <w:bCs w:val="0"/>
                <w:sz w:val="20"/>
                <w:szCs w:val="20"/>
              </w:rPr>
              <w:t>021,636</w:t>
            </w:r>
          </w:p>
        </w:tc>
        <w:tc>
          <w:tcPr>
            <w:tcW w:w="3240" w:type="dxa"/>
          </w:tcPr>
          <w:p w:rsidR="007E77EB" w:rsidRPr="00470B64" w:rsidP="006C3ECC" w14:paraId="4DB4A0C4" w14:textId="77777777">
            <w:pPr>
              <w:jc w:val="center"/>
              <w:rPr>
                <w:b w:val="0"/>
                <w:bCs w:val="0"/>
                <w:sz w:val="20"/>
                <w:szCs w:val="20"/>
              </w:rPr>
            </w:pPr>
            <w:r w:rsidRPr="00A14BA7">
              <w:rPr>
                <w:b w:val="0"/>
                <w:bCs w:val="0"/>
                <w:sz w:val="20"/>
                <w:szCs w:val="20"/>
              </w:rPr>
              <w:t>$</w:t>
            </w:r>
            <w:r>
              <w:rPr>
                <w:b w:val="0"/>
                <w:bCs w:val="0"/>
                <w:sz w:val="20"/>
                <w:szCs w:val="20"/>
              </w:rPr>
              <w:t>645,711</w:t>
            </w:r>
          </w:p>
        </w:tc>
      </w:tr>
      <w:tr w14:paraId="0BC081A8" w14:textId="77777777" w:rsidTr="006C3ECC">
        <w:tblPrEx>
          <w:tblW w:w="0" w:type="auto"/>
          <w:tblLook w:val="04A0"/>
        </w:tblPrEx>
        <w:tc>
          <w:tcPr>
            <w:tcW w:w="0" w:type="auto"/>
          </w:tcPr>
          <w:p w:rsidR="007E77EB" w:rsidRPr="00470B64" w:rsidP="006C3ECC" w14:paraId="78BBE476" w14:textId="77777777">
            <w:pPr>
              <w:jc w:val="center"/>
              <w:rPr>
                <w:bCs w:val="0"/>
                <w:sz w:val="20"/>
                <w:szCs w:val="20"/>
              </w:rPr>
            </w:pPr>
            <w:r w:rsidRPr="00470B64">
              <w:rPr>
                <w:bCs w:val="0"/>
                <w:sz w:val="20"/>
                <w:szCs w:val="20"/>
              </w:rPr>
              <w:t>June 2019</w:t>
            </w:r>
          </w:p>
        </w:tc>
        <w:tc>
          <w:tcPr>
            <w:tcW w:w="3182" w:type="dxa"/>
          </w:tcPr>
          <w:p w:rsidR="007E77EB" w:rsidRPr="00470B64" w:rsidP="006C3ECC" w14:paraId="5B3879A1" w14:textId="77777777">
            <w:pPr>
              <w:jc w:val="center"/>
              <w:rPr>
                <w:b w:val="0"/>
                <w:bCs w:val="0"/>
                <w:sz w:val="20"/>
                <w:szCs w:val="20"/>
              </w:rPr>
            </w:pPr>
            <w:r w:rsidRPr="00A14BA7">
              <w:rPr>
                <w:b w:val="0"/>
                <w:bCs w:val="0"/>
                <w:sz w:val="20"/>
                <w:szCs w:val="20"/>
              </w:rPr>
              <w:t>$1,</w:t>
            </w:r>
            <w:r>
              <w:rPr>
                <w:b w:val="0"/>
                <w:bCs w:val="0"/>
                <w:sz w:val="20"/>
                <w:szCs w:val="20"/>
              </w:rPr>
              <w:t>135,838</w:t>
            </w:r>
          </w:p>
        </w:tc>
        <w:tc>
          <w:tcPr>
            <w:tcW w:w="3240" w:type="dxa"/>
          </w:tcPr>
          <w:p w:rsidR="007E77EB" w:rsidRPr="00470B64" w:rsidP="006C3ECC" w14:paraId="209EEB95" w14:textId="77777777">
            <w:pPr>
              <w:jc w:val="center"/>
              <w:rPr>
                <w:b w:val="0"/>
                <w:bCs w:val="0"/>
                <w:sz w:val="20"/>
                <w:szCs w:val="20"/>
              </w:rPr>
            </w:pPr>
            <w:r w:rsidRPr="00A14BA7">
              <w:rPr>
                <w:b w:val="0"/>
                <w:bCs w:val="0"/>
                <w:sz w:val="20"/>
                <w:szCs w:val="20"/>
              </w:rPr>
              <w:t>$</w:t>
            </w:r>
            <w:r>
              <w:rPr>
                <w:b w:val="0"/>
                <w:bCs w:val="0"/>
                <w:sz w:val="20"/>
                <w:szCs w:val="20"/>
              </w:rPr>
              <w:t>684,960</w:t>
            </w:r>
          </w:p>
        </w:tc>
      </w:tr>
      <w:tr w14:paraId="2365E431" w14:textId="77777777" w:rsidTr="006C3ECC">
        <w:tblPrEx>
          <w:tblW w:w="0" w:type="auto"/>
          <w:tblLook w:val="04A0"/>
        </w:tblPrEx>
        <w:tc>
          <w:tcPr>
            <w:tcW w:w="0" w:type="auto"/>
          </w:tcPr>
          <w:p w:rsidR="007E77EB" w:rsidRPr="00470B64" w:rsidP="006C3ECC" w14:paraId="733ACB4A" w14:textId="77777777">
            <w:pPr>
              <w:jc w:val="center"/>
              <w:rPr>
                <w:bCs w:val="0"/>
                <w:sz w:val="20"/>
                <w:szCs w:val="20"/>
              </w:rPr>
            </w:pPr>
            <w:r w:rsidRPr="00470B64">
              <w:rPr>
                <w:bCs w:val="0"/>
                <w:sz w:val="20"/>
                <w:szCs w:val="20"/>
              </w:rPr>
              <w:t>July 2019</w:t>
            </w:r>
          </w:p>
        </w:tc>
        <w:tc>
          <w:tcPr>
            <w:tcW w:w="3182" w:type="dxa"/>
          </w:tcPr>
          <w:p w:rsidR="007E77EB" w:rsidRPr="00470B64" w:rsidP="006C3ECC" w14:paraId="3195DE1B" w14:textId="77777777">
            <w:pPr>
              <w:jc w:val="center"/>
              <w:rPr>
                <w:b w:val="0"/>
                <w:bCs w:val="0"/>
                <w:sz w:val="20"/>
                <w:szCs w:val="20"/>
              </w:rPr>
            </w:pPr>
            <w:r w:rsidRPr="00A14BA7">
              <w:rPr>
                <w:b w:val="0"/>
                <w:bCs w:val="0"/>
                <w:sz w:val="20"/>
                <w:szCs w:val="20"/>
              </w:rPr>
              <w:t>$</w:t>
            </w:r>
            <w:r>
              <w:rPr>
                <w:b w:val="0"/>
                <w:bCs w:val="0"/>
                <w:sz w:val="20"/>
                <w:szCs w:val="20"/>
              </w:rPr>
              <w:t>908,266</w:t>
            </w:r>
          </w:p>
        </w:tc>
        <w:tc>
          <w:tcPr>
            <w:tcW w:w="3240" w:type="dxa"/>
          </w:tcPr>
          <w:p w:rsidR="007E77EB" w:rsidRPr="00470B64" w:rsidP="006C3ECC" w14:paraId="5D766DF9" w14:textId="77777777">
            <w:pPr>
              <w:jc w:val="center"/>
              <w:rPr>
                <w:b w:val="0"/>
                <w:bCs w:val="0"/>
                <w:sz w:val="20"/>
                <w:szCs w:val="20"/>
              </w:rPr>
            </w:pPr>
            <w:r w:rsidRPr="00A14BA7">
              <w:rPr>
                <w:b w:val="0"/>
                <w:bCs w:val="0"/>
                <w:sz w:val="20"/>
                <w:szCs w:val="20"/>
              </w:rPr>
              <w:t>$</w:t>
            </w:r>
            <w:r>
              <w:rPr>
                <w:b w:val="0"/>
                <w:bCs w:val="0"/>
                <w:sz w:val="20"/>
                <w:szCs w:val="20"/>
              </w:rPr>
              <w:t>813,861</w:t>
            </w:r>
          </w:p>
        </w:tc>
      </w:tr>
      <w:tr w14:paraId="054DA6BD" w14:textId="77777777" w:rsidTr="006C3ECC">
        <w:tblPrEx>
          <w:tblW w:w="0" w:type="auto"/>
          <w:tblLook w:val="04A0"/>
        </w:tblPrEx>
        <w:tc>
          <w:tcPr>
            <w:tcW w:w="0" w:type="auto"/>
          </w:tcPr>
          <w:p w:rsidR="007E77EB" w:rsidRPr="00470B64" w:rsidP="006C3ECC" w14:paraId="16EFF383" w14:textId="77777777">
            <w:pPr>
              <w:jc w:val="center"/>
              <w:rPr>
                <w:bCs w:val="0"/>
                <w:sz w:val="20"/>
                <w:szCs w:val="20"/>
              </w:rPr>
            </w:pPr>
            <w:r w:rsidRPr="00470B64">
              <w:rPr>
                <w:bCs w:val="0"/>
                <w:sz w:val="20"/>
                <w:szCs w:val="20"/>
              </w:rPr>
              <w:t>August 2019</w:t>
            </w:r>
          </w:p>
        </w:tc>
        <w:tc>
          <w:tcPr>
            <w:tcW w:w="3182" w:type="dxa"/>
          </w:tcPr>
          <w:p w:rsidR="007E77EB" w:rsidRPr="00470B64" w:rsidP="006C3ECC" w14:paraId="0E5D958D" w14:textId="77777777">
            <w:pPr>
              <w:jc w:val="center"/>
              <w:rPr>
                <w:b w:val="0"/>
                <w:bCs w:val="0"/>
                <w:sz w:val="20"/>
                <w:szCs w:val="20"/>
              </w:rPr>
            </w:pPr>
            <w:r w:rsidRPr="00A14BA7">
              <w:rPr>
                <w:b w:val="0"/>
                <w:bCs w:val="0"/>
                <w:sz w:val="20"/>
                <w:szCs w:val="20"/>
              </w:rPr>
              <w:t>$1,</w:t>
            </w:r>
            <w:r>
              <w:rPr>
                <w:b w:val="0"/>
                <w:bCs w:val="0"/>
                <w:sz w:val="20"/>
                <w:szCs w:val="20"/>
              </w:rPr>
              <w:t>113,756</w:t>
            </w:r>
          </w:p>
        </w:tc>
        <w:tc>
          <w:tcPr>
            <w:tcW w:w="3240" w:type="dxa"/>
          </w:tcPr>
          <w:p w:rsidR="007E77EB" w:rsidRPr="00470B64" w:rsidP="006C3ECC" w14:paraId="373EF51A" w14:textId="77777777">
            <w:pPr>
              <w:jc w:val="center"/>
              <w:rPr>
                <w:b w:val="0"/>
                <w:bCs w:val="0"/>
                <w:sz w:val="20"/>
                <w:szCs w:val="20"/>
              </w:rPr>
            </w:pPr>
            <w:r w:rsidRPr="00A14BA7">
              <w:rPr>
                <w:b w:val="0"/>
                <w:bCs w:val="0"/>
                <w:sz w:val="20"/>
                <w:szCs w:val="20"/>
              </w:rPr>
              <w:t>$</w:t>
            </w:r>
            <w:r>
              <w:rPr>
                <w:b w:val="0"/>
                <w:bCs w:val="0"/>
                <w:sz w:val="20"/>
                <w:szCs w:val="20"/>
              </w:rPr>
              <w:t>868,396</w:t>
            </w:r>
          </w:p>
        </w:tc>
      </w:tr>
      <w:tr w14:paraId="6E8CC877" w14:textId="77777777" w:rsidTr="006C3ECC">
        <w:tblPrEx>
          <w:tblW w:w="0" w:type="auto"/>
          <w:tblLook w:val="04A0"/>
        </w:tblPrEx>
        <w:tc>
          <w:tcPr>
            <w:tcW w:w="0" w:type="auto"/>
          </w:tcPr>
          <w:p w:rsidR="007E77EB" w:rsidRPr="00470B64" w:rsidP="006C3ECC" w14:paraId="0F024E4B" w14:textId="77777777">
            <w:pPr>
              <w:jc w:val="center"/>
              <w:rPr>
                <w:bCs w:val="0"/>
                <w:sz w:val="20"/>
                <w:szCs w:val="20"/>
              </w:rPr>
            </w:pPr>
            <w:r w:rsidRPr="00470B64">
              <w:rPr>
                <w:bCs w:val="0"/>
                <w:sz w:val="20"/>
                <w:szCs w:val="20"/>
              </w:rPr>
              <w:t>September 2019</w:t>
            </w:r>
          </w:p>
        </w:tc>
        <w:tc>
          <w:tcPr>
            <w:tcW w:w="3182" w:type="dxa"/>
          </w:tcPr>
          <w:p w:rsidR="007E77EB" w:rsidRPr="00470B64" w:rsidP="006C3ECC" w14:paraId="66825E79" w14:textId="77777777">
            <w:pPr>
              <w:jc w:val="center"/>
              <w:rPr>
                <w:b w:val="0"/>
                <w:bCs w:val="0"/>
                <w:sz w:val="20"/>
                <w:szCs w:val="20"/>
              </w:rPr>
            </w:pPr>
            <w:r w:rsidRPr="00A14BA7">
              <w:rPr>
                <w:b w:val="0"/>
                <w:bCs w:val="0"/>
                <w:sz w:val="20"/>
                <w:szCs w:val="20"/>
              </w:rPr>
              <w:t>$1,</w:t>
            </w:r>
            <w:r>
              <w:rPr>
                <w:b w:val="0"/>
                <w:bCs w:val="0"/>
                <w:sz w:val="20"/>
                <w:szCs w:val="20"/>
              </w:rPr>
              <w:t>077,526</w:t>
            </w:r>
          </w:p>
        </w:tc>
        <w:tc>
          <w:tcPr>
            <w:tcW w:w="3240" w:type="dxa"/>
          </w:tcPr>
          <w:p w:rsidR="007E77EB" w:rsidRPr="00470B64" w:rsidP="006C3ECC" w14:paraId="326F2FE2" w14:textId="77777777">
            <w:pPr>
              <w:jc w:val="center"/>
              <w:rPr>
                <w:b w:val="0"/>
                <w:bCs w:val="0"/>
                <w:sz w:val="20"/>
                <w:szCs w:val="20"/>
              </w:rPr>
            </w:pPr>
            <w:r w:rsidRPr="00A14BA7">
              <w:rPr>
                <w:b w:val="0"/>
                <w:bCs w:val="0"/>
                <w:sz w:val="20"/>
                <w:szCs w:val="20"/>
              </w:rPr>
              <w:t>$</w:t>
            </w:r>
            <w:r>
              <w:rPr>
                <w:b w:val="0"/>
                <w:bCs w:val="0"/>
                <w:sz w:val="20"/>
                <w:szCs w:val="20"/>
              </w:rPr>
              <w:t>789,376</w:t>
            </w:r>
          </w:p>
        </w:tc>
      </w:tr>
      <w:tr w14:paraId="09179B2B" w14:textId="77777777" w:rsidTr="006C3ECC">
        <w:tblPrEx>
          <w:tblW w:w="0" w:type="auto"/>
          <w:tblLook w:val="04A0"/>
        </w:tblPrEx>
        <w:tc>
          <w:tcPr>
            <w:tcW w:w="0" w:type="auto"/>
          </w:tcPr>
          <w:p w:rsidR="007E77EB" w:rsidRPr="00470B64" w:rsidP="006C3ECC" w14:paraId="29F3757E" w14:textId="77777777">
            <w:pPr>
              <w:jc w:val="center"/>
              <w:rPr>
                <w:bCs w:val="0"/>
                <w:sz w:val="20"/>
                <w:szCs w:val="20"/>
              </w:rPr>
            </w:pPr>
            <w:r w:rsidRPr="00470B64">
              <w:rPr>
                <w:bCs w:val="0"/>
                <w:sz w:val="20"/>
                <w:szCs w:val="20"/>
              </w:rPr>
              <w:t>October 2019</w:t>
            </w:r>
            <w:r>
              <w:rPr>
                <w:bCs w:val="0"/>
                <w:sz w:val="20"/>
                <w:szCs w:val="20"/>
              </w:rPr>
              <w:t>*</w:t>
            </w:r>
          </w:p>
        </w:tc>
        <w:tc>
          <w:tcPr>
            <w:tcW w:w="3182" w:type="dxa"/>
          </w:tcPr>
          <w:p w:rsidR="007E77EB" w:rsidRPr="00470B64" w:rsidP="006C3ECC" w14:paraId="7BEF2AC7" w14:textId="77777777">
            <w:pPr>
              <w:jc w:val="center"/>
              <w:rPr>
                <w:b w:val="0"/>
                <w:bCs w:val="0"/>
                <w:sz w:val="20"/>
                <w:szCs w:val="20"/>
              </w:rPr>
            </w:pPr>
            <w:r w:rsidRPr="00A14BA7">
              <w:rPr>
                <w:b w:val="0"/>
                <w:bCs w:val="0"/>
                <w:sz w:val="20"/>
                <w:szCs w:val="20"/>
              </w:rPr>
              <w:t>$1,</w:t>
            </w:r>
            <w:r>
              <w:rPr>
                <w:b w:val="0"/>
                <w:bCs w:val="0"/>
                <w:sz w:val="20"/>
                <w:szCs w:val="20"/>
              </w:rPr>
              <w:t>113,443</w:t>
            </w:r>
          </w:p>
        </w:tc>
        <w:tc>
          <w:tcPr>
            <w:tcW w:w="3240" w:type="dxa"/>
          </w:tcPr>
          <w:p w:rsidR="007E77EB" w:rsidRPr="00470B64" w:rsidP="006C3ECC" w14:paraId="2149037D" w14:textId="77777777">
            <w:pPr>
              <w:jc w:val="center"/>
              <w:rPr>
                <w:b w:val="0"/>
                <w:bCs w:val="0"/>
                <w:sz w:val="20"/>
                <w:szCs w:val="20"/>
              </w:rPr>
            </w:pPr>
            <w:r w:rsidRPr="00A14BA7">
              <w:rPr>
                <w:b w:val="0"/>
                <w:bCs w:val="0"/>
                <w:sz w:val="20"/>
                <w:szCs w:val="20"/>
              </w:rPr>
              <w:t>$</w:t>
            </w:r>
            <w:r>
              <w:rPr>
                <w:b w:val="0"/>
                <w:bCs w:val="0"/>
                <w:sz w:val="20"/>
                <w:szCs w:val="20"/>
              </w:rPr>
              <w:t>656,987</w:t>
            </w:r>
          </w:p>
        </w:tc>
      </w:tr>
      <w:tr w14:paraId="53B5DED1" w14:textId="77777777" w:rsidTr="006C3ECC">
        <w:tblPrEx>
          <w:tblW w:w="0" w:type="auto"/>
          <w:tblLook w:val="04A0"/>
        </w:tblPrEx>
        <w:tc>
          <w:tcPr>
            <w:tcW w:w="0" w:type="auto"/>
          </w:tcPr>
          <w:p w:rsidR="007E77EB" w:rsidRPr="00470B64" w:rsidP="006C3ECC" w14:paraId="69A88268" w14:textId="77777777">
            <w:pPr>
              <w:jc w:val="center"/>
              <w:rPr>
                <w:bCs w:val="0"/>
                <w:sz w:val="20"/>
                <w:szCs w:val="20"/>
              </w:rPr>
            </w:pPr>
            <w:r w:rsidRPr="00470B64">
              <w:rPr>
                <w:bCs w:val="0"/>
                <w:sz w:val="20"/>
                <w:szCs w:val="20"/>
              </w:rPr>
              <w:t>November 2019</w:t>
            </w:r>
            <w:r>
              <w:rPr>
                <w:bCs w:val="0"/>
                <w:sz w:val="20"/>
                <w:szCs w:val="20"/>
              </w:rPr>
              <w:t>*</w:t>
            </w:r>
          </w:p>
        </w:tc>
        <w:tc>
          <w:tcPr>
            <w:tcW w:w="3182" w:type="dxa"/>
          </w:tcPr>
          <w:p w:rsidR="007E77EB" w:rsidRPr="00470B64" w:rsidP="006C3ECC" w14:paraId="009FBC0F" w14:textId="77777777">
            <w:pPr>
              <w:jc w:val="center"/>
              <w:rPr>
                <w:b w:val="0"/>
                <w:bCs w:val="0"/>
                <w:sz w:val="20"/>
                <w:szCs w:val="20"/>
              </w:rPr>
            </w:pPr>
            <w:r w:rsidRPr="00A14BA7">
              <w:rPr>
                <w:b w:val="0"/>
                <w:bCs w:val="0"/>
                <w:sz w:val="20"/>
                <w:szCs w:val="20"/>
              </w:rPr>
              <w:t>$1,</w:t>
            </w:r>
            <w:r>
              <w:rPr>
                <w:b w:val="0"/>
                <w:bCs w:val="0"/>
                <w:sz w:val="20"/>
                <w:szCs w:val="20"/>
              </w:rPr>
              <w:t>077,526</w:t>
            </w:r>
          </w:p>
        </w:tc>
        <w:tc>
          <w:tcPr>
            <w:tcW w:w="3240" w:type="dxa"/>
          </w:tcPr>
          <w:p w:rsidR="007E77EB" w:rsidRPr="00470B64" w:rsidP="006C3ECC" w14:paraId="0AFE2A9F" w14:textId="77777777">
            <w:pPr>
              <w:jc w:val="center"/>
              <w:rPr>
                <w:b w:val="0"/>
                <w:bCs w:val="0"/>
                <w:sz w:val="20"/>
                <w:szCs w:val="20"/>
              </w:rPr>
            </w:pPr>
            <w:r w:rsidRPr="00A14BA7">
              <w:rPr>
                <w:b w:val="0"/>
                <w:bCs w:val="0"/>
                <w:sz w:val="20"/>
                <w:szCs w:val="20"/>
              </w:rPr>
              <w:t>$1,</w:t>
            </w:r>
            <w:r>
              <w:rPr>
                <w:b w:val="0"/>
                <w:bCs w:val="0"/>
                <w:sz w:val="20"/>
                <w:szCs w:val="20"/>
              </w:rPr>
              <w:t>054,680</w:t>
            </w:r>
          </w:p>
        </w:tc>
      </w:tr>
      <w:tr w14:paraId="11E667F4" w14:textId="77777777" w:rsidTr="006C3ECC">
        <w:tblPrEx>
          <w:tblW w:w="0" w:type="auto"/>
          <w:tblLook w:val="04A0"/>
        </w:tblPrEx>
        <w:tc>
          <w:tcPr>
            <w:tcW w:w="0" w:type="auto"/>
          </w:tcPr>
          <w:p w:rsidR="007E77EB" w:rsidRPr="00470B64" w:rsidP="006C3ECC" w14:paraId="0331E117" w14:textId="77777777">
            <w:pPr>
              <w:jc w:val="center"/>
              <w:rPr>
                <w:bCs w:val="0"/>
                <w:sz w:val="20"/>
                <w:szCs w:val="20"/>
              </w:rPr>
            </w:pPr>
            <w:r w:rsidRPr="00470B64">
              <w:rPr>
                <w:bCs w:val="0"/>
                <w:sz w:val="20"/>
                <w:szCs w:val="20"/>
              </w:rPr>
              <w:t>December 2019</w:t>
            </w:r>
            <w:r>
              <w:rPr>
                <w:bCs w:val="0"/>
                <w:sz w:val="20"/>
                <w:szCs w:val="20"/>
              </w:rPr>
              <w:t>*</w:t>
            </w:r>
          </w:p>
        </w:tc>
        <w:tc>
          <w:tcPr>
            <w:tcW w:w="3182" w:type="dxa"/>
          </w:tcPr>
          <w:p w:rsidR="007E77EB" w:rsidRPr="00470B64" w:rsidP="006C3ECC" w14:paraId="2B94F364" w14:textId="77777777">
            <w:pPr>
              <w:jc w:val="center"/>
              <w:rPr>
                <w:b w:val="0"/>
                <w:bCs w:val="0"/>
                <w:sz w:val="20"/>
                <w:szCs w:val="20"/>
              </w:rPr>
            </w:pPr>
            <w:r w:rsidRPr="00A14BA7">
              <w:rPr>
                <w:b w:val="0"/>
                <w:bCs w:val="0"/>
                <w:sz w:val="20"/>
                <w:szCs w:val="20"/>
              </w:rPr>
              <w:t>$</w:t>
            </w:r>
            <w:r>
              <w:rPr>
                <w:b w:val="0"/>
                <w:bCs w:val="0"/>
                <w:sz w:val="20"/>
                <w:szCs w:val="20"/>
              </w:rPr>
              <w:t>780,326</w:t>
            </w:r>
          </w:p>
        </w:tc>
        <w:tc>
          <w:tcPr>
            <w:tcW w:w="3240" w:type="dxa"/>
          </w:tcPr>
          <w:p w:rsidR="007E77EB" w:rsidRPr="00470B64" w:rsidP="006C3ECC" w14:paraId="0C4A1A7A" w14:textId="77777777">
            <w:pPr>
              <w:jc w:val="center"/>
              <w:rPr>
                <w:b w:val="0"/>
                <w:bCs w:val="0"/>
                <w:sz w:val="20"/>
                <w:szCs w:val="20"/>
              </w:rPr>
            </w:pPr>
            <w:r w:rsidRPr="00A14BA7">
              <w:rPr>
                <w:b w:val="0"/>
                <w:bCs w:val="0"/>
                <w:sz w:val="20"/>
                <w:szCs w:val="20"/>
              </w:rPr>
              <w:t>$1,</w:t>
            </w:r>
            <w:r>
              <w:rPr>
                <w:b w:val="0"/>
                <w:bCs w:val="0"/>
                <w:sz w:val="20"/>
                <w:szCs w:val="20"/>
              </w:rPr>
              <w:t>130,292</w:t>
            </w:r>
          </w:p>
        </w:tc>
      </w:tr>
      <w:tr w14:paraId="2E1F6777" w14:textId="77777777" w:rsidTr="006C3ECC">
        <w:tblPrEx>
          <w:tblW w:w="0" w:type="auto"/>
          <w:tblLook w:val="04A0"/>
        </w:tblPrEx>
        <w:tc>
          <w:tcPr>
            <w:tcW w:w="0" w:type="auto"/>
          </w:tcPr>
          <w:p w:rsidR="007E77EB" w:rsidRPr="00470B64" w:rsidP="006C3ECC" w14:paraId="4F2EC6DE" w14:textId="77777777">
            <w:pPr>
              <w:jc w:val="center"/>
              <w:rPr>
                <w:bCs w:val="0"/>
              </w:rPr>
            </w:pPr>
            <w:r w:rsidRPr="00470B64">
              <w:rPr>
                <w:bCs w:val="0"/>
              </w:rPr>
              <w:t xml:space="preserve">2019 Total </w:t>
            </w:r>
          </w:p>
        </w:tc>
        <w:tc>
          <w:tcPr>
            <w:tcW w:w="3182" w:type="dxa"/>
          </w:tcPr>
          <w:p w:rsidR="007E77EB" w:rsidRPr="00CC73DB" w:rsidP="006C3ECC" w14:paraId="50901A93" w14:textId="77777777">
            <w:pPr>
              <w:jc w:val="center"/>
              <w:rPr>
                <w:bCs w:val="0"/>
                <w:sz w:val="20"/>
                <w:szCs w:val="20"/>
              </w:rPr>
            </w:pPr>
            <w:r w:rsidRPr="00CC73DB">
              <w:rPr>
                <w:bCs w:val="0"/>
                <w:sz w:val="20"/>
                <w:szCs w:val="20"/>
              </w:rPr>
              <w:t>$1</w:t>
            </w:r>
            <w:r>
              <w:rPr>
                <w:bCs w:val="0"/>
                <w:sz w:val="20"/>
                <w:szCs w:val="20"/>
              </w:rPr>
              <w:t>2</w:t>
            </w:r>
            <w:r w:rsidRPr="00CC73DB">
              <w:rPr>
                <w:bCs w:val="0"/>
                <w:sz w:val="20"/>
                <w:szCs w:val="20"/>
              </w:rPr>
              <w:t>,</w:t>
            </w:r>
            <w:r>
              <w:rPr>
                <w:bCs w:val="0"/>
                <w:sz w:val="20"/>
                <w:szCs w:val="20"/>
              </w:rPr>
              <w:t>605,180</w:t>
            </w:r>
          </w:p>
        </w:tc>
        <w:tc>
          <w:tcPr>
            <w:tcW w:w="3240" w:type="dxa"/>
          </w:tcPr>
          <w:p w:rsidR="007E77EB" w:rsidRPr="00CC73DB" w:rsidP="006C3ECC" w14:paraId="435850C5" w14:textId="77777777">
            <w:pPr>
              <w:jc w:val="center"/>
              <w:rPr>
                <w:bCs w:val="0"/>
                <w:sz w:val="20"/>
                <w:szCs w:val="20"/>
              </w:rPr>
            </w:pPr>
            <w:r w:rsidRPr="00CC73DB">
              <w:rPr>
                <w:bCs w:val="0"/>
                <w:sz w:val="20"/>
                <w:szCs w:val="20"/>
              </w:rPr>
              <w:t>$</w:t>
            </w:r>
            <w:r>
              <w:rPr>
                <w:bCs w:val="0"/>
                <w:sz w:val="20"/>
                <w:szCs w:val="20"/>
              </w:rPr>
              <w:t>9,693,581</w:t>
            </w:r>
          </w:p>
        </w:tc>
      </w:tr>
      <w:tr w14:paraId="1037ED7E" w14:textId="77777777" w:rsidTr="006C3ECC">
        <w:tblPrEx>
          <w:tblW w:w="0" w:type="auto"/>
          <w:tblLook w:val="04A0"/>
        </w:tblPrEx>
        <w:tc>
          <w:tcPr>
            <w:tcW w:w="0" w:type="auto"/>
          </w:tcPr>
          <w:p w:rsidR="007E77EB" w:rsidRPr="00470B64" w:rsidP="006C3ECC" w14:paraId="05D1082A" w14:textId="77777777">
            <w:pPr>
              <w:jc w:val="center"/>
              <w:rPr>
                <w:bCs w:val="0"/>
              </w:rPr>
            </w:pPr>
            <w:r w:rsidRPr="00470B64">
              <w:rPr>
                <w:bCs w:val="0"/>
              </w:rPr>
              <w:t>Audit Period Total</w:t>
            </w:r>
          </w:p>
        </w:tc>
        <w:tc>
          <w:tcPr>
            <w:tcW w:w="3182" w:type="dxa"/>
          </w:tcPr>
          <w:p w:rsidR="007E77EB" w:rsidRPr="00CC73DB" w:rsidP="006C3ECC" w14:paraId="3F32F51F" w14:textId="77777777">
            <w:pPr>
              <w:jc w:val="center"/>
              <w:rPr>
                <w:bCs w:val="0"/>
                <w:sz w:val="20"/>
                <w:szCs w:val="20"/>
              </w:rPr>
            </w:pPr>
            <w:r w:rsidRPr="00CC73DB">
              <w:rPr>
                <w:bCs w:val="0"/>
                <w:sz w:val="20"/>
                <w:szCs w:val="20"/>
              </w:rPr>
              <w:t>$1</w:t>
            </w:r>
            <w:r>
              <w:rPr>
                <w:bCs w:val="0"/>
                <w:sz w:val="20"/>
                <w:szCs w:val="20"/>
              </w:rPr>
              <w:t>3,135,445</w:t>
            </w:r>
          </w:p>
        </w:tc>
        <w:tc>
          <w:tcPr>
            <w:tcW w:w="3240" w:type="dxa"/>
          </w:tcPr>
          <w:p w:rsidR="007E77EB" w:rsidRPr="00CC73DB" w:rsidP="006C3ECC" w14:paraId="20F27324" w14:textId="77777777">
            <w:pPr>
              <w:jc w:val="center"/>
              <w:rPr>
                <w:bCs w:val="0"/>
                <w:sz w:val="20"/>
                <w:szCs w:val="20"/>
              </w:rPr>
            </w:pPr>
            <w:r w:rsidRPr="00CC73DB">
              <w:rPr>
                <w:bCs w:val="0"/>
                <w:sz w:val="20"/>
                <w:szCs w:val="20"/>
              </w:rPr>
              <w:t>$1</w:t>
            </w:r>
            <w:r>
              <w:rPr>
                <w:bCs w:val="0"/>
                <w:sz w:val="20"/>
                <w:szCs w:val="20"/>
              </w:rPr>
              <w:t>1</w:t>
            </w:r>
            <w:r w:rsidRPr="00CC73DB">
              <w:rPr>
                <w:bCs w:val="0"/>
                <w:sz w:val="20"/>
                <w:szCs w:val="20"/>
              </w:rPr>
              <w:t>,</w:t>
            </w:r>
            <w:r>
              <w:rPr>
                <w:bCs w:val="0"/>
                <w:sz w:val="20"/>
                <w:szCs w:val="20"/>
              </w:rPr>
              <w:t>110,103</w:t>
            </w:r>
          </w:p>
        </w:tc>
      </w:tr>
      <w:tr w14:paraId="32806E44" w14:textId="77777777" w:rsidTr="006C3ECC">
        <w:tblPrEx>
          <w:tblW w:w="0" w:type="auto"/>
          <w:tblLook w:val="04A0"/>
        </w:tblPrEx>
        <w:tc>
          <w:tcPr>
            <w:tcW w:w="0" w:type="auto"/>
          </w:tcPr>
          <w:p w:rsidR="007E77EB" w:rsidRPr="00470B64" w:rsidP="006C3ECC" w14:paraId="4C9EC434" w14:textId="77777777">
            <w:pPr>
              <w:jc w:val="center"/>
              <w:rPr>
                <w:bCs w:val="0"/>
              </w:rPr>
            </w:pPr>
            <w:r w:rsidRPr="00470B64">
              <w:rPr>
                <w:bCs w:val="0"/>
              </w:rPr>
              <w:t>Grant Total</w:t>
            </w:r>
          </w:p>
        </w:tc>
        <w:tc>
          <w:tcPr>
            <w:tcW w:w="3182" w:type="dxa"/>
          </w:tcPr>
          <w:p w:rsidR="007E77EB" w:rsidRPr="00CC73DB" w:rsidP="006C3ECC" w14:paraId="01D9D909" w14:textId="77777777">
            <w:pPr>
              <w:jc w:val="center"/>
              <w:rPr>
                <w:bCs w:val="0"/>
                <w:sz w:val="20"/>
                <w:szCs w:val="20"/>
              </w:rPr>
            </w:pPr>
            <w:r w:rsidRPr="00CC73DB">
              <w:rPr>
                <w:bCs w:val="0"/>
                <w:sz w:val="20"/>
                <w:szCs w:val="20"/>
              </w:rPr>
              <w:t>$1</w:t>
            </w:r>
            <w:r>
              <w:rPr>
                <w:bCs w:val="0"/>
                <w:sz w:val="20"/>
                <w:szCs w:val="20"/>
              </w:rPr>
              <w:t>8</w:t>
            </w:r>
            <w:r w:rsidRPr="00CC73DB">
              <w:rPr>
                <w:bCs w:val="0"/>
                <w:sz w:val="20"/>
                <w:szCs w:val="20"/>
              </w:rPr>
              <w:t>,</w:t>
            </w:r>
            <w:r>
              <w:rPr>
                <w:bCs w:val="0"/>
                <w:sz w:val="20"/>
                <w:szCs w:val="20"/>
              </w:rPr>
              <w:t>688,849</w:t>
            </w:r>
          </w:p>
        </w:tc>
        <w:tc>
          <w:tcPr>
            <w:tcW w:w="3240" w:type="dxa"/>
          </w:tcPr>
          <w:p w:rsidR="007E77EB" w:rsidRPr="00CC73DB" w:rsidP="006C3ECC" w14:paraId="1D67CF17" w14:textId="77777777">
            <w:pPr>
              <w:jc w:val="center"/>
              <w:rPr>
                <w:bCs w:val="0"/>
                <w:sz w:val="20"/>
                <w:szCs w:val="20"/>
              </w:rPr>
            </w:pPr>
            <w:r w:rsidRPr="00CC73DB">
              <w:rPr>
                <w:bCs w:val="0"/>
                <w:sz w:val="20"/>
                <w:szCs w:val="20"/>
              </w:rPr>
              <w:t>$1</w:t>
            </w:r>
            <w:r>
              <w:rPr>
                <w:bCs w:val="0"/>
                <w:sz w:val="20"/>
                <w:szCs w:val="20"/>
              </w:rPr>
              <w:t>8,689,346</w:t>
            </w:r>
          </w:p>
        </w:tc>
      </w:tr>
    </w:tbl>
    <w:p w:rsidR="007E77EB" w:rsidP="007E77EB" w14:paraId="0412E712" w14:textId="77777777">
      <w:pPr>
        <w:pStyle w:val="FootnoteText"/>
        <w:rPr>
          <w:b w:val="0"/>
          <w:bCs w:val="0"/>
        </w:rPr>
      </w:pPr>
    </w:p>
    <w:p w:rsidR="007E77EB" w:rsidP="007E77EB" w14:paraId="64375223" w14:textId="77777777">
      <w:pPr>
        <w:pStyle w:val="FootnoteText"/>
        <w:rPr>
          <w:b w:val="0"/>
        </w:rPr>
      </w:pPr>
      <w:r>
        <w:rPr>
          <w:b w:val="0"/>
          <w:bCs w:val="0"/>
        </w:rPr>
        <w:t xml:space="preserve">Source: </w:t>
      </w:r>
      <w:r>
        <w:rPr>
          <w:b w:val="0"/>
        </w:rPr>
        <w:t xml:space="preserve">PUCO Case No. 19-1776-EL-RDR, Application, Schedule 2 (September 16, 2019). </w:t>
      </w:r>
    </w:p>
    <w:p w:rsidR="007E77EB" w:rsidRPr="002912C8" w:rsidP="007E77EB" w14:paraId="3956F630" w14:textId="77777777">
      <w:pPr>
        <w:pStyle w:val="FootnoteText"/>
        <w:rPr>
          <w:b w:val="0"/>
          <w:bCs w:val="0"/>
        </w:rPr>
      </w:pPr>
      <w:r>
        <w:rPr>
          <w:b w:val="0"/>
        </w:rPr>
        <w:t>*: Forecasted Figures as of September 2019.</w:t>
      </w:r>
    </w:p>
    <w:p w:rsidR="007E77EB" w:rsidP="007E77EB" w14:paraId="582F5160" w14:textId="77777777">
      <w:pPr>
        <w:spacing w:after="0" w:line="480" w:lineRule="auto"/>
        <w:ind w:firstLine="720"/>
        <w:rPr>
          <w:b w:val="0"/>
          <w:bCs w:val="0"/>
        </w:rPr>
      </w:pPr>
    </w:p>
    <w:p w:rsidR="00531B59" w:rsidP="00405223" w14:paraId="2D3FD4F6" w14:textId="77777777">
      <w:pPr>
        <w:spacing w:after="0" w:line="240" w:lineRule="auto"/>
        <w:rPr>
          <w:u w:val="single"/>
        </w:rPr>
      </w:pPr>
    </w:p>
    <w:sectPr>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149B" w14:paraId="6AE0A5EF" w14:textId="7A947B37">
    <w:pPr>
      <w:pStyle w:val="Footer"/>
      <w:jc w:val="center"/>
    </w:pPr>
  </w:p>
  <w:p w:rsidR="0012149B" w14:paraId="474AA0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7687333"/>
      <w:docPartObj>
        <w:docPartGallery w:val="Page Numbers (Bottom of Page)"/>
        <w:docPartUnique/>
      </w:docPartObj>
    </w:sdtPr>
    <w:sdtEndPr>
      <w:rPr>
        <w:b w:val="0"/>
        <w:bCs w:val="0"/>
        <w:noProof/>
      </w:rPr>
    </w:sdtEndPr>
    <w:sdtContent>
      <w:p w:rsidR="0012149B" w:rsidRPr="00657AEF" w14:paraId="34B23A1E" w14:textId="3DDD4B1E">
        <w:pPr>
          <w:pStyle w:val="Footer"/>
          <w:jc w:val="center"/>
          <w:rPr>
            <w:b w:val="0"/>
            <w:bCs w:val="0"/>
          </w:rPr>
        </w:pPr>
        <w:r w:rsidRPr="00657AEF">
          <w:rPr>
            <w:b w:val="0"/>
            <w:bCs w:val="0"/>
          </w:rPr>
          <w:fldChar w:fldCharType="begin"/>
        </w:r>
        <w:r w:rsidRPr="00657AEF">
          <w:rPr>
            <w:b w:val="0"/>
            <w:bCs w:val="0"/>
          </w:rPr>
          <w:instrText xml:space="preserve"> PAGE   \* MERGEFORMAT </w:instrText>
        </w:r>
        <w:r w:rsidRPr="00657AEF">
          <w:rPr>
            <w:b w:val="0"/>
            <w:bCs w:val="0"/>
          </w:rPr>
          <w:fldChar w:fldCharType="separate"/>
        </w:r>
        <w:r w:rsidRPr="00657AEF">
          <w:rPr>
            <w:b w:val="0"/>
            <w:bCs w:val="0"/>
            <w:noProof/>
          </w:rPr>
          <w:t>2</w:t>
        </w:r>
        <w:r w:rsidRPr="00657AEF">
          <w:rPr>
            <w:b w:val="0"/>
            <w:bCs w:val="0"/>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4014392"/>
      <w:docPartObj>
        <w:docPartGallery w:val="Page Numbers (Bottom of Page)"/>
        <w:docPartUnique/>
      </w:docPartObj>
    </w:sdtPr>
    <w:sdtEndPr>
      <w:rPr>
        <w:b w:val="0"/>
        <w:bCs w:val="0"/>
        <w:noProof/>
      </w:rPr>
    </w:sdtEndPr>
    <w:sdtContent>
      <w:p w:rsidR="0012149B" w:rsidRPr="005D4EA5" w14:paraId="567AE810" w14:textId="706A10F9">
        <w:pPr>
          <w:pStyle w:val="Footer"/>
          <w:jc w:val="center"/>
          <w:rPr>
            <w:b w:val="0"/>
            <w:bCs w:val="0"/>
          </w:rPr>
        </w:pPr>
        <w:r w:rsidRPr="005D4EA5">
          <w:rPr>
            <w:b w:val="0"/>
            <w:bCs w:val="0"/>
          </w:rPr>
          <w:fldChar w:fldCharType="begin"/>
        </w:r>
        <w:r w:rsidRPr="005D4EA5">
          <w:rPr>
            <w:b w:val="0"/>
            <w:bCs w:val="0"/>
          </w:rPr>
          <w:instrText xml:space="preserve"> PAGE   \* MERGEFORMAT </w:instrText>
        </w:r>
        <w:r w:rsidRPr="005D4EA5">
          <w:rPr>
            <w:b w:val="0"/>
            <w:bCs w:val="0"/>
          </w:rPr>
          <w:fldChar w:fldCharType="separate"/>
        </w:r>
        <w:r w:rsidRPr="005D4EA5">
          <w:rPr>
            <w:b w:val="0"/>
            <w:bCs w:val="0"/>
            <w:noProof/>
          </w:rPr>
          <w:t>2</w:t>
        </w:r>
        <w:r w:rsidRPr="005D4EA5">
          <w:rPr>
            <w:b w:val="0"/>
            <w:bCs w:val="0"/>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9683248"/>
      <w:docPartObj>
        <w:docPartGallery w:val="Page Numbers (Bottom of Page)"/>
        <w:docPartUnique/>
      </w:docPartObj>
    </w:sdtPr>
    <w:sdtEndPr>
      <w:rPr>
        <w:b w:val="0"/>
        <w:bCs w:val="0"/>
        <w:noProof/>
      </w:rPr>
    </w:sdtEndPr>
    <w:sdtContent>
      <w:p w:rsidR="0012149B" w:rsidRPr="005D4EA5" w14:paraId="4B357AC3" w14:textId="4985B237">
        <w:pPr>
          <w:pStyle w:val="Footer"/>
          <w:jc w:val="center"/>
          <w:rPr>
            <w:b w:val="0"/>
            <w:bCs w:val="0"/>
          </w:rPr>
        </w:pPr>
        <w:r w:rsidRPr="005D4EA5">
          <w:rPr>
            <w:b w:val="0"/>
            <w:bCs w:val="0"/>
          </w:rPr>
          <w:fldChar w:fldCharType="begin"/>
        </w:r>
        <w:r w:rsidRPr="005D4EA5">
          <w:rPr>
            <w:b w:val="0"/>
            <w:bCs w:val="0"/>
          </w:rPr>
          <w:instrText xml:space="preserve"> PAGE   \* MERGEFORMAT </w:instrText>
        </w:r>
        <w:r w:rsidRPr="005D4EA5">
          <w:rPr>
            <w:b w:val="0"/>
            <w:bCs w:val="0"/>
          </w:rPr>
          <w:fldChar w:fldCharType="separate"/>
        </w:r>
        <w:r w:rsidRPr="005D4EA5">
          <w:rPr>
            <w:b w:val="0"/>
            <w:bCs w:val="0"/>
            <w:noProof/>
          </w:rPr>
          <w:t>13</w:t>
        </w:r>
        <w:r w:rsidRPr="005D4EA5">
          <w:rPr>
            <w:b w:val="0"/>
            <w:bCs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B6B85" w:rsidP="00FA407C" w14:paraId="1921F835" w14:textId="77777777">
      <w:pPr>
        <w:spacing w:after="0" w:line="240" w:lineRule="auto"/>
      </w:pPr>
      <w:r>
        <w:separator/>
      </w:r>
    </w:p>
  </w:footnote>
  <w:footnote w:type="continuationSeparator" w:id="1">
    <w:p w:rsidR="00AB6B85" w:rsidP="00FA407C" w14:paraId="5DB7F615" w14:textId="77777777">
      <w:pPr>
        <w:spacing w:after="0" w:line="240" w:lineRule="auto"/>
      </w:pPr>
      <w:r>
        <w:continuationSeparator/>
      </w:r>
    </w:p>
  </w:footnote>
  <w:footnote w:id="2">
    <w:p w:rsidR="0012149B" w:rsidRPr="00E14EA9" w:rsidP="00E14EA9" w14:paraId="4CFEF4B4" w14:textId="5B961A0F">
      <w:pPr>
        <w:pStyle w:val="FootnoteText"/>
        <w:spacing w:after="120"/>
        <w:rPr>
          <w:b w:val="0"/>
        </w:rPr>
      </w:pPr>
      <w:r w:rsidRPr="00E14EA9">
        <w:rPr>
          <w:rStyle w:val="FootnoteReference"/>
          <w:b w:val="0"/>
        </w:rPr>
        <w:footnoteRef/>
      </w:r>
      <w:r w:rsidRPr="00E14EA9">
        <w:rPr>
          <w:b w:val="0"/>
        </w:rPr>
        <w:t xml:space="preserve"> </w:t>
      </w:r>
      <w:r w:rsidRPr="00E14EA9">
        <w:rPr>
          <w:b w:val="0"/>
          <w:i/>
          <w:iCs/>
        </w:rPr>
        <w:t>See In the Matter of the Review of the Reconciliation Rider of The Dayton Power and Light Company</w:t>
      </w:r>
      <w:r w:rsidRPr="00E14EA9">
        <w:rPr>
          <w:b w:val="0"/>
        </w:rPr>
        <w:t>, PUCO Case No. 20-165-EL-RDR, Entry (March 11, 2020).</w:t>
      </w:r>
    </w:p>
  </w:footnote>
  <w:footnote w:id="3">
    <w:p w:rsidR="0012149B" w:rsidRPr="00E14EA9" w:rsidP="00E14EA9" w14:paraId="5EF8CF1C" w14:textId="77777777">
      <w:pPr>
        <w:pStyle w:val="FootnoteText"/>
        <w:spacing w:after="120"/>
        <w:rPr>
          <w:b w:val="0"/>
        </w:rPr>
      </w:pPr>
      <w:r w:rsidRPr="00E14EA9">
        <w:rPr>
          <w:rStyle w:val="FootnoteReference"/>
          <w:b w:val="0"/>
        </w:rPr>
        <w:footnoteRef/>
      </w:r>
      <w:r w:rsidRPr="00E14EA9">
        <w:rPr>
          <w:b w:val="0"/>
        </w:rPr>
        <w:t xml:space="preserve"> </w:t>
      </w:r>
      <w:r w:rsidRPr="00E14EA9">
        <w:rPr>
          <w:b w:val="0"/>
          <w:i/>
          <w:iCs/>
        </w:rPr>
        <w:t>See</w:t>
      </w:r>
      <w:r w:rsidRPr="00E14EA9">
        <w:rPr>
          <w:b w:val="0"/>
        </w:rPr>
        <w:t xml:space="preserve"> </w:t>
      </w:r>
      <w:r w:rsidRPr="00E14EA9">
        <w:rPr>
          <w:b w:val="0"/>
          <w:bCs w:val="0"/>
        </w:rPr>
        <w:t>Audit Report at 1.</w:t>
      </w:r>
    </w:p>
  </w:footnote>
  <w:footnote w:id="4">
    <w:p w:rsidR="0012149B" w:rsidRPr="00E14EA9" w:rsidP="00E14EA9" w14:paraId="185667D6" w14:textId="77777777">
      <w:pPr>
        <w:pStyle w:val="FootnoteText"/>
        <w:spacing w:after="120"/>
        <w:rPr>
          <w:b w:val="0"/>
        </w:rPr>
      </w:pPr>
      <w:r w:rsidRPr="00E14EA9">
        <w:rPr>
          <w:rStyle w:val="FootnoteReference"/>
          <w:b w:val="0"/>
        </w:rPr>
        <w:footnoteRef/>
      </w:r>
      <w:r w:rsidRPr="00E14EA9">
        <w:rPr>
          <w:b w:val="0"/>
        </w:rPr>
        <w:t xml:space="preserve"> </w:t>
      </w:r>
      <w:r w:rsidRPr="00E14EA9">
        <w:rPr>
          <w:b w:val="0"/>
          <w:i/>
          <w:iCs/>
        </w:rPr>
        <w:t>See</w:t>
      </w:r>
      <w:r w:rsidRPr="00E14EA9">
        <w:rPr>
          <w:b w:val="0"/>
        </w:rPr>
        <w:t xml:space="preserve"> Audit Report at 2-3.</w:t>
      </w:r>
    </w:p>
  </w:footnote>
  <w:footnote w:id="5">
    <w:p w:rsidR="0012149B" w:rsidRPr="00E14EA9" w:rsidP="00E14EA9" w14:paraId="2D8278D2" w14:textId="77777777">
      <w:pPr>
        <w:pStyle w:val="FootnoteText"/>
        <w:spacing w:after="120"/>
        <w:rPr>
          <w:b w:val="0"/>
        </w:rPr>
      </w:pPr>
      <w:r w:rsidRPr="00E14EA9">
        <w:rPr>
          <w:rStyle w:val="FootnoteReference"/>
          <w:b w:val="0"/>
        </w:rPr>
        <w:footnoteRef/>
      </w:r>
      <w:r w:rsidRPr="00E14EA9">
        <w:rPr>
          <w:b w:val="0"/>
        </w:rPr>
        <w:t xml:space="preserve"> </w:t>
      </w:r>
      <w:r w:rsidRPr="00E14EA9">
        <w:rPr>
          <w:b w:val="0"/>
          <w:i/>
          <w:iCs/>
        </w:rPr>
        <w:t>See</w:t>
      </w:r>
      <w:r w:rsidRPr="00E14EA9">
        <w:rPr>
          <w:b w:val="0"/>
        </w:rPr>
        <w:t xml:space="preserve"> PUCO Case Nos. 16-395-EL-SSO et al, Opinion and Order at 11 (October 20, 2017). </w:t>
      </w:r>
    </w:p>
  </w:footnote>
  <w:footnote w:id="6">
    <w:p w:rsidR="0012149B" w:rsidRPr="00E14EA9" w:rsidP="00E14EA9" w14:paraId="303868C7" w14:textId="56E35BD5">
      <w:pPr>
        <w:pStyle w:val="FootnoteText"/>
        <w:spacing w:after="120"/>
        <w:rPr>
          <w:b w:val="0"/>
        </w:rPr>
      </w:pPr>
      <w:r w:rsidRPr="00E14EA9">
        <w:rPr>
          <w:rStyle w:val="FootnoteReference"/>
          <w:b w:val="0"/>
        </w:rPr>
        <w:footnoteRef/>
      </w:r>
      <w:r w:rsidRPr="00E14EA9">
        <w:rPr>
          <w:b w:val="0"/>
        </w:rPr>
        <w:t xml:space="preserve"> </w:t>
      </w:r>
      <w:r w:rsidRPr="00E14EA9">
        <w:rPr>
          <w:b w:val="0"/>
          <w:i/>
          <w:iCs/>
        </w:rPr>
        <w:t>See In the Matter of the Application of The Dayton Power and Light Company to Update its Reconciliation Rider</w:t>
      </w:r>
      <w:r w:rsidRPr="00E14EA9">
        <w:rPr>
          <w:b w:val="0"/>
        </w:rPr>
        <w:t>, PUCO Case No. 19-1776-EL-RDR, Application, Schedule 2 (September 16, 2019).</w:t>
      </w:r>
    </w:p>
  </w:footnote>
  <w:footnote w:id="7">
    <w:p w:rsidR="0012149B" w:rsidRPr="00E14EA9" w:rsidP="00E14EA9" w14:paraId="13F032E4" w14:textId="77777777">
      <w:pPr>
        <w:pStyle w:val="FootnoteText"/>
        <w:spacing w:after="120"/>
        <w:rPr>
          <w:b w:val="0"/>
        </w:rPr>
      </w:pPr>
      <w:r w:rsidRPr="00E14EA9">
        <w:rPr>
          <w:rStyle w:val="FootnoteReference"/>
          <w:b w:val="0"/>
        </w:rPr>
        <w:footnoteRef/>
      </w:r>
      <w:r w:rsidRPr="00E14EA9">
        <w:rPr>
          <w:b w:val="0"/>
        </w:rPr>
        <w:t xml:space="preserve"> </w:t>
      </w:r>
      <w:r w:rsidRPr="00E14EA9">
        <w:rPr>
          <w:b w:val="0"/>
          <w:i/>
          <w:iCs/>
        </w:rPr>
        <w:t>See</w:t>
      </w:r>
      <w:r w:rsidRPr="00E14EA9">
        <w:rPr>
          <w:b w:val="0"/>
        </w:rPr>
        <w:t xml:space="preserve"> Entry (November 30, 2020).</w:t>
      </w:r>
    </w:p>
  </w:footnote>
  <w:footnote w:id="8">
    <w:p w:rsidR="0012149B" w:rsidRPr="00E14EA9" w:rsidP="00E14EA9" w14:paraId="343DF2AC" w14:textId="7664A935">
      <w:pPr>
        <w:pStyle w:val="FootnoteText"/>
        <w:spacing w:after="120"/>
        <w:rPr>
          <w:b w:val="0"/>
          <w:bCs w:val="0"/>
        </w:rPr>
      </w:pPr>
      <w:r w:rsidRPr="00E14EA9">
        <w:rPr>
          <w:rStyle w:val="FootnoteReference"/>
          <w:b w:val="0"/>
        </w:rPr>
        <w:footnoteRef/>
      </w:r>
      <w:r w:rsidRPr="00E14EA9">
        <w:rPr>
          <w:b w:val="0"/>
        </w:rPr>
        <w:t xml:space="preserve"> </w:t>
      </w:r>
      <w:r w:rsidRPr="00E14EA9">
        <w:rPr>
          <w:b w:val="0"/>
          <w:i/>
          <w:iCs/>
        </w:rPr>
        <w:t>See</w:t>
      </w:r>
      <w:r w:rsidRPr="00E14EA9">
        <w:rPr>
          <w:b w:val="0"/>
        </w:rPr>
        <w:t xml:space="preserve"> PUCO Case Nos. 16-395-EL-SSO et al, Opinion and Order at 11 (October 20, 2017).</w:t>
      </w:r>
      <w:r w:rsidR="008E21FE">
        <w:rPr>
          <w:b w:val="0"/>
        </w:rPr>
        <w:t xml:space="preserve"> </w:t>
      </w:r>
    </w:p>
  </w:footnote>
  <w:footnote w:id="9">
    <w:p w:rsidR="0012149B" w:rsidRPr="00E14EA9" w:rsidP="00E14EA9" w14:paraId="7E134C4A" w14:textId="530D1166">
      <w:pPr>
        <w:pStyle w:val="FootnoteText"/>
        <w:spacing w:after="120"/>
        <w:rPr>
          <w:b w:val="0"/>
          <w:bCs w:val="0"/>
        </w:rPr>
      </w:pPr>
      <w:r w:rsidRPr="00E14EA9">
        <w:rPr>
          <w:rStyle w:val="FootnoteReference"/>
          <w:b w:val="0"/>
        </w:rPr>
        <w:footnoteRef/>
      </w:r>
      <w:r w:rsidRPr="00E14EA9">
        <w:rPr>
          <w:b w:val="0"/>
        </w:rPr>
        <w:t xml:space="preserve"> </w:t>
      </w:r>
      <w:r w:rsidRPr="00E14EA9">
        <w:rPr>
          <w:b w:val="0"/>
          <w:bCs w:val="0"/>
        </w:rPr>
        <w:t>Case No. 14-1693-EL-RDR, Opinion &amp; Order at 89 (Mar</w:t>
      </w:r>
      <w:r>
        <w:rPr>
          <w:b w:val="0"/>
          <w:bCs w:val="0"/>
        </w:rPr>
        <w:t>ch</w:t>
      </w:r>
      <w:r w:rsidRPr="00E14EA9">
        <w:rPr>
          <w:b w:val="0"/>
          <w:bCs w:val="0"/>
        </w:rPr>
        <w:t xml:space="preserve"> 31, 2016) (the “OVEC Order”) (also stating, “AEP Ohio will bear the burden of proof in demonstrating that bidding behavior is prudent and in the best interest of retail ratepayers.”). This March 31, 2016 Order related to AEP’s PPA Rider, which, at the time, included more than just OVEC. The rider was subsequently modified to be for OVEC only. </w:t>
      </w:r>
      <w:r w:rsidRPr="00E14EA9">
        <w:rPr>
          <w:b w:val="0"/>
          <w:bCs w:val="0"/>
          <w:i/>
          <w:iCs/>
        </w:rPr>
        <w:t>See</w:t>
      </w:r>
      <w:r w:rsidRPr="00E14EA9">
        <w:rPr>
          <w:b w:val="0"/>
          <w:bCs w:val="0"/>
        </w:rPr>
        <w:t xml:space="preserve"> Case No. 14-1693-EL-RDR, Second Entry on Rehearing (Nov</w:t>
      </w:r>
      <w:r>
        <w:rPr>
          <w:b w:val="0"/>
          <w:bCs w:val="0"/>
        </w:rPr>
        <w:t>ember</w:t>
      </w:r>
      <w:r w:rsidRPr="00E14EA9">
        <w:rPr>
          <w:b w:val="0"/>
          <w:bCs w:val="0"/>
        </w:rPr>
        <w:t xml:space="preserve"> 3, 2016). This modification does not impact the burden of proof in this audit proceeding.</w:t>
      </w:r>
    </w:p>
  </w:footnote>
  <w:footnote w:id="10">
    <w:p w:rsidR="0012149B" w:rsidRPr="00E14EA9" w:rsidP="00E14EA9" w14:paraId="4562AB4B" w14:textId="77777777">
      <w:pPr>
        <w:pStyle w:val="FootnoteText"/>
        <w:spacing w:after="120"/>
        <w:rPr>
          <w:b w:val="0"/>
          <w:bCs w:val="0"/>
          <w:iCs/>
        </w:rPr>
      </w:pPr>
      <w:r w:rsidRPr="00E14EA9">
        <w:rPr>
          <w:rStyle w:val="FootnoteReference"/>
          <w:b w:val="0"/>
        </w:rPr>
        <w:footnoteRef/>
      </w:r>
      <w:r w:rsidRPr="00E14EA9">
        <w:rPr>
          <w:b w:val="0"/>
        </w:rPr>
        <w:t xml:space="preserve"> </w:t>
      </w:r>
      <w:r w:rsidRPr="00E14EA9">
        <w:rPr>
          <w:b w:val="0"/>
          <w:bCs w:val="0"/>
          <w:i/>
        </w:rPr>
        <w:t>Id</w:t>
      </w:r>
      <w:r w:rsidRPr="00E14EA9">
        <w:rPr>
          <w:b w:val="0"/>
          <w:bCs w:val="0"/>
          <w:iCs/>
        </w:rPr>
        <w:t>.</w:t>
      </w:r>
    </w:p>
  </w:footnote>
  <w:footnote w:id="11">
    <w:p w:rsidR="0012149B" w:rsidRPr="00E14EA9" w:rsidP="00E14EA9" w14:paraId="01E9CBE3" w14:textId="2355A3C2">
      <w:pPr>
        <w:pStyle w:val="FootnoteText"/>
        <w:spacing w:after="120"/>
        <w:rPr>
          <w:b w:val="0"/>
          <w:bCs w:val="0"/>
          <w:iCs/>
        </w:rPr>
      </w:pPr>
      <w:r w:rsidRPr="00E14EA9">
        <w:rPr>
          <w:rStyle w:val="FootnoteReference"/>
          <w:b w:val="0"/>
        </w:rPr>
        <w:footnoteRef/>
      </w:r>
      <w:r w:rsidRPr="00E14EA9">
        <w:rPr>
          <w:b w:val="0"/>
        </w:rPr>
        <w:t xml:space="preserve"> </w:t>
      </w:r>
      <w:r w:rsidRPr="00E14EA9">
        <w:rPr>
          <w:b w:val="0"/>
          <w:bCs w:val="0"/>
          <w:i/>
        </w:rPr>
        <w:t>In re</w:t>
      </w:r>
      <w:r w:rsidRPr="00E14EA9">
        <w:rPr>
          <w:b w:val="0"/>
          <w:bCs w:val="0"/>
          <w:iCs/>
        </w:rPr>
        <w:t xml:space="preserve"> Duke ESP, Case</w:t>
      </w:r>
      <w:r w:rsidRPr="00E14EA9">
        <w:rPr>
          <w:b w:val="0"/>
          <w:bCs w:val="0"/>
        </w:rPr>
        <w:t xml:space="preserve"> No. 17-1263-EL-SSO (Stipulation and Recommendation at 19) (Apr</w:t>
      </w:r>
      <w:r>
        <w:rPr>
          <w:b w:val="0"/>
          <w:bCs w:val="0"/>
        </w:rPr>
        <w:t>il</w:t>
      </w:r>
      <w:r w:rsidRPr="00E14EA9">
        <w:rPr>
          <w:b w:val="0"/>
          <w:bCs w:val="0"/>
        </w:rPr>
        <w:t xml:space="preserve"> 13, 2018).</w:t>
      </w:r>
    </w:p>
  </w:footnote>
  <w:footnote w:id="12">
    <w:p w:rsidR="0012149B" w:rsidRPr="00E14EA9" w:rsidP="00E14EA9" w14:paraId="00879676" w14:textId="77777777">
      <w:pPr>
        <w:pStyle w:val="FootnoteText"/>
        <w:spacing w:after="120"/>
        <w:rPr>
          <w:b w:val="0"/>
          <w:bCs w:val="0"/>
        </w:rPr>
      </w:pPr>
      <w:r w:rsidRPr="00E14EA9">
        <w:rPr>
          <w:rStyle w:val="FootnoteReference"/>
          <w:b w:val="0"/>
        </w:rPr>
        <w:footnoteRef/>
      </w:r>
      <w:r w:rsidRPr="00E14EA9">
        <w:rPr>
          <w:b w:val="0"/>
        </w:rPr>
        <w:t xml:space="preserve"> </w:t>
      </w:r>
      <w:r w:rsidRPr="00E14EA9">
        <w:rPr>
          <w:b w:val="0"/>
          <w:bCs w:val="0"/>
          <w:i/>
        </w:rPr>
        <w:t>See</w:t>
      </w:r>
      <w:r w:rsidRPr="00E14EA9">
        <w:rPr>
          <w:b w:val="0"/>
          <w:bCs w:val="0"/>
          <w:iCs/>
        </w:rPr>
        <w:t xml:space="preserve"> </w:t>
      </w:r>
      <w:r w:rsidRPr="00E14EA9">
        <w:rPr>
          <w:b w:val="0"/>
          <w:bCs w:val="0"/>
        </w:rPr>
        <w:t>Entry (January 29, 2020).</w:t>
      </w:r>
    </w:p>
  </w:footnote>
  <w:footnote w:id="13">
    <w:p w:rsidR="0012149B" w:rsidRPr="00E14EA9" w:rsidP="00EF5095" w14:paraId="6FC7D78A" w14:textId="1D810D87">
      <w:pPr>
        <w:pStyle w:val="FootnoteText"/>
        <w:spacing w:after="120"/>
        <w:rPr>
          <w:b w:val="0"/>
        </w:rPr>
      </w:pPr>
      <w:r w:rsidRPr="00E14EA9">
        <w:rPr>
          <w:rStyle w:val="FootnoteReference"/>
          <w:b w:val="0"/>
        </w:rPr>
        <w:footnoteRef/>
      </w:r>
      <w:r w:rsidRPr="00E14EA9">
        <w:rPr>
          <w:b w:val="0"/>
        </w:rPr>
        <w:t xml:space="preserve"> </w:t>
      </w:r>
      <w:r w:rsidRPr="00E14EA9">
        <w:rPr>
          <w:b w:val="0"/>
          <w:i/>
          <w:iCs/>
        </w:rPr>
        <w:t>See</w:t>
      </w:r>
      <w:r w:rsidRPr="00E14EA9">
        <w:rPr>
          <w:b w:val="0"/>
        </w:rPr>
        <w:t xml:space="preserve"> PUCO Case No. 20-167, OCC Initial Comments at 3-5 (December 18, 2020).</w:t>
      </w:r>
    </w:p>
  </w:footnote>
  <w:footnote w:id="14">
    <w:p w:rsidR="0012149B" w:rsidRPr="00E14EA9" w:rsidP="00E14EA9" w14:paraId="1A183B33" w14:textId="77777777">
      <w:pPr>
        <w:pStyle w:val="FootnoteText"/>
        <w:spacing w:after="120"/>
        <w:rPr>
          <w:b w:val="0"/>
        </w:rPr>
      </w:pPr>
      <w:r w:rsidRPr="00E14EA9">
        <w:rPr>
          <w:rStyle w:val="FootnoteReference"/>
          <w:b w:val="0"/>
        </w:rPr>
        <w:footnoteRef/>
      </w:r>
      <w:r w:rsidRPr="00E14EA9">
        <w:rPr>
          <w:b w:val="0"/>
        </w:rPr>
        <w:t xml:space="preserve"> </w:t>
      </w:r>
      <w:r w:rsidRPr="00E14EA9">
        <w:rPr>
          <w:b w:val="0"/>
          <w:i/>
          <w:iCs/>
        </w:rPr>
        <w:t>See</w:t>
      </w:r>
      <w:r w:rsidRPr="00E14EA9">
        <w:rPr>
          <w:b w:val="0"/>
        </w:rPr>
        <w:t xml:space="preserve"> Audit Report at 9.</w:t>
      </w:r>
    </w:p>
  </w:footnote>
  <w:footnote w:id="15">
    <w:p w:rsidR="0012149B" w:rsidRPr="00E14EA9" w:rsidP="00E14EA9" w14:paraId="2006164B" w14:textId="4E4CBA2C">
      <w:pPr>
        <w:pStyle w:val="FootnoteText"/>
        <w:spacing w:after="120"/>
        <w:rPr>
          <w:b w:val="0"/>
        </w:rPr>
      </w:pPr>
      <w:r w:rsidRPr="00E14EA9">
        <w:rPr>
          <w:rStyle w:val="FootnoteReference"/>
          <w:b w:val="0"/>
        </w:rPr>
        <w:footnoteRef/>
      </w:r>
      <w:r w:rsidRPr="00E14EA9">
        <w:rPr>
          <w:b w:val="0"/>
        </w:rPr>
        <w:t xml:space="preserve"> </w:t>
      </w:r>
      <w:r w:rsidRPr="00E14EA9">
        <w:rPr>
          <w:b w:val="0"/>
          <w:i/>
          <w:iCs/>
        </w:rPr>
        <w:t>See</w:t>
      </w:r>
      <w:r w:rsidRPr="00E14EA9">
        <w:rPr>
          <w:b w:val="0"/>
        </w:rPr>
        <w:t xml:space="preserve"> PUCO Case No. 20-167, OCC Initial Comments at 5-11. Those comments are incorporated here. </w:t>
      </w:r>
    </w:p>
  </w:footnote>
  <w:footnote w:id="16">
    <w:p w:rsidR="0012149B" w:rsidRPr="00E14EA9" w:rsidP="00E14EA9" w14:paraId="19C6BCCD" w14:textId="53BA7665">
      <w:pPr>
        <w:pStyle w:val="FootnoteText"/>
        <w:spacing w:after="120"/>
        <w:rPr>
          <w:b w:val="0"/>
        </w:rPr>
      </w:pPr>
      <w:r w:rsidRPr="00E14EA9">
        <w:rPr>
          <w:rStyle w:val="FootnoteReference"/>
          <w:b w:val="0"/>
        </w:rPr>
        <w:footnoteRef/>
      </w:r>
      <w:r w:rsidRPr="00E14EA9">
        <w:rPr>
          <w:b w:val="0"/>
        </w:rPr>
        <w:t xml:space="preserve"> </w:t>
      </w:r>
      <w:r w:rsidRPr="00E14EA9">
        <w:rPr>
          <w:b w:val="0"/>
          <w:i/>
          <w:iCs/>
        </w:rPr>
        <w:t>Id</w:t>
      </w:r>
      <w:r w:rsidRPr="00E14EA9">
        <w:rPr>
          <w:b w:val="0"/>
        </w:rPr>
        <w:t>.</w:t>
      </w:r>
    </w:p>
  </w:footnote>
  <w:footnote w:id="17">
    <w:p w:rsidR="0012149B" w:rsidRPr="00E14EA9" w:rsidP="00E14EA9" w14:paraId="1869F7C1" w14:textId="75FF1C5C">
      <w:pPr>
        <w:pStyle w:val="FootnoteText"/>
        <w:spacing w:after="120"/>
        <w:rPr>
          <w:b w:val="0"/>
        </w:rPr>
      </w:pPr>
      <w:r w:rsidRPr="00E14EA9">
        <w:rPr>
          <w:rStyle w:val="FootnoteReference"/>
          <w:b w:val="0"/>
        </w:rPr>
        <w:footnoteRef/>
      </w:r>
      <w:r w:rsidRPr="00E14EA9">
        <w:rPr>
          <w:b w:val="0"/>
        </w:rPr>
        <w:t xml:space="preserve"> </w:t>
      </w:r>
      <w:r w:rsidRPr="00E14EA9">
        <w:rPr>
          <w:b w:val="0"/>
          <w:bCs w:val="0"/>
        </w:rPr>
        <w:t xml:space="preserve">Potomac Economic, </w:t>
      </w:r>
      <w:r w:rsidRPr="00E14EA9">
        <w:rPr>
          <w:b w:val="0"/>
          <w:bCs w:val="0"/>
          <w:iCs/>
        </w:rPr>
        <w:t xml:space="preserve">A Review of the Commitment and Dispatch of Coal Generators in MISO </w:t>
      </w:r>
      <w:r w:rsidRPr="00E14EA9">
        <w:rPr>
          <w:b w:val="0"/>
          <w:bCs w:val="0"/>
        </w:rPr>
        <w:t xml:space="preserve">(September 2020), available at: </w:t>
      </w:r>
      <w:hyperlink r:id="rId1" w:history="1">
        <w:r w:rsidRPr="00E14EA9">
          <w:rPr>
            <w:rStyle w:val="Hyperlink"/>
            <w:b w:val="0"/>
            <w:bCs w:val="0"/>
          </w:rPr>
          <w:t>https://cdn.misoenergy.org/20201008%20MSC%20Item%2004%20IMM%20Coal%20Dispatch%20Study481336.pdf</w:t>
        </w:r>
      </w:hyperlink>
      <w:r w:rsidRPr="00E14EA9">
        <w:rPr>
          <w:rStyle w:val="Hyperlink"/>
          <w:b w:val="0"/>
          <w:bCs w:val="0"/>
        </w:rPr>
        <w:t>.</w:t>
      </w:r>
    </w:p>
  </w:footnote>
  <w:footnote w:id="18">
    <w:p w:rsidR="0012149B" w:rsidRPr="00E14EA9" w:rsidP="00E14EA9" w14:paraId="057339DE" w14:textId="56EFE211">
      <w:pPr>
        <w:pStyle w:val="FootnoteText"/>
        <w:spacing w:after="120"/>
        <w:rPr>
          <w:b w:val="0"/>
        </w:rPr>
      </w:pPr>
      <w:r w:rsidRPr="00E14EA9">
        <w:rPr>
          <w:rStyle w:val="FootnoteReference"/>
          <w:b w:val="0"/>
        </w:rPr>
        <w:footnoteRef/>
      </w:r>
      <w:r w:rsidRPr="00E14EA9">
        <w:rPr>
          <w:b w:val="0"/>
        </w:rPr>
        <w:t xml:space="preserve"> </w:t>
      </w:r>
      <w:r w:rsidRPr="00E14EA9">
        <w:rPr>
          <w:b w:val="0"/>
          <w:i/>
          <w:iCs/>
        </w:rPr>
        <w:t>Id</w:t>
      </w:r>
      <w:r w:rsidRPr="00E14EA9">
        <w:rPr>
          <w:b w:val="0"/>
        </w:rPr>
        <w:t>.</w:t>
      </w:r>
    </w:p>
  </w:footnote>
  <w:footnote w:id="19">
    <w:p w:rsidR="0012149B" w:rsidRPr="00E14EA9" w:rsidP="00E14EA9" w14:paraId="178C72D4" w14:textId="398E34CC">
      <w:pPr>
        <w:pStyle w:val="FootnoteText"/>
        <w:spacing w:after="120"/>
        <w:rPr>
          <w:b w:val="0"/>
        </w:rPr>
      </w:pPr>
      <w:r w:rsidRPr="00E14EA9">
        <w:rPr>
          <w:rStyle w:val="FootnoteReference"/>
          <w:b w:val="0"/>
        </w:rPr>
        <w:footnoteRef/>
      </w:r>
      <w:r w:rsidRPr="00E14EA9">
        <w:rPr>
          <w:b w:val="0"/>
        </w:rPr>
        <w:t xml:space="preserve"> </w:t>
      </w:r>
      <w:r w:rsidRPr="00E14EA9">
        <w:rPr>
          <w:b w:val="0"/>
          <w:i/>
          <w:iCs/>
        </w:rPr>
        <w:t>See</w:t>
      </w:r>
      <w:r w:rsidRPr="00E14EA9">
        <w:rPr>
          <w:b w:val="0"/>
        </w:rPr>
        <w:t xml:space="preserve"> Audit Report at 3 and 12-16.</w:t>
      </w:r>
    </w:p>
  </w:footnote>
  <w:footnote w:id="20">
    <w:p w:rsidR="0012149B" w:rsidRPr="00E14EA9" w:rsidP="00E14EA9" w14:paraId="38FAE55C" w14:textId="62103293">
      <w:pPr>
        <w:pStyle w:val="FootnoteText"/>
        <w:spacing w:after="120"/>
        <w:rPr>
          <w:b w:val="0"/>
          <w:bCs w:val="0"/>
        </w:rPr>
      </w:pPr>
      <w:r w:rsidRPr="00E14EA9">
        <w:rPr>
          <w:rStyle w:val="FootnoteReference"/>
          <w:b w:val="0"/>
          <w:bCs w:val="0"/>
        </w:rPr>
        <w:footnoteRef/>
      </w:r>
      <w:r w:rsidRPr="00E14EA9">
        <w:rPr>
          <w:b w:val="0"/>
          <w:bCs w:val="0"/>
        </w:rPr>
        <w:t xml:space="preserve"> </w:t>
      </w:r>
      <w:r w:rsidRPr="00E14EA9">
        <w:rPr>
          <w:b w:val="0"/>
          <w:bCs w:val="0"/>
          <w:i/>
          <w:iCs/>
        </w:rPr>
        <w:t>Id</w:t>
      </w:r>
      <w:r w:rsidRPr="00E14EA9">
        <w:rPr>
          <w:b w:val="0"/>
          <w:bCs w:val="0"/>
        </w:rPr>
        <w:t>.</w:t>
      </w:r>
    </w:p>
  </w:footnote>
  <w:footnote w:id="21">
    <w:p w:rsidR="0012149B" w:rsidRPr="00E14EA9" w:rsidP="00E14EA9" w14:paraId="0C3DDD8E" w14:textId="70793D2E">
      <w:pPr>
        <w:pStyle w:val="FootnoteText"/>
        <w:spacing w:after="120"/>
        <w:rPr>
          <w:b w:val="0"/>
          <w:bCs w:val="0"/>
        </w:rPr>
      </w:pPr>
      <w:r w:rsidRPr="00E14EA9">
        <w:rPr>
          <w:rStyle w:val="FootnoteReference"/>
          <w:b w:val="0"/>
          <w:bCs w:val="0"/>
        </w:rPr>
        <w:footnoteRef/>
      </w:r>
      <w:r w:rsidRPr="00E14EA9">
        <w:rPr>
          <w:b w:val="0"/>
          <w:bCs w:val="0"/>
        </w:rPr>
        <w:t xml:space="preserve"> </w:t>
      </w:r>
      <w:r w:rsidRPr="00E14EA9">
        <w:rPr>
          <w:b w:val="0"/>
          <w:i/>
          <w:iCs/>
        </w:rPr>
        <w:t>See</w:t>
      </w:r>
      <w:r w:rsidRPr="00E14EA9">
        <w:rPr>
          <w:b w:val="0"/>
        </w:rPr>
        <w:t xml:space="preserve"> PUCO Case No. 20-167, OCC Initial Comments at 12-13.</w:t>
      </w:r>
    </w:p>
  </w:footnote>
  <w:footnote w:id="22">
    <w:p w:rsidR="0012149B" w:rsidRPr="00E14EA9" w:rsidP="00E14EA9" w14:paraId="72091795" w14:textId="6C75583E">
      <w:pPr>
        <w:pStyle w:val="FootnoteText"/>
        <w:spacing w:after="120"/>
        <w:rPr>
          <w:b w:val="0"/>
        </w:rPr>
      </w:pPr>
      <w:r w:rsidRPr="00E14EA9">
        <w:rPr>
          <w:rStyle w:val="FootnoteReference"/>
          <w:b w:val="0"/>
        </w:rPr>
        <w:footnoteRef/>
      </w:r>
      <w:r w:rsidRPr="00E14EA9">
        <w:rPr>
          <w:b w:val="0"/>
        </w:rPr>
        <w:t xml:space="preserve"> </w:t>
      </w:r>
      <w:r w:rsidRPr="00E14EA9">
        <w:rPr>
          <w:b w:val="0"/>
          <w:i/>
          <w:iCs/>
        </w:rPr>
        <w:t>See</w:t>
      </w:r>
      <w:r w:rsidRPr="00E14EA9">
        <w:rPr>
          <w:b w:val="0"/>
        </w:rPr>
        <w:t xml:space="preserve"> Audit Report at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149B" w14:paraId="26FDE0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D5567C"/>
    <w:multiLevelType w:val="hybridMultilevel"/>
    <w:tmpl w:val="A17C86C4"/>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9EF6721"/>
    <w:multiLevelType w:val="hybridMultilevel"/>
    <w:tmpl w:val="DCD431D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0334393"/>
    <w:multiLevelType w:val="hybridMultilevel"/>
    <w:tmpl w:val="700E5DC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132203"/>
    <w:multiLevelType w:val="hybridMultilevel"/>
    <w:tmpl w:val="A13E55B4"/>
    <w:lvl w:ilvl="0">
      <w:start w:val="1"/>
      <w:numFmt w:val="upp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4">
    <w:nsid w:val="377F44B9"/>
    <w:multiLevelType w:val="hybridMultilevel"/>
    <w:tmpl w:val="55FE6008"/>
    <w:lvl w:ilvl="0">
      <w:start w:val="1"/>
      <w:numFmt w:val="upperLetter"/>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CEC6A62"/>
    <w:multiLevelType w:val="hybridMultilevel"/>
    <w:tmpl w:val="117E6B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DB16821"/>
    <w:multiLevelType w:val="hybridMultilevel"/>
    <w:tmpl w:val="1E8E723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17F4AF5"/>
    <w:multiLevelType w:val="hybridMultilevel"/>
    <w:tmpl w:val="CF6E3A4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B325E25"/>
    <w:multiLevelType w:val="hybridMultilevel"/>
    <w:tmpl w:val="5A2471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B906147"/>
    <w:multiLevelType w:val="hybridMultilevel"/>
    <w:tmpl w:val="8A02E5F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7"/>
  </w:num>
  <w:num w:numId="2">
    <w:abstractNumId w:val="2"/>
  </w:num>
  <w:num w:numId="3">
    <w:abstractNumId w:val="8"/>
  </w:num>
  <w:num w:numId="4">
    <w:abstractNumId w:val="5"/>
  </w:num>
  <w:num w:numId="5">
    <w:abstractNumId w:val="6"/>
  </w:num>
  <w:num w:numId="6">
    <w:abstractNumId w:val="3"/>
  </w:num>
  <w:num w:numId="7">
    <w:abstractNumId w:val="9"/>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35"/>
    <w:rsid w:val="000102E8"/>
    <w:rsid w:val="000224ED"/>
    <w:rsid w:val="00045234"/>
    <w:rsid w:val="00050382"/>
    <w:rsid w:val="00056349"/>
    <w:rsid w:val="00057815"/>
    <w:rsid w:val="000B0930"/>
    <w:rsid w:val="000C0EB0"/>
    <w:rsid w:val="000D55CA"/>
    <w:rsid w:val="000D5F7E"/>
    <w:rsid w:val="000F4849"/>
    <w:rsid w:val="00102F37"/>
    <w:rsid w:val="00106D11"/>
    <w:rsid w:val="001146EE"/>
    <w:rsid w:val="0012149B"/>
    <w:rsid w:val="00126AB6"/>
    <w:rsid w:val="001513E4"/>
    <w:rsid w:val="00155179"/>
    <w:rsid w:val="0017268A"/>
    <w:rsid w:val="001822DC"/>
    <w:rsid w:val="00194C93"/>
    <w:rsid w:val="001C439E"/>
    <w:rsid w:val="001D7F09"/>
    <w:rsid w:val="00201C50"/>
    <w:rsid w:val="00202FDB"/>
    <w:rsid w:val="00234686"/>
    <w:rsid w:val="0024458E"/>
    <w:rsid w:val="00253913"/>
    <w:rsid w:val="0026277F"/>
    <w:rsid w:val="002633EA"/>
    <w:rsid w:val="00270699"/>
    <w:rsid w:val="00272370"/>
    <w:rsid w:val="00275647"/>
    <w:rsid w:val="002912C8"/>
    <w:rsid w:val="00292994"/>
    <w:rsid w:val="002931D1"/>
    <w:rsid w:val="002B6443"/>
    <w:rsid w:val="002C0B8C"/>
    <w:rsid w:val="002D743A"/>
    <w:rsid w:val="002F1E22"/>
    <w:rsid w:val="002F58A6"/>
    <w:rsid w:val="002F7533"/>
    <w:rsid w:val="00303094"/>
    <w:rsid w:val="0030588E"/>
    <w:rsid w:val="003162B6"/>
    <w:rsid w:val="00316455"/>
    <w:rsid w:val="0031709A"/>
    <w:rsid w:val="00324253"/>
    <w:rsid w:val="00336E15"/>
    <w:rsid w:val="00340871"/>
    <w:rsid w:val="0036162E"/>
    <w:rsid w:val="00374F7A"/>
    <w:rsid w:val="0038788C"/>
    <w:rsid w:val="00396CD4"/>
    <w:rsid w:val="003C66FB"/>
    <w:rsid w:val="003D0D32"/>
    <w:rsid w:val="003F5E75"/>
    <w:rsid w:val="0040426E"/>
    <w:rsid w:val="00405223"/>
    <w:rsid w:val="004247A5"/>
    <w:rsid w:val="00425641"/>
    <w:rsid w:val="004278E7"/>
    <w:rsid w:val="00433FB2"/>
    <w:rsid w:val="0046406E"/>
    <w:rsid w:val="00470B64"/>
    <w:rsid w:val="00473AED"/>
    <w:rsid w:val="00474C5F"/>
    <w:rsid w:val="004951A2"/>
    <w:rsid w:val="00495A0F"/>
    <w:rsid w:val="004A3008"/>
    <w:rsid w:val="004C7E7B"/>
    <w:rsid w:val="004D50DA"/>
    <w:rsid w:val="004D7AEA"/>
    <w:rsid w:val="0050473A"/>
    <w:rsid w:val="00531B59"/>
    <w:rsid w:val="00534AAF"/>
    <w:rsid w:val="00550562"/>
    <w:rsid w:val="0056442A"/>
    <w:rsid w:val="00567322"/>
    <w:rsid w:val="005675D6"/>
    <w:rsid w:val="005726B8"/>
    <w:rsid w:val="005776B7"/>
    <w:rsid w:val="005A093F"/>
    <w:rsid w:val="005B681C"/>
    <w:rsid w:val="005C070B"/>
    <w:rsid w:val="005D21EE"/>
    <w:rsid w:val="005D4EA5"/>
    <w:rsid w:val="005F0955"/>
    <w:rsid w:val="00605835"/>
    <w:rsid w:val="006173A1"/>
    <w:rsid w:val="006216B1"/>
    <w:rsid w:val="00631260"/>
    <w:rsid w:val="006350E6"/>
    <w:rsid w:val="00653932"/>
    <w:rsid w:val="00657AEF"/>
    <w:rsid w:val="0069628F"/>
    <w:rsid w:val="006A303B"/>
    <w:rsid w:val="006A4EDC"/>
    <w:rsid w:val="006B667E"/>
    <w:rsid w:val="006C3ECC"/>
    <w:rsid w:val="006E2FB4"/>
    <w:rsid w:val="006E7D73"/>
    <w:rsid w:val="006F2158"/>
    <w:rsid w:val="006F3DDA"/>
    <w:rsid w:val="006F5337"/>
    <w:rsid w:val="007400B9"/>
    <w:rsid w:val="00740B36"/>
    <w:rsid w:val="00764FEA"/>
    <w:rsid w:val="00766932"/>
    <w:rsid w:val="00777C85"/>
    <w:rsid w:val="007879F0"/>
    <w:rsid w:val="007B74A0"/>
    <w:rsid w:val="007C2D5C"/>
    <w:rsid w:val="007E77EB"/>
    <w:rsid w:val="0080191E"/>
    <w:rsid w:val="008409F7"/>
    <w:rsid w:val="00842DCC"/>
    <w:rsid w:val="008620DE"/>
    <w:rsid w:val="00863C56"/>
    <w:rsid w:val="008643E6"/>
    <w:rsid w:val="00873195"/>
    <w:rsid w:val="008745E0"/>
    <w:rsid w:val="00881181"/>
    <w:rsid w:val="0088545E"/>
    <w:rsid w:val="008A0D1E"/>
    <w:rsid w:val="008B713A"/>
    <w:rsid w:val="008D234E"/>
    <w:rsid w:val="008E21FE"/>
    <w:rsid w:val="008F6A36"/>
    <w:rsid w:val="00911E40"/>
    <w:rsid w:val="00917F47"/>
    <w:rsid w:val="00926AF4"/>
    <w:rsid w:val="009276B0"/>
    <w:rsid w:val="009837AE"/>
    <w:rsid w:val="00993E05"/>
    <w:rsid w:val="009A5E73"/>
    <w:rsid w:val="009C0816"/>
    <w:rsid w:val="009C2B94"/>
    <w:rsid w:val="009C2E75"/>
    <w:rsid w:val="009D3E5E"/>
    <w:rsid w:val="009E416D"/>
    <w:rsid w:val="009F08C7"/>
    <w:rsid w:val="009F5D6A"/>
    <w:rsid w:val="00A044B5"/>
    <w:rsid w:val="00A14BA7"/>
    <w:rsid w:val="00A60FEC"/>
    <w:rsid w:val="00A9057A"/>
    <w:rsid w:val="00AB4BB9"/>
    <w:rsid w:val="00AB6B85"/>
    <w:rsid w:val="00AD05D4"/>
    <w:rsid w:val="00AD3780"/>
    <w:rsid w:val="00AE26EE"/>
    <w:rsid w:val="00AF1D49"/>
    <w:rsid w:val="00B0739E"/>
    <w:rsid w:val="00B367B7"/>
    <w:rsid w:val="00B832DC"/>
    <w:rsid w:val="00B92A7B"/>
    <w:rsid w:val="00BB1C9C"/>
    <w:rsid w:val="00BD00B3"/>
    <w:rsid w:val="00BD5733"/>
    <w:rsid w:val="00BD7D51"/>
    <w:rsid w:val="00C01532"/>
    <w:rsid w:val="00C120D7"/>
    <w:rsid w:val="00C242B2"/>
    <w:rsid w:val="00C60E55"/>
    <w:rsid w:val="00C74987"/>
    <w:rsid w:val="00C81C41"/>
    <w:rsid w:val="00C8266B"/>
    <w:rsid w:val="00C82D60"/>
    <w:rsid w:val="00CB28D8"/>
    <w:rsid w:val="00CC2098"/>
    <w:rsid w:val="00CC3F46"/>
    <w:rsid w:val="00CC4586"/>
    <w:rsid w:val="00CC73DB"/>
    <w:rsid w:val="00CF56CE"/>
    <w:rsid w:val="00D029EC"/>
    <w:rsid w:val="00D07F47"/>
    <w:rsid w:val="00D118B4"/>
    <w:rsid w:val="00D13F7E"/>
    <w:rsid w:val="00D1576F"/>
    <w:rsid w:val="00D168FF"/>
    <w:rsid w:val="00D17CD6"/>
    <w:rsid w:val="00D42CA2"/>
    <w:rsid w:val="00D445C9"/>
    <w:rsid w:val="00D53719"/>
    <w:rsid w:val="00D7700A"/>
    <w:rsid w:val="00D81541"/>
    <w:rsid w:val="00D97707"/>
    <w:rsid w:val="00DA0701"/>
    <w:rsid w:val="00DA0877"/>
    <w:rsid w:val="00DA3AC9"/>
    <w:rsid w:val="00DA6D00"/>
    <w:rsid w:val="00DB0213"/>
    <w:rsid w:val="00DB0C5D"/>
    <w:rsid w:val="00DC2D0F"/>
    <w:rsid w:val="00DD0983"/>
    <w:rsid w:val="00DD119E"/>
    <w:rsid w:val="00DD56C3"/>
    <w:rsid w:val="00DE5F23"/>
    <w:rsid w:val="00DE6D2C"/>
    <w:rsid w:val="00DF1B6A"/>
    <w:rsid w:val="00DF1FED"/>
    <w:rsid w:val="00E01756"/>
    <w:rsid w:val="00E01941"/>
    <w:rsid w:val="00E07DC0"/>
    <w:rsid w:val="00E14EA9"/>
    <w:rsid w:val="00E31567"/>
    <w:rsid w:val="00E3633D"/>
    <w:rsid w:val="00E6118B"/>
    <w:rsid w:val="00E84102"/>
    <w:rsid w:val="00E8500C"/>
    <w:rsid w:val="00E865FF"/>
    <w:rsid w:val="00E86AAB"/>
    <w:rsid w:val="00E87066"/>
    <w:rsid w:val="00E872B7"/>
    <w:rsid w:val="00E975EE"/>
    <w:rsid w:val="00EA3908"/>
    <w:rsid w:val="00EC0D34"/>
    <w:rsid w:val="00ED1665"/>
    <w:rsid w:val="00ED7B38"/>
    <w:rsid w:val="00EE0C3C"/>
    <w:rsid w:val="00EE14D8"/>
    <w:rsid w:val="00EF5095"/>
    <w:rsid w:val="00EF6CE2"/>
    <w:rsid w:val="00F06864"/>
    <w:rsid w:val="00F122F7"/>
    <w:rsid w:val="00F13815"/>
    <w:rsid w:val="00F17F69"/>
    <w:rsid w:val="00F22FF2"/>
    <w:rsid w:val="00F2779D"/>
    <w:rsid w:val="00F508D2"/>
    <w:rsid w:val="00F674EF"/>
    <w:rsid w:val="00F70FB1"/>
    <w:rsid w:val="00F73A21"/>
    <w:rsid w:val="00F8267C"/>
    <w:rsid w:val="00F8439E"/>
    <w:rsid w:val="00F87F2A"/>
    <w:rsid w:val="00F97FAC"/>
    <w:rsid w:val="00FA407C"/>
    <w:rsid w:val="00FA53FA"/>
    <w:rsid w:val="00FA78FE"/>
    <w:rsid w:val="00FB0F74"/>
    <w:rsid w:val="00FB43F8"/>
    <w:rsid w:val="00FF077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7F69"/>
    <w:pPr>
      <w:keepNext/>
      <w:keepLines/>
      <w:spacing w:after="240" w:line="240" w:lineRule="auto"/>
      <w:ind w:left="720" w:hanging="720"/>
      <w:outlineLvl w:val="0"/>
    </w:pPr>
    <w:rPr>
      <w:rFonts w:ascii="Times New Roman Bold" w:hAnsi="Times New Roman Bold" w:eastAsiaTheme="majorEastAsia" w:cstheme="majorBidi"/>
      <w:szCs w:val="32"/>
    </w:rPr>
  </w:style>
  <w:style w:type="paragraph" w:styleId="Heading2">
    <w:name w:val="heading 2"/>
    <w:basedOn w:val="Normal"/>
    <w:next w:val="Normal"/>
    <w:link w:val="Heading2Char"/>
    <w:autoRedefine/>
    <w:uiPriority w:val="9"/>
    <w:unhideWhenUsed/>
    <w:qFormat/>
    <w:rsid w:val="00881181"/>
    <w:pPr>
      <w:keepNext/>
      <w:keepLines/>
      <w:numPr>
        <w:numId w:val="10"/>
      </w:numPr>
      <w:spacing w:after="240" w:line="240" w:lineRule="auto"/>
      <w:ind w:left="1440" w:hanging="720"/>
      <w:outlineLvl w:val="1"/>
    </w:pPr>
    <w:rPr>
      <w:rFonts w:ascii="Times New Roman Bold" w:hAnsi="Times New Roman Bold" w:eastAsiaTheme="majorEastAsia" w:cstheme="majorBidi"/>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773"/>
    <w:rPr>
      <w:color w:val="0563C1" w:themeColor="hyperlink"/>
      <w:u w:val="single"/>
    </w:rPr>
  </w:style>
  <w:style w:type="character" w:customStyle="1" w:styleId="UnresolvedMention1">
    <w:name w:val="Unresolved Mention1"/>
    <w:basedOn w:val="DefaultParagraphFont"/>
    <w:uiPriority w:val="99"/>
    <w:semiHidden/>
    <w:unhideWhenUsed/>
    <w:rsid w:val="00FF0773"/>
    <w:rPr>
      <w:color w:val="605E5C"/>
      <w:shd w:val="clear" w:color="auto" w:fill="E1DFDD"/>
    </w:rPr>
  </w:style>
  <w:style w:type="paragraph" w:styleId="ListParagraph">
    <w:name w:val="List Paragraph"/>
    <w:basedOn w:val="Normal"/>
    <w:uiPriority w:val="34"/>
    <w:qFormat/>
    <w:rsid w:val="004A3008"/>
    <w:pPr>
      <w:ind w:left="720"/>
      <w:contextualSpacing/>
    </w:pPr>
  </w:style>
  <w:style w:type="character" w:styleId="PlaceholderText">
    <w:name w:val="Placeholder Text"/>
    <w:basedOn w:val="DefaultParagraphFont"/>
    <w:uiPriority w:val="99"/>
    <w:semiHidden/>
    <w:rsid w:val="006E7D73"/>
    <w:rPr>
      <w:color w:val="808080"/>
    </w:rPr>
  </w:style>
  <w:style w:type="paragraph" w:styleId="FootnoteText">
    <w:name w:val="footnote text"/>
    <w:basedOn w:val="Normal"/>
    <w:link w:val="FootnoteTextChar"/>
    <w:uiPriority w:val="99"/>
    <w:semiHidden/>
    <w:unhideWhenUsed/>
    <w:rsid w:val="00FA4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07C"/>
    <w:rPr>
      <w:sz w:val="20"/>
      <w:szCs w:val="20"/>
    </w:rPr>
  </w:style>
  <w:style w:type="character" w:styleId="FootnoteReference">
    <w:name w:val="footnote reference"/>
    <w:basedOn w:val="DefaultParagraphFont"/>
    <w:semiHidden/>
    <w:unhideWhenUsed/>
    <w:rsid w:val="00FA407C"/>
    <w:rPr>
      <w:vertAlign w:val="superscript"/>
    </w:rPr>
  </w:style>
  <w:style w:type="character" w:customStyle="1" w:styleId="ssit">
    <w:name w:val="ss_it"/>
    <w:basedOn w:val="DefaultParagraphFont"/>
    <w:rsid w:val="00C81C41"/>
  </w:style>
  <w:style w:type="character" w:customStyle="1" w:styleId="sssh">
    <w:name w:val="ss_sh"/>
    <w:basedOn w:val="DefaultParagraphFont"/>
    <w:rsid w:val="00C81C41"/>
  </w:style>
  <w:style w:type="paragraph" w:styleId="NormalWeb">
    <w:name w:val="Normal (Web)"/>
    <w:basedOn w:val="Normal"/>
    <w:uiPriority w:val="99"/>
    <w:unhideWhenUsed/>
    <w:rsid w:val="00F508D2"/>
    <w:pPr>
      <w:spacing w:before="100" w:beforeAutospacing="1" w:after="100" w:afterAutospacing="1" w:line="240" w:lineRule="auto"/>
    </w:pPr>
    <w:rPr>
      <w:rFonts w:eastAsia="Times New Roman"/>
      <w:b w:val="0"/>
      <w:bCs w:val="0"/>
    </w:rPr>
  </w:style>
  <w:style w:type="character" w:customStyle="1" w:styleId="ssbf">
    <w:name w:val="ss_bf"/>
    <w:basedOn w:val="DefaultParagraphFont"/>
    <w:rsid w:val="00F508D2"/>
  </w:style>
  <w:style w:type="character" w:customStyle="1" w:styleId="ssun">
    <w:name w:val="ss_un"/>
    <w:basedOn w:val="DefaultParagraphFont"/>
    <w:rsid w:val="00F508D2"/>
  </w:style>
  <w:style w:type="paragraph" w:styleId="Header">
    <w:name w:val="header"/>
    <w:basedOn w:val="Normal"/>
    <w:link w:val="HeaderChar"/>
    <w:uiPriority w:val="99"/>
    <w:unhideWhenUsed/>
    <w:rsid w:val="007B7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4A0"/>
  </w:style>
  <w:style w:type="paragraph" w:styleId="Footer">
    <w:name w:val="footer"/>
    <w:basedOn w:val="Normal"/>
    <w:link w:val="FooterChar"/>
    <w:uiPriority w:val="99"/>
    <w:unhideWhenUsed/>
    <w:rsid w:val="007B7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4A0"/>
  </w:style>
  <w:style w:type="character" w:styleId="CommentReference">
    <w:name w:val="annotation reference"/>
    <w:basedOn w:val="DefaultParagraphFont"/>
    <w:uiPriority w:val="99"/>
    <w:semiHidden/>
    <w:unhideWhenUsed/>
    <w:rsid w:val="00DB0213"/>
    <w:rPr>
      <w:sz w:val="16"/>
      <w:szCs w:val="16"/>
    </w:rPr>
  </w:style>
  <w:style w:type="paragraph" w:styleId="CommentText">
    <w:name w:val="annotation text"/>
    <w:basedOn w:val="Normal"/>
    <w:link w:val="CommentTextChar"/>
    <w:uiPriority w:val="99"/>
    <w:semiHidden/>
    <w:unhideWhenUsed/>
    <w:rsid w:val="00DB0213"/>
    <w:pPr>
      <w:spacing w:line="240" w:lineRule="auto"/>
    </w:pPr>
    <w:rPr>
      <w:sz w:val="20"/>
      <w:szCs w:val="20"/>
    </w:rPr>
  </w:style>
  <w:style w:type="character" w:customStyle="1" w:styleId="CommentTextChar">
    <w:name w:val="Comment Text Char"/>
    <w:basedOn w:val="DefaultParagraphFont"/>
    <w:link w:val="CommentText"/>
    <w:uiPriority w:val="99"/>
    <w:semiHidden/>
    <w:rsid w:val="00DB0213"/>
    <w:rPr>
      <w:sz w:val="20"/>
      <w:szCs w:val="20"/>
    </w:rPr>
  </w:style>
  <w:style w:type="paragraph" w:styleId="CommentSubject">
    <w:name w:val="annotation subject"/>
    <w:basedOn w:val="CommentText"/>
    <w:next w:val="CommentText"/>
    <w:link w:val="CommentSubjectChar"/>
    <w:uiPriority w:val="99"/>
    <w:semiHidden/>
    <w:unhideWhenUsed/>
    <w:rsid w:val="00DB0213"/>
  </w:style>
  <w:style w:type="character" w:customStyle="1" w:styleId="CommentSubjectChar">
    <w:name w:val="Comment Subject Char"/>
    <w:basedOn w:val="CommentTextChar"/>
    <w:link w:val="CommentSubject"/>
    <w:uiPriority w:val="99"/>
    <w:semiHidden/>
    <w:rsid w:val="00DB0213"/>
    <w:rPr>
      <w:sz w:val="20"/>
      <w:szCs w:val="20"/>
    </w:rPr>
  </w:style>
  <w:style w:type="paragraph" w:styleId="BalloonText">
    <w:name w:val="Balloon Text"/>
    <w:basedOn w:val="Normal"/>
    <w:link w:val="BalloonTextChar"/>
    <w:uiPriority w:val="99"/>
    <w:semiHidden/>
    <w:unhideWhenUsed/>
    <w:rsid w:val="00DB0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213"/>
    <w:rPr>
      <w:rFonts w:ascii="Segoe UI" w:hAnsi="Segoe UI" w:cs="Segoe UI"/>
      <w:sz w:val="18"/>
      <w:szCs w:val="18"/>
    </w:rPr>
  </w:style>
  <w:style w:type="paragraph" w:styleId="BodyTextIndent3">
    <w:name w:val="Body Text Indent 3"/>
    <w:basedOn w:val="Normal"/>
    <w:link w:val="BodyTextIndent3Char"/>
    <w:uiPriority w:val="99"/>
    <w:unhideWhenUsed/>
    <w:rsid w:val="00D445C9"/>
    <w:pPr>
      <w:spacing w:after="120"/>
      <w:ind w:left="360"/>
    </w:pPr>
    <w:rPr>
      <w:sz w:val="16"/>
      <w:szCs w:val="16"/>
    </w:rPr>
  </w:style>
  <w:style w:type="character" w:customStyle="1" w:styleId="BodyTextIndent3Char">
    <w:name w:val="Body Text Indent 3 Char"/>
    <w:basedOn w:val="DefaultParagraphFont"/>
    <w:link w:val="BodyTextIndent3"/>
    <w:uiPriority w:val="99"/>
    <w:rsid w:val="00D445C9"/>
    <w:rPr>
      <w:sz w:val="16"/>
      <w:szCs w:val="16"/>
    </w:rPr>
  </w:style>
  <w:style w:type="table" w:styleId="TableGrid">
    <w:name w:val="Table Grid"/>
    <w:basedOn w:val="TableNormal"/>
    <w:uiPriority w:val="39"/>
    <w:rsid w:val="00D9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1181"/>
    <w:rPr>
      <w:rFonts w:ascii="Times New Roman Bold" w:hAnsi="Times New Roman Bold" w:eastAsiaTheme="majorEastAsia" w:cstheme="majorBidi"/>
      <w:bCs w:val="0"/>
      <w:szCs w:val="26"/>
    </w:rPr>
  </w:style>
  <w:style w:type="paragraph" w:styleId="HTMLPreformatted">
    <w:name w:val="HTML Preformatted"/>
    <w:basedOn w:val="Normal"/>
    <w:link w:val="HTMLPreformattedChar"/>
    <w:rsid w:val="00151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eastAsia="Courier New" w:cs="Courier New"/>
      <w:b w:val="0"/>
      <w:bCs w:val="0"/>
      <w:szCs w:val="20"/>
    </w:rPr>
  </w:style>
  <w:style w:type="character" w:customStyle="1" w:styleId="HTMLPreformattedChar">
    <w:name w:val="HTML Preformatted Char"/>
    <w:basedOn w:val="DefaultParagraphFont"/>
    <w:link w:val="HTMLPreformatted"/>
    <w:rsid w:val="001513E4"/>
    <w:rPr>
      <w:rFonts w:eastAsia="Courier New" w:cs="Courier New"/>
      <w:b w:val="0"/>
      <w:bCs w:val="0"/>
      <w:szCs w:val="20"/>
    </w:rPr>
  </w:style>
  <w:style w:type="paragraph" w:styleId="BodyText">
    <w:name w:val="Body Text"/>
    <w:basedOn w:val="Normal"/>
    <w:link w:val="BodyTextChar"/>
    <w:uiPriority w:val="99"/>
    <w:semiHidden/>
    <w:unhideWhenUsed/>
    <w:rsid w:val="005D4EA5"/>
    <w:pPr>
      <w:spacing w:after="120"/>
    </w:pPr>
  </w:style>
  <w:style w:type="character" w:customStyle="1" w:styleId="BodyTextChar">
    <w:name w:val="Body Text Char"/>
    <w:basedOn w:val="DefaultParagraphFont"/>
    <w:link w:val="BodyText"/>
    <w:uiPriority w:val="99"/>
    <w:semiHidden/>
    <w:rsid w:val="005D4EA5"/>
  </w:style>
  <w:style w:type="character" w:customStyle="1" w:styleId="Heading1Char">
    <w:name w:val="Heading 1 Char"/>
    <w:basedOn w:val="DefaultParagraphFont"/>
    <w:link w:val="Heading1"/>
    <w:uiPriority w:val="9"/>
    <w:rsid w:val="00F17F69"/>
    <w:rPr>
      <w:rFonts w:ascii="Times New Roman Bold" w:hAnsi="Times New Roman Bold" w:eastAsiaTheme="majorEastAsia" w:cstheme="majorBidi"/>
      <w:szCs w:val="32"/>
    </w:rPr>
  </w:style>
  <w:style w:type="paragraph" w:styleId="TOC1">
    <w:name w:val="toc 1"/>
    <w:basedOn w:val="Normal"/>
    <w:next w:val="Normal"/>
    <w:autoRedefine/>
    <w:uiPriority w:val="39"/>
    <w:unhideWhenUsed/>
    <w:rsid w:val="00881181"/>
    <w:pPr>
      <w:tabs>
        <w:tab w:val="decimal" w:leader="dot" w:pos="9360"/>
      </w:tabs>
      <w:spacing w:after="240" w:line="240" w:lineRule="auto"/>
      <w:ind w:left="720" w:hanging="720"/>
    </w:pPr>
    <w:rPr>
      <w:b w:val="0"/>
    </w:rPr>
  </w:style>
  <w:style w:type="paragraph" w:styleId="TOC2">
    <w:name w:val="toc 2"/>
    <w:basedOn w:val="Normal"/>
    <w:next w:val="Normal"/>
    <w:autoRedefine/>
    <w:uiPriority w:val="39"/>
    <w:unhideWhenUsed/>
    <w:rsid w:val="008E21FE"/>
    <w:pPr>
      <w:tabs>
        <w:tab w:val="left" w:pos="1440"/>
        <w:tab w:val="decimal" w:leader="dot" w:pos="9360"/>
      </w:tabs>
      <w:spacing w:after="240" w:line="240" w:lineRule="auto"/>
      <w:ind w:left="1440" w:hanging="720"/>
    </w:pPr>
    <w:rPr>
      <w:rFonts w:eastAsiaTheme="majorEastAsia" w:cstheme="majorBidi"/>
      <w:b w:val="0"/>
      <w:bCs w:val="0"/>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hyperlink" Target="mailto:kyle.kern@ohioattorneygeneral.gov" TargetMode="External" /><Relationship Id="rId13" Type="http://schemas.openxmlformats.org/officeDocument/2006/relationships/hyperlink" Target="mailto:thomas.lindgren@ohioattorneygeneral.gov" TargetMode="External" /><Relationship Id="rId14" Type="http://schemas.openxmlformats.org/officeDocument/2006/relationships/hyperlink" Target="mailto:patricia.schabo@puco.ohio.gov" TargetMode="External" /><Relationship Id="rId15" Type="http://schemas.openxmlformats.org/officeDocument/2006/relationships/hyperlink" Target="mailto:michael.williams@puco.ohio.gov" TargetMode="External" /><Relationship Id="rId16" Type="http://schemas.openxmlformats.org/officeDocument/2006/relationships/hyperlink" Target="mailto:michael.schuler@aes.com" TargetMode="Externa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john.finnigan@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cdn.misoenergy.org/20201008%20MSC%20Item%2004%20IMM%20Coal%20Dispatch%20Study48133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AD2C3-421D-4BEB-BA25-3297F069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20-165 OCC Comments w/dfs  (00149314.DOCX;1)</vt:lpstr>
    </vt:vector>
  </TitlesOfParts>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2021-01-05T20:57:45Z</dcterms:created>
  <dcterms:modified xsi:type="dcterms:W3CDTF">2021-01-05T20:57:45Z</dcterms:modified>
</cp:coreProperties>
</file>