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262A7" w14:textId="77777777" w:rsidR="00F27E2D" w:rsidRPr="00F27E2D" w:rsidRDefault="00F27E2D" w:rsidP="00F27E2D">
      <w:pPr>
        <w:spacing w:line="240" w:lineRule="auto"/>
        <w:jc w:val="center"/>
        <w:rPr>
          <w:rFonts w:eastAsia="Calibri"/>
          <w:b/>
          <w:smallCaps/>
          <w:sz w:val="32"/>
          <w:szCs w:val="32"/>
        </w:rPr>
      </w:pPr>
      <w:bookmarkStart w:id="0" w:name="OLE_LINK1"/>
      <w:bookmarkStart w:id="1" w:name="OLE_LINK2"/>
      <w:r w:rsidRPr="00F27E2D">
        <w:rPr>
          <w:rFonts w:eastAsia="Calibri"/>
          <w:b/>
          <w:smallCaps/>
          <w:sz w:val="32"/>
          <w:szCs w:val="32"/>
        </w:rPr>
        <w:t>Before</w:t>
      </w:r>
    </w:p>
    <w:p w14:paraId="02DF738B" w14:textId="77777777" w:rsidR="00F27E2D" w:rsidRPr="00F27E2D" w:rsidRDefault="00F27E2D" w:rsidP="00F27E2D">
      <w:pPr>
        <w:spacing w:line="240" w:lineRule="auto"/>
        <w:jc w:val="center"/>
        <w:rPr>
          <w:rFonts w:eastAsia="Calibri"/>
          <w:b/>
          <w:smallCaps/>
          <w:sz w:val="32"/>
          <w:szCs w:val="32"/>
        </w:rPr>
      </w:pPr>
      <w:r w:rsidRPr="00F27E2D">
        <w:rPr>
          <w:rFonts w:eastAsia="Calibri"/>
          <w:b/>
          <w:smallCaps/>
          <w:sz w:val="32"/>
          <w:szCs w:val="32"/>
        </w:rPr>
        <w:t>The Public Utilities Commission of Ohio</w:t>
      </w:r>
    </w:p>
    <w:p w14:paraId="51604AED" w14:textId="77777777" w:rsidR="00F27E2D" w:rsidRPr="00F27E2D" w:rsidRDefault="00F27E2D" w:rsidP="00F27E2D">
      <w:pPr>
        <w:autoSpaceDE w:val="0"/>
        <w:autoSpaceDN w:val="0"/>
        <w:adjustRightInd w:val="0"/>
        <w:spacing w:line="240" w:lineRule="auto"/>
        <w:rPr>
          <w:rFonts w:eastAsia="Calibri"/>
        </w:rPr>
      </w:pPr>
    </w:p>
    <w:p w14:paraId="76273F1D" w14:textId="77777777" w:rsidR="00F27E2D" w:rsidRPr="00F27E2D" w:rsidRDefault="00F27E2D" w:rsidP="00F27E2D">
      <w:pPr>
        <w:tabs>
          <w:tab w:val="left" w:pos="4860"/>
          <w:tab w:val="left" w:pos="5400"/>
        </w:tabs>
        <w:autoSpaceDE w:val="0"/>
        <w:autoSpaceDN w:val="0"/>
        <w:adjustRightInd w:val="0"/>
        <w:spacing w:line="240" w:lineRule="auto"/>
        <w:jc w:val="both"/>
        <w:rPr>
          <w:rFonts w:eastAsia="Calibri"/>
        </w:rPr>
      </w:pPr>
      <w:r w:rsidRPr="00F27E2D">
        <w:rPr>
          <w:rFonts w:eastAsia="Calibri"/>
        </w:rPr>
        <w:t xml:space="preserve">In the Matter of the Application of the </w:t>
      </w:r>
      <w:r w:rsidRPr="00F27E2D">
        <w:rPr>
          <w:rFonts w:eastAsia="Calibri"/>
        </w:rPr>
        <w:tab/>
        <w:t>)</w:t>
      </w:r>
    </w:p>
    <w:p w14:paraId="5AAD2449" w14:textId="77777777" w:rsidR="00F27E2D" w:rsidRPr="00F27E2D" w:rsidRDefault="00F27E2D" w:rsidP="00F27E2D">
      <w:pPr>
        <w:tabs>
          <w:tab w:val="left" w:pos="4860"/>
          <w:tab w:val="left" w:pos="5400"/>
        </w:tabs>
        <w:autoSpaceDE w:val="0"/>
        <w:autoSpaceDN w:val="0"/>
        <w:adjustRightInd w:val="0"/>
        <w:spacing w:line="240" w:lineRule="auto"/>
        <w:jc w:val="both"/>
        <w:rPr>
          <w:rFonts w:eastAsia="Calibri"/>
        </w:rPr>
      </w:pPr>
      <w:r w:rsidRPr="00F27E2D">
        <w:rPr>
          <w:rFonts w:eastAsia="Calibri"/>
        </w:rPr>
        <w:t>Ohio Development Services Agency</w:t>
      </w:r>
      <w:r w:rsidRPr="00F27E2D">
        <w:rPr>
          <w:rFonts w:eastAsia="Calibri"/>
        </w:rPr>
        <w:tab/>
        <w:t>)</w:t>
      </w:r>
    </w:p>
    <w:p w14:paraId="3F55DBF6" w14:textId="77777777" w:rsidR="00F27E2D" w:rsidRPr="00F27E2D" w:rsidRDefault="00F27E2D" w:rsidP="00F27E2D">
      <w:pPr>
        <w:tabs>
          <w:tab w:val="left" w:pos="4860"/>
          <w:tab w:val="left" w:pos="5400"/>
        </w:tabs>
        <w:autoSpaceDE w:val="0"/>
        <w:autoSpaceDN w:val="0"/>
        <w:adjustRightInd w:val="0"/>
        <w:spacing w:line="240" w:lineRule="auto"/>
        <w:jc w:val="both"/>
        <w:rPr>
          <w:rFonts w:eastAsia="Calibri"/>
        </w:rPr>
      </w:pPr>
      <w:r w:rsidRPr="00F27E2D">
        <w:rPr>
          <w:rFonts w:eastAsia="Calibri"/>
        </w:rPr>
        <w:t>for an Order Approving Adjustments</w:t>
      </w:r>
      <w:r w:rsidRPr="00F27E2D">
        <w:rPr>
          <w:rFonts w:eastAsia="Calibri"/>
        </w:rPr>
        <w:tab/>
        <w:t>)</w:t>
      </w:r>
      <w:r w:rsidRPr="00F27E2D">
        <w:rPr>
          <w:rFonts w:eastAsia="Calibri"/>
        </w:rPr>
        <w:tab/>
        <w:t>Case No. 17-1377-EL-USF</w:t>
      </w:r>
    </w:p>
    <w:p w14:paraId="5BE4453B" w14:textId="77777777" w:rsidR="00F27E2D" w:rsidRPr="00F27E2D" w:rsidRDefault="00F27E2D" w:rsidP="00F27E2D">
      <w:pPr>
        <w:tabs>
          <w:tab w:val="left" w:pos="4860"/>
          <w:tab w:val="left" w:pos="5400"/>
        </w:tabs>
        <w:autoSpaceDE w:val="0"/>
        <w:autoSpaceDN w:val="0"/>
        <w:adjustRightInd w:val="0"/>
        <w:spacing w:line="240" w:lineRule="auto"/>
        <w:jc w:val="both"/>
        <w:rPr>
          <w:rFonts w:eastAsia="Calibri"/>
        </w:rPr>
      </w:pPr>
      <w:r w:rsidRPr="00F27E2D">
        <w:rPr>
          <w:rFonts w:eastAsia="Calibri"/>
        </w:rPr>
        <w:t xml:space="preserve">to the Universal Service Fund Riders of </w:t>
      </w:r>
      <w:r w:rsidRPr="00F27E2D">
        <w:rPr>
          <w:rFonts w:eastAsia="Calibri"/>
        </w:rPr>
        <w:tab/>
        <w:t>)</w:t>
      </w:r>
    </w:p>
    <w:p w14:paraId="5F40D29B" w14:textId="77777777" w:rsidR="00F27E2D" w:rsidRPr="00F27E2D" w:rsidRDefault="00F27E2D" w:rsidP="00F27E2D">
      <w:pPr>
        <w:tabs>
          <w:tab w:val="left" w:pos="4860"/>
          <w:tab w:val="left" w:pos="5400"/>
        </w:tabs>
        <w:autoSpaceDE w:val="0"/>
        <w:autoSpaceDN w:val="0"/>
        <w:adjustRightInd w:val="0"/>
        <w:spacing w:line="240" w:lineRule="auto"/>
        <w:jc w:val="both"/>
        <w:rPr>
          <w:rFonts w:eastAsia="Calibri"/>
        </w:rPr>
      </w:pPr>
      <w:r w:rsidRPr="00F27E2D">
        <w:rPr>
          <w:rFonts w:eastAsia="Calibri"/>
        </w:rPr>
        <w:t xml:space="preserve">Jurisdictional Ohio Electric Distribution </w:t>
      </w:r>
      <w:r w:rsidRPr="00F27E2D">
        <w:rPr>
          <w:rFonts w:eastAsia="Calibri"/>
        </w:rPr>
        <w:tab/>
        <w:t>)</w:t>
      </w:r>
    </w:p>
    <w:p w14:paraId="54DC6CE8" w14:textId="77777777" w:rsidR="00F27E2D" w:rsidRPr="00F27E2D" w:rsidRDefault="00F27E2D" w:rsidP="00F27E2D">
      <w:pPr>
        <w:tabs>
          <w:tab w:val="left" w:pos="4860"/>
          <w:tab w:val="left" w:pos="5400"/>
        </w:tabs>
        <w:autoSpaceDE w:val="0"/>
        <w:autoSpaceDN w:val="0"/>
        <w:adjustRightInd w:val="0"/>
        <w:spacing w:line="240" w:lineRule="auto"/>
        <w:jc w:val="both"/>
        <w:rPr>
          <w:rFonts w:eastAsia="Calibri"/>
        </w:rPr>
      </w:pPr>
      <w:r w:rsidRPr="00F27E2D">
        <w:rPr>
          <w:rFonts w:eastAsia="Calibri"/>
        </w:rPr>
        <w:t>Utilities.</w:t>
      </w:r>
      <w:r w:rsidRPr="00F27E2D">
        <w:rPr>
          <w:rFonts w:eastAsia="Calibri"/>
        </w:rPr>
        <w:tab/>
        <w:t>)</w:t>
      </w:r>
    </w:p>
    <w:p w14:paraId="274AF000" w14:textId="77777777" w:rsidR="00F27E2D" w:rsidRPr="00F27E2D" w:rsidRDefault="00F27E2D" w:rsidP="00F27E2D">
      <w:pPr>
        <w:tabs>
          <w:tab w:val="left" w:pos="5040"/>
        </w:tabs>
        <w:spacing w:line="240" w:lineRule="auto"/>
        <w:jc w:val="both"/>
        <w:rPr>
          <w:rFonts w:eastAsia="Calibri"/>
        </w:rPr>
      </w:pPr>
    </w:p>
    <w:p w14:paraId="00E6032D" w14:textId="77777777" w:rsidR="00F27E2D" w:rsidRPr="00F27E2D" w:rsidRDefault="00F27E2D" w:rsidP="00F27E2D">
      <w:pPr>
        <w:tabs>
          <w:tab w:val="left" w:pos="5040"/>
        </w:tabs>
        <w:spacing w:line="240" w:lineRule="auto"/>
        <w:jc w:val="both"/>
        <w:rPr>
          <w:rFonts w:eastAsia="Calibri"/>
        </w:rPr>
      </w:pPr>
    </w:p>
    <w:p w14:paraId="13147A4A" w14:textId="77777777" w:rsidR="00F27E2D" w:rsidRPr="00F27E2D" w:rsidRDefault="00F27E2D" w:rsidP="00F27E2D">
      <w:pPr>
        <w:pBdr>
          <w:top w:val="single" w:sz="12" w:space="1" w:color="auto"/>
        </w:pBdr>
        <w:tabs>
          <w:tab w:val="left" w:pos="7320"/>
        </w:tabs>
        <w:spacing w:line="240" w:lineRule="auto"/>
        <w:jc w:val="center"/>
        <w:outlineLvl w:val="0"/>
        <w:rPr>
          <w:rFonts w:ascii="Arial Bold" w:eastAsia="Calibri" w:hAnsi="Arial Bold"/>
          <w:b/>
          <w:smallCaps/>
          <w:sz w:val="28"/>
          <w:szCs w:val="28"/>
        </w:rPr>
      </w:pPr>
    </w:p>
    <w:p w14:paraId="13A4316B" w14:textId="77777777" w:rsidR="00F27E2D" w:rsidRDefault="00F27E2D" w:rsidP="00F27E2D">
      <w:pPr>
        <w:spacing w:line="240" w:lineRule="auto"/>
        <w:jc w:val="center"/>
        <w:rPr>
          <w:rFonts w:ascii="Arial Bold" w:eastAsia="Calibri" w:hAnsi="Arial Bold"/>
          <w:b/>
          <w:smallCaps/>
          <w:sz w:val="32"/>
          <w:szCs w:val="32"/>
        </w:rPr>
      </w:pPr>
      <w:r>
        <w:rPr>
          <w:rFonts w:ascii="Arial Bold" w:eastAsia="Calibri" w:hAnsi="Arial Bold"/>
          <w:b/>
          <w:smallCaps/>
          <w:sz w:val="32"/>
          <w:szCs w:val="32"/>
        </w:rPr>
        <w:t>I</w:t>
      </w:r>
      <w:r w:rsidRPr="00F27E2D">
        <w:rPr>
          <w:rFonts w:ascii="Arial Bold" w:eastAsia="Calibri" w:hAnsi="Arial Bold"/>
          <w:b/>
          <w:smallCaps/>
          <w:sz w:val="32"/>
          <w:szCs w:val="32"/>
        </w:rPr>
        <w:t>ndustrial Energy Users-Ohio</w:t>
      </w:r>
      <w:r>
        <w:rPr>
          <w:rFonts w:ascii="Arial Bold" w:eastAsia="Calibri" w:hAnsi="Arial Bold"/>
          <w:b/>
          <w:smallCaps/>
          <w:sz w:val="32"/>
          <w:szCs w:val="32"/>
        </w:rPr>
        <w:t>’s</w:t>
      </w:r>
    </w:p>
    <w:p w14:paraId="1D088E42" w14:textId="77777777" w:rsidR="00F27E2D" w:rsidRPr="00F27E2D" w:rsidRDefault="00F27E2D" w:rsidP="00F27E2D">
      <w:pPr>
        <w:spacing w:line="240" w:lineRule="auto"/>
        <w:jc w:val="center"/>
        <w:rPr>
          <w:rFonts w:ascii="Arial Bold" w:eastAsia="Calibri" w:hAnsi="Arial Bold"/>
          <w:b/>
          <w:smallCaps/>
          <w:sz w:val="32"/>
          <w:szCs w:val="32"/>
        </w:rPr>
      </w:pPr>
      <w:r>
        <w:rPr>
          <w:rFonts w:ascii="Arial Bold" w:eastAsia="Calibri" w:hAnsi="Arial Bold"/>
          <w:b/>
          <w:smallCaps/>
          <w:sz w:val="32"/>
          <w:szCs w:val="32"/>
        </w:rPr>
        <w:t>Reply Brief</w:t>
      </w:r>
    </w:p>
    <w:bookmarkEnd w:id="0"/>
    <w:bookmarkEnd w:id="1"/>
    <w:p w14:paraId="6C463488" w14:textId="77777777" w:rsidR="00F27E2D" w:rsidRPr="00F27E2D" w:rsidRDefault="00F27E2D" w:rsidP="00F27E2D">
      <w:pPr>
        <w:pBdr>
          <w:bottom w:val="single" w:sz="12" w:space="1" w:color="auto"/>
        </w:pBdr>
        <w:spacing w:line="240" w:lineRule="auto"/>
        <w:jc w:val="center"/>
        <w:rPr>
          <w:rFonts w:eastAsia="Calibri"/>
          <w:b/>
          <w:smallCaps/>
          <w:sz w:val="28"/>
          <w:szCs w:val="28"/>
          <w:u w:val="single"/>
        </w:rPr>
      </w:pPr>
    </w:p>
    <w:p w14:paraId="5C5A3097" w14:textId="77777777" w:rsidR="00F27E2D" w:rsidRPr="00F27E2D" w:rsidRDefault="00F27E2D" w:rsidP="00F27E2D">
      <w:pPr>
        <w:spacing w:line="240" w:lineRule="auto"/>
        <w:jc w:val="center"/>
        <w:rPr>
          <w:rFonts w:eastAsia="Calibri"/>
          <w:b/>
          <w:smallCaps/>
          <w:u w:val="single"/>
        </w:rPr>
      </w:pPr>
    </w:p>
    <w:p w14:paraId="0B06F7BC" w14:textId="77777777" w:rsidR="00F27E2D" w:rsidRPr="00F27E2D" w:rsidRDefault="00F27E2D" w:rsidP="00F27E2D">
      <w:pPr>
        <w:spacing w:line="240" w:lineRule="auto"/>
        <w:jc w:val="center"/>
        <w:rPr>
          <w:rFonts w:eastAsia="Calibri"/>
          <w:b/>
          <w:smallCaps/>
          <w:u w:val="single"/>
        </w:rPr>
      </w:pPr>
    </w:p>
    <w:p w14:paraId="255AA9D6" w14:textId="77777777" w:rsidR="00F27E2D" w:rsidRPr="00F27E2D" w:rsidRDefault="00F27E2D" w:rsidP="00F27E2D">
      <w:pPr>
        <w:spacing w:line="240" w:lineRule="auto"/>
        <w:jc w:val="center"/>
        <w:rPr>
          <w:rFonts w:eastAsia="Calibri"/>
          <w:b/>
          <w:smallCaps/>
          <w:sz w:val="28"/>
          <w:u w:val="single"/>
        </w:rPr>
      </w:pPr>
    </w:p>
    <w:p w14:paraId="2232359C" w14:textId="77777777" w:rsidR="00F27E2D" w:rsidRPr="00F27E2D" w:rsidRDefault="00F27E2D" w:rsidP="00F27E2D">
      <w:pPr>
        <w:spacing w:line="240" w:lineRule="auto"/>
        <w:jc w:val="center"/>
        <w:rPr>
          <w:rFonts w:eastAsia="Calibri"/>
          <w:b/>
          <w:smallCaps/>
          <w:sz w:val="28"/>
          <w:u w:val="single"/>
        </w:rPr>
      </w:pPr>
    </w:p>
    <w:p w14:paraId="7B3F645B" w14:textId="77777777" w:rsidR="00F27E2D" w:rsidRPr="00F27E2D" w:rsidRDefault="00F27E2D" w:rsidP="00F27E2D">
      <w:pPr>
        <w:spacing w:line="240" w:lineRule="auto"/>
        <w:jc w:val="center"/>
        <w:rPr>
          <w:rFonts w:eastAsia="Calibri"/>
          <w:b/>
          <w:smallCaps/>
          <w:sz w:val="28"/>
          <w:u w:val="single"/>
        </w:rPr>
      </w:pPr>
    </w:p>
    <w:p w14:paraId="49F9EA39" w14:textId="77777777" w:rsidR="00F27E2D" w:rsidRPr="00F27E2D" w:rsidRDefault="00F27E2D" w:rsidP="00F27E2D">
      <w:pPr>
        <w:spacing w:line="240" w:lineRule="auto"/>
        <w:jc w:val="center"/>
        <w:rPr>
          <w:rFonts w:eastAsia="Calibri"/>
          <w:b/>
          <w:smallCaps/>
          <w:sz w:val="28"/>
          <w:u w:val="single"/>
        </w:rPr>
      </w:pPr>
    </w:p>
    <w:p w14:paraId="139B6D98" w14:textId="77777777" w:rsidR="00F27E2D" w:rsidRPr="00F27E2D" w:rsidRDefault="00F27E2D" w:rsidP="00F27E2D">
      <w:pPr>
        <w:spacing w:line="240" w:lineRule="auto"/>
        <w:jc w:val="center"/>
        <w:rPr>
          <w:rFonts w:eastAsia="Calibri"/>
          <w:b/>
          <w:smallCaps/>
          <w:sz w:val="28"/>
          <w:u w:val="single"/>
        </w:rPr>
      </w:pPr>
    </w:p>
    <w:p w14:paraId="4CC80E60" w14:textId="77777777" w:rsidR="00F27E2D" w:rsidRPr="00F27E2D" w:rsidRDefault="00F27E2D" w:rsidP="00F27E2D">
      <w:pPr>
        <w:spacing w:line="240" w:lineRule="auto"/>
        <w:jc w:val="center"/>
        <w:rPr>
          <w:rFonts w:eastAsia="Calibri"/>
          <w:b/>
          <w:smallCaps/>
          <w:sz w:val="28"/>
          <w:u w:val="single"/>
        </w:rPr>
      </w:pPr>
    </w:p>
    <w:p w14:paraId="31DC4E85" w14:textId="77777777" w:rsidR="00F27E2D" w:rsidRPr="00F27E2D" w:rsidRDefault="00F27E2D" w:rsidP="00F27E2D">
      <w:pPr>
        <w:spacing w:line="240" w:lineRule="auto"/>
        <w:jc w:val="center"/>
        <w:rPr>
          <w:rFonts w:eastAsia="Calibri"/>
          <w:b/>
          <w:smallCaps/>
          <w:sz w:val="28"/>
          <w:u w:val="single"/>
        </w:rPr>
      </w:pPr>
    </w:p>
    <w:p w14:paraId="6BBD0F64" w14:textId="77777777" w:rsidR="00F27E2D" w:rsidRPr="00F27E2D" w:rsidRDefault="00F27E2D" w:rsidP="00F27E2D">
      <w:pPr>
        <w:spacing w:line="240" w:lineRule="auto"/>
        <w:jc w:val="center"/>
        <w:rPr>
          <w:rFonts w:eastAsia="Calibri"/>
          <w:b/>
          <w:smallCaps/>
          <w:sz w:val="28"/>
          <w:u w:val="single"/>
        </w:rPr>
      </w:pPr>
    </w:p>
    <w:p w14:paraId="4F046FAE" w14:textId="77777777" w:rsidR="00F27E2D" w:rsidRPr="00F27E2D" w:rsidRDefault="00F27E2D" w:rsidP="00F27E2D">
      <w:pPr>
        <w:spacing w:line="240" w:lineRule="auto"/>
        <w:jc w:val="center"/>
        <w:rPr>
          <w:rFonts w:eastAsia="Calibri"/>
          <w:b/>
          <w:smallCaps/>
          <w:sz w:val="28"/>
          <w:u w:val="single"/>
        </w:rPr>
      </w:pPr>
    </w:p>
    <w:p w14:paraId="783D45E4" w14:textId="77777777" w:rsidR="00F27E2D" w:rsidRPr="00F27E2D" w:rsidRDefault="00F27E2D" w:rsidP="00F27E2D">
      <w:pPr>
        <w:spacing w:line="240" w:lineRule="auto"/>
        <w:jc w:val="center"/>
        <w:rPr>
          <w:rFonts w:eastAsia="Calibri"/>
          <w:b/>
          <w:smallCaps/>
          <w:sz w:val="28"/>
          <w:u w:val="single"/>
        </w:rPr>
      </w:pPr>
    </w:p>
    <w:p w14:paraId="61AF3A4E" w14:textId="77777777" w:rsidR="00F27E2D" w:rsidRPr="00F27E2D" w:rsidRDefault="00F27E2D" w:rsidP="00F27E2D">
      <w:pPr>
        <w:spacing w:line="240" w:lineRule="auto"/>
        <w:jc w:val="center"/>
        <w:rPr>
          <w:rFonts w:eastAsia="Calibri"/>
          <w:b/>
          <w:smallCaps/>
          <w:sz w:val="28"/>
          <w:u w:val="single"/>
        </w:rPr>
      </w:pPr>
    </w:p>
    <w:p w14:paraId="1A5CB38E" w14:textId="77777777" w:rsidR="00F27E2D" w:rsidRPr="00F27E2D" w:rsidRDefault="00F27E2D" w:rsidP="00F27E2D">
      <w:pPr>
        <w:widowControl w:val="0"/>
        <w:spacing w:line="240" w:lineRule="auto"/>
        <w:ind w:left="4140"/>
        <w:jc w:val="both"/>
        <w:rPr>
          <w:rFonts w:eastAsia="Calibri"/>
          <w:bCs/>
          <w:color w:val="000000"/>
          <w:szCs w:val="20"/>
        </w:rPr>
      </w:pPr>
      <w:r w:rsidRPr="00F27E2D">
        <w:rPr>
          <w:rFonts w:eastAsia="Calibri"/>
          <w:bCs/>
          <w:color w:val="000000"/>
          <w:szCs w:val="20"/>
        </w:rPr>
        <w:t>Frank P. Darr (Reg. No. 0025469)</w:t>
      </w:r>
    </w:p>
    <w:p w14:paraId="716113AB" w14:textId="77777777" w:rsidR="00F27E2D" w:rsidRPr="00F27E2D" w:rsidRDefault="00F27E2D" w:rsidP="00F27E2D">
      <w:pPr>
        <w:tabs>
          <w:tab w:val="right" w:pos="8640"/>
        </w:tabs>
        <w:spacing w:line="240" w:lineRule="auto"/>
        <w:ind w:left="4140"/>
        <w:jc w:val="both"/>
        <w:rPr>
          <w:rFonts w:eastAsia="Calibri"/>
          <w:color w:val="000000"/>
        </w:rPr>
      </w:pPr>
      <w:r w:rsidRPr="00F27E2D">
        <w:rPr>
          <w:rFonts w:eastAsia="Calibri"/>
          <w:color w:val="000000"/>
        </w:rPr>
        <w:t>(Counsel of Record)</w:t>
      </w:r>
    </w:p>
    <w:p w14:paraId="343C7318" w14:textId="77777777" w:rsidR="00F27E2D" w:rsidRPr="00F27E2D" w:rsidRDefault="00F27E2D" w:rsidP="00F27E2D">
      <w:pPr>
        <w:widowControl w:val="0"/>
        <w:spacing w:line="240" w:lineRule="auto"/>
        <w:ind w:left="4140"/>
        <w:jc w:val="both"/>
        <w:rPr>
          <w:rFonts w:eastAsia="Calibri"/>
          <w:bCs/>
          <w:color w:val="000000"/>
          <w:szCs w:val="20"/>
        </w:rPr>
      </w:pPr>
      <w:r w:rsidRPr="00F27E2D">
        <w:rPr>
          <w:rFonts w:eastAsia="Calibri"/>
          <w:bCs/>
          <w:color w:val="000000"/>
          <w:szCs w:val="20"/>
        </w:rPr>
        <w:t>Matthew R. Pritchard (Reg. No. 0088070)</w:t>
      </w:r>
    </w:p>
    <w:p w14:paraId="0E182FD2" w14:textId="77777777" w:rsidR="00F27E2D" w:rsidRPr="00F27E2D" w:rsidRDefault="00F27E2D" w:rsidP="00F27E2D">
      <w:pPr>
        <w:widowControl w:val="0"/>
        <w:spacing w:line="240" w:lineRule="auto"/>
        <w:ind w:left="4140"/>
        <w:jc w:val="both"/>
        <w:rPr>
          <w:rFonts w:eastAsia="Calibri"/>
          <w:bCs/>
          <w:smallCaps/>
          <w:color w:val="000000"/>
          <w:szCs w:val="24"/>
        </w:rPr>
      </w:pPr>
      <w:r w:rsidRPr="00F27E2D">
        <w:rPr>
          <w:rFonts w:eastAsia="Calibri"/>
          <w:bCs/>
          <w:smallCaps/>
          <w:color w:val="000000"/>
          <w:szCs w:val="24"/>
        </w:rPr>
        <w:t>McNees Wallace &amp; Nurick LLC</w:t>
      </w:r>
    </w:p>
    <w:p w14:paraId="50EF456F" w14:textId="77777777" w:rsidR="00F27E2D" w:rsidRPr="00F27E2D" w:rsidRDefault="00F27E2D" w:rsidP="00F27E2D">
      <w:pPr>
        <w:widowControl w:val="0"/>
        <w:spacing w:line="240" w:lineRule="auto"/>
        <w:ind w:left="4140"/>
        <w:jc w:val="both"/>
        <w:rPr>
          <w:rFonts w:eastAsia="Calibri"/>
          <w:bCs/>
          <w:color w:val="000000"/>
          <w:szCs w:val="20"/>
        </w:rPr>
      </w:pPr>
      <w:r w:rsidRPr="00F27E2D">
        <w:rPr>
          <w:rFonts w:eastAsia="Calibri"/>
          <w:bCs/>
          <w:color w:val="000000"/>
          <w:szCs w:val="20"/>
        </w:rPr>
        <w:t>21 East State Street, 17</w:t>
      </w:r>
      <w:r w:rsidRPr="00F27E2D">
        <w:rPr>
          <w:rFonts w:eastAsia="Calibri"/>
          <w:bCs/>
          <w:color w:val="000000"/>
          <w:szCs w:val="20"/>
          <w:vertAlign w:val="superscript"/>
        </w:rPr>
        <w:t>TH</w:t>
      </w:r>
      <w:r w:rsidRPr="00F27E2D">
        <w:rPr>
          <w:rFonts w:eastAsia="Calibri"/>
          <w:bCs/>
          <w:color w:val="000000"/>
          <w:szCs w:val="20"/>
        </w:rPr>
        <w:t xml:space="preserve"> Floor</w:t>
      </w:r>
    </w:p>
    <w:p w14:paraId="06478B5E" w14:textId="77777777" w:rsidR="00F27E2D" w:rsidRPr="00F27E2D" w:rsidRDefault="00F27E2D" w:rsidP="00F27E2D">
      <w:pPr>
        <w:spacing w:line="240" w:lineRule="auto"/>
        <w:ind w:left="4140"/>
        <w:jc w:val="both"/>
        <w:rPr>
          <w:rFonts w:eastAsia="Calibri"/>
          <w:color w:val="000000"/>
        </w:rPr>
      </w:pPr>
      <w:r w:rsidRPr="00F27E2D">
        <w:rPr>
          <w:rFonts w:eastAsia="Calibri"/>
          <w:color w:val="000000"/>
        </w:rPr>
        <w:t>Columbus, OH  43215</w:t>
      </w:r>
    </w:p>
    <w:p w14:paraId="01BA590A" w14:textId="77777777" w:rsidR="00F27E2D" w:rsidRPr="00F27E2D" w:rsidRDefault="00F27E2D" w:rsidP="00F27E2D">
      <w:pPr>
        <w:spacing w:line="240" w:lineRule="auto"/>
        <w:ind w:left="4140"/>
        <w:jc w:val="both"/>
        <w:rPr>
          <w:rFonts w:eastAsia="Calibri"/>
          <w:color w:val="000000"/>
        </w:rPr>
      </w:pPr>
      <w:r w:rsidRPr="00F27E2D">
        <w:rPr>
          <w:rFonts w:eastAsia="Calibri"/>
          <w:color w:val="000000"/>
        </w:rPr>
        <w:t>Telephone</w:t>
      </w:r>
      <w:proofErr w:type="gramStart"/>
      <w:r w:rsidRPr="00F27E2D">
        <w:rPr>
          <w:rFonts w:eastAsia="Calibri"/>
          <w:color w:val="000000"/>
        </w:rPr>
        <w:t>:  (</w:t>
      </w:r>
      <w:proofErr w:type="gramEnd"/>
      <w:r w:rsidRPr="00F27E2D">
        <w:rPr>
          <w:rFonts w:eastAsia="Calibri"/>
          <w:color w:val="000000"/>
        </w:rPr>
        <w:t>614) 469-8000</w:t>
      </w:r>
    </w:p>
    <w:p w14:paraId="64F67779" w14:textId="77777777" w:rsidR="00F27E2D" w:rsidRPr="00F27E2D" w:rsidRDefault="00F27E2D" w:rsidP="00F27E2D">
      <w:pPr>
        <w:spacing w:line="240" w:lineRule="auto"/>
        <w:ind w:left="4140"/>
        <w:jc w:val="both"/>
        <w:rPr>
          <w:rFonts w:eastAsia="Calibri"/>
          <w:color w:val="000000"/>
        </w:rPr>
      </w:pPr>
      <w:r w:rsidRPr="00F27E2D">
        <w:rPr>
          <w:rFonts w:eastAsia="Calibri"/>
          <w:color w:val="000000"/>
        </w:rPr>
        <w:t>Telecopier</w:t>
      </w:r>
      <w:proofErr w:type="gramStart"/>
      <w:r w:rsidRPr="00F27E2D">
        <w:rPr>
          <w:rFonts w:eastAsia="Calibri"/>
          <w:color w:val="000000"/>
        </w:rPr>
        <w:t>:  (</w:t>
      </w:r>
      <w:proofErr w:type="gramEnd"/>
      <w:r w:rsidRPr="00F27E2D">
        <w:rPr>
          <w:rFonts w:eastAsia="Calibri"/>
          <w:color w:val="000000"/>
        </w:rPr>
        <w:t>614) 469-4653</w:t>
      </w:r>
    </w:p>
    <w:p w14:paraId="5E52488E" w14:textId="77777777" w:rsidR="00F27E2D" w:rsidRPr="00F27E2D" w:rsidRDefault="00F27E2D" w:rsidP="00F27E2D">
      <w:pPr>
        <w:spacing w:line="240" w:lineRule="auto"/>
        <w:ind w:left="4140"/>
        <w:jc w:val="both"/>
        <w:rPr>
          <w:rFonts w:eastAsia="Calibri"/>
          <w:color w:val="000000"/>
        </w:rPr>
      </w:pPr>
      <w:r w:rsidRPr="00F27E2D">
        <w:rPr>
          <w:rFonts w:eastAsia="Calibri"/>
        </w:rPr>
        <w:t>fdarr@mwncmh.com</w:t>
      </w:r>
    </w:p>
    <w:p w14:paraId="15B65A23" w14:textId="77777777" w:rsidR="00F27E2D" w:rsidRPr="00F27E2D" w:rsidRDefault="00F27E2D" w:rsidP="00F27E2D">
      <w:pPr>
        <w:spacing w:line="240" w:lineRule="auto"/>
        <w:ind w:left="4140"/>
        <w:jc w:val="both"/>
        <w:rPr>
          <w:rFonts w:eastAsia="Calibri"/>
          <w:color w:val="000000"/>
        </w:rPr>
      </w:pPr>
      <w:r w:rsidRPr="00F27E2D">
        <w:rPr>
          <w:rFonts w:eastAsia="Calibri"/>
          <w:color w:val="000000"/>
        </w:rPr>
        <w:t>(willing to accept service via e-mail)</w:t>
      </w:r>
    </w:p>
    <w:p w14:paraId="0FACAF6F" w14:textId="77777777" w:rsidR="00F27E2D" w:rsidRPr="00F27E2D" w:rsidRDefault="00F27E2D" w:rsidP="00F27E2D">
      <w:pPr>
        <w:spacing w:line="240" w:lineRule="auto"/>
        <w:ind w:left="4140"/>
        <w:jc w:val="both"/>
        <w:rPr>
          <w:rFonts w:eastAsia="Calibri"/>
          <w:color w:val="000000"/>
        </w:rPr>
      </w:pPr>
      <w:r w:rsidRPr="00F27E2D">
        <w:rPr>
          <w:rFonts w:eastAsia="Calibri"/>
        </w:rPr>
        <w:t>mpritchard@mwncmh.com</w:t>
      </w:r>
    </w:p>
    <w:p w14:paraId="6ED2EA12" w14:textId="77777777" w:rsidR="00F27E2D" w:rsidRPr="00F27E2D" w:rsidRDefault="00F27E2D" w:rsidP="00F27E2D">
      <w:pPr>
        <w:spacing w:line="240" w:lineRule="auto"/>
        <w:ind w:left="4140"/>
        <w:jc w:val="both"/>
        <w:rPr>
          <w:rFonts w:eastAsia="Calibri"/>
          <w:color w:val="000000"/>
        </w:rPr>
      </w:pPr>
      <w:r w:rsidRPr="00F27E2D">
        <w:rPr>
          <w:rFonts w:eastAsia="Calibri"/>
          <w:color w:val="000000"/>
        </w:rPr>
        <w:t>(willing to accept service via e-mail)</w:t>
      </w:r>
    </w:p>
    <w:p w14:paraId="2C6AAFF3" w14:textId="77777777" w:rsidR="00F27E2D" w:rsidRPr="00F27E2D" w:rsidRDefault="00F27E2D" w:rsidP="00F27E2D">
      <w:pPr>
        <w:spacing w:line="240" w:lineRule="auto"/>
        <w:ind w:left="4140"/>
        <w:jc w:val="both"/>
        <w:rPr>
          <w:rFonts w:eastAsia="Calibri"/>
        </w:rPr>
      </w:pPr>
    </w:p>
    <w:p w14:paraId="13ECB70D" w14:textId="77777777" w:rsidR="00F27E2D" w:rsidRPr="00F27E2D" w:rsidRDefault="00F27E2D" w:rsidP="00F27E2D">
      <w:pPr>
        <w:tabs>
          <w:tab w:val="left" w:pos="4140"/>
        </w:tabs>
        <w:spacing w:line="240" w:lineRule="auto"/>
        <w:ind w:left="4140" w:hanging="4140"/>
        <w:rPr>
          <w:rFonts w:ascii="Arial Bold" w:eastAsia="Calibri" w:hAnsi="Arial Bold"/>
          <w:b/>
          <w:smallCaps/>
        </w:rPr>
        <w:sectPr w:rsidR="00F27E2D" w:rsidRPr="00F27E2D" w:rsidSect="00F27E2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26"/>
        </w:sectPr>
      </w:pPr>
      <w:r>
        <w:rPr>
          <w:rFonts w:ascii="Arial Bold" w:eastAsia="Calibri" w:hAnsi="Arial Bold"/>
          <w:b/>
          <w:smallCaps/>
        </w:rPr>
        <w:t xml:space="preserve">September </w:t>
      </w:r>
      <w:r w:rsidRPr="00F27E2D">
        <w:rPr>
          <w:rFonts w:ascii="Arial Bold" w:eastAsia="Calibri" w:hAnsi="Arial Bold"/>
          <w:b/>
          <w:smallCaps/>
        </w:rPr>
        <w:t>8, 2017</w:t>
      </w:r>
      <w:r w:rsidRPr="00F27E2D">
        <w:rPr>
          <w:rFonts w:ascii="Arial Bold" w:eastAsia="Calibri" w:hAnsi="Arial Bold"/>
          <w:b/>
          <w:smallCaps/>
        </w:rPr>
        <w:tab/>
        <w:t>Attorneys for Industrial Energy Users-Ohio</w:t>
      </w:r>
    </w:p>
    <w:p w14:paraId="7B3722EB" w14:textId="77777777" w:rsidR="00F27E2D" w:rsidRPr="00F27E2D" w:rsidRDefault="00F27E2D" w:rsidP="00F27E2D">
      <w:pPr>
        <w:tabs>
          <w:tab w:val="left" w:pos="4320"/>
        </w:tabs>
        <w:spacing w:line="240" w:lineRule="auto"/>
        <w:jc w:val="center"/>
        <w:rPr>
          <w:rFonts w:eastAsia="Calibri"/>
          <w:b/>
          <w:smallCaps/>
          <w:sz w:val="28"/>
        </w:rPr>
      </w:pPr>
      <w:r w:rsidRPr="00F27E2D">
        <w:rPr>
          <w:rFonts w:eastAsia="Calibri"/>
          <w:b/>
          <w:smallCaps/>
          <w:sz w:val="28"/>
        </w:rPr>
        <w:lastRenderedPageBreak/>
        <w:t>Before</w:t>
      </w:r>
    </w:p>
    <w:p w14:paraId="0D43903A" w14:textId="77777777" w:rsidR="00F27E2D" w:rsidRPr="00F27E2D" w:rsidRDefault="00F27E2D" w:rsidP="00F27E2D">
      <w:pPr>
        <w:spacing w:line="240" w:lineRule="auto"/>
        <w:jc w:val="center"/>
        <w:rPr>
          <w:rFonts w:eastAsia="Calibri"/>
          <w:b/>
          <w:smallCaps/>
          <w:sz w:val="28"/>
        </w:rPr>
      </w:pPr>
      <w:r w:rsidRPr="00F27E2D">
        <w:rPr>
          <w:rFonts w:eastAsia="Calibri"/>
          <w:b/>
          <w:smallCaps/>
          <w:sz w:val="28"/>
        </w:rPr>
        <w:t xml:space="preserve">The Public Utilities Commission of </w:t>
      </w:r>
      <w:smartTag w:uri="urn:schemas-microsoft-com:office:smarttags" w:element="State">
        <w:smartTag w:uri="urn:schemas-microsoft-com:office:smarttags" w:element="place">
          <w:r w:rsidRPr="00F27E2D">
            <w:rPr>
              <w:rFonts w:eastAsia="Calibri"/>
              <w:b/>
              <w:smallCaps/>
              <w:sz w:val="28"/>
            </w:rPr>
            <w:t>Ohio</w:t>
          </w:r>
        </w:smartTag>
      </w:smartTag>
    </w:p>
    <w:p w14:paraId="7400C879" w14:textId="77777777" w:rsidR="00F27E2D" w:rsidRPr="00F27E2D" w:rsidRDefault="00F27E2D" w:rsidP="00F27E2D">
      <w:pPr>
        <w:autoSpaceDE w:val="0"/>
        <w:autoSpaceDN w:val="0"/>
        <w:adjustRightInd w:val="0"/>
        <w:spacing w:line="240" w:lineRule="auto"/>
        <w:rPr>
          <w:rFonts w:eastAsia="Calibri"/>
        </w:rPr>
      </w:pPr>
    </w:p>
    <w:p w14:paraId="5D17CE21" w14:textId="77777777" w:rsidR="00F27E2D" w:rsidRPr="00F27E2D" w:rsidRDefault="00F27E2D" w:rsidP="00F27E2D">
      <w:pPr>
        <w:tabs>
          <w:tab w:val="left" w:pos="4860"/>
          <w:tab w:val="left" w:pos="5400"/>
        </w:tabs>
        <w:autoSpaceDE w:val="0"/>
        <w:autoSpaceDN w:val="0"/>
        <w:adjustRightInd w:val="0"/>
        <w:spacing w:line="240" w:lineRule="auto"/>
        <w:jc w:val="both"/>
        <w:rPr>
          <w:rFonts w:eastAsia="Calibri"/>
        </w:rPr>
      </w:pPr>
      <w:r w:rsidRPr="00F27E2D">
        <w:rPr>
          <w:rFonts w:eastAsia="Calibri"/>
        </w:rPr>
        <w:t xml:space="preserve">In the Matter of the Application of the </w:t>
      </w:r>
      <w:r w:rsidRPr="00F27E2D">
        <w:rPr>
          <w:rFonts w:eastAsia="Calibri"/>
        </w:rPr>
        <w:tab/>
        <w:t>)</w:t>
      </w:r>
    </w:p>
    <w:p w14:paraId="754BB1B6" w14:textId="77777777" w:rsidR="00F27E2D" w:rsidRPr="00F27E2D" w:rsidRDefault="00F27E2D" w:rsidP="00F27E2D">
      <w:pPr>
        <w:tabs>
          <w:tab w:val="left" w:pos="4860"/>
          <w:tab w:val="left" w:pos="5400"/>
        </w:tabs>
        <w:autoSpaceDE w:val="0"/>
        <w:autoSpaceDN w:val="0"/>
        <w:adjustRightInd w:val="0"/>
        <w:spacing w:line="240" w:lineRule="auto"/>
        <w:jc w:val="both"/>
        <w:rPr>
          <w:rFonts w:eastAsia="Calibri"/>
        </w:rPr>
      </w:pPr>
      <w:r w:rsidRPr="00F27E2D">
        <w:rPr>
          <w:rFonts w:eastAsia="Calibri"/>
        </w:rPr>
        <w:t>Ohio Development Services Agency</w:t>
      </w:r>
      <w:r w:rsidRPr="00F27E2D">
        <w:rPr>
          <w:rFonts w:eastAsia="Calibri"/>
        </w:rPr>
        <w:tab/>
        <w:t>)</w:t>
      </w:r>
    </w:p>
    <w:p w14:paraId="73ED7844" w14:textId="77777777" w:rsidR="00F27E2D" w:rsidRPr="00F27E2D" w:rsidRDefault="00F27E2D" w:rsidP="00F27E2D">
      <w:pPr>
        <w:tabs>
          <w:tab w:val="left" w:pos="4860"/>
          <w:tab w:val="left" w:pos="5400"/>
        </w:tabs>
        <w:autoSpaceDE w:val="0"/>
        <w:autoSpaceDN w:val="0"/>
        <w:adjustRightInd w:val="0"/>
        <w:spacing w:line="240" w:lineRule="auto"/>
        <w:jc w:val="both"/>
        <w:rPr>
          <w:rFonts w:eastAsia="Calibri"/>
        </w:rPr>
      </w:pPr>
      <w:r w:rsidRPr="00F27E2D">
        <w:rPr>
          <w:rFonts w:eastAsia="Calibri"/>
        </w:rPr>
        <w:t>for an Order Approving Adjustments</w:t>
      </w:r>
      <w:r w:rsidRPr="00F27E2D">
        <w:rPr>
          <w:rFonts w:eastAsia="Calibri"/>
        </w:rPr>
        <w:tab/>
        <w:t>)</w:t>
      </w:r>
      <w:r w:rsidRPr="00F27E2D">
        <w:rPr>
          <w:rFonts w:eastAsia="Calibri"/>
        </w:rPr>
        <w:tab/>
        <w:t>Case No. 17-1377-EL-USF</w:t>
      </w:r>
    </w:p>
    <w:p w14:paraId="782BD14B" w14:textId="77777777" w:rsidR="00F27E2D" w:rsidRPr="00F27E2D" w:rsidRDefault="00F27E2D" w:rsidP="00F27E2D">
      <w:pPr>
        <w:tabs>
          <w:tab w:val="left" w:pos="4860"/>
          <w:tab w:val="left" w:pos="5400"/>
        </w:tabs>
        <w:autoSpaceDE w:val="0"/>
        <w:autoSpaceDN w:val="0"/>
        <w:adjustRightInd w:val="0"/>
        <w:spacing w:line="240" w:lineRule="auto"/>
        <w:jc w:val="both"/>
        <w:rPr>
          <w:rFonts w:eastAsia="Calibri"/>
        </w:rPr>
      </w:pPr>
      <w:r w:rsidRPr="00F27E2D">
        <w:rPr>
          <w:rFonts w:eastAsia="Calibri"/>
        </w:rPr>
        <w:t xml:space="preserve">to the Universal Service Fund Riders of </w:t>
      </w:r>
      <w:r w:rsidRPr="00F27E2D">
        <w:rPr>
          <w:rFonts w:eastAsia="Calibri"/>
        </w:rPr>
        <w:tab/>
        <w:t>)</w:t>
      </w:r>
    </w:p>
    <w:p w14:paraId="44092F8B" w14:textId="77777777" w:rsidR="00F27E2D" w:rsidRPr="00F27E2D" w:rsidRDefault="00F27E2D" w:rsidP="00F27E2D">
      <w:pPr>
        <w:tabs>
          <w:tab w:val="left" w:pos="4860"/>
          <w:tab w:val="left" w:pos="5400"/>
        </w:tabs>
        <w:autoSpaceDE w:val="0"/>
        <w:autoSpaceDN w:val="0"/>
        <w:adjustRightInd w:val="0"/>
        <w:spacing w:line="240" w:lineRule="auto"/>
        <w:jc w:val="both"/>
        <w:rPr>
          <w:rFonts w:eastAsia="Calibri"/>
        </w:rPr>
      </w:pPr>
      <w:r w:rsidRPr="00F27E2D">
        <w:rPr>
          <w:rFonts w:eastAsia="Calibri"/>
        </w:rPr>
        <w:t xml:space="preserve">Jurisdictional Ohio Electric Distribution </w:t>
      </w:r>
      <w:r w:rsidRPr="00F27E2D">
        <w:rPr>
          <w:rFonts w:eastAsia="Calibri"/>
        </w:rPr>
        <w:tab/>
        <w:t>)</w:t>
      </w:r>
    </w:p>
    <w:p w14:paraId="2F71C6BB" w14:textId="77777777" w:rsidR="00F27E2D" w:rsidRPr="00F27E2D" w:rsidRDefault="00F27E2D" w:rsidP="00F27E2D">
      <w:pPr>
        <w:tabs>
          <w:tab w:val="left" w:pos="4860"/>
          <w:tab w:val="left" w:pos="5400"/>
        </w:tabs>
        <w:autoSpaceDE w:val="0"/>
        <w:autoSpaceDN w:val="0"/>
        <w:adjustRightInd w:val="0"/>
        <w:spacing w:line="240" w:lineRule="auto"/>
        <w:jc w:val="both"/>
        <w:rPr>
          <w:rFonts w:eastAsia="Calibri"/>
        </w:rPr>
      </w:pPr>
      <w:r w:rsidRPr="00F27E2D">
        <w:rPr>
          <w:rFonts w:eastAsia="Calibri"/>
        </w:rPr>
        <w:t>Utilities.</w:t>
      </w:r>
      <w:r w:rsidRPr="00F27E2D">
        <w:rPr>
          <w:rFonts w:eastAsia="Calibri"/>
        </w:rPr>
        <w:tab/>
        <w:t>)</w:t>
      </w:r>
    </w:p>
    <w:p w14:paraId="3AE1C89A" w14:textId="77777777" w:rsidR="00F27E2D" w:rsidRPr="00F27E2D" w:rsidRDefault="00F27E2D" w:rsidP="00F27E2D">
      <w:pPr>
        <w:tabs>
          <w:tab w:val="left" w:pos="5040"/>
        </w:tabs>
        <w:spacing w:line="240" w:lineRule="auto"/>
        <w:rPr>
          <w:rFonts w:eastAsia="Calibri"/>
          <w:szCs w:val="24"/>
        </w:rPr>
      </w:pPr>
    </w:p>
    <w:p w14:paraId="02D99F87" w14:textId="77777777" w:rsidR="00F27E2D" w:rsidRPr="00F27E2D" w:rsidRDefault="00F27E2D" w:rsidP="00F27E2D">
      <w:pPr>
        <w:pBdr>
          <w:top w:val="single" w:sz="12" w:space="1" w:color="auto"/>
        </w:pBdr>
        <w:tabs>
          <w:tab w:val="left" w:pos="7320"/>
        </w:tabs>
        <w:spacing w:line="240" w:lineRule="auto"/>
        <w:jc w:val="center"/>
        <w:outlineLvl w:val="0"/>
        <w:rPr>
          <w:rFonts w:ascii="Arial Bold" w:eastAsia="Calibri" w:hAnsi="Arial Bold"/>
          <w:b/>
          <w:caps/>
          <w:smallCaps/>
          <w:sz w:val="20"/>
          <w:szCs w:val="20"/>
          <w:u w:val="single"/>
        </w:rPr>
      </w:pPr>
    </w:p>
    <w:p w14:paraId="71C9C0E0" w14:textId="77777777" w:rsidR="00F27E2D" w:rsidRPr="00F27E2D" w:rsidRDefault="00F27E2D" w:rsidP="00F27E2D">
      <w:pPr>
        <w:spacing w:line="240" w:lineRule="auto"/>
        <w:jc w:val="center"/>
        <w:rPr>
          <w:rFonts w:ascii="Arial Bold" w:eastAsia="Calibri" w:hAnsi="Arial Bold"/>
          <w:b/>
          <w:smallCaps/>
          <w:sz w:val="28"/>
          <w:szCs w:val="28"/>
        </w:rPr>
      </w:pPr>
      <w:r w:rsidRPr="00F27E2D">
        <w:rPr>
          <w:rFonts w:ascii="Arial Bold" w:eastAsia="Calibri" w:hAnsi="Arial Bold"/>
          <w:b/>
          <w:smallCaps/>
          <w:sz w:val="28"/>
          <w:szCs w:val="28"/>
        </w:rPr>
        <w:t>Industrial Energy Users-Ohio’s</w:t>
      </w:r>
    </w:p>
    <w:p w14:paraId="63F9527A" w14:textId="77777777" w:rsidR="00F27E2D" w:rsidRPr="00F27E2D" w:rsidRDefault="00F27E2D" w:rsidP="00F27E2D">
      <w:pPr>
        <w:spacing w:line="240" w:lineRule="auto"/>
        <w:jc w:val="center"/>
        <w:rPr>
          <w:rFonts w:ascii="Arial Bold" w:eastAsia="Calibri" w:hAnsi="Arial Bold"/>
          <w:b/>
          <w:smallCaps/>
          <w:sz w:val="28"/>
          <w:szCs w:val="28"/>
        </w:rPr>
      </w:pPr>
      <w:r w:rsidRPr="00F27E2D">
        <w:rPr>
          <w:rFonts w:ascii="Arial Bold" w:eastAsia="Calibri" w:hAnsi="Arial Bold"/>
          <w:b/>
          <w:smallCaps/>
          <w:sz w:val="28"/>
          <w:szCs w:val="28"/>
        </w:rPr>
        <w:t>Reply Brief</w:t>
      </w:r>
    </w:p>
    <w:p w14:paraId="6EDE01E3" w14:textId="77777777" w:rsidR="00F27E2D" w:rsidRPr="00F27E2D" w:rsidRDefault="00F27E2D" w:rsidP="00F27E2D">
      <w:pPr>
        <w:pBdr>
          <w:bottom w:val="single" w:sz="12" w:space="1" w:color="auto"/>
        </w:pBdr>
        <w:spacing w:line="240" w:lineRule="auto"/>
        <w:jc w:val="center"/>
        <w:rPr>
          <w:rFonts w:eastAsia="Calibri"/>
          <w:b/>
          <w:smallCaps/>
          <w:sz w:val="20"/>
          <w:szCs w:val="20"/>
          <w:u w:val="single"/>
        </w:rPr>
      </w:pPr>
    </w:p>
    <w:p w14:paraId="55FB4D10" w14:textId="77777777" w:rsidR="00F27E2D" w:rsidRPr="00F27E2D" w:rsidRDefault="00F27E2D" w:rsidP="00F27E2D">
      <w:pPr>
        <w:spacing w:line="240" w:lineRule="auto"/>
        <w:jc w:val="center"/>
        <w:rPr>
          <w:rFonts w:eastAsia="Calibri"/>
          <w:b/>
          <w:smallCaps/>
          <w:sz w:val="28"/>
          <w:u w:val="single"/>
        </w:rPr>
      </w:pPr>
    </w:p>
    <w:p w14:paraId="24C8325C" w14:textId="2D4781EC" w:rsidR="008607A4" w:rsidRDefault="00816711" w:rsidP="006F5EAE">
      <w:pPr>
        <w:jc w:val="both"/>
      </w:pPr>
      <w:r>
        <w:tab/>
      </w:r>
      <w:r w:rsidR="00AB3AD9">
        <w:t>F</w:t>
      </w:r>
      <w:r w:rsidR="00C149DD">
        <w:t>ailing to introduce any testimony or other evidence</w:t>
      </w:r>
      <w:r w:rsidR="001B5E2E">
        <w:t xml:space="preserve"> supporting its position</w:t>
      </w:r>
      <w:r w:rsidR="00C149DD">
        <w:t xml:space="preserve">, </w:t>
      </w:r>
      <w:r w:rsidR="00AB3AD9">
        <w:t>Ohio Partner</w:t>
      </w:r>
      <w:r w:rsidR="003369FD">
        <w:t>s</w:t>
      </w:r>
      <w:r w:rsidR="00AB3AD9">
        <w:t xml:space="preserve"> </w:t>
      </w:r>
      <w:r w:rsidR="003369FD">
        <w:t>f</w:t>
      </w:r>
      <w:r w:rsidR="00AB3AD9">
        <w:t xml:space="preserve">or Affordable Energy (“OPAE”) </w:t>
      </w:r>
      <w:r w:rsidR="00C149DD">
        <w:t xml:space="preserve">has </w:t>
      </w:r>
      <w:r w:rsidR="00AB3AD9">
        <w:t xml:space="preserve">nonetheless </w:t>
      </w:r>
      <w:r w:rsidR="00C149DD">
        <w:t>resurrected on brief its objection to the two-step declining block</w:t>
      </w:r>
      <w:r w:rsidR="001B5E2E">
        <w:t xml:space="preserve"> rate design that has been approved by the Public Utilities Commission of Ohio (“Commission”) in every Universal Service Fund (“USF”) case dating back to 2001.  </w:t>
      </w:r>
      <w:r w:rsidR="002B0B17">
        <w:t xml:space="preserve">Rather than advance its own evidence to support its claim that the two-step declining block rate design is unlawful, </w:t>
      </w:r>
      <w:r w:rsidR="00EB70A2">
        <w:t xml:space="preserve">OPAE </w:t>
      </w:r>
      <w:r w:rsidR="006F5EAE">
        <w:t xml:space="preserve">attempts to buttress its challenge to the continuation of the existing rate design by asserting </w:t>
      </w:r>
      <w:r w:rsidR="00EB70A2">
        <w:t xml:space="preserve">that </w:t>
      </w:r>
      <w:r w:rsidR="00C63FF1">
        <w:t xml:space="preserve">the </w:t>
      </w:r>
      <w:r w:rsidR="003369FD">
        <w:t>Ohio Development Services Agency (“</w:t>
      </w:r>
      <w:r w:rsidR="00EB70A2">
        <w:t>ODSA</w:t>
      </w:r>
      <w:r w:rsidR="003369FD">
        <w:t>”)</w:t>
      </w:r>
      <w:r w:rsidR="00EB70A2">
        <w:t xml:space="preserve"> failed to carry </w:t>
      </w:r>
      <w:r w:rsidR="007A289A">
        <w:t xml:space="preserve">its </w:t>
      </w:r>
      <w:r w:rsidR="00EB70A2">
        <w:t xml:space="preserve">burden of </w:t>
      </w:r>
      <w:r w:rsidR="002B0B17">
        <w:t>proof.  OPAE</w:t>
      </w:r>
      <w:r w:rsidR="000D2B99">
        <w:t xml:space="preserve"> also</w:t>
      </w:r>
      <w:r w:rsidR="002B0B17">
        <w:t xml:space="preserve"> relies on </w:t>
      </w:r>
      <w:r w:rsidR="00EB70A2">
        <w:t xml:space="preserve">the unrelated testimony offered to address </w:t>
      </w:r>
      <w:r w:rsidR="00117197">
        <w:t>T</w:t>
      </w:r>
      <w:r w:rsidR="007A289A">
        <w:t xml:space="preserve">he Kroger </w:t>
      </w:r>
      <w:r w:rsidR="00117197">
        <w:t xml:space="preserve">Co.’s </w:t>
      </w:r>
      <w:r w:rsidR="007A289A">
        <w:t xml:space="preserve">(“Kroger”) </w:t>
      </w:r>
      <w:r w:rsidR="00EB70A2">
        <w:t>aggregation proposal</w:t>
      </w:r>
      <w:r w:rsidR="007A289A">
        <w:t>,</w:t>
      </w:r>
      <w:r w:rsidR="00EB70A2">
        <w:t xml:space="preserve"> </w:t>
      </w:r>
      <w:r w:rsidR="002B0B17">
        <w:t xml:space="preserve">and </w:t>
      </w:r>
      <w:r w:rsidR="00A837F8">
        <w:t xml:space="preserve">further </w:t>
      </w:r>
      <w:r w:rsidR="002B0B17">
        <w:t>advances</w:t>
      </w:r>
      <w:r w:rsidR="00CF5BAB">
        <w:t xml:space="preserve"> two collateral </w:t>
      </w:r>
      <w:r w:rsidR="003369FD">
        <w:t xml:space="preserve">attacks </w:t>
      </w:r>
      <w:r w:rsidR="002B0B17">
        <w:t>of</w:t>
      </w:r>
      <w:r w:rsidR="00CF5BAB">
        <w:t xml:space="preserve"> prior Commission orders</w:t>
      </w:r>
      <w:r w:rsidR="006F5EAE">
        <w:t xml:space="preserve">. </w:t>
      </w:r>
      <w:r w:rsidR="003369FD">
        <w:t xml:space="preserve"> </w:t>
      </w:r>
      <w:r w:rsidR="006F5EAE">
        <w:t>OPAE’s claims, however, misstate and ignore the actual record evidence which supports the continuation of the two-step declining block rate design.  Accordingly, the Commission</w:t>
      </w:r>
      <w:r w:rsidR="002B0B17">
        <w:t xml:space="preserve"> should reject OPAE’s arguments and </w:t>
      </w:r>
      <w:r w:rsidR="006F5EAE">
        <w:t xml:space="preserve">approve the </w:t>
      </w:r>
      <w:r w:rsidR="003369FD">
        <w:t>Notice of Intent (“</w:t>
      </w:r>
      <w:r w:rsidR="006F5EAE">
        <w:t>NOI</w:t>
      </w:r>
      <w:r w:rsidR="003369FD">
        <w:t>”)</w:t>
      </w:r>
      <w:r w:rsidR="006F5EAE">
        <w:t xml:space="preserve"> recommending the extension of the existing rate design</w:t>
      </w:r>
      <w:r w:rsidR="002B0B17">
        <w:t>.</w:t>
      </w:r>
    </w:p>
    <w:p w14:paraId="2F40BB34" w14:textId="77777777" w:rsidR="007A289A" w:rsidRDefault="007A289A" w:rsidP="006F5EAE">
      <w:pPr>
        <w:jc w:val="both"/>
      </w:pPr>
    </w:p>
    <w:p w14:paraId="615A942D" w14:textId="77777777" w:rsidR="003F4550" w:rsidRDefault="003F4550" w:rsidP="00117197">
      <w:pPr>
        <w:pStyle w:val="Heading1"/>
      </w:pPr>
      <w:r>
        <w:lastRenderedPageBreak/>
        <w:t>ARGUMENT</w:t>
      </w:r>
    </w:p>
    <w:p w14:paraId="6AF37DD4" w14:textId="77777777" w:rsidR="00F42B4E" w:rsidRDefault="00F42B4E" w:rsidP="00117197">
      <w:pPr>
        <w:pStyle w:val="Heading2"/>
      </w:pPr>
      <w:r>
        <w:t xml:space="preserve">The </w:t>
      </w:r>
      <w:r w:rsidR="001A47EE">
        <w:t xml:space="preserve">evidence offered in support of the continuation of the two-step declining block rate design </w:t>
      </w:r>
      <w:r w:rsidR="008643FC">
        <w:t>was</w:t>
      </w:r>
      <w:r w:rsidR="001A47EE">
        <w:t xml:space="preserve"> uncontested </w:t>
      </w:r>
      <w:r w:rsidR="008643FC">
        <w:t xml:space="preserve">at the hearing </w:t>
      </w:r>
      <w:r w:rsidR="001A47EE">
        <w:t xml:space="preserve">and demonstrates the lawfulness and reasonableness of continuing the </w:t>
      </w:r>
      <w:r w:rsidR="008643FC">
        <w:t xml:space="preserve">existing </w:t>
      </w:r>
      <w:r w:rsidR="001A47EE">
        <w:t>rate design</w:t>
      </w:r>
    </w:p>
    <w:p w14:paraId="1B47178C" w14:textId="78B783E9" w:rsidR="00AF6536" w:rsidRDefault="00F42B4E" w:rsidP="00F1012E">
      <w:pPr>
        <w:jc w:val="both"/>
      </w:pPr>
      <w:r>
        <w:rPr>
          <w:b/>
        </w:rPr>
        <w:tab/>
      </w:r>
      <w:r w:rsidR="00A849F1" w:rsidRPr="00A849F1">
        <w:t xml:space="preserve">Despite being provided an opportunity to </w:t>
      </w:r>
      <w:r w:rsidR="00A849F1">
        <w:t>establish its position on the record, OPAE elec</w:t>
      </w:r>
      <w:r w:rsidR="00833D25">
        <w:t>ted to forgo that opportunity.</w:t>
      </w:r>
      <w:r w:rsidR="0049700B">
        <w:t xml:space="preserve">  Instead, on brief OPAE attempts to resurrect the unsupported claims raised in its objections</w:t>
      </w:r>
      <w:r w:rsidR="006A479D">
        <w:t xml:space="preserve"> </w:t>
      </w:r>
      <w:r w:rsidR="0049700B">
        <w:t xml:space="preserve">by </w:t>
      </w:r>
      <w:r w:rsidR="00A837F8">
        <w:t xml:space="preserve">attaching </w:t>
      </w:r>
      <w:r w:rsidR="0049700B">
        <w:t xml:space="preserve">its </w:t>
      </w:r>
      <w:r w:rsidR="006F5EAE">
        <w:t xml:space="preserve">post-hoc challenge to the existing rate design </w:t>
      </w:r>
      <w:r w:rsidR="007A289A">
        <w:t>to</w:t>
      </w:r>
      <w:r w:rsidR="006F5EAE">
        <w:t xml:space="preserve"> a claim that O</w:t>
      </w:r>
      <w:r w:rsidR="0049700B">
        <w:t xml:space="preserve">DSA </w:t>
      </w:r>
      <w:r w:rsidR="006F5EAE">
        <w:t xml:space="preserve">failed </w:t>
      </w:r>
      <w:r w:rsidR="0049700B">
        <w:t>to meet its burden of proof.</w:t>
      </w:r>
      <w:r w:rsidR="00833D25">
        <w:rPr>
          <w:rStyle w:val="FootnoteReference"/>
        </w:rPr>
        <w:footnoteReference w:id="1"/>
      </w:r>
      <w:r w:rsidR="0049700B">
        <w:t xml:space="preserve">  </w:t>
      </w:r>
      <w:r w:rsidR="00F54F0C">
        <w:t>OPAE’s argument</w:t>
      </w:r>
      <w:r w:rsidR="006F5EAE">
        <w:t>,</w:t>
      </w:r>
      <w:r w:rsidR="007210E2">
        <w:t xml:space="preserve"> however,</w:t>
      </w:r>
      <w:r w:rsidR="00F54F0C">
        <w:t xml:space="preserve"> </w:t>
      </w:r>
      <w:r w:rsidR="00833D25">
        <w:t xml:space="preserve">ignores the </w:t>
      </w:r>
      <w:r w:rsidR="003E6425">
        <w:t xml:space="preserve">uncontested testimony offered </w:t>
      </w:r>
      <w:r w:rsidR="003369FD">
        <w:t xml:space="preserve">by </w:t>
      </w:r>
      <w:r w:rsidR="007210E2">
        <w:t>ODSA witness</w:t>
      </w:r>
      <w:r w:rsidR="003E6425">
        <w:t xml:space="preserve"> Meadows.</w:t>
      </w:r>
    </w:p>
    <w:p w14:paraId="115F1374" w14:textId="77777777" w:rsidR="003736DD" w:rsidRDefault="003736DD" w:rsidP="00F1012E">
      <w:pPr>
        <w:jc w:val="both"/>
      </w:pPr>
      <w:r>
        <w:tab/>
        <w:t>Ms. Meadows</w:t>
      </w:r>
      <w:r w:rsidR="00B1116D">
        <w:t>’</w:t>
      </w:r>
      <w:r>
        <w:t xml:space="preserve"> direct testimony </w:t>
      </w:r>
      <w:r w:rsidR="007210E2">
        <w:t>was offered in support of</w:t>
      </w:r>
      <w:r>
        <w:t xml:space="preserve"> the revenue requirement and rate design methodologies ODSA proposed in its NOI.  As to the two-step declining block rate design that ODSA has proposed to continue for the 2018 USF riders</w:t>
      </w:r>
      <w:r w:rsidR="00B1116D">
        <w:t>,</w:t>
      </w:r>
      <w:r>
        <w:t xml:space="preserve"> she testified that this rate design would </w:t>
      </w:r>
      <w:r w:rsidR="00FC6E1A">
        <w:t>“ensure adequate funding for the low-income customer assistance programs and the consumer education programs administered by ODSA, and provide a reasonable contribution by all customer classes to the USF revenue requirement.”</w:t>
      </w:r>
      <w:r w:rsidR="00FC6E1A">
        <w:rPr>
          <w:rStyle w:val="FootnoteReference"/>
        </w:rPr>
        <w:footnoteReference w:id="2"/>
      </w:r>
      <w:r w:rsidR="00F46D9F">
        <w:t xml:space="preserve">  </w:t>
      </w:r>
      <w:r w:rsidR="00FE68B7">
        <w:t>Ms. Meadows further testified that ODSA’s proposed rate design for the 2018 USF riders was the same rate design the Commission has approved in every prior USF proceeding.</w:t>
      </w:r>
      <w:r w:rsidR="00FE68B7">
        <w:rPr>
          <w:rStyle w:val="FootnoteReference"/>
        </w:rPr>
        <w:footnoteReference w:id="3"/>
      </w:r>
      <w:r w:rsidR="00FE68B7">
        <w:t xml:space="preserve">  </w:t>
      </w:r>
      <w:r w:rsidR="007B2A83">
        <w:t xml:space="preserve">Finally, Ms. Meadows testified that the Commission has found in each </w:t>
      </w:r>
      <w:r w:rsidR="007B2A83">
        <w:lastRenderedPageBreak/>
        <w:t>USF proceeding that the two-step declining block rate design does not violate R.C. 4928.52(C).</w:t>
      </w:r>
      <w:r w:rsidR="007210E2">
        <w:rPr>
          <w:rStyle w:val="FootnoteReference"/>
        </w:rPr>
        <w:footnoteReference w:id="4"/>
      </w:r>
      <w:r w:rsidR="007B2A83">
        <w:t xml:space="preserve">  </w:t>
      </w:r>
      <w:r w:rsidR="00FE68B7">
        <w:t>OPAE conducted no cross-examination o</w:t>
      </w:r>
      <w:r w:rsidR="00B1116D">
        <w:t>f</w:t>
      </w:r>
      <w:r w:rsidR="00FE68B7">
        <w:t xml:space="preserve"> this testimony and offered no evidence to rebut this </w:t>
      </w:r>
      <w:r w:rsidR="007210E2">
        <w:t>testimony</w:t>
      </w:r>
      <w:r w:rsidR="00FE68B7">
        <w:t xml:space="preserve">.  </w:t>
      </w:r>
      <w:r>
        <w:t>Thus, the uncontested evidence demonstrates that the two-step declining block rate design represents a reasonable contribution by all customer classes and therefore does not violate the inter-class cost shift prohibition contained in R.C. 4928.52(C).</w:t>
      </w:r>
    </w:p>
    <w:p w14:paraId="077A0875" w14:textId="52B72587" w:rsidR="007210E2" w:rsidRDefault="007B2A83" w:rsidP="00F1012E">
      <w:pPr>
        <w:jc w:val="both"/>
      </w:pPr>
      <w:r>
        <w:tab/>
      </w:r>
      <w:r w:rsidR="00B02EF3">
        <w:t>On brief, OPAE also challenges Ms. Meadows</w:t>
      </w:r>
      <w:r w:rsidR="003369FD">
        <w:t>’</w:t>
      </w:r>
      <w:r w:rsidR="00B02EF3">
        <w:t xml:space="preserve"> factual claim </w:t>
      </w:r>
      <w:r>
        <w:t>that the Commission has found the existing rate design does not violate R.C. 4928.52(C).</w:t>
      </w:r>
      <w:r w:rsidR="00B1116D">
        <w:rPr>
          <w:rStyle w:val="FootnoteReference"/>
        </w:rPr>
        <w:footnoteReference w:id="5"/>
      </w:r>
      <w:r>
        <w:t xml:space="preserve">  OPAE </w:t>
      </w:r>
      <w:r w:rsidR="00A837F8">
        <w:t xml:space="preserve">specifically </w:t>
      </w:r>
      <w:r w:rsidR="00B02EF3">
        <w:t>takes issues with the fact that Ms. Meadows</w:t>
      </w:r>
      <w:r w:rsidR="00B1116D">
        <w:t>’</w:t>
      </w:r>
      <w:r w:rsidR="00B02EF3">
        <w:t xml:space="preserve"> testimony did not include legal citations to support her testimony, and </w:t>
      </w:r>
      <w:r w:rsidR="00B1116D">
        <w:t xml:space="preserve">it </w:t>
      </w:r>
      <w:r w:rsidR="00B02EF3">
        <w:t>further asserts that no such citation exists.</w:t>
      </w:r>
      <w:r w:rsidR="00B02EF3">
        <w:rPr>
          <w:rStyle w:val="FootnoteReference"/>
        </w:rPr>
        <w:footnoteReference w:id="6"/>
      </w:r>
      <w:r w:rsidR="00B02EF3">
        <w:t xml:space="preserve">  Contrary to OPAE’s arguments, the Commission has </w:t>
      </w:r>
      <w:r w:rsidR="007A289A">
        <w:t xml:space="preserve">explicitly </w:t>
      </w:r>
      <w:r w:rsidR="00B02EF3">
        <w:t>held in most of the 1</w:t>
      </w:r>
      <w:r w:rsidR="007210E2">
        <w:t>6</w:t>
      </w:r>
      <w:r w:rsidR="00B02EF3">
        <w:t xml:space="preserve"> prior USF orders that the two-step declining block rate design methodology did not violate R.C. 4928.52(C)</w:t>
      </w:r>
      <w:r w:rsidR="007A289A">
        <w:t xml:space="preserve"> (in the remaining cases, the Commission implicitly reached the same result authorizing the continued use of the rate </w:t>
      </w:r>
      <w:r w:rsidR="00024AFD">
        <w:t>design</w:t>
      </w:r>
      <w:r w:rsidR="007A289A">
        <w:t>)</w:t>
      </w:r>
      <w:r w:rsidR="00B02EF3">
        <w:t>.  For example, in the 2011 USF proceeding</w:t>
      </w:r>
      <w:r w:rsidR="003369FD">
        <w:t>,</w:t>
      </w:r>
      <w:r w:rsidR="00B02EF3">
        <w:t xml:space="preserve"> the Commission stated that it “continue[s] to find that OPAE’s argument</w:t>
      </w:r>
      <w:r w:rsidR="003369FD">
        <w:t>s</w:t>
      </w:r>
      <w:r w:rsidR="00B02EF3">
        <w:t xml:space="preserve"> that the two-step declining block USF rate design violates Section 4928.52(C), R</w:t>
      </w:r>
      <w:r w:rsidR="007210E2">
        <w:t>evised Code, to be unpersuasive.</w:t>
      </w:r>
      <w:r w:rsidR="00B02EF3">
        <w:t>”</w:t>
      </w:r>
      <w:r w:rsidR="00B02EF3">
        <w:rPr>
          <w:rStyle w:val="FootnoteReference"/>
        </w:rPr>
        <w:footnoteReference w:id="7"/>
      </w:r>
      <w:r w:rsidR="000A293F">
        <w:t xml:space="preserve">  </w:t>
      </w:r>
    </w:p>
    <w:p w14:paraId="6FA336A2" w14:textId="77777777" w:rsidR="00302FF6" w:rsidRDefault="000A293F" w:rsidP="00F1012E">
      <w:pPr>
        <w:jc w:val="both"/>
      </w:pPr>
      <w:r>
        <w:lastRenderedPageBreak/>
        <w:tab/>
      </w:r>
      <w:r w:rsidR="00B1116D">
        <w:t xml:space="preserve">OPAE’s post-hoc challenge on brief to the uncontested record evidence is improper and cannot alter the </w:t>
      </w:r>
      <w:r w:rsidR="000577EF">
        <w:t xml:space="preserve">evidence </w:t>
      </w:r>
      <w:r w:rsidR="00B1116D">
        <w:t xml:space="preserve">that </w:t>
      </w:r>
      <w:r w:rsidR="000577EF">
        <w:t>was offered and went unchallenged.  Because this uncontested evidence supports the continuation of the two-step declining block rate design</w:t>
      </w:r>
      <w:r w:rsidR="003369FD">
        <w:t>,</w:t>
      </w:r>
      <w:r w:rsidR="000577EF">
        <w:t xml:space="preserve"> there is not a failure of proof problem before the Commission.</w:t>
      </w:r>
    </w:p>
    <w:p w14:paraId="703E1ACC" w14:textId="77777777" w:rsidR="00FE68B7" w:rsidRPr="00FE68B7" w:rsidRDefault="00FE68B7" w:rsidP="00117197">
      <w:pPr>
        <w:pStyle w:val="Heading2"/>
      </w:pPr>
      <w:r>
        <w:t xml:space="preserve">The record evidence related to Kroger’s proposal to aggregate usage under a continuation of the two-step declining block rate design does not support OPAE’s conclusion </w:t>
      </w:r>
      <w:r w:rsidR="001A47EE">
        <w:t xml:space="preserve">that </w:t>
      </w:r>
      <w:r w:rsidR="000577EF">
        <w:t>this</w:t>
      </w:r>
      <w:r w:rsidR="00153485">
        <w:t xml:space="preserve"> rate design is unlawful</w:t>
      </w:r>
    </w:p>
    <w:p w14:paraId="1996E9DD" w14:textId="77777777" w:rsidR="002C1B1A" w:rsidRDefault="001A47EE" w:rsidP="00792A12">
      <w:pPr>
        <w:jc w:val="both"/>
      </w:pPr>
      <w:r>
        <w:tab/>
      </w:r>
      <w:r w:rsidR="00153485">
        <w:t>Forgoing the opportunity to introduce its own evidence</w:t>
      </w:r>
      <w:r>
        <w:t xml:space="preserve">, OPAE </w:t>
      </w:r>
      <w:r w:rsidR="00153485">
        <w:t xml:space="preserve">relies on the </w:t>
      </w:r>
      <w:r>
        <w:t xml:space="preserve">testimony </w:t>
      </w:r>
      <w:r w:rsidR="00153485">
        <w:t xml:space="preserve">that was offered to address </w:t>
      </w:r>
      <w:r w:rsidR="00376C7D">
        <w:t xml:space="preserve">Kroger’s </w:t>
      </w:r>
      <w:r w:rsidR="00153485">
        <w:t xml:space="preserve">unrelated </w:t>
      </w:r>
      <w:r w:rsidR="00212B77">
        <w:t xml:space="preserve">aggregation </w:t>
      </w:r>
      <w:r w:rsidR="00376C7D">
        <w:t>proposal in support of its conclusion that the two-step declining block rate design is unlawful.</w:t>
      </w:r>
      <w:r w:rsidR="00A704F5">
        <w:rPr>
          <w:rStyle w:val="FootnoteReference"/>
        </w:rPr>
        <w:footnoteReference w:id="8"/>
      </w:r>
      <w:r w:rsidR="00376C7D">
        <w:t xml:space="preserve"> </w:t>
      </w:r>
      <w:r w:rsidR="003369FD">
        <w:t xml:space="preserve"> </w:t>
      </w:r>
      <w:r w:rsidR="00792A12">
        <w:t>T</w:t>
      </w:r>
      <w:r w:rsidR="00F463DF">
        <w:t>he Commission</w:t>
      </w:r>
      <w:r w:rsidR="00792A12">
        <w:t>, however,</w:t>
      </w:r>
      <w:r w:rsidR="00F463DF">
        <w:t xml:space="preserve"> has already provided direction to OPAE on the type of analysis that OPAE must present to demonstrate a violation of R.C. 4928.52(C)</w:t>
      </w:r>
      <w:r w:rsidR="00792A12">
        <w:t xml:space="preserve"> or that </w:t>
      </w:r>
      <w:r w:rsidR="00B130D0">
        <w:t>an</w:t>
      </w:r>
      <w:r w:rsidR="00792A12">
        <w:t xml:space="preserve"> alternative rate design is lawful and reasonable</w:t>
      </w:r>
      <w:r w:rsidR="00F463DF">
        <w:t>.</w:t>
      </w:r>
      <w:r w:rsidR="00896C09">
        <w:rPr>
          <w:rStyle w:val="FootnoteReference"/>
        </w:rPr>
        <w:footnoteReference w:id="9"/>
      </w:r>
      <w:r w:rsidR="00F463DF">
        <w:t xml:space="preserve">  That is, the Commission </w:t>
      </w:r>
      <w:r w:rsidR="00B130D0">
        <w:t xml:space="preserve">directed </w:t>
      </w:r>
      <w:r w:rsidR="00F463DF">
        <w:t xml:space="preserve">OPAE to demonstrate to what degree </w:t>
      </w:r>
      <w:r w:rsidR="00606EDA">
        <w:t>the current or a proposed rate design resulted in a cost shift among the customer classes.</w:t>
      </w:r>
      <w:r w:rsidR="00606EDA">
        <w:rPr>
          <w:rStyle w:val="FootnoteReference"/>
        </w:rPr>
        <w:footnoteReference w:id="10"/>
      </w:r>
      <w:r w:rsidR="00606EDA">
        <w:t xml:space="preserve">  </w:t>
      </w:r>
      <w:r w:rsidR="00792A12">
        <w:t>The testimony offered to address Kroger’s aggregation issue, however, does not meet the requirements the Commission indicated were necessary to support a demonstration of an inter-class cost shift</w:t>
      </w:r>
      <w:r w:rsidR="007825BA">
        <w:t>.</w:t>
      </w:r>
    </w:p>
    <w:p w14:paraId="4D969089" w14:textId="77777777" w:rsidR="0028573F" w:rsidRDefault="002C1B1A" w:rsidP="00606EDA">
      <w:pPr>
        <w:jc w:val="both"/>
      </w:pPr>
      <w:r>
        <w:tab/>
      </w:r>
      <w:r w:rsidR="00792A12">
        <w:t>Initially, in support of its challenge to the continuation of the existing rate design, OPAE cites to Kroger witness Higgins’ hypothetical mercantile customer aggregation analysis.</w:t>
      </w:r>
      <w:r w:rsidR="00792A12">
        <w:rPr>
          <w:rStyle w:val="FootnoteReference"/>
        </w:rPr>
        <w:footnoteReference w:id="11"/>
      </w:r>
      <w:r w:rsidR="00792A12">
        <w:t xml:space="preserve">  </w:t>
      </w:r>
      <w:r w:rsidR="006522E6">
        <w:t>Mr. Higg</w:t>
      </w:r>
      <w:r w:rsidR="003369FD">
        <w:t>i</w:t>
      </w:r>
      <w:r w:rsidR="006522E6">
        <w:t>ns</w:t>
      </w:r>
      <w:r w:rsidR="003369FD">
        <w:t>’</w:t>
      </w:r>
      <w:r w:rsidR="006522E6">
        <w:t xml:space="preserve"> </w:t>
      </w:r>
      <w:r w:rsidR="00607D25">
        <w:t xml:space="preserve">analysis </w:t>
      </w:r>
      <w:r w:rsidR="00F04F85">
        <w:t xml:space="preserve">demonstrates that a hypothetical mercantile customer </w:t>
      </w:r>
      <w:r w:rsidR="00F04F85">
        <w:lastRenderedPageBreak/>
        <w:t>that could aggregate usage across multiple accounts would save money if the aggregated usage shifted from the higher first block rate of the USF riders to the lower second block rate.</w:t>
      </w:r>
      <w:r w:rsidR="00DA53DB">
        <w:rPr>
          <w:rStyle w:val="FootnoteReference"/>
        </w:rPr>
        <w:footnoteReference w:id="12"/>
      </w:r>
      <w:r w:rsidR="00F04F85">
        <w:t xml:space="preserve">  </w:t>
      </w:r>
      <w:r w:rsidR="00792A12">
        <w:t xml:space="preserve">OPAE also cites to OCC witness </w:t>
      </w:r>
      <w:r w:rsidR="006522E6">
        <w:t>Williams</w:t>
      </w:r>
      <w:r w:rsidR="00117197">
        <w:t>’</w:t>
      </w:r>
      <w:r w:rsidR="006522E6">
        <w:t xml:space="preserve"> testimony </w:t>
      </w:r>
      <w:r w:rsidR="00792A12">
        <w:t xml:space="preserve">that </w:t>
      </w:r>
      <w:r w:rsidR="006522E6">
        <w:t xml:space="preserve">includes the same hypothetical customer example offered by </w:t>
      </w:r>
      <w:r w:rsidR="00AB4D59">
        <w:t>Mr. Higgins</w:t>
      </w:r>
      <w:r w:rsidR="006522E6">
        <w:t>.</w:t>
      </w:r>
      <w:r w:rsidR="00DA53DB">
        <w:rPr>
          <w:rStyle w:val="FootnoteReference"/>
        </w:rPr>
        <w:footnoteReference w:id="13"/>
      </w:r>
      <w:r w:rsidR="006522E6">
        <w:t xml:space="preserve">  </w:t>
      </w:r>
      <w:r w:rsidR="00DA53DB">
        <w:t>The conclusion drawn by both Mr. Higg</w:t>
      </w:r>
      <w:r w:rsidR="003369FD">
        <w:t>i</w:t>
      </w:r>
      <w:r w:rsidR="00DA53DB">
        <w:t>ns and Mr. Williams is the same; aggregating and shifting usage</w:t>
      </w:r>
      <w:r w:rsidR="00E01D94">
        <w:t xml:space="preserve"> from the first block</w:t>
      </w:r>
      <w:r w:rsidR="00DA53DB">
        <w:t xml:space="preserve"> to the lower second </w:t>
      </w:r>
      <w:r w:rsidR="00B801AB">
        <w:t>block</w:t>
      </w:r>
      <w:r w:rsidR="00DA53DB">
        <w:t xml:space="preserve"> USF rate would reduce the mercantile customer’s bill and increase the revenue that must be collected through the first </w:t>
      </w:r>
      <w:r w:rsidR="00B801AB">
        <w:t>block</w:t>
      </w:r>
      <w:r w:rsidR="00DA53DB">
        <w:t xml:space="preserve"> rates.</w:t>
      </w:r>
      <w:r w:rsidR="00E01D94">
        <w:rPr>
          <w:rStyle w:val="FootnoteReference"/>
        </w:rPr>
        <w:footnoteReference w:id="14"/>
      </w:r>
      <w:r w:rsidR="00DA53DB">
        <w:t xml:space="preserve">  </w:t>
      </w:r>
      <w:r w:rsidR="00040366">
        <w:t>J</w:t>
      </w:r>
      <w:r w:rsidR="00606EDA">
        <w:t>oint utility witness</w:t>
      </w:r>
      <w:r w:rsidR="00DA53DB">
        <w:t xml:space="preserve"> Ziolkowski</w:t>
      </w:r>
      <w:r w:rsidR="00040366">
        <w:t xml:space="preserve"> also reached the same conclusion in his testimony</w:t>
      </w:r>
      <w:r w:rsidR="00DA53DB">
        <w:t>.</w:t>
      </w:r>
      <w:r w:rsidR="00DA53DB">
        <w:rPr>
          <w:rStyle w:val="FootnoteReference"/>
        </w:rPr>
        <w:footnoteReference w:id="15"/>
      </w:r>
      <w:r w:rsidR="00DA53DB">
        <w:t xml:space="preserve">  </w:t>
      </w:r>
      <w:r w:rsidR="007825BA">
        <w:t xml:space="preserve">But, as </w:t>
      </w:r>
      <w:r w:rsidR="00606EDA">
        <w:t>t</w:t>
      </w:r>
      <w:r w:rsidR="00AB4D59">
        <w:t xml:space="preserve">he Commission previously </w:t>
      </w:r>
      <w:r w:rsidR="00606EDA">
        <w:t>determined</w:t>
      </w:r>
      <w:r w:rsidR="007825BA">
        <w:t>,</w:t>
      </w:r>
      <w:r w:rsidR="00606EDA">
        <w:t xml:space="preserve"> </w:t>
      </w:r>
      <w:r w:rsidR="00AB4D59">
        <w:t xml:space="preserve">an analysis of this type </w:t>
      </w:r>
      <w:r w:rsidR="007825BA">
        <w:t>is</w:t>
      </w:r>
      <w:r w:rsidR="00AB4D59">
        <w:t xml:space="preserve"> insufficient to determine if there</w:t>
      </w:r>
      <w:r w:rsidR="00DA53DB">
        <w:t xml:space="preserve"> is an inter-class cost shift, unlawful or otherwise, because all customer classes pay the first block USF rates.</w:t>
      </w:r>
      <w:r w:rsidR="00AB4D59">
        <w:rPr>
          <w:rStyle w:val="FootnoteReference"/>
        </w:rPr>
        <w:footnoteReference w:id="16"/>
      </w:r>
      <w:r w:rsidR="0028573F">
        <w:t xml:space="preserve"> </w:t>
      </w:r>
      <w:r w:rsidR="007825BA">
        <w:t xml:space="preserve"> Thus, there is no record evidence demonstrating that the existing rate design results in an inter-class cost shift.</w:t>
      </w:r>
    </w:p>
    <w:p w14:paraId="2433BC07" w14:textId="77777777" w:rsidR="00B801AB" w:rsidRDefault="0028573F" w:rsidP="00B52ED7">
      <w:pPr>
        <w:jc w:val="both"/>
      </w:pPr>
      <w:r>
        <w:tab/>
        <w:t xml:space="preserve">Furthermore, even </w:t>
      </w:r>
      <w:r w:rsidR="007825BA">
        <w:t>if such evidence did exist</w:t>
      </w:r>
      <w:r w:rsidR="00117197">
        <w:t>,</w:t>
      </w:r>
      <w:r w:rsidR="007825BA">
        <w:t xml:space="preserve"> the Commission would still be left without an evidentiary basis to conclude that OPAE’s alternative rate design was lawful or reasonable.  </w:t>
      </w:r>
      <w:r w:rsidR="00AB4D59">
        <w:t>The</w:t>
      </w:r>
      <w:r w:rsidR="00896C09">
        <w:t>re is no analysis in the record that identifies the new revenue distribution among the customer classes that</w:t>
      </w:r>
      <w:r w:rsidR="00B52ED7">
        <w:t xml:space="preserve"> would occur under </w:t>
      </w:r>
      <w:r w:rsidR="00896C09">
        <w:t>OPAE’s</w:t>
      </w:r>
      <w:r w:rsidR="00B52ED7">
        <w:t xml:space="preserve"> proposed </w:t>
      </w:r>
      <w:r w:rsidR="00B52ED7">
        <w:lastRenderedPageBreak/>
        <w:t xml:space="preserve">uniform kWh methodology.  </w:t>
      </w:r>
      <w:r w:rsidR="00F140C7">
        <w:t>Nor is there any evidence in the record demonstrating whether the new revenue distribution that would occur under OPAE’s proposed rate design would result in a significant inter-class cost shift.</w:t>
      </w:r>
      <w:r w:rsidR="00F140C7">
        <w:rPr>
          <w:rStyle w:val="FootnoteReference"/>
        </w:rPr>
        <w:footnoteReference w:id="17"/>
      </w:r>
      <w:r w:rsidR="00F140C7">
        <w:t xml:space="preserve">  </w:t>
      </w:r>
      <w:r w:rsidR="00B52ED7">
        <w:t xml:space="preserve">Without this evidence, the Commission cannot conclude that OPAE’s alternative rate design </w:t>
      </w:r>
      <w:r w:rsidR="00CB7463">
        <w:t>satisf</w:t>
      </w:r>
      <w:r w:rsidR="003369FD">
        <w:t>ies</w:t>
      </w:r>
      <w:r w:rsidR="00CB7463">
        <w:t xml:space="preserve"> the requirements of</w:t>
      </w:r>
      <w:r w:rsidR="00B52ED7">
        <w:t xml:space="preserve"> R.C. 4928.52(C). </w:t>
      </w:r>
    </w:p>
    <w:p w14:paraId="6FC10D5D" w14:textId="21DD1BC5" w:rsidR="007B2A83" w:rsidRDefault="002C1B1A" w:rsidP="00A74182">
      <w:pPr>
        <w:jc w:val="both"/>
      </w:pPr>
      <w:r>
        <w:tab/>
      </w:r>
      <w:r w:rsidR="00256C57">
        <w:t>Because OPAE’s arguments on brief lack record support</w:t>
      </w:r>
      <w:r w:rsidR="00117197">
        <w:t>,</w:t>
      </w:r>
      <w:r w:rsidR="00256C57">
        <w:t xml:space="preserve"> they should be rejected.</w:t>
      </w:r>
    </w:p>
    <w:p w14:paraId="5C2AAB29" w14:textId="77777777" w:rsidR="00E235E9" w:rsidRDefault="00E235E9" w:rsidP="00117197">
      <w:pPr>
        <w:pStyle w:val="Heading2"/>
      </w:pPr>
      <w:r>
        <w:t xml:space="preserve">OPAE’s </w:t>
      </w:r>
      <w:r w:rsidR="007346EB">
        <w:t xml:space="preserve">remaining arguments should be dismissed as collateral attacks on prior Commission orders, incorrect, and irrelevant </w:t>
      </w:r>
    </w:p>
    <w:p w14:paraId="6BF51FD4" w14:textId="3A7F25A4" w:rsidR="00482F9B" w:rsidRDefault="003226AD" w:rsidP="00F1012E">
      <w:pPr>
        <w:jc w:val="both"/>
      </w:pPr>
      <w:r>
        <w:rPr>
          <w:b/>
        </w:rPr>
        <w:tab/>
      </w:r>
      <w:r>
        <w:t>OPAE also presents t</w:t>
      </w:r>
      <w:r w:rsidR="00453B49">
        <w:t>wo</w:t>
      </w:r>
      <w:r>
        <w:t xml:space="preserve"> additional claims that</w:t>
      </w:r>
      <w:r w:rsidR="003369FD">
        <w:t>,</w:t>
      </w:r>
      <w:r>
        <w:t xml:space="preserve"> even if true</w:t>
      </w:r>
      <w:r w:rsidR="003369FD">
        <w:t>,</w:t>
      </w:r>
      <w:r>
        <w:t xml:space="preserve"> would shed no light on whether the two-step declining block rate design </w:t>
      </w:r>
      <w:r w:rsidR="00453B49">
        <w:t xml:space="preserve">that ODSA proposes be extended to the 2018 USF riders </w:t>
      </w:r>
      <w:r>
        <w:t xml:space="preserve">is lawful or reasonable.  </w:t>
      </w:r>
      <w:r w:rsidR="002E35E5">
        <w:t>The first of these extraneous arguments</w:t>
      </w:r>
      <w:r w:rsidR="00453B49">
        <w:t xml:space="preserve"> </w:t>
      </w:r>
      <w:r w:rsidR="00A8449A">
        <w:t>is a</w:t>
      </w:r>
      <w:r w:rsidR="00844381">
        <w:t xml:space="preserve"> collateral attack on the Commission’s </w:t>
      </w:r>
      <w:r w:rsidR="00836D49">
        <w:t xml:space="preserve">2015 USF Order </w:t>
      </w:r>
      <w:r w:rsidR="00891B53">
        <w:t xml:space="preserve">in which </w:t>
      </w:r>
      <w:r w:rsidR="00482F9B">
        <w:t>the Commission found</w:t>
      </w:r>
      <w:r w:rsidR="00836D49">
        <w:t xml:space="preserve"> that OPAE’s analysis failed to demonstrate any significant cost shift among the customer classes.</w:t>
      </w:r>
      <w:r w:rsidR="00836D49">
        <w:rPr>
          <w:rStyle w:val="FootnoteReference"/>
        </w:rPr>
        <w:footnoteReference w:id="18"/>
      </w:r>
      <w:r w:rsidR="00A13611">
        <w:t xml:space="preserve">  </w:t>
      </w:r>
      <w:r w:rsidR="00482F9B">
        <w:t xml:space="preserve">OPAE takes issue with the Commission’s reference to “significant” in its finding from two years ago.  However, any challenge to the Commission’s 2015 USF </w:t>
      </w:r>
      <w:r w:rsidR="003369FD">
        <w:t>O</w:t>
      </w:r>
      <w:r w:rsidR="00482F9B">
        <w:t>rder w</w:t>
      </w:r>
      <w:r w:rsidR="00A8449A">
        <w:t>as</w:t>
      </w:r>
      <w:r w:rsidR="00482F9B">
        <w:t xml:space="preserve"> required to have been raised in an application for rehearing filed within 30 days of the order.</w:t>
      </w:r>
      <w:r w:rsidR="00F1012E">
        <w:rPr>
          <w:rStyle w:val="FootnoteReference"/>
        </w:rPr>
        <w:footnoteReference w:id="19"/>
      </w:r>
      <w:r w:rsidR="00482F9B">
        <w:t xml:space="preserve">  Moreover, OPAE’s belated challenge </w:t>
      </w:r>
      <w:r w:rsidR="00C75E11">
        <w:t xml:space="preserve">sheds no light on the issue in this </w:t>
      </w:r>
      <w:r w:rsidR="00A8449A">
        <w:t>case.  Unlike the 2015 USF case</w:t>
      </w:r>
      <w:r w:rsidR="00C75E11">
        <w:t xml:space="preserve">, here there </w:t>
      </w:r>
      <w:r w:rsidR="00CB3417">
        <w:t>i</w:t>
      </w:r>
      <w:r w:rsidR="00C75E11">
        <w:t xml:space="preserve">s only </w:t>
      </w:r>
      <w:r w:rsidR="00A8449A">
        <w:t xml:space="preserve">one </w:t>
      </w:r>
      <w:r w:rsidR="00C75E11">
        <w:t>rate design methodology in the record</w:t>
      </w:r>
      <w:r w:rsidR="00CB3417">
        <w:t>,</w:t>
      </w:r>
      <w:r w:rsidR="00C75E11">
        <w:t xml:space="preserve"> </w:t>
      </w:r>
      <w:r w:rsidR="00A8449A">
        <w:t xml:space="preserve">which is supported by uncontested evidence that it will not result in an inter-class cost </w:t>
      </w:r>
      <w:r w:rsidR="00A8449A">
        <w:lastRenderedPageBreak/>
        <w:t xml:space="preserve">shift.  </w:t>
      </w:r>
      <w:r w:rsidR="00453B49">
        <w:t>There is no record evidence demonstrating a cost shift, significant or otherwise.  Accordingly, OPAE’s collateral attack on the Commission’s prior order is improper and irrelevant to the case before the Commission.</w:t>
      </w:r>
    </w:p>
    <w:p w14:paraId="35D30359" w14:textId="0FBA255B" w:rsidR="002E5D5C" w:rsidRDefault="00CC5D1B" w:rsidP="00F1012E">
      <w:pPr>
        <w:jc w:val="both"/>
      </w:pPr>
      <w:r>
        <w:tab/>
      </w:r>
      <w:r w:rsidR="00453B49">
        <w:t xml:space="preserve">OPAE also asserts that the NOI procedure creates an undue burden on parties that seek to challenge the </w:t>
      </w:r>
      <w:r w:rsidR="00891B53">
        <w:t>existing rate design</w:t>
      </w:r>
      <w:r w:rsidR="005E2053">
        <w:t xml:space="preserve"> because the specific revenue requirement and rates for the following year are not known during the NOI phase.  </w:t>
      </w:r>
      <w:r w:rsidR="00A8449A">
        <w:t>As with its prior argument, this extraneous claim is also an improper collateral attack on the Commission’s order in the 2016 USF case where it established the NOI procedure for this case.</w:t>
      </w:r>
      <w:r w:rsidR="00891B53">
        <w:rPr>
          <w:rStyle w:val="FootnoteReference"/>
        </w:rPr>
        <w:footnoteReference w:id="20"/>
      </w:r>
      <w:r w:rsidR="00A8449A">
        <w:t xml:space="preserve">  Furthermore, OPAE’s issue with the NOI process is misplaced because the issue it complains of was </w:t>
      </w:r>
      <w:proofErr w:type="gramStart"/>
      <w:r w:rsidR="00A8449A">
        <w:t>actually resolved</w:t>
      </w:r>
      <w:proofErr w:type="gramEnd"/>
      <w:r w:rsidR="00A8449A">
        <w:t xml:space="preserve"> in its favor in the 2015 USF case.  That is, the Commission held that a party seeking to challenge the rate design in the NOI phase could rely on the current year revenue requirement and rates because the future year’s revenue requirement and rates were unavailable.</w:t>
      </w:r>
      <w:r w:rsidR="00A8449A">
        <w:rPr>
          <w:rStyle w:val="FootnoteReference"/>
        </w:rPr>
        <w:footnoteReference w:id="21"/>
      </w:r>
      <w:r w:rsidR="00A8449A">
        <w:t xml:space="preserve">  </w:t>
      </w:r>
      <w:r w:rsidR="002E5D5C">
        <w:t xml:space="preserve">Thus, in addition to being an improper collateral attack on the Commission’s prior order, the issue OPAE complains of does not actually exist. </w:t>
      </w:r>
    </w:p>
    <w:p w14:paraId="7B344691" w14:textId="77777777" w:rsidR="00F1012E" w:rsidRDefault="00F1012E" w:rsidP="00117197">
      <w:pPr>
        <w:pStyle w:val="Heading1"/>
      </w:pPr>
      <w:r>
        <w:t>CONCLUSION</w:t>
      </w:r>
    </w:p>
    <w:p w14:paraId="1F8435B1" w14:textId="77777777" w:rsidR="00A74182" w:rsidRDefault="00427200" w:rsidP="00A74182">
      <w:pPr>
        <w:jc w:val="both"/>
      </w:pPr>
      <w:r>
        <w:tab/>
        <w:t>T</w:t>
      </w:r>
      <w:r w:rsidR="00A74182">
        <w:t xml:space="preserve">here is </w:t>
      </w:r>
      <w:r w:rsidR="00256C57">
        <w:t xml:space="preserve">no </w:t>
      </w:r>
      <w:r>
        <w:t xml:space="preserve">record </w:t>
      </w:r>
      <w:r w:rsidR="00A74182">
        <w:t xml:space="preserve">basis for the Commission to deviate from </w:t>
      </w:r>
      <w:r>
        <w:t>the lawful and reasonable two-step declining block rate design</w:t>
      </w:r>
      <w:r w:rsidR="00B76527">
        <w:t>.  This rate design</w:t>
      </w:r>
      <w:r w:rsidR="00A74182">
        <w:t xml:space="preserve"> has been approved in every USF proceeding since 2001</w:t>
      </w:r>
      <w:r w:rsidR="00B76527">
        <w:t>, and i</w:t>
      </w:r>
      <w:r w:rsidR="00A74182">
        <w:t xml:space="preserve">n both the 2011 and 2015 USF proceedings the </w:t>
      </w:r>
      <w:r w:rsidR="00A74182">
        <w:lastRenderedPageBreak/>
        <w:t xml:space="preserve">Commission rejected </w:t>
      </w:r>
      <w:r w:rsidR="00256C57">
        <w:t>the arguments OPAE again presents in this case.</w:t>
      </w:r>
      <w:r w:rsidR="00A74182">
        <w:t xml:space="preserve"> Thus, the regulatory path has been set.  </w:t>
      </w:r>
    </w:p>
    <w:p w14:paraId="2E0C9B72" w14:textId="6A5C5F52" w:rsidR="00A74182" w:rsidRDefault="00A74182" w:rsidP="00B76527">
      <w:pPr>
        <w:ind w:firstLine="720"/>
        <w:jc w:val="both"/>
      </w:pPr>
      <w:r>
        <w:t>To chart a new course</w:t>
      </w:r>
      <w:r w:rsidR="00117197">
        <w:t>,</w:t>
      </w:r>
      <w:r>
        <w:t xml:space="preserve"> the Commission must have a substantively lawful and reasonable basis.</w:t>
      </w:r>
      <w:r w:rsidR="00427200">
        <w:rPr>
          <w:rStyle w:val="FootnoteReference"/>
        </w:rPr>
        <w:footnoteReference w:id="22"/>
      </w:r>
      <w:r>
        <w:t xml:space="preserve">  </w:t>
      </w:r>
      <w:r w:rsidR="00B76527">
        <w:t>However, OPAE has failed to demonstrate that a new course is warranted</w:t>
      </w:r>
      <w:r w:rsidR="00082CAF">
        <w:t xml:space="preserve"> and has not provided</w:t>
      </w:r>
      <w:r w:rsidR="00B76527">
        <w:t xml:space="preserve"> any evidence for the Commission to conclude that the new path OPAE recommends is substantively lawful and reasonable.  </w:t>
      </w:r>
    </w:p>
    <w:p w14:paraId="34B43D94" w14:textId="77777777" w:rsidR="004F59D6" w:rsidRDefault="00A74182" w:rsidP="00A74182">
      <w:pPr>
        <w:jc w:val="both"/>
      </w:pPr>
      <w:r>
        <w:tab/>
        <w:t>Instead, the record evidence demonstrates that the long-standing two-step declining block rate design is lawful and reasonable.  Because the existing rate design is lawful and reasonable, and there is no record support for deviating from this rate design to an alternative rate design, the Commission should reject OPAE’s arguments and approve ODSA’s proposal to continue the two-step declining block rate design for the 2018 USF riders.</w:t>
      </w:r>
    </w:p>
    <w:p w14:paraId="01AB3674" w14:textId="77777777" w:rsidR="0089597C" w:rsidRPr="0089597C" w:rsidRDefault="0089597C" w:rsidP="00AF24C7">
      <w:pPr>
        <w:tabs>
          <w:tab w:val="left" w:pos="4320"/>
          <w:tab w:val="right" w:pos="8640"/>
        </w:tabs>
        <w:spacing w:line="240" w:lineRule="auto"/>
        <w:ind w:left="4320"/>
        <w:jc w:val="both"/>
        <w:rPr>
          <w:szCs w:val="24"/>
        </w:rPr>
      </w:pPr>
      <w:r w:rsidRPr="0089597C">
        <w:rPr>
          <w:szCs w:val="24"/>
        </w:rPr>
        <w:t>Respectfully submitted,</w:t>
      </w:r>
    </w:p>
    <w:p w14:paraId="2054B1E5" w14:textId="77777777" w:rsidR="0089597C" w:rsidRPr="0089597C" w:rsidRDefault="0089597C" w:rsidP="00AF24C7">
      <w:pPr>
        <w:tabs>
          <w:tab w:val="left" w:pos="4320"/>
          <w:tab w:val="right" w:pos="8640"/>
        </w:tabs>
        <w:spacing w:line="240" w:lineRule="auto"/>
        <w:ind w:left="4320"/>
        <w:jc w:val="both"/>
        <w:rPr>
          <w:szCs w:val="24"/>
        </w:rPr>
      </w:pPr>
    </w:p>
    <w:p w14:paraId="6C39690B" w14:textId="77777777" w:rsidR="0089597C" w:rsidRPr="0089597C" w:rsidRDefault="0089597C" w:rsidP="0089597C">
      <w:pPr>
        <w:tabs>
          <w:tab w:val="left" w:pos="4320"/>
          <w:tab w:val="right" w:pos="8640"/>
        </w:tabs>
        <w:spacing w:line="240" w:lineRule="auto"/>
        <w:ind w:left="4320"/>
        <w:jc w:val="both"/>
        <w:rPr>
          <w:i/>
          <w:szCs w:val="24"/>
        </w:rPr>
      </w:pPr>
      <w:r w:rsidRPr="0089597C">
        <w:rPr>
          <w:i/>
          <w:szCs w:val="24"/>
          <w:u w:val="single"/>
        </w:rPr>
        <w:t>/s/ Matthew R. Pritchard</w:t>
      </w:r>
      <w:r w:rsidRPr="0089597C">
        <w:rPr>
          <w:i/>
          <w:szCs w:val="24"/>
          <w:u w:val="single"/>
        </w:rPr>
        <w:tab/>
      </w:r>
    </w:p>
    <w:p w14:paraId="717FCD72" w14:textId="77777777" w:rsidR="0089597C" w:rsidRPr="0089597C" w:rsidRDefault="0089597C" w:rsidP="0089597C">
      <w:pPr>
        <w:widowControl w:val="0"/>
        <w:tabs>
          <w:tab w:val="left" w:pos="4320"/>
        </w:tabs>
        <w:spacing w:line="240" w:lineRule="auto"/>
        <w:ind w:left="4320"/>
        <w:jc w:val="both"/>
        <w:rPr>
          <w:bCs/>
          <w:szCs w:val="20"/>
        </w:rPr>
      </w:pPr>
      <w:r w:rsidRPr="0089597C">
        <w:rPr>
          <w:bCs/>
          <w:szCs w:val="20"/>
        </w:rPr>
        <w:t>Frank P. Darr (Reg. No. 0025469)</w:t>
      </w:r>
    </w:p>
    <w:p w14:paraId="4EF97165" w14:textId="77777777" w:rsidR="0089597C" w:rsidRPr="0089597C" w:rsidRDefault="0089597C" w:rsidP="0089597C">
      <w:pPr>
        <w:widowControl w:val="0"/>
        <w:tabs>
          <w:tab w:val="left" w:pos="4320"/>
        </w:tabs>
        <w:spacing w:line="240" w:lineRule="auto"/>
        <w:ind w:left="4320"/>
        <w:jc w:val="both"/>
        <w:rPr>
          <w:bCs/>
          <w:szCs w:val="20"/>
        </w:rPr>
      </w:pPr>
      <w:r w:rsidRPr="0089597C">
        <w:rPr>
          <w:bCs/>
          <w:szCs w:val="20"/>
        </w:rPr>
        <w:t>(Counsel of Record)</w:t>
      </w:r>
    </w:p>
    <w:p w14:paraId="52800795" w14:textId="77777777" w:rsidR="0089597C" w:rsidRPr="0089597C" w:rsidRDefault="0089597C" w:rsidP="0089597C">
      <w:pPr>
        <w:widowControl w:val="0"/>
        <w:tabs>
          <w:tab w:val="left" w:pos="4320"/>
        </w:tabs>
        <w:spacing w:line="240" w:lineRule="auto"/>
        <w:ind w:left="4320"/>
        <w:jc w:val="both"/>
        <w:rPr>
          <w:bCs/>
          <w:szCs w:val="20"/>
        </w:rPr>
      </w:pPr>
      <w:r w:rsidRPr="0089597C">
        <w:rPr>
          <w:bCs/>
          <w:szCs w:val="20"/>
        </w:rPr>
        <w:t>Matthew R. Pritchard (Reg. No. 0088070)</w:t>
      </w:r>
    </w:p>
    <w:p w14:paraId="14AFBB72" w14:textId="77777777" w:rsidR="0089597C" w:rsidRPr="0089597C" w:rsidRDefault="0089597C" w:rsidP="0089597C">
      <w:pPr>
        <w:widowControl w:val="0"/>
        <w:tabs>
          <w:tab w:val="left" w:pos="4320"/>
        </w:tabs>
        <w:spacing w:line="240" w:lineRule="auto"/>
        <w:ind w:left="4320"/>
        <w:jc w:val="both"/>
        <w:rPr>
          <w:bCs/>
          <w:smallCaps/>
          <w:szCs w:val="24"/>
        </w:rPr>
      </w:pPr>
      <w:r w:rsidRPr="0089597C">
        <w:rPr>
          <w:bCs/>
          <w:smallCaps/>
          <w:szCs w:val="24"/>
        </w:rPr>
        <w:t>McNees Wallace &amp; Nurick LLC</w:t>
      </w:r>
    </w:p>
    <w:p w14:paraId="34B6AF80" w14:textId="77777777" w:rsidR="0089597C" w:rsidRPr="0089597C" w:rsidRDefault="0089597C" w:rsidP="0089597C">
      <w:pPr>
        <w:widowControl w:val="0"/>
        <w:tabs>
          <w:tab w:val="left" w:pos="4320"/>
        </w:tabs>
        <w:spacing w:line="240" w:lineRule="auto"/>
        <w:ind w:left="4320"/>
        <w:jc w:val="both"/>
        <w:rPr>
          <w:bCs/>
          <w:szCs w:val="20"/>
        </w:rPr>
      </w:pPr>
      <w:r w:rsidRPr="0089597C">
        <w:rPr>
          <w:bCs/>
          <w:szCs w:val="20"/>
        </w:rPr>
        <w:t>21 East State Street, 17</w:t>
      </w:r>
      <w:r w:rsidRPr="0089597C">
        <w:rPr>
          <w:bCs/>
          <w:szCs w:val="20"/>
          <w:vertAlign w:val="superscript"/>
        </w:rPr>
        <w:t>TH</w:t>
      </w:r>
      <w:r w:rsidRPr="0089597C">
        <w:rPr>
          <w:bCs/>
          <w:szCs w:val="20"/>
        </w:rPr>
        <w:t xml:space="preserve"> Floor</w:t>
      </w:r>
    </w:p>
    <w:p w14:paraId="5F7785FC" w14:textId="77777777" w:rsidR="0089597C" w:rsidRPr="0089597C" w:rsidRDefault="0089597C" w:rsidP="0089597C">
      <w:pPr>
        <w:tabs>
          <w:tab w:val="left" w:pos="4320"/>
        </w:tabs>
        <w:spacing w:line="240" w:lineRule="auto"/>
        <w:ind w:left="4320"/>
        <w:jc w:val="both"/>
        <w:rPr>
          <w:szCs w:val="24"/>
        </w:rPr>
      </w:pPr>
      <w:r w:rsidRPr="0089597C">
        <w:rPr>
          <w:szCs w:val="24"/>
        </w:rPr>
        <w:t>Columbus, OH  43215</w:t>
      </w:r>
    </w:p>
    <w:p w14:paraId="075BEF24" w14:textId="77777777" w:rsidR="0089597C" w:rsidRPr="0089597C" w:rsidRDefault="0089597C" w:rsidP="0089597C">
      <w:pPr>
        <w:tabs>
          <w:tab w:val="left" w:pos="4320"/>
        </w:tabs>
        <w:spacing w:line="240" w:lineRule="auto"/>
        <w:ind w:left="4320"/>
        <w:jc w:val="both"/>
        <w:rPr>
          <w:szCs w:val="24"/>
        </w:rPr>
      </w:pPr>
      <w:r w:rsidRPr="0089597C">
        <w:rPr>
          <w:szCs w:val="24"/>
        </w:rPr>
        <w:t>Telephone:  (614) 469-8000</w:t>
      </w:r>
    </w:p>
    <w:p w14:paraId="6CF1DC57" w14:textId="77777777" w:rsidR="0089597C" w:rsidRPr="0089597C" w:rsidRDefault="0089597C" w:rsidP="0089597C">
      <w:pPr>
        <w:tabs>
          <w:tab w:val="left" w:pos="4320"/>
        </w:tabs>
        <w:spacing w:line="240" w:lineRule="auto"/>
        <w:ind w:left="4320"/>
        <w:jc w:val="both"/>
        <w:rPr>
          <w:szCs w:val="24"/>
        </w:rPr>
      </w:pPr>
      <w:r w:rsidRPr="0089597C">
        <w:rPr>
          <w:szCs w:val="24"/>
        </w:rPr>
        <w:t>Telecopier:  (614) 469-4653</w:t>
      </w:r>
    </w:p>
    <w:p w14:paraId="159EF284" w14:textId="77777777" w:rsidR="0089597C" w:rsidRPr="0089597C" w:rsidRDefault="0089597C" w:rsidP="0089597C">
      <w:pPr>
        <w:tabs>
          <w:tab w:val="left" w:pos="4320"/>
        </w:tabs>
        <w:spacing w:line="240" w:lineRule="auto"/>
        <w:ind w:left="4320"/>
        <w:jc w:val="both"/>
        <w:rPr>
          <w:szCs w:val="24"/>
        </w:rPr>
      </w:pPr>
      <w:r w:rsidRPr="0089597C">
        <w:rPr>
          <w:szCs w:val="24"/>
        </w:rPr>
        <w:t>fdarr@mwncmh.com</w:t>
      </w:r>
    </w:p>
    <w:p w14:paraId="0DCA5DA4" w14:textId="77777777" w:rsidR="0089597C" w:rsidRPr="0089597C" w:rsidRDefault="0089597C" w:rsidP="0089597C">
      <w:pPr>
        <w:tabs>
          <w:tab w:val="left" w:pos="4320"/>
        </w:tabs>
        <w:spacing w:line="240" w:lineRule="auto"/>
        <w:ind w:left="4320"/>
        <w:jc w:val="both"/>
        <w:rPr>
          <w:szCs w:val="24"/>
        </w:rPr>
      </w:pPr>
      <w:r w:rsidRPr="0089597C">
        <w:rPr>
          <w:szCs w:val="24"/>
        </w:rPr>
        <w:t>mpritchard@mwncmh.com</w:t>
      </w:r>
    </w:p>
    <w:p w14:paraId="27770C16" w14:textId="77777777" w:rsidR="0089597C" w:rsidRPr="0089597C" w:rsidRDefault="0089597C" w:rsidP="0089597C">
      <w:pPr>
        <w:tabs>
          <w:tab w:val="left" w:pos="4320"/>
          <w:tab w:val="right" w:pos="8640"/>
        </w:tabs>
        <w:spacing w:line="240" w:lineRule="auto"/>
        <w:jc w:val="both"/>
        <w:rPr>
          <w:rFonts w:ascii="Times New Roman" w:hAnsi="Times New Roman" w:cs="Times New Roman"/>
          <w:szCs w:val="24"/>
        </w:rPr>
      </w:pPr>
    </w:p>
    <w:p w14:paraId="1D17619D" w14:textId="77777777" w:rsidR="0089597C" w:rsidRPr="0089597C" w:rsidRDefault="0089597C" w:rsidP="0089597C">
      <w:pPr>
        <w:tabs>
          <w:tab w:val="left" w:pos="4320"/>
        </w:tabs>
        <w:spacing w:line="240" w:lineRule="auto"/>
        <w:rPr>
          <w:b/>
          <w:szCs w:val="24"/>
        </w:rPr>
      </w:pPr>
      <w:r w:rsidRPr="0089597C">
        <w:rPr>
          <w:b/>
          <w:szCs w:val="24"/>
        </w:rPr>
        <w:tab/>
        <w:t>Attorneys for Industrial Energy Users-Ohio</w:t>
      </w:r>
    </w:p>
    <w:p w14:paraId="250891AA" w14:textId="77777777" w:rsidR="0089597C" w:rsidRPr="0089597C" w:rsidRDefault="0089597C" w:rsidP="0089597C">
      <w:pPr>
        <w:spacing w:line="240" w:lineRule="auto"/>
        <w:jc w:val="center"/>
        <w:rPr>
          <w:smallCaps/>
          <w:sz w:val="32"/>
          <w:szCs w:val="24"/>
        </w:rPr>
      </w:pPr>
      <w:r w:rsidRPr="0089597C">
        <w:rPr>
          <w:b/>
          <w:smallCaps/>
          <w:sz w:val="32"/>
          <w:szCs w:val="24"/>
        </w:rPr>
        <w:br w:type="page"/>
      </w:r>
    </w:p>
    <w:p w14:paraId="54C8E120" w14:textId="77777777" w:rsidR="0089597C" w:rsidRPr="0089597C" w:rsidRDefault="0089597C" w:rsidP="0089597C">
      <w:pPr>
        <w:tabs>
          <w:tab w:val="left" w:pos="2160"/>
          <w:tab w:val="left" w:pos="2280"/>
        </w:tabs>
        <w:spacing w:line="240" w:lineRule="auto"/>
        <w:jc w:val="center"/>
        <w:rPr>
          <w:b/>
          <w:szCs w:val="24"/>
        </w:rPr>
        <w:sectPr w:rsidR="0089597C" w:rsidRPr="0089597C" w:rsidSect="00350B8F">
          <w:pgSz w:w="12240" w:h="15840" w:code="1"/>
          <w:pgMar w:top="1440" w:right="1440" w:bottom="1440" w:left="1440" w:header="720" w:footer="720" w:gutter="0"/>
          <w:pgNumType w:start="1"/>
          <w:cols w:space="720"/>
          <w:titlePg/>
          <w:docGrid w:linePitch="326"/>
        </w:sectPr>
      </w:pPr>
    </w:p>
    <w:p w14:paraId="39717592" w14:textId="77777777" w:rsidR="0089597C" w:rsidRPr="0089597C" w:rsidRDefault="0089597C" w:rsidP="0089597C">
      <w:pPr>
        <w:tabs>
          <w:tab w:val="left" w:pos="2160"/>
          <w:tab w:val="left" w:pos="2280"/>
        </w:tabs>
        <w:spacing w:line="240" w:lineRule="auto"/>
        <w:jc w:val="center"/>
        <w:rPr>
          <w:rFonts w:ascii="Arial Bold" w:hAnsi="Arial Bold"/>
          <w:b/>
          <w:smallCaps/>
          <w:sz w:val="28"/>
          <w:szCs w:val="24"/>
          <w:u w:val="single"/>
        </w:rPr>
      </w:pPr>
      <w:r w:rsidRPr="0089597C">
        <w:rPr>
          <w:rFonts w:ascii="Arial Bold" w:hAnsi="Arial Bold"/>
          <w:b/>
          <w:smallCaps/>
          <w:sz w:val="28"/>
          <w:szCs w:val="24"/>
          <w:u w:val="single"/>
        </w:rPr>
        <w:lastRenderedPageBreak/>
        <w:t>Certificate of Service</w:t>
      </w:r>
    </w:p>
    <w:p w14:paraId="50B83FEC" w14:textId="77777777" w:rsidR="0089597C" w:rsidRPr="0089597C" w:rsidRDefault="0089597C" w:rsidP="0089597C">
      <w:pPr>
        <w:spacing w:line="240" w:lineRule="auto"/>
        <w:rPr>
          <w:szCs w:val="24"/>
        </w:rPr>
      </w:pPr>
    </w:p>
    <w:p w14:paraId="4779316D" w14:textId="6B034512" w:rsidR="0089597C" w:rsidRPr="0089597C" w:rsidRDefault="0089597C" w:rsidP="0089597C">
      <w:pPr>
        <w:ind w:firstLine="720"/>
        <w:jc w:val="both"/>
        <w:rPr>
          <w:szCs w:val="24"/>
        </w:rPr>
      </w:pPr>
      <w:r w:rsidRPr="0089597C">
        <w:rPr>
          <w:szCs w:val="24"/>
        </w:rPr>
        <w:t>In accordance with Rule 4901-1-05, Ohio Administrative Code, the PUCO's e</w:t>
      </w:r>
      <w:r w:rsidRPr="0089597C">
        <w:rPr>
          <w:szCs w:val="24"/>
        </w:rPr>
        <w:noBreakHyphen/>
        <w:t xml:space="preserve">filing system will electronically serve notice of the filing of this document upon the following parties.  In addition, I hereby certify that a service copy of the foregoing </w:t>
      </w:r>
      <w:r w:rsidR="003369FD">
        <w:rPr>
          <w:i/>
          <w:szCs w:val="24"/>
        </w:rPr>
        <w:t xml:space="preserve">Industrial Energy Users-Ohio’s Reply Brief </w:t>
      </w:r>
      <w:r w:rsidRPr="0089597C">
        <w:rPr>
          <w:szCs w:val="24"/>
        </w:rPr>
        <w:t>was sent by, or on behalf of, the under</w:t>
      </w:r>
      <w:r w:rsidR="0078726D">
        <w:rPr>
          <w:szCs w:val="24"/>
        </w:rPr>
        <w:t>signed counsel for IEU</w:t>
      </w:r>
      <w:r w:rsidR="0078726D">
        <w:rPr>
          <w:szCs w:val="24"/>
        </w:rPr>
        <w:noBreakHyphen/>
      </w:r>
      <w:r w:rsidRPr="0089597C">
        <w:rPr>
          <w:szCs w:val="24"/>
        </w:rPr>
        <w:t xml:space="preserve">Ohio to the following parties of record this </w:t>
      </w:r>
      <w:r w:rsidR="003369FD">
        <w:rPr>
          <w:szCs w:val="24"/>
        </w:rPr>
        <w:t>8</w:t>
      </w:r>
      <w:r w:rsidR="003369FD" w:rsidRPr="003369FD">
        <w:rPr>
          <w:szCs w:val="24"/>
          <w:vertAlign w:val="superscript"/>
        </w:rPr>
        <w:t>th</w:t>
      </w:r>
      <w:r w:rsidR="003369FD">
        <w:rPr>
          <w:szCs w:val="24"/>
        </w:rPr>
        <w:t xml:space="preserve"> </w:t>
      </w:r>
      <w:r w:rsidRPr="0089597C">
        <w:rPr>
          <w:szCs w:val="24"/>
        </w:rPr>
        <w:t xml:space="preserve">day of </w:t>
      </w:r>
      <w:r w:rsidR="003369FD">
        <w:rPr>
          <w:szCs w:val="24"/>
        </w:rPr>
        <w:t xml:space="preserve">September </w:t>
      </w:r>
      <w:r w:rsidRPr="0089597C">
        <w:rPr>
          <w:szCs w:val="24"/>
        </w:rPr>
        <w:t xml:space="preserve">2017, </w:t>
      </w:r>
      <w:r w:rsidRPr="0089597C">
        <w:rPr>
          <w:i/>
          <w:szCs w:val="24"/>
        </w:rPr>
        <w:t>via</w:t>
      </w:r>
      <w:r w:rsidRPr="0089597C">
        <w:rPr>
          <w:szCs w:val="24"/>
        </w:rPr>
        <w:t xml:space="preserve"> electronic transmission. </w:t>
      </w:r>
    </w:p>
    <w:p w14:paraId="0F6A03A2" w14:textId="77777777" w:rsidR="0089597C" w:rsidRPr="0089597C" w:rsidRDefault="0089597C" w:rsidP="0089597C">
      <w:pPr>
        <w:tabs>
          <w:tab w:val="center" w:pos="7200"/>
          <w:tab w:val="right" w:pos="9360"/>
        </w:tabs>
        <w:spacing w:line="240" w:lineRule="auto"/>
        <w:ind w:left="5040"/>
        <w:rPr>
          <w:i/>
          <w:szCs w:val="24"/>
          <w:u w:val="single"/>
        </w:rPr>
      </w:pPr>
      <w:r w:rsidRPr="0089597C">
        <w:rPr>
          <w:i/>
          <w:szCs w:val="24"/>
          <w:u w:val="single"/>
        </w:rPr>
        <w:t>/s/ Matthew R. Pritchard</w:t>
      </w:r>
      <w:r w:rsidRPr="0089597C">
        <w:rPr>
          <w:i/>
          <w:szCs w:val="24"/>
          <w:u w:val="single"/>
        </w:rPr>
        <w:tab/>
      </w:r>
    </w:p>
    <w:p w14:paraId="711A19F1" w14:textId="77777777" w:rsidR="0089597C" w:rsidRDefault="0089597C" w:rsidP="0089597C">
      <w:pPr>
        <w:tabs>
          <w:tab w:val="center" w:pos="7200"/>
          <w:tab w:val="right" w:pos="9360"/>
        </w:tabs>
        <w:spacing w:line="240" w:lineRule="auto"/>
        <w:ind w:left="5760"/>
        <w:rPr>
          <w:szCs w:val="24"/>
        </w:rPr>
      </w:pPr>
      <w:r w:rsidRPr="0089597C">
        <w:rPr>
          <w:szCs w:val="24"/>
        </w:rPr>
        <w:t>Matthew R. Pritchard</w:t>
      </w:r>
    </w:p>
    <w:p w14:paraId="11622651" w14:textId="77777777" w:rsidR="003369FD" w:rsidRPr="0089597C" w:rsidRDefault="003369FD" w:rsidP="0089597C">
      <w:pPr>
        <w:tabs>
          <w:tab w:val="center" w:pos="7200"/>
          <w:tab w:val="right" w:pos="9360"/>
        </w:tabs>
        <w:spacing w:line="240" w:lineRule="auto"/>
        <w:ind w:left="5760"/>
        <w:rPr>
          <w:szCs w:val="24"/>
          <w:u w:val="single"/>
        </w:rPr>
      </w:pPr>
    </w:p>
    <w:p w14:paraId="7D64BD53" w14:textId="77777777" w:rsidR="003369FD" w:rsidRDefault="003369FD" w:rsidP="0089597C">
      <w:pPr>
        <w:autoSpaceDE w:val="0"/>
        <w:autoSpaceDN w:val="0"/>
        <w:adjustRightInd w:val="0"/>
        <w:spacing w:line="240" w:lineRule="auto"/>
        <w:rPr>
          <w:rFonts w:eastAsia="Calibri"/>
          <w:b/>
          <w:sz w:val="20"/>
          <w:szCs w:val="20"/>
        </w:rPr>
        <w:sectPr w:rsidR="003369FD" w:rsidSect="00C0405A">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pPr>
    </w:p>
    <w:p w14:paraId="1CC0196F" w14:textId="77777777" w:rsidR="0089597C" w:rsidRPr="0089597C" w:rsidRDefault="0089597C" w:rsidP="0089597C">
      <w:pPr>
        <w:autoSpaceDE w:val="0"/>
        <w:autoSpaceDN w:val="0"/>
        <w:adjustRightInd w:val="0"/>
        <w:spacing w:line="240" w:lineRule="auto"/>
        <w:rPr>
          <w:rFonts w:eastAsia="Calibri"/>
          <w:b/>
          <w:sz w:val="20"/>
          <w:szCs w:val="20"/>
        </w:rPr>
      </w:pPr>
      <w:bookmarkStart w:id="2" w:name="_Hlk492621619"/>
      <w:r w:rsidRPr="0089597C">
        <w:rPr>
          <w:rFonts w:eastAsia="Calibri"/>
          <w:b/>
          <w:sz w:val="20"/>
          <w:szCs w:val="20"/>
        </w:rPr>
        <w:t>Dane Stinson</w:t>
      </w:r>
    </w:p>
    <w:p w14:paraId="109C699B" w14:textId="77777777" w:rsidR="0089597C" w:rsidRPr="0089597C" w:rsidRDefault="0089597C" w:rsidP="0089597C">
      <w:pPr>
        <w:autoSpaceDE w:val="0"/>
        <w:autoSpaceDN w:val="0"/>
        <w:adjustRightInd w:val="0"/>
        <w:spacing w:line="240" w:lineRule="auto"/>
        <w:rPr>
          <w:rFonts w:eastAsia="Calibri"/>
          <w:sz w:val="20"/>
          <w:szCs w:val="20"/>
        </w:rPr>
      </w:pPr>
      <w:r w:rsidRPr="0089597C">
        <w:rPr>
          <w:rFonts w:eastAsia="Calibri"/>
          <w:sz w:val="20"/>
          <w:szCs w:val="20"/>
        </w:rPr>
        <w:t>BRICKER &amp; ECKLER LLP</w:t>
      </w:r>
    </w:p>
    <w:p w14:paraId="5B8C0E36" w14:textId="77777777" w:rsidR="0089597C" w:rsidRPr="0089597C" w:rsidRDefault="0089597C" w:rsidP="0089597C">
      <w:pPr>
        <w:autoSpaceDE w:val="0"/>
        <w:autoSpaceDN w:val="0"/>
        <w:adjustRightInd w:val="0"/>
        <w:spacing w:line="240" w:lineRule="auto"/>
        <w:rPr>
          <w:rFonts w:eastAsia="Calibri"/>
          <w:sz w:val="20"/>
          <w:szCs w:val="20"/>
        </w:rPr>
      </w:pPr>
      <w:r w:rsidRPr="0089597C">
        <w:rPr>
          <w:rFonts w:eastAsia="Calibri"/>
          <w:sz w:val="20"/>
          <w:szCs w:val="20"/>
        </w:rPr>
        <w:t>100 South Third Street</w:t>
      </w:r>
    </w:p>
    <w:p w14:paraId="270A2295" w14:textId="77777777" w:rsidR="0089597C" w:rsidRPr="0089597C" w:rsidRDefault="0089597C" w:rsidP="0089597C">
      <w:pPr>
        <w:autoSpaceDE w:val="0"/>
        <w:autoSpaceDN w:val="0"/>
        <w:adjustRightInd w:val="0"/>
        <w:spacing w:line="240" w:lineRule="auto"/>
        <w:rPr>
          <w:rFonts w:eastAsia="Calibri"/>
          <w:sz w:val="20"/>
          <w:szCs w:val="20"/>
        </w:rPr>
      </w:pPr>
      <w:r w:rsidRPr="0089597C">
        <w:rPr>
          <w:rFonts w:eastAsia="Calibri"/>
          <w:sz w:val="20"/>
          <w:szCs w:val="20"/>
        </w:rPr>
        <w:t>Columbus, OH 43215-4291</w:t>
      </w:r>
    </w:p>
    <w:p w14:paraId="4ADD765C" w14:textId="77777777" w:rsidR="0089597C" w:rsidRPr="0089597C" w:rsidRDefault="0089597C" w:rsidP="0089597C">
      <w:pPr>
        <w:autoSpaceDE w:val="0"/>
        <w:autoSpaceDN w:val="0"/>
        <w:adjustRightInd w:val="0"/>
        <w:spacing w:line="240" w:lineRule="auto"/>
        <w:rPr>
          <w:rFonts w:eastAsia="Calibri"/>
          <w:sz w:val="20"/>
          <w:szCs w:val="20"/>
        </w:rPr>
      </w:pPr>
      <w:r w:rsidRPr="0089597C">
        <w:rPr>
          <w:rFonts w:eastAsia="Calibri"/>
          <w:sz w:val="20"/>
          <w:szCs w:val="20"/>
        </w:rPr>
        <w:t>dstinson@bricker.com</w:t>
      </w:r>
    </w:p>
    <w:p w14:paraId="2D128529" w14:textId="77777777" w:rsidR="0089597C" w:rsidRPr="0089597C" w:rsidRDefault="0089597C" w:rsidP="0089597C">
      <w:pPr>
        <w:tabs>
          <w:tab w:val="left" w:pos="2160"/>
          <w:tab w:val="left" w:pos="2280"/>
        </w:tabs>
        <w:spacing w:line="240" w:lineRule="auto"/>
        <w:rPr>
          <w:rFonts w:eastAsia="Calibri"/>
          <w:sz w:val="20"/>
          <w:szCs w:val="20"/>
        </w:rPr>
      </w:pPr>
    </w:p>
    <w:p w14:paraId="3A8B324A" w14:textId="77777777" w:rsidR="0089597C" w:rsidRPr="0089597C" w:rsidRDefault="0089597C" w:rsidP="0089597C">
      <w:pPr>
        <w:tabs>
          <w:tab w:val="left" w:pos="2160"/>
          <w:tab w:val="left" w:pos="2280"/>
        </w:tabs>
        <w:spacing w:line="240" w:lineRule="auto"/>
        <w:rPr>
          <w:rFonts w:ascii="Arial Bold" w:hAnsi="Arial Bold"/>
          <w:b/>
          <w:smallCaps/>
          <w:sz w:val="20"/>
          <w:szCs w:val="20"/>
        </w:rPr>
      </w:pPr>
      <w:r w:rsidRPr="0089597C">
        <w:rPr>
          <w:rFonts w:ascii="Arial Bold" w:eastAsia="Calibri" w:hAnsi="Arial Bold"/>
          <w:b/>
          <w:smallCaps/>
          <w:sz w:val="20"/>
          <w:szCs w:val="20"/>
        </w:rPr>
        <w:t>Counsel for the Ohio Development Services Agency (ODSA)</w:t>
      </w:r>
    </w:p>
    <w:p w14:paraId="091503CC" w14:textId="77777777" w:rsidR="0089597C" w:rsidRPr="0089597C" w:rsidRDefault="0089597C" w:rsidP="0089597C">
      <w:pPr>
        <w:autoSpaceDE w:val="0"/>
        <w:autoSpaceDN w:val="0"/>
        <w:adjustRightInd w:val="0"/>
        <w:spacing w:line="240" w:lineRule="auto"/>
        <w:rPr>
          <w:sz w:val="20"/>
          <w:szCs w:val="20"/>
        </w:rPr>
      </w:pPr>
    </w:p>
    <w:p w14:paraId="063F6475" w14:textId="77777777" w:rsidR="0089597C" w:rsidRPr="0089597C" w:rsidRDefault="0089597C" w:rsidP="0089597C">
      <w:pPr>
        <w:autoSpaceDE w:val="0"/>
        <w:autoSpaceDN w:val="0"/>
        <w:adjustRightInd w:val="0"/>
        <w:spacing w:line="240" w:lineRule="auto"/>
        <w:rPr>
          <w:rFonts w:eastAsia="Calibri"/>
          <w:sz w:val="20"/>
          <w:szCs w:val="20"/>
        </w:rPr>
      </w:pPr>
      <w:r w:rsidRPr="0089597C">
        <w:rPr>
          <w:rFonts w:eastAsia="Calibri"/>
          <w:b/>
          <w:sz w:val="20"/>
          <w:szCs w:val="20"/>
        </w:rPr>
        <w:t xml:space="preserve">Amy B. Spiller </w:t>
      </w:r>
      <w:r w:rsidRPr="0089597C">
        <w:rPr>
          <w:rFonts w:eastAsia="Calibri"/>
          <w:sz w:val="20"/>
          <w:szCs w:val="20"/>
        </w:rPr>
        <w:t>(Reg. No. 0047277)</w:t>
      </w:r>
    </w:p>
    <w:p w14:paraId="48FD8A96" w14:textId="77777777" w:rsidR="0089597C" w:rsidRPr="0089597C" w:rsidRDefault="0089597C" w:rsidP="0089597C">
      <w:pPr>
        <w:autoSpaceDE w:val="0"/>
        <w:autoSpaceDN w:val="0"/>
        <w:adjustRightInd w:val="0"/>
        <w:spacing w:line="240" w:lineRule="auto"/>
        <w:rPr>
          <w:rFonts w:eastAsia="Calibri"/>
          <w:sz w:val="20"/>
          <w:szCs w:val="20"/>
        </w:rPr>
      </w:pPr>
      <w:r w:rsidRPr="0089597C">
        <w:rPr>
          <w:rFonts w:eastAsia="Calibri"/>
          <w:sz w:val="20"/>
          <w:szCs w:val="20"/>
        </w:rPr>
        <w:t>Deputy General Counsel</w:t>
      </w:r>
    </w:p>
    <w:p w14:paraId="41BA6B2B" w14:textId="77777777" w:rsidR="0089597C" w:rsidRPr="0089597C" w:rsidRDefault="0089597C" w:rsidP="0089597C">
      <w:pPr>
        <w:autoSpaceDE w:val="0"/>
        <w:autoSpaceDN w:val="0"/>
        <w:adjustRightInd w:val="0"/>
        <w:spacing w:line="240" w:lineRule="auto"/>
        <w:rPr>
          <w:rFonts w:eastAsia="Calibri"/>
          <w:sz w:val="20"/>
          <w:szCs w:val="20"/>
        </w:rPr>
      </w:pPr>
      <w:r w:rsidRPr="0089597C">
        <w:rPr>
          <w:rFonts w:eastAsia="Calibri"/>
          <w:b/>
          <w:sz w:val="20"/>
          <w:szCs w:val="20"/>
        </w:rPr>
        <w:t xml:space="preserve">Elizabeth H. Watts </w:t>
      </w:r>
      <w:r w:rsidRPr="0089597C">
        <w:rPr>
          <w:rFonts w:eastAsia="Calibri"/>
          <w:sz w:val="20"/>
          <w:szCs w:val="20"/>
        </w:rPr>
        <w:t>(Reg. No. 0031092)</w:t>
      </w:r>
    </w:p>
    <w:p w14:paraId="27AE1FD2" w14:textId="77777777" w:rsidR="0089597C" w:rsidRPr="0089597C" w:rsidRDefault="0089597C" w:rsidP="0089597C">
      <w:pPr>
        <w:autoSpaceDE w:val="0"/>
        <w:autoSpaceDN w:val="0"/>
        <w:adjustRightInd w:val="0"/>
        <w:spacing w:line="240" w:lineRule="auto"/>
        <w:rPr>
          <w:rFonts w:eastAsia="Calibri"/>
          <w:sz w:val="20"/>
          <w:szCs w:val="20"/>
        </w:rPr>
      </w:pPr>
      <w:r w:rsidRPr="0089597C">
        <w:rPr>
          <w:rFonts w:eastAsia="Calibri"/>
          <w:sz w:val="20"/>
          <w:szCs w:val="20"/>
        </w:rPr>
        <w:t>Associate General Counsel</w:t>
      </w:r>
    </w:p>
    <w:p w14:paraId="5E0794E7" w14:textId="77777777" w:rsidR="00117197" w:rsidRDefault="00117197" w:rsidP="0089597C">
      <w:pPr>
        <w:autoSpaceDE w:val="0"/>
        <w:autoSpaceDN w:val="0"/>
        <w:adjustRightInd w:val="0"/>
        <w:spacing w:line="240" w:lineRule="auto"/>
        <w:rPr>
          <w:rFonts w:eastAsia="Calibri"/>
          <w:sz w:val="20"/>
          <w:szCs w:val="20"/>
        </w:rPr>
      </w:pPr>
      <w:r>
        <w:rPr>
          <w:rFonts w:eastAsia="Calibri"/>
          <w:sz w:val="20"/>
          <w:szCs w:val="20"/>
        </w:rPr>
        <w:t>Duke Energy Business Services LLC</w:t>
      </w:r>
    </w:p>
    <w:p w14:paraId="63E8450C" w14:textId="77777777" w:rsidR="0089597C" w:rsidRPr="0089597C" w:rsidRDefault="0089597C" w:rsidP="0089597C">
      <w:pPr>
        <w:autoSpaceDE w:val="0"/>
        <w:autoSpaceDN w:val="0"/>
        <w:adjustRightInd w:val="0"/>
        <w:spacing w:line="240" w:lineRule="auto"/>
        <w:rPr>
          <w:rFonts w:eastAsia="Calibri"/>
          <w:sz w:val="20"/>
          <w:szCs w:val="20"/>
        </w:rPr>
      </w:pPr>
      <w:r w:rsidRPr="0089597C">
        <w:rPr>
          <w:rFonts w:eastAsia="Calibri"/>
          <w:sz w:val="20"/>
          <w:szCs w:val="20"/>
        </w:rPr>
        <w:t>139 E. Fourth Street, 1303-Main</w:t>
      </w:r>
    </w:p>
    <w:p w14:paraId="60ADC31C" w14:textId="77777777" w:rsidR="0089597C" w:rsidRPr="0089597C" w:rsidRDefault="0089597C" w:rsidP="0089597C">
      <w:pPr>
        <w:autoSpaceDE w:val="0"/>
        <w:autoSpaceDN w:val="0"/>
        <w:adjustRightInd w:val="0"/>
        <w:spacing w:line="240" w:lineRule="auto"/>
        <w:rPr>
          <w:rFonts w:eastAsia="Calibri"/>
          <w:sz w:val="20"/>
          <w:szCs w:val="20"/>
        </w:rPr>
      </w:pPr>
      <w:r w:rsidRPr="0089597C">
        <w:rPr>
          <w:rFonts w:eastAsia="Calibri"/>
          <w:sz w:val="20"/>
          <w:szCs w:val="20"/>
        </w:rPr>
        <w:t>PO Box 960</w:t>
      </w:r>
    </w:p>
    <w:p w14:paraId="0522FCA4" w14:textId="77777777" w:rsidR="0089597C" w:rsidRPr="0089597C" w:rsidRDefault="0089597C" w:rsidP="0089597C">
      <w:pPr>
        <w:autoSpaceDE w:val="0"/>
        <w:autoSpaceDN w:val="0"/>
        <w:adjustRightInd w:val="0"/>
        <w:spacing w:line="240" w:lineRule="auto"/>
        <w:rPr>
          <w:rFonts w:eastAsia="Calibri"/>
          <w:sz w:val="20"/>
          <w:szCs w:val="20"/>
        </w:rPr>
      </w:pPr>
      <w:r w:rsidRPr="0089597C">
        <w:rPr>
          <w:rFonts w:eastAsia="Calibri"/>
          <w:sz w:val="20"/>
          <w:szCs w:val="20"/>
        </w:rPr>
        <w:t>Cincinnati, OH  45201-0960</w:t>
      </w:r>
    </w:p>
    <w:p w14:paraId="2A42CF89" w14:textId="77777777" w:rsidR="0089597C" w:rsidRPr="0089597C" w:rsidRDefault="0089597C" w:rsidP="0089597C">
      <w:pPr>
        <w:autoSpaceDE w:val="0"/>
        <w:autoSpaceDN w:val="0"/>
        <w:adjustRightInd w:val="0"/>
        <w:spacing w:line="240" w:lineRule="auto"/>
        <w:rPr>
          <w:rFonts w:eastAsia="Calibri"/>
          <w:color w:val="000000"/>
          <w:sz w:val="20"/>
          <w:szCs w:val="20"/>
        </w:rPr>
      </w:pPr>
      <w:r w:rsidRPr="0089597C">
        <w:rPr>
          <w:rFonts w:eastAsia="Calibri"/>
          <w:color w:val="000000"/>
          <w:sz w:val="20"/>
          <w:szCs w:val="20"/>
        </w:rPr>
        <w:t>Amy.Spiller@duke-energy.com</w:t>
      </w:r>
    </w:p>
    <w:p w14:paraId="602077D6" w14:textId="7479F4FC" w:rsidR="0089597C" w:rsidRPr="009975D4" w:rsidRDefault="0089597C" w:rsidP="0089597C">
      <w:pPr>
        <w:autoSpaceDE w:val="0"/>
        <w:autoSpaceDN w:val="0"/>
        <w:adjustRightInd w:val="0"/>
        <w:spacing w:line="240" w:lineRule="auto"/>
        <w:rPr>
          <w:rFonts w:eastAsia="Calibri"/>
          <w:color w:val="000000"/>
          <w:sz w:val="20"/>
          <w:szCs w:val="20"/>
        </w:rPr>
      </w:pPr>
      <w:r w:rsidRPr="009975D4">
        <w:rPr>
          <w:rFonts w:eastAsia="Calibri"/>
          <w:color w:val="000000"/>
          <w:sz w:val="20"/>
          <w:szCs w:val="20"/>
        </w:rPr>
        <w:t>Elizabeth.Watts@duke-energy.com</w:t>
      </w:r>
    </w:p>
    <w:p w14:paraId="58A22801" w14:textId="77777777" w:rsidR="0089597C" w:rsidRPr="0089597C" w:rsidRDefault="0089597C" w:rsidP="0089597C">
      <w:pPr>
        <w:autoSpaceDE w:val="0"/>
        <w:autoSpaceDN w:val="0"/>
        <w:adjustRightInd w:val="0"/>
        <w:spacing w:line="240" w:lineRule="auto"/>
        <w:rPr>
          <w:rFonts w:eastAsia="Calibri"/>
          <w:color w:val="000000"/>
          <w:sz w:val="20"/>
          <w:szCs w:val="20"/>
        </w:rPr>
      </w:pPr>
    </w:p>
    <w:p w14:paraId="5FE59158" w14:textId="77777777" w:rsidR="0089597C" w:rsidRPr="0089597C" w:rsidRDefault="0089597C" w:rsidP="0089597C">
      <w:pPr>
        <w:tabs>
          <w:tab w:val="left" w:pos="2160"/>
          <w:tab w:val="left" w:pos="2280"/>
        </w:tabs>
        <w:spacing w:line="240" w:lineRule="auto"/>
        <w:rPr>
          <w:rFonts w:eastAsia="Calibri"/>
          <w:b/>
          <w:iCs/>
          <w:smallCaps/>
          <w:sz w:val="20"/>
          <w:szCs w:val="20"/>
        </w:rPr>
      </w:pPr>
      <w:r w:rsidRPr="0089597C">
        <w:rPr>
          <w:rFonts w:eastAsia="Calibri"/>
          <w:b/>
          <w:iCs/>
          <w:smallCaps/>
          <w:sz w:val="20"/>
          <w:szCs w:val="20"/>
        </w:rPr>
        <w:t>Counsel for Duke Energy Ohio, Inc. (Duke)</w:t>
      </w:r>
    </w:p>
    <w:p w14:paraId="0505B4CA" w14:textId="77777777" w:rsidR="0089597C" w:rsidRPr="0089597C" w:rsidRDefault="0089597C" w:rsidP="0089597C">
      <w:pPr>
        <w:autoSpaceDE w:val="0"/>
        <w:autoSpaceDN w:val="0"/>
        <w:adjustRightInd w:val="0"/>
        <w:spacing w:line="240" w:lineRule="auto"/>
        <w:rPr>
          <w:rFonts w:eastAsia="Calibri"/>
          <w:color w:val="000000"/>
          <w:sz w:val="20"/>
          <w:szCs w:val="20"/>
        </w:rPr>
      </w:pPr>
    </w:p>
    <w:p w14:paraId="46F5585D" w14:textId="77777777" w:rsidR="0089597C" w:rsidRPr="0089597C" w:rsidRDefault="0089597C" w:rsidP="0089597C">
      <w:pPr>
        <w:spacing w:line="240" w:lineRule="auto"/>
        <w:rPr>
          <w:color w:val="000000"/>
          <w:sz w:val="20"/>
          <w:szCs w:val="20"/>
        </w:rPr>
      </w:pPr>
      <w:r w:rsidRPr="0089597C">
        <w:rPr>
          <w:color w:val="000000"/>
          <w:sz w:val="20"/>
          <w:szCs w:val="20"/>
        </w:rPr>
        <w:t>BRUCE WESTON (Reg. No. 0016973)</w:t>
      </w:r>
    </w:p>
    <w:p w14:paraId="4D4BBD5A" w14:textId="77777777" w:rsidR="0089597C" w:rsidRPr="0089597C" w:rsidRDefault="0089597C" w:rsidP="0089597C">
      <w:pPr>
        <w:spacing w:line="240" w:lineRule="auto"/>
        <w:rPr>
          <w:color w:val="000000"/>
          <w:sz w:val="20"/>
          <w:szCs w:val="20"/>
        </w:rPr>
      </w:pPr>
      <w:r w:rsidRPr="0089597C">
        <w:rPr>
          <w:color w:val="000000"/>
          <w:sz w:val="20"/>
          <w:szCs w:val="20"/>
        </w:rPr>
        <w:t>OHIO CONSUMERS’ COUNSEL</w:t>
      </w:r>
    </w:p>
    <w:p w14:paraId="6DAC102A" w14:textId="77777777" w:rsidR="0089597C" w:rsidRPr="0089597C" w:rsidRDefault="0089597C" w:rsidP="0089597C">
      <w:pPr>
        <w:spacing w:line="240" w:lineRule="auto"/>
        <w:rPr>
          <w:color w:val="000000"/>
          <w:sz w:val="20"/>
          <w:szCs w:val="20"/>
        </w:rPr>
      </w:pPr>
    </w:p>
    <w:p w14:paraId="7CF51FBA" w14:textId="77777777" w:rsidR="0089597C" w:rsidRPr="0089597C" w:rsidRDefault="0089597C" w:rsidP="0089597C">
      <w:pPr>
        <w:spacing w:line="240" w:lineRule="auto"/>
        <w:rPr>
          <w:color w:val="000000"/>
          <w:sz w:val="20"/>
          <w:szCs w:val="20"/>
        </w:rPr>
      </w:pPr>
      <w:r w:rsidRPr="0089597C">
        <w:rPr>
          <w:b/>
          <w:color w:val="000000"/>
          <w:sz w:val="20"/>
          <w:szCs w:val="20"/>
        </w:rPr>
        <w:t>Christopher Healey</w:t>
      </w:r>
      <w:r w:rsidRPr="0089597C">
        <w:rPr>
          <w:color w:val="000000"/>
          <w:sz w:val="20"/>
          <w:szCs w:val="20"/>
        </w:rPr>
        <w:t xml:space="preserve"> (Reg. No. 0086027)</w:t>
      </w:r>
    </w:p>
    <w:p w14:paraId="62CF282A" w14:textId="77777777" w:rsidR="0089597C" w:rsidRPr="0089597C" w:rsidRDefault="0089597C" w:rsidP="0089597C">
      <w:pPr>
        <w:spacing w:line="240" w:lineRule="auto"/>
        <w:rPr>
          <w:color w:val="000000"/>
          <w:sz w:val="20"/>
          <w:szCs w:val="20"/>
        </w:rPr>
      </w:pPr>
      <w:r w:rsidRPr="0089597C">
        <w:rPr>
          <w:color w:val="000000"/>
          <w:sz w:val="20"/>
          <w:szCs w:val="20"/>
        </w:rPr>
        <w:t>(Counsel of Record)</w:t>
      </w:r>
    </w:p>
    <w:p w14:paraId="4044CE5E" w14:textId="77777777" w:rsidR="0089597C" w:rsidRPr="0089597C" w:rsidRDefault="0089597C" w:rsidP="0089597C">
      <w:pPr>
        <w:spacing w:line="240" w:lineRule="auto"/>
        <w:rPr>
          <w:color w:val="000000"/>
          <w:sz w:val="20"/>
          <w:szCs w:val="20"/>
        </w:rPr>
      </w:pPr>
      <w:r w:rsidRPr="0089597C">
        <w:rPr>
          <w:color w:val="000000"/>
          <w:sz w:val="20"/>
          <w:szCs w:val="20"/>
        </w:rPr>
        <w:t>Assistant Consumers’ Counsel</w:t>
      </w:r>
    </w:p>
    <w:p w14:paraId="2AADB056" w14:textId="77777777" w:rsidR="0089597C" w:rsidRPr="0089597C" w:rsidRDefault="0089597C" w:rsidP="0089597C">
      <w:pPr>
        <w:spacing w:line="240" w:lineRule="auto"/>
        <w:rPr>
          <w:color w:val="000000"/>
          <w:sz w:val="20"/>
          <w:szCs w:val="20"/>
        </w:rPr>
      </w:pPr>
      <w:r w:rsidRPr="0089597C">
        <w:rPr>
          <w:color w:val="000000"/>
          <w:sz w:val="20"/>
          <w:szCs w:val="20"/>
        </w:rPr>
        <w:t>Office of the Ohio Consumers’ Counsel</w:t>
      </w:r>
    </w:p>
    <w:p w14:paraId="645291F5" w14:textId="77777777" w:rsidR="0089597C" w:rsidRPr="0089597C" w:rsidRDefault="0089597C" w:rsidP="0089597C">
      <w:pPr>
        <w:spacing w:line="240" w:lineRule="auto"/>
        <w:rPr>
          <w:color w:val="000000"/>
          <w:sz w:val="20"/>
          <w:szCs w:val="20"/>
        </w:rPr>
      </w:pPr>
      <w:r w:rsidRPr="0089597C">
        <w:rPr>
          <w:color w:val="000000"/>
          <w:sz w:val="20"/>
          <w:szCs w:val="20"/>
        </w:rPr>
        <w:t>10 West Broad Street, Suite 1800</w:t>
      </w:r>
    </w:p>
    <w:p w14:paraId="4EB63F1E" w14:textId="77777777" w:rsidR="0089597C" w:rsidRPr="0089597C" w:rsidRDefault="0089597C" w:rsidP="0089597C">
      <w:pPr>
        <w:spacing w:line="240" w:lineRule="auto"/>
        <w:rPr>
          <w:color w:val="000000"/>
          <w:sz w:val="20"/>
          <w:szCs w:val="20"/>
        </w:rPr>
      </w:pPr>
      <w:r w:rsidRPr="0089597C">
        <w:rPr>
          <w:color w:val="000000"/>
          <w:sz w:val="20"/>
          <w:szCs w:val="20"/>
        </w:rPr>
        <w:t>Columbus, OH  43215-3485</w:t>
      </w:r>
    </w:p>
    <w:p w14:paraId="40A036F1" w14:textId="77777777" w:rsidR="0089597C" w:rsidRPr="0089597C" w:rsidRDefault="0089597C" w:rsidP="0089597C">
      <w:pPr>
        <w:spacing w:line="240" w:lineRule="auto"/>
        <w:rPr>
          <w:color w:val="000000"/>
          <w:sz w:val="20"/>
          <w:szCs w:val="20"/>
        </w:rPr>
      </w:pPr>
      <w:r w:rsidRPr="0089597C">
        <w:rPr>
          <w:color w:val="000000"/>
          <w:sz w:val="20"/>
          <w:szCs w:val="20"/>
        </w:rPr>
        <w:t>Christopher.healey@occ.ohio.gov</w:t>
      </w:r>
    </w:p>
    <w:p w14:paraId="5D689B9B" w14:textId="77777777" w:rsidR="0089597C" w:rsidRPr="0089597C" w:rsidRDefault="0089597C" w:rsidP="0089597C">
      <w:pPr>
        <w:spacing w:line="240" w:lineRule="auto"/>
        <w:rPr>
          <w:color w:val="000000"/>
          <w:sz w:val="20"/>
          <w:szCs w:val="20"/>
        </w:rPr>
      </w:pPr>
    </w:p>
    <w:p w14:paraId="11268445" w14:textId="77777777" w:rsidR="0089597C" w:rsidRPr="0089597C" w:rsidRDefault="0089597C" w:rsidP="0089597C">
      <w:pPr>
        <w:spacing w:line="240" w:lineRule="auto"/>
        <w:rPr>
          <w:b/>
          <w:smallCaps/>
          <w:color w:val="000000"/>
          <w:sz w:val="20"/>
          <w:szCs w:val="20"/>
        </w:rPr>
      </w:pPr>
      <w:r w:rsidRPr="0089597C">
        <w:rPr>
          <w:b/>
          <w:smallCaps/>
          <w:color w:val="000000"/>
          <w:sz w:val="20"/>
          <w:szCs w:val="20"/>
        </w:rPr>
        <w:t>Counsel for the Office of the Ohio Consumers’ Counsel</w:t>
      </w:r>
    </w:p>
    <w:p w14:paraId="0DAD0151" w14:textId="77777777" w:rsidR="0089597C" w:rsidRPr="0089597C" w:rsidRDefault="0089597C" w:rsidP="0089597C">
      <w:pPr>
        <w:autoSpaceDE w:val="0"/>
        <w:autoSpaceDN w:val="0"/>
        <w:adjustRightInd w:val="0"/>
        <w:spacing w:line="240" w:lineRule="auto"/>
        <w:rPr>
          <w:rFonts w:eastAsia="Calibri"/>
          <w:sz w:val="20"/>
          <w:szCs w:val="20"/>
        </w:rPr>
      </w:pPr>
      <w:r w:rsidRPr="0089597C">
        <w:rPr>
          <w:rFonts w:eastAsia="Calibri"/>
          <w:b/>
          <w:sz w:val="20"/>
          <w:szCs w:val="20"/>
        </w:rPr>
        <w:br w:type="column"/>
      </w:r>
      <w:r w:rsidRPr="0089597C">
        <w:rPr>
          <w:rFonts w:eastAsia="Calibri"/>
          <w:b/>
          <w:sz w:val="20"/>
          <w:szCs w:val="20"/>
        </w:rPr>
        <w:t>Carrie M. Dunn</w:t>
      </w:r>
      <w:r w:rsidRPr="0089597C">
        <w:rPr>
          <w:rFonts w:eastAsia="Calibri"/>
          <w:sz w:val="20"/>
          <w:szCs w:val="20"/>
        </w:rPr>
        <w:t xml:space="preserve"> (Reg. No. 0076952)</w:t>
      </w:r>
    </w:p>
    <w:p w14:paraId="41184762" w14:textId="77777777" w:rsidR="00117197" w:rsidRDefault="00117197" w:rsidP="0089597C">
      <w:pPr>
        <w:autoSpaceDE w:val="0"/>
        <w:autoSpaceDN w:val="0"/>
        <w:adjustRightInd w:val="0"/>
        <w:spacing w:line="240" w:lineRule="auto"/>
        <w:rPr>
          <w:rFonts w:eastAsia="Calibri"/>
          <w:sz w:val="20"/>
          <w:szCs w:val="20"/>
        </w:rPr>
      </w:pPr>
      <w:r w:rsidRPr="00AE7FD0">
        <w:rPr>
          <w:rFonts w:eastAsia="Calibri"/>
          <w:b/>
          <w:sz w:val="20"/>
          <w:szCs w:val="20"/>
        </w:rPr>
        <w:t>Joshua R. Eckert</w:t>
      </w:r>
      <w:r>
        <w:rPr>
          <w:rFonts w:eastAsia="Calibri"/>
          <w:sz w:val="20"/>
          <w:szCs w:val="20"/>
        </w:rPr>
        <w:t xml:space="preserve"> (Reg. No. 0095715)</w:t>
      </w:r>
    </w:p>
    <w:p w14:paraId="5B7754F7" w14:textId="77777777" w:rsidR="0089597C" w:rsidRPr="0089597C" w:rsidRDefault="0089597C" w:rsidP="0089597C">
      <w:pPr>
        <w:autoSpaceDE w:val="0"/>
        <w:autoSpaceDN w:val="0"/>
        <w:adjustRightInd w:val="0"/>
        <w:spacing w:line="240" w:lineRule="auto"/>
        <w:rPr>
          <w:rFonts w:eastAsia="Calibri"/>
          <w:sz w:val="20"/>
          <w:szCs w:val="20"/>
        </w:rPr>
      </w:pPr>
      <w:r w:rsidRPr="0089597C">
        <w:rPr>
          <w:rFonts w:eastAsia="Calibri"/>
          <w:sz w:val="20"/>
          <w:szCs w:val="20"/>
        </w:rPr>
        <w:t>FirstEnergy Service Company</w:t>
      </w:r>
    </w:p>
    <w:p w14:paraId="0C0363D2" w14:textId="77777777" w:rsidR="0089597C" w:rsidRPr="0089597C" w:rsidRDefault="0089597C" w:rsidP="0089597C">
      <w:pPr>
        <w:autoSpaceDE w:val="0"/>
        <w:autoSpaceDN w:val="0"/>
        <w:adjustRightInd w:val="0"/>
        <w:spacing w:line="240" w:lineRule="auto"/>
        <w:rPr>
          <w:rFonts w:eastAsia="Calibri"/>
          <w:sz w:val="20"/>
          <w:szCs w:val="20"/>
        </w:rPr>
      </w:pPr>
      <w:r w:rsidRPr="0089597C">
        <w:rPr>
          <w:rFonts w:eastAsia="Calibri"/>
          <w:sz w:val="20"/>
          <w:szCs w:val="20"/>
        </w:rPr>
        <w:t>76 South Main Street</w:t>
      </w:r>
    </w:p>
    <w:p w14:paraId="79192BD4" w14:textId="77777777" w:rsidR="0089597C" w:rsidRPr="0089597C" w:rsidRDefault="0089597C" w:rsidP="0089597C">
      <w:pPr>
        <w:autoSpaceDE w:val="0"/>
        <w:autoSpaceDN w:val="0"/>
        <w:adjustRightInd w:val="0"/>
        <w:spacing w:line="240" w:lineRule="auto"/>
        <w:rPr>
          <w:rFonts w:eastAsia="Calibri"/>
          <w:sz w:val="20"/>
          <w:szCs w:val="20"/>
        </w:rPr>
      </w:pPr>
      <w:r w:rsidRPr="0089597C">
        <w:rPr>
          <w:rFonts w:eastAsia="Calibri"/>
          <w:sz w:val="20"/>
          <w:szCs w:val="20"/>
        </w:rPr>
        <w:t>Akron, OH  44308</w:t>
      </w:r>
    </w:p>
    <w:p w14:paraId="55B35B3A" w14:textId="77777777" w:rsidR="0089597C" w:rsidRPr="0089597C" w:rsidRDefault="0089597C" w:rsidP="0089597C">
      <w:pPr>
        <w:autoSpaceDE w:val="0"/>
        <w:autoSpaceDN w:val="0"/>
        <w:adjustRightInd w:val="0"/>
        <w:spacing w:line="240" w:lineRule="auto"/>
        <w:rPr>
          <w:rFonts w:eastAsia="Calibri"/>
          <w:sz w:val="20"/>
          <w:szCs w:val="20"/>
        </w:rPr>
      </w:pPr>
      <w:r w:rsidRPr="0089597C">
        <w:rPr>
          <w:rFonts w:eastAsia="Calibri"/>
          <w:sz w:val="20"/>
          <w:szCs w:val="20"/>
        </w:rPr>
        <w:t>cdunn@firstenergycorp.com</w:t>
      </w:r>
    </w:p>
    <w:p w14:paraId="5CBF999C" w14:textId="77777777" w:rsidR="0089597C" w:rsidRDefault="00117197" w:rsidP="0089597C">
      <w:pPr>
        <w:autoSpaceDE w:val="0"/>
        <w:autoSpaceDN w:val="0"/>
        <w:adjustRightInd w:val="0"/>
        <w:spacing w:line="240" w:lineRule="auto"/>
        <w:rPr>
          <w:rFonts w:eastAsia="Calibri"/>
          <w:sz w:val="20"/>
          <w:szCs w:val="20"/>
        </w:rPr>
      </w:pPr>
      <w:r>
        <w:rPr>
          <w:rFonts w:eastAsia="Calibri"/>
          <w:sz w:val="20"/>
          <w:szCs w:val="20"/>
        </w:rPr>
        <w:t>jeckert@firstenergycorp.com</w:t>
      </w:r>
    </w:p>
    <w:p w14:paraId="3D74D1D6" w14:textId="77777777" w:rsidR="00117197" w:rsidRPr="0089597C" w:rsidRDefault="00117197" w:rsidP="0089597C">
      <w:pPr>
        <w:autoSpaceDE w:val="0"/>
        <w:autoSpaceDN w:val="0"/>
        <w:adjustRightInd w:val="0"/>
        <w:spacing w:line="240" w:lineRule="auto"/>
        <w:rPr>
          <w:rFonts w:eastAsia="Calibri"/>
          <w:sz w:val="20"/>
          <w:szCs w:val="20"/>
        </w:rPr>
      </w:pPr>
    </w:p>
    <w:bookmarkEnd w:id="2"/>
    <w:p w14:paraId="45A2C241" w14:textId="77777777" w:rsidR="0089597C" w:rsidRPr="0089597C" w:rsidRDefault="0089597C" w:rsidP="0089597C">
      <w:pPr>
        <w:tabs>
          <w:tab w:val="left" w:pos="2160"/>
          <w:tab w:val="left" w:pos="2280"/>
        </w:tabs>
        <w:spacing w:line="240" w:lineRule="auto"/>
        <w:rPr>
          <w:rFonts w:ascii="Arial Bold" w:eastAsia="Calibri" w:hAnsi="Arial Bold"/>
          <w:b/>
          <w:iCs/>
          <w:smallCaps/>
          <w:sz w:val="20"/>
          <w:szCs w:val="20"/>
        </w:rPr>
      </w:pPr>
      <w:r w:rsidRPr="0089597C">
        <w:rPr>
          <w:rFonts w:ascii="Arial Bold" w:eastAsia="Calibri" w:hAnsi="Arial Bold"/>
          <w:b/>
          <w:iCs/>
          <w:smallCaps/>
          <w:sz w:val="20"/>
          <w:szCs w:val="20"/>
        </w:rPr>
        <w:t>Counsel for The Cleveland Electric Illuminating Company, Ohio Edison Company and The Toledo Edison Company (FirstEnergy)</w:t>
      </w:r>
    </w:p>
    <w:p w14:paraId="10030458" w14:textId="77777777" w:rsidR="0089597C" w:rsidRPr="0089597C" w:rsidRDefault="0089597C" w:rsidP="0089597C">
      <w:pPr>
        <w:autoSpaceDE w:val="0"/>
        <w:autoSpaceDN w:val="0"/>
        <w:adjustRightInd w:val="0"/>
        <w:spacing w:line="240" w:lineRule="auto"/>
        <w:rPr>
          <w:rFonts w:eastAsia="Calibri"/>
          <w:sz w:val="20"/>
          <w:szCs w:val="20"/>
        </w:rPr>
      </w:pPr>
    </w:p>
    <w:p w14:paraId="5ECA5771" w14:textId="77777777" w:rsidR="0089597C" w:rsidRPr="0089597C" w:rsidRDefault="0089597C" w:rsidP="0089597C">
      <w:pPr>
        <w:tabs>
          <w:tab w:val="left" w:pos="2160"/>
          <w:tab w:val="left" w:pos="2280"/>
        </w:tabs>
        <w:spacing w:line="240" w:lineRule="auto"/>
        <w:rPr>
          <w:rFonts w:eastAsia="Calibri"/>
          <w:iCs/>
          <w:sz w:val="20"/>
          <w:szCs w:val="20"/>
        </w:rPr>
      </w:pPr>
      <w:r w:rsidRPr="0089597C">
        <w:rPr>
          <w:rFonts w:eastAsia="Calibri"/>
          <w:b/>
          <w:iCs/>
          <w:sz w:val="20"/>
          <w:szCs w:val="20"/>
        </w:rPr>
        <w:t xml:space="preserve">Steven T. </w:t>
      </w:r>
      <w:proofErr w:type="spellStart"/>
      <w:r w:rsidRPr="0089597C">
        <w:rPr>
          <w:rFonts w:eastAsia="Calibri"/>
          <w:b/>
          <w:iCs/>
          <w:sz w:val="20"/>
          <w:szCs w:val="20"/>
        </w:rPr>
        <w:t>Nourse</w:t>
      </w:r>
      <w:proofErr w:type="spellEnd"/>
      <w:r w:rsidRPr="0089597C">
        <w:rPr>
          <w:rFonts w:eastAsia="Calibri"/>
          <w:b/>
          <w:iCs/>
          <w:sz w:val="20"/>
          <w:szCs w:val="20"/>
        </w:rPr>
        <w:t xml:space="preserve"> </w:t>
      </w:r>
      <w:r w:rsidRPr="0089597C">
        <w:rPr>
          <w:rFonts w:eastAsia="Calibri"/>
          <w:iCs/>
          <w:sz w:val="20"/>
          <w:szCs w:val="20"/>
        </w:rPr>
        <w:t>(Reg. No. 0046705)</w:t>
      </w:r>
    </w:p>
    <w:p w14:paraId="13898217" w14:textId="77777777" w:rsidR="0089597C" w:rsidRPr="0089597C" w:rsidRDefault="0089597C" w:rsidP="0089597C">
      <w:pPr>
        <w:tabs>
          <w:tab w:val="left" w:pos="2160"/>
          <w:tab w:val="left" w:pos="2280"/>
        </w:tabs>
        <w:spacing w:line="240" w:lineRule="auto"/>
        <w:rPr>
          <w:rFonts w:eastAsia="Calibri"/>
          <w:iCs/>
          <w:sz w:val="20"/>
          <w:szCs w:val="20"/>
        </w:rPr>
      </w:pPr>
      <w:r w:rsidRPr="0089597C">
        <w:rPr>
          <w:rFonts w:eastAsia="Calibri"/>
          <w:iCs/>
          <w:sz w:val="20"/>
          <w:szCs w:val="20"/>
        </w:rPr>
        <w:t>Senior Counsel</w:t>
      </w:r>
    </w:p>
    <w:p w14:paraId="1D505F62" w14:textId="77777777" w:rsidR="0089597C" w:rsidRPr="0089597C" w:rsidRDefault="0089597C" w:rsidP="0089597C">
      <w:pPr>
        <w:tabs>
          <w:tab w:val="left" w:pos="2160"/>
          <w:tab w:val="left" w:pos="2280"/>
        </w:tabs>
        <w:spacing w:line="240" w:lineRule="auto"/>
        <w:rPr>
          <w:rFonts w:eastAsia="Calibri"/>
          <w:b/>
          <w:iCs/>
          <w:sz w:val="20"/>
          <w:szCs w:val="20"/>
        </w:rPr>
      </w:pPr>
      <w:r w:rsidRPr="0089597C">
        <w:rPr>
          <w:rFonts w:eastAsia="Calibri"/>
          <w:b/>
          <w:iCs/>
          <w:sz w:val="20"/>
          <w:szCs w:val="20"/>
        </w:rPr>
        <w:t xml:space="preserve">Christen M. Blend </w:t>
      </w:r>
      <w:r w:rsidRPr="0089597C">
        <w:rPr>
          <w:rFonts w:eastAsia="Calibri"/>
          <w:iCs/>
          <w:sz w:val="20"/>
          <w:szCs w:val="20"/>
        </w:rPr>
        <w:t>(Reg. No. 0086881)</w:t>
      </w:r>
    </w:p>
    <w:p w14:paraId="2F6800D4" w14:textId="77777777" w:rsidR="0089597C" w:rsidRPr="0089597C" w:rsidRDefault="0089597C" w:rsidP="0089597C">
      <w:pPr>
        <w:tabs>
          <w:tab w:val="left" w:pos="2160"/>
          <w:tab w:val="left" w:pos="2280"/>
        </w:tabs>
        <w:spacing w:line="240" w:lineRule="auto"/>
        <w:rPr>
          <w:rFonts w:eastAsia="Calibri"/>
          <w:iCs/>
          <w:sz w:val="20"/>
          <w:szCs w:val="20"/>
        </w:rPr>
      </w:pPr>
      <w:r w:rsidRPr="0089597C">
        <w:rPr>
          <w:rFonts w:eastAsia="Calibri"/>
          <w:iCs/>
          <w:sz w:val="20"/>
          <w:szCs w:val="20"/>
        </w:rPr>
        <w:t>American Electric Power Service Corporation</w:t>
      </w:r>
    </w:p>
    <w:p w14:paraId="43F490C5" w14:textId="77777777" w:rsidR="0089597C" w:rsidRPr="0089597C" w:rsidRDefault="0089597C" w:rsidP="0089597C">
      <w:pPr>
        <w:tabs>
          <w:tab w:val="left" w:pos="2160"/>
          <w:tab w:val="left" w:pos="2280"/>
        </w:tabs>
        <w:spacing w:line="240" w:lineRule="auto"/>
        <w:rPr>
          <w:rFonts w:eastAsia="Calibri"/>
          <w:iCs/>
          <w:sz w:val="20"/>
          <w:szCs w:val="20"/>
        </w:rPr>
      </w:pPr>
      <w:r w:rsidRPr="0089597C">
        <w:rPr>
          <w:rFonts w:eastAsia="Calibri"/>
          <w:iCs/>
          <w:sz w:val="20"/>
          <w:szCs w:val="20"/>
        </w:rPr>
        <w:t>1 Riverside Plaza, 29</w:t>
      </w:r>
      <w:r w:rsidRPr="0089597C">
        <w:rPr>
          <w:rFonts w:eastAsia="Calibri"/>
          <w:iCs/>
          <w:sz w:val="20"/>
          <w:szCs w:val="20"/>
          <w:vertAlign w:val="superscript"/>
        </w:rPr>
        <w:t>th</w:t>
      </w:r>
      <w:r w:rsidRPr="0089597C">
        <w:rPr>
          <w:rFonts w:eastAsia="Calibri"/>
          <w:iCs/>
          <w:sz w:val="20"/>
          <w:szCs w:val="20"/>
        </w:rPr>
        <w:t xml:space="preserve"> Floor</w:t>
      </w:r>
    </w:p>
    <w:p w14:paraId="1862A18C" w14:textId="77777777" w:rsidR="0089597C" w:rsidRPr="0089597C" w:rsidRDefault="0089597C" w:rsidP="0089597C">
      <w:pPr>
        <w:tabs>
          <w:tab w:val="left" w:pos="2160"/>
          <w:tab w:val="left" w:pos="2280"/>
        </w:tabs>
        <w:spacing w:line="240" w:lineRule="auto"/>
        <w:rPr>
          <w:rFonts w:eastAsia="Calibri"/>
          <w:iCs/>
          <w:sz w:val="20"/>
          <w:szCs w:val="20"/>
        </w:rPr>
      </w:pPr>
      <w:r w:rsidRPr="0089597C">
        <w:rPr>
          <w:rFonts w:eastAsia="Calibri"/>
          <w:iCs/>
          <w:sz w:val="20"/>
          <w:szCs w:val="20"/>
        </w:rPr>
        <w:t>Columbus, OH  43215-2373</w:t>
      </w:r>
    </w:p>
    <w:p w14:paraId="1ADC3262" w14:textId="77777777" w:rsidR="0089597C" w:rsidRPr="0089597C" w:rsidRDefault="0089597C" w:rsidP="0089597C">
      <w:pPr>
        <w:tabs>
          <w:tab w:val="left" w:pos="2160"/>
          <w:tab w:val="left" w:pos="2280"/>
        </w:tabs>
        <w:spacing w:line="240" w:lineRule="auto"/>
        <w:rPr>
          <w:rFonts w:eastAsia="Calibri"/>
          <w:iCs/>
          <w:sz w:val="20"/>
          <w:szCs w:val="20"/>
        </w:rPr>
      </w:pPr>
      <w:r w:rsidRPr="0089597C">
        <w:rPr>
          <w:rFonts w:eastAsia="Calibri"/>
          <w:iCs/>
          <w:sz w:val="20"/>
          <w:szCs w:val="20"/>
        </w:rPr>
        <w:t>Snourse@aep.com</w:t>
      </w:r>
    </w:p>
    <w:p w14:paraId="0C8587C3" w14:textId="77777777" w:rsidR="0089597C" w:rsidRPr="0089597C" w:rsidRDefault="0089597C" w:rsidP="0089597C">
      <w:pPr>
        <w:tabs>
          <w:tab w:val="left" w:pos="2160"/>
          <w:tab w:val="left" w:pos="2280"/>
        </w:tabs>
        <w:spacing w:line="240" w:lineRule="auto"/>
        <w:rPr>
          <w:rFonts w:eastAsia="Calibri"/>
          <w:iCs/>
          <w:sz w:val="20"/>
          <w:szCs w:val="20"/>
        </w:rPr>
      </w:pPr>
      <w:r w:rsidRPr="0089597C">
        <w:rPr>
          <w:rFonts w:eastAsia="Calibri"/>
          <w:iCs/>
          <w:sz w:val="20"/>
          <w:szCs w:val="20"/>
        </w:rPr>
        <w:t>cmblend@aep.com</w:t>
      </w:r>
    </w:p>
    <w:p w14:paraId="79B5F31E" w14:textId="77777777" w:rsidR="0089597C" w:rsidRPr="0089597C" w:rsidRDefault="0089597C" w:rsidP="0089597C">
      <w:pPr>
        <w:tabs>
          <w:tab w:val="left" w:pos="2160"/>
          <w:tab w:val="left" w:pos="2280"/>
        </w:tabs>
        <w:spacing w:line="240" w:lineRule="auto"/>
        <w:rPr>
          <w:rFonts w:eastAsia="Calibri"/>
          <w:iCs/>
          <w:sz w:val="20"/>
          <w:szCs w:val="20"/>
        </w:rPr>
      </w:pPr>
    </w:p>
    <w:p w14:paraId="543CB757" w14:textId="77777777" w:rsidR="0089597C" w:rsidRPr="0089597C" w:rsidRDefault="0089597C" w:rsidP="0089597C">
      <w:pPr>
        <w:tabs>
          <w:tab w:val="left" w:pos="2160"/>
          <w:tab w:val="left" w:pos="2280"/>
        </w:tabs>
        <w:spacing w:line="240" w:lineRule="auto"/>
        <w:rPr>
          <w:rFonts w:eastAsia="Calibri"/>
          <w:iCs/>
          <w:sz w:val="20"/>
          <w:szCs w:val="20"/>
        </w:rPr>
      </w:pPr>
      <w:r w:rsidRPr="0089597C">
        <w:rPr>
          <w:rFonts w:eastAsia="Calibri"/>
          <w:b/>
          <w:iCs/>
          <w:sz w:val="20"/>
          <w:szCs w:val="20"/>
        </w:rPr>
        <w:t>L. Bradfield Hughes</w:t>
      </w:r>
      <w:r w:rsidRPr="0089597C">
        <w:rPr>
          <w:rFonts w:eastAsia="Calibri"/>
          <w:iCs/>
          <w:sz w:val="20"/>
          <w:szCs w:val="20"/>
        </w:rPr>
        <w:t xml:space="preserve"> (Reg. No. 0070997)</w:t>
      </w:r>
    </w:p>
    <w:p w14:paraId="38525EBF" w14:textId="77777777" w:rsidR="0089597C" w:rsidRPr="0089597C" w:rsidRDefault="0089597C" w:rsidP="0089597C">
      <w:pPr>
        <w:tabs>
          <w:tab w:val="left" w:pos="2160"/>
          <w:tab w:val="left" w:pos="2280"/>
        </w:tabs>
        <w:spacing w:line="240" w:lineRule="auto"/>
        <w:rPr>
          <w:rFonts w:eastAsia="Calibri"/>
          <w:iCs/>
          <w:sz w:val="20"/>
          <w:szCs w:val="20"/>
        </w:rPr>
      </w:pPr>
      <w:r w:rsidRPr="0089597C">
        <w:rPr>
          <w:rFonts w:eastAsia="Calibri"/>
          <w:iCs/>
          <w:sz w:val="20"/>
          <w:szCs w:val="20"/>
        </w:rPr>
        <w:t>Porter Wright Morris &amp; Arthur, LLP</w:t>
      </w:r>
    </w:p>
    <w:p w14:paraId="4B098C91" w14:textId="77777777" w:rsidR="0089597C" w:rsidRPr="0089597C" w:rsidRDefault="0089597C" w:rsidP="0089597C">
      <w:pPr>
        <w:tabs>
          <w:tab w:val="left" w:pos="2160"/>
          <w:tab w:val="left" w:pos="2280"/>
        </w:tabs>
        <w:spacing w:line="240" w:lineRule="auto"/>
        <w:rPr>
          <w:rFonts w:eastAsia="Calibri"/>
          <w:iCs/>
          <w:sz w:val="20"/>
          <w:szCs w:val="20"/>
        </w:rPr>
      </w:pPr>
      <w:r w:rsidRPr="0089597C">
        <w:rPr>
          <w:rFonts w:eastAsia="Calibri"/>
          <w:iCs/>
          <w:sz w:val="20"/>
          <w:szCs w:val="20"/>
        </w:rPr>
        <w:t>Huntington Center</w:t>
      </w:r>
    </w:p>
    <w:p w14:paraId="486285F2" w14:textId="77777777" w:rsidR="0089597C" w:rsidRPr="0089597C" w:rsidRDefault="0089597C" w:rsidP="0089597C">
      <w:pPr>
        <w:tabs>
          <w:tab w:val="left" w:pos="2160"/>
          <w:tab w:val="left" w:pos="2280"/>
        </w:tabs>
        <w:spacing w:line="240" w:lineRule="auto"/>
        <w:rPr>
          <w:rFonts w:eastAsia="Calibri"/>
          <w:iCs/>
          <w:sz w:val="20"/>
          <w:szCs w:val="20"/>
        </w:rPr>
      </w:pPr>
      <w:r w:rsidRPr="0089597C">
        <w:rPr>
          <w:rFonts w:eastAsia="Calibri"/>
          <w:iCs/>
          <w:sz w:val="20"/>
          <w:szCs w:val="20"/>
        </w:rPr>
        <w:t>41 South High Street, Suite 2900</w:t>
      </w:r>
    </w:p>
    <w:p w14:paraId="06B964A4" w14:textId="77777777" w:rsidR="0089597C" w:rsidRPr="0089597C" w:rsidRDefault="0089597C" w:rsidP="0089597C">
      <w:pPr>
        <w:tabs>
          <w:tab w:val="left" w:pos="2160"/>
          <w:tab w:val="left" w:pos="2280"/>
        </w:tabs>
        <w:spacing w:line="240" w:lineRule="auto"/>
        <w:rPr>
          <w:rFonts w:eastAsia="Calibri"/>
          <w:iCs/>
          <w:sz w:val="20"/>
          <w:szCs w:val="20"/>
        </w:rPr>
      </w:pPr>
      <w:r w:rsidRPr="0089597C">
        <w:rPr>
          <w:rFonts w:eastAsia="Calibri"/>
          <w:iCs/>
          <w:sz w:val="20"/>
          <w:szCs w:val="20"/>
        </w:rPr>
        <w:t>Columbus, OH  43215</w:t>
      </w:r>
    </w:p>
    <w:p w14:paraId="1156A53F" w14:textId="77777777" w:rsidR="0089597C" w:rsidRPr="0089597C" w:rsidRDefault="0089597C" w:rsidP="0089597C">
      <w:pPr>
        <w:tabs>
          <w:tab w:val="left" w:pos="2160"/>
          <w:tab w:val="left" w:pos="2280"/>
        </w:tabs>
        <w:spacing w:line="240" w:lineRule="auto"/>
        <w:rPr>
          <w:rFonts w:eastAsia="Calibri"/>
          <w:iCs/>
          <w:sz w:val="20"/>
          <w:szCs w:val="20"/>
        </w:rPr>
      </w:pPr>
      <w:r w:rsidRPr="0089597C">
        <w:rPr>
          <w:rFonts w:eastAsia="Calibri"/>
          <w:iCs/>
          <w:sz w:val="20"/>
          <w:szCs w:val="20"/>
        </w:rPr>
        <w:t>bhughes@porterwright.com</w:t>
      </w:r>
    </w:p>
    <w:p w14:paraId="440E282B" w14:textId="77777777" w:rsidR="0089597C" w:rsidRPr="0089597C" w:rsidRDefault="0089597C" w:rsidP="0089597C">
      <w:pPr>
        <w:tabs>
          <w:tab w:val="left" w:pos="2160"/>
          <w:tab w:val="left" w:pos="2280"/>
        </w:tabs>
        <w:spacing w:line="240" w:lineRule="auto"/>
        <w:rPr>
          <w:rFonts w:eastAsia="Calibri"/>
          <w:iCs/>
          <w:sz w:val="20"/>
          <w:szCs w:val="20"/>
        </w:rPr>
      </w:pPr>
    </w:p>
    <w:p w14:paraId="6E27E1FE" w14:textId="77777777" w:rsidR="0089597C" w:rsidRPr="0089597C" w:rsidRDefault="0089597C" w:rsidP="0089597C">
      <w:pPr>
        <w:tabs>
          <w:tab w:val="left" w:pos="2160"/>
          <w:tab w:val="left" w:pos="2280"/>
        </w:tabs>
        <w:spacing w:line="240" w:lineRule="auto"/>
        <w:rPr>
          <w:rFonts w:ascii="Arial Bold" w:eastAsia="Calibri" w:hAnsi="Arial Bold"/>
          <w:b/>
          <w:iCs/>
          <w:smallCaps/>
          <w:sz w:val="20"/>
          <w:szCs w:val="20"/>
        </w:rPr>
      </w:pPr>
      <w:r w:rsidRPr="0089597C">
        <w:rPr>
          <w:rFonts w:ascii="Arial Bold" w:eastAsia="Calibri" w:hAnsi="Arial Bold"/>
          <w:b/>
          <w:iCs/>
          <w:smallCaps/>
          <w:sz w:val="20"/>
          <w:szCs w:val="20"/>
        </w:rPr>
        <w:t>Counsel for Ohio Power Company (AEP Ohio)</w:t>
      </w:r>
    </w:p>
    <w:p w14:paraId="0B15CE74" w14:textId="77777777" w:rsidR="0089597C" w:rsidRPr="0089597C" w:rsidRDefault="0089597C" w:rsidP="0089597C">
      <w:pPr>
        <w:tabs>
          <w:tab w:val="left" w:pos="2160"/>
          <w:tab w:val="left" w:pos="2280"/>
        </w:tabs>
        <w:spacing w:line="240" w:lineRule="auto"/>
        <w:rPr>
          <w:rFonts w:eastAsia="Calibri"/>
          <w:iCs/>
          <w:sz w:val="20"/>
          <w:szCs w:val="20"/>
        </w:rPr>
      </w:pPr>
    </w:p>
    <w:p w14:paraId="5E9DF14F" w14:textId="77777777" w:rsidR="0089597C" w:rsidRPr="0089597C" w:rsidRDefault="0089597C" w:rsidP="0089597C">
      <w:pPr>
        <w:tabs>
          <w:tab w:val="left" w:pos="2160"/>
          <w:tab w:val="left" w:pos="2280"/>
        </w:tabs>
        <w:spacing w:line="240" w:lineRule="auto"/>
        <w:rPr>
          <w:rFonts w:eastAsia="Calibri"/>
          <w:b/>
          <w:iCs/>
          <w:sz w:val="20"/>
          <w:szCs w:val="20"/>
        </w:rPr>
      </w:pPr>
      <w:r w:rsidRPr="0089597C">
        <w:rPr>
          <w:rFonts w:eastAsia="Calibri"/>
          <w:b/>
          <w:iCs/>
          <w:sz w:val="20"/>
          <w:szCs w:val="20"/>
        </w:rPr>
        <w:br w:type="page"/>
      </w:r>
    </w:p>
    <w:p w14:paraId="6C3F543D" w14:textId="77777777" w:rsidR="0089597C" w:rsidRPr="0089597C" w:rsidRDefault="0089597C" w:rsidP="0089597C">
      <w:pPr>
        <w:tabs>
          <w:tab w:val="left" w:pos="2160"/>
          <w:tab w:val="left" w:pos="2280"/>
        </w:tabs>
        <w:spacing w:line="240" w:lineRule="auto"/>
        <w:rPr>
          <w:rFonts w:eastAsia="Calibri"/>
          <w:iCs/>
          <w:sz w:val="20"/>
          <w:szCs w:val="20"/>
        </w:rPr>
      </w:pPr>
      <w:r w:rsidRPr="0089597C">
        <w:rPr>
          <w:rFonts w:eastAsia="Calibri"/>
          <w:b/>
          <w:iCs/>
          <w:sz w:val="20"/>
          <w:szCs w:val="20"/>
        </w:rPr>
        <w:lastRenderedPageBreak/>
        <w:t>Michael J. Schuler</w:t>
      </w:r>
      <w:r w:rsidRPr="0089597C">
        <w:rPr>
          <w:rFonts w:eastAsia="Calibri"/>
          <w:iCs/>
          <w:sz w:val="20"/>
          <w:szCs w:val="20"/>
        </w:rPr>
        <w:t xml:space="preserve"> (Reg. No. 0082390)</w:t>
      </w:r>
    </w:p>
    <w:p w14:paraId="548FA19E" w14:textId="77777777" w:rsidR="0089597C" w:rsidRPr="0089597C" w:rsidRDefault="0089597C" w:rsidP="0089597C">
      <w:pPr>
        <w:tabs>
          <w:tab w:val="left" w:pos="2160"/>
          <w:tab w:val="left" w:pos="2280"/>
        </w:tabs>
        <w:spacing w:line="240" w:lineRule="auto"/>
        <w:rPr>
          <w:rFonts w:eastAsia="Calibri"/>
          <w:b/>
          <w:iCs/>
          <w:sz w:val="20"/>
          <w:szCs w:val="20"/>
        </w:rPr>
      </w:pPr>
      <w:r w:rsidRPr="0089597C">
        <w:rPr>
          <w:rFonts w:eastAsia="Calibri"/>
          <w:b/>
          <w:iCs/>
          <w:sz w:val="20"/>
          <w:szCs w:val="20"/>
        </w:rPr>
        <w:t>Randall V. Griffin</w:t>
      </w:r>
    </w:p>
    <w:p w14:paraId="2538152C" w14:textId="77777777" w:rsidR="0089597C" w:rsidRPr="0089597C" w:rsidRDefault="0089597C" w:rsidP="0089597C">
      <w:pPr>
        <w:tabs>
          <w:tab w:val="left" w:pos="2160"/>
          <w:tab w:val="left" w:pos="2280"/>
        </w:tabs>
        <w:spacing w:line="240" w:lineRule="auto"/>
        <w:rPr>
          <w:rFonts w:eastAsia="Calibri"/>
          <w:b/>
          <w:iCs/>
          <w:sz w:val="20"/>
          <w:szCs w:val="20"/>
        </w:rPr>
      </w:pPr>
      <w:r w:rsidRPr="0089597C">
        <w:rPr>
          <w:rFonts w:eastAsia="Calibri"/>
          <w:b/>
          <w:iCs/>
          <w:sz w:val="20"/>
          <w:szCs w:val="20"/>
        </w:rPr>
        <w:t xml:space="preserve">Judi L. </w:t>
      </w:r>
      <w:proofErr w:type="spellStart"/>
      <w:r w:rsidRPr="0089597C">
        <w:rPr>
          <w:rFonts w:eastAsia="Calibri"/>
          <w:b/>
          <w:iCs/>
          <w:sz w:val="20"/>
          <w:szCs w:val="20"/>
        </w:rPr>
        <w:t>Sobecki</w:t>
      </w:r>
      <w:proofErr w:type="spellEnd"/>
    </w:p>
    <w:p w14:paraId="73910C9A" w14:textId="77777777" w:rsidR="0089597C" w:rsidRPr="0089597C" w:rsidRDefault="0089597C" w:rsidP="0089597C">
      <w:pPr>
        <w:tabs>
          <w:tab w:val="left" w:pos="2160"/>
          <w:tab w:val="left" w:pos="2280"/>
        </w:tabs>
        <w:spacing w:line="240" w:lineRule="auto"/>
        <w:rPr>
          <w:rFonts w:eastAsia="Calibri"/>
          <w:iCs/>
          <w:sz w:val="20"/>
          <w:szCs w:val="20"/>
        </w:rPr>
      </w:pPr>
      <w:r w:rsidRPr="0089597C">
        <w:rPr>
          <w:rFonts w:eastAsia="Calibri"/>
          <w:iCs/>
          <w:sz w:val="20"/>
          <w:szCs w:val="20"/>
        </w:rPr>
        <w:t>The Dayton Power and Light Company</w:t>
      </w:r>
    </w:p>
    <w:p w14:paraId="1E9D6510" w14:textId="77777777" w:rsidR="0089597C" w:rsidRPr="0089597C" w:rsidRDefault="0089597C" w:rsidP="0089597C">
      <w:pPr>
        <w:tabs>
          <w:tab w:val="left" w:pos="2160"/>
          <w:tab w:val="left" w:pos="2280"/>
        </w:tabs>
        <w:spacing w:line="240" w:lineRule="auto"/>
        <w:rPr>
          <w:rFonts w:eastAsia="Calibri"/>
          <w:iCs/>
          <w:sz w:val="20"/>
          <w:szCs w:val="20"/>
        </w:rPr>
      </w:pPr>
      <w:r w:rsidRPr="0089597C">
        <w:rPr>
          <w:rFonts w:eastAsia="Calibri"/>
          <w:iCs/>
          <w:sz w:val="20"/>
          <w:szCs w:val="20"/>
        </w:rPr>
        <w:t>1065 Woodman Drive</w:t>
      </w:r>
    </w:p>
    <w:p w14:paraId="173AC6B2" w14:textId="77777777" w:rsidR="0089597C" w:rsidRPr="0089597C" w:rsidRDefault="0089597C" w:rsidP="0089597C">
      <w:pPr>
        <w:tabs>
          <w:tab w:val="left" w:pos="2160"/>
          <w:tab w:val="left" w:pos="2280"/>
        </w:tabs>
        <w:spacing w:line="240" w:lineRule="auto"/>
        <w:rPr>
          <w:rFonts w:eastAsia="Calibri"/>
          <w:iCs/>
          <w:sz w:val="20"/>
          <w:szCs w:val="20"/>
        </w:rPr>
      </w:pPr>
      <w:r w:rsidRPr="0089597C">
        <w:rPr>
          <w:rFonts w:eastAsia="Calibri"/>
          <w:iCs/>
          <w:sz w:val="20"/>
          <w:szCs w:val="20"/>
        </w:rPr>
        <w:t>Dayton, OH  45432</w:t>
      </w:r>
    </w:p>
    <w:p w14:paraId="44E550C3" w14:textId="77777777" w:rsidR="0089597C" w:rsidRPr="0089597C" w:rsidRDefault="0089597C" w:rsidP="0089597C">
      <w:pPr>
        <w:tabs>
          <w:tab w:val="left" w:pos="2160"/>
          <w:tab w:val="left" w:pos="2280"/>
        </w:tabs>
        <w:spacing w:line="240" w:lineRule="auto"/>
        <w:rPr>
          <w:rFonts w:eastAsia="Calibri"/>
          <w:iCs/>
          <w:sz w:val="20"/>
          <w:szCs w:val="20"/>
        </w:rPr>
      </w:pPr>
      <w:r w:rsidRPr="0089597C">
        <w:rPr>
          <w:rFonts w:eastAsia="Calibri"/>
          <w:iCs/>
          <w:sz w:val="20"/>
          <w:szCs w:val="20"/>
        </w:rPr>
        <w:t>Telephone:  (937) 259-7358</w:t>
      </w:r>
    </w:p>
    <w:p w14:paraId="2C58283A" w14:textId="77777777" w:rsidR="0089597C" w:rsidRPr="0089597C" w:rsidRDefault="0089597C" w:rsidP="0089597C">
      <w:pPr>
        <w:tabs>
          <w:tab w:val="left" w:pos="2160"/>
          <w:tab w:val="left" w:pos="2280"/>
        </w:tabs>
        <w:spacing w:line="240" w:lineRule="auto"/>
        <w:rPr>
          <w:rFonts w:eastAsia="Calibri"/>
          <w:iCs/>
          <w:sz w:val="20"/>
          <w:szCs w:val="20"/>
        </w:rPr>
      </w:pPr>
      <w:r w:rsidRPr="0089597C">
        <w:rPr>
          <w:rFonts w:eastAsia="Calibri"/>
          <w:iCs/>
          <w:sz w:val="20"/>
          <w:szCs w:val="20"/>
        </w:rPr>
        <w:t>Michael.schuler@aes.com</w:t>
      </w:r>
    </w:p>
    <w:p w14:paraId="4D0BF550" w14:textId="77777777" w:rsidR="0089597C" w:rsidRPr="0089597C" w:rsidRDefault="0089597C" w:rsidP="0089597C">
      <w:pPr>
        <w:tabs>
          <w:tab w:val="left" w:pos="2160"/>
          <w:tab w:val="left" w:pos="2280"/>
        </w:tabs>
        <w:spacing w:line="240" w:lineRule="auto"/>
        <w:rPr>
          <w:rFonts w:eastAsia="Calibri"/>
          <w:iCs/>
          <w:sz w:val="20"/>
          <w:szCs w:val="20"/>
        </w:rPr>
      </w:pPr>
      <w:r w:rsidRPr="0089597C">
        <w:rPr>
          <w:rFonts w:eastAsia="Calibri"/>
          <w:iCs/>
          <w:sz w:val="20"/>
          <w:szCs w:val="20"/>
        </w:rPr>
        <w:t>Randall.griffin@dplinc.com</w:t>
      </w:r>
    </w:p>
    <w:p w14:paraId="5ECED966" w14:textId="77777777" w:rsidR="0089597C" w:rsidRPr="0089597C" w:rsidRDefault="0089597C" w:rsidP="0089597C">
      <w:pPr>
        <w:tabs>
          <w:tab w:val="left" w:pos="2160"/>
          <w:tab w:val="left" w:pos="2280"/>
        </w:tabs>
        <w:spacing w:line="240" w:lineRule="auto"/>
        <w:rPr>
          <w:rFonts w:eastAsia="Calibri"/>
          <w:iCs/>
          <w:sz w:val="20"/>
          <w:szCs w:val="20"/>
        </w:rPr>
      </w:pPr>
      <w:r w:rsidRPr="0089597C">
        <w:rPr>
          <w:rFonts w:eastAsia="Calibri"/>
          <w:iCs/>
          <w:sz w:val="20"/>
          <w:szCs w:val="20"/>
        </w:rPr>
        <w:t>Judi.sobecki@dplinc.com</w:t>
      </w:r>
    </w:p>
    <w:p w14:paraId="40770801" w14:textId="77777777" w:rsidR="0089597C" w:rsidRPr="0089597C" w:rsidRDefault="0089597C" w:rsidP="0089597C">
      <w:pPr>
        <w:tabs>
          <w:tab w:val="left" w:pos="2160"/>
          <w:tab w:val="left" w:pos="2280"/>
        </w:tabs>
        <w:spacing w:line="240" w:lineRule="auto"/>
        <w:rPr>
          <w:rFonts w:eastAsia="Calibri"/>
          <w:iCs/>
          <w:sz w:val="20"/>
          <w:szCs w:val="20"/>
        </w:rPr>
      </w:pPr>
    </w:p>
    <w:p w14:paraId="317AE20F" w14:textId="77777777" w:rsidR="0089597C" w:rsidRPr="0089597C" w:rsidRDefault="0089597C" w:rsidP="0089597C">
      <w:pPr>
        <w:tabs>
          <w:tab w:val="left" w:pos="2160"/>
          <w:tab w:val="left" w:pos="2280"/>
        </w:tabs>
        <w:spacing w:line="240" w:lineRule="auto"/>
        <w:rPr>
          <w:rFonts w:ascii="Arial Bold" w:eastAsia="Calibri" w:hAnsi="Arial Bold"/>
          <w:b/>
          <w:iCs/>
          <w:smallCaps/>
          <w:sz w:val="20"/>
          <w:szCs w:val="20"/>
        </w:rPr>
      </w:pPr>
      <w:r w:rsidRPr="0089597C">
        <w:rPr>
          <w:rFonts w:ascii="Arial Bold" w:eastAsia="Calibri" w:hAnsi="Arial Bold"/>
          <w:b/>
          <w:iCs/>
          <w:smallCaps/>
          <w:sz w:val="20"/>
          <w:szCs w:val="20"/>
        </w:rPr>
        <w:t>Counsel for The Dayton Power &amp; Light Company (DP&amp;L)</w:t>
      </w:r>
    </w:p>
    <w:p w14:paraId="523F2F2B" w14:textId="77777777" w:rsidR="0089597C" w:rsidRPr="0089597C" w:rsidRDefault="0089597C" w:rsidP="0089597C">
      <w:pPr>
        <w:tabs>
          <w:tab w:val="left" w:pos="2160"/>
          <w:tab w:val="left" w:pos="2280"/>
        </w:tabs>
        <w:spacing w:line="240" w:lineRule="auto"/>
        <w:rPr>
          <w:rFonts w:ascii="Arial Bold" w:eastAsia="Calibri" w:hAnsi="Arial Bold"/>
          <w:iCs/>
          <w:smallCaps/>
          <w:sz w:val="20"/>
          <w:szCs w:val="20"/>
        </w:rPr>
      </w:pPr>
    </w:p>
    <w:p w14:paraId="5D0156AB" w14:textId="77777777" w:rsidR="0089597C" w:rsidRPr="0089597C" w:rsidRDefault="0089597C" w:rsidP="0089597C">
      <w:pPr>
        <w:tabs>
          <w:tab w:val="left" w:pos="2160"/>
          <w:tab w:val="left" w:pos="2280"/>
        </w:tabs>
        <w:spacing w:line="240" w:lineRule="auto"/>
        <w:rPr>
          <w:sz w:val="20"/>
          <w:szCs w:val="20"/>
        </w:rPr>
      </w:pPr>
      <w:r w:rsidRPr="0089597C">
        <w:rPr>
          <w:b/>
          <w:sz w:val="20"/>
          <w:szCs w:val="20"/>
        </w:rPr>
        <w:t xml:space="preserve">Angela Paul Whitfield </w:t>
      </w:r>
      <w:r w:rsidRPr="0089597C">
        <w:rPr>
          <w:sz w:val="20"/>
          <w:szCs w:val="20"/>
        </w:rPr>
        <w:t>(Reg. No. 0068774)</w:t>
      </w:r>
    </w:p>
    <w:p w14:paraId="1766B3FE" w14:textId="77777777" w:rsidR="0089597C" w:rsidRPr="0089597C" w:rsidRDefault="0089597C" w:rsidP="0089597C">
      <w:pPr>
        <w:tabs>
          <w:tab w:val="left" w:pos="2160"/>
          <w:tab w:val="left" w:pos="2280"/>
        </w:tabs>
        <w:spacing w:line="240" w:lineRule="auto"/>
        <w:rPr>
          <w:sz w:val="20"/>
          <w:szCs w:val="20"/>
        </w:rPr>
      </w:pPr>
      <w:r w:rsidRPr="0089597C">
        <w:rPr>
          <w:b/>
          <w:sz w:val="20"/>
          <w:szCs w:val="20"/>
        </w:rPr>
        <w:t xml:space="preserve">Kimberly J. </w:t>
      </w:r>
      <w:proofErr w:type="spellStart"/>
      <w:r w:rsidRPr="0089597C">
        <w:rPr>
          <w:b/>
          <w:sz w:val="20"/>
          <w:szCs w:val="20"/>
        </w:rPr>
        <w:t>Bojko</w:t>
      </w:r>
      <w:proofErr w:type="spellEnd"/>
      <w:r w:rsidRPr="0089597C">
        <w:rPr>
          <w:sz w:val="20"/>
          <w:szCs w:val="20"/>
        </w:rPr>
        <w:t xml:space="preserve"> (Reg. No. 0069402)</w:t>
      </w:r>
    </w:p>
    <w:p w14:paraId="5A13D0E4" w14:textId="77777777" w:rsidR="0089597C" w:rsidRPr="0089597C" w:rsidRDefault="0089597C" w:rsidP="0089597C">
      <w:pPr>
        <w:tabs>
          <w:tab w:val="left" w:pos="2160"/>
          <w:tab w:val="left" w:pos="2280"/>
        </w:tabs>
        <w:spacing w:line="240" w:lineRule="auto"/>
        <w:rPr>
          <w:sz w:val="20"/>
          <w:szCs w:val="20"/>
        </w:rPr>
      </w:pPr>
      <w:r w:rsidRPr="0089597C">
        <w:rPr>
          <w:sz w:val="20"/>
          <w:szCs w:val="20"/>
        </w:rPr>
        <w:t xml:space="preserve">Carpenter </w:t>
      </w:r>
      <w:proofErr w:type="spellStart"/>
      <w:r w:rsidRPr="0089597C">
        <w:rPr>
          <w:sz w:val="20"/>
          <w:szCs w:val="20"/>
        </w:rPr>
        <w:t>Lipps</w:t>
      </w:r>
      <w:proofErr w:type="spellEnd"/>
      <w:r w:rsidRPr="0089597C">
        <w:rPr>
          <w:sz w:val="20"/>
          <w:szCs w:val="20"/>
        </w:rPr>
        <w:t xml:space="preserve"> &amp; Leland LLP</w:t>
      </w:r>
    </w:p>
    <w:p w14:paraId="4541AED1" w14:textId="77777777" w:rsidR="0089597C" w:rsidRPr="0089597C" w:rsidRDefault="0089597C" w:rsidP="0089597C">
      <w:pPr>
        <w:tabs>
          <w:tab w:val="left" w:pos="2160"/>
          <w:tab w:val="left" w:pos="2280"/>
        </w:tabs>
        <w:spacing w:line="240" w:lineRule="auto"/>
        <w:rPr>
          <w:sz w:val="20"/>
          <w:szCs w:val="20"/>
        </w:rPr>
      </w:pPr>
      <w:r w:rsidRPr="0089597C">
        <w:rPr>
          <w:sz w:val="20"/>
          <w:szCs w:val="20"/>
        </w:rPr>
        <w:t>280 North High Street, Suite 1300</w:t>
      </w:r>
    </w:p>
    <w:p w14:paraId="03DC68AA" w14:textId="77777777" w:rsidR="0089597C" w:rsidRPr="0089597C" w:rsidRDefault="0089597C" w:rsidP="0089597C">
      <w:pPr>
        <w:tabs>
          <w:tab w:val="left" w:pos="2160"/>
          <w:tab w:val="left" w:pos="2280"/>
        </w:tabs>
        <w:spacing w:line="240" w:lineRule="auto"/>
        <w:rPr>
          <w:sz w:val="20"/>
          <w:szCs w:val="20"/>
        </w:rPr>
      </w:pPr>
      <w:r w:rsidRPr="0089597C">
        <w:rPr>
          <w:sz w:val="20"/>
          <w:szCs w:val="20"/>
        </w:rPr>
        <w:t>Columbus, OH  43215</w:t>
      </w:r>
    </w:p>
    <w:p w14:paraId="39A7E1FA" w14:textId="77777777" w:rsidR="0089597C" w:rsidRPr="0089597C" w:rsidRDefault="0089597C" w:rsidP="0089597C">
      <w:pPr>
        <w:autoSpaceDE w:val="0"/>
        <w:autoSpaceDN w:val="0"/>
        <w:adjustRightInd w:val="0"/>
        <w:spacing w:line="240" w:lineRule="auto"/>
        <w:rPr>
          <w:rFonts w:ascii="Arial Bold" w:hAnsi="Arial Bold"/>
          <w:sz w:val="20"/>
          <w:szCs w:val="20"/>
        </w:rPr>
      </w:pPr>
      <w:r w:rsidRPr="0089597C">
        <w:rPr>
          <w:sz w:val="20"/>
          <w:szCs w:val="20"/>
        </w:rPr>
        <w:t>paul@carpenterlipps.com</w:t>
      </w:r>
    </w:p>
    <w:p w14:paraId="789511B4" w14:textId="77777777" w:rsidR="0089597C" w:rsidRPr="0089597C" w:rsidRDefault="0089597C" w:rsidP="0089597C">
      <w:pPr>
        <w:autoSpaceDE w:val="0"/>
        <w:autoSpaceDN w:val="0"/>
        <w:adjustRightInd w:val="0"/>
        <w:spacing w:line="240" w:lineRule="auto"/>
        <w:rPr>
          <w:sz w:val="20"/>
          <w:szCs w:val="20"/>
        </w:rPr>
      </w:pPr>
      <w:r w:rsidRPr="0089597C">
        <w:rPr>
          <w:sz w:val="20"/>
          <w:szCs w:val="20"/>
        </w:rPr>
        <w:t>Bojko@carpenterlipps.com</w:t>
      </w:r>
    </w:p>
    <w:p w14:paraId="09D51716" w14:textId="77777777" w:rsidR="0089597C" w:rsidRPr="0089597C" w:rsidRDefault="0089597C" w:rsidP="0089597C">
      <w:pPr>
        <w:autoSpaceDE w:val="0"/>
        <w:autoSpaceDN w:val="0"/>
        <w:adjustRightInd w:val="0"/>
        <w:spacing w:line="240" w:lineRule="auto"/>
        <w:rPr>
          <w:rFonts w:ascii="Arial Bold" w:hAnsi="Arial Bold"/>
          <w:b/>
          <w:smallCaps/>
          <w:sz w:val="20"/>
          <w:szCs w:val="20"/>
        </w:rPr>
      </w:pPr>
    </w:p>
    <w:p w14:paraId="4EE361A9" w14:textId="77777777" w:rsidR="0089597C" w:rsidRPr="0089597C" w:rsidRDefault="0089597C" w:rsidP="0089597C">
      <w:pPr>
        <w:autoSpaceDE w:val="0"/>
        <w:autoSpaceDN w:val="0"/>
        <w:adjustRightInd w:val="0"/>
        <w:spacing w:line="240" w:lineRule="auto"/>
        <w:rPr>
          <w:rFonts w:ascii="Arial Bold" w:hAnsi="Arial Bold"/>
          <w:b/>
          <w:smallCaps/>
          <w:sz w:val="20"/>
          <w:szCs w:val="20"/>
        </w:rPr>
      </w:pPr>
      <w:r w:rsidRPr="0089597C">
        <w:rPr>
          <w:rFonts w:ascii="Arial Bold" w:hAnsi="Arial Bold"/>
          <w:b/>
          <w:smallCaps/>
          <w:sz w:val="20"/>
          <w:szCs w:val="20"/>
        </w:rPr>
        <w:t>Counsel for The Kroger Co.</w:t>
      </w:r>
    </w:p>
    <w:p w14:paraId="042672DB" w14:textId="77777777" w:rsidR="0089597C" w:rsidRPr="0089597C" w:rsidRDefault="0089597C" w:rsidP="0089597C">
      <w:pPr>
        <w:autoSpaceDE w:val="0"/>
        <w:autoSpaceDN w:val="0"/>
        <w:adjustRightInd w:val="0"/>
        <w:spacing w:line="240" w:lineRule="auto"/>
        <w:rPr>
          <w:rFonts w:ascii="Arial Bold" w:hAnsi="Arial Bold"/>
          <w:b/>
          <w:smallCaps/>
          <w:sz w:val="20"/>
          <w:szCs w:val="20"/>
        </w:rPr>
      </w:pPr>
    </w:p>
    <w:p w14:paraId="5210E298" w14:textId="77777777" w:rsidR="0089597C" w:rsidRPr="0089597C" w:rsidRDefault="0089597C" w:rsidP="0089597C">
      <w:pPr>
        <w:tabs>
          <w:tab w:val="left" w:pos="2160"/>
          <w:tab w:val="left" w:pos="2280"/>
        </w:tabs>
        <w:spacing w:line="240" w:lineRule="auto"/>
        <w:rPr>
          <w:sz w:val="20"/>
          <w:szCs w:val="20"/>
        </w:rPr>
      </w:pPr>
      <w:r w:rsidRPr="0089597C">
        <w:rPr>
          <w:b/>
          <w:sz w:val="20"/>
          <w:szCs w:val="20"/>
        </w:rPr>
        <w:t>Colleen L. Mooney</w:t>
      </w:r>
    </w:p>
    <w:p w14:paraId="6CD1D368" w14:textId="77777777" w:rsidR="0089597C" w:rsidRPr="0089597C" w:rsidRDefault="0089597C" w:rsidP="0089597C">
      <w:pPr>
        <w:tabs>
          <w:tab w:val="left" w:pos="2160"/>
          <w:tab w:val="left" w:pos="2280"/>
        </w:tabs>
        <w:spacing w:line="240" w:lineRule="auto"/>
        <w:rPr>
          <w:sz w:val="20"/>
          <w:szCs w:val="20"/>
        </w:rPr>
      </w:pPr>
      <w:r w:rsidRPr="0089597C">
        <w:rPr>
          <w:sz w:val="20"/>
          <w:szCs w:val="20"/>
        </w:rPr>
        <w:t>Ohio Partners for Affordable Energy</w:t>
      </w:r>
    </w:p>
    <w:p w14:paraId="48A83617" w14:textId="77777777" w:rsidR="0089597C" w:rsidRPr="0089597C" w:rsidRDefault="0089597C" w:rsidP="0089597C">
      <w:pPr>
        <w:tabs>
          <w:tab w:val="left" w:pos="2160"/>
          <w:tab w:val="left" w:pos="2280"/>
        </w:tabs>
        <w:spacing w:line="240" w:lineRule="auto"/>
        <w:rPr>
          <w:sz w:val="20"/>
          <w:szCs w:val="20"/>
        </w:rPr>
      </w:pPr>
      <w:r w:rsidRPr="0089597C">
        <w:rPr>
          <w:sz w:val="20"/>
          <w:szCs w:val="20"/>
        </w:rPr>
        <w:t>P.O. Box 12451</w:t>
      </w:r>
    </w:p>
    <w:p w14:paraId="782FED30" w14:textId="77777777" w:rsidR="0089597C" w:rsidRPr="0089597C" w:rsidRDefault="0089597C" w:rsidP="0089597C">
      <w:pPr>
        <w:tabs>
          <w:tab w:val="left" w:pos="2160"/>
          <w:tab w:val="left" w:pos="2280"/>
        </w:tabs>
        <w:spacing w:line="240" w:lineRule="auto"/>
        <w:rPr>
          <w:sz w:val="20"/>
          <w:szCs w:val="20"/>
        </w:rPr>
      </w:pPr>
      <w:r w:rsidRPr="0089597C">
        <w:rPr>
          <w:sz w:val="20"/>
          <w:szCs w:val="20"/>
        </w:rPr>
        <w:t>Columbus, OH  43212-5739</w:t>
      </w:r>
    </w:p>
    <w:p w14:paraId="61AB4CA9" w14:textId="77777777" w:rsidR="0089597C" w:rsidRPr="0089597C" w:rsidRDefault="0089597C" w:rsidP="0089597C">
      <w:pPr>
        <w:autoSpaceDE w:val="0"/>
        <w:autoSpaceDN w:val="0"/>
        <w:adjustRightInd w:val="0"/>
        <w:spacing w:line="240" w:lineRule="auto"/>
        <w:rPr>
          <w:rFonts w:ascii="Arial Bold" w:hAnsi="Arial Bold"/>
          <w:sz w:val="20"/>
          <w:szCs w:val="20"/>
        </w:rPr>
      </w:pPr>
      <w:r w:rsidRPr="0089597C">
        <w:rPr>
          <w:sz w:val="20"/>
          <w:szCs w:val="20"/>
        </w:rPr>
        <w:t>Cmooney@ohiopartners.org</w:t>
      </w:r>
    </w:p>
    <w:p w14:paraId="03A8E3E9" w14:textId="77777777" w:rsidR="0089597C" w:rsidRPr="0089597C" w:rsidRDefault="0089597C" w:rsidP="0089597C">
      <w:pPr>
        <w:autoSpaceDE w:val="0"/>
        <w:autoSpaceDN w:val="0"/>
        <w:adjustRightInd w:val="0"/>
        <w:spacing w:line="240" w:lineRule="auto"/>
        <w:rPr>
          <w:rFonts w:ascii="Arial Bold" w:hAnsi="Arial Bold"/>
          <w:b/>
          <w:smallCaps/>
          <w:sz w:val="20"/>
          <w:szCs w:val="20"/>
        </w:rPr>
      </w:pPr>
    </w:p>
    <w:p w14:paraId="013C266F" w14:textId="77777777" w:rsidR="0089597C" w:rsidRPr="0089597C" w:rsidRDefault="0089597C" w:rsidP="0089597C">
      <w:pPr>
        <w:autoSpaceDE w:val="0"/>
        <w:autoSpaceDN w:val="0"/>
        <w:adjustRightInd w:val="0"/>
        <w:spacing w:line="240" w:lineRule="auto"/>
        <w:rPr>
          <w:rFonts w:ascii="Arial Bold" w:hAnsi="Arial Bold"/>
          <w:b/>
          <w:smallCaps/>
          <w:sz w:val="20"/>
          <w:szCs w:val="20"/>
        </w:rPr>
      </w:pPr>
      <w:r w:rsidRPr="0089597C">
        <w:rPr>
          <w:rFonts w:ascii="Arial Bold" w:hAnsi="Arial Bold"/>
          <w:b/>
          <w:smallCaps/>
          <w:sz w:val="20"/>
          <w:szCs w:val="20"/>
        </w:rPr>
        <w:t>Counsel for Ohio Partners for Affordable Energy</w:t>
      </w:r>
    </w:p>
    <w:p w14:paraId="7B9B1A0E" w14:textId="77777777" w:rsidR="0089597C" w:rsidRPr="0089597C" w:rsidRDefault="0089597C" w:rsidP="0089597C">
      <w:pPr>
        <w:tabs>
          <w:tab w:val="left" w:pos="2160"/>
          <w:tab w:val="left" w:pos="2280"/>
        </w:tabs>
        <w:spacing w:line="240" w:lineRule="auto"/>
        <w:rPr>
          <w:b/>
          <w:sz w:val="20"/>
          <w:szCs w:val="20"/>
        </w:rPr>
      </w:pPr>
    </w:p>
    <w:p w14:paraId="084391F6" w14:textId="77777777" w:rsidR="0089597C" w:rsidRPr="0089597C" w:rsidRDefault="0089597C" w:rsidP="0089597C">
      <w:pPr>
        <w:tabs>
          <w:tab w:val="left" w:pos="2160"/>
          <w:tab w:val="left" w:pos="2280"/>
        </w:tabs>
        <w:spacing w:line="240" w:lineRule="auto"/>
        <w:rPr>
          <w:b/>
          <w:sz w:val="20"/>
          <w:szCs w:val="20"/>
        </w:rPr>
      </w:pPr>
      <w:r w:rsidRPr="0089597C">
        <w:rPr>
          <w:b/>
          <w:sz w:val="20"/>
          <w:szCs w:val="20"/>
        </w:rPr>
        <w:t>William L. Wright</w:t>
      </w:r>
    </w:p>
    <w:p w14:paraId="23434796" w14:textId="77777777" w:rsidR="0089597C" w:rsidRPr="0089597C" w:rsidRDefault="0089597C" w:rsidP="0089597C">
      <w:pPr>
        <w:tabs>
          <w:tab w:val="left" w:pos="2160"/>
          <w:tab w:val="left" w:pos="2280"/>
        </w:tabs>
        <w:spacing w:line="240" w:lineRule="auto"/>
        <w:rPr>
          <w:sz w:val="20"/>
          <w:szCs w:val="20"/>
        </w:rPr>
      </w:pPr>
      <w:r w:rsidRPr="0089597C">
        <w:rPr>
          <w:sz w:val="20"/>
          <w:szCs w:val="20"/>
        </w:rPr>
        <w:t>Chief, Public Utilities Section</w:t>
      </w:r>
    </w:p>
    <w:p w14:paraId="671E0853" w14:textId="77777777" w:rsidR="0089597C" w:rsidRPr="0089597C" w:rsidRDefault="0089597C" w:rsidP="0089597C">
      <w:pPr>
        <w:tabs>
          <w:tab w:val="left" w:pos="2160"/>
          <w:tab w:val="left" w:pos="2280"/>
        </w:tabs>
        <w:spacing w:line="240" w:lineRule="auto"/>
        <w:rPr>
          <w:sz w:val="20"/>
          <w:szCs w:val="20"/>
        </w:rPr>
      </w:pPr>
      <w:r w:rsidRPr="0089597C">
        <w:rPr>
          <w:sz w:val="20"/>
          <w:szCs w:val="20"/>
        </w:rPr>
        <w:t xml:space="preserve">Office of the Ohio Attorney General </w:t>
      </w:r>
    </w:p>
    <w:p w14:paraId="06325942" w14:textId="77777777" w:rsidR="0089597C" w:rsidRPr="0089597C" w:rsidRDefault="0089597C" w:rsidP="0089597C">
      <w:pPr>
        <w:tabs>
          <w:tab w:val="left" w:pos="2160"/>
          <w:tab w:val="left" w:pos="2280"/>
        </w:tabs>
        <w:spacing w:line="240" w:lineRule="auto"/>
        <w:rPr>
          <w:sz w:val="20"/>
          <w:szCs w:val="20"/>
        </w:rPr>
      </w:pPr>
      <w:r w:rsidRPr="0089597C">
        <w:rPr>
          <w:sz w:val="20"/>
          <w:szCs w:val="20"/>
        </w:rPr>
        <w:t>30 East Broad Street, 16th Floor</w:t>
      </w:r>
    </w:p>
    <w:p w14:paraId="5496EB2D" w14:textId="77777777" w:rsidR="0089597C" w:rsidRPr="0089597C" w:rsidRDefault="0089597C" w:rsidP="0089597C">
      <w:pPr>
        <w:tabs>
          <w:tab w:val="left" w:pos="2160"/>
          <w:tab w:val="left" w:pos="2280"/>
        </w:tabs>
        <w:spacing w:line="240" w:lineRule="auto"/>
        <w:rPr>
          <w:sz w:val="20"/>
          <w:szCs w:val="20"/>
        </w:rPr>
      </w:pPr>
      <w:r w:rsidRPr="0089597C">
        <w:rPr>
          <w:sz w:val="20"/>
          <w:szCs w:val="20"/>
        </w:rPr>
        <w:t>Columbus, OH 43215-3793</w:t>
      </w:r>
    </w:p>
    <w:p w14:paraId="3CC91203" w14:textId="77777777" w:rsidR="0089597C" w:rsidRPr="0089597C" w:rsidRDefault="0089597C" w:rsidP="0089597C">
      <w:pPr>
        <w:autoSpaceDE w:val="0"/>
        <w:autoSpaceDN w:val="0"/>
        <w:adjustRightInd w:val="0"/>
        <w:spacing w:line="240" w:lineRule="auto"/>
        <w:rPr>
          <w:rFonts w:ascii="Arial Bold" w:hAnsi="Arial Bold"/>
          <w:sz w:val="20"/>
          <w:szCs w:val="20"/>
        </w:rPr>
      </w:pPr>
      <w:r w:rsidRPr="0089597C">
        <w:rPr>
          <w:sz w:val="20"/>
          <w:szCs w:val="20"/>
        </w:rPr>
        <w:t>william.wright@ohioattorneygeneral.gov</w:t>
      </w:r>
    </w:p>
    <w:p w14:paraId="08C4CFD0" w14:textId="77777777" w:rsidR="0089597C" w:rsidRPr="0089597C" w:rsidRDefault="0089597C" w:rsidP="0089597C">
      <w:pPr>
        <w:autoSpaceDE w:val="0"/>
        <w:autoSpaceDN w:val="0"/>
        <w:adjustRightInd w:val="0"/>
        <w:spacing w:line="240" w:lineRule="auto"/>
        <w:rPr>
          <w:rFonts w:ascii="Arial Bold" w:hAnsi="Arial Bold"/>
          <w:b/>
          <w:smallCaps/>
          <w:sz w:val="20"/>
          <w:szCs w:val="20"/>
        </w:rPr>
      </w:pPr>
    </w:p>
    <w:p w14:paraId="0165266C" w14:textId="77777777" w:rsidR="0089597C" w:rsidRPr="0089597C" w:rsidRDefault="0089597C" w:rsidP="0089597C">
      <w:pPr>
        <w:autoSpaceDE w:val="0"/>
        <w:autoSpaceDN w:val="0"/>
        <w:adjustRightInd w:val="0"/>
        <w:spacing w:line="240" w:lineRule="auto"/>
        <w:rPr>
          <w:rFonts w:ascii="Arial Bold" w:hAnsi="Arial Bold"/>
          <w:b/>
          <w:smallCaps/>
          <w:sz w:val="20"/>
          <w:szCs w:val="20"/>
        </w:rPr>
      </w:pPr>
      <w:r w:rsidRPr="0089597C">
        <w:rPr>
          <w:rFonts w:ascii="Arial Bold" w:hAnsi="Arial Bold"/>
          <w:b/>
          <w:smallCaps/>
          <w:sz w:val="20"/>
          <w:szCs w:val="20"/>
        </w:rPr>
        <w:t>Counsel for the Staff of the Public Utilities Commission of Ohio</w:t>
      </w:r>
    </w:p>
    <w:p w14:paraId="207FB821" w14:textId="77777777" w:rsidR="0089597C" w:rsidRPr="0089597C" w:rsidRDefault="0089597C" w:rsidP="0089597C">
      <w:pPr>
        <w:autoSpaceDE w:val="0"/>
        <w:autoSpaceDN w:val="0"/>
        <w:adjustRightInd w:val="0"/>
        <w:spacing w:line="240" w:lineRule="auto"/>
        <w:rPr>
          <w:rFonts w:ascii="Arial Bold" w:hAnsi="Arial Bold"/>
          <w:b/>
          <w:smallCaps/>
          <w:sz w:val="20"/>
          <w:szCs w:val="20"/>
        </w:rPr>
      </w:pPr>
    </w:p>
    <w:p w14:paraId="5EC79AFC" w14:textId="77777777" w:rsidR="0089597C" w:rsidRPr="0089597C" w:rsidRDefault="0089597C" w:rsidP="0089597C">
      <w:pPr>
        <w:autoSpaceDE w:val="0"/>
        <w:autoSpaceDN w:val="0"/>
        <w:adjustRightInd w:val="0"/>
        <w:spacing w:line="240" w:lineRule="auto"/>
        <w:rPr>
          <w:b/>
          <w:sz w:val="20"/>
          <w:szCs w:val="20"/>
        </w:rPr>
      </w:pPr>
      <w:r w:rsidRPr="0089597C">
        <w:rPr>
          <w:b/>
          <w:sz w:val="20"/>
          <w:szCs w:val="20"/>
        </w:rPr>
        <w:t>Greta See</w:t>
      </w:r>
    </w:p>
    <w:p w14:paraId="2A91A873" w14:textId="77777777" w:rsidR="0089597C" w:rsidRPr="0089597C" w:rsidRDefault="0089597C" w:rsidP="0089597C">
      <w:pPr>
        <w:autoSpaceDE w:val="0"/>
        <w:autoSpaceDN w:val="0"/>
        <w:adjustRightInd w:val="0"/>
        <w:spacing w:line="240" w:lineRule="auto"/>
        <w:rPr>
          <w:sz w:val="20"/>
          <w:szCs w:val="20"/>
        </w:rPr>
      </w:pPr>
      <w:r w:rsidRPr="0089597C">
        <w:rPr>
          <w:sz w:val="20"/>
          <w:szCs w:val="20"/>
        </w:rPr>
        <w:t>Attorney Examiner</w:t>
      </w:r>
    </w:p>
    <w:p w14:paraId="30F81F57" w14:textId="77777777" w:rsidR="0089597C" w:rsidRPr="0089597C" w:rsidRDefault="0089597C" w:rsidP="0089597C">
      <w:pPr>
        <w:autoSpaceDE w:val="0"/>
        <w:autoSpaceDN w:val="0"/>
        <w:adjustRightInd w:val="0"/>
        <w:spacing w:line="240" w:lineRule="auto"/>
        <w:rPr>
          <w:sz w:val="20"/>
          <w:szCs w:val="20"/>
        </w:rPr>
      </w:pPr>
      <w:r w:rsidRPr="0089597C">
        <w:rPr>
          <w:sz w:val="20"/>
          <w:szCs w:val="20"/>
        </w:rPr>
        <w:t>Public Utilities Commission of Ohio</w:t>
      </w:r>
    </w:p>
    <w:p w14:paraId="39D72519" w14:textId="77777777" w:rsidR="0089597C" w:rsidRPr="0089597C" w:rsidRDefault="0089597C" w:rsidP="0089597C">
      <w:pPr>
        <w:autoSpaceDE w:val="0"/>
        <w:autoSpaceDN w:val="0"/>
        <w:adjustRightInd w:val="0"/>
        <w:spacing w:line="240" w:lineRule="auto"/>
        <w:rPr>
          <w:sz w:val="20"/>
          <w:szCs w:val="20"/>
        </w:rPr>
      </w:pPr>
      <w:r w:rsidRPr="0089597C">
        <w:rPr>
          <w:sz w:val="20"/>
          <w:szCs w:val="20"/>
        </w:rPr>
        <w:t>Legal Department</w:t>
      </w:r>
    </w:p>
    <w:p w14:paraId="0DB6F76B" w14:textId="77777777" w:rsidR="0089597C" w:rsidRPr="0089597C" w:rsidRDefault="0089597C" w:rsidP="0089597C">
      <w:pPr>
        <w:autoSpaceDE w:val="0"/>
        <w:autoSpaceDN w:val="0"/>
        <w:adjustRightInd w:val="0"/>
        <w:spacing w:line="240" w:lineRule="auto"/>
        <w:rPr>
          <w:sz w:val="20"/>
          <w:szCs w:val="20"/>
        </w:rPr>
      </w:pPr>
      <w:r w:rsidRPr="0089597C">
        <w:rPr>
          <w:sz w:val="20"/>
          <w:szCs w:val="20"/>
        </w:rPr>
        <w:t>180 East Broad Street,12</w:t>
      </w:r>
      <w:r w:rsidRPr="0089597C">
        <w:rPr>
          <w:sz w:val="20"/>
          <w:szCs w:val="20"/>
          <w:vertAlign w:val="superscript"/>
        </w:rPr>
        <w:t>th</w:t>
      </w:r>
      <w:r w:rsidRPr="0089597C">
        <w:rPr>
          <w:sz w:val="20"/>
          <w:szCs w:val="20"/>
        </w:rPr>
        <w:t xml:space="preserve"> Floor</w:t>
      </w:r>
    </w:p>
    <w:p w14:paraId="3F3E745A" w14:textId="77777777" w:rsidR="0089597C" w:rsidRPr="0089597C" w:rsidRDefault="0089597C" w:rsidP="0089597C">
      <w:pPr>
        <w:autoSpaceDE w:val="0"/>
        <w:autoSpaceDN w:val="0"/>
        <w:adjustRightInd w:val="0"/>
        <w:spacing w:line="240" w:lineRule="auto"/>
        <w:rPr>
          <w:sz w:val="20"/>
          <w:szCs w:val="20"/>
        </w:rPr>
      </w:pPr>
      <w:r w:rsidRPr="0089597C">
        <w:rPr>
          <w:sz w:val="20"/>
          <w:szCs w:val="20"/>
        </w:rPr>
        <w:t>Columbus, OH  43215</w:t>
      </w:r>
    </w:p>
    <w:p w14:paraId="5A02682D" w14:textId="77777777" w:rsidR="0089597C" w:rsidRPr="0089597C" w:rsidRDefault="0089597C" w:rsidP="0089597C">
      <w:pPr>
        <w:autoSpaceDE w:val="0"/>
        <w:autoSpaceDN w:val="0"/>
        <w:adjustRightInd w:val="0"/>
        <w:spacing w:line="240" w:lineRule="auto"/>
        <w:rPr>
          <w:sz w:val="20"/>
          <w:szCs w:val="20"/>
        </w:rPr>
      </w:pPr>
      <w:r w:rsidRPr="0089597C">
        <w:rPr>
          <w:sz w:val="20"/>
          <w:szCs w:val="20"/>
        </w:rPr>
        <w:t>Greta.See@puc.state.oh.us</w:t>
      </w:r>
    </w:p>
    <w:p w14:paraId="29636B21" w14:textId="77777777" w:rsidR="0089597C" w:rsidRPr="0089597C" w:rsidRDefault="0089597C" w:rsidP="0089597C">
      <w:pPr>
        <w:autoSpaceDE w:val="0"/>
        <w:autoSpaceDN w:val="0"/>
        <w:adjustRightInd w:val="0"/>
        <w:spacing w:line="240" w:lineRule="auto"/>
        <w:rPr>
          <w:sz w:val="20"/>
          <w:szCs w:val="20"/>
        </w:rPr>
      </w:pPr>
    </w:p>
    <w:p w14:paraId="6611903A" w14:textId="77777777" w:rsidR="0089597C" w:rsidRPr="0089597C" w:rsidRDefault="0089597C" w:rsidP="0089597C">
      <w:pPr>
        <w:autoSpaceDE w:val="0"/>
        <w:autoSpaceDN w:val="0"/>
        <w:adjustRightInd w:val="0"/>
        <w:spacing w:line="240" w:lineRule="auto"/>
        <w:rPr>
          <w:rFonts w:ascii="Arial Bold" w:hAnsi="Arial Bold"/>
          <w:b/>
          <w:smallCaps/>
          <w:sz w:val="20"/>
          <w:szCs w:val="20"/>
        </w:rPr>
      </w:pPr>
      <w:r w:rsidRPr="0089597C">
        <w:rPr>
          <w:rFonts w:ascii="Arial Bold" w:hAnsi="Arial Bold"/>
          <w:b/>
          <w:smallCaps/>
          <w:sz w:val="20"/>
          <w:szCs w:val="20"/>
        </w:rPr>
        <w:t>Attorney Examiner</w:t>
      </w:r>
    </w:p>
    <w:p w14:paraId="4AD6E699" w14:textId="77777777" w:rsidR="005656AB" w:rsidRPr="00E43014" w:rsidRDefault="005656AB" w:rsidP="00E43014">
      <w:pPr>
        <w:jc w:val="both"/>
      </w:pPr>
      <w:bookmarkStart w:id="3" w:name="_GoBack"/>
      <w:bookmarkEnd w:id="3"/>
    </w:p>
    <w:sectPr w:rsidR="005656AB" w:rsidRPr="00E43014" w:rsidSect="003369FD">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FABB7" w14:textId="77777777" w:rsidR="00CA3499" w:rsidRDefault="00CA3499" w:rsidP="00CA3499">
      <w:r>
        <w:separator/>
      </w:r>
    </w:p>
  </w:endnote>
  <w:endnote w:type="continuationSeparator" w:id="0">
    <w:p w14:paraId="1A462AEA" w14:textId="77777777" w:rsidR="00CA3499" w:rsidRDefault="00CA3499" w:rsidP="00CA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2B71" w14:textId="3B50BA09" w:rsidR="00F27E2D" w:rsidRDefault="00F27E2D">
    <w:pPr>
      <w:pStyle w:val="Footer"/>
      <w:framePr w:wrap="around" w:vAnchor="text" w:hAnchor="margin" w:xAlign="center" w:y="1"/>
      <w:rPr>
        <w:rStyle w:val="PageNumber"/>
        <w:rFonts w:eastAsiaTheme="majorEastAsia"/>
      </w:rPr>
    </w:pPr>
    <w:r>
      <w:rPr>
        <w:rStyle w:val="PageNumber"/>
        <w:rFonts w:eastAsiaTheme="majorEastAsia"/>
        <w:noProof/>
        <w:sz w:val="16"/>
      </w:rPr>
      <w:t>{C29267:2 }</w:t>
    </w: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D403CE">
      <w:rPr>
        <w:rStyle w:val="PageNumber"/>
        <w:rFonts w:eastAsiaTheme="majorEastAsia"/>
        <w:noProof/>
      </w:rPr>
      <w:t>8</w:t>
    </w:r>
    <w:r>
      <w:rPr>
        <w:rStyle w:val="PageNumber"/>
        <w:rFonts w:eastAsiaTheme="majorEastAsia"/>
      </w:rPr>
      <w:fldChar w:fldCharType="end"/>
    </w:r>
  </w:p>
  <w:p w14:paraId="79437D17" w14:textId="77777777" w:rsidR="00F27E2D" w:rsidRDefault="00F27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78206" w14:textId="16D0F867" w:rsidR="00F27E2D" w:rsidRDefault="00F27E2D">
    <w:pPr>
      <w:pStyle w:val="Footer"/>
      <w:framePr w:wrap="around" w:vAnchor="text" w:hAnchor="margin" w:xAlign="center" w:y="1"/>
      <w:rPr>
        <w:rStyle w:val="PageNumber"/>
        <w:rFonts w:eastAsiaTheme="majorEastAsia"/>
        <w:noProof/>
      </w:rPr>
    </w:pPr>
    <w:r>
      <w:rPr>
        <w:rStyle w:val="PageNumber"/>
        <w:rFonts w:eastAsiaTheme="majorEastAsia"/>
        <w:noProof/>
      </w:rPr>
      <w:fldChar w:fldCharType="begin"/>
    </w:r>
    <w:r>
      <w:rPr>
        <w:rStyle w:val="PageNumber"/>
        <w:rFonts w:eastAsiaTheme="majorEastAsia"/>
        <w:noProof/>
      </w:rPr>
      <w:instrText xml:space="preserve">PAGE  </w:instrText>
    </w:r>
    <w:r>
      <w:rPr>
        <w:rStyle w:val="PageNumber"/>
        <w:rFonts w:eastAsiaTheme="majorEastAsia"/>
        <w:noProof/>
      </w:rPr>
      <w:fldChar w:fldCharType="separate"/>
    </w:r>
    <w:r w:rsidR="00685FF0">
      <w:rPr>
        <w:rStyle w:val="PageNumber"/>
        <w:rFonts w:eastAsiaTheme="majorEastAsia"/>
        <w:noProof/>
      </w:rPr>
      <w:t>8</w:t>
    </w:r>
    <w:r>
      <w:rPr>
        <w:rStyle w:val="PageNumber"/>
        <w:rFonts w:eastAsiaTheme="majorEastAsia"/>
        <w:noProof/>
      </w:rPr>
      <w:fldChar w:fldCharType="end"/>
    </w:r>
  </w:p>
  <w:p w14:paraId="53F3EC4E" w14:textId="4C5DE1C6" w:rsidR="00F27E2D" w:rsidRDefault="004B273F">
    <w:pPr>
      <w:pStyle w:val="Footer"/>
    </w:pPr>
    <w:r w:rsidRPr="004B273F">
      <w:rPr>
        <w:vanish/>
        <w:sz w:val="16"/>
      </w:rPr>
      <w:t>{</w:t>
    </w:r>
    <w:r w:rsidRPr="004B273F">
      <w:rPr>
        <w:sz w:val="16"/>
      </w:rPr>
      <w:t>C0104198:1</w:t>
    </w:r>
    <w:r w:rsidRPr="004B273F">
      <w:rPr>
        <w:vanish/>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7B41" w14:textId="60761DCD" w:rsidR="00F27E2D" w:rsidRDefault="004B273F">
    <w:pPr>
      <w:pStyle w:val="Footer"/>
    </w:pPr>
    <w:r w:rsidRPr="004B273F">
      <w:rPr>
        <w:noProof/>
        <w:vanish/>
        <w:sz w:val="16"/>
      </w:rPr>
      <w:t>{</w:t>
    </w:r>
    <w:r w:rsidRPr="004B273F">
      <w:rPr>
        <w:noProof/>
        <w:sz w:val="16"/>
      </w:rPr>
      <w:t>C0104198:1</w:t>
    </w:r>
    <w:r w:rsidRPr="004B273F">
      <w:rPr>
        <w:noProof/>
        <w:vanish/>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5FA7" w14:textId="77777777" w:rsidR="00CA3499" w:rsidRDefault="00CA34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A4710" w14:textId="0FC4A20A" w:rsidR="00CA3499" w:rsidRPr="00416B16" w:rsidRDefault="004B273F" w:rsidP="00416B16">
    <w:pPr>
      <w:pStyle w:val="Footer"/>
    </w:pPr>
    <w:r w:rsidRPr="004B273F">
      <w:rPr>
        <w:noProof/>
        <w:vanish/>
        <w:sz w:val="16"/>
      </w:rPr>
      <w:t>{</w:t>
    </w:r>
    <w:r w:rsidRPr="004B273F">
      <w:rPr>
        <w:noProof/>
        <w:sz w:val="16"/>
      </w:rPr>
      <w:t>C0104198:1</w:t>
    </w:r>
    <w:r w:rsidRPr="004B273F">
      <w:rPr>
        <w:noProof/>
        <w:vanish/>
        <w:sz w:val="16"/>
      </w:rPr>
      <w:t>}</w:t>
    </w:r>
    <w:r w:rsidR="00416B16">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B24B2" w14:textId="126410C6" w:rsidR="00CA3499" w:rsidRPr="00416B16" w:rsidRDefault="004B273F" w:rsidP="00416B16">
    <w:pPr>
      <w:pStyle w:val="Footer"/>
    </w:pPr>
    <w:r w:rsidRPr="004B273F">
      <w:rPr>
        <w:noProof/>
        <w:vanish/>
        <w:sz w:val="16"/>
      </w:rPr>
      <w:t>{</w:t>
    </w:r>
    <w:r w:rsidRPr="004B273F">
      <w:rPr>
        <w:noProof/>
        <w:sz w:val="16"/>
      </w:rPr>
      <w:t>C0104198:1</w:t>
    </w:r>
    <w:r w:rsidRPr="004B273F">
      <w:rPr>
        <w:noProof/>
        <w:vanish/>
        <w:sz w:val="16"/>
      </w:rPr>
      <w:t>}</w:t>
    </w:r>
    <w:r w:rsidR="00416B1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873D5" w14:textId="77777777" w:rsidR="00CA3499" w:rsidRDefault="00CA3499" w:rsidP="00CA3499">
      <w:pPr>
        <w:rPr>
          <w:noProof/>
        </w:rPr>
      </w:pPr>
      <w:r>
        <w:rPr>
          <w:noProof/>
        </w:rPr>
        <w:separator/>
      </w:r>
    </w:p>
  </w:footnote>
  <w:footnote w:type="continuationSeparator" w:id="0">
    <w:p w14:paraId="35481A4B" w14:textId="77777777" w:rsidR="00CA3499" w:rsidRDefault="00CA3499" w:rsidP="00CA3499">
      <w:r>
        <w:continuationSeparator/>
      </w:r>
    </w:p>
  </w:footnote>
  <w:footnote w:id="1">
    <w:p w14:paraId="71E0F640" w14:textId="77777777" w:rsidR="00833D25" w:rsidRPr="00833D25" w:rsidRDefault="00833D25">
      <w:pPr>
        <w:pStyle w:val="FootnoteText"/>
      </w:pPr>
      <w:r>
        <w:rPr>
          <w:rStyle w:val="FootnoteReference"/>
        </w:rPr>
        <w:footnoteRef/>
      </w:r>
      <w:r>
        <w:t xml:space="preserve"> OPAE Initial Brief at 6.</w:t>
      </w:r>
    </w:p>
  </w:footnote>
  <w:footnote w:id="2">
    <w:p w14:paraId="5E53E617" w14:textId="77777777" w:rsidR="00FC6E1A" w:rsidRPr="009A51CE" w:rsidRDefault="00FC6E1A">
      <w:pPr>
        <w:pStyle w:val="FootnoteText"/>
      </w:pPr>
      <w:r>
        <w:rPr>
          <w:rStyle w:val="FootnoteReference"/>
        </w:rPr>
        <w:footnoteRef/>
      </w:r>
      <w:r>
        <w:t xml:space="preserve"> ODSA Ex. 2 at 4.</w:t>
      </w:r>
      <w:r w:rsidR="0005366A">
        <w:t xml:space="preserve"> </w:t>
      </w:r>
    </w:p>
  </w:footnote>
  <w:footnote w:id="3">
    <w:p w14:paraId="53AEEF79" w14:textId="77777777" w:rsidR="00FE68B7" w:rsidRDefault="00FE68B7" w:rsidP="00FE68B7">
      <w:pPr>
        <w:pStyle w:val="FootnoteText"/>
      </w:pPr>
      <w:r>
        <w:rPr>
          <w:rStyle w:val="FootnoteReference"/>
        </w:rPr>
        <w:footnoteRef/>
      </w:r>
      <w:r>
        <w:t xml:space="preserve"> ODSA Ex. 2 at 4.  The statement Ms. Meadows testified to, that the two-step declining block rate design methodology provides a reasonable contribution by all customer classes to the USF revenue requirement, is the same recommended finding presented to the Commission in prior USF proceedings </w:t>
      </w:r>
      <w:r w:rsidR="003369FD">
        <w:t xml:space="preserve">in </w:t>
      </w:r>
      <w:r>
        <w:t>wh</w:t>
      </w:r>
      <w:r w:rsidR="00B1116D">
        <w:t>ich</w:t>
      </w:r>
      <w:r>
        <w:t xml:space="preserve"> the Commission previously determined that the two-step declining block rate design methodology satisfied R.C. 4928.52(C). </w:t>
      </w:r>
      <w:r>
        <w:rPr>
          <w:i/>
        </w:rPr>
        <w:t>See, e.g.</w:t>
      </w:r>
      <w:r>
        <w:t xml:space="preserve">, </w:t>
      </w:r>
      <w:r>
        <w:rPr>
          <w:i/>
        </w:rPr>
        <w:t>In the Matter of the Application of the Ohio Department of Development for an Order Approving Adjustments to the Universal Service Fund Riders of Jurisdictional Ohio Electric Distribution Utilities</w:t>
      </w:r>
      <w:r>
        <w:t>, Case No. 11-3223-EL-USF, Opinion and Order at 8-9 (Oct. 3, 2011)</w:t>
      </w:r>
      <w:r w:rsidR="003369FD">
        <w:t xml:space="preserve"> (“2011 USF Order”)</w:t>
      </w:r>
      <w:r>
        <w:t>.</w:t>
      </w:r>
    </w:p>
  </w:footnote>
  <w:footnote w:id="4">
    <w:p w14:paraId="7925DD1B" w14:textId="77777777" w:rsidR="007210E2" w:rsidRDefault="007210E2">
      <w:pPr>
        <w:pStyle w:val="FootnoteText"/>
      </w:pPr>
      <w:r>
        <w:rPr>
          <w:rStyle w:val="FootnoteReference"/>
        </w:rPr>
        <w:footnoteRef/>
      </w:r>
      <w:r>
        <w:t xml:space="preserve"> ODSA Ex. 2 at </w:t>
      </w:r>
      <w:r w:rsidR="003369FD">
        <w:t>5</w:t>
      </w:r>
      <w:r>
        <w:t>.</w:t>
      </w:r>
    </w:p>
  </w:footnote>
  <w:footnote w:id="5">
    <w:p w14:paraId="3CA04115" w14:textId="77777777" w:rsidR="00B1116D" w:rsidRDefault="00B1116D">
      <w:pPr>
        <w:pStyle w:val="FootnoteText"/>
      </w:pPr>
      <w:r>
        <w:rPr>
          <w:rStyle w:val="FootnoteReference"/>
        </w:rPr>
        <w:footnoteRef/>
      </w:r>
      <w:r>
        <w:t xml:space="preserve"> In addition to being incorrect, OPAE’s argument should be rejected because there is no requirement for expert witness testimony to contain legal citations.</w:t>
      </w:r>
    </w:p>
  </w:footnote>
  <w:footnote w:id="6">
    <w:p w14:paraId="6AED883C" w14:textId="77777777" w:rsidR="00B02EF3" w:rsidRPr="00B0300F" w:rsidRDefault="00B02EF3" w:rsidP="00B02EF3">
      <w:pPr>
        <w:pStyle w:val="FootnoteText"/>
      </w:pPr>
      <w:r>
        <w:rPr>
          <w:rStyle w:val="FootnoteReference"/>
        </w:rPr>
        <w:footnoteRef/>
      </w:r>
      <w:r>
        <w:t xml:space="preserve"> </w:t>
      </w:r>
      <w:r>
        <w:rPr>
          <w:i/>
        </w:rPr>
        <w:t>See</w:t>
      </w:r>
      <w:r>
        <w:t xml:space="preserve"> OPAE Initial Brief at 4.</w:t>
      </w:r>
    </w:p>
  </w:footnote>
  <w:footnote w:id="7">
    <w:p w14:paraId="35905C2F" w14:textId="77777777" w:rsidR="00B02EF3" w:rsidRPr="00836D49" w:rsidRDefault="00B02EF3" w:rsidP="00B02EF3">
      <w:pPr>
        <w:pStyle w:val="FootnoteText"/>
      </w:pPr>
      <w:r>
        <w:rPr>
          <w:rStyle w:val="FootnoteReference"/>
        </w:rPr>
        <w:footnoteRef/>
      </w:r>
      <w:r>
        <w:t xml:space="preserve"> 2011 USF Order at 9.  For additional pinpoint citations to the Commission’s findings that the two-tiered declining block rate design complies with R.C. 4928.52(C), </w:t>
      </w:r>
      <w:r>
        <w:rPr>
          <w:i/>
        </w:rPr>
        <w:t xml:space="preserve">see </w:t>
      </w:r>
      <w:r>
        <w:t>IEU-Ohio Initial Brief at 3-4, n. 11.</w:t>
      </w:r>
    </w:p>
  </w:footnote>
  <w:footnote w:id="8">
    <w:p w14:paraId="7E2D509C" w14:textId="77777777" w:rsidR="00A704F5" w:rsidRPr="00A704F5" w:rsidRDefault="00A704F5">
      <w:pPr>
        <w:pStyle w:val="FootnoteText"/>
      </w:pPr>
      <w:r>
        <w:rPr>
          <w:rStyle w:val="FootnoteReference"/>
        </w:rPr>
        <w:footnoteRef/>
      </w:r>
      <w:r>
        <w:t xml:space="preserve"> OPAE Initial Brief at 7-8 (</w:t>
      </w:r>
      <w:r>
        <w:rPr>
          <w:i/>
        </w:rPr>
        <w:t xml:space="preserve">citing </w:t>
      </w:r>
      <w:r>
        <w:t>OCC Ex. 1, Joint Ex. 1, Kroger Ex. 1).</w:t>
      </w:r>
    </w:p>
  </w:footnote>
  <w:footnote w:id="9">
    <w:p w14:paraId="2B7A7333" w14:textId="47529B6E" w:rsidR="00896C09" w:rsidRDefault="00896C09">
      <w:pPr>
        <w:pStyle w:val="FootnoteText"/>
      </w:pPr>
      <w:r>
        <w:rPr>
          <w:rStyle w:val="FootnoteReference"/>
        </w:rPr>
        <w:footnoteRef/>
      </w:r>
      <w:r>
        <w:t xml:space="preserve"> </w:t>
      </w:r>
      <w:r w:rsidR="00606EDA">
        <w:rPr>
          <w:i/>
        </w:rPr>
        <w:t xml:space="preserve">See </w:t>
      </w:r>
      <w:proofErr w:type="gramStart"/>
      <w:r w:rsidR="003369FD">
        <w:rPr>
          <w:i/>
        </w:rPr>
        <w:t>In</w:t>
      </w:r>
      <w:proofErr w:type="gramEnd"/>
      <w:r w:rsidR="003369FD">
        <w:rPr>
          <w:i/>
        </w:rPr>
        <w:t xml:space="preserve"> the Matter of the Application of the Ohio Development S</w:t>
      </w:r>
      <w:r w:rsidR="00117197">
        <w:rPr>
          <w:i/>
        </w:rPr>
        <w:t>e</w:t>
      </w:r>
      <w:r w:rsidR="003369FD">
        <w:rPr>
          <w:i/>
        </w:rPr>
        <w:t xml:space="preserve">rvices Agency for an Order Approving Adjustments to the Universal Service Fund Riders of Jurisdictional Ohio Electric Distribution </w:t>
      </w:r>
      <w:r w:rsidR="003369FD" w:rsidRPr="00117197">
        <w:t>Utilities</w:t>
      </w:r>
      <w:r w:rsidR="003369FD">
        <w:t>, Case No. 15</w:t>
      </w:r>
      <w:r w:rsidR="00117197">
        <w:t>-</w:t>
      </w:r>
      <w:r w:rsidR="003369FD">
        <w:t>1046</w:t>
      </w:r>
      <w:r w:rsidR="00117197">
        <w:t>-</w:t>
      </w:r>
      <w:r w:rsidR="003369FD">
        <w:t>EL</w:t>
      </w:r>
      <w:r w:rsidR="00117197">
        <w:t>-</w:t>
      </w:r>
      <w:r w:rsidR="003369FD">
        <w:t>USF, Opinion and Order at 21 (Oct. 28, 2015) (“2015 USF Order”)</w:t>
      </w:r>
    </w:p>
  </w:footnote>
  <w:footnote w:id="10">
    <w:p w14:paraId="13A22F31" w14:textId="77777777" w:rsidR="00606EDA" w:rsidRPr="00117197" w:rsidRDefault="00606EDA">
      <w:pPr>
        <w:pStyle w:val="FootnoteText"/>
        <w:rPr>
          <w:i/>
        </w:rPr>
      </w:pPr>
      <w:r>
        <w:rPr>
          <w:rStyle w:val="FootnoteReference"/>
        </w:rPr>
        <w:footnoteRef/>
      </w:r>
      <w:r>
        <w:t xml:space="preserve"> </w:t>
      </w:r>
      <w:r>
        <w:rPr>
          <w:i/>
        </w:rPr>
        <w:t>Id.</w:t>
      </w:r>
    </w:p>
  </w:footnote>
  <w:footnote w:id="11">
    <w:p w14:paraId="4FF91F1A" w14:textId="77777777" w:rsidR="00792A12" w:rsidRDefault="00792A12" w:rsidP="00792A12">
      <w:pPr>
        <w:pStyle w:val="FootnoteText"/>
      </w:pPr>
      <w:r>
        <w:rPr>
          <w:rStyle w:val="FootnoteReference"/>
        </w:rPr>
        <w:footnoteRef/>
      </w:r>
      <w:r>
        <w:t xml:space="preserve"> OPAE Initial Brief at 7.</w:t>
      </w:r>
    </w:p>
  </w:footnote>
  <w:footnote w:id="12">
    <w:p w14:paraId="232AFA0B" w14:textId="77777777" w:rsidR="00DA53DB" w:rsidRDefault="00DA53DB">
      <w:pPr>
        <w:pStyle w:val="FootnoteText"/>
      </w:pPr>
      <w:r>
        <w:rPr>
          <w:rStyle w:val="FootnoteReference"/>
        </w:rPr>
        <w:footnoteRef/>
      </w:r>
      <w:r>
        <w:t xml:space="preserve"> Kroger </w:t>
      </w:r>
      <w:r w:rsidR="003369FD">
        <w:t>E</w:t>
      </w:r>
      <w:r>
        <w:t>x. 1 at 8.</w:t>
      </w:r>
    </w:p>
  </w:footnote>
  <w:footnote w:id="13">
    <w:p w14:paraId="42C74A6B" w14:textId="4721B762" w:rsidR="00DA53DB" w:rsidRDefault="00DA53DB">
      <w:pPr>
        <w:pStyle w:val="FootnoteText"/>
      </w:pPr>
      <w:r>
        <w:rPr>
          <w:rStyle w:val="FootnoteReference"/>
        </w:rPr>
        <w:footnoteRef/>
      </w:r>
      <w:r>
        <w:t xml:space="preserve"> OCC Ex. 1 at 9-10.</w:t>
      </w:r>
      <w:r w:rsidR="00256C57">
        <w:t xml:space="preserve">  OPAE’s reliance on Mr. Williams</w:t>
      </w:r>
      <w:r w:rsidR="00117197">
        <w:t>’</w:t>
      </w:r>
      <w:r w:rsidR="00256C57">
        <w:t xml:space="preserve"> testimony also ignores that OCC did not take issue with the two-step declining block rate design.  As Mr. Williams explained in his testimony “OCC does not oppose ODSA’s current NOI as filed and supported by the testimony of Megan Meadows.  The methodology that ODSA will follow for calculating the USF as outlined in the NOI remains the same as it has been for many years.”  OCC Ex. 1 at </w:t>
      </w:r>
      <w:r w:rsidR="00117197">
        <w:t>7</w:t>
      </w:r>
      <w:r w:rsidR="00256C57">
        <w:t>.</w:t>
      </w:r>
    </w:p>
  </w:footnote>
  <w:footnote w:id="14">
    <w:p w14:paraId="727EBD37" w14:textId="77777777" w:rsidR="00E01D94" w:rsidRDefault="00E01D94">
      <w:pPr>
        <w:pStyle w:val="FootnoteText"/>
      </w:pPr>
      <w:r>
        <w:rPr>
          <w:rStyle w:val="FootnoteReference"/>
        </w:rPr>
        <w:footnoteRef/>
      </w:r>
      <w:r>
        <w:t xml:space="preserve"> Kroger Ex. 1 at 9 (Kroger’s proposal would increase </w:t>
      </w:r>
      <w:r w:rsidR="003369FD">
        <w:t xml:space="preserve">the </w:t>
      </w:r>
      <w:r>
        <w:t>first block rate paid by all customers); OCC Ex. 1 at 9 (any reduction in the amount of money that is being collected under Kroger’s proposal “must be collected from all customers”).</w:t>
      </w:r>
    </w:p>
  </w:footnote>
  <w:footnote w:id="15">
    <w:p w14:paraId="032DD8BA" w14:textId="77777777" w:rsidR="00DA53DB" w:rsidRDefault="00DA53DB">
      <w:pPr>
        <w:pStyle w:val="FootnoteText"/>
      </w:pPr>
      <w:r>
        <w:rPr>
          <w:rStyle w:val="FootnoteReference"/>
        </w:rPr>
        <w:footnoteRef/>
      </w:r>
      <w:r>
        <w:t xml:space="preserve"> Joint Ex. 1 at 6.</w:t>
      </w:r>
    </w:p>
  </w:footnote>
  <w:footnote w:id="16">
    <w:p w14:paraId="10E000DC" w14:textId="77777777" w:rsidR="00AB4D59" w:rsidRDefault="00AB4D59">
      <w:pPr>
        <w:pStyle w:val="FootnoteText"/>
      </w:pPr>
      <w:r>
        <w:rPr>
          <w:rStyle w:val="FootnoteReference"/>
        </w:rPr>
        <w:footnoteRef/>
      </w:r>
      <w:r>
        <w:t xml:space="preserve"> 2015 USF Order at 21.</w:t>
      </w:r>
    </w:p>
  </w:footnote>
  <w:footnote w:id="17">
    <w:p w14:paraId="7C8DAE9E" w14:textId="77777777" w:rsidR="00F140C7" w:rsidRPr="00F140C7" w:rsidRDefault="00F140C7">
      <w:pPr>
        <w:pStyle w:val="FootnoteText"/>
      </w:pPr>
      <w:r>
        <w:rPr>
          <w:rStyle w:val="FootnoteReference"/>
        </w:rPr>
        <w:footnoteRef/>
      </w:r>
      <w:r>
        <w:t xml:space="preserve"> </w:t>
      </w:r>
      <w:r>
        <w:rPr>
          <w:i/>
        </w:rPr>
        <w:t>See id.</w:t>
      </w:r>
      <w:r>
        <w:t xml:space="preserve"> at 23 (OPAE’s analysis in the 2015 USF case failed to demonstrate any significant cost shift among the customer classes).</w:t>
      </w:r>
    </w:p>
  </w:footnote>
  <w:footnote w:id="18">
    <w:p w14:paraId="6270EB2B" w14:textId="77777777" w:rsidR="00836D49" w:rsidRPr="00A13611" w:rsidRDefault="00836D49">
      <w:pPr>
        <w:pStyle w:val="FootnoteText"/>
      </w:pPr>
      <w:r>
        <w:rPr>
          <w:rStyle w:val="FootnoteReference"/>
        </w:rPr>
        <w:footnoteRef/>
      </w:r>
      <w:r>
        <w:t xml:space="preserve"> </w:t>
      </w:r>
      <w:r w:rsidR="00A13611">
        <w:t xml:space="preserve">OPAE Initial Brief at </w:t>
      </w:r>
      <w:r w:rsidR="003369FD">
        <w:t>4-</w:t>
      </w:r>
      <w:r w:rsidR="00A13611">
        <w:t>5 (</w:t>
      </w:r>
      <w:r w:rsidR="00A13611">
        <w:rPr>
          <w:i/>
        </w:rPr>
        <w:t xml:space="preserve">quoting </w:t>
      </w:r>
      <w:r w:rsidR="00A13611">
        <w:t>2015 USF Order at 23).</w:t>
      </w:r>
    </w:p>
  </w:footnote>
  <w:footnote w:id="19">
    <w:p w14:paraId="20FAAF8F" w14:textId="77777777" w:rsidR="00F1012E" w:rsidRPr="001C4310" w:rsidRDefault="00F1012E">
      <w:pPr>
        <w:pStyle w:val="FootnoteText"/>
      </w:pPr>
      <w:r>
        <w:rPr>
          <w:rStyle w:val="FootnoteReference"/>
        </w:rPr>
        <w:footnoteRef/>
      </w:r>
      <w:r w:rsidR="001C4310">
        <w:t xml:space="preserve"> R.C. 4903.10; </w:t>
      </w:r>
      <w:r w:rsidR="001C4310">
        <w:rPr>
          <w:i/>
        </w:rPr>
        <w:t>see also In the Matter of the Application of Duke Energy Ohio</w:t>
      </w:r>
      <w:r w:rsidR="003369FD">
        <w:rPr>
          <w:i/>
        </w:rPr>
        <w:t>,</w:t>
      </w:r>
      <w:r w:rsidR="001C4310">
        <w:rPr>
          <w:i/>
        </w:rPr>
        <w:t xml:space="preserve"> Inc., for the Establishment of a Charge Pursuant to Section 4909.18, Revised Code</w:t>
      </w:r>
      <w:r w:rsidR="001C4310">
        <w:t>, Case Nos. 12-2400-EL-UNC,</w:t>
      </w:r>
      <w:r w:rsidR="001C4310">
        <w:rPr>
          <w:i/>
        </w:rPr>
        <w:t xml:space="preserve"> et al.</w:t>
      </w:r>
      <w:r w:rsidR="001C4310">
        <w:t>, Opinion and Order at 35-36 (Feb. 1</w:t>
      </w:r>
      <w:r w:rsidR="003369FD">
        <w:t>3</w:t>
      </w:r>
      <w:r w:rsidR="001C4310">
        <w:t>, 2014) (addressing improper collateral attacks in Commission proceedings).</w:t>
      </w:r>
    </w:p>
  </w:footnote>
  <w:footnote w:id="20">
    <w:p w14:paraId="4C2DB9BF" w14:textId="77777777" w:rsidR="00891B53" w:rsidRDefault="00891B53">
      <w:pPr>
        <w:pStyle w:val="FootnoteText"/>
      </w:pPr>
      <w:r>
        <w:rPr>
          <w:rStyle w:val="FootnoteReference"/>
        </w:rPr>
        <w:footnoteRef/>
      </w:r>
      <w:r>
        <w:t xml:space="preserve"> </w:t>
      </w:r>
      <w:r w:rsidR="003369FD" w:rsidRPr="002C5BE6">
        <w:rPr>
          <w:i/>
          <w:color w:val="000000"/>
        </w:rPr>
        <w:t xml:space="preserve">In the Matter of the Application of the Ohio Development Services Agency for an Order Approving Adjustments to the Universal Service Fund Rider of Jurisdictional Ohio Electric Distribution Utilities, </w:t>
      </w:r>
      <w:r w:rsidR="003369FD" w:rsidRPr="002C5BE6">
        <w:rPr>
          <w:color w:val="000000"/>
        </w:rPr>
        <w:t xml:space="preserve">Case No. 16-1223-EL-USF, Opinion and Order at </w:t>
      </w:r>
      <w:r>
        <w:t>14, 19 (Dec. 21, 2016)</w:t>
      </w:r>
      <w:r w:rsidR="00AF24C7">
        <w:t xml:space="preserve"> (“2016 USF Order”).</w:t>
      </w:r>
    </w:p>
  </w:footnote>
  <w:footnote w:id="21">
    <w:p w14:paraId="113BA217" w14:textId="77777777" w:rsidR="00A8449A" w:rsidRDefault="00A8449A">
      <w:pPr>
        <w:pStyle w:val="FootnoteText"/>
      </w:pPr>
      <w:r>
        <w:rPr>
          <w:rStyle w:val="FootnoteReference"/>
        </w:rPr>
        <w:footnoteRef/>
      </w:r>
      <w:r w:rsidR="00891B53">
        <w:t xml:space="preserve"> 2015 USF Order at 14</w:t>
      </w:r>
      <w:r>
        <w:t>.</w:t>
      </w:r>
    </w:p>
  </w:footnote>
  <w:footnote w:id="22">
    <w:p w14:paraId="37C60DB2" w14:textId="77777777" w:rsidR="00427200" w:rsidRPr="00156378" w:rsidRDefault="00427200">
      <w:pPr>
        <w:pStyle w:val="FootnoteText"/>
      </w:pPr>
      <w:r>
        <w:rPr>
          <w:rStyle w:val="FootnoteReference"/>
        </w:rPr>
        <w:footnoteRef/>
      </w:r>
      <w:r>
        <w:t xml:space="preserve"> </w:t>
      </w:r>
      <w:r>
        <w:rPr>
          <w:i/>
        </w:rPr>
        <w:t xml:space="preserve">In re Application of </w:t>
      </w:r>
      <w:r w:rsidR="00156378">
        <w:rPr>
          <w:i/>
        </w:rPr>
        <w:t>Ohio Power Co.</w:t>
      </w:r>
      <w:r w:rsidR="00156378">
        <w:t>, 144 Ohio St.3d 1, 2015-Ohio-2056</w:t>
      </w:r>
      <w:r w:rsidR="00117197">
        <w:t>, at</w:t>
      </w:r>
      <w:r w:rsidR="00156378">
        <w:t xml:space="preserve"> ¶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9F90F" w14:textId="77777777" w:rsidR="00D403CE" w:rsidRDefault="00D40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A6EDE" w14:textId="77777777" w:rsidR="00D403CE" w:rsidRDefault="00D403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520" w14:textId="77777777" w:rsidR="00D403CE" w:rsidRDefault="00D403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2677" w14:textId="77777777" w:rsidR="00CA3499" w:rsidRDefault="00CA34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F4A4" w14:textId="77777777" w:rsidR="00CA3499" w:rsidRDefault="00CA34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A7A3B" w14:textId="77777777" w:rsidR="00CA3499" w:rsidRDefault="00CA3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E6D9C"/>
    <w:multiLevelType w:val="multilevel"/>
    <w:tmpl w:val="195E8E4A"/>
    <w:name w:val="IEU BASIC PLEADING-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66"/>
    <w:rsid w:val="00000300"/>
    <w:rsid w:val="00012A01"/>
    <w:rsid w:val="00024AFD"/>
    <w:rsid w:val="00040366"/>
    <w:rsid w:val="0005366A"/>
    <w:rsid w:val="000577EF"/>
    <w:rsid w:val="00082CAF"/>
    <w:rsid w:val="000A293F"/>
    <w:rsid w:val="000D2B99"/>
    <w:rsid w:val="000F6344"/>
    <w:rsid w:val="0010331D"/>
    <w:rsid w:val="00104A0E"/>
    <w:rsid w:val="00116638"/>
    <w:rsid w:val="00117197"/>
    <w:rsid w:val="00127FDA"/>
    <w:rsid w:val="00153485"/>
    <w:rsid w:val="00156378"/>
    <w:rsid w:val="00163E89"/>
    <w:rsid w:val="001652A8"/>
    <w:rsid w:val="001A47EE"/>
    <w:rsid w:val="001A48EA"/>
    <w:rsid w:val="001B5E2E"/>
    <w:rsid w:val="001B645C"/>
    <w:rsid w:val="001C4310"/>
    <w:rsid w:val="001F4A90"/>
    <w:rsid w:val="001F6600"/>
    <w:rsid w:val="002072D7"/>
    <w:rsid w:val="00212B77"/>
    <w:rsid w:val="00217E3F"/>
    <w:rsid w:val="002367DE"/>
    <w:rsid w:val="00242436"/>
    <w:rsid w:val="00256C57"/>
    <w:rsid w:val="00266EC7"/>
    <w:rsid w:val="0028573F"/>
    <w:rsid w:val="002B0B17"/>
    <w:rsid w:val="002B3929"/>
    <w:rsid w:val="002C1B1A"/>
    <w:rsid w:val="002E35E5"/>
    <w:rsid w:val="002E5D5C"/>
    <w:rsid w:val="00302FF6"/>
    <w:rsid w:val="0031470C"/>
    <w:rsid w:val="003226AD"/>
    <w:rsid w:val="003369FD"/>
    <w:rsid w:val="00347DE4"/>
    <w:rsid w:val="00352D7D"/>
    <w:rsid w:val="003736DD"/>
    <w:rsid w:val="00375CE4"/>
    <w:rsid w:val="00376C7D"/>
    <w:rsid w:val="003A5645"/>
    <w:rsid w:val="003D2728"/>
    <w:rsid w:val="003E6425"/>
    <w:rsid w:val="003F4550"/>
    <w:rsid w:val="0040194E"/>
    <w:rsid w:val="00416B16"/>
    <w:rsid w:val="00427200"/>
    <w:rsid w:val="00432E71"/>
    <w:rsid w:val="004372E2"/>
    <w:rsid w:val="004467A8"/>
    <w:rsid w:val="00450088"/>
    <w:rsid w:val="00453B49"/>
    <w:rsid w:val="00482F9B"/>
    <w:rsid w:val="00486A23"/>
    <w:rsid w:val="0049700B"/>
    <w:rsid w:val="004A1E70"/>
    <w:rsid w:val="004B273F"/>
    <w:rsid w:val="004B5666"/>
    <w:rsid w:val="004C4BF4"/>
    <w:rsid w:val="004E7496"/>
    <w:rsid w:val="004F59D6"/>
    <w:rsid w:val="005307A6"/>
    <w:rsid w:val="00557D00"/>
    <w:rsid w:val="005656AB"/>
    <w:rsid w:val="005A6F70"/>
    <w:rsid w:val="005D73F6"/>
    <w:rsid w:val="005E2053"/>
    <w:rsid w:val="00606EDA"/>
    <w:rsid w:val="00607D25"/>
    <w:rsid w:val="00612E1D"/>
    <w:rsid w:val="00637B29"/>
    <w:rsid w:val="006522E6"/>
    <w:rsid w:val="006722E7"/>
    <w:rsid w:val="00685FF0"/>
    <w:rsid w:val="0069250C"/>
    <w:rsid w:val="006A479D"/>
    <w:rsid w:val="006F12AE"/>
    <w:rsid w:val="006F5EAE"/>
    <w:rsid w:val="007210E2"/>
    <w:rsid w:val="007346EB"/>
    <w:rsid w:val="007561B7"/>
    <w:rsid w:val="00774A19"/>
    <w:rsid w:val="007825BA"/>
    <w:rsid w:val="0078726D"/>
    <w:rsid w:val="00792A12"/>
    <w:rsid w:val="007A289A"/>
    <w:rsid w:val="007A4AA5"/>
    <w:rsid w:val="007B2A83"/>
    <w:rsid w:val="007D1BD8"/>
    <w:rsid w:val="007F2BC1"/>
    <w:rsid w:val="008109DD"/>
    <w:rsid w:val="00816711"/>
    <w:rsid w:val="00833D25"/>
    <w:rsid w:val="008347D1"/>
    <w:rsid w:val="00836D49"/>
    <w:rsid w:val="00844381"/>
    <w:rsid w:val="008501D3"/>
    <w:rsid w:val="008607A4"/>
    <w:rsid w:val="008643FC"/>
    <w:rsid w:val="00871196"/>
    <w:rsid w:val="00891B53"/>
    <w:rsid w:val="0089597C"/>
    <w:rsid w:val="00896C09"/>
    <w:rsid w:val="008C20C3"/>
    <w:rsid w:val="008E3BF4"/>
    <w:rsid w:val="00942894"/>
    <w:rsid w:val="0094765F"/>
    <w:rsid w:val="00973520"/>
    <w:rsid w:val="0099552C"/>
    <w:rsid w:val="009975D4"/>
    <w:rsid w:val="009A3ED7"/>
    <w:rsid w:val="009A51CE"/>
    <w:rsid w:val="009C66BE"/>
    <w:rsid w:val="009E1A64"/>
    <w:rsid w:val="009E2022"/>
    <w:rsid w:val="00A13611"/>
    <w:rsid w:val="00A20251"/>
    <w:rsid w:val="00A31C44"/>
    <w:rsid w:val="00A369C1"/>
    <w:rsid w:val="00A704F5"/>
    <w:rsid w:val="00A70F6B"/>
    <w:rsid w:val="00A74182"/>
    <w:rsid w:val="00A83186"/>
    <w:rsid w:val="00A837F8"/>
    <w:rsid w:val="00A8449A"/>
    <w:rsid w:val="00A849F1"/>
    <w:rsid w:val="00AA5A69"/>
    <w:rsid w:val="00AB3AD9"/>
    <w:rsid w:val="00AB4D59"/>
    <w:rsid w:val="00AC39FC"/>
    <w:rsid w:val="00AE7FD0"/>
    <w:rsid w:val="00AF24C7"/>
    <w:rsid w:val="00AF51D6"/>
    <w:rsid w:val="00AF6536"/>
    <w:rsid w:val="00B02EF3"/>
    <w:rsid w:val="00B0300F"/>
    <w:rsid w:val="00B03D2F"/>
    <w:rsid w:val="00B07483"/>
    <w:rsid w:val="00B1116D"/>
    <w:rsid w:val="00B130D0"/>
    <w:rsid w:val="00B34738"/>
    <w:rsid w:val="00B52ED7"/>
    <w:rsid w:val="00B53D16"/>
    <w:rsid w:val="00B76527"/>
    <w:rsid w:val="00B801AB"/>
    <w:rsid w:val="00B94CD9"/>
    <w:rsid w:val="00BA57D2"/>
    <w:rsid w:val="00BD7798"/>
    <w:rsid w:val="00C0116B"/>
    <w:rsid w:val="00C02BD1"/>
    <w:rsid w:val="00C0405A"/>
    <w:rsid w:val="00C04C9E"/>
    <w:rsid w:val="00C149DD"/>
    <w:rsid w:val="00C63FF1"/>
    <w:rsid w:val="00C74DE4"/>
    <w:rsid w:val="00C75E11"/>
    <w:rsid w:val="00C909CD"/>
    <w:rsid w:val="00CA3499"/>
    <w:rsid w:val="00CB3417"/>
    <w:rsid w:val="00CB7463"/>
    <w:rsid w:val="00CC5D1B"/>
    <w:rsid w:val="00CD17E9"/>
    <w:rsid w:val="00CF2745"/>
    <w:rsid w:val="00CF5BAB"/>
    <w:rsid w:val="00D14184"/>
    <w:rsid w:val="00D159B9"/>
    <w:rsid w:val="00D26D10"/>
    <w:rsid w:val="00D403CE"/>
    <w:rsid w:val="00D47FFE"/>
    <w:rsid w:val="00D5357A"/>
    <w:rsid w:val="00D577A7"/>
    <w:rsid w:val="00D733D0"/>
    <w:rsid w:val="00D80F4C"/>
    <w:rsid w:val="00D82D98"/>
    <w:rsid w:val="00DA53DB"/>
    <w:rsid w:val="00DC3093"/>
    <w:rsid w:val="00DD4742"/>
    <w:rsid w:val="00E01D94"/>
    <w:rsid w:val="00E13FFE"/>
    <w:rsid w:val="00E235E9"/>
    <w:rsid w:val="00E429B3"/>
    <w:rsid w:val="00E43014"/>
    <w:rsid w:val="00E52B33"/>
    <w:rsid w:val="00E54A15"/>
    <w:rsid w:val="00E8483A"/>
    <w:rsid w:val="00E86EE7"/>
    <w:rsid w:val="00EB70A2"/>
    <w:rsid w:val="00EB7181"/>
    <w:rsid w:val="00EC0705"/>
    <w:rsid w:val="00EC36C9"/>
    <w:rsid w:val="00F04F85"/>
    <w:rsid w:val="00F07B45"/>
    <w:rsid w:val="00F1012E"/>
    <w:rsid w:val="00F10368"/>
    <w:rsid w:val="00F140C7"/>
    <w:rsid w:val="00F25364"/>
    <w:rsid w:val="00F26520"/>
    <w:rsid w:val="00F27E2D"/>
    <w:rsid w:val="00F42B4E"/>
    <w:rsid w:val="00F463DF"/>
    <w:rsid w:val="00F46D9F"/>
    <w:rsid w:val="00F54F0C"/>
    <w:rsid w:val="00F70C20"/>
    <w:rsid w:val="00F71AC8"/>
    <w:rsid w:val="00FB6B52"/>
    <w:rsid w:val="00FC19D0"/>
    <w:rsid w:val="00FC6E1A"/>
    <w:rsid w:val="00FD3BBA"/>
    <w:rsid w:val="00FE68B7"/>
    <w:rsid w:val="00FE69D3"/>
    <w:rsid w:val="00FF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188E077"/>
  <w15:chartTrackingRefBased/>
  <w15:docId w15:val="{0AAC2F01-4789-483F-B11B-EAE67D57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014"/>
    <w:pPr>
      <w:spacing w:line="480" w:lineRule="auto"/>
    </w:pPr>
  </w:style>
  <w:style w:type="paragraph" w:styleId="Heading1">
    <w:name w:val="heading 1"/>
    <w:basedOn w:val="Normal"/>
    <w:next w:val="Normal"/>
    <w:link w:val="Heading1Char"/>
    <w:uiPriority w:val="9"/>
    <w:qFormat/>
    <w:rsid w:val="003369FD"/>
    <w:pPr>
      <w:numPr>
        <w:numId w:val="1"/>
      </w:numPr>
      <w:spacing w:before="180" w:after="240" w:line="240" w:lineRule="auto"/>
      <w:jc w:val="both"/>
      <w:outlineLvl w:val="0"/>
    </w:pPr>
    <w:rPr>
      <w:rFonts w:eastAsiaTheme="majorEastAsia"/>
      <w:b/>
      <w:caps/>
      <w:szCs w:val="32"/>
      <w:u w:val="single"/>
    </w:rPr>
  </w:style>
  <w:style w:type="paragraph" w:styleId="Heading2">
    <w:name w:val="heading 2"/>
    <w:basedOn w:val="Normal"/>
    <w:next w:val="Normal"/>
    <w:link w:val="Heading2Char"/>
    <w:uiPriority w:val="9"/>
    <w:unhideWhenUsed/>
    <w:qFormat/>
    <w:rsid w:val="003369FD"/>
    <w:pPr>
      <w:numPr>
        <w:ilvl w:val="1"/>
        <w:numId w:val="1"/>
      </w:numPr>
      <w:tabs>
        <w:tab w:val="left" w:pos="1440"/>
      </w:tabs>
      <w:spacing w:after="240" w:line="240" w:lineRule="auto"/>
      <w:jc w:val="both"/>
      <w:outlineLvl w:val="1"/>
    </w:pPr>
    <w:rPr>
      <w:rFonts w:eastAsiaTheme="majorEastAsia"/>
      <w:b/>
      <w:szCs w:val="26"/>
    </w:rPr>
  </w:style>
  <w:style w:type="paragraph" w:styleId="Heading3">
    <w:name w:val="heading 3"/>
    <w:basedOn w:val="Normal"/>
    <w:next w:val="Normal"/>
    <w:link w:val="Heading3Char"/>
    <w:uiPriority w:val="9"/>
    <w:semiHidden/>
    <w:unhideWhenUsed/>
    <w:qFormat/>
    <w:rsid w:val="003369FD"/>
    <w:pPr>
      <w:numPr>
        <w:ilvl w:val="2"/>
        <w:numId w:val="1"/>
      </w:numPr>
      <w:tabs>
        <w:tab w:val="left" w:pos="2160"/>
      </w:tabs>
      <w:spacing w:after="240" w:line="240" w:lineRule="auto"/>
      <w:jc w:val="both"/>
      <w:outlineLvl w:val="2"/>
    </w:pPr>
    <w:rPr>
      <w:rFonts w:eastAsiaTheme="majorEastAsia"/>
      <w:b/>
      <w:szCs w:val="24"/>
    </w:rPr>
  </w:style>
  <w:style w:type="paragraph" w:styleId="Heading4">
    <w:name w:val="heading 4"/>
    <w:basedOn w:val="Normal"/>
    <w:next w:val="Normal"/>
    <w:link w:val="Heading4Char"/>
    <w:uiPriority w:val="9"/>
    <w:semiHidden/>
    <w:unhideWhenUsed/>
    <w:qFormat/>
    <w:rsid w:val="003369FD"/>
    <w:pPr>
      <w:numPr>
        <w:ilvl w:val="3"/>
        <w:numId w:val="1"/>
      </w:numPr>
      <w:tabs>
        <w:tab w:val="left" w:pos="2880"/>
      </w:tabs>
      <w:spacing w:after="240" w:line="240" w:lineRule="auto"/>
      <w:jc w:val="both"/>
      <w:outlineLvl w:val="3"/>
    </w:pPr>
    <w:rPr>
      <w:rFonts w:eastAsiaTheme="majorEastAsia"/>
      <w:b/>
      <w:i/>
      <w:iCs/>
    </w:rPr>
  </w:style>
  <w:style w:type="paragraph" w:styleId="Heading5">
    <w:name w:val="heading 5"/>
    <w:basedOn w:val="Normal"/>
    <w:next w:val="Normal"/>
    <w:link w:val="Heading5Char"/>
    <w:uiPriority w:val="9"/>
    <w:semiHidden/>
    <w:unhideWhenUsed/>
    <w:qFormat/>
    <w:rsid w:val="003369FD"/>
    <w:pPr>
      <w:numPr>
        <w:ilvl w:val="4"/>
        <w:numId w:val="1"/>
      </w:numPr>
      <w:tabs>
        <w:tab w:val="left" w:pos="3600"/>
      </w:tabs>
      <w:spacing w:after="240" w:line="240" w:lineRule="auto"/>
      <w:jc w:val="both"/>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3369FD"/>
    <w:pPr>
      <w:numPr>
        <w:ilvl w:val="5"/>
        <w:numId w:val="1"/>
      </w:numPr>
      <w:tabs>
        <w:tab w:val="left" w:pos="4320"/>
      </w:tabs>
      <w:spacing w:after="240" w:line="240" w:lineRule="auto"/>
      <w:jc w:val="both"/>
      <w:outlineLvl w:val="5"/>
    </w:pPr>
    <w:rPr>
      <w:rFonts w:eastAsiaTheme="majorEastAsia"/>
      <w:color w:val="243F60" w:themeColor="accent1" w:themeShade="7F"/>
    </w:rPr>
  </w:style>
  <w:style w:type="paragraph" w:styleId="Heading7">
    <w:name w:val="heading 7"/>
    <w:basedOn w:val="Normal"/>
    <w:next w:val="Normal"/>
    <w:link w:val="Heading7Char"/>
    <w:uiPriority w:val="9"/>
    <w:semiHidden/>
    <w:unhideWhenUsed/>
    <w:qFormat/>
    <w:rsid w:val="003369FD"/>
    <w:pPr>
      <w:numPr>
        <w:ilvl w:val="6"/>
        <w:numId w:val="1"/>
      </w:numPr>
      <w:tabs>
        <w:tab w:val="left" w:pos="5040"/>
      </w:tabs>
      <w:spacing w:after="240" w:line="240" w:lineRule="auto"/>
      <w:jc w:val="both"/>
      <w:outlineLvl w:val="6"/>
    </w:pPr>
    <w:rPr>
      <w:rFonts w:eastAsiaTheme="majorEastAsia"/>
      <w:iCs/>
      <w:color w:val="404040" w:themeColor="text1" w:themeTint="BF"/>
    </w:rPr>
  </w:style>
  <w:style w:type="paragraph" w:styleId="Heading8">
    <w:name w:val="heading 8"/>
    <w:basedOn w:val="Normal"/>
    <w:next w:val="Normal"/>
    <w:link w:val="Heading8Char"/>
    <w:uiPriority w:val="9"/>
    <w:semiHidden/>
    <w:unhideWhenUsed/>
    <w:qFormat/>
    <w:rsid w:val="003369FD"/>
    <w:pPr>
      <w:numPr>
        <w:ilvl w:val="7"/>
        <w:numId w:val="1"/>
      </w:numPr>
      <w:tabs>
        <w:tab w:val="left" w:pos="5760"/>
      </w:tabs>
      <w:spacing w:after="240" w:line="240" w:lineRule="auto"/>
      <w:jc w:val="both"/>
      <w:outlineLvl w:val="7"/>
    </w:pPr>
    <w:rPr>
      <w:rFonts w:eastAsiaTheme="majorEastAsia"/>
      <w:color w:val="404040" w:themeColor="text1" w:themeTint="BF"/>
      <w:szCs w:val="21"/>
    </w:rPr>
  </w:style>
  <w:style w:type="paragraph" w:styleId="Heading9">
    <w:name w:val="heading 9"/>
    <w:basedOn w:val="Normal"/>
    <w:next w:val="Normal"/>
    <w:link w:val="Heading9Char"/>
    <w:uiPriority w:val="9"/>
    <w:semiHidden/>
    <w:unhideWhenUsed/>
    <w:qFormat/>
    <w:rsid w:val="003369FD"/>
    <w:pPr>
      <w:numPr>
        <w:ilvl w:val="8"/>
        <w:numId w:val="1"/>
      </w:numPr>
      <w:tabs>
        <w:tab w:val="left" w:pos="6480"/>
      </w:tabs>
      <w:spacing w:after="240" w:line="240" w:lineRule="auto"/>
      <w:jc w:val="both"/>
      <w:outlineLvl w:val="8"/>
    </w:pPr>
    <w:rPr>
      <w:rFonts w:eastAsiaTheme="majorEastAsia"/>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499"/>
    <w:pPr>
      <w:tabs>
        <w:tab w:val="center" w:pos="4680"/>
        <w:tab w:val="right" w:pos="9360"/>
      </w:tabs>
    </w:pPr>
  </w:style>
  <w:style w:type="character" w:customStyle="1" w:styleId="HeaderChar">
    <w:name w:val="Header Char"/>
    <w:basedOn w:val="DefaultParagraphFont"/>
    <w:link w:val="Header"/>
    <w:uiPriority w:val="99"/>
    <w:rsid w:val="00CA3499"/>
  </w:style>
  <w:style w:type="paragraph" w:styleId="Footer">
    <w:name w:val="footer"/>
    <w:basedOn w:val="Normal"/>
    <w:link w:val="FooterChar"/>
    <w:uiPriority w:val="99"/>
    <w:unhideWhenUsed/>
    <w:rsid w:val="00CA3499"/>
    <w:pPr>
      <w:tabs>
        <w:tab w:val="center" w:pos="4680"/>
        <w:tab w:val="right" w:pos="9360"/>
      </w:tabs>
    </w:pPr>
  </w:style>
  <w:style w:type="character" w:customStyle="1" w:styleId="FooterChar">
    <w:name w:val="Footer Char"/>
    <w:basedOn w:val="DefaultParagraphFont"/>
    <w:link w:val="Footer"/>
    <w:uiPriority w:val="99"/>
    <w:rsid w:val="00CA3499"/>
  </w:style>
  <w:style w:type="paragraph" w:styleId="FootnoteText">
    <w:name w:val="footnote text"/>
    <w:basedOn w:val="Normal"/>
    <w:link w:val="FootnoteTextChar"/>
    <w:uiPriority w:val="99"/>
    <w:unhideWhenUsed/>
    <w:rsid w:val="005A6F70"/>
    <w:pPr>
      <w:spacing w:after="120" w:line="240" w:lineRule="auto"/>
      <w:jc w:val="both"/>
    </w:pPr>
    <w:rPr>
      <w:sz w:val="20"/>
      <w:szCs w:val="20"/>
    </w:rPr>
  </w:style>
  <w:style w:type="character" w:customStyle="1" w:styleId="FootnoteTextChar">
    <w:name w:val="Footnote Text Char"/>
    <w:basedOn w:val="DefaultParagraphFont"/>
    <w:link w:val="FootnoteText"/>
    <w:uiPriority w:val="99"/>
    <w:rsid w:val="005A6F70"/>
    <w:rPr>
      <w:sz w:val="20"/>
      <w:szCs w:val="20"/>
    </w:rPr>
  </w:style>
  <w:style w:type="character" w:styleId="FootnoteReference">
    <w:name w:val="footnote reference"/>
    <w:basedOn w:val="DefaultParagraphFont"/>
    <w:uiPriority w:val="99"/>
    <w:semiHidden/>
    <w:unhideWhenUsed/>
    <w:rsid w:val="005A6F70"/>
    <w:rPr>
      <w:vertAlign w:val="superscript"/>
    </w:rPr>
  </w:style>
  <w:style w:type="paragraph" w:styleId="BalloonText">
    <w:name w:val="Balloon Text"/>
    <w:basedOn w:val="Normal"/>
    <w:link w:val="BalloonTextChar"/>
    <w:uiPriority w:val="99"/>
    <w:semiHidden/>
    <w:unhideWhenUsed/>
    <w:rsid w:val="006925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0C"/>
    <w:rPr>
      <w:rFonts w:ascii="Segoe UI" w:hAnsi="Segoe UI" w:cs="Segoe UI"/>
      <w:sz w:val="18"/>
      <w:szCs w:val="18"/>
    </w:rPr>
  </w:style>
  <w:style w:type="character" w:styleId="PageNumber">
    <w:name w:val="page number"/>
    <w:basedOn w:val="DefaultParagraphFont"/>
    <w:rsid w:val="00F27E2D"/>
  </w:style>
  <w:style w:type="character" w:customStyle="1" w:styleId="Heading1Char">
    <w:name w:val="Heading 1 Char"/>
    <w:basedOn w:val="DefaultParagraphFont"/>
    <w:link w:val="Heading1"/>
    <w:uiPriority w:val="9"/>
    <w:rsid w:val="003369FD"/>
    <w:rPr>
      <w:rFonts w:eastAsiaTheme="majorEastAsia"/>
      <w:b/>
      <w:caps/>
      <w:szCs w:val="32"/>
      <w:u w:val="single"/>
    </w:rPr>
  </w:style>
  <w:style w:type="character" w:customStyle="1" w:styleId="Heading2Char">
    <w:name w:val="Heading 2 Char"/>
    <w:basedOn w:val="DefaultParagraphFont"/>
    <w:link w:val="Heading2"/>
    <w:uiPriority w:val="9"/>
    <w:rsid w:val="003369FD"/>
    <w:rPr>
      <w:rFonts w:eastAsiaTheme="majorEastAsia"/>
      <w:b/>
      <w:szCs w:val="26"/>
    </w:rPr>
  </w:style>
  <w:style w:type="character" w:customStyle="1" w:styleId="Heading3Char">
    <w:name w:val="Heading 3 Char"/>
    <w:basedOn w:val="DefaultParagraphFont"/>
    <w:link w:val="Heading3"/>
    <w:uiPriority w:val="9"/>
    <w:semiHidden/>
    <w:rsid w:val="003369FD"/>
    <w:rPr>
      <w:rFonts w:eastAsiaTheme="majorEastAsia"/>
      <w:b/>
      <w:szCs w:val="24"/>
    </w:rPr>
  </w:style>
  <w:style w:type="character" w:customStyle="1" w:styleId="Heading4Char">
    <w:name w:val="Heading 4 Char"/>
    <w:basedOn w:val="DefaultParagraphFont"/>
    <w:link w:val="Heading4"/>
    <w:uiPriority w:val="9"/>
    <w:semiHidden/>
    <w:rsid w:val="003369FD"/>
    <w:rPr>
      <w:rFonts w:eastAsiaTheme="majorEastAsia"/>
      <w:b/>
      <w:i/>
      <w:iCs/>
    </w:rPr>
  </w:style>
  <w:style w:type="character" w:customStyle="1" w:styleId="Heading5Char">
    <w:name w:val="Heading 5 Char"/>
    <w:basedOn w:val="DefaultParagraphFont"/>
    <w:link w:val="Heading5"/>
    <w:uiPriority w:val="9"/>
    <w:semiHidden/>
    <w:rsid w:val="003369FD"/>
    <w:rPr>
      <w:rFonts w:eastAsiaTheme="majorEastAsia"/>
      <w:color w:val="243F60" w:themeColor="accent1" w:themeShade="7F"/>
    </w:rPr>
  </w:style>
  <w:style w:type="character" w:customStyle="1" w:styleId="Heading6Char">
    <w:name w:val="Heading 6 Char"/>
    <w:basedOn w:val="DefaultParagraphFont"/>
    <w:link w:val="Heading6"/>
    <w:uiPriority w:val="9"/>
    <w:semiHidden/>
    <w:rsid w:val="003369FD"/>
    <w:rPr>
      <w:rFonts w:eastAsiaTheme="majorEastAsia"/>
      <w:color w:val="243F60" w:themeColor="accent1" w:themeShade="7F"/>
    </w:rPr>
  </w:style>
  <w:style w:type="character" w:customStyle="1" w:styleId="Heading7Char">
    <w:name w:val="Heading 7 Char"/>
    <w:basedOn w:val="DefaultParagraphFont"/>
    <w:link w:val="Heading7"/>
    <w:uiPriority w:val="9"/>
    <w:semiHidden/>
    <w:rsid w:val="003369FD"/>
    <w:rPr>
      <w:rFonts w:eastAsiaTheme="majorEastAsia"/>
      <w:iCs/>
      <w:color w:val="404040" w:themeColor="text1" w:themeTint="BF"/>
    </w:rPr>
  </w:style>
  <w:style w:type="character" w:customStyle="1" w:styleId="Heading8Char">
    <w:name w:val="Heading 8 Char"/>
    <w:basedOn w:val="DefaultParagraphFont"/>
    <w:link w:val="Heading8"/>
    <w:uiPriority w:val="9"/>
    <w:semiHidden/>
    <w:rsid w:val="003369FD"/>
    <w:rPr>
      <w:rFonts w:eastAsiaTheme="majorEastAsia"/>
      <w:color w:val="404040" w:themeColor="text1" w:themeTint="BF"/>
      <w:szCs w:val="21"/>
    </w:rPr>
  </w:style>
  <w:style w:type="character" w:customStyle="1" w:styleId="Heading9Char">
    <w:name w:val="Heading 9 Char"/>
    <w:basedOn w:val="DefaultParagraphFont"/>
    <w:link w:val="Heading9"/>
    <w:uiPriority w:val="9"/>
    <w:semiHidden/>
    <w:rsid w:val="003369FD"/>
    <w:rPr>
      <w:rFonts w:eastAsiaTheme="majorEastAsia"/>
      <w:iCs/>
      <w:color w:val="404040" w:themeColor="text1" w:themeTint="BF"/>
      <w:szCs w:val="21"/>
    </w:rPr>
  </w:style>
  <w:style w:type="paragraph" w:styleId="BodyText">
    <w:name w:val="Body Text"/>
    <w:basedOn w:val="Normal"/>
    <w:link w:val="BodyTextChar"/>
    <w:uiPriority w:val="99"/>
    <w:semiHidden/>
    <w:unhideWhenUsed/>
    <w:rsid w:val="003369FD"/>
    <w:pPr>
      <w:spacing w:after="120"/>
    </w:pPr>
  </w:style>
  <w:style w:type="character" w:customStyle="1" w:styleId="BodyTextChar">
    <w:name w:val="Body Text Char"/>
    <w:basedOn w:val="DefaultParagraphFont"/>
    <w:link w:val="BodyText"/>
    <w:uiPriority w:val="99"/>
    <w:semiHidden/>
    <w:rsid w:val="003369FD"/>
  </w:style>
  <w:style w:type="character" w:styleId="CommentReference">
    <w:name w:val="annotation reference"/>
    <w:basedOn w:val="DefaultParagraphFont"/>
    <w:uiPriority w:val="99"/>
    <w:semiHidden/>
    <w:unhideWhenUsed/>
    <w:rsid w:val="00117197"/>
    <w:rPr>
      <w:sz w:val="16"/>
      <w:szCs w:val="16"/>
    </w:rPr>
  </w:style>
  <w:style w:type="paragraph" w:styleId="CommentText">
    <w:name w:val="annotation text"/>
    <w:basedOn w:val="Normal"/>
    <w:link w:val="CommentTextChar"/>
    <w:uiPriority w:val="99"/>
    <w:semiHidden/>
    <w:unhideWhenUsed/>
    <w:rsid w:val="00117197"/>
    <w:pPr>
      <w:spacing w:line="240" w:lineRule="auto"/>
    </w:pPr>
    <w:rPr>
      <w:sz w:val="20"/>
      <w:szCs w:val="20"/>
    </w:rPr>
  </w:style>
  <w:style w:type="character" w:customStyle="1" w:styleId="CommentTextChar">
    <w:name w:val="Comment Text Char"/>
    <w:basedOn w:val="DefaultParagraphFont"/>
    <w:link w:val="CommentText"/>
    <w:uiPriority w:val="99"/>
    <w:semiHidden/>
    <w:rsid w:val="00117197"/>
    <w:rPr>
      <w:sz w:val="20"/>
      <w:szCs w:val="20"/>
    </w:rPr>
  </w:style>
  <w:style w:type="paragraph" w:styleId="CommentSubject">
    <w:name w:val="annotation subject"/>
    <w:basedOn w:val="CommentText"/>
    <w:next w:val="CommentText"/>
    <w:link w:val="CommentSubjectChar"/>
    <w:uiPriority w:val="99"/>
    <w:semiHidden/>
    <w:unhideWhenUsed/>
    <w:rsid w:val="00117197"/>
    <w:rPr>
      <w:b/>
      <w:bCs/>
    </w:rPr>
  </w:style>
  <w:style w:type="character" w:customStyle="1" w:styleId="CommentSubjectChar">
    <w:name w:val="Comment Subject Char"/>
    <w:basedOn w:val="CommentTextChar"/>
    <w:link w:val="CommentSubject"/>
    <w:uiPriority w:val="99"/>
    <w:semiHidden/>
    <w:rsid w:val="00117197"/>
    <w:rPr>
      <w:b/>
      <w:bCs/>
      <w:sz w:val="20"/>
      <w:szCs w:val="20"/>
    </w:rPr>
  </w:style>
  <w:style w:type="paragraph" w:styleId="Revision">
    <w:name w:val="Revision"/>
    <w:hidden/>
    <w:uiPriority w:val="99"/>
    <w:semiHidden/>
    <w:rsid w:val="0011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D71F2-369B-4EAD-9DE7-CA41A9DB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2289</Words>
  <Characters>12968</Characters>
  <Application>Microsoft Office Word</Application>
  <DocSecurity>0</DocSecurity>
  <PresentationFormat>15|.DOCX</PresentationFormat>
  <Lines>346</Lines>
  <Paragraphs>159</Paragraphs>
  <ScaleCrop>false</ScaleCrop>
  <HeadingPairs>
    <vt:vector size="2" baseType="variant">
      <vt:variant>
        <vt:lpstr>Title</vt:lpstr>
      </vt:variant>
      <vt:variant>
        <vt:i4>1</vt:i4>
      </vt:variant>
    </vt:vector>
  </HeadingPairs>
  <TitlesOfParts>
    <vt:vector size="1" baseType="lpstr">
      <vt:lpstr>17-1377-EL-USF IEU-Ohio Reply Brief (C0104198).DOCX</vt:lpstr>
    </vt:vector>
  </TitlesOfParts>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17-1377-EL-USF IEU-Ohio Reply Brief (C0104198-1).DOCX</dc:title>
  <dc:subject>C0104198:1</dc:subject>
  <dc:creator>Debbie Ryan</dc:creator>
  <cp:keywords/>
  <dc:description/>
  <cp:lastModifiedBy>Debbie Ryan</cp:lastModifiedBy>
  <cp:revision>2</cp:revision>
  <cp:lastPrinted>2017-09-06T21:41:00Z</cp:lastPrinted>
  <dcterms:created xsi:type="dcterms:W3CDTF">2017-09-08T15:38:00Z</dcterms:created>
  <dcterms:modified xsi:type="dcterms:W3CDTF">2017-09-08T15:38:00Z</dcterms:modified>
</cp:coreProperties>
</file>