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5F" w:rsidRPr="00822A29" w:rsidRDefault="000556C6">
      <w:pPr>
        <w:pStyle w:val="Title"/>
        <w:rPr>
          <w:szCs w:val="32"/>
        </w:rPr>
      </w:pPr>
      <w:bookmarkStart w:id="0" w:name="_GoBack"/>
      <w:bookmarkEnd w:id="0"/>
      <w:r w:rsidRPr="00822A29">
        <w:rPr>
          <w:szCs w:val="32"/>
        </w:rPr>
        <w:t>Before</w:t>
      </w:r>
    </w:p>
    <w:p w:rsidR="0024375F" w:rsidRPr="00822A29" w:rsidRDefault="000556C6">
      <w:pPr>
        <w:jc w:val="center"/>
        <w:rPr>
          <w:rFonts w:ascii="Arial" w:hAnsi="Arial" w:cs="Arial"/>
          <w:b/>
          <w:smallCaps/>
          <w:sz w:val="32"/>
          <w:szCs w:val="32"/>
        </w:rPr>
      </w:pPr>
      <w:r w:rsidRPr="00822A29">
        <w:rPr>
          <w:rFonts w:ascii="Arial" w:hAnsi="Arial" w:cs="Arial"/>
          <w:b/>
          <w:smallCaps/>
          <w:sz w:val="32"/>
          <w:szCs w:val="32"/>
        </w:rPr>
        <w:t>The Public Utilities Commission of Ohio</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In the Matter of the Application of Ohio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The Cleveland Electric</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Illuminating Company and The Toledo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for Authority to Provide</w:t>
      </w:r>
      <w:r w:rsidRPr="00670072">
        <w:rPr>
          <w:rFonts w:ascii="Arial" w:eastAsia="Calibri" w:hAnsi="Arial" w:cs="Arial"/>
          <w:sz w:val="24"/>
          <w:szCs w:val="24"/>
        </w:rPr>
        <w:tab/>
        <w:t>)</w:t>
      </w:r>
      <w:r w:rsidRPr="00670072">
        <w:rPr>
          <w:rFonts w:ascii="Arial" w:eastAsia="Calibri" w:hAnsi="Arial" w:cs="Arial"/>
          <w:sz w:val="24"/>
          <w:szCs w:val="24"/>
        </w:rPr>
        <w:tab/>
      </w:r>
      <w:r w:rsidRPr="00670072">
        <w:rPr>
          <w:rFonts w:ascii="Arial" w:eastAsia="Calibri" w:hAnsi="Arial" w:cs="Arial"/>
          <w:sz w:val="24"/>
          <w:szCs w:val="24"/>
        </w:rPr>
        <w:tab/>
        <w:t>Case No. 14-1297-EL-SSO</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For a Standard Service Offer Pursuant to</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R.C. 4928.143 in the Form of an Electric</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Security Plan.</w:t>
      </w:r>
      <w:r w:rsidRPr="00670072">
        <w:rPr>
          <w:rFonts w:ascii="Arial" w:eastAsia="Calibri" w:hAnsi="Arial" w:cs="Arial"/>
          <w:sz w:val="24"/>
          <w:szCs w:val="24"/>
        </w:rPr>
        <w:tab/>
      </w:r>
      <w:r w:rsidRPr="00670072">
        <w:rPr>
          <w:rFonts w:ascii="Arial" w:eastAsia="Calibri" w:hAnsi="Arial" w:cs="Arial"/>
          <w:sz w:val="24"/>
          <w:szCs w:val="24"/>
        </w:rPr>
        <w:tab/>
        <w:t>)</w:t>
      </w:r>
    </w:p>
    <w:p w:rsidR="0024375F" w:rsidRPr="009400C8" w:rsidRDefault="0024375F" w:rsidP="009400C8">
      <w:pPr>
        <w:suppressLineNumbers/>
        <w:tabs>
          <w:tab w:val="left" w:pos="-1080"/>
          <w:tab w:val="left" w:pos="-720"/>
          <w:tab w:val="left" w:pos="4680"/>
          <w:tab w:val="left" w:pos="5580"/>
          <w:tab w:val="left" w:pos="5940"/>
        </w:tabs>
        <w:spacing w:after="0" w:line="240" w:lineRule="auto"/>
        <w:jc w:val="both"/>
        <w:rPr>
          <w:sz w:val="24"/>
          <w:szCs w:val="24"/>
        </w:rPr>
      </w:pPr>
    </w:p>
    <w:p w:rsidR="0024375F" w:rsidRDefault="0024375F">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822A29" w:rsidRPr="00822A29" w:rsidRDefault="00822A29" w:rsidP="00822A29">
      <w:pPr>
        <w:suppressLineNumbers/>
        <w:tabs>
          <w:tab w:val="left" w:pos="-1080"/>
          <w:tab w:val="left" w:pos="-720"/>
          <w:tab w:val="left" w:pos="4680"/>
          <w:tab w:val="left" w:pos="5580"/>
          <w:tab w:val="left" w:pos="5940"/>
        </w:tabs>
        <w:spacing w:after="0" w:line="240" w:lineRule="auto"/>
        <w:jc w:val="center"/>
        <w:rPr>
          <w:rFonts w:ascii="Arial Bold" w:hAnsi="Arial Bold" w:cs="Arial" w:hint="eastAsia"/>
          <w:b/>
          <w:smallCaps/>
          <w:sz w:val="32"/>
          <w:szCs w:val="32"/>
        </w:rPr>
      </w:pPr>
      <w:r>
        <w:rPr>
          <w:rFonts w:ascii="Arial Bold" w:hAnsi="Arial Bold" w:cs="Arial"/>
          <w:b/>
          <w:smallCaps/>
          <w:sz w:val="32"/>
          <w:szCs w:val="32"/>
        </w:rPr>
        <w:t>Direct Testimony o</w:t>
      </w:r>
      <w:r w:rsidRPr="00822A29">
        <w:rPr>
          <w:rFonts w:ascii="Arial Bold" w:hAnsi="Arial Bold" w:cs="Arial"/>
          <w:b/>
          <w:smallCaps/>
          <w:sz w:val="32"/>
          <w:szCs w:val="32"/>
        </w:rPr>
        <w:t>f Kevin M. Murray</w:t>
      </w:r>
    </w:p>
    <w:p w:rsidR="00822A29" w:rsidRPr="00822A29" w:rsidRDefault="00822A29" w:rsidP="00822A29">
      <w:pPr>
        <w:suppressLineNumbers/>
        <w:spacing w:after="0" w:line="240" w:lineRule="auto"/>
        <w:jc w:val="center"/>
        <w:rPr>
          <w:rFonts w:ascii="Arial Bold" w:hAnsi="Arial Bold" w:cs="Arial" w:hint="eastAsia"/>
          <w:b/>
          <w:caps/>
          <w:smallCaps/>
          <w:sz w:val="32"/>
          <w:szCs w:val="32"/>
        </w:rPr>
      </w:pPr>
      <w:r>
        <w:rPr>
          <w:rFonts w:ascii="Arial Bold" w:hAnsi="Arial Bold" w:cs="Arial"/>
          <w:b/>
          <w:smallCaps/>
          <w:sz w:val="32"/>
          <w:szCs w:val="32"/>
        </w:rPr>
        <w:t>o</w:t>
      </w:r>
      <w:r w:rsidRPr="00822A29">
        <w:rPr>
          <w:rFonts w:ascii="Arial Bold" w:hAnsi="Arial Bold" w:cs="Arial"/>
          <w:b/>
          <w:smallCaps/>
          <w:sz w:val="32"/>
          <w:szCs w:val="32"/>
        </w:rPr>
        <w:t xml:space="preserve">n Behalf </w:t>
      </w:r>
      <w:r>
        <w:rPr>
          <w:rFonts w:ascii="Arial Bold" w:hAnsi="Arial Bold" w:cs="Arial"/>
          <w:b/>
          <w:smallCaps/>
          <w:sz w:val="32"/>
          <w:szCs w:val="32"/>
        </w:rPr>
        <w:t>o</w:t>
      </w:r>
      <w:r w:rsidRPr="00822A29">
        <w:rPr>
          <w:rFonts w:ascii="Arial Bold" w:hAnsi="Arial Bold" w:cs="Arial"/>
          <w:b/>
          <w:smallCaps/>
          <w:sz w:val="32"/>
          <w:szCs w:val="32"/>
        </w:rPr>
        <w:t>f Industrial Energy Users-Ohio</w:t>
      </w:r>
    </w:p>
    <w:p w:rsidR="0024375F" w:rsidRDefault="0024375F">
      <w:pPr>
        <w:suppressLineNumbers/>
        <w:pBdr>
          <w:bottom w:val="single" w:sz="18" w:space="1" w:color="auto"/>
        </w:pBdr>
        <w:jc w:val="center"/>
        <w:rPr>
          <w:b/>
        </w:rPr>
      </w:pPr>
    </w:p>
    <w:p w:rsidR="0024375F" w:rsidRDefault="0024375F">
      <w:pPr>
        <w:suppressLineNumbers/>
        <w:tabs>
          <w:tab w:val="left" w:pos="-1080"/>
          <w:tab w:val="left" w:pos="-720"/>
          <w:tab w:val="left" w:pos="4680"/>
          <w:tab w:val="left" w:pos="5580"/>
          <w:tab w:val="left" w:pos="5940"/>
        </w:tabs>
        <w:spacing w:after="0" w:line="240" w:lineRule="auto"/>
        <w:jc w:val="both"/>
        <w:rPr>
          <w:b/>
          <w:bCs/>
        </w:rPr>
      </w:pPr>
    </w:p>
    <w:p w:rsidR="0024375F" w:rsidRDefault="0024375F">
      <w:pPr>
        <w:suppressLineNumbers/>
        <w:spacing w:after="0" w:line="240" w:lineRule="auto"/>
        <w:jc w:val="both"/>
      </w:pPr>
    </w:p>
    <w:p w:rsidR="0024375F" w:rsidRDefault="0024375F">
      <w:pPr>
        <w:suppressLineNumbers/>
        <w:spacing w:after="0" w:line="240" w:lineRule="auto"/>
        <w:jc w:val="both"/>
      </w:pPr>
    </w:p>
    <w:p w:rsidR="00A17363" w:rsidRDefault="00A17363">
      <w:pPr>
        <w:suppressLineNumbers/>
        <w:spacing w:after="0" w:line="240" w:lineRule="auto"/>
        <w:jc w:val="both"/>
      </w:pPr>
    </w:p>
    <w:p w:rsidR="00A17363" w:rsidRDefault="00A17363">
      <w:pPr>
        <w:suppressLineNumbers/>
        <w:spacing w:after="0" w:line="240" w:lineRule="auto"/>
        <w:jc w:val="both"/>
      </w:pPr>
    </w:p>
    <w:p w:rsidR="00A17363" w:rsidRDefault="00A17363">
      <w:pPr>
        <w:suppressLineNumbers/>
        <w:spacing w:after="0" w:line="240" w:lineRule="auto"/>
        <w:jc w:val="both"/>
      </w:pPr>
    </w:p>
    <w:p w:rsidR="00A17363" w:rsidRDefault="00A17363">
      <w:pPr>
        <w:suppressLineNumbers/>
        <w:spacing w:after="0" w:line="240" w:lineRule="auto"/>
        <w:jc w:val="both"/>
      </w:pPr>
    </w:p>
    <w:p w:rsidR="00A17363" w:rsidRDefault="00A17363">
      <w:pPr>
        <w:suppressLineNumbers/>
        <w:spacing w:after="0" w:line="240" w:lineRule="auto"/>
        <w:jc w:val="both"/>
      </w:pPr>
    </w:p>
    <w:p w:rsidR="00A17363" w:rsidRDefault="00A17363">
      <w:pPr>
        <w:suppressLineNumbers/>
        <w:spacing w:after="0" w:line="240" w:lineRule="auto"/>
        <w:jc w:val="both"/>
      </w:pPr>
    </w:p>
    <w:p w:rsidR="00A17363" w:rsidRDefault="00A17363" w:rsidP="00822A29">
      <w:pPr>
        <w:suppressLineNumbers/>
        <w:tabs>
          <w:tab w:val="left" w:pos="2415"/>
        </w:tabs>
        <w:spacing w:after="0" w:line="240" w:lineRule="auto"/>
        <w:jc w:val="both"/>
      </w:pPr>
    </w:p>
    <w:p w:rsidR="00A17363" w:rsidRDefault="00A17363">
      <w:pPr>
        <w:suppressLineNumbers/>
        <w:spacing w:after="0" w:line="240" w:lineRule="auto"/>
        <w:jc w:val="both"/>
      </w:pPr>
    </w:p>
    <w:p w:rsidR="00822A29" w:rsidRDefault="00822A29">
      <w:pPr>
        <w:suppressLineNumbers/>
        <w:spacing w:after="0" w:line="240" w:lineRule="auto"/>
        <w:jc w:val="both"/>
      </w:pPr>
    </w:p>
    <w:p w:rsidR="00822A29" w:rsidRDefault="00822A29">
      <w:pPr>
        <w:suppressLineNumbers/>
        <w:spacing w:after="0" w:line="240" w:lineRule="auto"/>
        <w:jc w:val="both"/>
      </w:pPr>
    </w:p>
    <w:p w:rsidR="00670072" w:rsidRDefault="00670072">
      <w:pPr>
        <w:suppressLineNumbers/>
        <w:spacing w:after="0" w:line="240" w:lineRule="auto"/>
        <w:jc w:val="both"/>
      </w:pPr>
    </w:p>
    <w:p w:rsidR="007F7CCE" w:rsidRDefault="007F7CCE">
      <w:pPr>
        <w:suppressLineNumbers/>
        <w:spacing w:after="0" w:line="240" w:lineRule="auto"/>
        <w:jc w:val="both"/>
      </w:pPr>
    </w:p>
    <w:p w:rsidR="007F7CCE" w:rsidRDefault="007F7CCE">
      <w:pPr>
        <w:suppressLineNumbers/>
        <w:spacing w:after="0" w:line="240" w:lineRule="auto"/>
        <w:jc w:val="both"/>
      </w:pPr>
    </w:p>
    <w:p w:rsidR="00670072" w:rsidRDefault="00670072">
      <w:pPr>
        <w:suppressLineNumbers/>
        <w:spacing w:after="0" w:line="240" w:lineRule="auto"/>
        <w:jc w:val="both"/>
      </w:pPr>
    </w:p>
    <w:p w:rsidR="00670072" w:rsidRDefault="00670072" w:rsidP="00670072">
      <w:pPr>
        <w:widowControl w:val="0"/>
        <w:tabs>
          <w:tab w:val="left" w:pos="4320"/>
        </w:tabs>
        <w:spacing w:after="0" w:line="240" w:lineRule="auto"/>
        <w:ind w:left="4320"/>
        <w:rPr>
          <w:rFonts w:ascii="Arial" w:eastAsia="Calibri" w:hAnsi="Arial" w:cs="Arial"/>
          <w:bCs/>
          <w:sz w:val="24"/>
          <w:szCs w:val="24"/>
        </w:rPr>
      </w:pPr>
      <w:r w:rsidRPr="00670072">
        <w:rPr>
          <w:rFonts w:ascii="Arial" w:eastAsia="Calibri" w:hAnsi="Arial" w:cs="Arial"/>
          <w:bCs/>
          <w:sz w:val="24"/>
          <w:szCs w:val="24"/>
        </w:rPr>
        <w:t xml:space="preserve">Frank P. Darr </w:t>
      </w:r>
      <w:r>
        <w:rPr>
          <w:rFonts w:ascii="Arial" w:eastAsia="Calibri" w:hAnsi="Arial" w:cs="Arial"/>
          <w:bCs/>
          <w:sz w:val="24"/>
          <w:szCs w:val="24"/>
        </w:rPr>
        <w:t>(Counsel of Record)</w:t>
      </w:r>
    </w:p>
    <w:p w:rsidR="00670072" w:rsidRPr="00670072" w:rsidRDefault="00670072" w:rsidP="00670072">
      <w:pPr>
        <w:widowControl w:val="0"/>
        <w:tabs>
          <w:tab w:val="left" w:pos="4320"/>
        </w:tabs>
        <w:spacing w:after="0" w:line="240" w:lineRule="auto"/>
        <w:ind w:left="4320"/>
        <w:rPr>
          <w:rFonts w:ascii="Arial" w:eastAsia="Calibri" w:hAnsi="Arial" w:cs="Arial"/>
          <w:bCs/>
          <w:sz w:val="24"/>
          <w:szCs w:val="24"/>
        </w:rPr>
      </w:pPr>
      <w:r w:rsidRPr="00670072">
        <w:rPr>
          <w:rFonts w:ascii="Arial" w:eastAsia="Calibri" w:hAnsi="Arial" w:cs="Arial"/>
          <w:bCs/>
          <w:sz w:val="24"/>
          <w:szCs w:val="24"/>
        </w:rPr>
        <w:t>(Reg. No. 0025469)</w:t>
      </w:r>
    </w:p>
    <w:p w:rsidR="00670072" w:rsidRPr="00670072" w:rsidRDefault="00670072" w:rsidP="00670072">
      <w:pPr>
        <w:widowControl w:val="0"/>
        <w:tabs>
          <w:tab w:val="left" w:pos="4320"/>
        </w:tabs>
        <w:spacing w:after="0" w:line="240" w:lineRule="auto"/>
        <w:ind w:left="4320"/>
        <w:rPr>
          <w:rFonts w:ascii="Arial" w:eastAsia="Calibri" w:hAnsi="Arial" w:cs="Arial"/>
          <w:b/>
          <w:bCs/>
          <w:sz w:val="24"/>
          <w:szCs w:val="24"/>
        </w:rPr>
      </w:pPr>
      <w:r w:rsidRPr="00670072">
        <w:rPr>
          <w:rFonts w:ascii="Arial" w:eastAsia="Calibri" w:hAnsi="Arial" w:cs="Arial"/>
          <w:bCs/>
          <w:sz w:val="24"/>
          <w:szCs w:val="24"/>
        </w:rPr>
        <w:t>Matthew R. Pritchard (Reg. No. 0088070)</w:t>
      </w:r>
    </w:p>
    <w:p w:rsidR="00670072" w:rsidRPr="00670072" w:rsidRDefault="00670072" w:rsidP="00670072">
      <w:pPr>
        <w:widowControl w:val="0"/>
        <w:tabs>
          <w:tab w:val="left" w:pos="4320"/>
        </w:tabs>
        <w:spacing w:after="0" w:line="240" w:lineRule="auto"/>
        <w:ind w:left="4320"/>
        <w:rPr>
          <w:rFonts w:ascii="Arial" w:eastAsia="Calibri" w:hAnsi="Arial" w:cs="Arial"/>
          <w:b/>
          <w:bCs/>
          <w:smallCaps/>
          <w:sz w:val="24"/>
          <w:szCs w:val="24"/>
        </w:rPr>
      </w:pPr>
      <w:r w:rsidRPr="00670072">
        <w:rPr>
          <w:rFonts w:ascii="Arial" w:eastAsia="Calibri" w:hAnsi="Arial" w:cs="Arial"/>
          <w:bCs/>
          <w:smallCaps/>
          <w:sz w:val="24"/>
          <w:szCs w:val="24"/>
        </w:rPr>
        <w:t>McNees Wallace &amp; Nurick LLC</w:t>
      </w:r>
    </w:p>
    <w:p w:rsidR="00670072" w:rsidRPr="00670072" w:rsidRDefault="00670072" w:rsidP="00670072">
      <w:pPr>
        <w:widowControl w:val="0"/>
        <w:tabs>
          <w:tab w:val="left" w:pos="4320"/>
        </w:tabs>
        <w:spacing w:after="0" w:line="240" w:lineRule="auto"/>
        <w:ind w:left="4320"/>
        <w:rPr>
          <w:rFonts w:ascii="Arial" w:eastAsia="Calibri" w:hAnsi="Arial" w:cs="Arial"/>
          <w:b/>
          <w:bCs/>
          <w:sz w:val="24"/>
          <w:szCs w:val="24"/>
        </w:rPr>
      </w:pPr>
      <w:r w:rsidRPr="00670072">
        <w:rPr>
          <w:rFonts w:ascii="Arial" w:eastAsia="Calibri" w:hAnsi="Arial" w:cs="Arial"/>
          <w:bCs/>
          <w:sz w:val="24"/>
          <w:szCs w:val="24"/>
        </w:rPr>
        <w:t>21 East State Street, 17</w:t>
      </w:r>
      <w:r w:rsidRPr="00670072">
        <w:rPr>
          <w:rFonts w:ascii="Arial" w:eastAsia="Calibri" w:hAnsi="Arial" w:cs="Arial"/>
          <w:bCs/>
          <w:sz w:val="24"/>
          <w:szCs w:val="24"/>
          <w:vertAlign w:val="superscript"/>
        </w:rPr>
        <w:t>TH</w:t>
      </w:r>
      <w:r w:rsidRPr="00670072">
        <w:rPr>
          <w:rFonts w:ascii="Arial" w:eastAsia="Calibri" w:hAnsi="Arial" w:cs="Arial"/>
          <w:bCs/>
          <w:sz w:val="24"/>
          <w:szCs w:val="24"/>
        </w:rPr>
        <w:t xml:space="preserve"> Floor</w:t>
      </w:r>
    </w:p>
    <w:p w:rsidR="00670072" w:rsidRPr="00670072" w:rsidRDefault="00670072" w:rsidP="0067007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ascii="Arial" w:eastAsia="Calibri" w:hAnsi="Arial" w:cs="Arial"/>
          <w:sz w:val="24"/>
          <w:szCs w:val="24"/>
        </w:rPr>
      </w:pPr>
      <w:r w:rsidRPr="00670072">
        <w:rPr>
          <w:rFonts w:ascii="Arial" w:eastAsia="Calibri" w:hAnsi="Arial" w:cs="Arial"/>
          <w:sz w:val="24"/>
          <w:szCs w:val="24"/>
        </w:rPr>
        <w:t>Columbus, OH  43215</w:t>
      </w:r>
    </w:p>
    <w:p w:rsidR="00670072" w:rsidRPr="00670072" w:rsidRDefault="00670072" w:rsidP="0067007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ascii="Arial" w:eastAsia="Calibri" w:hAnsi="Arial" w:cs="Arial"/>
          <w:sz w:val="24"/>
          <w:szCs w:val="24"/>
        </w:rPr>
      </w:pPr>
      <w:r w:rsidRPr="00670072">
        <w:rPr>
          <w:rFonts w:ascii="Arial" w:eastAsia="Calibri" w:hAnsi="Arial" w:cs="Arial"/>
          <w:sz w:val="24"/>
          <w:szCs w:val="24"/>
        </w:rPr>
        <w:t>Telephone:  (614) 469-8000</w:t>
      </w:r>
    </w:p>
    <w:p w:rsidR="00670072" w:rsidRPr="00670072" w:rsidRDefault="00670072" w:rsidP="0067007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ascii="Arial" w:eastAsia="Calibri" w:hAnsi="Arial" w:cs="Arial"/>
          <w:sz w:val="24"/>
          <w:szCs w:val="24"/>
        </w:rPr>
      </w:pPr>
      <w:r w:rsidRPr="00670072">
        <w:rPr>
          <w:rFonts w:ascii="Arial" w:eastAsia="Calibri" w:hAnsi="Arial" w:cs="Arial"/>
          <w:sz w:val="24"/>
          <w:szCs w:val="24"/>
        </w:rPr>
        <w:t>Telecopier:  (614) 469-4653</w:t>
      </w:r>
    </w:p>
    <w:p w:rsidR="00670072" w:rsidRPr="00670072" w:rsidRDefault="00670072" w:rsidP="00670072">
      <w:pPr>
        <w:tabs>
          <w:tab w:val="left" w:pos="-1440"/>
          <w:tab w:val="left" w:pos="-720"/>
          <w:tab w:val="left" w:pos="5040"/>
          <w:tab w:val="center" w:pos="7200"/>
        </w:tabs>
        <w:overflowPunct w:val="0"/>
        <w:autoSpaceDE w:val="0"/>
        <w:autoSpaceDN w:val="0"/>
        <w:adjustRightInd w:val="0"/>
        <w:spacing w:after="0" w:line="240" w:lineRule="auto"/>
        <w:ind w:left="4320"/>
        <w:rPr>
          <w:rFonts w:ascii="Arial" w:eastAsia="Calibri" w:hAnsi="Arial" w:cs="Arial"/>
          <w:color w:val="000000"/>
          <w:sz w:val="24"/>
          <w:szCs w:val="24"/>
        </w:rPr>
      </w:pPr>
      <w:r w:rsidRPr="00670072">
        <w:rPr>
          <w:rFonts w:ascii="Arial" w:eastAsia="Calibri" w:hAnsi="Arial" w:cs="Arial"/>
          <w:sz w:val="24"/>
          <w:szCs w:val="24"/>
        </w:rPr>
        <w:t>fdarr@mwncmh.com</w:t>
      </w:r>
    </w:p>
    <w:p w:rsidR="00670072" w:rsidRPr="00670072" w:rsidRDefault="00670072" w:rsidP="00670072">
      <w:pPr>
        <w:tabs>
          <w:tab w:val="left" w:pos="-1440"/>
          <w:tab w:val="left" w:pos="-720"/>
          <w:tab w:val="left" w:pos="5040"/>
          <w:tab w:val="center" w:pos="7200"/>
        </w:tabs>
        <w:overflowPunct w:val="0"/>
        <w:autoSpaceDE w:val="0"/>
        <w:autoSpaceDN w:val="0"/>
        <w:adjustRightInd w:val="0"/>
        <w:spacing w:after="0" w:line="240" w:lineRule="auto"/>
        <w:ind w:left="4320"/>
        <w:rPr>
          <w:rFonts w:ascii="Arial" w:eastAsia="Calibri" w:hAnsi="Arial" w:cs="Arial"/>
          <w:color w:val="000000"/>
          <w:sz w:val="24"/>
          <w:szCs w:val="24"/>
        </w:rPr>
      </w:pPr>
      <w:r w:rsidRPr="00670072">
        <w:rPr>
          <w:rFonts w:ascii="Arial" w:eastAsia="Calibri" w:hAnsi="Arial" w:cs="Arial"/>
          <w:color w:val="000000"/>
          <w:sz w:val="24"/>
          <w:szCs w:val="24"/>
        </w:rPr>
        <w:t>(willing to accept service by e-mail)</w:t>
      </w:r>
    </w:p>
    <w:p w:rsidR="00670072" w:rsidRPr="00670072" w:rsidRDefault="00670072" w:rsidP="00670072">
      <w:pPr>
        <w:tabs>
          <w:tab w:val="left" w:pos="-1440"/>
          <w:tab w:val="left" w:pos="-720"/>
          <w:tab w:val="left" w:pos="5040"/>
          <w:tab w:val="center" w:pos="7200"/>
        </w:tabs>
        <w:overflowPunct w:val="0"/>
        <w:autoSpaceDE w:val="0"/>
        <w:autoSpaceDN w:val="0"/>
        <w:adjustRightInd w:val="0"/>
        <w:spacing w:after="0" w:line="240" w:lineRule="auto"/>
        <w:ind w:left="4320"/>
        <w:rPr>
          <w:rFonts w:ascii="Arial" w:eastAsia="Calibri" w:hAnsi="Arial" w:cs="Arial"/>
          <w:smallCaps/>
          <w:color w:val="000000"/>
          <w:sz w:val="24"/>
          <w:szCs w:val="24"/>
        </w:rPr>
      </w:pPr>
      <w:r w:rsidRPr="00670072">
        <w:rPr>
          <w:rFonts w:ascii="Arial" w:eastAsia="Calibri" w:hAnsi="Arial" w:cs="Arial"/>
          <w:color w:val="000000"/>
          <w:sz w:val="24"/>
          <w:szCs w:val="24"/>
        </w:rPr>
        <w:t>mpritchard@mwncmh.com</w:t>
      </w:r>
    </w:p>
    <w:p w:rsidR="00670072" w:rsidRPr="00670072" w:rsidRDefault="00670072" w:rsidP="00670072">
      <w:pPr>
        <w:tabs>
          <w:tab w:val="left" w:pos="-1440"/>
          <w:tab w:val="left" w:pos="-720"/>
          <w:tab w:val="left" w:pos="5040"/>
          <w:tab w:val="center" w:pos="7200"/>
        </w:tabs>
        <w:overflowPunct w:val="0"/>
        <w:autoSpaceDE w:val="0"/>
        <w:autoSpaceDN w:val="0"/>
        <w:adjustRightInd w:val="0"/>
        <w:spacing w:after="0" w:line="240" w:lineRule="auto"/>
        <w:ind w:left="4320"/>
        <w:rPr>
          <w:rFonts w:ascii="Arial" w:eastAsia="Calibri" w:hAnsi="Arial" w:cs="Arial"/>
          <w:color w:val="000000"/>
          <w:sz w:val="24"/>
          <w:szCs w:val="24"/>
        </w:rPr>
      </w:pPr>
      <w:r w:rsidRPr="00670072">
        <w:rPr>
          <w:rFonts w:ascii="Arial" w:eastAsia="Calibri" w:hAnsi="Arial" w:cs="Arial"/>
          <w:color w:val="000000"/>
          <w:sz w:val="24"/>
          <w:szCs w:val="24"/>
        </w:rPr>
        <w:t>(willing to accept service by e-mail)</w:t>
      </w:r>
    </w:p>
    <w:p w:rsidR="0024375F" w:rsidRPr="00822A29" w:rsidRDefault="0024375F">
      <w:pPr>
        <w:tabs>
          <w:tab w:val="left" w:pos="-1440"/>
          <w:tab w:val="left" w:pos="-720"/>
          <w:tab w:val="left" w:pos="4320"/>
        </w:tabs>
        <w:spacing w:after="0" w:line="240" w:lineRule="auto"/>
        <w:ind w:left="4320" w:hanging="4320"/>
        <w:jc w:val="both"/>
        <w:rPr>
          <w:rFonts w:ascii="Arial" w:hAnsi="Arial" w:cs="Arial"/>
          <w:b/>
          <w:sz w:val="24"/>
          <w:szCs w:val="24"/>
        </w:rPr>
      </w:pPr>
    </w:p>
    <w:p w:rsidR="00354A99" w:rsidRPr="00822A29" w:rsidRDefault="00F61813">
      <w:pPr>
        <w:tabs>
          <w:tab w:val="left" w:pos="-1440"/>
          <w:tab w:val="left" w:pos="-720"/>
          <w:tab w:val="left" w:pos="4320"/>
        </w:tabs>
        <w:spacing w:after="0" w:line="240" w:lineRule="auto"/>
        <w:ind w:left="4320" w:hanging="4320"/>
        <w:jc w:val="both"/>
        <w:rPr>
          <w:rFonts w:ascii="Arial" w:hAnsi="Arial" w:cs="Arial"/>
          <w:b/>
          <w:sz w:val="24"/>
          <w:szCs w:val="24"/>
        </w:rPr>
      </w:pPr>
      <w:r>
        <w:rPr>
          <w:rFonts w:ascii="Arial" w:hAnsi="Arial" w:cs="Arial"/>
          <w:b/>
          <w:sz w:val="24"/>
          <w:szCs w:val="24"/>
        </w:rPr>
        <w:t>December</w:t>
      </w:r>
      <w:r w:rsidR="00FF0B4C" w:rsidRPr="00822A29">
        <w:rPr>
          <w:rFonts w:ascii="Arial" w:hAnsi="Arial" w:cs="Arial"/>
          <w:b/>
          <w:sz w:val="24"/>
          <w:szCs w:val="24"/>
        </w:rPr>
        <w:t xml:space="preserve"> </w:t>
      </w:r>
      <w:r>
        <w:rPr>
          <w:rFonts w:ascii="Arial" w:hAnsi="Arial" w:cs="Arial"/>
          <w:b/>
          <w:sz w:val="24"/>
          <w:szCs w:val="24"/>
        </w:rPr>
        <w:t>22</w:t>
      </w:r>
      <w:r w:rsidR="00693CC2" w:rsidRPr="00822A29">
        <w:rPr>
          <w:rFonts w:ascii="Arial" w:hAnsi="Arial" w:cs="Arial"/>
          <w:b/>
          <w:sz w:val="24"/>
          <w:szCs w:val="24"/>
        </w:rPr>
        <w:t>, 2014</w:t>
      </w:r>
      <w:r w:rsidR="000556C6" w:rsidRPr="00822A29">
        <w:rPr>
          <w:rFonts w:ascii="Arial" w:hAnsi="Arial" w:cs="Arial"/>
          <w:sz w:val="24"/>
          <w:szCs w:val="24"/>
        </w:rPr>
        <w:tab/>
      </w:r>
      <w:r w:rsidR="000556C6" w:rsidRPr="00822A29">
        <w:rPr>
          <w:rFonts w:ascii="Arial" w:hAnsi="Arial" w:cs="Arial"/>
          <w:b/>
          <w:sz w:val="24"/>
          <w:szCs w:val="24"/>
        </w:rPr>
        <w:t>Attorneys for Industrial Energy Users-Ohio</w:t>
      </w:r>
    </w:p>
    <w:p w:rsidR="00A17363" w:rsidRDefault="00A17363">
      <w:pPr>
        <w:tabs>
          <w:tab w:val="left" w:pos="-1440"/>
          <w:tab w:val="left" w:pos="-720"/>
          <w:tab w:val="left" w:pos="4320"/>
        </w:tabs>
        <w:spacing w:after="0" w:line="240" w:lineRule="auto"/>
        <w:ind w:left="4320" w:hanging="4320"/>
        <w:jc w:val="center"/>
        <w:rPr>
          <w:rFonts w:ascii="Arial" w:hAnsi="Arial" w:cs="Arial"/>
          <w:b/>
          <w:smallCaps/>
          <w:sz w:val="28"/>
          <w:szCs w:val="28"/>
        </w:rPr>
        <w:sectPr w:rsidR="00A17363" w:rsidSect="00822A2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720" w:left="1440" w:header="720" w:footer="720" w:gutter="0"/>
          <w:pgNumType w:fmt="lowerRoman" w:start="1"/>
          <w:cols w:space="720"/>
          <w:titlePg/>
          <w:docGrid w:linePitch="360"/>
        </w:sectPr>
      </w:pPr>
    </w:p>
    <w:p w:rsidR="00822A29" w:rsidRDefault="00822A29">
      <w:pPr>
        <w:tabs>
          <w:tab w:val="left" w:pos="-1440"/>
          <w:tab w:val="left" w:pos="-720"/>
          <w:tab w:val="left" w:pos="4320"/>
        </w:tabs>
        <w:spacing w:after="0" w:line="240" w:lineRule="auto"/>
        <w:ind w:left="4320" w:hanging="4320"/>
        <w:jc w:val="center"/>
        <w:rPr>
          <w:rFonts w:ascii="Arial" w:hAnsi="Arial" w:cs="Arial"/>
          <w:b/>
          <w:smallCaps/>
          <w:sz w:val="28"/>
          <w:szCs w:val="28"/>
        </w:rPr>
        <w:sectPr w:rsidR="00822A29" w:rsidSect="00B62605">
          <w:type w:val="continuous"/>
          <w:pgSz w:w="12240" w:h="15840"/>
          <w:pgMar w:top="1440" w:right="1440" w:bottom="1440" w:left="1440" w:header="720" w:footer="720" w:gutter="0"/>
          <w:pgNumType w:start="1"/>
          <w:cols w:space="720"/>
          <w:docGrid w:linePitch="360"/>
        </w:sectPr>
      </w:pPr>
    </w:p>
    <w:p w:rsidR="0024375F" w:rsidRPr="00822A29" w:rsidRDefault="000556C6">
      <w:pPr>
        <w:tabs>
          <w:tab w:val="left" w:pos="-1440"/>
          <w:tab w:val="left" w:pos="-720"/>
          <w:tab w:val="left" w:pos="4320"/>
        </w:tabs>
        <w:spacing w:after="0" w:line="240" w:lineRule="auto"/>
        <w:ind w:left="4320" w:hanging="4320"/>
        <w:jc w:val="center"/>
        <w:rPr>
          <w:rFonts w:ascii="Arial" w:hAnsi="Arial" w:cs="Arial"/>
          <w:b/>
          <w:sz w:val="32"/>
          <w:szCs w:val="32"/>
        </w:rPr>
      </w:pPr>
      <w:r w:rsidRPr="00822A29">
        <w:rPr>
          <w:rFonts w:ascii="Arial" w:hAnsi="Arial" w:cs="Arial"/>
          <w:b/>
          <w:smallCaps/>
          <w:sz w:val="32"/>
          <w:szCs w:val="32"/>
        </w:rPr>
        <w:lastRenderedPageBreak/>
        <w:t>Before</w:t>
      </w:r>
    </w:p>
    <w:p w:rsidR="0024375F" w:rsidRPr="00822A29" w:rsidRDefault="000556C6">
      <w:pPr>
        <w:pStyle w:val="Subtitle"/>
        <w:suppressLineNumbers/>
        <w:spacing w:line="240" w:lineRule="auto"/>
        <w:rPr>
          <w:i/>
          <w:smallCaps/>
          <w:sz w:val="32"/>
          <w:szCs w:val="32"/>
        </w:rPr>
      </w:pPr>
      <w:r w:rsidRPr="00822A29">
        <w:rPr>
          <w:smallCaps/>
          <w:sz w:val="32"/>
          <w:szCs w:val="32"/>
        </w:rPr>
        <w:t>T</w:t>
      </w:r>
      <w:r w:rsidR="00822A29" w:rsidRPr="00822A29">
        <w:rPr>
          <w:smallCaps/>
          <w:sz w:val="32"/>
          <w:szCs w:val="32"/>
        </w:rPr>
        <w:t>he Public Utilities Commission o</w:t>
      </w:r>
      <w:r w:rsidRPr="00822A29">
        <w:rPr>
          <w:smallCaps/>
          <w:sz w:val="32"/>
          <w:szCs w:val="32"/>
        </w:rPr>
        <w:t>f Ohio</w:t>
      </w:r>
    </w:p>
    <w:p w:rsidR="0024375F" w:rsidRPr="009400C8" w:rsidRDefault="0024375F">
      <w:pPr>
        <w:spacing w:after="0" w:line="240" w:lineRule="auto"/>
        <w:jc w:val="both"/>
        <w:rPr>
          <w:sz w:val="24"/>
          <w:szCs w:val="24"/>
        </w:rPr>
      </w:pP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In the Matter of the Application of Ohio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The Cleveland Electric</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Illuminating Company and The Toledo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for Authority to Provide</w:t>
      </w:r>
      <w:r w:rsidRPr="00670072">
        <w:rPr>
          <w:rFonts w:ascii="Arial" w:eastAsia="Calibri" w:hAnsi="Arial" w:cs="Arial"/>
          <w:sz w:val="24"/>
          <w:szCs w:val="24"/>
        </w:rPr>
        <w:tab/>
        <w:t>)</w:t>
      </w:r>
      <w:r w:rsidRPr="00670072">
        <w:rPr>
          <w:rFonts w:ascii="Arial" w:eastAsia="Calibri" w:hAnsi="Arial" w:cs="Arial"/>
          <w:sz w:val="24"/>
          <w:szCs w:val="24"/>
        </w:rPr>
        <w:tab/>
      </w:r>
      <w:r w:rsidRPr="00670072">
        <w:rPr>
          <w:rFonts w:ascii="Arial" w:eastAsia="Calibri" w:hAnsi="Arial" w:cs="Arial"/>
          <w:sz w:val="24"/>
          <w:szCs w:val="24"/>
        </w:rPr>
        <w:tab/>
        <w:t>Case No. 14-1297-EL-SSO</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For a Standard Service Offer Pursuant to</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R.C. 4928.143 in the Form of an Electric</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Security Plan.</w:t>
      </w:r>
      <w:r w:rsidRPr="00670072">
        <w:rPr>
          <w:rFonts w:ascii="Arial" w:eastAsia="Calibri" w:hAnsi="Arial" w:cs="Arial"/>
          <w:sz w:val="24"/>
          <w:szCs w:val="24"/>
        </w:rPr>
        <w:tab/>
      </w:r>
      <w:r w:rsidRPr="00670072">
        <w:rPr>
          <w:rFonts w:ascii="Arial" w:eastAsia="Calibri" w:hAnsi="Arial" w:cs="Arial"/>
          <w:sz w:val="24"/>
          <w:szCs w:val="24"/>
        </w:rPr>
        <w:tab/>
        <w:t>)</w:t>
      </w:r>
    </w:p>
    <w:p w:rsidR="0024375F" w:rsidRPr="009400C8" w:rsidRDefault="0024375F" w:rsidP="009400C8">
      <w:pPr>
        <w:suppressLineNumbers/>
        <w:tabs>
          <w:tab w:val="left" w:pos="-1080"/>
          <w:tab w:val="left" w:pos="-720"/>
          <w:tab w:val="left" w:pos="4680"/>
          <w:tab w:val="left" w:pos="5580"/>
          <w:tab w:val="left" w:pos="5940"/>
        </w:tabs>
        <w:spacing w:after="0"/>
        <w:jc w:val="both"/>
        <w:rPr>
          <w:sz w:val="24"/>
          <w:szCs w:val="24"/>
        </w:rPr>
      </w:pPr>
    </w:p>
    <w:p w:rsidR="0024375F" w:rsidRDefault="0024375F">
      <w:pPr>
        <w:suppressLineNumbers/>
        <w:pBdr>
          <w:top w:val="single" w:sz="18" w:space="1" w:color="auto"/>
        </w:pBdr>
        <w:tabs>
          <w:tab w:val="left" w:pos="-1080"/>
          <w:tab w:val="left" w:pos="-720"/>
          <w:tab w:val="left" w:pos="4680"/>
          <w:tab w:val="left" w:pos="5580"/>
          <w:tab w:val="left" w:pos="5940"/>
        </w:tabs>
        <w:spacing w:after="0" w:line="240" w:lineRule="auto"/>
        <w:jc w:val="center"/>
      </w:pPr>
    </w:p>
    <w:p w:rsidR="0024375F" w:rsidRPr="00822A29" w:rsidRDefault="00822A29">
      <w:pPr>
        <w:suppressLineNumbers/>
        <w:tabs>
          <w:tab w:val="left" w:pos="-1080"/>
          <w:tab w:val="left" w:pos="-720"/>
          <w:tab w:val="left" w:pos="4680"/>
          <w:tab w:val="left" w:pos="5580"/>
          <w:tab w:val="left" w:pos="5940"/>
        </w:tabs>
        <w:spacing w:after="0" w:line="240" w:lineRule="auto"/>
        <w:jc w:val="center"/>
        <w:rPr>
          <w:rFonts w:ascii="Arial Bold" w:hAnsi="Arial Bold" w:cs="Arial" w:hint="eastAsia"/>
          <w:b/>
          <w:smallCaps/>
          <w:sz w:val="32"/>
          <w:szCs w:val="32"/>
        </w:rPr>
      </w:pPr>
      <w:r>
        <w:rPr>
          <w:rFonts w:ascii="Arial Bold" w:hAnsi="Arial Bold" w:cs="Arial"/>
          <w:b/>
          <w:smallCaps/>
          <w:sz w:val="32"/>
          <w:szCs w:val="32"/>
        </w:rPr>
        <w:t>Direct Testimony o</w:t>
      </w:r>
      <w:r w:rsidRPr="00822A29">
        <w:rPr>
          <w:rFonts w:ascii="Arial Bold" w:hAnsi="Arial Bold" w:cs="Arial"/>
          <w:b/>
          <w:smallCaps/>
          <w:sz w:val="32"/>
          <w:szCs w:val="32"/>
        </w:rPr>
        <w:t>f Kevin M. Murray</w:t>
      </w:r>
    </w:p>
    <w:p w:rsidR="0024375F" w:rsidRPr="00822A29" w:rsidRDefault="00822A29">
      <w:pPr>
        <w:suppressLineNumbers/>
        <w:spacing w:after="0" w:line="240" w:lineRule="auto"/>
        <w:jc w:val="center"/>
        <w:rPr>
          <w:rFonts w:ascii="Arial Bold" w:hAnsi="Arial Bold" w:cs="Arial" w:hint="eastAsia"/>
          <w:b/>
          <w:caps/>
          <w:smallCaps/>
          <w:sz w:val="32"/>
          <w:szCs w:val="32"/>
        </w:rPr>
      </w:pPr>
      <w:r>
        <w:rPr>
          <w:rFonts w:ascii="Arial Bold" w:hAnsi="Arial Bold" w:cs="Arial"/>
          <w:b/>
          <w:smallCaps/>
          <w:sz w:val="32"/>
          <w:szCs w:val="32"/>
        </w:rPr>
        <w:t>o</w:t>
      </w:r>
      <w:r w:rsidRPr="00822A29">
        <w:rPr>
          <w:rFonts w:ascii="Arial Bold" w:hAnsi="Arial Bold" w:cs="Arial"/>
          <w:b/>
          <w:smallCaps/>
          <w:sz w:val="32"/>
          <w:szCs w:val="32"/>
        </w:rPr>
        <w:t xml:space="preserve">n Behalf </w:t>
      </w:r>
      <w:r>
        <w:rPr>
          <w:rFonts w:ascii="Arial Bold" w:hAnsi="Arial Bold" w:cs="Arial"/>
          <w:b/>
          <w:smallCaps/>
          <w:sz w:val="32"/>
          <w:szCs w:val="32"/>
        </w:rPr>
        <w:t>o</w:t>
      </w:r>
      <w:r w:rsidRPr="00822A29">
        <w:rPr>
          <w:rFonts w:ascii="Arial Bold" w:hAnsi="Arial Bold" w:cs="Arial"/>
          <w:b/>
          <w:smallCaps/>
          <w:sz w:val="32"/>
          <w:szCs w:val="32"/>
        </w:rPr>
        <w:t>f Industrial Energy Users-Ohio</w:t>
      </w:r>
    </w:p>
    <w:p w:rsidR="0024375F" w:rsidRDefault="0024375F" w:rsidP="00354A99">
      <w:pPr>
        <w:suppressLineNumbers/>
        <w:pBdr>
          <w:bottom w:val="single" w:sz="18" w:space="1" w:color="auto"/>
        </w:pBdr>
        <w:spacing w:after="0"/>
        <w:jc w:val="center"/>
        <w:rPr>
          <w:b/>
        </w:rPr>
      </w:pPr>
    </w:p>
    <w:p w:rsidR="0024375F" w:rsidRDefault="0024375F" w:rsidP="00354A99">
      <w:pPr>
        <w:suppressLineNumbers/>
        <w:tabs>
          <w:tab w:val="left" w:pos="-1080"/>
          <w:tab w:val="left" w:pos="-720"/>
          <w:tab w:val="left" w:pos="4680"/>
          <w:tab w:val="left" w:pos="5580"/>
          <w:tab w:val="left" w:pos="5940"/>
        </w:tabs>
        <w:spacing w:after="0" w:line="240" w:lineRule="auto"/>
        <w:jc w:val="both"/>
        <w:rPr>
          <w:b/>
          <w:bCs/>
        </w:rPr>
      </w:pPr>
    </w:p>
    <w:p w:rsidR="0024375F" w:rsidRDefault="000556C6">
      <w:pPr>
        <w:pStyle w:val="Title"/>
        <w:suppressLineNumbers/>
        <w:rPr>
          <w:smallCaps w:val="0"/>
          <w:sz w:val="24"/>
        </w:rPr>
      </w:pPr>
      <w:r>
        <w:rPr>
          <w:smallCaps w:val="0"/>
          <w:sz w:val="24"/>
        </w:rPr>
        <w:t>INDEX</w:t>
      </w:r>
    </w:p>
    <w:p w:rsidR="0024375F" w:rsidRDefault="000556C6">
      <w:pPr>
        <w:pStyle w:val="Title"/>
        <w:suppressLineNumbers/>
        <w:jc w:val="right"/>
        <w:rPr>
          <w:sz w:val="24"/>
          <w:u w:val="single"/>
        </w:rPr>
      </w:pPr>
      <w:r>
        <w:rPr>
          <w:sz w:val="24"/>
          <w:u w:val="single"/>
        </w:rPr>
        <w:t>Page No.</w:t>
      </w:r>
    </w:p>
    <w:p w:rsidR="0024375F" w:rsidRDefault="0024375F">
      <w:pPr>
        <w:pStyle w:val="Title"/>
        <w:suppressLineNumbers/>
        <w:jc w:val="both"/>
        <w:rPr>
          <w:sz w:val="24"/>
          <w:u w:val="single"/>
        </w:rPr>
      </w:pPr>
    </w:p>
    <w:p w:rsidR="0024375F" w:rsidRDefault="000556C6">
      <w:pPr>
        <w:pStyle w:val="Title"/>
        <w:suppressLineNumbers/>
        <w:tabs>
          <w:tab w:val="left" w:pos="540"/>
          <w:tab w:val="right" w:leader="dot" w:pos="9180"/>
        </w:tabs>
        <w:ind w:left="720" w:hanging="720"/>
        <w:jc w:val="both"/>
        <w:rPr>
          <w:b w:val="0"/>
          <w:sz w:val="24"/>
        </w:rPr>
      </w:pPr>
      <w:r>
        <w:rPr>
          <w:b w:val="0"/>
          <w:sz w:val="24"/>
        </w:rPr>
        <w:t>I.</w:t>
      </w:r>
      <w:r>
        <w:rPr>
          <w:b w:val="0"/>
          <w:sz w:val="24"/>
        </w:rPr>
        <w:tab/>
        <w:t>INTRODUCTION</w:t>
      </w:r>
      <w:r>
        <w:rPr>
          <w:b w:val="0"/>
          <w:sz w:val="24"/>
        </w:rPr>
        <w:tab/>
        <w:t>1</w:t>
      </w:r>
    </w:p>
    <w:p w:rsidR="00042636" w:rsidRDefault="00042636">
      <w:pPr>
        <w:pStyle w:val="Title"/>
        <w:suppressLineNumbers/>
        <w:tabs>
          <w:tab w:val="left" w:pos="540"/>
          <w:tab w:val="right" w:leader="dot" w:pos="9180"/>
        </w:tabs>
        <w:ind w:left="720" w:hanging="720"/>
        <w:jc w:val="both"/>
        <w:rPr>
          <w:b w:val="0"/>
          <w:sz w:val="24"/>
        </w:rPr>
      </w:pPr>
    </w:p>
    <w:p w:rsidR="00042636" w:rsidRDefault="00042636">
      <w:pPr>
        <w:pStyle w:val="Title"/>
        <w:suppressLineNumbers/>
        <w:tabs>
          <w:tab w:val="left" w:pos="540"/>
          <w:tab w:val="right" w:leader="dot" w:pos="9180"/>
        </w:tabs>
        <w:ind w:left="720" w:hanging="720"/>
        <w:jc w:val="both"/>
        <w:rPr>
          <w:b w:val="0"/>
          <w:sz w:val="24"/>
        </w:rPr>
      </w:pPr>
      <w:r>
        <w:rPr>
          <w:b w:val="0"/>
          <w:sz w:val="24"/>
        </w:rPr>
        <w:t>II.</w:t>
      </w:r>
      <w:r>
        <w:rPr>
          <w:b w:val="0"/>
          <w:sz w:val="24"/>
        </w:rPr>
        <w:tab/>
        <w:t>HISTORY OF THIS PROCEEDING</w:t>
      </w:r>
      <w:r>
        <w:rPr>
          <w:b w:val="0"/>
          <w:sz w:val="24"/>
        </w:rPr>
        <w:tab/>
      </w:r>
      <w:r w:rsidR="007F7CCE">
        <w:rPr>
          <w:b w:val="0"/>
          <w:sz w:val="24"/>
        </w:rPr>
        <w:t>3</w:t>
      </w:r>
    </w:p>
    <w:p w:rsidR="00042636" w:rsidRDefault="00042636">
      <w:pPr>
        <w:pStyle w:val="Title"/>
        <w:suppressLineNumbers/>
        <w:tabs>
          <w:tab w:val="left" w:pos="540"/>
          <w:tab w:val="right" w:leader="dot" w:pos="9180"/>
        </w:tabs>
        <w:ind w:left="720" w:hanging="720"/>
        <w:jc w:val="both"/>
        <w:rPr>
          <w:b w:val="0"/>
          <w:sz w:val="24"/>
        </w:rPr>
      </w:pPr>
    </w:p>
    <w:p w:rsidR="00042636" w:rsidRDefault="007F7CCE">
      <w:pPr>
        <w:pStyle w:val="Title"/>
        <w:suppressLineNumbers/>
        <w:tabs>
          <w:tab w:val="left" w:pos="540"/>
          <w:tab w:val="right" w:leader="dot" w:pos="9180"/>
        </w:tabs>
        <w:ind w:left="720" w:hanging="720"/>
        <w:jc w:val="both"/>
        <w:rPr>
          <w:b w:val="0"/>
          <w:sz w:val="24"/>
        </w:rPr>
      </w:pPr>
      <w:r>
        <w:rPr>
          <w:b w:val="0"/>
          <w:sz w:val="24"/>
        </w:rPr>
        <w:t>III.</w:t>
      </w:r>
      <w:r>
        <w:rPr>
          <w:b w:val="0"/>
          <w:sz w:val="24"/>
        </w:rPr>
        <w:tab/>
        <w:t>ECONOMIC STABILITY PROGRAM</w:t>
      </w:r>
      <w:r w:rsidR="00042636">
        <w:rPr>
          <w:b w:val="0"/>
          <w:sz w:val="24"/>
        </w:rPr>
        <w:tab/>
      </w:r>
      <w:r>
        <w:rPr>
          <w:b w:val="0"/>
          <w:sz w:val="24"/>
        </w:rPr>
        <w:t>4</w:t>
      </w:r>
    </w:p>
    <w:p w:rsidR="00042636" w:rsidRDefault="00042636">
      <w:pPr>
        <w:pStyle w:val="Title"/>
        <w:suppressLineNumbers/>
        <w:tabs>
          <w:tab w:val="left" w:pos="540"/>
          <w:tab w:val="right" w:leader="dot" w:pos="9180"/>
        </w:tabs>
        <w:ind w:left="720" w:hanging="720"/>
        <w:jc w:val="both"/>
        <w:rPr>
          <w:b w:val="0"/>
          <w:sz w:val="24"/>
        </w:rPr>
      </w:pPr>
    </w:p>
    <w:p w:rsidR="00042636" w:rsidRDefault="007F7CCE">
      <w:pPr>
        <w:pStyle w:val="Title"/>
        <w:suppressLineNumbers/>
        <w:tabs>
          <w:tab w:val="left" w:pos="540"/>
          <w:tab w:val="right" w:leader="dot" w:pos="9180"/>
        </w:tabs>
        <w:ind w:left="720" w:hanging="720"/>
        <w:jc w:val="both"/>
        <w:rPr>
          <w:b w:val="0"/>
          <w:sz w:val="24"/>
        </w:rPr>
      </w:pPr>
      <w:r>
        <w:rPr>
          <w:b w:val="0"/>
          <w:sz w:val="24"/>
        </w:rPr>
        <w:t>IV.</w:t>
      </w:r>
      <w:r>
        <w:rPr>
          <w:b w:val="0"/>
          <w:sz w:val="24"/>
        </w:rPr>
        <w:tab/>
        <w:t>RIDER NMB</w:t>
      </w:r>
      <w:r w:rsidR="00042636">
        <w:rPr>
          <w:b w:val="0"/>
          <w:sz w:val="24"/>
        </w:rPr>
        <w:tab/>
      </w:r>
      <w:r w:rsidR="004A6701">
        <w:rPr>
          <w:b w:val="0"/>
          <w:sz w:val="24"/>
        </w:rPr>
        <w:t>13</w:t>
      </w:r>
    </w:p>
    <w:p w:rsidR="00042636" w:rsidRDefault="00042636">
      <w:pPr>
        <w:pStyle w:val="Title"/>
        <w:suppressLineNumbers/>
        <w:tabs>
          <w:tab w:val="left" w:pos="540"/>
          <w:tab w:val="right" w:leader="dot" w:pos="9180"/>
        </w:tabs>
        <w:ind w:left="720" w:hanging="720"/>
        <w:jc w:val="both"/>
        <w:rPr>
          <w:b w:val="0"/>
          <w:sz w:val="24"/>
        </w:rPr>
      </w:pPr>
    </w:p>
    <w:p w:rsidR="00042636" w:rsidRDefault="00042636">
      <w:pPr>
        <w:pStyle w:val="Title"/>
        <w:suppressLineNumbers/>
        <w:tabs>
          <w:tab w:val="left" w:pos="540"/>
          <w:tab w:val="right" w:leader="dot" w:pos="9180"/>
        </w:tabs>
        <w:ind w:left="720" w:hanging="720"/>
        <w:jc w:val="both"/>
        <w:rPr>
          <w:b w:val="0"/>
          <w:sz w:val="24"/>
        </w:rPr>
      </w:pPr>
      <w:r>
        <w:rPr>
          <w:b w:val="0"/>
          <w:sz w:val="24"/>
        </w:rPr>
        <w:t>V.</w:t>
      </w:r>
      <w:r>
        <w:rPr>
          <w:b w:val="0"/>
          <w:sz w:val="24"/>
        </w:rPr>
        <w:tab/>
      </w:r>
      <w:r w:rsidR="007F7CCE">
        <w:rPr>
          <w:b w:val="0"/>
          <w:sz w:val="24"/>
        </w:rPr>
        <w:t>CONCLUSION</w:t>
      </w:r>
      <w:r>
        <w:rPr>
          <w:b w:val="0"/>
          <w:sz w:val="24"/>
        </w:rPr>
        <w:tab/>
      </w:r>
      <w:r w:rsidR="007F7CCE">
        <w:rPr>
          <w:b w:val="0"/>
          <w:sz w:val="24"/>
        </w:rPr>
        <w:t>14</w:t>
      </w:r>
    </w:p>
    <w:p w:rsidR="00042636" w:rsidRDefault="00042636">
      <w:pPr>
        <w:pStyle w:val="Title"/>
        <w:suppressLineNumbers/>
        <w:tabs>
          <w:tab w:val="left" w:pos="540"/>
          <w:tab w:val="right" w:leader="dot" w:pos="9180"/>
        </w:tabs>
        <w:ind w:left="720" w:hanging="720"/>
        <w:jc w:val="both"/>
        <w:rPr>
          <w:b w:val="0"/>
          <w:sz w:val="24"/>
        </w:rPr>
      </w:pPr>
    </w:p>
    <w:p w:rsidR="0024375F" w:rsidRDefault="000556C6">
      <w:pPr>
        <w:pStyle w:val="Title"/>
        <w:suppressLineNumbers/>
        <w:tabs>
          <w:tab w:val="left" w:pos="540"/>
          <w:tab w:val="right" w:leader="dot" w:pos="9180"/>
        </w:tabs>
        <w:jc w:val="both"/>
        <w:rPr>
          <w:b w:val="0"/>
          <w:sz w:val="24"/>
        </w:rPr>
      </w:pPr>
      <w:r>
        <w:rPr>
          <w:b w:val="0"/>
          <w:sz w:val="24"/>
        </w:rPr>
        <w:t>CERTIFICATE OF SERVICE</w:t>
      </w:r>
    </w:p>
    <w:p w:rsidR="0024375F" w:rsidRDefault="0024375F">
      <w:pPr>
        <w:pStyle w:val="Title"/>
        <w:suppressLineNumbers/>
        <w:tabs>
          <w:tab w:val="left" w:pos="540"/>
          <w:tab w:val="right" w:leader="dot" w:pos="9180"/>
        </w:tabs>
        <w:jc w:val="both"/>
        <w:rPr>
          <w:b w:val="0"/>
          <w:sz w:val="24"/>
        </w:rPr>
      </w:pPr>
    </w:p>
    <w:p w:rsidR="0024375F" w:rsidRDefault="007F7CCE">
      <w:pPr>
        <w:pStyle w:val="Title"/>
        <w:suppressLineNumbers/>
        <w:tabs>
          <w:tab w:val="left" w:pos="540"/>
          <w:tab w:val="right" w:leader="dot" w:pos="9180"/>
        </w:tabs>
        <w:jc w:val="both"/>
        <w:rPr>
          <w:b w:val="0"/>
          <w:sz w:val="24"/>
        </w:rPr>
      </w:pPr>
      <w:r>
        <w:rPr>
          <w:b w:val="0"/>
          <w:sz w:val="24"/>
        </w:rPr>
        <w:t>EXHIBIT KMM-1</w:t>
      </w:r>
    </w:p>
    <w:p w:rsidR="0024375F" w:rsidRDefault="0024375F">
      <w:pPr>
        <w:pStyle w:val="Title"/>
        <w:suppressLineNumbers/>
        <w:tabs>
          <w:tab w:val="left" w:pos="540"/>
          <w:tab w:val="right" w:leader="dot" w:pos="9180"/>
        </w:tabs>
        <w:jc w:val="both"/>
        <w:rPr>
          <w:b w:val="0"/>
          <w:sz w:val="24"/>
        </w:rPr>
      </w:pPr>
    </w:p>
    <w:p w:rsidR="0024375F" w:rsidRDefault="0024375F">
      <w:pPr>
        <w:pStyle w:val="Title"/>
        <w:suppressLineNumbers/>
        <w:tabs>
          <w:tab w:val="left" w:pos="540"/>
          <w:tab w:val="right" w:leader="dot" w:pos="9180"/>
        </w:tabs>
        <w:jc w:val="both"/>
        <w:rPr>
          <w:b w:val="0"/>
          <w:sz w:val="24"/>
        </w:rPr>
      </w:pPr>
    </w:p>
    <w:p w:rsidR="0024375F" w:rsidRDefault="0024375F">
      <w:pPr>
        <w:pStyle w:val="Title"/>
        <w:suppressLineNumbers/>
        <w:tabs>
          <w:tab w:val="left" w:pos="540"/>
          <w:tab w:val="right" w:leader="dot" w:pos="9180"/>
        </w:tabs>
        <w:jc w:val="both"/>
        <w:rPr>
          <w:b w:val="0"/>
          <w:sz w:val="24"/>
        </w:rPr>
      </w:pPr>
    </w:p>
    <w:p w:rsidR="00354A99" w:rsidRDefault="00354A99">
      <w:pPr>
        <w:tabs>
          <w:tab w:val="left" w:pos="-1440"/>
          <w:tab w:val="left" w:pos="-720"/>
          <w:tab w:val="left" w:pos="4320"/>
        </w:tabs>
        <w:spacing w:after="0" w:line="240" w:lineRule="auto"/>
        <w:ind w:left="4320" w:hanging="4320"/>
        <w:jc w:val="center"/>
        <w:rPr>
          <w:rFonts w:ascii="Arial" w:hAnsi="Arial" w:cs="Arial"/>
          <w:b/>
          <w:smallCaps/>
          <w:sz w:val="28"/>
          <w:szCs w:val="28"/>
        </w:rPr>
        <w:sectPr w:rsidR="00354A99" w:rsidSect="00822A29">
          <w:pgSz w:w="12240" w:h="15840"/>
          <w:pgMar w:top="1440" w:right="1440" w:bottom="1440" w:left="1440" w:header="720" w:footer="720" w:gutter="0"/>
          <w:pgNumType w:start="1"/>
          <w:cols w:space="720"/>
          <w:docGrid w:linePitch="360"/>
        </w:sectPr>
      </w:pPr>
    </w:p>
    <w:p w:rsidR="0024375F" w:rsidRDefault="000556C6">
      <w:pPr>
        <w:tabs>
          <w:tab w:val="left" w:pos="-1440"/>
          <w:tab w:val="left" w:pos="-720"/>
          <w:tab w:val="left" w:pos="4320"/>
        </w:tabs>
        <w:spacing w:after="0" w:line="240" w:lineRule="auto"/>
        <w:ind w:left="4320" w:hanging="4320"/>
        <w:jc w:val="center"/>
        <w:rPr>
          <w:rFonts w:ascii="Arial" w:hAnsi="Arial" w:cs="Arial"/>
          <w:b/>
        </w:rPr>
      </w:pPr>
      <w:r>
        <w:rPr>
          <w:rFonts w:ascii="Arial" w:hAnsi="Arial" w:cs="Arial"/>
          <w:b/>
          <w:smallCaps/>
          <w:sz w:val="28"/>
          <w:szCs w:val="28"/>
        </w:rPr>
        <w:lastRenderedPageBreak/>
        <w:t>Before</w:t>
      </w:r>
    </w:p>
    <w:p w:rsidR="0024375F" w:rsidRDefault="000556C6">
      <w:pPr>
        <w:pStyle w:val="Subtitle"/>
        <w:suppressLineNumbers/>
        <w:spacing w:line="240" w:lineRule="auto"/>
        <w:rPr>
          <w:smallCaps/>
          <w:sz w:val="28"/>
          <w:szCs w:val="28"/>
        </w:rPr>
      </w:pPr>
      <w:r>
        <w:rPr>
          <w:smallCaps/>
          <w:sz w:val="28"/>
          <w:szCs w:val="28"/>
        </w:rPr>
        <w:t>The Public Utilities Commission Of Ohio</w:t>
      </w:r>
    </w:p>
    <w:p w:rsidR="007C418A" w:rsidRPr="00354A99" w:rsidRDefault="007C418A">
      <w:pPr>
        <w:pStyle w:val="Subtitle"/>
        <w:suppressLineNumbers/>
        <w:spacing w:line="240" w:lineRule="auto"/>
        <w:rPr>
          <w:smallCaps/>
          <w:sz w:val="24"/>
          <w:szCs w:val="24"/>
        </w:rPr>
      </w:pP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In the Matter of the Application of Ohio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The Cleveland Electric</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Illuminating Company and The Toledo</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Edison Company for Authority to Provide</w:t>
      </w:r>
      <w:r w:rsidRPr="00670072">
        <w:rPr>
          <w:rFonts w:ascii="Arial" w:eastAsia="Calibri" w:hAnsi="Arial" w:cs="Arial"/>
          <w:sz w:val="24"/>
          <w:szCs w:val="24"/>
        </w:rPr>
        <w:tab/>
        <w:t>)</w:t>
      </w:r>
      <w:r w:rsidRPr="00670072">
        <w:rPr>
          <w:rFonts w:ascii="Arial" w:eastAsia="Calibri" w:hAnsi="Arial" w:cs="Arial"/>
          <w:sz w:val="24"/>
          <w:szCs w:val="24"/>
        </w:rPr>
        <w:tab/>
      </w:r>
      <w:r w:rsidRPr="00670072">
        <w:rPr>
          <w:rFonts w:ascii="Arial" w:eastAsia="Calibri" w:hAnsi="Arial" w:cs="Arial"/>
          <w:sz w:val="24"/>
          <w:szCs w:val="24"/>
        </w:rPr>
        <w:tab/>
        <w:t>Case No. 14-1297-EL-SSO</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For a Standard Service Offer Pursuant to</w:t>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R.C. 4928.143 in the Form of an Electric</w:t>
      </w:r>
      <w:r w:rsidRPr="00670072">
        <w:rPr>
          <w:rFonts w:ascii="Arial" w:eastAsia="Calibri" w:hAnsi="Arial" w:cs="Arial"/>
          <w:sz w:val="24"/>
          <w:szCs w:val="24"/>
        </w:rPr>
        <w:tab/>
      </w:r>
      <w:r w:rsidRPr="00670072">
        <w:rPr>
          <w:rFonts w:ascii="Arial" w:eastAsia="Calibri" w:hAnsi="Arial" w:cs="Arial"/>
          <w:sz w:val="24"/>
          <w:szCs w:val="24"/>
        </w:rPr>
        <w:tab/>
        <w:t>)</w:t>
      </w:r>
    </w:p>
    <w:p w:rsidR="00670072" w:rsidRPr="00670072" w:rsidRDefault="00670072" w:rsidP="00670072">
      <w:pPr>
        <w:tabs>
          <w:tab w:val="left" w:pos="-1440"/>
          <w:tab w:val="left" w:pos="-720"/>
          <w:tab w:val="left" w:pos="4320"/>
          <w:tab w:val="left" w:pos="4680"/>
        </w:tabs>
        <w:overflowPunct w:val="0"/>
        <w:autoSpaceDE w:val="0"/>
        <w:autoSpaceDN w:val="0"/>
        <w:adjustRightInd w:val="0"/>
        <w:spacing w:after="0" w:line="240" w:lineRule="auto"/>
        <w:rPr>
          <w:rFonts w:ascii="Arial" w:eastAsia="Calibri" w:hAnsi="Arial" w:cs="Arial"/>
          <w:sz w:val="24"/>
          <w:szCs w:val="24"/>
        </w:rPr>
      </w:pPr>
      <w:r w:rsidRPr="00670072">
        <w:rPr>
          <w:rFonts w:ascii="Arial" w:eastAsia="Calibri" w:hAnsi="Arial" w:cs="Arial"/>
          <w:sz w:val="24"/>
          <w:szCs w:val="24"/>
        </w:rPr>
        <w:t>Security Plan.</w:t>
      </w:r>
      <w:r w:rsidRPr="00670072">
        <w:rPr>
          <w:rFonts w:ascii="Arial" w:eastAsia="Calibri" w:hAnsi="Arial" w:cs="Arial"/>
          <w:sz w:val="24"/>
          <w:szCs w:val="24"/>
        </w:rPr>
        <w:tab/>
      </w:r>
      <w:r w:rsidRPr="00670072">
        <w:rPr>
          <w:rFonts w:ascii="Arial" w:eastAsia="Calibri" w:hAnsi="Arial" w:cs="Arial"/>
          <w:sz w:val="24"/>
          <w:szCs w:val="24"/>
        </w:rPr>
        <w:tab/>
        <w:t>)</w:t>
      </w:r>
    </w:p>
    <w:p w:rsidR="0024375F" w:rsidRDefault="0024375F" w:rsidP="00A17363">
      <w:pPr>
        <w:suppressLineNumbers/>
        <w:pBdr>
          <w:bottom w:val="single" w:sz="12" w:space="1" w:color="auto"/>
        </w:pBdr>
        <w:tabs>
          <w:tab w:val="left" w:pos="-1080"/>
          <w:tab w:val="left" w:pos="-720"/>
          <w:tab w:val="left" w:pos="4680"/>
          <w:tab w:val="left" w:pos="5580"/>
          <w:tab w:val="left" w:pos="5940"/>
        </w:tabs>
        <w:spacing w:after="0"/>
        <w:jc w:val="both"/>
      </w:pPr>
    </w:p>
    <w:p w:rsidR="0024375F" w:rsidRPr="00822A29" w:rsidRDefault="0024375F" w:rsidP="00A17363">
      <w:pPr>
        <w:suppressLineNumbers/>
        <w:tabs>
          <w:tab w:val="left" w:pos="-1080"/>
          <w:tab w:val="left" w:pos="-720"/>
          <w:tab w:val="left" w:pos="4680"/>
          <w:tab w:val="left" w:pos="5580"/>
          <w:tab w:val="left" w:pos="5940"/>
        </w:tabs>
        <w:spacing w:after="0" w:line="240" w:lineRule="auto"/>
        <w:jc w:val="center"/>
        <w:rPr>
          <w:sz w:val="14"/>
          <w:szCs w:val="14"/>
        </w:rPr>
      </w:pPr>
    </w:p>
    <w:p w:rsidR="00822A29" w:rsidRPr="00670072" w:rsidRDefault="00822A29" w:rsidP="00822A29">
      <w:pPr>
        <w:suppressLineNumbers/>
        <w:tabs>
          <w:tab w:val="left" w:pos="-1080"/>
          <w:tab w:val="left" w:pos="-720"/>
          <w:tab w:val="left" w:pos="4680"/>
          <w:tab w:val="left" w:pos="5580"/>
          <w:tab w:val="left" w:pos="5940"/>
        </w:tabs>
        <w:spacing w:after="0" w:line="240" w:lineRule="auto"/>
        <w:jc w:val="center"/>
        <w:rPr>
          <w:rFonts w:ascii="Arial Bold" w:hAnsi="Arial Bold" w:cs="Arial" w:hint="eastAsia"/>
          <w:b/>
          <w:smallCaps/>
          <w:sz w:val="24"/>
          <w:szCs w:val="24"/>
        </w:rPr>
      </w:pPr>
      <w:r w:rsidRPr="00670072">
        <w:rPr>
          <w:rFonts w:ascii="Arial Bold" w:hAnsi="Arial Bold" w:cs="Arial"/>
          <w:b/>
          <w:smallCaps/>
          <w:sz w:val="24"/>
          <w:szCs w:val="24"/>
        </w:rPr>
        <w:t>Direct Testimony of Kevin M. Murray</w:t>
      </w:r>
    </w:p>
    <w:p w:rsidR="00822A29" w:rsidRPr="00670072" w:rsidRDefault="00822A29" w:rsidP="00822A29">
      <w:pPr>
        <w:suppressLineNumbers/>
        <w:spacing w:after="0" w:line="240" w:lineRule="auto"/>
        <w:jc w:val="center"/>
        <w:rPr>
          <w:rFonts w:ascii="Arial Bold" w:hAnsi="Arial Bold" w:cs="Arial" w:hint="eastAsia"/>
          <w:b/>
          <w:caps/>
          <w:smallCaps/>
          <w:sz w:val="24"/>
          <w:szCs w:val="24"/>
        </w:rPr>
      </w:pPr>
      <w:r w:rsidRPr="00670072">
        <w:rPr>
          <w:rFonts w:ascii="Arial Bold" w:hAnsi="Arial Bold" w:cs="Arial"/>
          <w:b/>
          <w:smallCaps/>
          <w:sz w:val="24"/>
          <w:szCs w:val="24"/>
        </w:rPr>
        <w:t>on Behalf of Industrial Energy Users-Ohio</w:t>
      </w:r>
    </w:p>
    <w:p w:rsidR="0024375F" w:rsidRPr="00822A29" w:rsidRDefault="0024375F" w:rsidP="00A17363">
      <w:pPr>
        <w:suppressLineNumbers/>
        <w:pBdr>
          <w:bottom w:val="single" w:sz="12" w:space="1" w:color="auto"/>
        </w:pBdr>
        <w:spacing w:after="0"/>
        <w:jc w:val="both"/>
        <w:rPr>
          <w:b/>
          <w:sz w:val="14"/>
          <w:szCs w:val="14"/>
        </w:rPr>
      </w:pPr>
    </w:p>
    <w:p w:rsidR="0024375F" w:rsidRPr="00822A29" w:rsidRDefault="0024375F" w:rsidP="00A17363">
      <w:pPr>
        <w:spacing w:after="0" w:line="480" w:lineRule="auto"/>
        <w:jc w:val="both"/>
        <w:rPr>
          <w:rFonts w:ascii="Arial" w:hAnsi="Arial" w:cs="Arial"/>
          <w:b/>
          <w:sz w:val="14"/>
          <w:szCs w:val="14"/>
        </w:rPr>
        <w:sectPr w:rsidR="0024375F" w:rsidRPr="00822A29" w:rsidSect="0054056D">
          <w:footerReference w:type="default" r:id="rId15"/>
          <w:pgSz w:w="12240" w:h="15840"/>
          <w:pgMar w:top="1440" w:right="1440" w:bottom="1440" w:left="1440" w:header="720" w:footer="720" w:gutter="0"/>
          <w:pgNumType w:start="1"/>
          <w:cols w:space="720"/>
          <w:titlePg/>
          <w:docGrid w:linePitch="360"/>
        </w:sectPr>
      </w:pPr>
    </w:p>
    <w:p w:rsidR="0024375F" w:rsidRDefault="000556C6" w:rsidP="00354A99">
      <w:pPr>
        <w:spacing w:before="480" w:after="0" w:line="480" w:lineRule="auto"/>
        <w:jc w:val="both"/>
        <w:rPr>
          <w:rFonts w:ascii="Arial" w:hAnsi="Arial" w:cs="Arial"/>
          <w:b/>
          <w:sz w:val="24"/>
          <w:szCs w:val="24"/>
        </w:rPr>
      </w:pPr>
      <w:r>
        <w:rPr>
          <w:rFonts w:ascii="Arial" w:hAnsi="Arial" w:cs="Arial"/>
          <w:b/>
          <w:sz w:val="24"/>
          <w:szCs w:val="24"/>
        </w:rPr>
        <w:lastRenderedPageBreak/>
        <w:t>I.</w:t>
      </w:r>
      <w:r>
        <w:rPr>
          <w:rFonts w:ascii="Arial" w:hAnsi="Arial" w:cs="Arial"/>
          <w:b/>
          <w:sz w:val="24"/>
          <w:szCs w:val="24"/>
        </w:rPr>
        <w:tab/>
        <w:t>INTRODUCTION</w:t>
      </w:r>
    </w:p>
    <w:p w:rsidR="0024375F" w:rsidRDefault="000556C6">
      <w:pPr>
        <w:spacing w:before="240" w:after="0" w:line="480" w:lineRule="auto"/>
        <w:jc w:val="both"/>
        <w:rPr>
          <w:rFonts w:ascii="Arial" w:hAnsi="Arial" w:cs="Arial"/>
          <w:b/>
          <w:sz w:val="24"/>
          <w:szCs w:val="24"/>
        </w:rPr>
      </w:pPr>
      <w:r>
        <w:rPr>
          <w:rFonts w:ascii="Arial" w:hAnsi="Arial" w:cs="Arial"/>
          <w:b/>
          <w:sz w:val="24"/>
          <w:szCs w:val="24"/>
        </w:rPr>
        <w:t>Q1.</w:t>
      </w:r>
      <w:r>
        <w:rPr>
          <w:rFonts w:ascii="Arial" w:hAnsi="Arial" w:cs="Arial"/>
          <w:b/>
          <w:sz w:val="24"/>
          <w:szCs w:val="24"/>
        </w:rPr>
        <w:tab/>
        <w:t>Please state your name and business address.</w:t>
      </w:r>
    </w:p>
    <w:p w:rsidR="0024375F" w:rsidRDefault="000556C6">
      <w:pPr>
        <w:spacing w:before="240" w:after="120" w:line="480" w:lineRule="auto"/>
        <w:ind w:left="720" w:hanging="720"/>
        <w:jc w:val="both"/>
        <w:rPr>
          <w:rFonts w:ascii="Arial" w:hAnsi="Arial" w:cs="Arial"/>
          <w:sz w:val="24"/>
          <w:szCs w:val="24"/>
        </w:rPr>
      </w:pPr>
      <w:r>
        <w:rPr>
          <w:rFonts w:ascii="Arial" w:hAnsi="Arial" w:cs="Arial"/>
          <w:sz w:val="24"/>
          <w:szCs w:val="24"/>
        </w:rPr>
        <w:t>A1.</w:t>
      </w:r>
      <w:r>
        <w:rPr>
          <w:rFonts w:ascii="Arial" w:hAnsi="Arial" w:cs="Arial"/>
          <w:sz w:val="24"/>
          <w:szCs w:val="24"/>
        </w:rPr>
        <w:tab/>
        <w:t>My name is Kevin M. Murray.  My business address is 21 East State Street, 17</w:t>
      </w:r>
      <w:r>
        <w:rPr>
          <w:rFonts w:ascii="Arial" w:hAnsi="Arial" w:cs="Arial"/>
          <w:sz w:val="24"/>
          <w:szCs w:val="24"/>
          <w:vertAlign w:val="superscript"/>
        </w:rPr>
        <w:t>th</w:t>
      </w:r>
      <w:r>
        <w:rPr>
          <w:rFonts w:ascii="Arial" w:hAnsi="Arial" w:cs="Arial"/>
          <w:sz w:val="24"/>
          <w:szCs w:val="24"/>
        </w:rPr>
        <w:t xml:space="preserve"> Floor, Columbus, Ohio 43215-4228.</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Q2.</w:t>
      </w:r>
      <w:r>
        <w:rPr>
          <w:rFonts w:ascii="Arial" w:hAnsi="Arial" w:cs="Arial"/>
          <w:b/>
          <w:sz w:val="24"/>
          <w:szCs w:val="24"/>
        </w:rPr>
        <w:tab/>
      </w:r>
      <w:r>
        <w:rPr>
          <w:rStyle w:val="LineNumber"/>
          <w:rFonts w:ascii="Arial" w:hAnsi="Arial" w:cs="Arial"/>
          <w:b/>
          <w:sz w:val="24"/>
          <w:szCs w:val="24"/>
        </w:rPr>
        <w:t>By whom are you employed and in what position?</w:t>
      </w:r>
    </w:p>
    <w:p w:rsidR="0024375F" w:rsidRDefault="000556C6">
      <w:pPr>
        <w:spacing w:before="240" w:after="0" w:line="480" w:lineRule="auto"/>
        <w:ind w:left="720" w:hanging="720"/>
        <w:jc w:val="both"/>
        <w:rPr>
          <w:rStyle w:val="LineNumber"/>
          <w:rFonts w:ascii="Arial" w:hAnsi="Arial" w:cs="Arial"/>
          <w:sz w:val="24"/>
          <w:szCs w:val="24"/>
        </w:rPr>
      </w:pPr>
      <w:r>
        <w:rPr>
          <w:rFonts w:ascii="Arial" w:hAnsi="Arial" w:cs="Arial"/>
          <w:sz w:val="24"/>
          <w:szCs w:val="24"/>
        </w:rPr>
        <w:t>A2.</w:t>
      </w:r>
      <w:r>
        <w:rPr>
          <w:rFonts w:ascii="Arial" w:hAnsi="Arial" w:cs="Arial"/>
          <w:sz w:val="24"/>
          <w:szCs w:val="24"/>
        </w:rPr>
        <w:tab/>
      </w:r>
      <w:r>
        <w:rPr>
          <w:rStyle w:val="LineNumber"/>
          <w:rFonts w:ascii="Arial" w:hAnsi="Arial" w:cs="Arial"/>
          <w:sz w:val="24"/>
          <w:szCs w:val="24"/>
        </w:rPr>
        <w:t xml:space="preserve">I am </w:t>
      </w:r>
      <w:r w:rsidR="00FB719A">
        <w:rPr>
          <w:rStyle w:val="LineNumber"/>
          <w:rFonts w:ascii="Arial" w:hAnsi="Arial" w:cs="Arial"/>
          <w:sz w:val="24"/>
          <w:szCs w:val="24"/>
        </w:rPr>
        <w:t xml:space="preserve">employed as a Technical Specialist by </w:t>
      </w:r>
      <w:r>
        <w:rPr>
          <w:rStyle w:val="LineNumber"/>
          <w:rFonts w:ascii="Arial" w:hAnsi="Arial" w:cs="Arial"/>
          <w:sz w:val="24"/>
          <w:szCs w:val="24"/>
        </w:rPr>
        <w:t xml:space="preserve">McNees Wallace &amp; Nurick LLC (“McNees”) and </w:t>
      </w:r>
      <w:r w:rsidR="00FB719A">
        <w:rPr>
          <w:rStyle w:val="LineNumber"/>
          <w:rFonts w:ascii="Arial" w:hAnsi="Arial" w:cs="Arial"/>
          <w:sz w:val="24"/>
          <w:szCs w:val="24"/>
        </w:rPr>
        <w:t xml:space="preserve">serve as </w:t>
      </w:r>
      <w:r>
        <w:rPr>
          <w:rStyle w:val="LineNumber"/>
          <w:rFonts w:ascii="Arial" w:hAnsi="Arial" w:cs="Arial"/>
          <w:sz w:val="24"/>
          <w:szCs w:val="24"/>
        </w:rPr>
        <w:t>the Executive Director</w:t>
      </w:r>
      <w:r w:rsidR="00822A29">
        <w:rPr>
          <w:rStyle w:val="LineNumber"/>
          <w:rFonts w:ascii="Arial" w:hAnsi="Arial" w:cs="Arial"/>
          <w:sz w:val="24"/>
          <w:szCs w:val="24"/>
        </w:rPr>
        <w:t xml:space="preserve"> of the Industrial Energy Users</w:t>
      </w:r>
      <w:r w:rsidR="00822A29">
        <w:rPr>
          <w:rStyle w:val="LineNumber"/>
          <w:rFonts w:ascii="Arial" w:hAnsi="Arial" w:cs="Arial"/>
          <w:sz w:val="24"/>
          <w:szCs w:val="24"/>
        </w:rPr>
        <w:noBreakHyphen/>
      </w:r>
      <w:r>
        <w:rPr>
          <w:rStyle w:val="LineNumber"/>
          <w:rFonts w:ascii="Arial" w:hAnsi="Arial" w:cs="Arial"/>
          <w:sz w:val="24"/>
          <w:szCs w:val="24"/>
        </w:rPr>
        <w:t>Ohio (“IEU-Ohio”).  I am providing testimony on behalf of IEU-Ohio.</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Q3.</w:t>
      </w:r>
      <w:r>
        <w:rPr>
          <w:rFonts w:ascii="Arial" w:hAnsi="Arial" w:cs="Arial"/>
          <w:b/>
          <w:sz w:val="24"/>
          <w:szCs w:val="24"/>
        </w:rPr>
        <w:tab/>
        <w:t>Please describe your educational background.</w:t>
      </w:r>
    </w:p>
    <w:p w:rsidR="0024375F" w:rsidRDefault="000556C6">
      <w:pPr>
        <w:spacing w:before="240" w:after="0" w:line="480" w:lineRule="auto"/>
        <w:ind w:left="720" w:hanging="720"/>
        <w:jc w:val="both"/>
        <w:rPr>
          <w:rFonts w:ascii="Arial" w:hAnsi="Arial" w:cs="Arial"/>
          <w:sz w:val="24"/>
          <w:szCs w:val="24"/>
        </w:rPr>
      </w:pPr>
      <w:r>
        <w:rPr>
          <w:rFonts w:ascii="Arial" w:hAnsi="Arial" w:cs="Arial"/>
          <w:sz w:val="24"/>
          <w:szCs w:val="24"/>
        </w:rPr>
        <w:t>A3.</w:t>
      </w:r>
      <w:r>
        <w:rPr>
          <w:rFonts w:ascii="Arial" w:hAnsi="Arial" w:cs="Arial"/>
          <w:sz w:val="24"/>
          <w:szCs w:val="24"/>
        </w:rPr>
        <w:tab/>
        <w:t>I graduated from the University of Cincinnati in 1982 with a Bachelor of Science degree in Metallurgical Engineering.</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Q4.</w:t>
      </w:r>
      <w:r>
        <w:rPr>
          <w:rFonts w:ascii="Arial" w:hAnsi="Arial" w:cs="Arial"/>
          <w:b/>
          <w:sz w:val="24"/>
          <w:szCs w:val="24"/>
        </w:rPr>
        <w:tab/>
        <w:t>Please describe your professional experience.</w:t>
      </w:r>
    </w:p>
    <w:p w:rsidR="0024375F" w:rsidRDefault="000556C6">
      <w:pPr>
        <w:spacing w:before="240" w:after="0" w:line="480" w:lineRule="auto"/>
        <w:ind w:left="720" w:hanging="720"/>
        <w:jc w:val="both"/>
        <w:rPr>
          <w:rFonts w:ascii="Arial" w:hAnsi="Arial" w:cs="Arial"/>
          <w:b/>
          <w:sz w:val="24"/>
          <w:szCs w:val="24"/>
        </w:rPr>
      </w:pPr>
      <w:r>
        <w:rPr>
          <w:rFonts w:ascii="Arial" w:hAnsi="Arial" w:cs="Arial"/>
          <w:sz w:val="24"/>
          <w:szCs w:val="24"/>
        </w:rPr>
        <w:lastRenderedPageBreak/>
        <w:t>A4.</w:t>
      </w:r>
      <w:r>
        <w:rPr>
          <w:rFonts w:ascii="Arial" w:hAnsi="Arial" w:cs="Arial"/>
          <w:sz w:val="24"/>
          <w:szCs w:val="24"/>
        </w:rPr>
        <w:tab/>
        <w:t>I hav</w:t>
      </w:r>
      <w:r w:rsidR="00693CC2">
        <w:rPr>
          <w:rFonts w:ascii="Arial" w:hAnsi="Arial" w:cs="Arial"/>
          <w:sz w:val="24"/>
          <w:szCs w:val="24"/>
        </w:rPr>
        <w:t>e been employed by McNees for 17</w:t>
      </w:r>
      <w:r>
        <w:rPr>
          <w:rFonts w:ascii="Arial" w:hAnsi="Arial" w:cs="Arial"/>
          <w:sz w:val="24"/>
          <w:szCs w:val="24"/>
        </w:rPr>
        <w:t xml:space="preserve"> years </w:t>
      </w:r>
      <w:r>
        <w:rPr>
          <w:rStyle w:val="LineNumber"/>
          <w:rFonts w:ascii="Arial" w:hAnsi="Arial" w:cs="Arial"/>
          <w:sz w:val="24"/>
          <w:szCs w:val="24"/>
        </w:rPr>
        <w:t xml:space="preserve">where I focus </w:t>
      </w:r>
      <w:r w:rsidR="00822A29">
        <w:rPr>
          <w:rFonts w:ascii="Arial" w:hAnsi="Arial" w:cs="Arial"/>
          <w:sz w:val="24"/>
          <w:szCs w:val="24"/>
        </w:rPr>
        <w:t>on helping IEU</w:t>
      </w:r>
      <w:r w:rsidR="00822A29">
        <w:rPr>
          <w:rFonts w:ascii="Arial" w:hAnsi="Arial" w:cs="Arial"/>
          <w:sz w:val="24"/>
          <w:szCs w:val="24"/>
        </w:rPr>
        <w:noBreakHyphen/>
      </w:r>
      <w:r>
        <w:rPr>
          <w:rFonts w:ascii="Arial" w:hAnsi="Arial" w:cs="Arial"/>
          <w:sz w:val="24"/>
          <w:szCs w:val="24"/>
        </w:rPr>
        <w:t>Ohio members address issues that affect the price and availability of utility services</w:t>
      </w:r>
      <w:r>
        <w:rPr>
          <w:rStyle w:val="LineNumber"/>
          <w:rFonts w:ascii="Arial" w:hAnsi="Arial" w:cs="Arial"/>
          <w:sz w:val="24"/>
          <w:szCs w:val="24"/>
        </w:rPr>
        <w:t xml:space="preserve">.  </w:t>
      </w:r>
      <w:r>
        <w:rPr>
          <w:rFonts w:ascii="Arial" w:hAnsi="Arial" w:cs="Arial"/>
          <w:sz w:val="24"/>
          <w:szCs w:val="24"/>
        </w:rPr>
        <w:t xml:space="preserve">I have also been actively involved, on behalf of commercial and industrial customers, in the formation of regional transmission </w:t>
      </w:r>
      <w:r w:rsidR="00D30ECC">
        <w:rPr>
          <w:rFonts w:ascii="Arial" w:hAnsi="Arial" w:cs="Arial"/>
          <w:sz w:val="24"/>
          <w:szCs w:val="24"/>
        </w:rPr>
        <w:t xml:space="preserve">organizations </w:t>
      </w:r>
      <w:r>
        <w:rPr>
          <w:rFonts w:ascii="Arial" w:hAnsi="Arial" w:cs="Arial"/>
          <w:sz w:val="24"/>
          <w:szCs w:val="24"/>
        </w:rPr>
        <w:t>(“RTOs”) and the organization of regional electricity markets from both the supply-side and demand-side perspective.  I serve as an end-use customer sect</w:t>
      </w:r>
      <w:r w:rsidR="00693CC2">
        <w:rPr>
          <w:rFonts w:ascii="Arial" w:hAnsi="Arial" w:cs="Arial"/>
          <w:sz w:val="24"/>
          <w:szCs w:val="24"/>
        </w:rPr>
        <w:t xml:space="preserve">or representative as well as </w:t>
      </w:r>
      <w:r w:rsidR="00D30ECC">
        <w:rPr>
          <w:rFonts w:ascii="Arial" w:hAnsi="Arial" w:cs="Arial"/>
          <w:sz w:val="24"/>
          <w:szCs w:val="24"/>
        </w:rPr>
        <w:t xml:space="preserve">Vice Chair </w:t>
      </w:r>
      <w:r w:rsidR="00693CC2">
        <w:rPr>
          <w:rFonts w:ascii="Arial" w:hAnsi="Arial" w:cs="Arial"/>
          <w:sz w:val="24"/>
          <w:szCs w:val="24"/>
        </w:rPr>
        <w:t>on the Midcontinent</w:t>
      </w:r>
      <w:r>
        <w:rPr>
          <w:rFonts w:ascii="Arial" w:hAnsi="Arial" w:cs="Arial"/>
          <w:sz w:val="24"/>
          <w:szCs w:val="24"/>
        </w:rPr>
        <w:t xml:space="preserve"> Independent System Operator, Inc. (“MISO”) Advisory Committee and I have been actively involved in MISO working groups that focus on various issues since 1999.  Prior to joining McNees, I was employed by the law firm of Kegler, Brown, Hill &amp; Ritter (“KBH&amp;R”) in a similar capacity.  Prior to joining KBH&amp;R, I spent 12 years with The Timken Company, a specialty steel and roller bearing manufacturer.  While at The Timken Company, I worked within a group that focused on meeting the electricity and natural gas requirements for facilities in the United States.  I also spent several years in supervisory positions within The Timken Company’s steelmaking operations.</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Q5.</w:t>
      </w:r>
      <w:r>
        <w:rPr>
          <w:rFonts w:ascii="Arial" w:hAnsi="Arial" w:cs="Arial"/>
          <w:b/>
          <w:sz w:val="24"/>
          <w:szCs w:val="24"/>
        </w:rPr>
        <w:tab/>
        <w:t>Have you previously testified before the Public Utilities Commission of Ohio (“Commission”)?</w:t>
      </w:r>
    </w:p>
    <w:p w:rsidR="0024375F" w:rsidRDefault="000556C6">
      <w:pPr>
        <w:spacing w:before="240" w:after="0" w:line="480" w:lineRule="auto"/>
        <w:ind w:left="720" w:hanging="720"/>
        <w:jc w:val="both"/>
        <w:rPr>
          <w:rFonts w:ascii="Arial" w:hAnsi="Arial" w:cs="Arial"/>
          <w:sz w:val="24"/>
          <w:szCs w:val="24"/>
        </w:rPr>
      </w:pPr>
      <w:r>
        <w:rPr>
          <w:rFonts w:ascii="Arial" w:hAnsi="Arial" w:cs="Arial"/>
          <w:sz w:val="24"/>
          <w:szCs w:val="24"/>
        </w:rPr>
        <w:t>A5.</w:t>
      </w:r>
      <w:r>
        <w:rPr>
          <w:rFonts w:ascii="Arial" w:hAnsi="Arial" w:cs="Arial"/>
          <w:sz w:val="24"/>
          <w:szCs w:val="24"/>
        </w:rPr>
        <w:tab/>
        <w:t>Yes.  The proceedings before the Commission in which I have submitted expert testimony are identified in Exhibit KMM-1.</w:t>
      </w:r>
    </w:p>
    <w:p w:rsidR="0024375F" w:rsidRDefault="000556C6">
      <w:pPr>
        <w:spacing w:before="240" w:after="0" w:line="480" w:lineRule="auto"/>
        <w:ind w:left="720" w:hanging="720"/>
        <w:jc w:val="both"/>
        <w:rPr>
          <w:rFonts w:ascii="Arial" w:hAnsi="Arial" w:cs="Arial"/>
          <w:b/>
          <w:sz w:val="24"/>
          <w:szCs w:val="24"/>
        </w:rPr>
      </w:pPr>
      <w:r>
        <w:rPr>
          <w:rFonts w:ascii="Arial" w:hAnsi="Arial" w:cs="Arial"/>
          <w:b/>
          <w:sz w:val="24"/>
          <w:szCs w:val="24"/>
        </w:rPr>
        <w:t>Q6.</w:t>
      </w:r>
      <w:r>
        <w:rPr>
          <w:rFonts w:ascii="Arial" w:hAnsi="Arial" w:cs="Arial"/>
          <w:b/>
          <w:sz w:val="24"/>
          <w:szCs w:val="24"/>
        </w:rPr>
        <w:tab/>
        <w:t>What is the purpose of your testimony?</w:t>
      </w:r>
    </w:p>
    <w:p w:rsidR="00221613" w:rsidRDefault="000556C6" w:rsidP="00970C3B">
      <w:pPr>
        <w:tabs>
          <w:tab w:val="left" w:pos="4680"/>
        </w:tabs>
        <w:spacing w:before="240" w:after="0" w:line="480" w:lineRule="auto"/>
        <w:ind w:left="720" w:hanging="720"/>
        <w:jc w:val="both"/>
        <w:rPr>
          <w:sz w:val="24"/>
          <w:szCs w:val="24"/>
        </w:rPr>
      </w:pPr>
      <w:r>
        <w:rPr>
          <w:sz w:val="24"/>
          <w:szCs w:val="24"/>
        </w:rPr>
        <w:lastRenderedPageBreak/>
        <w:t>A6.</w:t>
      </w:r>
      <w:r>
        <w:rPr>
          <w:sz w:val="24"/>
          <w:szCs w:val="24"/>
        </w:rPr>
        <w:tab/>
        <w:t>The purpose of my testimony is to</w:t>
      </w:r>
      <w:r w:rsidR="00221613">
        <w:rPr>
          <w:sz w:val="24"/>
          <w:szCs w:val="24"/>
        </w:rPr>
        <w:t xml:space="preserve"> recommend the Commission not accept </w:t>
      </w:r>
      <w:r w:rsidR="00626A10">
        <w:rPr>
          <w:sz w:val="24"/>
          <w:szCs w:val="24"/>
        </w:rPr>
        <w:t>certain</w:t>
      </w:r>
      <w:r w:rsidR="00221613">
        <w:rPr>
          <w:sz w:val="24"/>
          <w:szCs w:val="24"/>
        </w:rPr>
        <w:t xml:space="preserve"> elements of the proposed electric security plan (“ESP IV”)</w:t>
      </w:r>
      <w:r w:rsidR="00670072">
        <w:rPr>
          <w:sz w:val="24"/>
          <w:szCs w:val="24"/>
        </w:rPr>
        <w:t xml:space="preserve">. </w:t>
      </w:r>
      <w:r w:rsidR="00221613">
        <w:rPr>
          <w:sz w:val="24"/>
          <w:szCs w:val="24"/>
        </w:rPr>
        <w:t xml:space="preserve"> Specifically, I</w:t>
      </w:r>
      <w:r>
        <w:rPr>
          <w:sz w:val="24"/>
          <w:szCs w:val="24"/>
        </w:rPr>
        <w:t xml:space="preserve"> </w:t>
      </w:r>
      <w:r w:rsidR="004C5FB5">
        <w:rPr>
          <w:sz w:val="24"/>
          <w:szCs w:val="24"/>
        </w:rPr>
        <w:t xml:space="preserve">recommend </w:t>
      </w:r>
      <w:r w:rsidR="00670072">
        <w:rPr>
          <w:sz w:val="24"/>
          <w:szCs w:val="24"/>
        </w:rPr>
        <w:t xml:space="preserve">that </w:t>
      </w:r>
      <w:r w:rsidR="004C5FB5">
        <w:rPr>
          <w:sz w:val="24"/>
          <w:szCs w:val="24"/>
        </w:rPr>
        <w:t>the Commission</w:t>
      </w:r>
      <w:r w:rsidR="00670072">
        <w:rPr>
          <w:sz w:val="24"/>
          <w:szCs w:val="24"/>
        </w:rPr>
        <w:t xml:space="preserve">: </w:t>
      </w:r>
      <w:r w:rsidR="004C5FB5">
        <w:rPr>
          <w:sz w:val="24"/>
          <w:szCs w:val="24"/>
        </w:rPr>
        <w:t xml:space="preserve"> </w:t>
      </w:r>
      <w:r w:rsidR="00670072">
        <w:rPr>
          <w:sz w:val="24"/>
          <w:szCs w:val="24"/>
        </w:rPr>
        <w:t xml:space="preserve">(1) </w:t>
      </w:r>
      <w:r w:rsidR="004C5FB5">
        <w:rPr>
          <w:sz w:val="24"/>
          <w:szCs w:val="24"/>
        </w:rPr>
        <w:t xml:space="preserve">deny </w:t>
      </w:r>
      <w:r w:rsidR="004C5FB5">
        <w:rPr>
          <w:rFonts w:eastAsia="Times New Roman" w:cs="Times New Roman"/>
          <w:sz w:val="24"/>
          <w:szCs w:val="24"/>
        </w:rPr>
        <w:t>Ohio Edison Company’s, The Cleveland Electric Illuminating Company’s and The Toledo Edison Company’s (collectively</w:t>
      </w:r>
      <w:r w:rsidR="00670072">
        <w:rPr>
          <w:rFonts w:eastAsia="Times New Roman" w:cs="Times New Roman"/>
          <w:sz w:val="24"/>
          <w:szCs w:val="24"/>
        </w:rPr>
        <w:t>,</w:t>
      </w:r>
      <w:r w:rsidR="004C5FB5">
        <w:rPr>
          <w:rFonts w:eastAsia="Times New Roman" w:cs="Times New Roman"/>
          <w:sz w:val="24"/>
          <w:szCs w:val="24"/>
        </w:rPr>
        <w:t xml:space="preserve"> “FirstEnergy”) request for approval of the </w:t>
      </w:r>
      <w:r w:rsidR="00670072">
        <w:rPr>
          <w:rFonts w:eastAsia="Times New Roman" w:cs="Times New Roman"/>
          <w:sz w:val="24"/>
          <w:szCs w:val="24"/>
        </w:rPr>
        <w:t xml:space="preserve">proposed </w:t>
      </w:r>
      <w:r w:rsidR="004C5FB5">
        <w:rPr>
          <w:rFonts w:eastAsia="Times New Roman" w:cs="Times New Roman"/>
          <w:sz w:val="24"/>
          <w:szCs w:val="24"/>
        </w:rPr>
        <w:t xml:space="preserve">Economic Stability Program </w:t>
      </w:r>
      <w:r w:rsidR="00496EB7">
        <w:rPr>
          <w:sz w:val="24"/>
          <w:szCs w:val="24"/>
        </w:rPr>
        <w:t>and the related Retail Rate Stability Rider (“RRS Rider”)</w:t>
      </w:r>
      <w:r w:rsidR="00626A10">
        <w:rPr>
          <w:sz w:val="24"/>
          <w:szCs w:val="24"/>
        </w:rPr>
        <w:t>;</w:t>
      </w:r>
      <w:r w:rsidR="004C5FB5">
        <w:rPr>
          <w:sz w:val="24"/>
          <w:szCs w:val="24"/>
        </w:rPr>
        <w:t xml:space="preserve"> </w:t>
      </w:r>
      <w:r w:rsidR="00626A10">
        <w:rPr>
          <w:sz w:val="24"/>
          <w:szCs w:val="24"/>
        </w:rPr>
        <w:t xml:space="preserve">and </w:t>
      </w:r>
      <w:r w:rsidR="004C5FB5">
        <w:rPr>
          <w:sz w:val="24"/>
          <w:szCs w:val="24"/>
        </w:rPr>
        <w:t xml:space="preserve">(2) </w:t>
      </w:r>
      <w:r w:rsidR="00670072">
        <w:rPr>
          <w:sz w:val="24"/>
          <w:szCs w:val="24"/>
        </w:rPr>
        <w:t xml:space="preserve">not </w:t>
      </w:r>
      <w:r w:rsidR="004C5FB5">
        <w:rPr>
          <w:sz w:val="24"/>
          <w:szCs w:val="24"/>
        </w:rPr>
        <w:t>approve FirstEnergy’s request</w:t>
      </w:r>
      <w:r w:rsidR="007F7CCE">
        <w:rPr>
          <w:sz w:val="24"/>
          <w:szCs w:val="24"/>
        </w:rPr>
        <w:t xml:space="preserve"> to shift additional generation-</w:t>
      </w:r>
      <w:r w:rsidR="00626A10">
        <w:rPr>
          <w:sz w:val="24"/>
          <w:szCs w:val="24"/>
        </w:rPr>
        <w:t>related costs into the revenues</w:t>
      </w:r>
      <w:r w:rsidR="004C5FB5">
        <w:rPr>
          <w:sz w:val="24"/>
          <w:szCs w:val="24"/>
        </w:rPr>
        <w:t xml:space="preserve"> FirstEnergy is permitted to recover through Rider </w:t>
      </w:r>
      <w:r w:rsidR="00221613">
        <w:rPr>
          <w:sz w:val="24"/>
          <w:szCs w:val="24"/>
        </w:rPr>
        <w:t xml:space="preserve">Non-Market-Based (“Rider </w:t>
      </w:r>
      <w:r w:rsidR="004C5FB5">
        <w:rPr>
          <w:sz w:val="24"/>
          <w:szCs w:val="24"/>
        </w:rPr>
        <w:t>NMB</w:t>
      </w:r>
      <w:r w:rsidR="00221613">
        <w:rPr>
          <w:sz w:val="24"/>
          <w:szCs w:val="24"/>
        </w:rPr>
        <w:t>”)</w:t>
      </w:r>
      <w:r w:rsidR="004C5FB5">
        <w:rPr>
          <w:sz w:val="24"/>
          <w:szCs w:val="24"/>
        </w:rPr>
        <w:t xml:space="preserve">. </w:t>
      </w:r>
    </w:p>
    <w:p w:rsidR="0024375F" w:rsidRPr="003F21AF" w:rsidRDefault="003F21AF" w:rsidP="00670072">
      <w:pPr>
        <w:tabs>
          <w:tab w:val="left" w:pos="4680"/>
        </w:tabs>
        <w:spacing w:before="240" w:after="0" w:line="480" w:lineRule="auto"/>
        <w:ind w:left="720" w:hanging="720"/>
        <w:jc w:val="both"/>
        <w:rPr>
          <w:rFonts w:ascii="Arial" w:eastAsiaTheme="minorHAnsi" w:hAnsi="Arial" w:cs="Arial"/>
          <w:b/>
          <w:sz w:val="24"/>
          <w:szCs w:val="24"/>
        </w:rPr>
      </w:pPr>
      <w:r w:rsidRPr="003F21AF">
        <w:rPr>
          <w:b/>
          <w:sz w:val="24"/>
          <w:szCs w:val="24"/>
        </w:rPr>
        <w:t>II.</w:t>
      </w:r>
      <w:r w:rsidRPr="003F21AF">
        <w:rPr>
          <w:b/>
          <w:sz w:val="24"/>
          <w:szCs w:val="24"/>
        </w:rPr>
        <w:tab/>
        <w:t>HISTORY OF THIS PROCEEDING</w:t>
      </w:r>
    </w:p>
    <w:p w:rsidR="0024375F" w:rsidRDefault="00A73B72">
      <w:pPr>
        <w:autoSpaceDE w:val="0"/>
        <w:autoSpaceDN w:val="0"/>
        <w:adjustRightInd w:val="0"/>
        <w:spacing w:before="240" w:after="0" w:line="480" w:lineRule="auto"/>
        <w:ind w:left="720" w:hanging="720"/>
        <w:jc w:val="both"/>
        <w:rPr>
          <w:rFonts w:ascii="Arial" w:eastAsiaTheme="minorHAnsi" w:hAnsi="Arial" w:cs="Arial"/>
          <w:b/>
          <w:sz w:val="24"/>
          <w:szCs w:val="24"/>
        </w:rPr>
      </w:pPr>
      <w:r>
        <w:rPr>
          <w:rFonts w:ascii="Arial" w:eastAsiaTheme="minorHAnsi" w:hAnsi="Arial" w:cs="Arial"/>
          <w:b/>
          <w:sz w:val="24"/>
          <w:szCs w:val="24"/>
        </w:rPr>
        <w:t>Q</w:t>
      </w:r>
      <w:r w:rsidR="00F224ED">
        <w:rPr>
          <w:rFonts w:ascii="Arial" w:eastAsiaTheme="minorHAnsi" w:hAnsi="Arial" w:cs="Arial"/>
          <w:b/>
          <w:sz w:val="24"/>
          <w:szCs w:val="24"/>
        </w:rPr>
        <w:t>7</w:t>
      </w:r>
      <w:r w:rsidR="000556C6">
        <w:rPr>
          <w:rFonts w:ascii="Arial" w:eastAsiaTheme="minorHAnsi" w:hAnsi="Arial" w:cs="Arial"/>
          <w:b/>
          <w:sz w:val="24"/>
          <w:szCs w:val="24"/>
        </w:rPr>
        <w:t>.</w:t>
      </w:r>
      <w:r w:rsidR="000556C6">
        <w:rPr>
          <w:rFonts w:ascii="Arial" w:eastAsiaTheme="minorHAnsi" w:hAnsi="Arial" w:cs="Arial"/>
          <w:b/>
          <w:sz w:val="24"/>
          <w:szCs w:val="24"/>
        </w:rPr>
        <w:tab/>
        <w:t xml:space="preserve">What are the significant components of the </w:t>
      </w:r>
      <w:r w:rsidR="00F224ED">
        <w:rPr>
          <w:rFonts w:ascii="Arial" w:eastAsiaTheme="minorHAnsi" w:hAnsi="Arial" w:cs="Arial"/>
          <w:b/>
          <w:sz w:val="24"/>
          <w:szCs w:val="24"/>
        </w:rPr>
        <w:t xml:space="preserve">proposed </w:t>
      </w:r>
      <w:r w:rsidR="000556C6">
        <w:rPr>
          <w:rFonts w:ascii="Arial" w:eastAsiaTheme="minorHAnsi" w:hAnsi="Arial" w:cs="Arial"/>
          <w:b/>
          <w:sz w:val="24"/>
          <w:szCs w:val="24"/>
        </w:rPr>
        <w:t>ESP</w:t>
      </w:r>
      <w:r w:rsidR="00221613">
        <w:rPr>
          <w:rFonts w:ascii="Arial" w:eastAsiaTheme="minorHAnsi" w:hAnsi="Arial" w:cs="Arial"/>
          <w:b/>
          <w:sz w:val="24"/>
          <w:szCs w:val="24"/>
        </w:rPr>
        <w:t xml:space="preserve"> IV</w:t>
      </w:r>
      <w:r w:rsidR="000556C6">
        <w:rPr>
          <w:rFonts w:ascii="Arial" w:eastAsiaTheme="minorHAnsi" w:hAnsi="Arial" w:cs="Arial"/>
          <w:b/>
          <w:sz w:val="24"/>
          <w:szCs w:val="24"/>
        </w:rPr>
        <w:t>?</w:t>
      </w:r>
    </w:p>
    <w:p w:rsidR="00DA7E0F" w:rsidRDefault="00F224ED" w:rsidP="007779AE">
      <w:pPr>
        <w:autoSpaceDE w:val="0"/>
        <w:autoSpaceDN w:val="0"/>
        <w:adjustRightInd w:val="0"/>
        <w:spacing w:before="240" w:after="0" w:line="480" w:lineRule="auto"/>
        <w:ind w:left="720" w:hanging="720"/>
        <w:jc w:val="both"/>
        <w:rPr>
          <w:rFonts w:ascii="Arial" w:eastAsiaTheme="minorHAnsi" w:hAnsi="Arial" w:cs="Arial"/>
          <w:sz w:val="24"/>
          <w:szCs w:val="24"/>
        </w:rPr>
      </w:pPr>
      <w:r>
        <w:rPr>
          <w:rFonts w:ascii="Arial" w:eastAsiaTheme="minorHAnsi" w:hAnsi="Arial" w:cs="Arial"/>
          <w:sz w:val="24"/>
          <w:szCs w:val="24"/>
        </w:rPr>
        <w:t>A7</w:t>
      </w:r>
      <w:r w:rsidR="000556C6">
        <w:rPr>
          <w:rFonts w:ascii="Arial" w:eastAsiaTheme="minorHAnsi" w:hAnsi="Arial" w:cs="Arial"/>
          <w:sz w:val="24"/>
          <w:szCs w:val="24"/>
        </w:rPr>
        <w:t>.</w:t>
      </w:r>
      <w:r w:rsidR="000556C6">
        <w:rPr>
          <w:rFonts w:ascii="Arial" w:eastAsiaTheme="minorHAnsi" w:hAnsi="Arial" w:cs="Arial"/>
          <w:sz w:val="24"/>
          <w:szCs w:val="24"/>
        </w:rPr>
        <w:tab/>
      </w:r>
      <w:r w:rsidR="00221613">
        <w:rPr>
          <w:rFonts w:ascii="Arial" w:eastAsiaTheme="minorHAnsi" w:hAnsi="Arial" w:cs="Arial"/>
          <w:sz w:val="24"/>
          <w:szCs w:val="24"/>
        </w:rPr>
        <w:t>FirstEnergy</w:t>
      </w:r>
      <w:r w:rsidR="008415F0">
        <w:rPr>
          <w:rFonts w:ascii="Arial" w:eastAsiaTheme="minorHAnsi" w:hAnsi="Arial" w:cs="Arial"/>
          <w:sz w:val="24"/>
          <w:szCs w:val="24"/>
        </w:rPr>
        <w:t xml:space="preserve">’s </w:t>
      </w:r>
      <w:r w:rsidR="00221613">
        <w:rPr>
          <w:rFonts w:ascii="Arial" w:eastAsiaTheme="minorHAnsi" w:hAnsi="Arial" w:cs="Arial"/>
          <w:sz w:val="24"/>
          <w:szCs w:val="24"/>
        </w:rPr>
        <w:t xml:space="preserve">proposed </w:t>
      </w:r>
      <w:r>
        <w:rPr>
          <w:rFonts w:ascii="Arial" w:eastAsiaTheme="minorHAnsi" w:hAnsi="Arial" w:cs="Arial"/>
          <w:sz w:val="24"/>
          <w:szCs w:val="24"/>
        </w:rPr>
        <w:t xml:space="preserve">ESP </w:t>
      </w:r>
      <w:r w:rsidR="008415F0">
        <w:rPr>
          <w:rFonts w:ascii="Arial" w:eastAsiaTheme="minorHAnsi" w:hAnsi="Arial" w:cs="Arial"/>
          <w:sz w:val="24"/>
          <w:szCs w:val="24"/>
        </w:rPr>
        <w:t>I</w:t>
      </w:r>
      <w:r w:rsidR="00221613">
        <w:rPr>
          <w:rFonts w:ascii="Arial" w:eastAsiaTheme="minorHAnsi" w:hAnsi="Arial" w:cs="Arial"/>
          <w:sz w:val="24"/>
          <w:szCs w:val="24"/>
        </w:rPr>
        <w:t>V</w:t>
      </w:r>
      <w:r w:rsidR="008415F0">
        <w:rPr>
          <w:rFonts w:ascii="Arial" w:eastAsiaTheme="minorHAnsi" w:hAnsi="Arial" w:cs="Arial"/>
          <w:sz w:val="24"/>
          <w:szCs w:val="24"/>
        </w:rPr>
        <w:t xml:space="preserve"> has </w:t>
      </w:r>
      <w:r>
        <w:rPr>
          <w:rFonts w:ascii="Arial" w:eastAsiaTheme="minorHAnsi" w:hAnsi="Arial" w:cs="Arial"/>
          <w:sz w:val="24"/>
          <w:szCs w:val="24"/>
        </w:rPr>
        <w:t xml:space="preserve">a </w:t>
      </w:r>
      <w:r w:rsidR="002C3A56">
        <w:rPr>
          <w:rFonts w:ascii="Arial" w:eastAsiaTheme="minorHAnsi" w:hAnsi="Arial" w:cs="Arial"/>
          <w:sz w:val="24"/>
          <w:szCs w:val="24"/>
        </w:rPr>
        <w:t>three-</w:t>
      </w:r>
      <w:r w:rsidR="00221613">
        <w:rPr>
          <w:rFonts w:ascii="Arial" w:eastAsiaTheme="minorHAnsi" w:hAnsi="Arial" w:cs="Arial"/>
          <w:sz w:val="24"/>
          <w:szCs w:val="24"/>
        </w:rPr>
        <w:t>year term from June 1, 2016 through May 31, 2019</w:t>
      </w:r>
      <w:r>
        <w:rPr>
          <w:rFonts w:ascii="Arial" w:eastAsiaTheme="minorHAnsi" w:hAnsi="Arial" w:cs="Arial"/>
          <w:sz w:val="24"/>
          <w:szCs w:val="24"/>
        </w:rPr>
        <w:t>.</w:t>
      </w:r>
      <w:r w:rsidR="00DA7E0F">
        <w:rPr>
          <w:rFonts w:ascii="Arial" w:eastAsiaTheme="minorHAnsi" w:hAnsi="Arial" w:cs="Arial"/>
          <w:sz w:val="24"/>
          <w:szCs w:val="24"/>
        </w:rPr>
        <w:t xml:space="preserve">  It is similar to FirstEnergy’s current electric security plan in that FirstEnergy has proposed to establish the prices for the default standard service offer (“SSO”) through a competitive bidding auction process. </w:t>
      </w:r>
      <w:r w:rsidR="00017666">
        <w:rPr>
          <w:rFonts w:ascii="Arial" w:eastAsiaTheme="minorHAnsi" w:hAnsi="Arial" w:cs="Arial"/>
          <w:sz w:val="24"/>
          <w:szCs w:val="24"/>
        </w:rPr>
        <w:t xml:space="preserve"> </w:t>
      </w:r>
      <w:r w:rsidR="00DA7E0F">
        <w:rPr>
          <w:rFonts w:ascii="Arial" w:eastAsiaTheme="minorHAnsi" w:hAnsi="Arial" w:cs="Arial"/>
          <w:sz w:val="24"/>
          <w:szCs w:val="24"/>
        </w:rPr>
        <w:t>However</w:t>
      </w:r>
      <w:r w:rsidR="00017666">
        <w:rPr>
          <w:rFonts w:ascii="Arial" w:eastAsiaTheme="minorHAnsi" w:hAnsi="Arial" w:cs="Arial"/>
          <w:sz w:val="24"/>
          <w:szCs w:val="24"/>
        </w:rPr>
        <w:t>,</w:t>
      </w:r>
      <w:r w:rsidR="00DA7E0F">
        <w:rPr>
          <w:rFonts w:ascii="Arial" w:eastAsiaTheme="minorHAnsi" w:hAnsi="Arial" w:cs="Arial"/>
          <w:sz w:val="24"/>
          <w:szCs w:val="24"/>
        </w:rPr>
        <w:t xml:space="preserve"> the proposed ESP IV has notable differenc</w:t>
      </w:r>
      <w:r w:rsidR="00017666">
        <w:rPr>
          <w:rFonts w:ascii="Arial" w:eastAsiaTheme="minorHAnsi" w:hAnsi="Arial" w:cs="Arial"/>
          <w:sz w:val="24"/>
          <w:szCs w:val="24"/>
        </w:rPr>
        <w:t>es from FirstEnergy’s currently-</w:t>
      </w:r>
      <w:r w:rsidR="00DA7E0F">
        <w:rPr>
          <w:rFonts w:ascii="Arial" w:eastAsiaTheme="minorHAnsi" w:hAnsi="Arial" w:cs="Arial"/>
          <w:sz w:val="24"/>
          <w:szCs w:val="24"/>
        </w:rPr>
        <w:t>approved electric security plan that would affect the prices all customers pay for electric service (both SSO customers and shopping customers)</w:t>
      </w:r>
      <w:r w:rsidR="00017666">
        <w:rPr>
          <w:rFonts w:ascii="Arial" w:eastAsiaTheme="minorHAnsi" w:hAnsi="Arial" w:cs="Arial"/>
          <w:sz w:val="24"/>
          <w:szCs w:val="24"/>
        </w:rPr>
        <w:t>,</w:t>
      </w:r>
      <w:r w:rsidR="00DA7E0F">
        <w:rPr>
          <w:rFonts w:ascii="Arial" w:eastAsiaTheme="minorHAnsi" w:hAnsi="Arial" w:cs="Arial"/>
          <w:sz w:val="24"/>
          <w:szCs w:val="24"/>
        </w:rPr>
        <w:t xml:space="preserve"> including the changes I recommend the Commission not authorize. </w:t>
      </w:r>
      <w:r w:rsidR="00017666">
        <w:rPr>
          <w:rFonts w:ascii="Arial" w:eastAsiaTheme="minorHAnsi" w:hAnsi="Arial" w:cs="Arial"/>
          <w:sz w:val="24"/>
          <w:szCs w:val="24"/>
        </w:rPr>
        <w:t xml:space="preserve"> </w:t>
      </w:r>
      <w:r w:rsidR="00DA7E0F">
        <w:rPr>
          <w:rFonts w:ascii="Arial" w:eastAsiaTheme="minorHAnsi" w:hAnsi="Arial" w:cs="Arial"/>
          <w:sz w:val="24"/>
          <w:szCs w:val="24"/>
        </w:rPr>
        <w:t>These proposed changes are anti</w:t>
      </w:r>
      <w:r w:rsidR="00017666">
        <w:rPr>
          <w:rFonts w:ascii="Arial" w:eastAsiaTheme="minorHAnsi" w:hAnsi="Arial" w:cs="Arial"/>
          <w:sz w:val="24"/>
          <w:szCs w:val="24"/>
        </w:rPr>
        <w:t>-competitive and</w:t>
      </w:r>
      <w:r w:rsidR="00DA7E0F">
        <w:rPr>
          <w:rFonts w:ascii="Arial" w:eastAsiaTheme="minorHAnsi" w:hAnsi="Arial" w:cs="Arial"/>
          <w:sz w:val="24"/>
          <w:szCs w:val="24"/>
        </w:rPr>
        <w:t xml:space="preserve"> contrary to Ohio’s pro</w:t>
      </w:r>
      <w:r w:rsidR="00017666">
        <w:rPr>
          <w:rFonts w:ascii="Arial" w:eastAsiaTheme="minorHAnsi" w:hAnsi="Arial" w:cs="Arial"/>
          <w:sz w:val="24"/>
          <w:szCs w:val="24"/>
        </w:rPr>
        <w:t>-</w:t>
      </w:r>
      <w:r w:rsidR="00DA7E0F">
        <w:rPr>
          <w:rFonts w:ascii="Arial" w:eastAsiaTheme="minorHAnsi" w:hAnsi="Arial" w:cs="Arial"/>
          <w:sz w:val="24"/>
          <w:szCs w:val="24"/>
        </w:rPr>
        <w:t>competitive market policies.</w:t>
      </w:r>
      <w:r w:rsidR="00017666">
        <w:rPr>
          <w:rFonts w:ascii="Arial" w:eastAsiaTheme="minorHAnsi" w:hAnsi="Arial" w:cs="Arial"/>
          <w:sz w:val="24"/>
          <w:szCs w:val="24"/>
        </w:rPr>
        <w:t xml:space="preserve"> </w:t>
      </w:r>
      <w:r w:rsidR="00DA7E0F">
        <w:rPr>
          <w:rFonts w:ascii="Arial" w:eastAsiaTheme="minorHAnsi" w:hAnsi="Arial" w:cs="Arial"/>
          <w:sz w:val="24"/>
          <w:szCs w:val="24"/>
        </w:rPr>
        <w:t xml:space="preserve"> Additionally</w:t>
      </w:r>
      <w:r w:rsidR="00017666">
        <w:rPr>
          <w:rFonts w:ascii="Arial" w:eastAsiaTheme="minorHAnsi" w:hAnsi="Arial" w:cs="Arial"/>
          <w:sz w:val="24"/>
          <w:szCs w:val="24"/>
        </w:rPr>
        <w:t>,</w:t>
      </w:r>
      <w:r w:rsidR="00DA7E0F">
        <w:rPr>
          <w:rFonts w:ascii="Arial" w:eastAsiaTheme="minorHAnsi" w:hAnsi="Arial" w:cs="Arial"/>
          <w:sz w:val="24"/>
          <w:szCs w:val="24"/>
        </w:rPr>
        <w:t xml:space="preserve"> and based upon discussions with IEU-Ohio counsel, it is my understanding these proposed changes are contrary to Ohio and federal law.</w:t>
      </w:r>
      <w:r w:rsidR="008673D1">
        <w:rPr>
          <w:rFonts w:ascii="Arial" w:eastAsiaTheme="minorHAnsi" w:hAnsi="Arial" w:cs="Arial"/>
          <w:sz w:val="24"/>
          <w:szCs w:val="24"/>
        </w:rPr>
        <w:t xml:space="preserve"> </w:t>
      </w:r>
    </w:p>
    <w:p w:rsidR="00AA6560" w:rsidRDefault="000556C6">
      <w:pPr>
        <w:autoSpaceDE w:val="0"/>
        <w:autoSpaceDN w:val="0"/>
        <w:adjustRightInd w:val="0"/>
        <w:spacing w:before="240" w:after="0" w:line="480" w:lineRule="auto"/>
        <w:ind w:left="720" w:hanging="720"/>
        <w:jc w:val="both"/>
        <w:rPr>
          <w:b/>
          <w:sz w:val="24"/>
          <w:szCs w:val="24"/>
        </w:rPr>
      </w:pPr>
      <w:r>
        <w:rPr>
          <w:b/>
          <w:sz w:val="24"/>
          <w:szCs w:val="24"/>
        </w:rPr>
        <w:lastRenderedPageBreak/>
        <w:t>II</w:t>
      </w:r>
      <w:r w:rsidR="000B542E">
        <w:rPr>
          <w:b/>
          <w:sz w:val="24"/>
          <w:szCs w:val="24"/>
        </w:rPr>
        <w:t>I</w:t>
      </w:r>
      <w:r>
        <w:rPr>
          <w:b/>
          <w:sz w:val="24"/>
          <w:szCs w:val="24"/>
        </w:rPr>
        <w:t>.</w:t>
      </w:r>
      <w:r>
        <w:rPr>
          <w:b/>
          <w:sz w:val="24"/>
          <w:szCs w:val="24"/>
        </w:rPr>
        <w:tab/>
      </w:r>
      <w:r w:rsidR="00DA7E0F">
        <w:rPr>
          <w:b/>
          <w:sz w:val="24"/>
          <w:szCs w:val="24"/>
        </w:rPr>
        <w:t>ECONOMIC STABILITY PROGRAM</w:t>
      </w:r>
    </w:p>
    <w:p w:rsidR="008B4BD2" w:rsidRDefault="008B4BD2">
      <w:pPr>
        <w:autoSpaceDE w:val="0"/>
        <w:autoSpaceDN w:val="0"/>
        <w:adjustRightInd w:val="0"/>
        <w:spacing w:before="240" w:after="0" w:line="480" w:lineRule="auto"/>
        <w:ind w:left="720" w:hanging="720"/>
        <w:jc w:val="both"/>
        <w:rPr>
          <w:b/>
          <w:sz w:val="24"/>
          <w:szCs w:val="24"/>
        </w:rPr>
      </w:pPr>
      <w:r>
        <w:rPr>
          <w:b/>
          <w:sz w:val="24"/>
          <w:szCs w:val="24"/>
        </w:rPr>
        <w:t>Q8</w:t>
      </w:r>
      <w:r w:rsidR="00AA6560">
        <w:rPr>
          <w:b/>
          <w:sz w:val="24"/>
          <w:szCs w:val="24"/>
        </w:rPr>
        <w:t>.</w:t>
      </w:r>
      <w:r w:rsidR="00AA6560">
        <w:rPr>
          <w:b/>
          <w:sz w:val="24"/>
          <w:szCs w:val="24"/>
        </w:rPr>
        <w:tab/>
      </w:r>
      <w:r>
        <w:rPr>
          <w:b/>
          <w:sz w:val="24"/>
          <w:szCs w:val="24"/>
        </w:rPr>
        <w:t>What is the pr</w:t>
      </w:r>
      <w:r w:rsidR="00DC08A7">
        <w:rPr>
          <w:b/>
          <w:sz w:val="24"/>
          <w:szCs w:val="24"/>
        </w:rPr>
        <w:t>o</w:t>
      </w:r>
      <w:r>
        <w:rPr>
          <w:b/>
          <w:sz w:val="24"/>
          <w:szCs w:val="24"/>
        </w:rPr>
        <w:t>pose</w:t>
      </w:r>
      <w:r w:rsidR="00DC08A7">
        <w:rPr>
          <w:b/>
          <w:sz w:val="24"/>
          <w:szCs w:val="24"/>
        </w:rPr>
        <w:t>d Economic Stability Program</w:t>
      </w:r>
      <w:r>
        <w:rPr>
          <w:b/>
          <w:sz w:val="24"/>
          <w:szCs w:val="24"/>
        </w:rPr>
        <w:t>?</w:t>
      </w:r>
    </w:p>
    <w:p w:rsidR="00A330B0" w:rsidRDefault="00662D34" w:rsidP="00DC08A7">
      <w:pPr>
        <w:autoSpaceDE w:val="0"/>
        <w:autoSpaceDN w:val="0"/>
        <w:adjustRightInd w:val="0"/>
        <w:spacing w:before="240" w:after="0" w:line="480" w:lineRule="auto"/>
        <w:ind w:left="720" w:hanging="720"/>
        <w:jc w:val="both"/>
        <w:rPr>
          <w:sz w:val="24"/>
          <w:szCs w:val="24"/>
        </w:rPr>
      </w:pPr>
      <w:r>
        <w:rPr>
          <w:sz w:val="24"/>
          <w:szCs w:val="24"/>
        </w:rPr>
        <w:t>A</w:t>
      </w:r>
      <w:r w:rsidR="008B4BD2">
        <w:rPr>
          <w:sz w:val="24"/>
          <w:szCs w:val="24"/>
        </w:rPr>
        <w:t>8</w:t>
      </w:r>
      <w:r w:rsidR="00AA6560">
        <w:rPr>
          <w:sz w:val="24"/>
          <w:szCs w:val="24"/>
        </w:rPr>
        <w:t>.</w:t>
      </w:r>
      <w:r w:rsidR="00AA6560">
        <w:rPr>
          <w:sz w:val="24"/>
          <w:szCs w:val="24"/>
        </w:rPr>
        <w:tab/>
      </w:r>
      <w:r w:rsidR="00DC08A7">
        <w:rPr>
          <w:sz w:val="24"/>
          <w:szCs w:val="24"/>
        </w:rPr>
        <w:t>The proposed Economic Stability Program is discussed in the pre-filed written testimony of FirstEnergy witnesses Moul, Strah, Ruberto, Harden, Cunningham, Lisowski, Mikkelsen, Savage, Staub, Rose and Murley.</w:t>
      </w:r>
      <w:r w:rsidR="00017666">
        <w:rPr>
          <w:sz w:val="24"/>
          <w:szCs w:val="24"/>
        </w:rPr>
        <w:t xml:space="preserve"> </w:t>
      </w:r>
      <w:r w:rsidR="00DC08A7">
        <w:rPr>
          <w:sz w:val="24"/>
          <w:szCs w:val="24"/>
        </w:rPr>
        <w:t xml:space="preserve"> As proposed by FirstEnergy, approval of the Economic Stability Program would result in FirstEnergy entering into a power purchase contract with its non-regulated affiliate, FirstEnergy Solutions (“FES”). </w:t>
      </w:r>
      <w:r w:rsidR="00017666">
        <w:rPr>
          <w:sz w:val="24"/>
          <w:szCs w:val="24"/>
        </w:rPr>
        <w:t xml:space="preserve"> </w:t>
      </w:r>
      <w:r w:rsidR="00DC08A7">
        <w:rPr>
          <w:sz w:val="24"/>
          <w:szCs w:val="24"/>
        </w:rPr>
        <w:t xml:space="preserve">The power purchase contract </w:t>
      </w:r>
      <w:r w:rsidR="00A330B0">
        <w:rPr>
          <w:sz w:val="24"/>
          <w:szCs w:val="24"/>
        </w:rPr>
        <w:t>would</w:t>
      </w:r>
      <w:r w:rsidR="00DC08A7">
        <w:rPr>
          <w:sz w:val="24"/>
          <w:szCs w:val="24"/>
        </w:rPr>
        <w:t xml:space="preserve"> provide FirstEnergy with entitlement to receive all of the outputs (capacity, energy and ancillary services) associated with </w:t>
      </w:r>
      <w:r w:rsidR="00E46298">
        <w:rPr>
          <w:sz w:val="24"/>
          <w:szCs w:val="24"/>
        </w:rPr>
        <w:t>F</w:t>
      </w:r>
      <w:r w:rsidR="00DC08A7">
        <w:rPr>
          <w:sz w:val="24"/>
          <w:szCs w:val="24"/>
        </w:rPr>
        <w:t xml:space="preserve">ES’s ownership interests in the </w:t>
      </w:r>
      <w:r w:rsidR="00DC08A7" w:rsidRPr="00DC08A7">
        <w:rPr>
          <w:sz w:val="24"/>
          <w:szCs w:val="24"/>
        </w:rPr>
        <w:t>Davis-Besse</w:t>
      </w:r>
      <w:r w:rsidR="00DC08A7">
        <w:rPr>
          <w:sz w:val="24"/>
          <w:szCs w:val="24"/>
        </w:rPr>
        <w:t xml:space="preserve"> Nuclear Power Station (“Davis-</w:t>
      </w:r>
      <w:r w:rsidR="00DC08A7" w:rsidRPr="00DC08A7">
        <w:rPr>
          <w:sz w:val="24"/>
          <w:szCs w:val="24"/>
        </w:rPr>
        <w:t>Besse”) in Oak Harbor, Ohio and W.H. Sammis Plant (“Sammis”) in Stratton, Ohio</w:t>
      </w:r>
      <w:r w:rsidR="00017666">
        <w:rPr>
          <w:sz w:val="24"/>
          <w:szCs w:val="24"/>
        </w:rPr>
        <w:t>,</w:t>
      </w:r>
      <w:r w:rsidR="00DC08A7">
        <w:rPr>
          <w:sz w:val="24"/>
          <w:szCs w:val="24"/>
        </w:rPr>
        <w:t xml:space="preserve"> </w:t>
      </w:r>
      <w:r w:rsidR="00DC08A7" w:rsidRPr="00DC08A7">
        <w:rPr>
          <w:sz w:val="24"/>
          <w:szCs w:val="24"/>
        </w:rPr>
        <w:t>as well as FES’s entitlement to the output of two generating</w:t>
      </w:r>
      <w:r w:rsidR="00E10188">
        <w:rPr>
          <w:sz w:val="24"/>
          <w:szCs w:val="24"/>
        </w:rPr>
        <w:t xml:space="preserve"> </w:t>
      </w:r>
      <w:r w:rsidR="00DC08A7" w:rsidRPr="00DC08A7">
        <w:rPr>
          <w:sz w:val="24"/>
          <w:szCs w:val="24"/>
        </w:rPr>
        <w:t>units owned and operated by Ohio Valle</w:t>
      </w:r>
      <w:r w:rsidR="00E10188">
        <w:rPr>
          <w:sz w:val="24"/>
          <w:szCs w:val="24"/>
        </w:rPr>
        <w:t>y E</w:t>
      </w:r>
      <w:r w:rsidR="00017666">
        <w:rPr>
          <w:sz w:val="24"/>
          <w:szCs w:val="24"/>
        </w:rPr>
        <w:t xml:space="preserve">lectric Corporation (“OVEC”).  </w:t>
      </w:r>
      <w:r w:rsidR="00E10188">
        <w:rPr>
          <w:sz w:val="24"/>
          <w:szCs w:val="24"/>
        </w:rPr>
        <w:t xml:space="preserve">FirstEnergy would purchase the output of these generating facilities through a </w:t>
      </w:r>
      <w:r w:rsidR="004F045A">
        <w:rPr>
          <w:sz w:val="24"/>
          <w:szCs w:val="24"/>
        </w:rPr>
        <w:t>formula</w:t>
      </w:r>
      <w:r w:rsidR="00E10188">
        <w:rPr>
          <w:sz w:val="24"/>
          <w:szCs w:val="24"/>
        </w:rPr>
        <w:t>-based rate</w:t>
      </w:r>
      <w:r w:rsidR="002864C1">
        <w:rPr>
          <w:sz w:val="24"/>
          <w:szCs w:val="24"/>
        </w:rPr>
        <w:t xml:space="preserve"> and</w:t>
      </w:r>
      <w:r w:rsidR="00017666">
        <w:rPr>
          <w:sz w:val="24"/>
          <w:szCs w:val="24"/>
        </w:rPr>
        <w:t>,</w:t>
      </w:r>
      <w:r w:rsidR="002864C1">
        <w:rPr>
          <w:sz w:val="24"/>
          <w:szCs w:val="24"/>
        </w:rPr>
        <w:t xml:space="preserve"> in turn</w:t>
      </w:r>
      <w:r w:rsidR="00017666">
        <w:rPr>
          <w:sz w:val="24"/>
          <w:szCs w:val="24"/>
        </w:rPr>
        <w:t>,</w:t>
      </w:r>
      <w:r w:rsidR="002864C1">
        <w:rPr>
          <w:sz w:val="24"/>
          <w:szCs w:val="24"/>
        </w:rPr>
        <w:t xml:space="preserve"> sell all of the output of these facilities into the regional electricity markets operated by PJM Interconnection LLC (“PJM”).</w:t>
      </w:r>
      <w:r w:rsidR="00017666">
        <w:rPr>
          <w:sz w:val="24"/>
          <w:szCs w:val="24"/>
        </w:rPr>
        <w:t xml:space="preserve"> </w:t>
      </w:r>
      <w:r w:rsidR="002864C1">
        <w:rPr>
          <w:sz w:val="24"/>
          <w:szCs w:val="24"/>
        </w:rPr>
        <w:t xml:space="preserve"> </w:t>
      </w:r>
      <w:r w:rsidR="00A330B0">
        <w:rPr>
          <w:sz w:val="24"/>
          <w:szCs w:val="24"/>
        </w:rPr>
        <w:t>The costs charged to FirstEnergy would include any legacy cost</w:t>
      </w:r>
      <w:r w:rsidR="00017666">
        <w:rPr>
          <w:sz w:val="24"/>
          <w:szCs w:val="24"/>
        </w:rPr>
        <w:t>s</w:t>
      </w:r>
      <w:r w:rsidR="00A330B0">
        <w:rPr>
          <w:sz w:val="24"/>
          <w:szCs w:val="24"/>
        </w:rPr>
        <w:t xml:space="preserve"> associated with operating these facilities, any incremental costs required to keep the facilities operational</w:t>
      </w:r>
      <w:r w:rsidR="00017666">
        <w:rPr>
          <w:sz w:val="24"/>
          <w:szCs w:val="24"/>
        </w:rPr>
        <w:t>,</w:t>
      </w:r>
      <w:r w:rsidR="00A330B0">
        <w:rPr>
          <w:sz w:val="24"/>
          <w:szCs w:val="24"/>
        </w:rPr>
        <w:t xml:space="preserve"> and the variable costs of operating the facilities. </w:t>
      </w:r>
      <w:r w:rsidR="00017666">
        <w:rPr>
          <w:sz w:val="24"/>
          <w:szCs w:val="24"/>
        </w:rPr>
        <w:t xml:space="preserve"> </w:t>
      </w:r>
    </w:p>
    <w:p w:rsidR="00F655EA" w:rsidRDefault="00A330B0" w:rsidP="00A330B0">
      <w:pPr>
        <w:autoSpaceDE w:val="0"/>
        <w:autoSpaceDN w:val="0"/>
        <w:adjustRightInd w:val="0"/>
        <w:spacing w:before="240" w:after="0" w:line="480" w:lineRule="auto"/>
        <w:ind w:left="720"/>
        <w:jc w:val="both"/>
        <w:rPr>
          <w:sz w:val="24"/>
          <w:szCs w:val="24"/>
        </w:rPr>
      </w:pPr>
      <w:r>
        <w:rPr>
          <w:sz w:val="24"/>
          <w:szCs w:val="24"/>
        </w:rPr>
        <w:t>FirstE</w:t>
      </w:r>
      <w:r w:rsidR="00193907">
        <w:rPr>
          <w:sz w:val="24"/>
          <w:szCs w:val="24"/>
        </w:rPr>
        <w:t>nergy would</w:t>
      </w:r>
      <w:r w:rsidR="00017666">
        <w:rPr>
          <w:sz w:val="24"/>
          <w:szCs w:val="24"/>
        </w:rPr>
        <w:t>,</w:t>
      </w:r>
      <w:r w:rsidR="00193907">
        <w:rPr>
          <w:sz w:val="24"/>
          <w:szCs w:val="24"/>
        </w:rPr>
        <w:t xml:space="preserve"> in turn</w:t>
      </w:r>
      <w:r w:rsidR="00017666">
        <w:rPr>
          <w:sz w:val="24"/>
          <w:szCs w:val="24"/>
        </w:rPr>
        <w:t>,</w:t>
      </w:r>
      <w:r w:rsidR="00193907">
        <w:rPr>
          <w:sz w:val="24"/>
          <w:szCs w:val="24"/>
        </w:rPr>
        <w:t xml:space="preserve"> require that</w:t>
      </w:r>
      <w:r>
        <w:rPr>
          <w:sz w:val="24"/>
          <w:szCs w:val="24"/>
        </w:rPr>
        <w:t xml:space="preserve"> any output associated with these generating facilities be sold into the regional energy, capacity and ancillary service</w:t>
      </w:r>
      <w:r w:rsidR="00017666">
        <w:rPr>
          <w:sz w:val="24"/>
          <w:szCs w:val="24"/>
        </w:rPr>
        <w:t>s</w:t>
      </w:r>
      <w:r>
        <w:rPr>
          <w:sz w:val="24"/>
          <w:szCs w:val="24"/>
        </w:rPr>
        <w:t xml:space="preserve"> markets for electricity </w:t>
      </w:r>
      <w:r w:rsidR="00017666">
        <w:rPr>
          <w:sz w:val="24"/>
          <w:szCs w:val="24"/>
        </w:rPr>
        <w:t>markets operated</w:t>
      </w:r>
      <w:r>
        <w:rPr>
          <w:sz w:val="24"/>
          <w:szCs w:val="24"/>
        </w:rPr>
        <w:t xml:space="preserve"> by PJM. </w:t>
      </w:r>
      <w:r w:rsidR="00017666">
        <w:rPr>
          <w:sz w:val="24"/>
          <w:szCs w:val="24"/>
        </w:rPr>
        <w:t xml:space="preserve"> </w:t>
      </w:r>
      <w:r>
        <w:rPr>
          <w:sz w:val="24"/>
          <w:szCs w:val="24"/>
        </w:rPr>
        <w:t xml:space="preserve">The differences </w:t>
      </w:r>
      <w:r>
        <w:rPr>
          <w:sz w:val="24"/>
          <w:szCs w:val="24"/>
        </w:rPr>
        <w:lastRenderedPageBreak/>
        <w:t>between any cost</w:t>
      </w:r>
      <w:r w:rsidR="00017666">
        <w:rPr>
          <w:sz w:val="24"/>
          <w:szCs w:val="24"/>
        </w:rPr>
        <w:t>s</w:t>
      </w:r>
      <w:r>
        <w:rPr>
          <w:sz w:val="24"/>
          <w:szCs w:val="24"/>
        </w:rPr>
        <w:t xml:space="preserve"> char</w:t>
      </w:r>
      <w:r w:rsidR="00017666">
        <w:rPr>
          <w:sz w:val="24"/>
          <w:szCs w:val="24"/>
        </w:rPr>
        <w:t>ged to FirstEnergy as a result o</w:t>
      </w:r>
      <w:r>
        <w:rPr>
          <w:sz w:val="24"/>
          <w:szCs w:val="24"/>
        </w:rPr>
        <w:t xml:space="preserve">f its contract with FES and revenues received from sales into the electricity markets operated by PJM would become a revenue requirement either charged </w:t>
      </w:r>
      <w:r w:rsidR="00017666">
        <w:rPr>
          <w:sz w:val="24"/>
          <w:szCs w:val="24"/>
        </w:rPr>
        <w:t xml:space="preserve">to </w:t>
      </w:r>
      <w:r>
        <w:rPr>
          <w:sz w:val="24"/>
          <w:szCs w:val="24"/>
        </w:rPr>
        <w:t>or collected from customers under</w:t>
      </w:r>
      <w:r w:rsidR="00496EB7">
        <w:rPr>
          <w:sz w:val="24"/>
          <w:szCs w:val="24"/>
        </w:rPr>
        <w:t xml:space="preserve"> FirstEnergy’s proposed RRS Rider</w:t>
      </w:r>
      <w:r>
        <w:rPr>
          <w:sz w:val="24"/>
          <w:szCs w:val="24"/>
        </w:rPr>
        <w:t xml:space="preserve">. </w:t>
      </w:r>
      <w:r w:rsidR="00DC08A7">
        <w:rPr>
          <w:sz w:val="24"/>
          <w:szCs w:val="24"/>
        </w:rPr>
        <w:t xml:space="preserve"> </w:t>
      </w:r>
    </w:p>
    <w:p w:rsidR="005A64B4" w:rsidRDefault="005A64B4" w:rsidP="00A330B0">
      <w:pPr>
        <w:autoSpaceDE w:val="0"/>
        <w:autoSpaceDN w:val="0"/>
        <w:adjustRightInd w:val="0"/>
        <w:spacing w:before="240" w:after="0" w:line="480" w:lineRule="auto"/>
        <w:ind w:left="720"/>
        <w:jc w:val="both"/>
        <w:rPr>
          <w:sz w:val="24"/>
          <w:szCs w:val="24"/>
        </w:rPr>
      </w:pPr>
      <w:r>
        <w:rPr>
          <w:sz w:val="24"/>
          <w:szCs w:val="24"/>
        </w:rPr>
        <w:t>FirstEnergy witness</w:t>
      </w:r>
      <w:r w:rsidR="00193907">
        <w:rPr>
          <w:sz w:val="24"/>
          <w:szCs w:val="24"/>
        </w:rPr>
        <w:t xml:space="preserve"> Lisowski </w:t>
      </w:r>
      <w:r>
        <w:rPr>
          <w:sz w:val="24"/>
          <w:szCs w:val="24"/>
        </w:rPr>
        <w:t xml:space="preserve">has </w:t>
      </w:r>
      <w:r w:rsidR="00193907">
        <w:rPr>
          <w:sz w:val="24"/>
          <w:szCs w:val="24"/>
        </w:rPr>
        <w:t xml:space="preserve">included in his testimony projected revenues </w:t>
      </w:r>
      <w:r w:rsidR="00017666">
        <w:rPr>
          <w:sz w:val="24"/>
          <w:szCs w:val="24"/>
        </w:rPr>
        <w:t>and expenses for the Davis-Bess</w:t>
      </w:r>
      <w:r w:rsidR="00193907">
        <w:rPr>
          <w:sz w:val="24"/>
          <w:szCs w:val="24"/>
        </w:rPr>
        <w:t>e, Sammis and OVEC facilities for each year</w:t>
      </w:r>
      <w:r w:rsidR="00017666">
        <w:rPr>
          <w:sz w:val="24"/>
          <w:szCs w:val="24"/>
        </w:rPr>
        <w:t xml:space="preserve"> of the facilities</w:t>
      </w:r>
      <w:r w:rsidR="00E46298">
        <w:rPr>
          <w:sz w:val="24"/>
          <w:szCs w:val="24"/>
        </w:rPr>
        <w:t>’</w:t>
      </w:r>
      <w:r w:rsidR="00017666">
        <w:rPr>
          <w:sz w:val="24"/>
          <w:szCs w:val="24"/>
        </w:rPr>
        <w:t xml:space="preserve"> remaining liv</w:t>
      </w:r>
      <w:r w:rsidR="00193907">
        <w:rPr>
          <w:sz w:val="24"/>
          <w:szCs w:val="24"/>
        </w:rPr>
        <w:t>e</w:t>
      </w:r>
      <w:r w:rsidR="00017666">
        <w:rPr>
          <w:sz w:val="24"/>
          <w:szCs w:val="24"/>
        </w:rPr>
        <w:t>s</w:t>
      </w:r>
      <w:r w:rsidR="00193907">
        <w:rPr>
          <w:sz w:val="24"/>
          <w:szCs w:val="24"/>
        </w:rPr>
        <w:t>.</w:t>
      </w:r>
      <w:r w:rsidR="00017666">
        <w:rPr>
          <w:sz w:val="24"/>
          <w:szCs w:val="24"/>
        </w:rPr>
        <w:t xml:space="preserve">  Those estimates indicate</w:t>
      </w:r>
      <w:r w:rsidR="00193907">
        <w:rPr>
          <w:sz w:val="24"/>
          <w:szCs w:val="24"/>
        </w:rPr>
        <w:t xml:space="preserve"> that the Economic Stability Program would result in a net cost to customers du</w:t>
      </w:r>
      <w:r w:rsidR="00017666">
        <w:rPr>
          <w:sz w:val="24"/>
          <w:szCs w:val="24"/>
        </w:rPr>
        <w:t xml:space="preserve">ring the term of the ESP IV. </w:t>
      </w:r>
      <w:r w:rsidR="00193907">
        <w:rPr>
          <w:sz w:val="24"/>
          <w:szCs w:val="24"/>
        </w:rPr>
        <w:t xml:space="preserve"> </w:t>
      </w:r>
      <w:r>
        <w:rPr>
          <w:sz w:val="24"/>
          <w:szCs w:val="24"/>
        </w:rPr>
        <w:t xml:space="preserve">However, </w:t>
      </w:r>
      <w:r w:rsidR="00CC2F3B">
        <w:rPr>
          <w:sz w:val="24"/>
          <w:szCs w:val="24"/>
        </w:rPr>
        <w:t xml:space="preserve">FirstEnergy witness Fanelli </w:t>
      </w:r>
      <w:r>
        <w:rPr>
          <w:sz w:val="24"/>
          <w:szCs w:val="24"/>
        </w:rPr>
        <w:t xml:space="preserve">testifies that eventually FirstEnergy’s revenues received by PJM electricity markets due to the sales associated with the Economic Stability Program will exceed the costs </w:t>
      </w:r>
      <w:r w:rsidR="00CC2F3B">
        <w:rPr>
          <w:sz w:val="24"/>
          <w:szCs w:val="24"/>
        </w:rPr>
        <w:t xml:space="preserve">associated with </w:t>
      </w:r>
      <w:r>
        <w:rPr>
          <w:sz w:val="24"/>
          <w:szCs w:val="24"/>
        </w:rPr>
        <w:t>its power purchase contr</w:t>
      </w:r>
      <w:r w:rsidR="00CC2F3B">
        <w:rPr>
          <w:sz w:val="24"/>
          <w:szCs w:val="24"/>
        </w:rPr>
        <w:t>a</w:t>
      </w:r>
      <w:r>
        <w:rPr>
          <w:sz w:val="24"/>
          <w:szCs w:val="24"/>
        </w:rPr>
        <w:t>ct with FES.</w:t>
      </w:r>
      <w:r w:rsidR="00017666">
        <w:rPr>
          <w:sz w:val="24"/>
          <w:szCs w:val="24"/>
        </w:rPr>
        <w:t xml:space="preserve"> </w:t>
      </w:r>
      <w:r>
        <w:rPr>
          <w:sz w:val="24"/>
          <w:szCs w:val="24"/>
        </w:rPr>
        <w:t xml:space="preserve"> Witness </w:t>
      </w:r>
      <w:r w:rsidR="00CC2F3B">
        <w:rPr>
          <w:sz w:val="24"/>
          <w:szCs w:val="24"/>
        </w:rPr>
        <w:t>Fanelli</w:t>
      </w:r>
      <w:r>
        <w:rPr>
          <w:sz w:val="24"/>
          <w:szCs w:val="24"/>
        </w:rPr>
        <w:t xml:space="preserve"> concludes that the Economic Stability Program will provide FirstEnergy’s retail customers with over $2</w:t>
      </w:r>
      <w:r w:rsidR="00496EB7">
        <w:rPr>
          <w:sz w:val="24"/>
          <w:szCs w:val="24"/>
        </w:rPr>
        <w:t>.1</w:t>
      </w:r>
      <w:r>
        <w:rPr>
          <w:sz w:val="24"/>
          <w:szCs w:val="24"/>
        </w:rPr>
        <w:t xml:space="preserve"> billion in benefits</w:t>
      </w:r>
      <w:r w:rsidR="00017666">
        <w:rPr>
          <w:sz w:val="24"/>
          <w:szCs w:val="24"/>
        </w:rPr>
        <w:t xml:space="preserve"> during the remaining lives</w:t>
      </w:r>
      <w:r w:rsidR="00496EB7">
        <w:rPr>
          <w:sz w:val="24"/>
          <w:szCs w:val="24"/>
        </w:rPr>
        <w:t xml:space="preserve"> of the generating facilities subject to the Economic Stability Progra</w:t>
      </w:r>
      <w:r w:rsidR="00CC2F3B">
        <w:rPr>
          <w:sz w:val="24"/>
          <w:szCs w:val="24"/>
        </w:rPr>
        <w:t xml:space="preserve">m and </w:t>
      </w:r>
      <w:r w:rsidR="00017666">
        <w:rPr>
          <w:sz w:val="24"/>
          <w:szCs w:val="24"/>
        </w:rPr>
        <w:t xml:space="preserve">that </w:t>
      </w:r>
      <w:r w:rsidR="00CC2F3B">
        <w:rPr>
          <w:sz w:val="24"/>
          <w:szCs w:val="24"/>
        </w:rPr>
        <w:t>this is equivalent to $807.6</w:t>
      </w:r>
      <w:r w:rsidR="00496EB7">
        <w:rPr>
          <w:sz w:val="24"/>
          <w:szCs w:val="24"/>
        </w:rPr>
        <w:t xml:space="preserve"> million in benefits</w:t>
      </w:r>
      <w:r>
        <w:rPr>
          <w:sz w:val="24"/>
          <w:szCs w:val="24"/>
        </w:rPr>
        <w:t xml:space="preserve"> on a net present value basis.</w:t>
      </w:r>
    </w:p>
    <w:p w:rsidR="00CE57A6" w:rsidRDefault="00662D34" w:rsidP="00634033">
      <w:pPr>
        <w:autoSpaceDE w:val="0"/>
        <w:autoSpaceDN w:val="0"/>
        <w:adjustRightInd w:val="0"/>
        <w:spacing w:before="240" w:after="0" w:line="480" w:lineRule="auto"/>
        <w:ind w:left="720" w:hanging="720"/>
        <w:jc w:val="both"/>
        <w:rPr>
          <w:b/>
          <w:sz w:val="24"/>
          <w:szCs w:val="24"/>
        </w:rPr>
      </w:pPr>
      <w:r>
        <w:rPr>
          <w:b/>
          <w:sz w:val="24"/>
          <w:szCs w:val="24"/>
        </w:rPr>
        <w:t>Q</w:t>
      </w:r>
      <w:r w:rsidR="00767CB2">
        <w:rPr>
          <w:b/>
          <w:sz w:val="24"/>
          <w:szCs w:val="24"/>
        </w:rPr>
        <w:t>9</w:t>
      </w:r>
      <w:r w:rsidR="00223B8D">
        <w:rPr>
          <w:b/>
          <w:sz w:val="24"/>
          <w:szCs w:val="24"/>
        </w:rPr>
        <w:t>.</w:t>
      </w:r>
      <w:r w:rsidR="00223B8D">
        <w:rPr>
          <w:b/>
          <w:sz w:val="24"/>
          <w:szCs w:val="24"/>
        </w:rPr>
        <w:tab/>
      </w:r>
      <w:r w:rsidR="00767CB2">
        <w:rPr>
          <w:b/>
          <w:sz w:val="24"/>
          <w:szCs w:val="24"/>
        </w:rPr>
        <w:t>Should the Commission approve the</w:t>
      </w:r>
      <w:r w:rsidR="00634033">
        <w:rPr>
          <w:b/>
          <w:sz w:val="24"/>
          <w:szCs w:val="24"/>
        </w:rPr>
        <w:t xml:space="preserve"> Economic Stability Program and the associated </w:t>
      </w:r>
      <w:r w:rsidR="00496EB7">
        <w:rPr>
          <w:b/>
          <w:sz w:val="24"/>
          <w:szCs w:val="24"/>
        </w:rPr>
        <w:t xml:space="preserve">RRS </w:t>
      </w:r>
      <w:r w:rsidR="00767CB2">
        <w:rPr>
          <w:b/>
          <w:sz w:val="24"/>
          <w:szCs w:val="24"/>
        </w:rPr>
        <w:t xml:space="preserve">Rider? </w:t>
      </w:r>
    </w:p>
    <w:p w:rsidR="00081A82" w:rsidRDefault="00662D34">
      <w:pPr>
        <w:autoSpaceDE w:val="0"/>
        <w:autoSpaceDN w:val="0"/>
        <w:adjustRightInd w:val="0"/>
        <w:spacing w:before="240" w:after="0" w:line="480" w:lineRule="auto"/>
        <w:ind w:left="720" w:hanging="720"/>
        <w:jc w:val="both"/>
        <w:rPr>
          <w:sz w:val="24"/>
          <w:szCs w:val="24"/>
        </w:rPr>
      </w:pPr>
      <w:r>
        <w:rPr>
          <w:sz w:val="24"/>
          <w:szCs w:val="24"/>
        </w:rPr>
        <w:t>A</w:t>
      </w:r>
      <w:r w:rsidR="00767CB2">
        <w:rPr>
          <w:sz w:val="24"/>
          <w:szCs w:val="24"/>
        </w:rPr>
        <w:t>9</w:t>
      </w:r>
      <w:r w:rsidR="00CE57A6">
        <w:rPr>
          <w:sz w:val="24"/>
          <w:szCs w:val="24"/>
        </w:rPr>
        <w:t>.</w:t>
      </w:r>
      <w:r w:rsidR="00CE57A6">
        <w:rPr>
          <w:sz w:val="24"/>
          <w:szCs w:val="24"/>
        </w:rPr>
        <w:tab/>
      </w:r>
      <w:r w:rsidR="00767CB2">
        <w:rPr>
          <w:sz w:val="24"/>
          <w:szCs w:val="24"/>
        </w:rPr>
        <w:t xml:space="preserve">No. </w:t>
      </w:r>
      <w:r w:rsidR="00195E87">
        <w:rPr>
          <w:sz w:val="24"/>
          <w:szCs w:val="24"/>
        </w:rPr>
        <w:t xml:space="preserve"> </w:t>
      </w:r>
      <w:r w:rsidR="00767CB2">
        <w:rPr>
          <w:sz w:val="24"/>
          <w:szCs w:val="24"/>
        </w:rPr>
        <w:t>There are m</w:t>
      </w:r>
      <w:r w:rsidR="00823CBC">
        <w:rPr>
          <w:sz w:val="24"/>
          <w:szCs w:val="24"/>
        </w:rPr>
        <w:t>ultiple reasons to justify not a</w:t>
      </w:r>
      <w:r w:rsidR="00767CB2">
        <w:rPr>
          <w:sz w:val="24"/>
          <w:szCs w:val="24"/>
        </w:rPr>
        <w:t xml:space="preserve">pproving the </w:t>
      </w:r>
      <w:r w:rsidR="00634033">
        <w:rPr>
          <w:sz w:val="24"/>
          <w:szCs w:val="24"/>
        </w:rPr>
        <w:t xml:space="preserve">Economic Stability Program and the associated </w:t>
      </w:r>
      <w:r w:rsidR="00496EB7">
        <w:rPr>
          <w:sz w:val="24"/>
          <w:szCs w:val="24"/>
        </w:rPr>
        <w:t>RRS</w:t>
      </w:r>
      <w:r w:rsidR="00634033">
        <w:rPr>
          <w:sz w:val="24"/>
          <w:szCs w:val="24"/>
        </w:rPr>
        <w:t xml:space="preserve"> </w:t>
      </w:r>
      <w:r w:rsidR="00767CB2">
        <w:rPr>
          <w:sz w:val="24"/>
          <w:szCs w:val="24"/>
        </w:rPr>
        <w:t>Rider.</w:t>
      </w:r>
      <w:r w:rsidR="00195E87">
        <w:rPr>
          <w:sz w:val="24"/>
          <w:szCs w:val="24"/>
        </w:rPr>
        <w:t xml:space="preserve"> </w:t>
      </w:r>
      <w:r w:rsidR="00767CB2">
        <w:rPr>
          <w:sz w:val="24"/>
          <w:szCs w:val="24"/>
        </w:rPr>
        <w:t xml:space="preserve"> First, </w:t>
      </w:r>
      <w:r w:rsidR="00823CBC">
        <w:rPr>
          <w:sz w:val="24"/>
          <w:szCs w:val="24"/>
        </w:rPr>
        <w:t>the proposed contract structure between FirstEnergy and FES guarantees that FES will recover its costs associated with the generating facilities subject to</w:t>
      </w:r>
      <w:r w:rsidR="0042203D">
        <w:rPr>
          <w:sz w:val="24"/>
          <w:szCs w:val="24"/>
        </w:rPr>
        <w:t xml:space="preserve"> the Economic Stability Program</w:t>
      </w:r>
      <w:r w:rsidR="00823CBC">
        <w:rPr>
          <w:sz w:val="24"/>
          <w:szCs w:val="24"/>
        </w:rPr>
        <w:t xml:space="preserve"> regardless of whether those costs are above market. </w:t>
      </w:r>
      <w:r w:rsidR="0042203D">
        <w:rPr>
          <w:sz w:val="24"/>
          <w:szCs w:val="24"/>
        </w:rPr>
        <w:t xml:space="preserve"> </w:t>
      </w:r>
      <w:r w:rsidR="00823CBC">
        <w:rPr>
          <w:sz w:val="24"/>
          <w:szCs w:val="24"/>
        </w:rPr>
        <w:t xml:space="preserve">As such, the </w:t>
      </w:r>
      <w:r w:rsidR="00823CBC">
        <w:rPr>
          <w:sz w:val="24"/>
          <w:szCs w:val="24"/>
        </w:rPr>
        <w:lastRenderedPageBreak/>
        <w:t>contract represents an attempt to</w:t>
      </w:r>
      <w:r w:rsidR="00893963">
        <w:rPr>
          <w:sz w:val="24"/>
          <w:szCs w:val="24"/>
        </w:rPr>
        <w:t xml:space="preserve"> collect additional transition</w:t>
      </w:r>
      <w:r w:rsidR="00823CBC">
        <w:rPr>
          <w:sz w:val="24"/>
          <w:szCs w:val="24"/>
        </w:rPr>
        <w:t xml:space="preserve"> revenue when the opportunity to do so has long since passed.  Second, </w:t>
      </w:r>
      <w:r w:rsidR="00180CD9">
        <w:rPr>
          <w:sz w:val="24"/>
          <w:szCs w:val="24"/>
        </w:rPr>
        <w:t xml:space="preserve">the proposed </w:t>
      </w:r>
      <w:r w:rsidR="00496EB7">
        <w:rPr>
          <w:sz w:val="24"/>
          <w:szCs w:val="24"/>
        </w:rPr>
        <w:t>RRS</w:t>
      </w:r>
      <w:r w:rsidR="00180CD9">
        <w:rPr>
          <w:sz w:val="24"/>
          <w:szCs w:val="24"/>
        </w:rPr>
        <w:t xml:space="preserve"> R</w:t>
      </w:r>
      <w:r w:rsidR="001D5C7E">
        <w:rPr>
          <w:sz w:val="24"/>
          <w:szCs w:val="24"/>
        </w:rPr>
        <w:t xml:space="preserve">ider would result in a subsidy flowing </w:t>
      </w:r>
      <w:r w:rsidR="00EF688B">
        <w:rPr>
          <w:sz w:val="24"/>
          <w:szCs w:val="24"/>
        </w:rPr>
        <w:t xml:space="preserve">to or </w:t>
      </w:r>
      <w:r w:rsidR="001D5C7E">
        <w:rPr>
          <w:sz w:val="24"/>
          <w:szCs w:val="24"/>
        </w:rPr>
        <w:t xml:space="preserve">from </w:t>
      </w:r>
      <w:r w:rsidR="00823CBC">
        <w:rPr>
          <w:sz w:val="24"/>
          <w:szCs w:val="24"/>
        </w:rPr>
        <w:t>FirstEnergy</w:t>
      </w:r>
      <w:r w:rsidR="001D5C7E">
        <w:rPr>
          <w:sz w:val="24"/>
          <w:szCs w:val="24"/>
        </w:rPr>
        <w:t>’s non</w:t>
      </w:r>
      <w:r w:rsidR="0042203D">
        <w:rPr>
          <w:sz w:val="24"/>
          <w:szCs w:val="24"/>
        </w:rPr>
        <w:t>-</w:t>
      </w:r>
      <w:r w:rsidR="001D5C7E">
        <w:rPr>
          <w:sz w:val="24"/>
          <w:szCs w:val="24"/>
        </w:rPr>
        <w:t>competitive retail electric service distribution customers to a product or se</w:t>
      </w:r>
      <w:r w:rsidR="0042203D">
        <w:rPr>
          <w:sz w:val="24"/>
          <w:szCs w:val="24"/>
        </w:rPr>
        <w:t>rvice other than retail service -</w:t>
      </w:r>
      <w:r w:rsidR="001D5C7E">
        <w:rPr>
          <w:sz w:val="24"/>
          <w:szCs w:val="24"/>
        </w:rPr>
        <w:t xml:space="preserve"> a result that is both contrary to the state’s polici</w:t>
      </w:r>
      <w:r w:rsidR="00C82E15">
        <w:rPr>
          <w:sz w:val="24"/>
          <w:szCs w:val="24"/>
        </w:rPr>
        <w:t>es and</w:t>
      </w:r>
      <w:r w:rsidR="00D30ECC">
        <w:rPr>
          <w:sz w:val="24"/>
          <w:szCs w:val="24"/>
        </w:rPr>
        <w:t>,</w:t>
      </w:r>
      <w:r w:rsidR="00C82E15">
        <w:rPr>
          <w:sz w:val="24"/>
          <w:szCs w:val="24"/>
        </w:rPr>
        <w:t xml:space="preserve"> as I understand it</w:t>
      </w:r>
      <w:r w:rsidR="00D30ECC">
        <w:rPr>
          <w:sz w:val="24"/>
          <w:szCs w:val="24"/>
        </w:rPr>
        <w:t>,</w:t>
      </w:r>
      <w:r w:rsidR="00C82E15">
        <w:rPr>
          <w:sz w:val="24"/>
          <w:szCs w:val="24"/>
        </w:rPr>
        <w:t xml:space="preserve"> </w:t>
      </w:r>
      <w:r w:rsidR="001D5C7E">
        <w:rPr>
          <w:sz w:val="24"/>
          <w:szCs w:val="24"/>
        </w:rPr>
        <w:t xml:space="preserve">unlawful. </w:t>
      </w:r>
      <w:r w:rsidR="0042203D">
        <w:rPr>
          <w:sz w:val="24"/>
          <w:szCs w:val="24"/>
        </w:rPr>
        <w:t xml:space="preserve"> </w:t>
      </w:r>
      <w:r w:rsidR="00A97BEF">
        <w:rPr>
          <w:sz w:val="24"/>
          <w:szCs w:val="24"/>
        </w:rPr>
        <w:t xml:space="preserve">Third, the Economic Stability Program and associated RRS Rider would serve to rebundle electric generation service contrary to Ohio’s state policy. </w:t>
      </w:r>
      <w:r w:rsidR="0042203D">
        <w:rPr>
          <w:sz w:val="24"/>
          <w:szCs w:val="24"/>
        </w:rPr>
        <w:t xml:space="preserve"> </w:t>
      </w:r>
      <w:r w:rsidR="00A97BEF">
        <w:rPr>
          <w:sz w:val="24"/>
          <w:szCs w:val="24"/>
        </w:rPr>
        <w:t>Wi</w:t>
      </w:r>
      <w:r w:rsidR="0042203D">
        <w:rPr>
          <w:sz w:val="24"/>
          <w:szCs w:val="24"/>
        </w:rPr>
        <w:t xml:space="preserve">th the enactment of </w:t>
      </w:r>
      <w:r w:rsidR="00A97BEF">
        <w:rPr>
          <w:sz w:val="24"/>
          <w:szCs w:val="24"/>
        </w:rPr>
        <w:t>SB 3 in 1999, customers were given the abili</w:t>
      </w:r>
      <w:r w:rsidR="00CC2F3B">
        <w:rPr>
          <w:sz w:val="24"/>
          <w:szCs w:val="24"/>
        </w:rPr>
        <w:t>ty to independently select their</w:t>
      </w:r>
      <w:r w:rsidR="00A97BEF">
        <w:rPr>
          <w:sz w:val="24"/>
          <w:szCs w:val="24"/>
        </w:rPr>
        <w:t xml:space="preserve"> generation provider</w:t>
      </w:r>
      <w:r w:rsidR="0042203D">
        <w:rPr>
          <w:sz w:val="24"/>
          <w:szCs w:val="24"/>
        </w:rPr>
        <w:t>s</w:t>
      </w:r>
      <w:r w:rsidR="00A97BEF">
        <w:rPr>
          <w:sz w:val="24"/>
          <w:szCs w:val="24"/>
        </w:rPr>
        <w:t xml:space="preserve"> and in doing so assemble the price an</w:t>
      </w:r>
      <w:r w:rsidR="0042203D">
        <w:rPr>
          <w:sz w:val="24"/>
          <w:szCs w:val="24"/>
        </w:rPr>
        <w:t>d terms of service that provides</w:t>
      </w:r>
      <w:r w:rsidR="00A97BEF">
        <w:rPr>
          <w:sz w:val="24"/>
          <w:szCs w:val="24"/>
        </w:rPr>
        <w:t xml:space="preserve"> customer</w:t>
      </w:r>
      <w:r w:rsidR="0042203D">
        <w:rPr>
          <w:sz w:val="24"/>
          <w:szCs w:val="24"/>
        </w:rPr>
        <w:t>s</w:t>
      </w:r>
      <w:r w:rsidR="00A97BEF">
        <w:rPr>
          <w:sz w:val="24"/>
          <w:szCs w:val="24"/>
        </w:rPr>
        <w:t xml:space="preserve"> what </w:t>
      </w:r>
      <w:r w:rsidR="0042203D">
        <w:rPr>
          <w:sz w:val="24"/>
          <w:szCs w:val="24"/>
        </w:rPr>
        <w:t>they believe</w:t>
      </w:r>
      <w:r w:rsidR="00A97BEF">
        <w:rPr>
          <w:sz w:val="24"/>
          <w:szCs w:val="24"/>
        </w:rPr>
        <w:t xml:space="preserve"> </w:t>
      </w:r>
      <w:r w:rsidR="0042203D">
        <w:rPr>
          <w:sz w:val="24"/>
          <w:szCs w:val="24"/>
        </w:rPr>
        <w:t>is</w:t>
      </w:r>
      <w:r w:rsidR="00A97BEF">
        <w:rPr>
          <w:sz w:val="24"/>
          <w:szCs w:val="24"/>
        </w:rPr>
        <w:t xml:space="preserve"> the best balance of supply security, pricing and risk. </w:t>
      </w:r>
      <w:r w:rsidR="0042203D">
        <w:rPr>
          <w:sz w:val="24"/>
          <w:szCs w:val="24"/>
        </w:rPr>
        <w:t xml:space="preserve"> </w:t>
      </w:r>
      <w:r w:rsidR="00A97BEF">
        <w:rPr>
          <w:sz w:val="24"/>
          <w:szCs w:val="24"/>
        </w:rPr>
        <w:t>By proposing the Economic Stability Program</w:t>
      </w:r>
      <w:r w:rsidR="0042203D">
        <w:rPr>
          <w:sz w:val="24"/>
          <w:szCs w:val="24"/>
        </w:rPr>
        <w:t>,</w:t>
      </w:r>
      <w:r w:rsidR="00A97BEF">
        <w:rPr>
          <w:sz w:val="24"/>
          <w:szCs w:val="24"/>
        </w:rPr>
        <w:t xml:space="preserve"> FirstEnergy is requesting the Commission to allow FirstEnergy to substitute its decision making for </w:t>
      </w:r>
      <w:r w:rsidR="00CC2F3B">
        <w:rPr>
          <w:sz w:val="24"/>
          <w:szCs w:val="24"/>
        </w:rPr>
        <w:t xml:space="preserve">matters </w:t>
      </w:r>
      <w:r w:rsidR="00A97BEF">
        <w:rPr>
          <w:sz w:val="24"/>
          <w:szCs w:val="24"/>
        </w:rPr>
        <w:t>that w</w:t>
      </w:r>
      <w:r w:rsidR="00CC2F3B">
        <w:rPr>
          <w:sz w:val="24"/>
          <w:szCs w:val="24"/>
        </w:rPr>
        <w:t xml:space="preserve">ere </w:t>
      </w:r>
      <w:r w:rsidR="00A97BEF">
        <w:rPr>
          <w:sz w:val="24"/>
          <w:szCs w:val="24"/>
        </w:rPr>
        <w:t>directly assigned to individual customers through SB 3</w:t>
      </w:r>
      <w:r w:rsidR="000A4C3D">
        <w:rPr>
          <w:sz w:val="24"/>
          <w:szCs w:val="24"/>
        </w:rPr>
        <w:t xml:space="preserve">.  Each of these reasons is discussed in more </w:t>
      </w:r>
      <w:r w:rsidR="00CC2F3B">
        <w:rPr>
          <w:sz w:val="24"/>
          <w:szCs w:val="24"/>
        </w:rPr>
        <w:t xml:space="preserve">detail </w:t>
      </w:r>
      <w:r w:rsidR="000A4C3D">
        <w:rPr>
          <w:sz w:val="24"/>
          <w:szCs w:val="24"/>
        </w:rPr>
        <w:t>in my testimony.</w:t>
      </w:r>
    </w:p>
    <w:p w:rsidR="000A4C3D" w:rsidRDefault="00CE57A6">
      <w:pPr>
        <w:autoSpaceDE w:val="0"/>
        <w:autoSpaceDN w:val="0"/>
        <w:adjustRightInd w:val="0"/>
        <w:spacing w:before="240" w:after="0" w:line="480" w:lineRule="auto"/>
        <w:ind w:left="720" w:hanging="720"/>
        <w:jc w:val="both"/>
        <w:rPr>
          <w:b/>
          <w:sz w:val="24"/>
          <w:szCs w:val="24"/>
        </w:rPr>
      </w:pPr>
      <w:r w:rsidRPr="00CE57A6">
        <w:rPr>
          <w:b/>
          <w:sz w:val="24"/>
          <w:szCs w:val="24"/>
        </w:rPr>
        <w:t>Q</w:t>
      </w:r>
      <w:r w:rsidR="00081A82">
        <w:rPr>
          <w:b/>
          <w:sz w:val="24"/>
          <w:szCs w:val="24"/>
        </w:rPr>
        <w:t>10</w:t>
      </w:r>
      <w:r w:rsidR="00223B8D">
        <w:rPr>
          <w:b/>
          <w:sz w:val="24"/>
          <w:szCs w:val="24"/>
        </w:rPr>
        <w:t>.</w:t>
      </w:r>
      <w:r w:rsidR="000A4C3D">
        <w:rPr>
          <w:b/>
          <w:sz w:val="24"/>
          <w:szCs w:val="24"/>
        </w:rPr>
        <w:tab/>
        <w:t>Is the proposed Economic Stability Program equivalent to a request fo</w:t>
      </w:r>
      <w:r w:rsidR="00626A10">
        <w:rPr>
          <w:b/>
          <w:sz w:val="24"/>
          <w:szCs w:val="24"/>
        </w:rPr>
        <w:t>r additional transition revenue</w:t>
      </w:r>
      <w:r w:rsidR="000A4C3D">
        <w:rPr>
          <w:b/>
          <w:sz w:val="24"/>
          <w:szCs w:val="24"/>
        </w:rPr>
        <w:t>?</w:t>
      </w:r>
    </w:p>
    <w:p w:rsidR="00CC2F3B" w:rsidRDefault="000A4C3D">
      <w:pPr>
        <w:autoSpaceDE w:val="0"/>
        <w:autoSpaceDN w:val="0"/>
        <w:adjustRightInd w:val="0"/>
        <w:spacing w:before="240" w:after="0" w:line="480" w:lineRule="auto"/>
        <w:ind w:left="720" w:hanging="720"/>
        <w:jc w:val="both"/>
        <w:rPr>
          <w:sz w:val="24"/>
          <w:szCs w:val="24"/>
        </w:rPr>
      </w:pPr>
      <w:r w:rsidRPr="000A4C3D">
        <w:rPr>
          <w:sz w:val="24"/>
          <w:szCs w:val="24"/>
        </w:rPr>
        <w:t>A10.</w:t>
      </w:r>
      <w:r w:rsidR="00CC2F3B">
        <w:rPr>
          <w:sz w:val="24"/>
          <w:szCs w:val="24"/>
        </w:rPr>
        <w:tab/>
      </w:r>
      <w:r w:rsidR="00CC2F3B" w:rsidRPr="0019796C">
        <w:rPr>
          <w:rFonts w:cstheme="minorHAnsi"/>
          <w:sz w:val="24"/>
          <w:szCs w:val="24"/>
        </w:rPr>
        <w:t>Yes</w:t>
      </w:r>
      <w:r w:rsidR="0042203D">
        <w:rPr>
          <w:rFonts w:cstheme="minorHAnsi"/>
          <w:sz w:val="24"/>
          <w:szCs w:val="24"/>
        </w:rPr>
        <w:t>,</w:t>
      </w:r>
      <w:r w:rsidR="0019308B" w:rsidRPr="0019796C">
        <w:rPr>
          <w:rFonts w:cstheme="minorHAnsi"/>
          <w:sz w:val="24"/>
          <w:szCs w:val="24"/>
        </w:rPr>
        <w:t xml:space="preserve"> the proposed Economic Stability Program is equivalent to a request fo</w:t>
      </w:r>
      <w:r w:rsidR="00626A10">
        <w:rPr>
          <w:rFonts w:cstheme="minorHAnsi"/>
          <w:sz w:val="24"/>
          <w:szCs w:val="24"/>
        </w:rPr>
        <w:t>r additional transition revenue</w:t>
      </w:r>
      <w:r w:rsidR="0019308B" w:rsidRPr="0019796C">
        <w:rPr>
          <w:rFonts w:cstheme="minorHAnsi"/>
          <w:sz w:val="24"/>
          <w:szCs w:val="24"/>
        </w:rPr>
        <w:t xml:space="preserve">. </w:t>
      </w:r>
      <w:r w:rsidR="00CC2F3B" w:rsidRPr="0019796C">
        <w:rPr>
          <w:rFonts w:cstheme="minorHAnsi"/>
          <w:sz w:val="24"/>
          <w:szCs w:val="24"/>
        </w:rPr>
        <w:t xml:space="preserve"> </w:t>
      </w:r>
      <w:r w:rsidR="0019308B" w:rsidRPr="0019796C">
        <w:rPr>
          <w:rFonts w:cstheme="minorHAnsi"/>
          <w:sz w:val="24"/>
          <w:szCs w:val="24"/>
        </w:rPr>
        <w:t xml:space="preserve">Further, </w:t>
      </w:r>
      <w:r w:rsidR="00CC2F3B" w:rsidRPr="0019796C">
        <w:rPr>
          <w:rFonts w:cstheme="minorHAnsi"/>
          <w:sz w:val="24"/>
          <w:szCs w:val="24"/>
        </w:rPr>
        <w:t>the</w:t>
      </w:r>
      <w:r w:rsidR="00626A10">
        <w:rPr>
          <w:rFonts w:cstheme="minorHAnsi"/>
          <w:sz w:val="24"/>
          <w:szCs w:val="24"/>
        </w:rPr>
        <w:t xml:space="preserve"> request for transition revenue</w:t>
      </w:r>
      <w:r w:rsidR="00CC2F3B" w:rsidRPr="0019796C">
        <w:rPr>
          <w:rFonts w:cstheme="minorHAnsi"/>
          <w:sz w:val="24"/>
          <w:szCs w:val="24"/>
        </w:rPr>
        <w:t xml:space="preserve"> has been submitted by FirstEnergy at </w:t>
      </w:r>
      <w:r w:rsidR="0019308B" w:rsidRPr="0019796C">
        <w:rPr>
          <w:rFonts w:cstheme="minorHAnsi"/>
          <w:sz w:val="24"/>
          <w:szCs w:val="24"/>
        </w:rPr>
        <w:t xml:space="preserve">a </w:t>
      </w:r>
      <w:r w:rsidR="00CC2F3B" w:rsidRPr="0019796C">
        <w:rPr>
          <w:rFonts w:cstheme="minorHAnsi"/>
          <w:sz w:val="24"/>
          <w:szCs w:val="24"/>
        </w:rPr>
        <w:t>point in time when the opportunit</w:t>
      </w:r>
      <w:r w:rsidR="00626A10">
        <w:rPr>
          <w:rFonts w:cstheme="minorHAnsi"/>
          <w:sz w:val="24"/>
          <w:szCs w:val="24"/>
        </w:rPr>
        <w:t>y to collect transition revenue</w:t>
      </w:r>
      <w:r w:rsidR="00CC2F3B" w:rsidRPr="0019796C">
        <w:rPr>
          <w:rFonts w:cstheme="minorHAnsi"/>
          <w:sz w:val="24"/>
          <w:szCs w:val="24"/>
        </w:rPr>
        <w:t xml:space="preserve"> has long since </w:t>
      </w:r>
      <w:r w:rsidR="0019308B" w:rsidRPr="0019796C">
        <w:rPr>
          <w:rFonts w:cstheme="minorHAnsi"/>
          <w:sz w:val="24"/>
          <w:szCs w:val="24"/>
        </w:rPr>
        <w:t>terminated</w:t>
      </w:r>
      <w:r w:rsidR="00CC2F3B" w:rsidRPr="0019796C">
        <w:rPr>
          <w:rFonts w:cstheme="minorHAnsi"/>
          <w:sz w:val="24"/>
          <w:szCs w:val="24"/>
        </w:rPr>
        <w:t>.</w:t>
      </w:r>
    </w:p>
    <w:p w:rsidR="00CC2F3B" w:rsidRPr="00347C87" w:rsidRDefault="00CC2F3B" w:rsidP="00CC2F3B">
      <w:pPr>
        <w:spacing w:before="240" w:line="480" w:lineRule="auto"/>
        <w:ind w:left="720" w:hanging="720"/>
        <w:jc w:val="both"/>
        <w:rPr>
          <w:b/>
          <w:sz w:val="24"/>
          <w:szCs w:val="24"/>
        </w:rPr>
      </w:pPr>
      <w:r w:rsidRPr="00347C87">
        <w:rPr>
          <w:b/>
          <w:sz w:val="24"/>
          <w:szCs w:val="24"/>
        </w:rPr>
        <w:t>Q11.</w:t>
      </w:r>
      <w:r w:rsidRPr="00347C87">
        <w:rPr>
          <w:b/>
          <w:sz w:val="24"/>
          <w:szCs w:val="24"/>
        </w:rPr>
        <w:tab/>
        <w:t>What is your understanding of how and when SB 3 permitted collection of transition revenue?</w:t>
      </w:r>
    </w:p>
    <w:p w:rsidR="00CC2F3B" w:rsidRPr="00347C87" w:rsidRDefault="0042203D" w:rsidP="00CC2F3B">
      <w:pPr>
        <w:spacing w:line="480" w:lineRule="auto"/>
        <w:ind w:left="720" w:hanging="720"/>
        <w:jc w:val="both"/>
        <w:rPr>
          <w:sz w:val="24"/>
          <w:szCs w:val="24"/>
        </w:rPr>
      </w:pPr>
      <w:r>
        <w:rPr>
          <w:sz w:val="24"/>
          <w:szCs w:val="24"/>
        </w:rPr>
        <w:lastRenderedPageBreak/>
        <w:t>A11.</w:t>
      </w:r>
      <w:r>
        <w:rPr>
          <w:sz w:val="24"/>
          <w:szCs w:val="24"/>
        </w:rPr>
        <w:tab/>
      </w:r>
      <w:r w:rsidR="00CC2F3B" w:rsidRPr="00347C87">
        <w:rPr>
          <w:sz w:val="24"/>
          <w:szCs w:val="24"/>
        </w:rPr>
        <w:t xml:space="preserve">Like many states that enacted electric restructuring legislation to allow for competition in the generation supply function, Ohio </w:t>
      </w:r>
      <w:r w:rsidR="00312B87" w:rsidRPr="00347C87">
        <w:rPr>
          <w:sz w:val="24"/>
          <w:szCs w:val="24"/>
        </w:rPr>
        <w:t>provided an opportunity for electric distribution utilities (“EDUs”) to seek recovery of</w:t>
      </w:r>
      <w:r w:rsidR="00CC2F3B" w:rsidRPr="00347C87">
        <w:rPr>
          <w:sz w:val="24"/>
          <w:szCs w:val="24"/>
        </w:rPr>
        <w:t xml:space="preserve"> “stranded costs” </w:t>
      </w:r>
      <w:r w:rsidR="00312B87" w:rsidRPr="00347C87">
        <w:rPr>
          <w:sz w:val="24"/>
          <w:szCs w:val="24"/>
        </w:rPr>
        <w:t xml:space="preserve">or “transition costs” associated with competitive generation supply. </w:t>
      </w:r>
      <w:r>
        <w:rPr>
          <w:sz w:val="24"/>
          <w:szCs w:val="24"/>
        </w:rPr>
        <w:t xml:space="preserve"> </w:t>
      </w:r>
      <w:r w:rsidR="00312B87" w:rsidRPr="00347C87">
        <w:rPr>
          <w:sz w:val="24"/>
          <w:szCs w:val="24"/>
        </w:rPr>
        <w:t xml:space="preserve">SB </w:t>
      </w:r>
      <w:r w:rsidR="00CC2F3B" w:rsidRPr="00347C87">
        <w:rPr>
          <w:sz w:val="24"/>
          <w:szCs w:val="24"/>
        </w:rPr>
        <w:t>3 also provi</w:t>
      </w:r>
      <w:r w:rsidR="006D32FA" w:rsidRPr="00347C87">
        <w:rPr>
          <w:sz w:val="24"/>
          <w:szCs w:val="24"/>
        </w:rPr>
        <w:t xml:space="preserve">ded an opportunity for an EDU </w:t>
      </w:r>
      <w:r w:rsidR="00CC2F3B" w:rsidRPr="00347C87">
        <w:rPr>
          <w:sz w:val="24"/>
          <w:szCs w:val="24"/>
        </w:rPr>
        <w:t>to seek transition revenue associated with the electricity generation function for a period of years but not after December 31, 2010.  SB 3 contains the criteria that the Commission applied to determine how much, if any, of the transition revenue claim was eligible for recovery.  When the Commission approved a transition revenue claim, it also approved transition charges that the EDU could then charge shopping customers for the period specified by the Commission.  For non-shopping customers, the transition charges were embedded in the default generation supply price and were equal to the portion of the applicable default generation supply price that was not avoidable by shopping customers.</w:t>
      </w:r>
    </w:p>
    <w:p w:rsidR="00CC2F3B" w:rsidRPr="00347C87" w:rsidRDefault="0042203D" w:rsidP="00CC2F3B">
      <w:pPr>
        <w:spacing w:before="240" w:line="480" w:lineRule="auto"/>
        <w:ind w:left="720" w:hanging="720"/>
        <w:jc w:val="both"/>
        <w:rPr>
          <w:b/>
          <w:sz w:val="24"/>
          <w:szCs w:val="24"/>
        </w:rPr>
      </w:pPr>
      <w:r>
        <w:rPr>
          <w:b/>
          <w:sz w:val="24"/>
          <w:szCs w:val="24"/>
        </w:rPr>
        <w:t>Q12</w:t>
      </w:r>
      <w:r w:rsidR="00CC2F3B" w:rsidRPr="00347C87">
        <w:rPr>
          <w:b/>
          <w:sz w:val="24"/>
          <w:szCs w:val="24"/>
        </w:rPr>
        <w:t>.</w:t>
      </w:r>
      <w:r w:rsidR="00CC2F3B" w:rsidRPr="00347C87">
        <w:rPr>
          <w:b/>
          <w:sz w:val="24"/>
          <w:szCs w:val="24"/>
        </w:rPr>
        <w:tab/>
        <w:t xml:space="preserve">What </w:t>
      </w:r>
      <w:r w:rsidR="00312B87" w:rsidRPr="00347C87">
        <w:rPr>
          <w:b/>
          <w:sz w:val="24"/>
          <w:szCs w:val="24"/>
        </w:rPr>
        <w:t xml:space="preserve">criteria </w:t>
      </w:r>
      <w:r w:rsidR="00CC2F3B" w:rsidRPr="00347C87">
        <w:rPr>
          <w:b/>
          <w:sz w:val="24"/>
          <w:szCs w:val="24"/>
        </w:rPr>
        <w:t xml:space="preserve">were applied to determine how much, if any, transition revenue could be approved by the Commission and collected through transition charges?  </w:t>
      </w:r>
    </w:p>
    <w:p w:rsidR="00CC2F3B" w:rsidRPr="00347C87" w:rsidRDefault="0042203D" w:rsidP="00CC2F3B">
      <w:pPr>
        <w:spacing w:line="480" w:lineRule="auto"/>
        <w:ind w:left="720" w:hanging="720"/>
        <w:jc w:val="both"/>
        <w:rPr>
          <w:sz w:val="24"/>
          <w:szCs w:val="24"/>
        </w:rPr>
      </w:pPr>
      <w:r>
        <w:rPr>
          <w:sz w:val="24"/>
          <w:szCs w:val="24"/>
        </w:rPr>
        <w:t>A12</w:t>
      </w:r>
      <w:r w:rsidR="00CC2F3B" w:rsidRPr="00347C87">
        <w:rPr>
          <w:sz w:val="24"/>
          <w:szCs w:val="24"/>
        </w:rPr>
        <w:t>.</w:t>
      </w:r>
      <w:r w:rsidR="00CC2F3B" w:rsidRPr="00347C87">
        <w:rPr>
          <w:sz w:val="24"/>
          <w:szCs w:val="24"/>
        </w:rPr>
        <w:tab/>
        <w:t xml:space="preserve">It is my understanding that Section 4928.39, Revised Code, specified these criteria. </w:t>
      </w:r>
      <w:r>
        <w:rPr>
          <w:sz w:val="24"/>
          <w:szCs w:val="24"/>
        </w:rPr>
        <w:t xml:space="preserve"> </w:t>
      </w:r>
      <w:r w:rsidR="00CC2F3B" w:rsidRPr="00347C87">
        <w:rPr>
          <w:sz w:val="24"/>
          <w:szCs w:val="24"/>
        </w:rPr>
        <w:t xml:space="preserve">These criteria were applied to determine the total amount of transition revenue that was eligible for collection through transition charges </w:t>
      </w:r>
      <w:r w:rsidR="00CC2F3B" w:rsidRPr="00347C87">
        <w:rPr>
          <w:b/>
          <w:sz w:val="24"/>
          <w:szCs w:val="24"/>
          <w:u w:val="single"/>
        </w:rPr>
        <w:t>if</w:t>
      </w:r>
      <w:r w:rsidR="00CC2F3B" w:rsidRPr="00347C87">
        <w:rPr>
          <w:sz w:val="24"/>
          <w:szCs w:val="24"/>
        </w:rPr>
        <w:t xml:space="preserve"> an EDU submitted a cl</w:t>
      </w:r>
      <w:r>
        <w:rPr>
          <w:sz w:val="24"/>
          <w:szCs w:val="24"/>
        </w:rPr>
        <w:t xml:space="preserve">aim for transition revenue.  SB </w:t>
      </w:r>
      <w:r w:rsidR="00CC2F3B" w:rsidRPr="00347C87">
        <w:rPr>
          <w:sz w:val="24"/>
          <w:szCs w:val="24"/>
        </w:rPr>
        <w:t>3 did not require transition revenue to be addressed unless the EDU submitted a claim for transition revenue.</w:t>
      </w:r>
    </w:p>
    <w:p w:rsidR="00CC2F3B" w:rsidRPr="00347C87" w:rsidRDefault="0042203D" w:rsidP="00CC2F3B">
      <w:pPr>
        <w:spacing w:before="240" w:line="480" w:lineRule="auto"/>
        <w:ind w:left="720" w:hanging="720"/>
        <w:jc w:val="both"/>
        <w:rPr>
          <w:b/>
          <w:sz w:val="24"/>
          <w:szCs w:val="24"/>
        </w:rPr>
      </w:pPr>
      <w:r>
        <w:rPr>
          <w:b/>
          <w:sz w:val="24"/>
          <w:szCs w:val="24"/>
        </w:rPr>
        <w:t>Q13</w:t>
      </w:r>
      <w:r w:rsidR="00CC2F3B" w:rsidRPr="00347C87">
        <w:rPr>
          <w:b/>
          <w:sz w:val="24"/>
          <w:szCs w:val="24"/>
        </w:rPr>
        <w:t>.</w:t>
      </w:r>
      <w:r w:rsidR="00CC2F3B" w:rsidRPr="00347C87">
        <w:rPr>
          <w:b/>
          <w:sz w:val="24"/>
          <w:szCs w:val="24"/>
        </w:rPr>
        <w:tab/>
        <w:t>Which EDUs submitted</w:t>
      </w:r>
      <w:r w:rsidR="00626A10">
        <w:rPr>
          <w:b/>
          <w:sz w:val="24"/>
          <w:szCs w:val="24"/>
        </w:rPr>
        <w:t xml:space="preserve"> a claim for transition revenue</w:t>
      </w:r>
      <w:r w:rsidR="00CC2F3B" w:rsidRPr="00347C87">
        <w:rPr>
          <w:b/>
          <w:sz w:val="24"/>
          <w:szCs w:val="24"/>
        </w:rPr>
        <w:t>?</w:t>
      </w:r>
    </w:p>
    <w:p w:rsidR="00CC2F3B" w:rsidRPr="00347C87" w:rsidRDefault="0042203D" w:rsidP="00CC2F3B">
      <w:pPr>
        <w:spacing w:line="480" w:lineRule="auto"/>
        <w:ind w:left="720" w:hanging="720"/>
        <w:jc w:val="both"/>
        <w:rPr>
          <w:sz w:val="24"/>
          <w:szCs w:val="24"/>
        </w:rPr>
      </w:pPr>
      <w:r>
        <w:rPr>
          <w:sz w:val="24"/>
          <w:szCs w:val="24"/>
        </w:rPr>
        <w:lastRenderedPageBreak/>
        <w:t>A13</w:t>
      </w:r>
      <w:r w:rsidR="00CC2F3B" w:rsidRPr="00347C87">
        <w:rPr>
          <w:sz w:val="24"/>
          <w:szCs w:val="24"/>
        </w:rPr>
        <w:t>.</w:t>
      </w:r>
      <w:r w:rsidR="00CC2F3B" w:rsidRPr="00347C87">
        <w:rPr>
          <w:sz w:val="24"/>
          <w:szCs w:val="24"/>
        </w:rPr>
        <w:tab/>
        <w:t>All of the EDUs, including</w:t>
      </w:r>
      <w:r w:rsidR="00312B87" w:rsidRPr="00347C87">
        <w:rPr>
          <w:sz w:val="24"/>
          <w:szCs w:val="24"/>
        </w:rPr>
        <w:t xml:space="preserve"> the FirstEnergy EDUs</w:t>
      </w:r>
      <w:r w:rsidR="00CC2F3B" w:rsidRPr="00347C87">
        <w:rPr>
          <w:sz w:val="24"/>
          <w:szCs w:val="24"/>
        </w:rPr>
        <w:t xml:space="preserve">, submitted a claim with their </w:t>
      </w:r>
      <w:r w:rsidR="006D32FA" w:rsidRPr="00347C87">
        <w:rPr>
          <w:sz w:val="24"/>
          <w:szCs w:val="24"/>
        </w:rPr>
        <w:t>electric transition plan (“</w:t>
      </w:r>
      <w:r w:rsidR="00CC2F3B" w:rsidRPr="00347C87">
        <w:rPr>
          <w:sz w:val="24"/>
          <w:szCs w:val="24"/>
        </w:rPr>
        <w:t>ETP</w:t>
      </w:r>
      <w:r w:rsidR="006D32FA" w:rsidRPr="00347C87">
        <w:rPr>
          <w:sz w:val="24"/>
          <w:szCs w:val="24"/>
        </w:rPr>
        <w:t>”)</w:t>
      </w:r>
      <w:r w:rsidR="00CC2F3B" w:rsidRPr="00347C87">
        <w:rPr>
          <w:sz w:val="24"/>
          <w:szCs w:val="24"/>
        </w:rPr>
        <w:t xml:space="preserve"> applications. </w:t>
      </w:r>
    </w:p>
    <w:p w:rsidR="00CC2F3B" w:rsidRPr="00347C87" w:rsidRDefault="009B1534" w:rsidP="00CC2F3B">
      <w:pPr>
        <w:spacing w:before="240" w:line="480" w:lineRule="auto"/>
        <w:ind w:left="720" w:hanging="720"/>
        <w:jc w:val="both"/>
        <w:rPr>
          <w:b/>
          <w:sz w:val="24"/>
          <w:szCs w:val="24"/>
        </w:rPr>
      </w:pPr>
      <w:r>
        <w:rPr>
          <w:b/>
          <w:sz w:val="24"/>
          <w:szCs w:val="24"/>
        </w:rPr>
        <w:t>Q14</w:t>
      </w:r>
      <w:r w:rsidR="00CC2F3B" w:rsidRPr="00347C87">
        <w:rPr>
          <w:b/>
          <w:sz w:val="24"/>
          <w:szCs w:val="24"/>
        </w:rPr>
        <w:t>.</w:t>
      </w:r>
      <w:r w:rsidR="00CC2F3B" w:rsidRPr="00347C87">
        <w:rPr>
          <w:b/>
          <w:sz w:val="24"/>
          <w:szCs w:val="24"/>
        </w:rPr>
        <w:tab/>
        <w:t>More specifically, what is your understanding of the criteria that were used to determine how</w:t>
      </w:r>
      <w:r>
        <w:rPr>
          <w:b/>
          <w:sz w:val="24"/>
          <w:szCs w:val="24"/>
        </w:rPr>
        <w:t xml:space="preserve"> much, if any, of a transition</w:t>
      </w:r>
      <w:r w:rsidR="00CC2F3B" w:rsidRPr="00347C87">
        <w:rPr>
          <w:b/>
          <w:sz w:val="24"/>
          <w:szCs w:val="24"/>
        </w:rPr>
        <w:t xml:space="preserve"> revenue claim was eligible for collection through transition charges?</w:t>
      </w:r>
    </w:p>
    <w:p w:rsidR="00CC2F3B" w:rsidRPr="00347C87" w:rsidRDefault="009B1534" w:rsidP="00CC2F3B">
      <w:pPr>
        <w:spacing w:line="480" w:lineRule="auto"/>
        <w:ind w:left="720" w:hanging="720"/>
        <w:jc w:val="both"/>
        <w:rPr>
          <w:sz w:val="24"/>
          <w:szCs w:val="24"/>
        </w:rPr>
      </w:pPr>
      <w:r>
        <w:rPr>
          <w:sz w:val="24"/>
          <w:szCs w:val="24"/>
        </w:rPr>
        <w:t>A14</w:t>
      </w:r>
      <w:r w:rsidR="00CC2F3B" w:rsidRPr="00347C87">
        <w:rPr>
          <w:sz w:val="24"/>
          <w:szCs w:val="24"/>
        </w:rPr>
        <w:t>.</w:t>
      </w:r>
      <w:r w:rsidR="00CC2F3B" w:rsidRPr="00347C87">
        <w:rPr>
          <w:sz w:val="24"/>
          <w:szCs w:val="24"/>
        </w:rPr>
        <w:tab/>
        <w:t>As indicated previously, it is my understanding that Section 4928.39, Revised Code, contains the criteria used to determine the total allowable transition revenue claim.  A transition revenue claim was eligible for collection through transition charges if the revenue claim was limited to:</w:t>
      </w:r>
    </w:p>
    <w:p w:rsidR="00CC2F3B" w:rsidRPr="00347C87" w:rsidRDefault="00CC2F3B" w:rsidP="00CC2F3B">
      <w:pPr>
        <w:spacing w:line="480" w:lineRule="auto"/>
        <w:ind w:left="2160" w:hanging="720"/>
        <w:jc w:val="both"/>
        <w:rPr>
          <w:sz w:val="24"/>
          <w:szCs w:val="24"/>
        </w:rPr>
      </w:pPr>
      <w:r w:rsidRPr="00347C87">
        <w:rPr>
          <w:sz w:val="24"/>
          <w:szCs w:val="24"/>
        </w:rPr>
        <w:t>(1)</w:t>
      </w:r>
      <w:r w:rsidRPr="00347C87">
        <w:rPr>
          <w:sz w:val="24"/>
          <w:szCs w:val="24"/>
        </w:rPr>
        <w:tab/>
        <w:t>Costs that were prudently incurred;</w:t>
      </w:r>
    </w:p>
    <w:p w:rsidR="00CC2F3B" w:rsidRPr="00347C87" w:rsidRDefault="00CC2F3B" w:rsidP="00CC2F3B">
      <w:pPr>
        <w:spacing w:line="480" w:lineRule="auto"/>
        <w:ind w:left="2160" w:hanging="720"/>
        <w:jc w:val="both"/>
        <w:rPr>
          <w:sz w:val="24"/>
          <w:szCs w:val="24"/>
        </w:rPr>
      </w:pPr>
      <w:r w:rsidRPr="00347C87">
        <w:rPr>
          <w:sz w:val="24"/>
          <w:szCs w:val="24"/>
        </w:rPr>
        <w:t>(2)</w:t>
      </w:r>
      <w:r w:rsidRPr="00347C87">
        <w:rPr>
          <w:sz w:val="24"/>
          <w:szCs w:val="24"/>
        </w:rPr>
        <w:tab/>
        <w:t>Costs that were legitimate, net verifiable, and directly assignable or allocable to retail electric generation service provided to electric consumers in this state;</w:t>
      </w:r>
    </w:p>
    <w:p w:rsidR="00CC2F3B" w:rsidRPr="00347C87" w:rsidRDefault="00CC2F3B" w:rsidP="00CC2F3B">
      <w:pPr>
        <w:spacing w:line="480" w:lineRule="auto"/>
        <w:ind w:left="2160" w:hanging="720"/>
        <w:jc w:val="both"/>
        <w:rPr>
          <w:sz w:val="24"/>
          <w:szCs w:val="24"/>
        </w:rPr>
      </w:pPr>
      <w:r w:rsidRPr="00347C87">
        <w:rPr>
          <w:sz w:val="24"/>
          <w:szCs w:val="24"/>
        </w:rPr>
        <w:t>(3)</w:t>
      </w:r>
      <w:r w:rsidRPr="00347C87">
        <w:rPr>
          <w:sz w:val="24"/>
          <w:szCs w:val="24"/>
        </w:rPr>
        <w:tab/>
        <w:t xml:space="preserve">Costs that </w:t>
      </w:r>
      <w:r w:rsidR="006D32FA" w:rsidRPr="00347C87">
        <w:rPr>
          <w:sz w:val="24"/>
          <w:szCs w:val="24"/>
        </w:rPr>
        <w:t>were n</w:t>
      </w:r>
      <w:r w:rsidR="00312B87" w:rsidRPr="00347C87">
        <w:rPr>
          <w:sz w:val="24"/>
          <w:szCs w:val="24"/>
        </w:rPr>
        <w:t xml:space="preserve">ot </w:t>
      </w:r>
      <w:r w:rsidRPr="00347C87">
        <w:rPr>
          <w:sz w:val="24"/>
          <w:szCs w:val="24"/>
        </w:rPr>
        <w:t>recoverable in a competitive market;</w:t>
      </w:r>
    </w:p>
    <w:p w:rsidR="00CC2F3B" w:rsidRPr="00347C87" w:rsidRDefault="00CC2F3B" w:rsidP="00CC2F3B">
      <w:pPr>
        <w:spacing w:line="480" w:lineRule="auto"/>
        <w:ind w:left="2160" w:hanging="720"/>
        <w:jc w:val="both"/>
        <w:rPr>
          <w:sz w:val="24"/>
          <w:szCs w:val="24"/>
        </w:rPr>
      </w:pPr>
      <w:r w:rsidRPr="00347C87">
        <w:rPr>
          <w:sz w:val="24"/>
          <w:szCs w:val="24"/>
        </w:rPr>
        <w:t>(4)</w:t>
      </w:r>
      <w:r w:rsidRPr="00347C87">
        <w:rPr>
          <w:sz w:val="24"/>
          <w:szCs w:val="24"/>
        </w:rPr>
        <w:tab/>
        <w:t xml:space="preserve">Costs that the utility would otherwise have been entitled an opportunity to recover. </w:t>
      </w:r>
    </w:p>
    <w:p w:rsidR="00CC2F3B" w:rsidRPr="00347C87" w:rsidRDefault="00312B87" w:rsidP="00CC2F3B">
      <w:pPr>
        <w:spacing w:line="480" w:lineRule="auto"/>
        <w:ind w:left="720"/>
        <w:jc w:val="both"/>
        <w:rPr>
          <w:sz w:val="24"/>
          <w:szCs w:val="24"/>
        </w:rPr>
      </w:pPr>
      <w:r w:rsidRPr="00347C87">
        <w:rPr>
          <w:sz w:val="24"/>
          <w:szCs w:val="24"/>
        </w:rPr>
        <w:t xml:space="preserve">Each of these </w:t>
      </w:r>
      <w:r w:rsidR="00CC2F3B" w:rsidRPr="00347C87">
        <w:rPr>
          <w:sz w:val="24"/>
          <w:szCs w:val="24"/>
        </w:rPr>
        <w:t>criteria had to be satisfied for the transition revenue claim to be recoverable.</w:t>
      </w:r>
    </w:p>
    <w:p w:rsidR="00F73745" w:rsidRDefault="009B1534" w:rsidP="00F73745">
      <w:pPr>
        <w:spacing w:before="240" w:line="480" w:lineRule="auto"/>
        <w:ind w:left="720" w:hanging="720"/>
        <w:jc w:val="both"/>
        <w:rPr>
          <w:b/>
        </w:rPr>
      </w:pPr>
      <w:r>
        <w:rPr>
          <w:b/>
        </w:rPr>
        <w:t>Q15</w:t>
      </w:r>
      <w:r w:rsidR="00F73745">
        <w:rPr>
          <w:b/>
        </w:rPr>
        <w:t>.</w:t>
      </w:r>
      <w:r w:rsidR="00F73745">
        <w:rPr>
          <w:b/>
        </w:rPr>
        <w:tab/>
      </w:r>
      <w:r w:rsidR="00F73745" w:rsidRPr="00347C87">
        <w:rPr>
          <w:b/>
          <w:sz w:val="24"/>
          <w:szCs w:val="24"/>
        </w:rPr>
        <w:t>Was the amount of a total transition revenue claim potentially separated into different components?</w:t>
      </w:r>
    </w:p>
    <w:p w:rsidR="00F73745" w:rsidRDefault="009B1534" w:rsidP="00F73745">
      <w:pPr>
        <w:spacing w:line="480" w:lineRule="auto"/>
        <w:ind w:left="720" w:hanging="720"/>
        <w:jc w:val="both"/>
      </w:pPr>
      <w:r>
        <w:lastRenderedPageBreak/>
        <w:t>A15</w:t>
      </w:r>
      <w:r w:rsidR="00F73745">
        <w:t>.</w:t>
      </w:r>
      <w:r w:rsidR="00F73745">
        <w:tab/>
      </w:r>
      <w:r w:rsidR="00F73745" w:rsidRPr="00347C87">
        <w:rPr>
          <w:sz w:val="24"/>
          <w:szCs w:val="24"/>
        </w:rPr>
        <w:t>Yes.  The total allowable amount of any transition revenue claim was separated if a portion of that total claim was a claim for regulatory assets.  The total transition charge resulting from any allowable transition revenue claim was also separated to show a separat</w:t>
      </w:r>
      <w:r>
        <w:rPr>
          <w:sz w:val="24"/>
          <w:szCs w:val="24"/>
        </w:rPr>
        <w:t xml:space="preserve">e regulatory asset charge. </w:t>
      </w:r>
      <w:r w:rsidR="00F73745" w:rsidRPr="00347C87">
        <w:rPr>
          <w:sz w:val="24"/>
          <w:szCs w:val="24"/>
        </w:rPr>
        <w:t xml:space="preserve"> It is my understanding that SB 3 required the regulatory asset portion of a transition charge to end no later than December 31, 2010.  It is also my understanding that</w:t>
      </w:r>
      <w:r>
        <w:rPr>
          <w:sz w:val="24"/>
          <w:szCs w:val="24"/>
        </w:rPr>
        <w:t>,</w:t>
      </w:r>
      <w:r w:rsidR="00F73745" w:rsidRPr="00347C87">
        <w:rPr>
          <w:sz w:val="24"/>
          <w:szCs w:val="24"/>
        </w:rPr>
        <w:t xml:space="preserve"> under SB 3, the non-regulatory asset portion of any transit</w:t>
      </w:r>
      <w:r>
        <w:rPr>
          <w:sz w:val="24"/>
          <w:szCs w:val="24"/>
        </w:rPr>
        <w:t xml:space="preserve">ion charge </w:t>
      </w:r>
      <w:r w:rsidR="00F73745" w:rsidRPr="00347C87">
        <w:rPr>
          <w:sz w:val="24"/>
          <w:szCs w:val="24"/>
        </w:rPr>
        <w:t>which was associated with above-market generating plants had to end by no later than December 31, 2005 or the end of the market development period (“MDP”), whichever occurred first.</w:t>
      </w:r>
      <w:r w:rsidR="00F73745">
        <w:t xml:space="preserve">  </w:t>
      </w:r>
    </w:p>
    <w:p w:rsidR="00F73745" w:rsidRDefault="009B1534" w:rsidP="00F73745">
      <w:pPr>
        <w:spacing w:before="240" w:line="480" w:lineRule="auto"/>
        <w:ind w:left="720" w:hanging="720"/>
        <w:jc w:val="both"/>
        <w:rPr>
          <w:b/>
        </w:rPr>
      </w:pPr>
      <w:r>
        <w:rPr>
          <w:b/>
        </w:rPr>
        <w:t>Q16</w:t>
      </w:r>
      <w:r w:rsidR="00F73745">
        <w:rPr>
          <w:b/>
        </w:rPr>
        <w:t>.</w:t>
      </w:r>
      <w:r w:rsidR="00F73745" w:rsidRPr="00347C87">
        <w:rPr>
          <w:b/>
          <w:sz w:val="24"/>
          <w:szCs w:val="24"/>
        </w:rPr>
        <w:tab/>
        <w:t>Generally, how was the amount of transition revenue associated with above-market generating plants measured?</w:t>
      </w:r>
    </w:p>
    <w:p w:rsidR="006D32FA" w:rsidRPr="00347C87" w:rsidRDefault="009B1534" w:rsidP="00F73745">
      <w:pPr>
        <w:spacing w:line="480" w:lineRule="auto"/>
        <w:ind w:left="720" w:hanging="720"/>
        <w:jc w:val="both"/>
        <w:rPr>
          <w:sz w:val="24"/>
          <w:szCs w:val="24"/>
        </w:rPr>
      </w:pPr>
      <w:r>
        <w:t>A16</w:t>
      </w:r>
      <w:r w:rsidR="00F73745">
        <w:t>.</w:t>
      </w:r>
      <w:r w:rsidR="00F73745">
        <w:tab/>
      </w:r>
      <w:r w:rsidR="00F73745" w:rsidRPr="00347C87">
        <w:rPr>
          <w:sz w:val="24"/>
          <w:szCs w:val="24"/>
        </w:rPr>
        <w:t xml:space="preserve">If an EDU wanted to make a claim for transition revenue, it had to include the claim in its proposed ETP.  </w:t>
      </w:r>
      <w:r w:rsidR="006D32FA" w:rsidRPr="00347C87">
        <w:rPr>
          <w:sz w:val="24"/>
          <w:szCs w:val="24"/>
        </w:rPr>
        <w:t>In the case of FirstEnergy, it submitted two studies performed separately by ICF Consulting and Lexicon, Inc. to estimate above</w:t>
      </w:r>
      <w:r>
        <w:rPr>
          <w:sz w:val="24"/>
          <w:szCs w:val="24"/>
        </w:rPr>
        <w:t>-</w:t>
      </w:r>
      <w:r w:rsidR="006D32FA" w:rsidRPr="00347C87">
        <w:rPr>
          <w:sz w:val="24"/>
          <w:szCs w:val="24"/>
        </w:rPr>
        <w:t>market generation costs.</w:t>
      </w:r>
    </w:p>
    <w:p w:rsidR="00F73745" w:rsidRPr="00347C87" w:rsidRDefault="006D32FA" w:rsidP="006D32FA">
      <w:pPr>
        <w:spacing w:line="480" w:lineRule="auto"/>
        <w:ind w:left="720"/>
        <w:jc w:val="both"/>
        <w:rPr>
          <w:sz w:val="24"/>
          <w:szCs w:val="24"/>
        </w:rPr>
      </w:pPr>
      <w:r w:rsidRPr="00347C87">
        <w:rPr>
          <w:sz w:val="24"/>
          <w:szCs w:val="24"/>
        </w:rPr>
        <w:t>T</w:t>
      </w:r>
      <w:r w:rsidR="00F73745" w:rsidRPr="00347C87">
        <w:rPr>
          <w:sz w:val="24"/>
          <w:szCs w:val="24"/>
        </w:rPr>
        <w:t xml:space="preserve">he </w:t>
      </w:r>
      <w:r w:rsidRPr="00347C87">
        <w:rPr>
          <w:sz w:val="24"/>
          <w:szCs w:val="24"/>
        </w:rPr>
        <w:t xml:space="preserve">studies relied upon a </w:t>
      </w:r>
      <w:r w:rsidR="00F73745" w:rsidRPr="00347C87">
        <w:rPr>
          <w:sz w:val="24"/>
          <w:szCs w:val="24"/>
        </w:rPr>
        <w:t xml:space="preserve">revenue-based approach </w:t>
      </w:r>
      <w:r w:rsidRPr="00347C87">
        <w:rPr>
          <w:sz w:val="24"/>
          <w:szCs w:val="24"/>
        </w:rPr>
        <w:t xml:space="preserve">to </w:t>
      </w:r>
      <w:r w:rsidR="00F73745" w:rsidRPr="00347C87">
        <w:rPr>
          <w:sz w:val="24"/>
          <w:szCs w:val="24"/>
        </w:rPr>
        <w:t xml:space="preserve">project </w:t>
      </w:r>
      <w:r w:rsidRPr="00347C87">
        <w:rPr>
          <w:sz w:val="24"/>
          <w:szCs w:val="24"/>
        </w:rPr>
        <w:t xml:space="preserve">expected </w:t>
      </w:r>
      <w:r w:rsidR="00F73745" w:rsidRPr="00347C87">
        <w:rPr>
          <w:sz w:val="24"/>
          <w:szCs w:val="24"/>
        </w:rPr>
        <w:t xml:space="preserve">revenue streams for the various generating plants and computed a present value of the future estimated revenue streams.  The present value of the </w:t>
      </w:r>
      <w:r w:rsidR="009B1534">
        <w:rPr>
          <w:sz w:val="24"/>
          <w:szCs w:val="24"/>
        </w:rPr>
        <w:t xml:space="preserve">future </w:t>
      </w:r>
      <w:r w:rsidR="00F73745" w:rsidRPr="00347C87">
        <w:rPr>
          <w:sz w:val="24"/>
          <w:szCs w:val="24"/>
        </w:rPr>
        <w:t>estimated revenue streams was then compared to the net book value of th</w:t>
      </w:r>
      <w:r w:rsidR="009B1534">
        <w:rPr>
          <w:sz w:val="24"/>
          <w:szCs w:val="24"/>
        </w:rPr>
        <w:t xml:space="preserve">e generating plants at December </w:t>
      </w:r>
      <w:r w:rsidR="00893963">
        <w:rPr>
          <w:sz w:val="24"/>
          <w:szCs w:val="24"/>
        </w:rPr>
        <w:t xml:space="preserve">31, 2000.  Generation plant </w:t>
      </w:r>
      <w:r w:rsidR="00F73745" w:rsidRPr="00347C87">
        <w:rPr>
          <w:sz w:val="24"/>
          <w:szCs w:val="24"/>
        </w:rPr>
        <w:t xml:space="preserve">related transition costs were deemed to be positive (and potentially eligible for recovery through transition charges) if the present value </w:t>
      </w:r>
      <w:r w:rsidR="00893963">
        <w:rPr>
          <w:sz w:val="24"/>
          <w:szCs w:val="24"/>
        </w:rPr>
        <w:t>of the projected revenue stream</w:t>
      </w:r>
      <w:r w:rsidR="00F73745" w:rsidRPr="00347C87">
        <w:rPr>
          <w:sz w:val="24"/>
          <w:szCs w:val="24"/>
        </w:rPr>
        <w:t xml:space="preserve"> was, in the aggregate, less than the net book value of the generating plants at December 31, </w:t>
      </w:r>
      <w:r w:rsidR="00F73745" w:rsidRPr="00347C87">
        <w:rPr>
          <w:sz w:val="24"/>
          <w:szCs w:val="24"/>
        </w:rPr>
        <w:lastRenderedPageBreak/>
        <w:t>200</w:t>
      </w:r>
      <w:r w:rsidR="00A845F8">
        <w:rPr>
          <w:sz w:val="24"/>
          <w:szCs w:val="24"/>
        </w:rPr>
        <w:t xml:space="preserve">0.  Again, the generation plant </w:t>
      </w:r>
      <w:r w:rsidR="00F73745" w:rsidRPr="00347C87">
        <w:rPr>
          <w:sz w:val="24"/>
          <w:szCs w:val="24"/>
        </w:rPr>
        <w:t>related transition revenue had to be recovered during the period beginning January 1, 2001 through either the end of the MDP or December 31, 2005, whichever occurred first.</w:t>
      </w:r>
    </w:p>
    <w:p w:rsidR="00F73745" w:rsidRDefault="009B1534" w:rsidP="00F73745">
      <w:pPr>
        <w:spacing w:before="240" w:line="480" w:lineRule="auto"/>
        <w:ind w:left="720" w:hanging="720"/>
        <w:jc w:val="both"/>
        <w:rPr>
          <w:b/>
        </w:rPr>
      </w:pPr>
      <w:r>
        <w:rPr>
          <w:b/>
        </w:rPr>
        <w:t>Q17</w:t>
      </w:r>
      <w:r w:rsidR="00F73745">
        <w:rPr>
          <w:b/>
        </w:rPr>
        <w:t>.</w:t>
      </w:r>
      <w:r w:rsidR="00F73745">
        <w:rPr>
          <w:b/>
        </w:rPr>
        <w:tab/>
      </w:r>
      <w:r w:rsidR="006D32FA" w:rsidRPr="00347C87">
        <w:rPr>
          <w:b/>
          <w:sz w:val="24"/>
          <w:szCs w:val="24"/>
        </w:rPr>
        <w:t>How was FirstEnergy</w:t>
      </w:r>
      <w:r>
        <w:rPr>
          <w:b/>
          <w:sz w:val="24"/>
          <w:szCs w:val="24"/>
        </w:rPr>
        <w:t>’s</w:t>
      </w:r>
      <w:r w:rsidR="006D32FA" w:rsidRPr="00347C87">
        <w:rPr>
          <w:b/>
          <w:sz w:val="24"/>
          <w:szCs w:val="24"/>
        </w:rPr>
        <w:t xml:space="preserve"> ETP resolved?</w:t>
      </w:r>
    </w:p>
    <w:p w:rsidR="00B55F58" w:rsidRPr="009B1534" w:rsidRDefault="009B1534" w:rsidP="00F73745">
      <w:pPr>
        <w:spacing w:line="480" w:lineRule="auto"/>
        <w:ind w:left="720" w:hanging="720"/>
        <w:jc w:val="both"/>
        <w:rPr>
          <w:sz w:val="24"/>
          <w:szCs w:val="24"/>
        </w:rPr>
      </w:pPr>
      <w:r w:rsidRPr="009B1534">
        <w:rPr>
          <w:sz w:val="24"/>
          <w:szCs w:val="24"/>
        </w:rPr>
        <w:t>A17</w:t>
      </w:r>
      <w:r w:rsidR="00F73745" w:rsidRPr="009B1534">
        <w:rPr>
          <w:sz w:val="24"/>
          <w:szCs w:val="24"/>
        </w:rPr>
        <w:t>.</w:t>
      </w:r>
      <w:r w:rsidR="00F73745" w:rsidRPr="009B1534">
        <w:rPr>
          <w:sz w:val="24"/>
          <w:szCs w:val="24"/>
        </w:rPr>
        <w:tab/>
      </w:r>
      <w:r w:rsidR="006D32FA" w:rsidRPr="009B1534">
        <w:rPr>
          <w:sz w:val="24"/>
          <w:szCs w:val="24"/>
        </w:rPr>
        <w:t>FirstEnergy</w:t>
      </w:r>
      <w:r w:rsidR="00CF19E5" w:rsidRPr="009B1534">
        <w:rPr>
          <w:sz w:val="24"/>
          <w:szCs w:val="24"/>
        </w:rPr>
        <w:t>’s</w:t>
      </w:r>
      <w:r w:rsidR="006D32FA" w:rsidRPr="009B1534">
        <w:rPr>
          <w:sz w:val="24"/>
          <w:szCs w:val="24"/>
        </w:rPr>
        <w:t xml:space="preserve"> ETP was resolved by </w:t>
      </w:r>
      <w:r w:rsidR="00CF19E5" w:rsidRPr="009B1534">
        <w:rPr>
          <w:sz w:val="24"/>
          <w:szCs w:val="24"/>
        </w:rPr>
        <w:t xml:space="preserve">a </w:t>
      </w:r>
      <w:r w:rsidR="006D32FA" w:rsidRPr="009B1534">
        <w:rPr>
          <w:sz w:val="24"/>
          <w:szCs w:val="24"/>
        </w:rPr>
        <w:t xml:space="preserve">stipulation supported by the majority of parties to the case that was accepted by the Commission. </w:t>
      </w:r>
      <w:r w:rsidR="00CF19E5" w:rsidRPr="009B1534">
        <w:rPr>
          <w:sz w:val="24"/>
          <w:szCs w:val="24"/>
        </w:rPr>
        <w:t xml:space="preserve"> The Commission’s order accepting the stipulation stated that total allowable transition costs were $2,527,579,833 for Ohio Edison Company, $3,017,813,280 for The</w:t>
      </w:r>
      <w:r>
        <w:rPr>
          <w:sz w:val="24"/>
          <w:szCs w:val="24"/>
        </w:rPr>
        <w:t xml:space="preserve"> Cleveland Electric Illuminating</w:t>
      </w:r>
      <w:r w:rsidR="00CF19E5" w:rsidRPr="009B1534">
        <w:rPr>
          <w:sz w:val="24"/>
          <w:szCs w:val="24"/>
        </w:rPr>
        <w:t xml:space="preserve"> Company and $1,366,034,515 for The Toledo Edison Company.</w:t>
      </w:r>
      <w:r w:rsidR="00B55F58" w:rsidRPr="009B1534">
        <w:rPr>
          <w:sz w:val="24"/>
          <w:szCs w:val="24"/>
        </w:rPr>
        <w:t xml:space="preserve"> </w:t>
      </w:r>
      <w:r>
        <w:rPr>
          <w:sz w:val="24"/>
          <w:szCs w:val="24"/>
        </w:rPr>
        <w:t xml:space="preserve"> </w:t>
      </w:r>
      <w:r w:rsidR="00B55F58" w:rsidRPr="009B1534">
        <w:rPr>
          <w:sz w:val="24"/>
          <w:szCs w:val="24"/>
        </w:rPr>
        <w:t>As previously</w:t>
      </w:r>
      <w:r w:rsidR="00626A10">
        <w:rPr>
          <w:sz w:val="24"/>
          <w:szCs w:val="24"/>
        </w:rPr>
        <w:t xml:space="preserve"> stated, all transition revenue was</w:t>
      </w:r>
      <w:r w:rsidR="00B55F58" w:rsidRPr="009B1534">
        <w:rPr>
          <w:sz w:val="24"/>
          <w:szCs w:val="24"/>
        </w:rPr>
        <w:t xml:space="preserve"> required to be recovered by no later than December 31, 2010.</w:t>
      </w:r>
    </w:p>
    <w:p w:rsidR="00B55F58" w:rsidRPr="009B1534" w:rsidRDefault="009B1534" w:rsidP="00F73745">
      <w:pPr>
        <w:spacing w:line="480" w:lineRule="auto"/>
        <w:ind w:left="720" w:hanging="720"/>
        <w:jc w:val="both"/>
        <w:rPr>
          <w:b/>
          <w:sz w:val="24"/>
          <w:szCs w:val="24"/>
        </w:rPr>
      </w:pPr>
      <w:r>
        <w:rPr>
          <w:b/>
          <w:sz w:val="24"/>
          <w:szCs w:val="24"/>
        </w:rPr>
        <w:t>Q18</w:t>
      </w:r>
      <w:r w:rsidR="00B55F58" w:rsidRPr="009B1534">
        <w:rPr>
          <w:b/>
          <w:sz w:val="24"/>
          <w:szCs w:val="24"/>
        </w:rPr>
        <w:t>.</w:t>
      </w:r>
      <w:r w:rsidR="00B55F58" w:rsidRPr="009B1534">
        <w:rPr>
          <w:b/>
          <w:sz w:val="24"/>
          <w:szCs w:val="24"/>
        </w:rPr>
        <w:tab/>
        <w:t>Did the FirstEnergy ETP Stipulation address stranded benefits?</w:t>
      </w:r>
    </w:p>
    <w:p w:rsidR="00CF19E5" w:rsidRPr="009B1534" w:rsidRDefault="009B1534" w:rsidP="00F73745">
      <w:pPr>
        <w:spacing w:line="480" w:lineRule="auto"/>
        <w:ind w:left="720" w:hanging="720"/>
        <w:jc w:val="both"/>
        <w:rPr>
          <w:sz w:val="24"/>
          <w:szCs w:val="24"/>
        </w:rPr>
      </w:pPr>
      <w:r>
        <w:rPr>
          <w:sz w:val="24"/>
          <w:szCs w:val="24"/>
        </w:rPr>
        <w:t>A18</w:t>
      </w:r>
      <w:r w:rsidR="00B55F58" w:rsidRPr="009B1534">
        <w:rPr>
          <w:sz w:val="24"/>
          <w:szCs w:val="24"/>
        </w:rPr>
        <w:t>.</w:t>
      </w:r>
      <w:r w:rsidR="00B55F58" w:rsidRPr="009B1534">
        <w:rPr>
          <w:sz w:val="24"/>
          <w:szCs w:val="24"/>
        </w:rPr>
        <w:tab/>
        <w:t>Yes.</w:t>
      </w:r>
      <w:r>
        <w:rPr>
          <w:sz w:val="24"/>
          <w:szCs w:val="24"/>
        </w:rPr>
        <w:t xml:space="preserve"> </w:t>
      </w:r>
      <w:r w:rsidR="00B55F58" w:rsidRPr="009B1534">
        <w:rPr>
          <w:sz w:val="24"/>
          <w:szCs w:val="24"/>
        </w:rPr>
        <w:t xml:space="preserve"> At the time of its ETP application</w:t>
      </w:r>
      <w:r>
        <w:rPr>
          <w:sz w:val="24"/>
          <w:szCs w:val="24"/>
        </w:rPr>
        <w:t>,</w:t>
      </w:r>
      <w:r w:rsidR="00B55F58" w:rsidRPr="009B1534">
        <w:rPr>
          <w:sz w:val="24"/>
          <w:szCs w:val="24"/>
        </w:rPr>
        <w:t xml:space="preserve"> FirstEnerg</w:t>
      </w:r>
      <w:r>
        <w:rPr>
          <w:sz w:val="24"/>
          <w:szCs w:val="24"/>
        </w:rPr>
        <w:t>y estimated it would have above-</w:t>
      </w:r>
      <w:r w:rsidR="00B55F58" w:rsidRPr="009B1534">
        <w:rPr>
          <w:sz w:val="24"/>
          <w:szCs w:val="24"/>
        </w:rPr>
        <w:t xml:space="preserve">market generation costs and </w:t>
      </w:r>
      <w:r w:rsidR="00626A10">
        <w:rPr>
          <w:sz w:val="24"/>
          <w:szCs w:val="24"/>
        </w:rPr>
        <w:t>thus require transition revenue</w:t>
      </w:r>
      <w:r w:rsidR="00B55F58" w:rsidRPr="009B1534">
        <w:rPr>
          <w:sz w:val="24"/>
          <w:szCs w:val="24"/>
        </w:rPr>
        <w:t xml:space="preserve">. </w:t>
      </w:r>
      <w:r>
        <w:rPr>
          <w:sz w:val="24"/>
          <w:szCs w:val="24"/>
        </w:rPr>
        <w:t xml:space="preserve"> </w:t>
      </w:r>
      <w:r w:rsidR="00B55F58" w:rsidRPr="009B1534">
        <w:rPr>
          <w:sz w:val="24"/>
          <w:szCs w:val="24"/>
        </w:rPr>
        <w:t>However, a specific provision in the stipulation provided that if FirstEnergy ultimately sold any generation asset to a non-regulated affiliate at a price above the assumed fair market value reflected in the ETP application</w:t>
      </w:r>
      <w:r>
        <w:rPr>
          <w:sz w:val="24"/>
          <w:szCs w:val="24"/>
        </w:rPr>
        <w:t>, then any n</w:t>
      </w:r>
      <w:r w:rsidR="00076949">
        <w:rPr>
          <w:sz w:val="24"/>
          <w:szCs w:val="24"/>
        </w:rPr>
        <w:t>e</w:t>
      </w:r>
      <w:r>
        <w:rPr>
          <w:sz w:val="24"/>
          <w:szCs w:val="24"/>
        </w:rPr>
        <w:t>t after-</w:t>
      </w:r>
      <w:r w:rsidR="00B55F58" w:rsidRPr="009B1534">
        <w:rPr>
          <w:sz w:val="24"/>
          <w:szCs w:val="24"/>
        </w:rPr>
        <w:t xml:space="preserve">tax gain would be netted to adjust </w:t>
      </w:r>
      <w:r w:rsidR="0019308B" w:rsidRPr="009B1534">
        <w:rPr>
          <w:sz w:val="24"/>
          <w:szCs w:val="24"/>
        </w:rPr>
        <w:t xml:space="preserve">(reduce) </w:t>
      </w:r>
      <w:r w:rsidR="00626A10">
        <w:rPr>
          <w:sz w:val="24"/>
          <w:szCs w:val="24"/>
        </w:rPr>
        <w:t>regulatory transition revenue</w:t>
      </w:r>
      <w:r w:rsidR="00B55F58" w:rsidRPr="009B1534">
        <w:rPr>
          <w:sz w:val="24"/>
          <w:szCs w:val="24"/>
        </w:rPr>
        <w:t xml:space="preserve">. </w:t>
      </w:r>
      <w:r>
        <w:rPr>
          <w:sz w:val="24"/>
          <w:szCs w:val="24"/>
        </w:rPr>
        <w:t xml:space="preserve"> </w:t>
      </w:r>
      <w:r w:rsidR="00B55F58" w:rsidRPr="009B1534">
        <w:rPr>
          <w:sz w:val="24"/>
          <w:szCs w:val="24"/>
        </w:rPr>
        <w:t>This provision of the stipulation also provided that</w:t>
      </w:r>
      <w:r w:rsidR="0019308B" w:rsidRPr="009B1534">
        <w:rPr>
          <w:sz w:val="24"/>
          <w:szCs w:val="24"/>
        </w:rPr>
        <w:t xml:space="preserve"> FirstEnergy would bear any risk associated with </w:t>
      </w:r>
      <w:r w:rsidR="00626A10">
        <w:rPr>
          <w:sz w:val="24"/>
          <w:szCs w:val="24"/>
        </w:rPr>
        <w:t xml:space="preserve">the </w:t>
      </w:r>
      <w:r w:rsidR="0019308B" w:rsidRPr="009B1534">
        <w:rPr>
          <w:sz w:val="24"/>
          <w:szCs w:val="24"/>
        </w:rPr>
        <w:t xml:space="preserve">sale of a generating asset that resulted in a </w:t>
      </w:r>
      <w:r>
        <w:rPr>
          <w:sz w:val="24"/>
          <w:szCs w:val="24"/>
        </w:rPr>
        <w:t>n</w:t>
      </w:r>
      <w:r w:rsidR="0019308B" w:rsidRPr="009B1534">
        <w:rPr>
          <w:sz w:val="24"/>
          <w:szCs w:val="24"/>
        </w:rPr>
        <w:t>et loss.</w:t>
      </w:r>
    </w:p>
    <w:p w:rsidR="0019308B" w:rsidRPr="00F549AC" w:rsidRDefault="00E46298" w:rsidP="00C96B7C">
      <w:pPr>
        <w:autoSpaceDE w:val="0"/>
        <w:autoSpaceDN w:val="0"/>
        <w:adjustRightInd w:val="0"/>
        <w:spacing w:before="240" w:after="0" w:line="480" w:lineRule="auto"/>
        <w:ind w:left="720" w:hanging="720"/>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Q19</w:t>
      </w:r>
      <w:r w:rsidR="00F549AC">
        <w:rPr>
          <w:rFonts w:ascii="Arial" w:hAnsi="Arial" w:cs="Arial"/>
          <w:b/>
          <w:color w:val="000000"/>
          <w:sz w:val="24"/>
          <w:szCs w:val="24"/>
          <w:shd w:val="clear" w:color="auto" w:fill="FFFFFF"/>
        </w:rPr>
        <w:t>.</w:t>
      </w:r>
      <w:r w:rsidR="00F549AC">
        <w:rPr>
          <w:rFonts w:ascii="Arial" w:hAnsi="Arial" w:cs="Arial"/>
          <w:b/>
          <w:color w:val="000000"/>
          <w:sz w:val="24"/>
          <w:szCs w:val="24"/>
          <w:shd w:val="clear" w:color="auto" w:fill="FFFFFF"/>
        </w:rPr>
        <w:tab/>
      </w:r>
      <w:r w:rsidR="00F549AC" w:rsidRPr="00F549AC">
        <w:rPr>
          <w:rFonts w:ascii="Arial" w:hAnsi="Arial" w:cs="Arial"/>
          <w:b/>
          <w:color w:val="000000"/>
          <w:sz w:val="24"/>
          <w:szCs w:val="24"/>
          <w:shd w:val="clear" w:color="auto" w:fill="FFFFFF"/>
        </w:rPr>
        <w:t xml:space="preserve">Would </w:t>
      </w:r>
      <w:r w:rsidR="00F549AC" w:rsidRPr="00F549AC">
        <w:rPr>
          <w:b/>
          <w:sz w:val="24"/>
          <w:szCs w:val="24"/>
        </w:rPr>
        <w:t>the Economic Stability Program and associated RRS Rider result in a subsidy flowing from FirstEnergy’s non</w:t>
      </w:r>
      <w:r w:rsidR="00A845F8">
        <w:rPr>
          <w:b/>
          <w:sz w:val="24"/>
          <w:szCs w:val="24"/>
        </w:rPr>
        <w:t>-</w:t>
      </w:r>
      <w:r w:rsidR="00F549AC" w:rsidRPr="00F549AC">
        <w:rPr>
          <w:b/>
          <w:sz w:val="24"/>
          <w:szCs w:val="24"/>
        </w:rPr>
        <w:t>competitive distribution service to its generation related business?</w:t>
      </w:r>
      <w:r w:rsidR="00F549AC">
        <w:rPr>
          <w:sz w:val="24"/>
          <w:szCs w:val="24"/>
        </w:rPr>
        <w:t xml:space="preserve"> </w:t>
      </w:r>
    </w:p>
    <w:p w:rsidR="00FC6B51" w:rsidRDefault="00E46298" w:rsidP="00C96B7C">
      <w:pPr>
        <w:autoSpaceDE w:val="0"/>
        <w:autoSpaceDN w:val="0"/>
        <w:adjustRightInd w:val="0"/>
        <w:spacing w:before="240" w:after="0" w:line="480" w:lineRule="auto"/>
        <w:ind w:left="720" w:hanging="720"/>
        <w:jc w:val="both"/>
        <w:rPr>
          <w:sz w:val="24"/>
          <w:szCs w:val="24"/>
        </w:rPr>
      </w:pPr>
      <w:r>
        <w:rPr>
          <w:rFonts w:ascii="Arial" w:hAnsi="Arial" w:cs="Arial"/>
          <w:color w:val="000000"/>
          <w:sz w:val="24"/>
          <w:szCs w:val="24"/>
          <w:shd w:val="clear" w:color="auto" w:fill="FFFFFF"/>
        </w:rPr>
        <w:t>A19</w:t>
      </w:r>
      <w:r w:rsidR="00F549AC" w:rsidRPr="009B1534">
        <w:rPr>
          <w:rFonts w:ascii="Arial" w:hAnsi="Arial" w:cs="Arial"/>
          <w:color w:val="000000"/>
          <w:sz w:val="24"/>
          <w:szCs w:val="24"/>
          <w:shd w:val="clear" w:color="auto" w:fill="FFFFFF"/>
        </w:rPr>
        <w:t>.</w:t>
      </w:r>
      <w:r w:rsidR="00F549AC" w:rsidRPr="009B1534">
        <w:rPr>
          <w:rFonts w:ascii="Arial" w:hAnsi="Arial" w:cs="Arial"/>
          <w:color w:val="000000"/>
          <w:sz w:val="24"/>
          <w:szCs w:val="24"/>
          <w:shd w:val="clear" w:color="auto" w:fill="FFFFFF"/>
        </w:rPr>
        <w:tab/>
        <w:t>Yes.</w:t>
      </w:r>
      <w:r w:rsidR="0019308B">
        <w:rPr>
          <w:sz w:val="24"/>
          <w:szCs w:val="24"/>
        </w:rPr>
        <w:t xml:space="preserve"> </w:t>
      </w:r>
      <w:r w:rsidR="00AE1082">
        <w:rPr>
          <w:sz w:val="24"/>
          <w:szCs w:val="24"/>
        </w:rPr>
        <w:t xml:space="preserve"> </w:t>
      </w:r>
      <w:r w:rsidR="00FC6B51">
        <w:rPr>
          <w:sz w:val="24"/>
          <w:szCs w:val="24"/>
        </w:rPr>
        <w:t xml:space="preserve">Ohio’s </w:t>
      </w:r>
      <w:r w:rsidR="00862A5E">
        <w:rPr>
          <w:sz w:val="24"/>
          <w:szCs w:val="24"/>
        </w:rPr>
        <w:t xml:space="preserve">electricity </w:t>
      </w:r>
      <w:r w:rsidR="00E650B6">
        <w:rPr>
          <w:sz w:val="24"/>
          <w:szCs w:val="24"/>
        </w:rPr>
        <w:t>policies</w:t>
      </w:r>
      <w:r w:rsidR="00FC6B51">
        <w:rPr>
          <w:sz w:val="24"/>
          <w:szCs w:val="24"/>
        </w:rPr>
        <w:t xml:space="preserve"> </w:t>
      </w:r>
      <w:r w:rsidR="00E650B6">
        <w:rPr>
          <w:sz w:val="24"/>
          <w:szCs w:val="24"/>
        </w:rPr>
        <w:t>r</w:t>
      </w:r>
      <w:r w:rsidR="00C82E15">
        <w:rPr>
          <w:sz w:val="24"/>
          <w:szCs w:val="24"/>
        </w:rPr>
        <w:t xml:space="preserve">equire </w:t>
      </w:r>
      <w:r w:rsidR="00D30ECC">
        <w:rPr>
          <w:sz w:val="24"/>
          <w:szCs w:val="24"/>
        </w:rPr>
        <w:t xml:space="preserve">that </w:t>
      </w:r>
      <w:r w:rsidR="00FC6B51">
        <w:rPr>
          <w:sz w:val="24"/>
          <w:szCs w:val="24"/>
        </w:rPr>
        <w:t xml:space="preserve">the Commission </w:t>
      </w:r>
      <w:r w:rsidR="00626A10">
        <w:rPr>
          <w:sz w:val="24"/>
          <w:szCs w:val="24"/>
        </w:rPr>
        <w:t>“[</w:t>
      </w:r>
      <w:r w:rsidR="00C82E15">
        <w:rPr>
          <w:rFonts w:cstheme="minorHAnsi"/>
          <w:color w:val="000000"/>
          <w:sz w:val="24"/>
          <w:szCs w:val="24"/>
          <w:shd w:val="clear" w:color="auto" w:fill="FFFFFF"/>
        </w:rPr>
        <w:t>e</w:t>
      </w:r>
      <w:r w:rsidR="00626A10">
        <w:rPr>
          <w:rFonts w:cstheme="minorHAnsi"/>
          <w:color w:val="000000"/>
          <w:sz w:val="24"/>
          <w:szCs w:val="24"/>
          <w:shd w:val="clear" w:color="auto" w:fill="FFFFFF"/>
        </w:rPr>
        <w:t>]</w:t>
      </w:r>
      <w:r w:rsidR="00FC6B51" w:rsidRPr="00273E48">
        <w:rPr>
          <w:rFonts w:cstheme="minorHAnsi"/>
          <w:color w:val="000000"/>
          <w:sz w:val="24"/>
          <w:szCs w:val="24"/>
          <w:shd w:val="clear" w:color="auto" w:fill="FFFFFF"/>
        </w:rPr>
        <w:t>nsure</w:t>
      </w:r>
      <w:r w:rsidR="00FC6B51" w:rsidRPr="00273E48">
        <w:rPr>
          <w:rFonts w:cstheme="minorHAnsi"/>
          <w:color w:val="000000"/>
          <w:sz w:val="20"/>
          <w:szCs w:val="20"/>
          <w:shd w:val="clear" w:color="auto" w:fill="FFFFFF"/>
        </w:rPr>
        <w:t xml:space="preserve"> </w:t>
      </w:r>
      <w:r w:rsidR="00FC6B51" w:rsidRPr="00FC6B51">
        <w:rPr>
          <w:rFonts w:cstheme="minorHAnsi"/>
          <w:color w:val="000000"/>
          <w:sz w:val="24"/>
          <w:szCs w:val="24"/>
          <w:shd w:val="clear" w:color="auto" w:fill="FFFFFF"/>
        </w:rPr>
        <w:t>effective competition in the provision of retail electric service by avoiding anticompetitive subsidies flowing from a noncompetitive retail electric service to a competitive retail electric service or to a product or service other than retail electric service, and vice versa, including by prohibiting the recovery of any generation-related costs through distribution or transmission rates.”</w:t>
      </w:r>
      <w:r w:rsidR="00D30ECC">
        <w:rPr>
          <w:rStyle w:val="FootnoteReference"/>
          <w:rFonts w:cstheme="minorHAnsi"/>
          <w:color w:val="000000"/>
          <w:sz w:val="24"/>
          <w:szCs w:val="24"/>
          <w:shd w:val="clear" w:color="auto" w:fill="FFFFFF"/>
        </w:rPr>
        <w:footnoteReference w:id="1"/>
      </w:r>
      <w:r w:rsidR="00FC6B51">
        <w:rPr>
          <w:sz w:val="24"/>
          <w:szCs w:val="24"/>
        </w:rPr>
        <w:t xml:space="preserve"> </w:t>
      </w:r>
      <w:r w:rsidR="005B7AC7">
        <w:rPr>
          <w:sz w:val="24"/>
          <w:szCs w:val="24"/>
        </w:rPr>
        <w:t xml:space="preserve"> </w:t>
      </w:r>
      <w:r w:rsidR="00F549AC">
        <w:rPr>
          <w:sz w:val="24"/>
          <w:szCs w:val="24"/>
        </w:rPr>
        <w:t>FirstEnergy</w:t>
      </w:r>
      <w:r w:rsidR="00AE1082">
        <w:rPr>
          <w:sz w:val="24"/>
          <w:szCs w:val="24"/>
        </w:rPr>
        <w:t>’s</w:t>
      </w:r>
      <w:r w:rsidR="00F549AC">
        <w:rPr>
          <w:sz w:val="24"/>
          <w:szCs w:val="24"/>
        </w:rPr>
        <w:t xml:space="preserve"> proposed non</w:t>
      </w:r>
      <w:r w:rsidR="00AE1082">
        <w:rPr>
          <w:sz w:val="24"/>
          <w:szCs w:val="24"/>
        </w:rPr>
        <w:t>-</w:t>
      </w:r>
      <w:r w:rsidR="00F549AC">
        <w:rPr>
          <w:sz w:val="24"/>
          <w:szCs w:val="24"/>
        </w:rPr>
        <w:t>bypassable RRS</w:t>
      </w:r>
      <w:r w:rsidR="00273E48">
        <w:rPr>
          <w:sz w:val="24"/>
          <w:szCs w:val="24"/>
        </w:rPr>
        <w:t xml:space="preserve"> R</w:t>
      </w:r>
      <w:r w:rsidR="00FC6B51">
        <w:rPr>
          <w:sz w:val="24"/>
          <w:szCs w:val="24"/>
        </w:rPr>
        <w:t xml:space="preserve">ider is structured to provide a direct subsidy flowing </w:t>
      </w:r>
      <w:r w:rsidR="00C82E15">
        <w:rPr>
          <w:sz w:val="24"/>
          <w:szCs w:val="24"/>
        </w:rPr>
        <w:t xml:space="preserve">to or from </w:t>
      </w:r>
      <w:r w:rsidR="00F549AC">
        <w:rPr>
          <w:sz w:val="24"/>
          <w:szCs w:val="24"/>
        </w:rPr>
        <w:t>FirstEnergy’s</w:t>
      </w:r>
      <w:r w:rsidR="00862A5E">
        <w:rPr>
          <w:sz w:val="24"/>
          <w:szCs w:val="24"/>
        </w:rPr>
        <w:t xml:space="preserve"> retail </w:t>
      </w:r>
      <w:r w:rsidR="00FC6B51">
        <w:rPr>
          <w:sz w:val="24"/>
          <w:szCs w:val="24"/>
        </w:rPr>
        <w:t xml:space="preserve">non-competitive distribution service </w:t>
      </w:r>
      <w:r w:rsidR="00862A5E">
        <w:rPr>
          <w:sz w:val="24"/>
          <w:szCs w:val="24"/>
        </w:rPr>
        <w:t xml:space="preserve">customers </w:t>
      </w:r>
      <w:r w:rsidR="00FC6B51">
        <w:rPr>
          <w:sz w:val="24"/>
          <w:szCs w:val="24"/>
        </w:rPr>
        <w:t xml:space="preserve">and </w:t>
      </w:r>
      <w:r w:rsidR="00862A5E">
        <w:rPr>
          <w:sz w:val="24"/>
          <w:szCs w:val="24"/>
        </w:rPr>
        <w:t xml:space="preserve">to or from </w:t>
      </w:r>
      <w:r w:rsidR="00C82E15">
        <w:rPr>
          <w:sz w:val="24"/>
          <w:szCs w:val="24"/>
        </w:rPr>
        <w:t xml:space="preserve">a </w:t>
      </w:r>
      <w:r w:rsidR="00FC6B51" w:rsidRPr="00FC6B51">
        <w:rPr>
          <w:rFonts w:cstheme="minorHAnsi"/>
          <w:color w:val="000000"/>
          <w:sz w:val="24"/>
          <w:szCs w:val="24"/>
          <w:shd w:val="clear" w:color="auto" w:fill="FFFFFF"/>
        </w:rPr>
        <w:t>product or service other than retail electric service</w:t>
      </w:r>
      <w:r w:rsidR="00AE1082">
        <w:rPr>
          <w:rFonts w:cstheme="minorHAnsi"/>
          <w:color w:val="000000"/>
          <w:sz w:val="24"/>
          <w:szCs w:val="24"/>
          <w:shd w:val="clear" w:color="auto" w:fill="FFFFFF"/>
        </w:rPr>
        <w:t xml:space="preserve"> -</w:t>
      </w:r>
      <w:r w:rsidR="00FC6B51">
        <w:rPr>
          <w:rFonts w:cstheme="minorHAnsi"/>
          <w:color w:val="000000"/>
          <w:sz w:val="24"/>
          <w:szCs w:val="24"/>
          <w:shd w:val="clear" w:color="auto" w:fill="FFFFFF"/>
        </w:rPr>
        <w:t xml:space="preserve"> in this case</w:t>
      </w:r>
      <w:r w:rsidR="00AE1082">
        <w:rPr>
          <w:rFonts w:cstheme="minorHAnsi"/>
          <w:color w:val="000000"/>
          <w:sz w:val="24"/>
          <w:szCs w:val="24"/>
          <w:shd w:val="clear" w:color="auto" w:fill="FFFFFF"/>
        </w:rPr>
        <w:t>,</w:t>
      </w:r>
      <w:r w:rsidR="00C82E15">
        <w:rPr>
          <w:sz w:val="24"/>
          <w:szCs w:val="24"/>
        </w:rPr>
        <w:t xml:space="preserve"> wholesale generation </w:t>
      </w:r>
      <w:r w:rsidR="00862A5E">
        <w:rPr>
          <w:sz w:val="24"/>
          <w:szCs w:val="24"/>
        </w:rPr>
        <w:t xml:space="preserve">supply </w:t>
      </w:r>
      <w:r w:rsidR="00C82E15">
        <w:rPr>
          <w:sz w:val="24"/>
          <w:szCs w:val="24"/>
        </w:rPr>
        <w:t>service</w:t>
      </w:r>
      <w:r w:rsidR="00862A5E">
        <w:rPr>
          <w:sz w:val="24"/>
          <w:szCs w:val="24"/>
        </w:rPr>
        <w:t xml:space="preserve"> available to </w:t>
      </w:r>
      <w:r w:rsidR="00F549AC">
        <w:rPr>
          <w:sz w:val="24"/>
          <w:szCs w:val="24"/>
        </w:rPr>
        <w:t xml:space="preserve">FirstEnergy </w:t>
      </w:r>
      <w:r w:rsidR="00862A5E">
        <w:rPr>
          <w:sz w:val="24"/>
          <w:szCs w:val="24"/>
        </w:rPr>
        <w:t>pursuant</w:t>
      </w:r>
      <w:r w:rsidR="00F549AC">
        <w:rPr>
          <w:sz w:val="24"/>
          <w:szCs w:val="24"/>
        </w:rPr>
        <w:t xml:space="preserve"> to its proposed contract with FES.</w:t>
      </w:r>
      <w:r w:rsidR="00AE1082">
        <w:rPr>
          <w:sz w:val="24"/>
          <w:szCs w:val="24"/>
        </w:rPr>
        <w:t xml:space="preserve"> </w:t>
      </w:r>
      <w:r w:rsidR="00F549AC">
        <w:rPr>
          <w:sz w:val="24"/>
          <w:szCs w:val="24"/>
        </w:rPr>
        <w:t xml:space="preserve"> </w:t>
      </w:r>
      <w:r w:rsidR="009E2AD4">
        <w:rPr>
          <w:sz w:val="24"/>
          <w:szCs w:val="24"/>
        </w:rPr>
        <w:t xml:space="preserve">The </w:t>
      </w:r>
      <w:r w:rsidR="00F549AC">
        <w:rPr>
          <w:sz w:val="24"/>
          <w:szCs w:val="24"/>
        </w:rPr>
        <w:t>RRS</w:t>
      </w:r>
      <w:r w:rsidR="009E2AD4">
        <w:rPr>
          <w:sz w:val="24"/>
          <w:szCs w:val="24"/>
        </w:rPr>
        <w:t xml:space="preserve"> Rider </w:t>
      </w:r>
      <w:r w:rsidR="00862A5E">
        <w:rPr>
          <w:sz w:val="24"/>
          <w:szCs w:val="24"/>
        </w:rPr>
        <w:t xml:space="preserve">causes such a subsidy payment </w:t>
      </w:r>
      <w:r w:rsidR="009E2AD4">
        <w:rPr>
          <w:sz w:val="24"/>
          <w:szCs w:val="24"/>
        </w:rPr>
        <w:t xml:space="preserve">from </w:t>
      </w:r>
      <w:r w:rsidR="00F549AC">
        <w:rPr>
          <w:sz w:val="24"/>
          <w:szCs w:val="24"/>
        </w:rPr>
        <w:t>FirstEnergy</w:t>
      </w:r>
      <w:r w:rsidR="00862A5E">
        <w:rPr>
          <w:sz w:val="24"/>
          <w:szCs w:val="24"/>
        </w:rPr>
        <w:t xml:space="preserve"> </w:t>
      </w:r>
      <w:r w:rsidR="009E2AD4">
        <w:rPr>
          <w:sz w:val="24"/>
          <w:szCs w:val="24"/>
        </w:rPr>
        <w:t>retail distribution customers when it results in a charge</w:t>
      </w:r>
      <w:r w:rsidR="00B07F55">
        <w:rPr>
          <w:sz w:val="24"/>
          <w:szCs w:val="24"/>
        </w:rPr>
        <w:t xml:space="preserve"> (the cost of the </w:t>
      </w:r>
      <w:r w:rsidR="00F549AC">
        <w:rPr>
          <w:sz w:val="24"/>
          <w:szCs w:val="24"/>
        </w:rPr>
        <w:t xml:space="preserve">FES </w:t>
      </w:r>
      <w:r w:rsidR="00B07F55">
        <w:rPr>
          <w:sz w:val="24"/>
          <w:szCs w:val="24"/>
        </w:rPr>
        <w:t xml:space="preserve">wholesale supply </w:t>
      </w:r>
      <w:r w:rsidR="00F549AC">
        <w:rPr>
          <w:sz w:val="24"/>
          <w:szCs w:val="24"/>
        </w:rPr>
        <w:t xml:space="preserve">contract with FirstEnergy </w:t>
      </w:r>
      <w:r w:rsidR="00B07F55">
        <w:rPr>
          <w:sz w:val="24"/>
          <w:szCs w:val="24"/>
        </w:rPr>
        <w:t>is in excess of the revenue resulting from li</w:t>
      </w:r>
      <w:r w:rsidR="007E7E70">
        <w:rPr>
          <w:sz w:val="24"/>
          <w:szCs w:val="24"/>
        </w:rPr>
        <w:t>q</w:t>
      </w:r>
      <w:r w:rsidR="00B07F55">
        <w:rPr>
          <w:sz w:val="24"/>
          <w:szCs w:val="24"/>
        </w:rPr>
        <w:t>uidation in the wholesale markets)</w:t>
      </w:r>
      <w:r w:rsidR="009E2AD4">
        <w:rPr>
          <w:sz w:val="24"/>
          <w:szCs w:val="24"/>
        </w:rPr>
        <w:t xml:space="preserve">.  The </w:t>
      </w:r>
      <w:r w:rsidR="00F549AC">
        <w:rPr>
          <w:sz w:val="24"/>
          <w:szCs w:val="24"/>
        </w:rPr>
        <w:t xml:space="preserve">RRS </w:t>
      </w:r>
      <w:r w:rsidR="009E2AD4">
        <w:rPr>
          <w:sz w:val="24"/>
          <w:szCs w:val="24"/>
        </w:rPr>
        <w:t>Rider is a subsidy to retail distribution customers when it results in a credit</w:t>
      </w:r>
      <w:r w:rsidR="00B07F55">
        <w:rPr>
          <w:sz w:val="24"/>
          <w:szCs w:val="24"/>
        </w:rPr>
        <w:t xml:space="preserve"> (the cost of the </w:t>
      </w:r>
      <w:r w:rsidR="00F549AC">
        <w:rPr>
          <w:sz w:val="24"/>
          <w:szCs w:val="24"/>
        </w:rPr>
        <w:t xml:space="preserve">FES wholesale supply contract with FirstEnergy </w:t>
      </w:r>
      <w:r w:rsidR="00B07F55">
        <w:rPr>
          <w:sz w:val="24"/>
          <w:szCs w:val="24"/>
        </w:rPr>
        <w:t>is less than the revenue resulting from li</w:t>
      </w:r>
      <w:r w:rsidR="007E7E70">
        <w:rPr>
          <w:sz w:val="24"/>
          <w:szCs w:val="24"/>
        </w:rPr>
        <w:t>q</w:t>
      </w:r>
      <w:r w:rsidR="00B07F55">
        <w:rPr>
          <w:sz w:val="24"/>
          <w:szCs w:val="24"/>
        </w:rPr>
        <w:t>uidation in the wholesale markets)</w:t>
      </w:r>
      <w:r w:rsidR="009E2AD4">
        <w:rPr>
          <w:sz w:val="24"/>
          <w:szCs w:val="24"/>
        </w:rPr>
        <w:t xml:space="preserve">.  </w:t>
      </w:r>
      <w:r w:rsidR="00FC6B51">
        <w:rPr>
          <w:sz w:val="24"/>
          <w:szCs w:val="24"/>
        </w:rPr>
        <w:t>In either case</w:t>
      </w:r>
      <w:r w:rsidR="00273E48">
        <w:rPr>
          <w:sz w:val="24"/>
          <w:szCs w:val="24"/>
        </w:rPr>
        <w:t>,</w:t>
      </w:r>
      <w:r w:rsidR="00FC6B51">
        <w:rPr>
          <w:sz w:val="24"/>
          <w:szCs w:val="24"/>
        </w:rPr>
        <w:t xml:space="preserve"> the result runs afoul of Ohio’s pro-competitive policies.</w:t>
      </w:r>
      <w:r w:rsidR="00B07F55">
        <w:rPr>
          <w:sz w:val="24"/>
          <w:szCs w:val="24"/>
        </w:rPr>
        <w:t xml:space="preserve">  </w:t>
      </w:r>
    </w:p>
    <w:p w:rsidR="0019796C" w:rsidRPr="00AE1082" w:rsidRDefault="00E46298" w:rsidP="00F549AC">
      <w:pPr>
        <w:autoSpaceDE w:val="0"/>
        <w:autoSpaceDN w:val="0"/>
        <w:adjustRightInd w:val="0"/>
        <w:spacing w:before="240" w:after="0" w:line="480" w:lineRule="auto"/>
        <w:ind w:left="720" w:hanging="720"/>
        <w:jc w:val="both"/>
        <w:rPr>
          <w:rFonts w:ascii="Arial" w:hAnsi="Arial" w:cs="Arial"/>
          <w:b/>
          <w:sz w:val="24"/>
          <w:szCs w:val="24"/>
        </w:rPr>
      </w:pPr>
      <w:r>
        <w:rPr>
          <w:rFonts w:ascii="Arial" w:hAnsi="Arial" w:cs="Arial"/>
          <w:b/>
          <w:sz w:val="24"/>
          <w:szCs w:val="24"/>
        </w:rPr>
        <w:lastRenderedPageBreak/>
        <w:t>Q20</w:t>
      </w:r>
      <w:r w:rsidR="00F549AC" w:rsidRPr="00AE1082">
        <w:rPr>
          <w:rFonts w:ascii="Arial" w:hAnsi="Arial" w:cs="Arial"/>
          <w:b/>
          <w:sz w:val="24"/>
          <w:szCs w:val="24"/>
        </w:rPr>
        <w:t>.</w:t>
      </w:r>
      <w:r w:rsidR="00F549AC" w:rsidRPr="00AE1082">
        <w:rPr>
          <w:rFonts w:ascii="Arial" w:hAnsi="Arial" w:cs="Arial"/>
          <w:b/>
          <w:sz w:val="24"/>
          <w:szCs w:val="24"/>
        </w:rPr>
        <w:tab/>
        <w:t xml:space="preserve">Would </w:t>
      </w:r>
      <w:r w:rsidR="0019796C" w:rsidRPr="00AE1082">
        <w:rPr>
          <w:rFonts w:ascii="Arial" w:hAnsi="Arial" w:cs="Arial"/>
          <w:b/>
          <w:sz w:val="24"/>
          <w:szCs w:val="24"/>
        </w:rPr>
        <w:t>the Economic Stability Program and associated RRS Rider result in rebundling of generation service?</w:t>
      </w:r>
    </w:p>
    <w:p w:rsidR="00FC6B51" w:rsidRPr="0019796C" w:rsidRDefault="0019796C" w:rsidP="00F549AC">
      <w:pPr>
        <w:autoSpaceDE w:val="0"/>
        <w:autoSpaceDN w:val="0"/>
        <w:adjustRightInd w:val="0"/>
        <w:spacing w:before="240" w:after="0" w:line="480" w:lineRule="auto"/>
        <w:ind w:left="720" w:hanging="720"/>
        <w:jc w:val="both"/>
        <w:rPr>
          <w:rFonts w:ascii="Arial" w:hAnsi="Arial" w:cs="Arial"/>
          <w:sz w:val="24"/>
          <w:szCs w:val="24"/>
        </w:rPr>
      </w:pPr>
      <w:r w:rsidRPr="00AE1082">
        <w:rPr>
          <w:rFonts w:ascii="Arial" w:hAnsi="Arial" w:cs="Arial"/>
          <w:sz w:val="24"/>
          <w:szCs w:val="24"/>
        </w:rPr>
        <w:t>A2</w:t>
      </w:r>
      <w:r w:rsidR="00E46298">
        <w:rPr>
          <w:rFonts w:ascii="Arial" w:hAnsi="Arial" w:cs="Arial"/>
          <w:sz w:val="24"/>
          <w:szCs w:val="24"/>
        </w:rPr>
        <w:t>0</w:t>
      </w:r>
      <w:r w:rsidRPr="00AE1082">
        <w:rPr>
          <w:rFonts w:ascii="Arial" w:hAnsi="Arial" w:cs="Arial"/>
          <w:sz w:val="24"/>
          <w:szCs w:val="24"/>
        </w:rPr>
        <w:t>.</w:t>
      </w:r>
      <w:r w:rsidRPr="00AE1082">
        <w:rPr>
          <w:rFonts w:ascii="Arial" w:hAnsi="Arial" w:cs="Arial"/>
          <w:sz w:val="24"/>
          <w:szCs w:val="24"/>
        </w:rPr>
        <w:tab/>
        <w:t>Yes.</w:t>
      </w:r>
      <w:r>
        <w:rPr>
          <w:sz w:val="24"/>
          <w:szCs w:val="24"/>
        </w:rPr>
        <w:t xml:space="preserve"> </w:t>
      </w:r>
      <w:r w:rsidR="00AE1082">
        <w:rPr>
          <w:sz w:val="24"/>
          <w:szCs w:val="24"/>
        </w:rPr>
        <w:t xml:space="preserve"> </w:t>
      </w:r>
      <w:r>
        <w:rPr>
          <w:sz w:val="24"/>
          <w:szCs w:val="24"/>
        </w:rPr>
        <w:t xml:space="preserve">With the enactment of SB 3, Ohio implemented a policy that allows customers to select the unbundled generation service components to meet </w:t>
      </w:r>
      <w:r w:rsidR="00AE1082">
        <w:rPr>
          <w:sz w:val="24"/>
          <w:szCs w:val="24"/>
        </w:rPr>
        <w:t>a</w:t>
      </w:r>
      <w:r>
        <w:rPr>
          <w:sz w:val="24"/>
          <w:szCs w:val="24"/>
        </w:rPr>
        <w:t xml:space="preserve"> customer’s supply, price, terms and condition</w:t>
      </w:r>
      <w:r w:rsidR="00AE1082">
        <w:rPr>
          <w:sz w:val="24"/>
          <w:szCs w:val="24"/>
        </w:rPr>
        <w:t>s</w:t>
      </w:r>
      <w:r>
        <w:rPr>
          <w:sz w:val="24"/>
          <w:szCs w:val="24"/>
        </w:rPr>
        <w:t xml:space="preserve"> that meets the customer’s needs. </w:t>
      </w:r>
      <w:r w:rsidR="00AE1082">
        <w:rPr>
          <w:sz w:val="24"/>
          <w:szCs w:val="24"/>
        </w:rPr>
        <w:t xml:space="preserve"> </w:t>
      </w:r>
      <w:r>
        <w:rPr>
          <w:sz w:val="24"/>
          <w:szCs w:val="24"/>
        </w:rPr>
        <w:t xml:space="preserve">By entering into the proposed power purchase contract with FES, FirstEnergy is effectively substituting its judgment for the source of generation supply when </w:t>
      </w:r>
      <w:r w:rsidR="00AE1082">
        <w:rPr>
          <w:sz w:val="24"/>
          <w:szCs w:val="24"/>
        </w:rPr>
        <w:t xml:space="preserve">the </w:t>
      </w:r>
      <w:r>
        <w:rPr>
          <w:sz w:val="24"/>
          <w:szCs w:val="24"/>
        </w:rPr>
        <w:t>Ohio legislature has determined such decisions are to be in the control of customers.</w:t>
      </w:r>
    </w:p>
    <w:p w:rsidR="008B656E" w:rsidRPr="008B656E" w:rsidRDefault="008B656E" w:rsidP="00626A10">
      <w:pPr>
        <w:spacing w:before="240" w:after="0" w:line="480" w:lineRule="auto"/>
        <w:ind w:left="720" w:hanging="720"/>
        <w:jc w:val="both"/>
        <w:rPr>
          <w:rFonts w:ascii="Arial" w:hAnsi="Arial" w:cs="Arial"/>
          <w:b/>
          <w:sz w:val="24"/>
          <w:szCs w:val="24"/>
        </w:rPr>
      </w:pPr>
      <w:r w:rsidRPr="008B656E">
        <w:rPr>
          <w:rFonts w:ascii="Arial" w:hAnsi="Arial" w:cs="Arial"/>
          <w:b/>
          <w:sz w:val="24"/>
          <w:szCs w:val="24"/>
        </w:rPr>
        <w:t>Q</w:t>
      </w:r>
      <w:r>
        <w:rPr>
          <w:rFonts w:ascii="Arial" w:hAnsi="Arial" w:cs="Arial"/>
          <w:b/>
          <w:sz w:val="24"/>
          <w:szCs w:val="24"/>
        </w:rPr>
        <w:t>21</w:t>
      </w:r>
      <w:r w:rsidR="00626A10">
        <w:rPr>
          <w:rFonts w:ascii="Arial" w:hAnsi="Arial" w:cs="Arial"/>
          <w:b/>
          <w:sz w:val="24"/>
          <w:szCs w:val="24"/>
        </w:rPr>
        <w:t>.</w:t>
      </w:r>
      <w:r w:rsidR="00626A10">
        <w:rPr>
          <w:rFonts w:ascii="Arial" w:hAnsi="Arial" w:cs="Arial"/>
          <w:b/>
          <w:sz w:val="24"/>
          <w:szCs w:val="24"/>
        </w:rPr>
        <w:tab/>
      </w:r>
      <w:r>
        <w:rPr>
          <w:rFonts w:ascii="Arial" w:hAnsi="Arial" w:cs="Arial"/>
          <w:b/>
          <w:sz w:val="24"/>
          <w:szCs w:val="24"/>
        </w:rPr>
        <w:t xml:space="preserve">Why is </w:t>
      </w:r>
      <w:r w:rsidRPr="008B656E">
        <w:rPr>
          <w:rFonts w:ascii="Arial" w:hAnsi="Arial" w:cs="Arial"/>
          <w:b/>
          <w:sz w:val="24"/>
          <w:szCs w:val="24"/>
        </w:rPr>
        <w:t>the Economic Stability Program equivalent to a request for additional transition revenue</w:t>
      </w:r>
      <w:r>
        <w:rPr>
          <w:rFonts w:ascii="Arial" w:hAnsi="Arial" w:cs="Arial"/>
          <w:b/>
          <w:sz w:val="24"/>
          <w:szCs w:val="24"/>
        </w:rPr>
        <w:t>?</w:t>
      </w:r>
      <w:r w:rsidRPr="008B656E">
        <w:rPr>
          <w:rFonts w:ascii="Arial" w:hAnsi="Arial" w:cs="Arial"/>
          <w:b/>
          <w:sz w:val="24"/>
          <w:szCs w:val="24"/>
        </w:rPr>
        <w:t xml:space="preserve"> </w:t>
      </w:r>
    </w:p>
    <w:p w:rsidR="008B656E" w:rsidRDefault="00626A10" w:rsidP="00626A10">
      <w:pPr>
        <w:spacing w:before="240" w:after="0" w:line="480" w:lineRule="auto"/>
        <w:ind w:left="720" w:hanging="720"/>
        <w:jc w:val="both"/>
        <w:rPr>
          <w:rFonts w:ascii="Arial" w:hAnsi="Arial" w:cs="Arial"/>
          <w:sz w:val="24"/>
          <w:szCs w:val="24"/>
        </w:rPr>
      </w:pPr>
      <w:r>
        <w:rPr>
          <w:rFonts w:ascii="Arial" w:hAnsi="Arial" w:cs="Arial"/>
          <w:sz w:val="24"/>
          <w:szCs w:val="24"/>
        </w:rPr>
        <w:t>A21.</w:t>
      </w:r>
      <w:r w:rsidR="008B656E">
        <w:rPr>
          <w:rFonts w:ascii="Arial" w:hAnsi="Arial" w:cs="Arial"/>
          <w:sz w:val="24"/>
          <w:szCs w:val="24"/>
        </w:rPr>
        <w:tab/>
        <w:t xml:space="preserve">In those instances in which the revenue for the output of the generating facilities sold into the markets operated by PJM is less than the costs FirstEnergy incurs for the purchase of the output of those facilities, the shortfall to be collected through the RRS Rider charge are costs that </w:t>
      </w:r>
      <w:r>
        <w:rPr>
          <w:rFonts w:ascii="Arial" w:hAnsi="Arial" w:cs="Arial"/>
          <w:sz w:val="24"/>
          <w:szCs w:val="24"/>
        </w:rPr>
        <w:t xml:space="preserve">are </w:t>
      </w:r>
      <w:r w:rsidR="008B656E">
        <w:rPr>
          <w:rFonts w:ascii="Arial" w:hAnsi="Arial" w:cs="Arial"/>
          <w:sz w:val="24"/>
          <w:szCs w:val="24"/>
        </w:rPr>
        <w:t>recoverable in PJM’s c</w:t>
      </w:r>
      <w:r>
        <w:rPr>
          <w:rFonts w:ascii="Arial" w:hAnsi="Arial" w:cs="Arial"/>
          <w:sz w:val="24"/>
          <w:szCs w:val="24"/>
        </w:rPr>
        <w:t xml:space="preserve">ompetitive electricity markets. </w:t>
      </w:r>
      <w:r w:rsidR="008B656E">
        <w:rPr>
          <w:rFonts w:ascii="Arial" w:hAnsi="Arial" w:cs="Arial"/>
          <w:sz w:val="24"/>
          <w:szCs w:val="24"/>
        </w:rPr>
        <w:t xml:space="preserve"> This is equivalent to transition revenue.</w:t>
      </w:r>
    </w:p>
    <w:p w:rsidR="007B0018" w:rsidRDefault="00E46298" w:rsidP="00C96B7C">
      <w:pPr>
        <w:autoSpaceDE w:val="0"/>
        <w:autoSpaceDN w:val="0"/>
        <w:adjustRightInd w:val="0"/>
        <w:spacing w:before="240" w:after="0" w:line="480" w:lineRule="auto"/>
        <w:ind w:left="720" w:hanging="720"/>
        <w:jc w:val="both"/>
        <w:rPr>
          <w:b/>
          <w:sz w:val="24"/>
          <w:szCs w:val="24"/>
        </w:rPr>
      </w:pPr>
      <w:r>
        <w:rPr>
          <w:b/>
          <w:sz w:val="24"/>
          <w:szCs w:val="24"/>
        </w:rPr>
        <w:t>Q2</w:t>
      </w:r>
      <w:r w:rsidR="008B656E">
        <w:rPr>
          <w:b/>
          <w:sz w:val="24"/>
          <w:szCs w:val="24"/>
        </w:rPr>
        <w:t>2</w:t>
      </w:r>
      <w:r w:rsidR="007B0018" w:rsidRPr="007B0018">
        <w:rPr>
          <w:b/>
          <w:sz w:val="24"/>
          <w:szCs w:val="24"/>
        </w:rPr>
        <w:t>.</w:t>
      </w:r>
      <w:r w:rsidR="007B0018" w:rsidRPr="007B0018">
        <w:rPr>
          <w:b/>
          <w:sz w:val="24"/>
          <w:szCs w:val="24"/>
        </w:rPr>
        <w:tab/>
        <w:t xml:space="preserve">Can you summarize your recommendations on </w:t>
      </w:r>
      <w:r w:rsidR="0019796C">
        <w:rPr>
          <w:b/>
          <w:sz w:val="24"/>
          <w:szCs w:val="24"/>
        </w:rPr>
        <w:t>FirstEnergy’s</w:t>
      </w:r>
      <w:r w:rsidR="007B0018" w:rsidRPr="007B0018">
        <w:rPr>
          <w:b/>
          <w:sz w:val="24"/>
          <w:szCs w:val="24"/>
        </w:rPr>
        <w:t xml:space="preserve"> proposed </w:t>
      </w:r>
      <w:r w:rsidR="0019796C" w:rsidRPr="00F549AC">
        <w:rPr>
          <w:b/>
          <w:sz w:val="24"/>
          <w:szCs w:val="24"/>
        </w:rPr>
        <w:t>Economic Stability Program and associated RRS Rider</w:t>
      </w:r>
      <w:r w:rsidR="007B0018" w:rsidRPr="007B0018">
        <w:rPr>
          <w:b/>
          <w:sz w:val="24"/>
          <w:szCs w:val="24"/>
        </w:rPr>
        <w:t>?</w:t>
      </w:r>
    </w:p>
    <w:p w:rsidR="00970C3B" w:rsidRDefault="008B656E" w:rsidP="00970C3B">
      <w:pPr>
        <w:autoSpaceDE w:val="0"/>
        <w:autoSpaceDN w:val="0"/>
        <w:adjustRightInd w:val="0"/>
        <w:spacing w:before="240" w:after="0" w:line="480" w:lineRule="auto"/>
        <w:ind w:left="720" w:hanging="720"/>
        <w:jc w:val="both"/>
        <w:rPr>
          <w:sz w:val="24"/>
          <w:szCs w:val="24"/>
        </w:rPr>
      </w:pPr>
      <w:r>
        <w:rPr>
          <w:sz w:val="24"/>
          <w:szCs w:val="24"/>
        </w:rPr>
        <w:t>A22</w:t>
      </w:r>
      <w:r w:rsidR="007B0018">
        <w:rPr>
          <w:sz w:val="24"/>
          <w:szCs w:val="24"/>
        </w:rPr>
        <w:t>.</w:t>
      </w:r>
      <w:r w:rsidR="007B0018">
        <w:rPr>
          <w:sz w:val="24"/>
          <w:szCs w:val="24"/>
        </w:rPr>
        <w:tab/>
        <w:t>Yes.</w:t>
      </w:r>
      <w:r w:rsidR="00DF5E8B">
        <w:rPr>
          <w:sz w:val="24"/>
          <w:szCs w:val="24"/>
        </w:rPr>
        <w:t xml:space="preserve"> </w:t>
      </w:r>
      <w:r w:rsidR="007B0018">
        <w:rPr>
          <w:sz w:val="24"/>
          <w:szCs w:val="24"/>
        </w:rPr>
        <w:t xml:space="preserve"> The Commission should deny </w:t>
      </w:r>
      <w:r w:rsidR="0019796C">
        <w:rPr>
          <w:sz w:val="24"/>
          <w:szCs w:val="24"/>
        </w:rPr>
        <w:t xml:space="preserve">FirstEnergy’s </w:t>
      </w:r>
      <w:r w:rsidR="001A7CED">
        <w:rPr>
          <w:sz w:val="24"/>
          <w:szCs w:val="24"/>
        </w:rPr>
        <w:t>reques</w:t>
      </w:r>
      <w:r w:rsidR="00DF5E8B">
        <w:rPr>
          <w:sz w:val="24"/>
          <w:szCs w:val="24"/>
        </w:rPr>
        <w:t xml:space="preserve">t for authorization </w:t>
      </w:r>
      <w:r w:rsidR="001B205A">
        <w:rPr>
          <w:sz w:val="24"/>
          <w:szCs w:val="24"/>
        </w:rPr>
        <w:t xml:space="preserve">to </w:t>
      </w:r>
      <w:r w:rsidR="0019796C">
        <w:rPr>
          <w:sz w:val="24"/>
          <w:szCs w:val="24"/>
        </w:rPr>
        <w:t xml:space="preserve">implement the </w:t>
      </w:r>
      <w:r w:rsidR="0019796C" w:rsidRPr="0019796C">
        <w:rPr>
          <w:sz w:val="24"/>
          <w:szCs w:val="24"/>
        </w:rPr>
        <w:t>Economic Stability Program and associated RRS Rider</w:t>
      </w:r>
      <w:r w:rsidR="0019796C">
        <w:rPr>
          <w:sz w:val="24"/>
          <w:szCs w:val="24"/>
        </w:rPr>
        <w:t>.</w:t>
      </w:r>
      <w:r w:rsidR="00970C3B">
        <w:rPr>
          <w:sz w:val="24"/>
          <w:szCs w:val="24"/>
        </w:rPr>
        <w:br w:type="page"/>
      </w:r>
    </w:p>
    <w:p w:rsidR="0024375F" w:rsidRDefault="00A7366D" w:rsidP="00115D24">
      <w:pPr>
        <w:autoSpaceDE w:val="0"/>
        <w:autoSpaceDN w:val="0"/>
        <w:adjustRightInd w:val="0"/>
        <w:spacing w:before="240" w:after="0" w:line="480" w:lineRule="auto"/>
        <w:ind w:left="720" w:hanging="720"/>
        <w:jc w:val="both"/>
        <w:rPr>
          <w:rFonts w:ascii="Arial" w:eastAsiaTheme="minorHAnsi" w:hAnsi="Arial" w:cs="Arial"/>
          <w:b/>
          <w:sz w:val="24"/>
          <w:szCs w:val="24"/>
        </w:rPr>
      </w:pPr>
      <w:r>
        <w:rPr>
          <w:rFonts w:ascii="Arial" w:eastAsiaTheme="minorHAnsi" w:hAnsi="Arial" w:cs="Arial"/>
          <w:b/>
          <w:sz w:val="24"/>
          <w:szCs w:val="24"/>
        </w:rPr>
        <w:lastRenderedPageBreak/>
        <w:t>I</w:t>
      </w:r>
      <w:r w:rsidR="00CA07F3">
        <w:rPr>
          <w:rFonts w:ascii="Arial" w:eastAsiaTheme="minorHAnsi" w:hAnsi="Arial" w:cs="Arial"/>
          <w:b/>
          <w:sz w:val="24"/>
          <w:szCs w:val="24"/>
        </w:rPr>
        <w:t>V.</w:t>
      </w:r>
      <w:r w:rsidR="00CA07F3">
        <w:rPr>
          <w:rFonts w:ascii="Arial" w:eastAsiaTheme="minorHAnsi" w:hAnsi="Arial" w:cs="Arial"/>
          <w:b/>
          <w:sz w:val="24"/>
          <w:szCs w:val="24"/>
        </w:rPr>
        <w:tab/>
      </w:r>
      <w:r w:rsidR="00374D76">
        <w:rPr>
          <w:b/>
          <w:sz w:val="24"/>
          <w:szCs w:val="24"/>
        </w:rPr>
        <w:t xml:space="preserve">RIDER </w:t>
      </w:r>
      <w:r w:rsidR="001D33A5">
        <w:rPr>
          <w:b/>
          <w:sz w:val="24"/>
          <w:szCs w:val="24"/>
        </w:rPr>
        <w:t>NMB</w:t>
      </w:r>
    </w:p>
    <w:p w:rsidR="00223C4F" w:rsidRPr="00BE0E0F" w:rsidRDefault="00A7366D" w:rsidP="00223C4F">
      <w:pPr>
        <w:autoSpaceDE w:val="0"/>
        <w:autoSpaceDN w:val="0"/>
        <w:adjustRightInd w:val="0"/>
        <w:spacing w:before="240" w:after="0" w:line="480" w:lineRule="auto"/>
        <w:ind w:left="720" w:hanging="720"/>
        <w:jc w:val="both"/>
        <w:rPr>
          <w:rFonts w:eastAsia="Arial" w:cs="Arial"/>
          <w:b/>
          <w:sz w:val="24"/>
          <w:szCs w:val="24"/>
        </w:rPr>
      </w:pPr>
      <w:r>
        <w:rPr>
          <w:rFonts w:eastAsia="Arial" w:cs="Arial"/>
          <w:b/>
          <w:sz w:val="24"/>
          <w:szCs w:val="24"/>
        </w:rPr>
        <w:t>Q2</w:t>
      </w:r>
      <w:r w:rsidR="008B656E">
        <w:rPr>
          <w:rFonts w:eastAsia="Arial" w:cs="Arial"/>
          <w:b/>
          <w:sz w:val="24"/>
          <w:szCs w:val="24"/>
        </w:rPr>
        <w:t>3</w:t>
      </w:r>
      <w:r w:rsidR="00223C4F" w:rsidRPr="00BE0E0F">
        <w:rPr>
          <w:rFonts w:eastAsia="Arial" w:cs="Arial"/>
          <w:b/>
          <w:sz w:val="24"/>
          <w:szCs w:val="24"/>
        </w:rPr>
        <w:t>.</w:t>
      </w:r>
      <w:r w:rsidR="00223C4F" w:rsidRPr="00BE0E0F">
        <w:rPr>
          <w:rFonts w:eastAsia="Arial" w:cs="Arial"/>
          <w:b/>
          <w:sz w:val="24"/>
          <w:szCs w:val="24"/>
        </w:rPr>
        <w:tab/>
        <w:t>H</w:t>
      </w:r>
      <w:r>
        <w:rPr>
          <w:rFonts w:eastAsia="Arial" w:cs="Arial"/>
          <w:b/>
          <w:sz w:val="24"/>
          <w:szCs w:val="24"/>
        </w:rPr>
        <w:t>as FirstEnergy prop</w:t>
      </w:r>
      <w:r w:rsidR="00626A10">
        <w:rPr>
          <w:rFonts w:eastAsia="Arial" w:cs="Arial"/>
          <w:b/>
          <w:sz w:val="24"/>
          <w:szCs w:val="24"/>
        </w:rPr>
        <w:t>osed any changes to the cost it</w:t>
      </w:r>
      <w:r>
        <w:rPr>
          <w:rFonts w:eastAsia="Arial" w:cs="Arial"/>
          <w:b/>
          <w:sz w:val="24"/>
          <w:szCs w:val="24"/>
        </w:rPr>
        <w:t xml:space="preserve"> collects from customers under Rider NMB?</w:t>
      </w:r>
    </w:p>
    <w:p w:rsidR="00A7366D" w:rsidRDefault="008B656E" w:rsidP="00223C4F">
      <w:pPr>
        <w:autoSpaceDE w:val="0"/>
        <w:autoSpaceDN w:val="0"/>
        <w:adjustRightInd w:val="0"/>
        <w:spacing w:before="240" w:after="0" w:line="480" w:lineRule="auto"/>
        <w:ind w:left="720" w:hanging="720"/>
        <w:jc w:val="both"/>
        <w:rPr>
          <w:rFonts w:eastAsia="MS PGothic" w:cs="Arial"/>
          <w:sz w:val="24"/>
          <w:szCs w:val="24"/>
        </w:rPr>
      </w:pPr>
      <w:r>
        <w:rPr>
          <w:rFonts w:eastAsia="MS PGothic" w:cs="Arial"/>
          <w:sz w:val="24"/>
          <w:szCs w:val="24"/>
        </w:rPr>
        <w:t>A23</w:t>
      </w:r>
      <w:r w:rsidR="00223C4F" w:rsidRPr="00BE0E0F">
        <w:rPr>
          <w:rFonts w:eastAsia="MS PGothic" w:cs="Arial"/>
          <w:sz w:val="24"/>
          <w:szCs w:val="24"/>
        </w:rPr>
        <w:t>.</w:t>
      </w:r>
      <w:r w:rsidR="00223C4F" w:rsidRPr="00BE0E0F">
        <w:rPr>
          <w:rFonts w:eastAsia="MS PGothic" w:cs="Arial"/>
          <w:sz w:val="24"/>
          <w:szCs w:val="24"/>
        </w:rPr>
        <w:tab/>
      </w:r>
      <w:r w:rsidR="00A7366D">
        <w:rPr>
          <w:rFonts w:eastAsia="MS PGothic" w:cs="Arial"/>
          <w:sz w:val="24"/>
          <w:szCs w:val="24"/>
        </w:rPr>
        <w:t xml:space="preserve">Yes. </w:t>
      </w:r>
      <w:r w:rsidR="00AE1082">
        <w:rPr>
          <w:rFonts w:eastAsia="MS PGothic" w:cs="Arial"/>
          <w:sz w:val="24"/>
          <w:szCs w:val="24"/>
        </w:rPr>
        <w:t xml:space="preserve"> </w:t>
      </w:r>
      <w:r w:rsidR="00A7366D">
        <w:rPr>
          <w:rFonts w:eastAsia="MS PGothic" w:cs="Arial"/>
          <w:sz w:val="24"/>
          <w:szCs w:val="24"/>
        </w:rPr>
        <w:t>As discussed in the tes</w:t>
      </w:r>
      <w:r w:rsidR="00A845F8">
        <w:rPr>
          <w:rFonts w:eastAsia="MS PGothic" w:cs="Arial"/>
          <w:sz w:val="24"/>
          <w:szCs w:val="24"/>
        </w:rPr>
        <w:t>timony of FirstEnergy witness</w:t>
      </w:r>
      <w:r w:rsidR="00A7366D">
        <w:rPr>
          <w:rFonts w:eastAsia="MS PGothic" w:cs="Arial"/>
          <w:sz w:val="24"/>
          <w:szCs w:val="24"/>
        </w:rPr>
        <w:t xml:space="preserve"> Stein, FirstEnergy currently recovers various charges invoiced by PJM through Rider NMB</w:t>
      </w:r>
      <w:r w:rsidR="00AE1082">
        <w:rPr>
          <w:rFonts w:eastAsia="MS PGothic" w:cs="Arial"/>
          <w:sz w:val="24"/>
          <w:szCs w:val="24"/>
        </w:rPr>
        <w:t>,</w:t>
      </w:r>
      <w:r w:rsidR="00A7366D">
        <w:rPr>
          <w:rFonts w:eastAsia="MS PGothic" w:cs="Arial"/>
          <w:sz w:val="24"/>
          <w:szCs w:val="24"/>
        </w:rPr>
        <w:t xml:space="preserve"> which is paid by all customers (both shopping and non-shopping). </w:t>
      </w:r>
      <w:r w:rsidR="00AE1082">
        <w:rPr>
          <w:rFonts w:eastAsia="MS PGothic" w:cs="Arial"/>
          <w:sz w:val="24"/>
          <w:szCs w:val="24"/>
        </w:rPr>
        <w:t xml:space="preserve"> </w:t>
      </w:r>
      <w:r w:rsidR="00A7366D">
        <w:rPr>
          <w:rFonts w:eastAsia="MS PGothic" w:cs="Arial"/>
          <w:sz w:val="24"/>
          <w:szCs w:val="24"/>
        </w:rPr>
        <w:t>The majority of costs collected through Rider NMB reflect costs and credits invoiced by PJM for network integration transmission service</w:t>
      </w:r>
      <w:r w:rsidR="00AE1082">
        <w:rPr>
          <w:rFonts w:eastAsia="MS PGothic" w:cs="Arial"/>
          <w:sz w:val="24"/>
          <w:szCs w:val="24"/>
        </w:rPr>
        <w:t xml:space="preserve"> (“NITS”)</w:t>
      </w:r>
      <w:r w:rsidR="00A7366D">
        <w:rPr>
          <w:rFonts w:eastAsia="MS PGothic" w:cs="Arial"/>
          <w:sz w:val="24"/>
          <w:szCs w:val="24"/>
        </w:rPr>
        <w:t>, transmission expansion charges and some PJM ancillary services.</w:t>
      </w:r>
    </w:p>
    <w:p w:rsidR="00223C4F" w:rsidRPr="00BE0E0F" w:rsidRDefault="00A7366D" w:rsidP="00A7366D">
      <w:pPr>
        <w:autoSpaceDE w:val="0"/>
        <w:autoSpaceDN w:val="0"/>
        <w:adjustRightInd w:val="0"/>
        <w:spacing w:before="240" w:after="0" w:line="480" w:lineRule="auto"/>
        <w:ind w:left="720"/>
        <w:jc w:val="both"/>
        <w:rPr>
          <w:rFonts w:eastAsia="Arial" w:cs="Arial"/>
          <w:sz w:val="24"/>
          <w:szCs w:val="24"/>
        </w:rPr>
      </w:pPr>
      <w:r>
        <w:rPr>
          <w:rFonts w:eastAsia="MS PGothic" w:cs="Arial"/>
          <w:sz w:val="24"/>
          <w:szCs w:val="24"/>
        </w:rPr>
        <w:t>In its application</w:t>
      </w:r>
      <w:r w:rsidR="00AE1082">
        <w:rPr>
          <w:rFonts w:eastAsia="MS PGothic" w:cs="Arial"/>
          <w:sz w:val="24"/>
          <w:szCs w:val="24"/>
        </w:rPr>
        <w:t>,</w:t>
      </w:r>
      <w:r>
        <w:rPr>
          <w:rFonts w:eastAsia="MS PGothic" w:cs="Arial"/>
          <w:sz w:val="24"/>
          <w:szCs w:val="24"/>
        </w:rPr>
        <w:t xml:space="preserve"> FirstEnergy has proposed to expand the costs and credits invoiced by PJM that would be recovered through Rider NM</w:t>
      </w:r>
      <w:r w:rsidR="00AE1082">
        <w:rPr>
          <w:rFonts w:eastAsia="MS PGothic" w:cs="Arial"/>
          <w:sz w:val="24"/>
          <w:szCs w:val="24"/>
        </w:rPr>
        <w:t>B to include various generation-</w:t>
      </w:r>
      <w:r>
        <w:rPr>
          <w:rFonts w:eastAsia="MS PGothic" w:cs="Arial"/>
          <w:sz w:val="24"/>
          <w:szCs w:val="24"/>
        </w:rPr>
        <w:t>related costs.</w:t>
      </w:r>
      <w:r w:rsidR="00AE1082">
        <w:rPr>
          <w:rFonts w:eastAsia="MS PGothic" w:cs="Arial"/>
          <w:sz w:val="24"/>
          <w:szCs w:val="24"/>
        </w:rPr>
        <w:t xml:space="preserve"> </w:t>
      </w:r>
      <w:r>
        <w:rPr>
          <w:rFonts w:eastAsia="MS PGothic" w:cs="Arial"/>
          <w:sz w:val="24"/>
          <w:szCs w:val="24"/>
        </w:rPr>
        <w:t xml:space="preserve"> Specifically, FirstEnergy has proposed to recover</w:t>
      </w:r>
      <w:r w:rsidR="00AE1082">
        <w:rPr>
          <w:rFonts w:eastAsia="MS PGothic" w:cs="Arial"/>
          <w:sz w:val="24"/>
          <w:szCs w:val="24"/>
        </w:rPr>
        <w:t>,</w:t>
      </w:r>
      <w:r>
        <w:rPr>
          <w:rFonts w:eastAsia="MS PGothic" w:cs="Arial"/>
          <w:sz w:val="24"/>
          <w:szCs w:val="24"/>
        </w:rPr>
        <w:t xml:space="preserve"> through Rider NMB</w:t>
      </w:r>
      <w:r w:rsidR="00AE1082">
        <w:rPr>
          <w:rFonts w:eastAsia="MS PGothic" w:cs="Arial"/>
          <w:sz w:val="24"/>
          <w:szCs w:val="24"/>
        </w:rPr>
        <w:t>,</w:t>
      </w:r>
      <w:r>
        <w:rPr>
          <w:rFonts w:eastAsia="MS PGothic" w:cs="Arial"/>
          <w:sz w:val="24"/>
          <w:szCs w:val="24"/>
        </w:rPr>
        <w:t xml:space="preserve"> costs and credits associated with planning period congestion uplift, meter error correction, emergency energy, balancing operating reserve, balancing operating reserves for load response and reactive services</w:t>
      </w:r>
      <w:r w:rsidR="00A845F8">
        <w:rPr>
          <w:rFonts w:eastAsia="MS PGothic" w:cs="Arial"/>
          <w:sz w:val="24"/>
          <w:szCs w:val="24"/>
        </w:rPr>
        <w:t>.</w:t>
      </w:r>
    </w:p>
    <w:p w:rsidR="00223C4F" w:rsidRPr="00BE0E0F" w:rsidRDefault="007470C2" w:rsidP="00223C4F">
      <w:pPr>
        <w:autoSpaceDE w:val="0"/>
        <w:autoSpaceDN w:val="0"/>
        <w:adjustRightInd w:val="0"/>
        <w:spacing w:before="240" w:after="0" w:line="480" w:lineRule="auto"/>
        <w:ind w:left="720" w:hanging="720"/>
        <w:jc w:val="both"/>
        <w:rPr>
          <w:rFonts w:eastAsia="MS PGothic" w:cs="Arial"/>
          <w:b/>
          <w:sz w:val="24"/>
          <w:szCs w:val="24"/>
        </w:rPr>
      </w:pPr>
      <w:r w:rsidRPr="00BE0E0F">
        <w:rPr>
          <w:rFonts w:eastAsia="MS PGothic" w:cs="Arial"/>
          <w:b/>
          <w:sz w:val="24"/>
          <w:szCs w:val="24"/>
        </w:rPr>
        <w:t>Q</w:t>
      </w:r>
      <w:r w:rsidR="008B656E">
        <w:rPr>
          <w:rFonts w:eastAsia="MS PGothic" w:cs="Arial"/>
          <w:b/>
          <w:sz w:val="24"/>
          <w:szCs w:val="24"/>
        </w:rPr>
        <w:t>24</w:t>
      </w:r>
      <w:r w:rsidR="00223C4F" w:rsidRPr="00BE0E0F">
        <w:rPr>
          <w:rFonts w:eastAsia="MS PGothic" w:cs="Arial"/>
          <w:b/>
          <w:sz w:val="24"/>
          <w:szCs w:val="24"/>
        </w:rPr>
        <w:t>.</w:t>
      </w:r>
      <w:r w:rsidR="00223C4F" w:rsidRPr="00BE0E0F">
        <w:rPr>
          <w:rFonts w:eastAsia="MS PGothic" w:cs="Arial"/>
          <w:b/>
          <w:sz w:val="24"/>
          <w:szCs w:val="24"/>
        </w:rPr>
        <w:tab/>
      </w:r>
      <w:r w:rsidR="00A7366D">
        <w:rPr>
          <w:rFonts w:eastAsia="MS PGothic" w:cs="Arial"/>
          <w:b/>
          <w:sz w:val="24"/>
          <w:szCs w:val="24"/>
        </w:rPr>
        <w:t>Why has FirstEnergy proposed these changes to Rider NMB?</w:t>
      </w:r>
    </w:p>
    <w:p w:rsidR="00B73245" w:rsidRDefault="008B656E" w:rsidP="00223C4F">
      <w:pPr>
        <w:autoSpaceDE w:val="0"/>
        <w:autoSpaceDN w:val="0"/>
        <w:adjustRightInd w:val="0"/>
        <w:spacing w:before="240" w:after="0" w:line="480" w:lineRule="auto"/>
        <w:ind w:left="720" w:hanging="720"/>
        <w:jc w:val="both"/>
        <w:rPr>
          <w:rFonts w:eastAsia="MS PGothic" w:cs="Arial"/>
          <w:sz w:val="24"/>
          <w:szCs w:val="24"/>
        </w:rPr>
      </w:pPr>
      <w:r>
        <w:rPr>
          <w:rFonts w:eastAsia="MS PGothic" w:cs="Arial"/>
          <w:sz w:val="24"/>
          <w:szCs w:val="24"/>
        </w:rPr>
        <w:t>A24</w:t>
      </w:r>
      <w:r w:rsidR="00223C4F" w:rsidRPr="00BE0E0F">
        <w:rPr>
          <w:rFonts w:eastAsia="MS PGothic" w:cs="Arial"/>
          <w:sz w:val="24"/>
          <w:szCs w:val="24"/>
        </w:rPr>
        <w:t>.</w:t>
      </w:r>
      <w:r w:rsidR="00223C4F" w:rsidRPr="00BE0E0F">
        <w:rPr>
          <w:rFonts w:eastAsia="MS PGothic" w:cs="Arial"/>
          <w:sz w:val="24"/>
          <w:szCs w:val="24"/>
        </w:rPr>
        <w:tab/>
      </w:r>
      <w:r w:rsidR="00A7366D">
        <w:rPr>
          <w:rFonts w:eastAsia="MS PGothic" w:cs="Arial"/>
          <w:sz w:val="24"/>
          <w:szCs w:val="24"/>
        </w:rPr>
        <w:t xml:space="preserve">FirstEnergy witness Stein states </w:t>
      </w:r>
      <w:r w:rsidR="00B73245">
        <w:rPr>
          <w:rFonts w:eastAsia="MS PGothic" w:cs="Arial"/>
          <w:sz w:val="24"/>
          <w:szCs w:val="24"/>
        </w:rPr>
        <w:t xml:space="preserve">in his testimony </w:t>
      </w:r>
      <w:r w:rsidR="00A7366D">
        <w:rPr>
          <w:rFonts w:eastAsia="MS PGothic" w:cs="Arial"/>
          <w:sz w:val="24"/>
          <w:szCs w:val="24"/>
        </w:rPr>
        <w:t>that including these charges and c</w:t>
      </w:r>
      <w:r w:rsidR="00B73245">
        <w:rPr>
          <w:rFonts w:eastAsia="MS PGothic" w:cs="Arial"/>
          <w:sz w:val="24"/>
          <w:szCs w:val="24"/>
        </w:rPr>
        <w:t>redits is designed to reduce the risk premium that may be added to SSO generation supply bids or prices offered by competitive retail electric service (“CRES”) providers and ensure customers only pay the actual costs for these items.</w:t>
      </w:r>
    </w:p>
    <w:p w:rsidR="00B73245" w:rsidRDefault="008B656E" w:rsidP="00223C4F">
      <w:pPr>
        <w:autoSpaceDE w:val="0"/>
        <w:autoSpaceDN w:val="0"/>
        <w:adjustRightInd w:val="0"/>
        <w:spacing w:before="240" w:after="0" w:line="480" w:lineRule="auto"/>
        <w:ind w:left="720" w:hanging="720"/>
        <w:jc w:val="both"/>
        <w:rPr>
          <w:rFonts w:eastAsia="MS PGothic" w:cs="Arial"/>
          <w:b/>
          <w:sz w:val="24"/>
          <w:szCs w:val="24"/>
        </w:rPr>
      </w:pPr>
      <w:r>
        <w:rPr>
          <w:rFonts w:eastAsia="MS PGothic" w:cs="Arial"/>
          <w:b/>
          <w:sz w:val="24"/>
          <w:szCs w:val="24"/>
        </w:rPr>
        <w:lastRenderedPageBreak/>
        <w:t>Q25</w:t>
      </w:r>
      <w:r w:rsidR="00223C4F" w:rsidRPr="00BE0E0F">
        <w:rPr>
          <w:rFonts w:eastAsia="MS PGothic" w:cs="Arial"/>
          <w:b/>
          <w:sz w:val="24"/>
          <w:szCs w:val="24"/>
        </w:rPr>
        <w:t>.</w:t>
      </w:r>
      <w:r w:rsidR="00223C4F" w:rsidRPr="00BE0E0F">
        <w:rPr>
          <w:rFonts w:eastAsia="MS PGothic" w:cs="Arial"/>
          <w:b/>
          <w:sz w:val="24"/>
          <w:szCs w:val="24"/>
        </w:rPr>
        <w:tab/>
      </w:r>
      <w:r w:rsidR="00B73245">
        <w:rPr>
          <w:rFonts w:eastAsia="MS PGothic" w:cs="Arial"/>
          <w:b/>
          <w:sz w:val="24"/>
          <w:szCs w:val="24"/>
        </w:rPr>
        <w:t>Should the Commission approve these changes to Rider NMB?</w:t>
      </w:r>
    </w:p>
    <w:p w:rsidR="00070D43" w:rsidRPr="00BE0E0F" w:rsidRDefault="008B656E" w:rsidP="00374D76">
      <w:pPr>
        <w:autoSpaceDE w:val="0"/>
        <w:autoSpaceDN w:val="0"/>
        <w:adjustRightInd w:val="0"/>
        <w:spacing w:before="240" w:after="0" w:line="480" w:lineRule="auto"/>
        <w:ind w:left="720" w:hanging="720"/>
        <w:jc w:val="both"/>
        <w:rPr>
          <w:rFonts w:eastAsia="MS PGothic" w:cs="Arial"/>
          <w:sz w:val="24"/>
          <w:szCs w:val="24"/>
        </w:rPr>
      </w:pPr>
      <w:r>
        <w:rPr>
          <w:rFonts w:eastAsia="MS PGothic" w:cs="Arial"/>
          <w:sz w:val="24"/>
          <w:szCs w:val="24"/>
        </w:rPr>
        <w:t>A25</w:t>
      </w:r>
      <w:r w:rsidR="00223C4F" w:rsidRPr="00BE0E0F">
        <w:rPr>
          <w:rFonts w:eastAsia="MS PGothic" w:cs="Arial"/>
          <w:sz w:val="24"/>
          <w:szCs w:val="24"/>
        </w:rPr>
        <w:t>.</w:t>
      </w:r>
      <w:r w:rsidR="00223C4F" w:rsidRPr="00BE0E0F">
        <w:rPr>
          <w:rFonts w:eastAsia="MS PGothic" w:cs="Arial"/>
          <w:sz w:val="24"/>
          <w:szCs w:val="24"/>
        </w:rPr>
        <w:tab/>
      </w:r>
      <w:r w:rsidR="00AE1082">
        <w:rPr>
          <w:rFonts w:eastAsia="MS PGothic" w:cs="Arial"/>
          <w:sz w:val="24"/>
          <w:szCs w:val="24"/>
        </w:rPr>
        <w:t>No.  T</w:t>
      </w:r>
      <w:r w:rsidR="00B73245">
        <w:rPr>
          <w:rFonts w:eastAsia="MS PGothic" w:cs="Arial"/>
          <w:sz w:val="24"/>
          <w:szCs w:val="24"/>
        </w:rPr>
        <w:t xml:space="preserve">hese </w:t>
      </w:r>
      <w:r w:rsidR="00AE1082">
        <w:rPr>
          <w:rFonts w:eastAsia="MS PGothic" w:cs="Arial"/>
          <w:sz w:val="24"/>
          <w:szCs w:val="24"/>
        </w:rPr>
        <w:t>additional costs are generation-</w:t>
      </w:r>
      <w:r w:rsidR="00B73245">
        <w:rPr>
          <w:rFonts w:eastAsia="MS PGothic" w:cs="Arial"/>
          <w:sz w:val="24"/>
          <w:szCs w:val="24"/>
        </w:rPr>
        <w:t>related costs and it is contrary to Ohio’s polici</w:t>
      </w:r>
      <w:r w:rsidR="00AE1082">
        <w:rPr>
          <w:rFonts w:eastAsia="MS PGothic" w:cs="Arial"/>
          <w:sz w:val="24"/>
          <w:szCs w:val="24"/>
        </w:rPr>
        <w:t>es to rebundle these generation-related charges and recover them</w:t>
      </w:r>
      <w:r w:rsidR="00B73245">
        <w:rPr>
          <w:rFonts w:eastAsia="MS PGothic" w:cs="Arial"/>
          <w:sz w:val="24"/>
          <w:szCs w:val="24"/>
        </w:rPr>
        <w:t xml:space="preserve"> </w:t>
      </w:r>
      <w:r w:rsidR="00AE1082">
        <w:rPr>
          <w:rFonts w:eastAsia="MS PGothic" w:cs="Arial"/>
          <w:sz w:val="24"/>
          <w:szCs w:val="24"/>
        </w:rPr>
        <w:t>through a no</w:t>
      </w:r>
      <w:r w:rsidR="00B73245">
        <w:rPr>
          <w:rFonts w:eastAsia="MS PGothic" w:cs="Arial"/>
          <w:sz w:val="24"/>
          <w:szCs w:val="24"/>
        </w:rPr>
        <w:t>n-bypassable rider.</w:t>
      </w:r>
      <w:r w:rsidR="00AE1082">
        <w:rPr>
          <w:rFonts w:eastAsia="MS PGothic" w:cs="Arial"/>
          <w:sz w:val="24"/>
          <w:szCs w:val="24"/>
        </w:rPr>
        <w:t xml:space="preserve">  </w:t>
      </w:r>
      <w:r w:rsidR="00B73245">
        <w:rPr>
          <w:rFonts w:eastAsia="MS PGothic" w:cs="Arial"/>
          <w:sz w:val="24"/>
          <w:szCs w:val="24"/>
        </w:rPr>
        <w:t>SSO bidders and CRES providers are in the best position to manage the</w:t>
      </w:r>
      <w:r w:rsidR="00DD71A7">
        <w:rPr>
          <w:rFonts w:eastAsia="MS PGothic" w:cs="Arial"/>
          <w:sz w:val="24"/>
          <w:szCs w:val="24"/>
        </w:rPr>
        <w:t>ir exposure to these generation-</w:t>
      </w:r>
      <w:r w:rsidR="00B73245">
        <w:rPr>
          <w:rFonts w:eastAsia="MS PGothic" w:cs="Arial"/>
          <w:sz w:val="24"/>
          <w:szCs w:val="24"/>
        </w:rPr>
        <w:t xml:space="preserve">related costs. </w:t>
      </w:r>
      <w:r w:rsidR="00DD71A7">
        <w:rPr>
          <w:rFonts w:eastAsia="MS PGothic" w:cs="Arial"/>
          <w:sz w:val="24"/>
          <w:szCs w:val="24"/>
        </w:rPr>
        <w:t xml:space="preserve"> </w:t>
      </w:r>
      <w:r w:rsidR="00B73245">
        <w:rPr>
          <w:rFonts w:eastAsia="MS PGothic" w:cs="Arial"/>
          <w:sz w:val="24"/>
          <w:szCs w:val="24"/>
        </w:rPr>
        <w:t>Further, for customers currently served by CRES providers</w:t>
      </w:r>
      <w:r w:rsidR="00DD71A7">
        <w:rPr>
          <w:rFonts w:eastAsia="MS PGothic" w:cs="Arial"/>
          <w:sz w:val="24"/>
          <w:szCs w:val="24"/>
        </w:rPr>
        <w:t>,</w:t>
      </w:r>
      <w:r w:rsidR="00B73245">
        <w:rPr>
          <w:rFonts w:eastAsia="MS PGothic" w:cs="Arial"/>
          <w:sz w:val="24"/>
          <w:szCs w:val="24"/>
        </w:rPr>
        <w:t xml:space="preserve"> the costs and credits associated with these PJM line items should already be reflected in their offer prices. </w:t>
      </w:r>
      <w:r w:rsidR="00DD71A7">
        <w:rPr>
          <w:rFonts w:eastAsia="MS PGothic" w:cs="Arial"/>
          <w:sz w:val="24"/>
          <w:szCs w:val="24"/>
        </w:rPr>
        <w:t xml:space="preserve"> </w:t>
      </w:r>
      <w:r w:rsidR="00B73245">
        <w:rPr>
          <w:rFonts w:eastAsia="MS PGothic" w:cs="Arial"/>
          <w:sz w:val="24"/>
          <w:szCs w:val="24"/>
        </w:rPr>
        <w:t>Shifting these line items into a non-bypassable charge recovered through Rider NMB would simply result in a windfall for CRES providers with any remaining term contracts, unless the contract was stru</w:t>
      </w:r>
      <w:r w:rsidR="00DD71A7">
        <w:rPr>
          <w:rFonts w:eastAsia="MS PGothic" w:cs="Arial"/>
          <w:sz w:val="24"/>
          <w:szCs w:val="24"/>
        </w:rPr>
        <w:t>ctured to include a direct pass-</w:t>
      </w:r>
      <w:r w:rsidR="00B73245">
        <w:rPr>
          <w:rFonts w:eastAsia="MS PGothic" w:cs="Arial"/>
          <w:sz w:val="24"/>
          <w:szCs w:val="24"/>
        </w:rPr>
        <w:t>through of any PJM related costs.</w:t>
      </w:r>
      <w:r w:rsidR="00374D76">
        <w:rPr>
          <w:rFonts w:eastAsia="MS PGothic" w:cs="Arial"/>
          <w:sz w:val="24"/>
          <w:szCs w:val="24"/>
        </w:rPr>
        <w:t xml:space="preserve">  </w:t>
      </w:r>
    </w:p>
    <w:p w:rsidR="007470C2" w:rsidRDefault="000556C6" w:rsidP="00DD71A7">
      <w:pPr>
        <w:spacing w:before="240" w:after="0" w:line="480" w:lineRule="auto"/>
        <w:rPr>
          <w:rFonts w:ascii="Arial" w:hAnsi="Arial" w:cs="Arial"/>
          <w:b/>
          <w:sz w:val="24"/>
          <w:szCs w:val="24"/>
        </w:rPr>
      </w:pPr>
      <w:r>
        <w:rPr>
          <w:rFonts w:ascii="Arial" w:hAnsi="Arial" w:cs="Arial"/>
          <w:b/>
          <w:sz w:val="24"/>
          <w:szCs w:val="24"/>
        </w:rPr>
        <w:t>V.</w:t>
      </w:r>
      <w:r>
        <w:rPr>
          <w:rFonts w:ascii="Arial" w:hAnsi="Arial" w:cs="Arial"/>
          <w:b/>
          <w:sz w:val="24"/>
          <w:szCs w:val="24"/>
        </w:rPr>
        <w:tab/>
        <w:t>CONCLUSION</w:t>
      </w:r>
    </w:p>
    <w:p w:rsidR="007470C2" w:rsidRDefault="0026273A" w:rsidP="00DD71A7">
      <w:pPr>
        <w:spacing w:before="240" w:after="0" w:line="480" w:lineRule="auto"/>
        <w:rPr>
          <w:b/>
          <w:sz w:val="24"/>
          <w:szCs w:val="24"/>
        </w:rPr>
      </w:pPr>
      <w:r>
        <w:rPr>
          <w:b/>
          <w:sz w:val="24"/>
          <w:szCs w:val="24"/>
        </w:rPr>
        <w:t>Q</w:t>
      </w:r>
      <w:r w:rsidR="008B656E">
        <w:rPr>
          <w:b/>
          <w:sz w:val="24"/>
          <w:szCs w:val="24"/>
        </w:rPr>
        <w:t>26</w:t>
      </w:r>
      <w:r w:rsidR="007470C2">
        <w:rPr>
          <w:b/>
          <w:sz w:val="24"/>
          <w:szCs w:val="24"/>
        </w:rPr>
        <w:t>.</w:t>
      </w:r>
      <w:r w:rsidR="007470C2">
        <w:rPr>
          <w:b/>
          <w:sz w:val="24"/>
          <w:szCs w:val="24"/>
        </w:rPr>
        <w:tab/>
        <w:t>What are your overall recomme</w:t>
      </w:r>
      <w:r w:rsidR="00DD71A7">
        <w:rPr>
          <w:b/>
          <w:sz w:val="24"/>
          <w:szCs w:val="24"/>
        </w:rPr>
        <w:t>ndations on the proposed ESP IV</w:t>
      </w:r>
      <w:r w:rsidR="007470C2">
        <w:rPr>
          <w:b/>
          <w:sz w:val="24"/>
          <w:szCs w:val="24"/>
        </w:rPr>
        <w:t>?</w:t>
      </w:r>
    </w:p>
    <w:p w:rsidR="007470C2" w:rsidRPr="007470C2" w:rsidRDefault="008B656E" w:rsidP="00205130">
      <w:pPr>
        <w:spacing w:before="240" w:after="0" w:line="480" w:lineRule="auto"/>
        <w:ind w:left="720" w:hanging="720"/>
        <w:jc w:val="both"/>
        <w:rPr>
          <w:sz w:val="24"/>
          <w:szCs w:val="24"/>
        </w:rPr>
      </w:pPr>
      <w:r>
        <w:rPr>
          <w:sz w:val="24"/>
          <w:szCs w:val="24"/>
        </w:rPr>
        <w:t>A26</w:t>
      </w:r>
      <w:r w:rsidR="00DD71A7">
        <w:rPr>
          <w:sz w:val="24"/>
          <w:szCs w:val="24"/>
        </w:rPr>
        <w:t>.</w:t>
      </w:r>
      <w:r w:rsidR="007470C2">
        <w:rPr>
          <w:sz w:val="24"/>
          <w:szCs w:val="24"/>
        </w:rPr>
        <w:tab/>
        <w:t>If the Commission chooses to approve the ESP I</w:t>
      </w:r>
      <w:r w:rsidR="00347C87">
        <w:rPr>
          <w:sz w:val="24"/>
          <w:szCs w:val="24"/>
        </w:rPr>
        <w:t>V</w:t>
      </w:r>
      <w:r w:rsidR="00CA7E34">
        <w:rPr>
          <w:sz w:val="24"/>
          <w:szCs w:val="24"/>
        </w:rPr>
        <w:t>,</w:t>
      </w:r>
      <w:r w:rsidR="007470C2">
        <w:rPr>
          <w:sz w:val="24"/>
          <w:szCs w:val="24"/>
        </w:rPr>
        <w:t xml:space="preserve"> it should modify the proposal and direct </w:t>
      </w:r>
      <w:r w:rsidR="00347C87">
        <w:rPr>
          <w:sz w:val="24"/>
          <w:szCs w:val="24"/>
        </w:rPr>
        <w:t xml:space="preserve">FirstEnergy </w:t>
      </w:r>
      <w:r w:rsidR="007470C2">
        <w:rPr>
          <w:sz w:val="24"/>
          <w:szCs w:val="24"/>
        </w:rPr>
        <w:t xml:space="preserve">to eliminate </w:t>
      </w:r>
      <w:r w:rsidR="00DD71A7">
        <w:rPr>
          <w:sz w:val="24"/>
          <w:szCs w:val="24"/>
        </w:rPr>
        <w:t xml:space="preserve">the </w:t>
      </w:r>
      <w:r w:rsidR="00347C87">
        <w:rPr>
          <w:sz w:val="24"/>
          <w:szCs w:val="24"/>
        </w:rPr>
        <w:t>Economic Stability Program and the associated RRS Rider.</w:t>
      </w:r>
      <w:r w:rsidR="00DD71A7">
        <w:rPr>
          <w:sz w:val="24"/>
          <w:szCs w:val="24"/>
        </w:rPr>
        <w:t xml:space="preserve"> </w:t>
      </w:r>
      <w:r w:rsidR="00347C87">
        <w:rPr>
          <w:sz w:val="24"/>
          <w:szCs w:val="24"/>
        </w:rPr>
        <w:t xml:space="preserve"> The Commission should also modify the ESP IV to </w:t>
      </w:r>
      <w:r w:rsidR="00DD71A7">
        <w:rPr>
          <w:sz w:val="24"/>
          <w:szCs w:val="24"/>
        </w:rPr>
        <w:t>eliminate FirstEnergy’s proposal to shift additional generation-</w:t>
      </w:r>
      <w:r w:rsidR="00347C87">
        <w:rPr>
          <w:sz w:val="24"/>
          <w:szCs w:val="24"/>
        </w:rPr>
        <w:t>related costs and credits to be recovered through Rider NMB.</w:t>
      </w:r>
      <w:r w:rsidR="00DD71A7">
        <w:rPr>
          <w:sz w:val="24"/>
          <w:szCs w:val="24"/>
        </w:rPr>
        <w:t xml:space="preserve"> </w:t>
      </w:r>
      <w:r w:rsidR="00347C87">
        <w:rPr>
          <w:sz w:val="24"/>
          <w:szCs w:val="24"/>
        </w:rPr>
        <w:t xml:space="preserve"> </w:t>
      </w:r>
    </w:p>
    <w:p w:rsidR="0024375F" w:rsidRDefault="0025628A" w:rsidP="00042636">
      <w:pPr>
        <w:spacing w:before="240" w:after="0" w:line="480" w:lineRule="auto"/>
        <w:rPr>
          <w:sz w:val="24"/>
          <w:szCs w:val="24"/>
        </w:rPr>
      </w:pPr>
      <w:r>
        <w:rPr>
          <w:b/>
          <w:sz w:val="24"/>
          <w:szCs w:val="24"/>
        </w:rPr>
        <w:t>Q</w:t>
      </w:r>
      <w:r w:rsidR="008B656E">
        <w:rPr>
          <w:b/>
          <w:sz w:val="24"/>
          <w:szCs w:val="24"/>
        </w:rPr>
        <w:t>27</w:t>
      </w:r>
      <w:r w:rsidR="000556C6">
        <w:rPr>
          <w:sz w:val="24"/>
          <w:szCs w:val="24"/>
        </w:rPr>
        <w:t>.</w:t>
      </w:r>
      <w:r w:rsidR="000556C6">
        <w:rPr>
          <w:sz w:val="24"/>
          <w:szCs w:val="24"/>
        </w:rPr>
        <w:tab/>
      </w:r>
      <w:r w:rsidR="000556C6">
        <w:rPr>
          <w:b/>
          <w:sz w:val="24"/>
          <w:szCs w:val="24"/>
        </w:rPr>
        <w:t>Does this conclude your testimony?</w:t>
      </w:r>
    </w:p>
    <w:p w:rsidR="0024375F" w:rsidRDefault="00553FF6" w:rsidP="00042636">
      <w:pPr>
        <w:spacing w:before="240" w:after="0" w:line="480" w:lineRule="auto"/>
        <w:ind w:left="720" w:hanging="720"/>
        <w:jc w:val="both"/>
        <w:rPr>
          <w:sz w:val="24"/>
          <w:szCs w:val="24"/>
        </w:rPr>
        <w:sectPr w:rsidR="0024375F" w:rsidSect="00970C3B">
          <w:type w:val="continuous"/>
          <w:pgSz w:w="12240" w:h="15840" w:code="1"/>
          <w:pgMar w:top="1440" w:right="1440" w:bottom="1152" w:left="1440" w:header="720" w:footer="720" w:gutter="0"/>
          <w:lnNumType w:countBy="1"/>
          <w:cols w:space="720"/>
          <w:docGrid w:linePitch="360"/>
        </w:sectPr>
      </w:pPr>
      <w:r>
        <w:rPr>
          <w:sz w:val="24"/>
          <w:szCs w:val="24"/>
        </w:rPr>
        <w:t>A</w:t>
      </w:r>
      <w:r w:rsidR="008B656E">
        <w:rPr>
          <w:sz w:val="24"/>
          <w:szCs w:val="24"/>
        </w:rPr>
        <w:t>27</w:t>
      </w:r>
      <w:r w:rsidR="000556C6">
        <w:rPr>
          <w:sz w:val="24"/>
          <w:szCs w:val="24"/>
        </w:rPr>
        <w:t>.</w:t>
      </w:r>
      <w:r w:rsidR="000556C6">
        <w:rPr>
          <w:sz w:val="24"/>
          <w:szCs w:val="24"/>
        </w:rPr>
        <w:tab/>
        <w:t>Yes.</w:t>
      </w:r>
    </w:p>
    <w:p w:rsidR="00DD71A7" w:rsidRDefault="00DD71A7" w:rsidP="005559DB">
      <w:pPr>
        <w:tabs>
          <w:tab w:val="left" w:pos="2160"/>
          <w:tab w:val="left" w:pos="2280"/>
        </w:tabs>
        <w:spacing w:after="0" w:line="240" w:lineRule="auto"/>
        <w:jc w:val="center"/>
        <w:rPr>
          <w:rFonts w:ascii="Arial" w:hAnsi="Arial" w:cs="Arial"/>
          <w:b/>
          <w:smallCaps/>
          <w:sz w:val="28"/>
          <w:u w:val="single"/>
        </w:rPr>
      </w:pPr>
      <w:bookmarkStart w:id="1" w:name="_Toc318455737"/>
      <w:r>
        <w:rPr>
          <w:rFonts w:ascii="Arial" w:hAnsi="Arial" w:cs="Arial"/>
          <w:b/>
          <w:smallCaps/>
          <w:sz w:val="28"/>
          <w:u w:val="single"/>
        </w:rPr>
        <w:lastRenderedPageBreak/>
        <w:t>Certificate of Service</w:t>
      </w:r>
    </w:p>
    <w:p w:rsidR="00DD71A7" w:rsidRDefault="00DD71A7" w:rsidP="005559DB">
      <w:pPr>
        <w:spacing w:after="0" w:line="240" w:lineRule="auto"/>
        <w:rPr>
          <w:rFonts w:ascii="Arial" w:hAnsi="Arial" w:cs="Arial"/>
        </w:rPr>
      </w:pPr>
    </w:p>
    <w:p w:rsidR="00DD71A7" w:rsidRDefault="00626A10" w:rsidP="005559DB">
      <w:pPr>
        <w:pStyle w:val="BodyText"/>
        <w:spacing w:line="480" w:lineRule="auto"/>
        <w:ind w:firstLine="720"/>
        <w:rPr>
          <w:b/>
          <w:smallCaps/>
        </w:rPr>
      </w:pPr>
      <w:r>
        <w:t>In a</w:t>
      </w:r>
      <w:r w:rsidR="00DD71A7">
        <w:t>ccordance with Rule 4901-1</w:t>
      </w:r>
      <w:r w:rsidR="007F7CCE">
        <w:t>-05, Ohio Administrative Code, “</w:t>
      </w:r>
      <w:r w:rsidR="00DD71A7">
        <w:t>The PUCO's e-filing system will electronically serve notice of the filing of this docum</w:t>
      </w:r>
      <w:r w:rsidR="007F7CCE">
        <w:t>ent upon the following parties.”</w:t>
      </w:r>
      <w:r w:rsidR="00DD71A7">
        <w:t xml:space="preserve">  In addition, I hereby certify that a service copy of the foregoing </w:t>
      </w:r>
      <w:r w:rsidR="005559DB" w:rsidRPr="005559DB">
        <w:rPr>
          <w:i/>
        </w:rPr>
        <w:t>Direct Testimony of Kevin M. Murray on Behalf of Industrial Energy Users-Ohio</w:t>
      </w:r>
      <w:r w:rsidR="00DD71A7">
        <w:t xml:space="preserve"> was sent by, or on behalf of, the undersigned counsel for IEU-Ohio to the following parties of record this </w:t>
      </w:r>
      <w:r w:rsidR="005559DB">
        <w:t>22nd day of December</w:t>
      </w:r>
      <w:r w:rsidR="00DD71A7">
        <w:t xml:space="preserve"> 2014, </w:t>
      </w:r>
      <w:r w:rsidR="00DD71A7">
        <w:rPr>
          <w:i/>
        </w:rPr>
        <w:t>via</w:t>
      </w:r>
      <w:r w:rsidR="00DD71A7">
        <w:t xml:space="preserve"> electronic transmission. </w:t>
      </w:r>
    </w:p>
    <w:p w:rsidR="00DD71A7" w:rsidRDefault="00DD71A7" w:rsidP="005559DB">
      <w:pPr>
        <w:spacing w:after="0" w:line="240" w:lineRule="auto"/>
        <w:rPr>
          <w:rFonts w:ascii="Arial" w:hAnsi="Arial" w:cs="Arial"/>
        </w:rPr>
      </w:pPr>
    </w:p>
    <w:p w:rsidR="00DD71A7" w:rsidRDefault="00970C3B" w:rsidP="005559DB">
      <w:pPr>
        <w:tabs>
          <w:tab w:val="right" w:pos="8640"/>
        </w:tabs>
        <w:spacing w:after="0" w:line="240" w:lineRule="auto"/>
        <w:ind w:left="5040"/>
        <w:rPr>
          <w:rFonts w:ascii="Arial" w:hAnsi="Arial" w:cs="Arial"/>
          <w:i/>
          <w:u w:val="single"/>
        </w:rPr>
      </w:pPr>
      <w:r>
        <w:rPr>
          <w:rFonts w:ascii="Arial" w:hAnsi="Arial" w:cs="Arial"/>
          <w:i/>
          <w:u w:val="single"/>
        </w:rPr>
        <w:t>/s/Frank P. Darr</w:t>
      </w:r>
      <w:r w:rsidR="00DD71A7">
        <w:rPr>
          <w:rFonts w:ascii="Arial" w:hAnsi="Arial" w:cs="Arial"/>
          <w:i/>
          <w:u w:val="single"/>
        </w:rPr>
        <w:tab/>
      </w:r>
    </w:p>
    <w:p w:rsidR="00DD71A7" w:rsidRPr="005559DB" w:rsidRDefault="005559DB" w:rsidP="005559DB">
      <w:pPr>
        <w:tabs>
          <w:tab w:val="right" w:pos="8640"/>
        </w:tabs>
        <w:spacing w:after="0" w:line="240" w:lineRule="auto"/>
        <w:ind w:left="5040"/>
        <w:rPr>
          <w:rFonts w:ascii="Arial" w:hAnsi="Arial" w:cs="Arial"/>
        </w:rPr>
      </w:pPr>
      <w:r w:rsidRPr="005559DB">
        <w:rPr>
          <w:rFonts w:ascii="Arial" w:hAnsi="Arial" w:cs="Arial"/>
        </w:rPr>
        <w:t>Frank P. Darr</w:t>
      </w:r>
    </w:p>
    <w:p w:rsidR="005559DB" w:rsidRDefault="005559DB" w:rsidP="005559DB">
      <w:pPr>
        <w:tabs>
          <w:tab w:val="right" w:pos="8640"/>
        </w:tabs>
        <w:spacing w:after="0" w:line="240" w:lineRule="auto"/>
        <w:ind w:left="5040"/>
        <w:rPr>
          <w:rFonts w:ascii="Arial" w:hAnsi="Arial" w:cs="Arial"/>
          <w:i/>
          <w:u w:val="single"/>
        </w:rPr>
      </w:pPr>
    </w:p>
    <w:p w:rsidR="005559DB" w:rsidRDefault="005559DB" w:rsidP="005559DB">
      <w:pPr>
        <w:tabs>
          <w:tab w:val="right" w:pos="8640"/>
        </w:tabs>
        <w:spacing w:after="0" w:line="240" w:lineRule="auto"/>
        <w:ind w:left="5040"/>
        <w:rPr>
          <w:rFonts w:ascii="Arial" w:hAnsi="Arial" w:cs="Arial"/>
          <w:i/>
          <w:u w:val="single"/>
        </w:rPr>
      </w:pPr>
    </w:p>
    <w:p w:rsidR="00DD71A7" w:rsidRDefault="00DD71A7" w:rsidP="005559DB">
      <w:pPr>
        <w:tabs>
          <w:tab w:val="left" w:pos="2160"/>
          <w:tab w:val="left" w:pos="2280"/>
        </w:tabs>
        <w:spacing w:after="0" w:line="240" w:lineRule="auto"/>
        <w:rPr>
          <w:rFonts w:ascii="Arial" w:hAnsi="Arial" w:cs="Arial"/>
        </w:rPr>
      </w:pPr>
    </w:p>
    <w:p w:rsidR="00DD71A7" w:rsidRDefault="00DD71A7" w:rsidP="005559DB">
      <w:pPr>
        <w:autoSpaceDE w:val="0"/>
        <w:autoSpaceDN w:val="0"/>
        <w:adjustRightInd w:val="0"/>
        <w:spacing w:after="0" w:line="240" w:lineRule="auto"/>
        <w:rPr>
          <w:rFonts w:ascii="Arial" w:eastAsiaTheme="minorHAnsi" w:hAnsi="Arial" w:cs="Arial"/>
        </w:rPr>
      </w:pPr>
    </w:p>
    <w:p w:rsidR="00970C3B" w:rsidRDefault="00970C3B" w:rsidP="005559DB">
      <w:pPr>
        <w:autoSpaceDE w:val="0"/>
        <w:autoSpaceDN w:val="0"/>
        <w:adjustRightInd w:val="0"/>
        <w:spacing w:after="0" w:line="240" w:lineRule="auto"/>
        <w:rPr>
          <w:rFonts w:ascii="Arial" w:eastAsiaTheme="minorHAnsi" w:hAnsi="Arial" w:cs="Arial"/>
        </w:rPr>
        <w:sectPr w:rsidR="00970C3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41" w:left="1440" w:header="720" w:footer="720" w:gutter="0"/>
          <w:pgNumType w:start="1"/>
          <w:cols w:space="720"/>
          <w:titlePg/>
          <w:docGrid w:linePitch="326"/>
        </w:sect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lastRenderedPageBreak/>
        <w:t xml:space="preserve">James W. Burk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t xml:space="preserve">Counsel of Record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t xml:space="preserve">Carrie M. Dunn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t xml:space="preserve">FIRSTENERGY SERVICE COMPANY 76 South Main Street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t>Akron, O</w:t>
      </w:r>
      <w:r w:rsidRPr="00970C3B">
        <w:rPr>
          <w:rFonts w:ascii="Arial" w:eastAsiaTheme="minorHAnsi" w:hAnsi="Arial" w:cs="Arial"/>
        </w:rPr>
        <w:t>hio</w:t>
      </w:r>
      <w:r w:rsidRPr="00970C3B">
        <w:rPr>
          <w:rFonts w:ascii="Arial" w:eastAsiaTheme="minorHAnsi" w:hAnsi="Arial" w:cs="Arial"/>
          <w:lang w:val="x-none"/>
        </w:rPr>
        <w:t xml:space="preserve"> </w:t>
      </w:r>
      <w:r w:rsidRPr="00970C3B">
        <w:rPr>
          <w:rFonts w:ascii="Arial" w:eastAsiaTheme="minorHAnsi" w:hAnsi="Arial" w:cs="Arial"/>
        </w:rPr>
        <w:t xml:space="preserve"> </w:t>
      </w:r>
      <w:r w:rsidRPr="00970C3B">
        <w:rPr>
          <w:rFonts w:ascii="Arial" w:eastAsiaTheme="minorHAnsi" w:hAnsi="Arial" w:cs="Arial"/>
          <w:lang w:val="x-none"/>
        </w:rPr>
        <w:t>44308</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lang w:val="x-none"/>
        </w:rPr>
        <w:t>burkj@firstenergycorp.</w:t>
      </w:r>
      <w:r w:rsidRPr="00970C3B">
        <w:rPr>
          <w:rFonts w:ascii="Arial" w:eastAsiaTheme="minorHAnsi" w:hAnsi="Arial" w:cs="Arial"/>
        </w:rPr>
        <w:t>com</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cdunn@firstenergycorp.com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 xml:space="preserve">James F. Lang </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 xml:space="preserve">N. Trevor Alexander </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CALFEE, HALTER &amp; GRISWOLD LLP</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The Calfee Building</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1405 East Sixth Street</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Cleveland, O</w:t>
      </w:r>
      <w:r w:rsidRPr="00970C3B">
        <w:rPr>
          <w:rFonts w:ascii="Arial" w:eastAsiaTheme="minorHAnsi" w:hAnsi="Arial" w:cs="Arial"/>
        </w:rPr>
        <w:t xml:space="preserve">hio </w:t>
      </w:r>
      <w:r w:rsidRPr="00970C3B">
        <w:rPr>
          <w:rFonts w:ascii="Arial" w:eastAsiaTheme="minorHAnsi" w:hAnsi="Arial" w:cs="Arial"/>
          <w:lang w:val="x-none"/>
        </w:rPr>
        <w:t xml:space="preserve"> 44114</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jlang@calfee.com</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talexander@calfee.com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 xml:space="preserve">David A. Kutik </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JONES DAY</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901 Lakeside Avenue</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Cleveland, O</w:t>
      </w:r>
      <w:r w:rsidRPr="00970C3B">
        <w:rPr>
          <w:rFonts w:ascii="Arial" w:eastAsiaTheme="minorHAnsi" w:hAnsi="Arial" w:cs="Arial"/>
        </w:rPr>
        <w:t xml:space="preserve">hio </w:t>
      </w:r>
      <w:r w:rsidRPr="00970C3B">
        <w:rPr>
          <w:rFonts w:ascii="Arial" w:eastAsiaTheme="minorHAnsi" w:hAnsi="Arial" w:cs="Arial"/>
          <w:lang w:val="x-none"/>
        </w:rPr>
        <w:t xml:space="preserve"> 44114</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dakutik@jonesday.com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lang w:val="x-none"/>
        </w:rPr>
      </w:pPr>
      <w:r w:rsidRPr="00970C3B">
        <w:rPr>
          <w:rFonts w:ascii="Arial" w:eastAsiaTheme="minorHAnsi" w:hAnsi="Arial" w:cs="Arial"/>
          <w:b/>
          <w:lang w:val="x-none"/>
        </w:rPr>
        <w:t>COUNSEL</w:t>
      </w:r>
      <w:r w:rsidRPr="00970C3B">
        <w:rPr>
          <w:rFonts w:ascii="Arial" w:eastAsiaTheme="minorHAnsi" w:hAnsi="Arial" w:cs="Arial"/>
          <w:b/>
        </w:rPr>
        <w:t xml:space="preserve"> FOR </w:t>
      </w:r>
      <w:r w:rsidRPr="00970C3B">
        <w:rPr>
          <w:rFonts w:ascii="Arial" w:eastAsiaTheme="minorHAnsi" w:hAnsi="Arial" w:cs="Arial"/>
          <w:b/>
          <w:lang w:val="x-none"/>
        </w:rPr>
        <w:t>OHIO EDISON COMPANY</w:t>
      </w:r>
      <w:r w:rsidRPr="00970C3B">
        <w:rPr>
          <w:rFonts w:ascii="Arial" w:eastAsiaTheme="minorHAnsi" w:hAnsi="Arial" w:cs="Arial"/>
          <w:b/>
        </w:rPr>
        <w:t xml:space="preserve">, </w:t>
      </w:r>
      <w:r w:rsidRPr="00970C3B">
        <w:rPr>
          <w:rFonts w:ascii="Arial" w:eastAsiaTheme="minorHAnsi" w:hAnsi="Arial" w:cs="Arial"/>
          <w:b/>
          <w:lang w:val="x-none"/>
        </w:rPr>
        <w:t>THE CLEVELAND ELECTRIC ILLUMINATING COMPANY</w:t>
      </w:r>
    </w:p>
    <w:p w:rsidR="00970C3B" w:rsidRPr="00970C3B" w:rsidRDefault="00970C3B" w:rsidP="00970C3B">
      <w:pPr>
        <w:autoSpaceDE w:val="0"/>
        <w:autoSpaceDN w:val="0"/>
        <w:adjustRightInd w:val="0"/>
        <w:spacing w:after="0" w:line="240" w:lineRule="auto"/>
        <w:rPr>
          <w:rFonts w:ascii="Arial" w:eastAsiaTheme="minorHAnsi" w:hAnsi="Arial" w:cs="Arial"/>
          <w:b/>
          <w:lang w:val="x-none"/>
        </w:rPr>
      </w:pPr>
      <w:r w:rsidRPr="00970C3B">
        <w:rPr>
          <w:rFonts w:ascii="Arial" w:eastAsiaTheme="minorHAnsi" w:hAnsi="Arial" w:cs="Arial"/>
          <w:b/>
          <w:lang w:val="x-none"/>
        </w:rPr>
        <w:t>THE TOLEDO EDISON COMPANY</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rPr>
        <w:br w:type="column"/>
      </w:r>
      <w:r w:rsidRPr="00970C3B">
        <w:rPr>
          <w:rFonts w:ascii="Arial" w:eastAsiaTheme="minorHAnsi" w:hAnsi="Arial" w:cs="Arial"/>
          <w:lang w:val="x-none"/>
        </w:rPr>
        <w:lastRenderedPageBreak/>
        <w:t>Michael L. Kurtz, Esq.</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Kurt J. Boeh</w:t>
      </w:r>
      <w:r w:rsidRPr="00970C3B">
        <w:rPr>
          <w:rFonts w:ascii="Arial" w:eastAsiaTheme="minorHAnsi" w:hAnsi="Arial" w:cs="Arial"/>
        </w:rPr>
        <w:t>m</w:t>
      </w:r>
      <w:r w:rsidRPr="00970C3B">
        <w:rPr>
          <w:rFonts w:ascii="Arial" w:eastAsiaTheme="minorHAnsi" w:hAnsi="Arial" w:cs="Arial"/>
          <w:lang w:val="x-none"/>
        </w:rPr>
        <w:t>, Esq.</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Jody Kyler Cohn, Esq.</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BOEHM, KURTZ &amp; LOWRY</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36 East Seventh Street, Suite 1510</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Cincinnati, Ohio 45202</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mkurtz</w:t>
      </w:r>
      <w:r w:rsidRPr="00970C3B">
        <w:rPr>
          <w:rFonts w:ascii="Arial" w:eastAsiaTheme="minorHAnsi" w:hAnsi="Arial" w:cs="Arial"/>
        </w:rPr>
        <w:t>@</w:t>
      </w:r>
      <w:r w:rsidRPr="00970C3B">
        <w:rPr>
          <w:rFonts w:ascii="Arial" w:eastAsiaTheme="minorHAnsi" w:hAnsi="Arial" w:cs="Arial"/>
          <w:lang w:val="x-none"/>
        </w:rPr>
        <w:t>BKLlawfi</w:t>
      </w:r>
      <w:r w:rsidRPr="00970C3B">
        <w:rPr>
          <w:rFonts w:ascii="Arial" w:eastAsiaTheme="minorHAnsi" w:hAnsi="Arial" w:cs="Arial"/>
        </w:rPr>
        <w:t>r</w:t>
      </w:r>
      <w:r w:rsidRPr="00970C3B">
        <w:rPr>
          <w:rFonts w:ascii="Arial" w:eastAsiaTheme="minorHAnsi" w:hAnsi="Arial" w:cs="Arial"/>
          <w:lang w:val="x-none"/>
        </w:rPr>
        <w:t>m</w:t>
      </w:r>
      <w:r w:rsidRPr="00970C3B">
        <w:rPr>
          <w:rFonts w:ascii="Arial" w:eastAsiaTheme="minorHAnsi" w:hAnsi="Arial" w:cs="Arial"/>
        </w:rPr>
        <w:t>.</w:t>
      </w:r>
      <w:r w:rsidRPr="00970C3B">
        <w:rPr>
          <w:rFonts w:ascii="Arial" w:eastAsiaTheme="minorHAnsi" w:hAnsi="Arial" w:cs="Arial"/>
          <w:lang w:val="x-none"/>
        </w:rPr>
        <w:t>com</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kboeh</w:t>
      </w:r>
      <w:r w:rsidRPr="00970C3B">
        <w:rPr>
          <w:rFonts w:ascii="Arial" w:eastAsiaTheme="minorHAnsi" w:hAnsi="Arial" w:cs="Arial"/>
        </w:rPr>
        <w:t>m</w:t>
      </w:r>
      <w:r w:rsidRPr="00970C3B">
        <w:rPr>
          <w:rFonts w:ascii="Arial" w:eastAsiaTheme="minorHAnsi" w:hAnsi="Arial" w:cs="Arial"/>
          <w:lang w:val="x-none"/>
        </w:rPr>
        <w:t>@BKLlawfirm.com</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jky</w:t>
      </w:r>
      <w:r w:rsidRPr="00970C3B">
        <w:rPr>
          <w:rFonts w:ascii="Arial" w:eastAsiaTheme="minorHAnsi" w:hAnsi="Arial" w:cs="Arial"/>
        </w:rPr>
        <w:t>l</w:t>
      </w:r>
      <w:r w:rsidRPr="00970C3B">
        <w:rPr>
          <w:rFonts w:ascii="Arial" w:eastAsiaTheme="minorHAnsi" w:hAnsi="Arial" w:cs="Arial"/>
          <w:lang w:val="x-none"/>
        </w:rPr>
        <w:t>ercohn</w:t>
      </w:r>
      <w:r w:rsidRPr="00970C3B">
        <w:rPr>
          <w:rFonts w:ascii="Arial" w:eastAsiaTheme="minorHAnsi" w:hAnsi="Arial" w:cs="Arial"/>
        </w:rPr>
        <w:t>@</w:t>
      </w:r>
      <w:r w:rsidRPr="00970C3B">
        <w:rPr>
          <w:rFonts w:ascii="Arial" w:eastAsiaTheme="minorHAnsi" w:hAnsi="Arial" w:cs="Arial"/>
          <w:lang w:val="x-none"/>
        </w:rPr>
        <w:t>BKLlawfi</w:t>
      </w:r>
      <w:r w:rsidRPr="00970C3B">
        <w:rPr>
          <w:rFonts w:ascii="Arial" w:eastAsiaTheme="minorHAnsi" w:hAnsi="Arial" w:cs="Arial"/>
        </w:rPr>
        <w:t>r</w:t>
      </w:r>
      <w:r w:rsidRPr="00970C3B">
        <w:rPr>
          <w:rFonts w:ascii="Arial" w:eastAsiaTheme="minorHAnsi" w:hAnsi="Arial" w:cs="Arial"/>
          <w:lang w:val="x-none"/>
        </w:rPr>
        <w:t>m</w:t>
      </w:r>
      <w:r w:rsidRPr="00970C3B">
        <w:rPr>
          <w:rFonts w:ascii="Arial" w:eastAsiaTheme="minorHAnsi" w:hAnsi="Arial" w:cs="Arial"/>
        </w:rPr>
        <w:t>.</w:t>
      </w:r>
      <w:r w:rsidRPr="00970C3B">
        <w:rPr>
          <w:rFonts w:ascii="Arial" w:eastAsiaTheme="minorHAnsi" w:hAnsi="Arial" w:cs="Arial"/>
          <w:lang w:val="x-none"/>
        </w:rPr>
        <w:t>com</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b/>
          <w:lang w:val="x-none"/>
        </w:rPr>
      </w:pPr>
      <w:r w:rsidRPr="00970C3B">
        <w:rPr>
          <w:rFonts w:ascii="Arial" w:eastAsiaTheme="minorHAnsi" w:hAnsi="Arial" w:cs="Arial"/>
          <w:b/>
          <w:lang w:val="x-none"/>
        </w:rPr>
        <w:t>COUNSEL FOR OHIO ENERGY GROUP</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Steven T. Nourse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Matthew J. Satterwhite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Yazen Alami</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American Electric Power Service Corporation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 Riverside Plaza 29</w:t>
      </w:r>
      <w:r w:rsidRPr="00970C3B">
        <w:rPr>
          <w:rFonts w:ascii="Arial" w:eastAsiaTheme="minorHAnsi" w:hAnsi="Arial" w:cs="Arial"/>
          <w:vertAlign w:val="superscript"/>
        </w:rPr>
        <w:t>th</w:t>
      </w:r>
      <w:r w:rsidRPr="00970C3B">
        <w:rPr>
          <w:rFonts w:ascii="Arial" w:eastAsiaTheme="minorHAnsi" w:hAnsi="Arial" w:cs="Arial"/>
        </w:rPr>
        <w:t xml:space="preserve"> Floor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641889">
        <w:rPr>
          <w:rFonts w:ascii="Arial" w:eastAsiaTheme="minorHAnsi" w:hAnsi="Arial" w:cs="Arial"/>
        </w:rPr>
        <w:t>stnourse@aep.com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641889">
        <w:rPr>
          <w:rFonts w:ascii="Arial" w:eastAsiaTheme="minorHAnsi" w:hAnsi="Arial" w:cs="Arial"/>
        </w:rPr>
        <w:t>mjsatterwhite@aep.com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641889">
        <w:rPr>
          <w:rFonts w:ascii="Arial" w:eastAsiaTheme="minorHAnsi" w:hAnsi="Arial" w:cs="Arial"/>
        </w:rPr>
        <w:t>yalami@aep.com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lang w:val="x-none"/>
        </w:rPr>
        <w:t xml:space="preserve">COUNSEL FOR OHIO </w:t>
      </w:r>
      <w:r w:rsidRPr="00970C3B">
        <w:rPr>
          <w:rFonts w:ascii="Arial" w:eastAsiaTheme="minorHAnsi" w:hAnsi="Arial" w:cs="Arial"/>
          <w:b/>
        </w:rPr>
        <w:t>POWER COMPANY</w:t>
      </w:r>
    </w:p>
    <w:p w:rsidR="00970C3B" w:rsidRPr="00970C3B" w:rsidRDefault="00B44019" w:rsidP="00970C3B">
      <w:pPr>
        <w:autoSpaceDE w:val="0"/>
        <w:autoSpaceDN w:val="0"/>
        <w:adjustRightInd w:val="0"/>
        <w:spacing w:after="0" w:line="240" w:lineRule="auto"/>
        <w:rPr>
          <w:rFonts w:ascii="Arial" w:eastAsiaTheme="minorHAnsi" w:hAnsi="Arial" w:cs="Arial"/>
        </w:rPr>
        <w:sectPr w:rsidR="00970C3B" w:rsidRPr="00970C3B">
          <w:footerReference w:type="default" r:id="rId22"/>
          <w:type w:val="continuous"/>
          <w:pgSz w:w="12240" w:h="15840" w:code="1"/>
          <w:pgMar w:top="1440" w:right="1440" w:bottom="1141" w:left="1440" w:header="720" w:footer="720" w:gutter="0"/>
          <w:pgNumType w:start="1"/>
          <w:cols w:num="2" w:space="720"/>
          <w:titlePg/>
          <w:docGrid w:linePitch="326"/>
        </w:sectPr>
      </w:pPr>
      <w:r>
        <w:rPr>
          <w:rFonts w:ascii="Arial" w:eastAsiaTheme="minorHAnsi" w:hAnsi="Arial" w:cs="Arial"/>
          <w:b/>
        </w:rPr>
        <w:br w:type="column"/>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lastRenderedPageBreak/>
        <w:t>Bruce J. Weston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Ohio Consumers' Counsel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Larry S. Sauer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Michael Schuler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Kevin F. Moore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Assistant Consumers' Counsel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Office of the Ohio Consumers' Counsel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 West Broad Street – Suite 1800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Larry.sauer@occ.ohio.gov</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Michael.schuler@occ.ohio.gov</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Kevin.moore@occ.ohio.gov</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OFFICE OF THE OHIO CONSUMERS' COUNSEL</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Christopher J. Allwein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Nolan M. Moser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Williams Allwein and Moser,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1500 West Third Ave., Suite 330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43212</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callwein@wamenergylaw.com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nmoser@wamenergylaw.com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Michael Soules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Earthjustice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1625 Massachusetts Ave. NW #702</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Washington, DC 20036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msoules@earthjustice.org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Shannon Fisk</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Earthjustice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1617 John F. Kennedy Blvd., #1675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Philadelphia, PA  19103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sfisk@earthjustice.org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Tony G. Mendoza</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Sierra Club</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Environmental Law Program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85 Second Street, Second Floor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San Francisco, CA  94105-3459</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Tony.mendoza@sierraclub.org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SIERRA CLUB</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B44019" w:rsidP="00970C3B">
      <w:pPr>
        <w:autoSpaceDE w:val="0"/>
        <w:autoSpaceDN w:val="0"/>
        <w:adjustRightInd w:val="0"/>
        <w:spacing w:after="0" w:line="240" w:lineRule="auto"/>
        <w:rPr>
          <w:rFonts w:ascii="Arial" w:eastAsiaTheme="minorHAnsi" w:hAnsi="Arial" w:cs="Arial"/>
        </w:rPr>
      </w:pPr>
      <w:r>
        <w:rPr>
          <w:rFonts w:ascii="Arial" w:eastAsiaTheme="minorHAnsi" w:hAnsi="Arial" w:cs="Arial"/>
        </w:rPr>
        <w:br w:type="column"/>
      </w:r>
      <w:r w:rsidR="00970C3B" w:rsidRPr="00970C3B">
        <w:rPr>
          <w:rFonts w:ascii="Arial" w:eastAsiaTheme="minorHAnsi" w:hAnsi="Arial" w:cs="Arial"/>
        </w:rPr>
        <w:lastRenderedPageBreak/>
        <w:t>Barth E. Royer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Bell &amp; Royer Co., LPA</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33 South Grant Avenue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43215-3927</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barthroyer@aol.com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Adrian Thompson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Taft Stettinius &amp; Hollister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200 Public Square, Suite 3500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Cleveland, Ohio  44114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athompson@taftlaw.com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CLEVELAND MUNICIPAL SCHOOL DISTRICT</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Joseph M. Clark</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Direct Energy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21 East State Street, 19</w:t>
      </w:r>
      <w:r w:rsidRPr="00970C3B">
        <w:rPr>
          <w:rFonts w:ascii="Arial" w:eastAsiaTheme="minorHAnsi" w:hAnsi="Arial" w:cs="Arial"/>
          <w:vertAlign w:val="superscript"/>
        </w:rPr>
        <w:t>th</w:t>
      </w:r>
      <w:r w:rsidRPr="00970C3B">
        <w:rPr>
          <w:rFonts w:ascii="Arial" w:eastAsiaTheme="minorHAnsi" w:hAnsi="Arial" w:cs="Arial"/>
        </w:rPr>
        <w:t xml:space="preserve"> Floor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Joseph.clark@directenergy.com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Gerit F. Hall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Eckert Seamans Cherin &amp; Mellott, LLC</w:t>
      </w:r>
    </w:p>
    <w:p w:rsidR="00970C3B" w:rsidRPr="00970C3B" w:rsidRDefault="00970C3B" w:rsidP="00970C3B">
      <w:pPr>
        <w:autoSpaceDE w:val="0"/>
        <w:autoSpaceDN w:val="0"/>
        <w:adjustRightInd w:val="0"/>
        <w:spacing w:after="0" w:line="240" w:lineRule="auto"/>
        <w:rPr>
          <w:rFonts w:ascii="Arial" w:eastAsiaTheme="minorHAnsi" w:hAnsi="Arial" w:cs="Arial"/>
          <w:vertAlign w:val="superscript"/>
        </w:rPr>
      </w:pPr>
      <w:r w:rsidRPr="00970C3B">
        <w:rPr>
          <w:rFonts w:ascii="Arial" w:eastAsiaTheme="minorHAnsi" w:hAnsi="Arial" w:cs="Arial"/>
        </w:rPr>
        <w:t>1717 Pennsylvania Ave., N.W., 12</w:t>
      </w:r>
      <w:r w:rsidRPr="00970C3B">
        <w:rPr>
          <w:rFonts w:ascii="Arial" w:eastAsiaTheme="minorHAnsi" w:hAnsi="Arial" w:cs="Arial"/>
          <w:vertAlign w:val="superscript"/>
        </w:rPr>
        <w:t>th Fl.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Washington, D.C. 20006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ghull@eckertseamans.com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b/>
        </w:rPr>
        <w:t>COUNSEL FOR DIRECT ENERGY SERVICES, LLC, DIRECT ENERGY BUSINESS, LLC AND DIRECT ENERGY BUSINESS MARKETING, LLC</w:t>
      </w:r>
      <w:r w:rsidRPr="00970C3B">
        <w:rPr>
          <w:rFonts w:ascii="Arial" w:eastAsiaTheme="minorHAnsi" w:hAnsi="Arial" w:cs="Arial"/>
        </w:rPr>
        <w:t xml:space="preserve"> </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Colleen L. Mooney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Ohio Partners for Affordable Energy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231 West Lima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Findlay, Ohio  45839-1793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cmooney@ohiopartners.org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OHIO PARTNERS FOR AFFORDABLE ENERGY</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Joseph E. Oliker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IGS Energy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6100 Emerald Parkway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Dublin, Ohio 43016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joliker@igsenergy.com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IGS ENERGY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lastRenderedPageBreak/>
        <w:t>Mark S. Yurick</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Devin D. Parram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Taft Stettinius &amp; Hollister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65 East State Street, Suite 1000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myurick@taftlaw.com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dparram@taftlaw.com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KROGER CO.</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Richard L. Sites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Ohio Hospital Association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155 East Broad Street, 15</w:t>
      </w:r>
      <w:r w:rsidRPr="00970C3B">
        <w:rPr>
          <w:rFonts w:ascii="Arial" w:eastAsiaTheme="minorHAnsi" w:hAnsi="Arial" w:cs="Arial"/>
          <w:vertAlign w:val="superscript"/>
        </w:rPr>
        <w:t>th</w:t>
      </w:r>
      <w:r w:rsidRPr="00970C3B">
        <w:rPr>
          <w:rFonts w:ascii="Arial" w:eastAsiaTheme="minorHAnsi" w:hAnsi="Arial" w:cs="Arial"/>
        </w:rPr>
        <w:t xml:space="preserve">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ricks@ohanet.org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 J. O'Brien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Bricker &amp; Eckler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100 South Third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641889">
        <w:rPr>
          <w:rFonts w:ascii="Arial" w:eastAsiaTheme="minorHAnsi" w:hAnsi="Arial" w:cs="Arial"/>
        </w:rPr>
        <w:t>tobrien@bricker.com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OHIO HOSPITAL ASSOCIATION</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Marilyn L. Widman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Widman &amp; Franklin,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405 Madison Ave., Suite 1550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Toledo, Ohio  43604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Marilyn@wflawfirm.com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IBEW LOCAL 245</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Michael K. Lavanga</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Garrett A. Stone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Owen J. Kopon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Brickfield, Burchette, Ritts &amp; Stone, P.C.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1025 Thomas Jefferson Street, N.W.</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8</w:t>
      </w:r>
      <w:r w:rsidRPr="00970C3B">
        <w:rPr>
          <w:rFonts w:ascii="Arial" w:eastAsiaTheme="minorHAnsi" w:hAnsi="Arial" w:cs="Arial"/>
          <w:vertAlign w:val="superscript"/>
        </w:rPr>
        <w:t>th</w:t>
      </w:r>
      <w:r w:rsidRPr="00970C3B">
        <w:rPr>
          <w:rFonts w:ascii="Arial" w:eastAsiaTheme="minorHAnsi" w:hAnsi="Arial" w:cs="Arial"/>
        </w:rPr>
        <w:t xml:space="preserve"> Floor, West Tower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Washington, D.C.  20007</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mkl@bbrslaw.com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gas@bbrslaw.com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ojk@bbrslaw.com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NUCOR STEEL MARION, INC.</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B44019" w:rsidP="00970C3B">
      <w:pPr>
        <w:autoSpaceDE w:val="0"/>
        <w:autoSpaceDN w:val="0"/>
        <w:adjustRightInd w:val="0"/>
        <w:spacing w:after="0" w:line="240" w:lineRule="auto"/>
        <w:rPr>
          <w:rFonts w:ascii="Arial" w:eastAsiaTheme="minorHAnsi" w:hAnsi="Arial" w:cs="Arial"/>
        </w:rPr>
      </w:pPr>
      <w:r>
        <w:rPr>
          <w:rFonts w:ascii="Arial" w:eastAsiaTheme="minorHAnsi" w:hAnsi="Arial" w:cs="Arial"/>
        </w:rPr>
        <w:br w:type="column"/>
      </w:r>
      <w:r w:rsidR="00970C3B" w:rsidRPr="00970C3B">
        <w:rPr>
          <w:rFonts w:ascii="Arial" w:eastAsiaTheme="minorHAnsi" w:hAnsi="Arial" w:cs="Arial"/>
        </w:rPr>
        <w:lastRenderedPageBreak/>
        <w:t>Barbara A. Langhenry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Harold A. Madorsky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Kate E. Ryan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City of Cleveland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601 Lakeside Avenue – Room 106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Cleveland, Ohio  44114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blanghenry@city.cleveland.oh.us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hmadorsky@city.cleveland.oh.us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kryan@city.cleveland.oh.us</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CITY OF CLEVELAND</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Kimberly W. Bojko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Jonathon A. Allison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Rebecca Hussey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Carpenter Lipps &amp; Leland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280 Plaza, Suite 1300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280 North High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Bojko@carpenterlipps.com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allison@carpenterlipps.com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hussey@carpenterlipps.com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OMAEG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Lisa M. Hawrot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Spilman Thomas &amp; Battle, PLLC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Century Centre Building</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1233 Main Street, Suite 4000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Wheeling, West Virginia 26003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lhawrot@spilmanlaw.com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Derrick Price Williamson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Spilman Thomas &amp; Battle, PLLC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1100 Bent Creek Blvd., Suite 101</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Mechanicsburg, Pennsylvania  17050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dwilliamson@spilmanlaw.com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WAL-MART STORES EAST, LP AND SAM’S EAST, INC.</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B44019" w:rsidP="00970C3B">
      <w:pPr>
        <w:autoSpaceDE w:val="0"/>
        <w:autoSpaceDN w:val="0"/>
        <w:adjustRightInd w:val="0"/>
        <w:spacing w:after="0" w:line="240" w:lineRule="auto"/>
        <w:rPr>
          <w:rFonts w:ascii="Arial" w:eastAsiaTheme="minorHAnsi" w:hAnsi="Arial" w:cs="Arial"/>
        </w:rPr>
      </w:pPr>
      <w:r>
        <w:rPr>
          <w:rFonts w:ascii="Arial" w:eastAsiaTheme="minorHAnsi" w:hAnsi="Arial" w:cs="Arial"/>
        </w:rPr>
        <w:br w:type="column"/>
      </w:r>
      <w:r w:rsidR="00970C3B" w:rsidRPr="00970C3B">
        <w:rPr>
          <w:rFonts w:ascii="Arial" w:eastAsiaTheme="minorHAnsi" w:hAnsi="Arial" w:cs="Arial"/>
        </w:rPr>
        <w:lastRenderedPageBreak/>
        <w:t>Joseph P. Meissner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Attorney at Law</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1223 W. 6</w:t>
      </w:r>
      <w:r w:rsidRPr="00970C3B">
        <w:rPr>
          <w:rFonts w:ascii="Arial" w:eastAsiaTheme="minorHAnsi" w:hAnsi="Arial" w:cs="Arial"/>
          <w:vertAlign w:val="superscript"/>
        </w:rPr>
        <w:t>th</w:t>
      </w:r>
      <w:r w:rsidRPr="00970C3B">
        <w:rPr>
          <w:rFonts w:ascii="Arial" w:eastAsiaTheme="minorHAnsi" w:hAnsi="Arial" w:cs="Arial"/>
        </w:rPr>
        <w:t xml:space="preserve"> Street – 4</w:t>
      </w:r>
      <w:r w:rsidRPr="00970C3B">
        <w:rPr>
          <w:rFonts w:ascii="Arial" w:eastAsiaTheme="minorHAnsi" w:hAnsi="Arial" w:cs="Arial"/>
          <w:vertAlign w:val="superscript"/>
        </w:rPr>
        <w:t>th</w:t>
      </w:r>
      <w:r w:rsidRPr="00970C3B">
        <w:rPr>
          <w:rFonts w:ascii="Arial" w:eastAsiaTheme="minorHAnsi" w:hAnsi="Arial" w:cs="Arial"/>
        </w:rPr>
        <w:t xml:space="preserve"> Floor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Cleveland, Ohio  44113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meissnerjoseph@yahoo.com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CITIZENS COALITION, CONSUMER PROTECTION ASSOCIATION, CLEVELAND HOUSING NETWORK, AND THE COUNCIL FOR ECONOMIC OPPORTUNITIES IN GREATER CLEVELAND</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 R. Hays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8355 Island Lane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Maineville, Ohio  45039</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trhayslaw@gmail.com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LUCAS COUNTY</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Leslie Kovacik</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Counsel for the City of Toledo</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420 Madison Avenue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Toledo, Ohio  43604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lesliekovacik@toledo.oh.gov</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CITY OF TOLEDO</w:t>
      </w:r>
    </w:p>
    <w:p w:rsidR="00B44019" w:rsidRDefault="00B44019"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Glenn S. Krassen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Bricker &amp; Eckler LLP</w:t>
      </w:r>
      <w:r w:rsidRPr="00970C3B">
        <w:rPr>
          <w:rFonts w:ascii="Arial" w:eastAsiaTheme="minorHAnsi" w:hAnsi="Arial" w:cs="Arial"/>
        </w:rPr>
        <w:br/>
        <w:t>1001 Lakeside Ave., Suite 1350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Cleveland, Ohio  44114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gkrassen@bricker.com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Dane Stinson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Dylan Borchers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Bricker &amp; Eckler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100 South Third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dstinson@bricker.com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dborchers@bricker.com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NORTHEAST OHIO PUBLIC ENERGY COUNCIL; OHIO SCHOOLS COUNCIL; AND, POWER4SCHOOLS</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B44019" w:rsidP="00970C3B">
      <w:pPr>
        <w:autoSpaceDE w:val="0"/>
        <w:autoSpaceDN w:val="0"/>
        <w:adjustRightInd w:val="0"/>
        <w:spacing w:after="0" w:line="240" w:lineRule="auto"/>
        <w:rPr>
          <w:rFonts w:ascii="Arial" w:eastAsiaTheme="minorHAnsi" w:hAnsi="Arial" w:cs="Arial"/>
        </w:rPr>
      </w:pPr>
      <w:r>
        <w:rPr>
          <w:rFonts w:ascii="Arial" w:eastAsiaTheme="minorHAnsi" w:hAnsi="Arial" w:cs="Arial"/>
        </w:rPr>
        <w:br w:type="column"/>
      </w:r>
      <w:r w:rsidR="00970C3B" w:rsidRPr="00970C3B">
        <w:rPr>
          <w:rFonts w:ascii="Arial" w:eastAsiaTheme="minorHAnsi" w:hAnsi="Arial" w:cs="Arial"/>
        </w:rPr>
        <w:lastRenderedPageBreak/>
        <w:t>Michael D. Dortch</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Richard R. Parsons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Kravitz, Brown &amp; Dortch,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65 East State Street – Suite 200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mdortch@kravitzllc.com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rparsons@kravitzllc.com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DYNEGY INC.</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Matthew R. Cox</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Matthew Cox Law, Ltd.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88 East Broad Street, Suite 1560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matt@matthewcoxlaw.com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COUNCIL OF SMALLER ENTERPRISES</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Trent Dougherty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 xml:space="preserve"> Counsel of Record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Madeline Fleisher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1207 Grandview Avenue, Suite 201</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43212-3449</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tdougherty@theOEC.org</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mfleisher@elpc.org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John Finnigan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128 Winding Brook Lane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Terrace Park, Ohio  45174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jfinnigan@edf.org</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OHIO ENVIRONMENTAL COUNCIL AND ENVIRONMENTAL DEFENSE FUND</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 Howard Petricoff</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Michael J. Settineri</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Gretchen L. Petrucci</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Vorys, Sater, Seymour and Pease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52 East Gay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43216-1008</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mhpetricoff@vorys.com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mjsettineri@vorys.com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glpetrucci@vorys.com</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b/>
        </w:rPr>
        <w:t>COUNSEL FOR EXELON GENERATION COMPANY, LLC AND CONSTELLATION NEWENERGY, INC.; PJM POWER PROVIDERS GROUP; THE ELECTRIC POWER SUPPLY ASSOCIATION; AND, RETAIL ENERGY SUPPLY ASSOCIATION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br w:type="column"/>
      </w:r>
      <w:r w:rsidRPr="00970C3B">
        <w:rPr>
          <w:rFonts w:ascii="Arial" w:eastAsiaTheme="minorHAnsi" w:hAnsi="Arial" w:cs="Arial"/>
        </w:rPr>
        <w:lastRenderedPageBreak/>
        <w:t>Cynthia Brady</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Exelon Business Services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4300 Winfield Rd.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Warrenville, Illinois  60555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Cynthia.brady@exeloncorp.com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David I. Fein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Exelon Corporation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 South Dearborn Street – 47</w:t>
      </w:r>
      <w:r w:rsidRPr="00970C3B">
        <w:rPr>
          <w:rFonts w:ascii="Arial" w:eastAsiaTheme="minorHAnsi" w:hAnsi="Arial" w:cs="Arial"/>
          <w:vertAlign w:val="superscript"/>
        </w:rPr>
        <w:t>th</w:t>
      </w:r>
      <w:r w:rsidRPr="00970C3B">
        <w:rPr>
          <w:rFonts w:ascii="Arial" w:eastAsiaTheme="minorHAnsi" w:hAnsi="Arial" w:cs="Arial"/>
        </w:rPr>
        <w:t xml:space="preserve"> Fl.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Chicago, Illinois  60603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David.fein@exeloncorp.com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Lael E. Campbell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Constellation NewEnergy, Inc. and Exelon Corporation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101 Constitution Ave., NW</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Washington, DC 20001</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Lael.campbell@exeloncorp.com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ON BEHALF OF EXELON GENERATION COMPANY, LLC AND CONSTELLATION NEWENERGY, INC.</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Glen Thomas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1060 First Avenue, Suite 400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King of Prussia, Pennsylvania  19406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gthomas@gtpowergroup.com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Laura Chappelle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201 North Washington Square - #910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Lansing, Michigan  48933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laurac@chappeleconsulting.net</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ON BEHALF OF PJM POWER PROVIDERS GROUP</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Andrew J. Sonderman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Kegler Brown Hill and Ritter LPA</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65 East State Street – 1800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asonderman@keglerbrown.com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HARDIN WIND LLC, CHAMPAIGN WIND LLC AND BUCKEYE WIND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br w:type="column"/>
      </w:r>
      <w:r w:rsidRPr="00970C3B">
        <w:rPr>
          <w:rFonts w:ascii="Arial" w:eastAsiaTheme="minorHAnsi" w:hAnsi="Arial" w:cs="Arial"/>
        </w:rPr>
        <w:lastRenderedPageBreak/>
        <w:t>Todd M. Williams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Williams Allwein &amp; Moser,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Two Maritime Plaza, 3</w:t>
      </w:r>
      <w:r w:rsidRPr="00970C3B">
        <w:rPr>
          <w:rFonts w:ascii="Arial" w:eastAsiaTheme="minorHAnsi" w:hAnsi="Arial" w:cs="Arial"/>
          <w:vertAlign w:val="superscript"/>
        </w:rPr>
        <w:t>rd</w:t>
      </w:r>
      <w:r w:rsidRPr="00970C3B">
        <w:rPr>
          <w:rFonts w:ascii="Arial" w:eastAsiaTheme="minorHAnsi" w:hAnsi="Arial" w:cs="Arial"/>
        </w:rPr>
        <w:t xml:space="preserve"> Fl</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Toledo, Ohio 43604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toddm@wamenergylaw.com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Jeffrey W. Mayes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Monitoring Analytics,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2621 Van Buren Avenue, Suite 160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Valley Forge Corporate Center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Eagleville, Pennsylvania  19403</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Jeffrey.mayes@monitoringanalytics.com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INDEPENDENT MARKET MONITOR FOR PJM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Sharon Theodore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Electric Power Supply Association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1401 New York Ave. NW 11</w:t>
      </w:r>
      <w:r w:rsidRPr="00970C3B">
        <w:rPr>
          <w:rFonts w:ascii="Arial" w:eastAsiaTheme="minorHAnsi" w:hAnsi="Arial" w:cs="Arial"/>
          <w:vertAlign w:val="superscript"/>
        </w:rPr>
        <w:t>th</w:t>
      </w:r>
      <w:r w:rsidRPr="00970C3B">
        <w:rPr>
          <w:rFonts w:ascii="Arial" w:eastAsiaTheme="minorHAnsi" w:hAnsi="Arial" w:cs="Arial"/>
        </w:rPr>
        <w:t xml:space="preserve"> fl. </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Washington, DC  20001</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stheodore@epsa.org</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ON BEHALF OF THE ELECTRIC POWER SUPPLY ASSOCIATION</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F. Mitchell Dutton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NextEra Energy Power Marketing, LLC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700 Universe Blvd.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Juno Beach, Florida 33408-2657</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Mitch.dutton@fpl.com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NEXTERA ENERGY POWER MARKETING, LLC</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Andrew J. Sonderman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Kegler Brown Hill and Ritter LPA</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65 East State Street – 1800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asonderman@keglerbrown.com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b/>
        </w:rPr>
        <w:t>COUNSEL FOR HARDIN WIND LLC, CHAMPAIGN WIND LLC AND BUCKEYE WIND LLC</w:t>
      </w:r>
      <w:r w:rsidRPr="00970C3B">
        <w:rPr>
          <w:rFonts w:ascii="Arial" w:eastAsiaTheme="minorHAnsi" w:hAnsi="Arial" w:cs="Arial"/>
        </w:rPr>
        <w:t xml:space="preserve"> </w:t>
      </w:r>
    </w:p>
    <w:p w:rsidR="00B44019" w:rsidRDefault="00B44019"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Kevin R. Schmidt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Energy Professionals of Ohio</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88 East Broad Street, Suite 1770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Schmidt@sppgrp.com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ENERGY PROFESSIONALS OF OHIO</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lastRenderedPageBreak/>
        <w:t>C. Todd Jones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Christopher L. Miller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Gregory H. Dunn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Jeremy M. Grayem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Ice Miller LLP</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250 West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Christopher.miller@icemiller.com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Gregory.dunn@icemiller.com</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Jeremy.grayem@icemiller.com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ASSOCIATION OF INDEPENDENT COLLEGES AND UNIVERSITIES OF OHIO</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Craig I. Smith</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Material Sciences Corporation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15700 Van Aken Blvd. – Suite 26</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Shaker Heights, Ohio 44120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wttpmlc@aol.com</w:t>
      </w:r>
    </w:p>
    <w:p w:rsidR="00970C3B" w:rsidRPr="00970C3B" w:rsidRDefault="00970C3B" w:rsidP="00970C3B">
      <w:pPr>
        <w:autoSpaceDE w:val="0"/>
        <w:autoSpaceDN w:val="0"/>
        <w:adjustRightInd w:val="0"/>
        <w:spacing w:after="0" w:line="240" w:lineRule="auto"/>
        <w:rPr>
          <w:rFonts w:ascii="Arial" w:eastAsiaTheme="minorHAnsi" w:hAnsi="Arial" w:cs="Arial"/>
          <w:b/>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Material Sciences Corporation</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Joel E. Sechler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Carpenter Lipps &amp; Leland</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280 N. High Street, Suite 1300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sechler@carpenterlipps.com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Gregory J. Poulos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EnerNOC, Inc.</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471 E. Broad Street – Suite 1520</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43054</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gpoulos@enernoc.com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ENERNOC, INC.</w:t>
      </w:r>
    </w:p>
    <w:p w:rsidR="00B44019" w:rsidRDefault="00B44019"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Cs/>
        </w:rPr>
      </w:pPr>
      <w:r w:rsidRPr="00970C3B">
        <w:rPr>
          <w:rFonts w:ascii="Arial" w:eastAsiaTheme="minorHAnsi" w:hAnsi="Arial" w:cs="Arial"/>
          <w:bCs/>
        </w:rPr>
        <w:t xml:space="preserve">Cheri B. Cunningham </w:t>
      </w:r>
    </w:p>
    <w:p w:rsidR="00970C3B" w:rsidRPr="00970C3B" w:rsidRDefault="00970C3B" w:rsidP="00970C3B">
      <w:pPr>
        <w:autoSpaceDE w:val="0"/>
        <w:autoSpaceDN w:val="0"/>
        <w:adjustRightInd w:val="0"/>
        <w:spacing w:after="0" w:line="240" w:lineRule="auto"/>
        <w:rPr>
          <w:rFonts w:ascii="Arial" w:eastAsiaTheme="minorHAnsi" w:hAnsi="Arial" w:cs="Arial"/>
          <w:bCs/>
        </w:rPr>
      </w:pPr>
      <w:r w:rsidRPr="00970C3B">
        <w:rPr>
          <w:rFonts w:ascii="Arial" w:eastAsiaTheme="minorHAnsi" w:hAnsi="Arial" w:cs="Arial"/>
          <w:bCs/>
        </w:rPr>
        <w:t>Director of Law</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161 S. High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Suite 202</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Akron, OH  44308</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Ccunningham@Akronohio.Gov</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B44019" w:rsidP="00970C3B">
      <w:pPr>
        <w:autoSpaceDE w:val="0"/>
        <w:autoSpaceDN w:val="0"/>
        <w:adjustRightInd w:val="0"/>
        <w:spacing w:after="0" w:line="240" w:lineRule="auto"/>
        <w:rPr>
          <w:rFonts w:ascii="Arial" w:eastAsiaTheme="minorHAnsi" w:hAnsi="Arial" w:cs="Arial"/>
          <w:bCs/>
        </w:rPr>
      </w:pPr>
      <w:r>
        <w:rPr>
          <w:rFonts w:ascii="Arial" w:eastAsiaTheme="minorHAnsi" w:hAnsi="Arial" w:cs="Arial"/>
          <w:bCs/>
        </w:rPr>
        <w:br w:type="column"/>
      </w:r>
      <w:r w:rsidR="00970C3B" w:rsidRPr="00970C3B">
        <w:rPr>
          <w:rFonts w:ascii="Arial" w:eastAsiaTheme="minorHAnsi" w:hAnsi="Arial" w:cs="Arial"/>
          <w:bCs/>
        </w:rPr>
        <w:lastRenderedPageBreak/>
        <w:t xml:space="preserve">Scott Elisar </w:t>
      </w:r>
    </w:p>
    <w:p w:rsidR="00970C3B" w:rsidRPr="00970C3B" w:rsidRDefault="00970C3B" w:rsidP="00970C3B">
      <w:pPr>
        <w:autoSpaceDE w:val="0"/>
        <w:autoSpaceDN w:val="0"/>
        <w:adjustRightInd w:val="0"/>
        <w:spacing w:after="0" w:line="240" w:lineRule="auto"/>
        <w:rPr>
          <w:rFonts w:ascii="Arial" w:eastAsiaTheme="minorHAnsi" w:hAnsi="Arial" w:cs="Arial"/>
          <w:b/>
          <w:bCs/>
        </w:rPr>
      </w:pPr>
      <w:r w:rsidRPr="00970C3B">
        <w:rPr>
          <w:rFonts w:ascii="Arial" w:eastAsiaTheme="minorHAnsi" w:hAnsi="Arial" w:cs="Arial"/>
          <w:bCs/>
        </w:rPr>
        <w:t>McNees Wallace &amp; Nurick LLC</w:t>
      </w:r>
    </w:p>
    <w:p w:rsidR="00970C3B" w:rsidRPr="00970C3B" w:rsidRDefault="00970C3B" w:rsidP="00970C3B">
      <w:pPr>
        <w:autoSpaceDE w:val="0"/>
        <w:autoSpaceDN w:val="0"/>
        <w:adjustRightInd w:val="0"/>
        <w:spacing w:after="0" w:line="240" w:lineRule="auto"/>
        <w:rPr>
          <w:rFonts w:ascii="Arial" w:eastAsiaTheme="minorHAnsi" w:hAnsi="Arial" w:cs="Arial"/>
          <w:b/>
          <w:bCs/>
        </w:rPr>
      </w:pPr>
      <w:r w:rsidRPr="00970C3B">
        <w:rPr>
          <w:rFonts w:ascii="Arial" w:eastAsiaTheme="minorHAnsi" w:hAnsi="Arial" w:cs="Arial"/>
          <w:bCs/>
        </w:rPr>
        <w:t>21 East State Street, 17</w:t>
      </w:r>
      <w:r w:rsidRPr="00970C3B">
        <w:rPr>
          <w:rFonts w:ascii="Arial" w:eastAsiaTheme="minorHAnsi" w:hAnsi="Arial" w:cs="Arial"/>
          <w:bCs/>
          <w:vertAlign w:val="superscript"/>
        </w:rPr>
        <w:t>TH</w:t>
      </w:r>
      <w:r w:rsidRPr="00970C3B">
        <w:rPr>
          <w:rFonts w:ascii="Arial" w:eastAsiaTheme="minorHAnsi" w:hAnsi="Arial" w:cs="Arial"/>
          <w:bCs/>
        </w:rPr>
        <w:t xml:space="preserve"> Floor</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selisar@mwncmh.com</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b/>
        </w:rPr>
      </w:pPr>
      <w:r w:rsidRPr="00970C3B">
        <w:rPr>
          <w:rFonts w:ascii="Arial" w:eastAsiaTheme="minorHAnsi" w:hAnsi="Arial" w:cs="Arial"/>
          <w:b/>
        </w:rPr>
        <w:t>COUNSEL FOR THE CITY OF AKRON</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 McNamee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 Lindgren</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Ryan O'Rourke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Attorney General's Office</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Public Utilities Commission of Ohio</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180 E. Broad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thomas.mcnamee@puc.state.oh.us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thomas.lindgren@puc.state.oh.us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ryan.o'rourke@puc.state.oh.us</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Gregory Price</w:t>
      </w:r>
    </w:p>
    <w:p w:rsidR="00970C3B" w:rsidRPr="00970C3B" w:rsidRDefault="00970C3B" w:rsidP="00970C3B">
      <w:pPr>
        <w:autoSpaceDE w:val="0"/>
        <w:autoSpaceDN w:val="0"/>
        <w:adjustRightInd w:val="0"/>
        <w:spacing w:after="0" w:line="240" w:lineRule="auto"/>
        <w:rPr>
          <w:rFonts w:ascii="Arial" w:eastAsiaTheme="minorHAnsi" w:hAnsi="Arial" w:cs="Arial"/>
          <w:lang w:val="x-none"/>
        </w:rPr>
      </w:pPr>
      <w:r w:rsidRPr="00970C3B">
        <w:rPr>
          <w:rFonts w:ascii="Arial" w:eastAsiaTheme="minorHAnsi" w:hAnsi="Arial" w:cs="Arial"/>
          <w:lang w:val="x-none"/>
        </w:rPr>
        <w:t>Mandy Willey Chiles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Attorney Examiners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Public Utilities Commission of Ohio</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180 E. Broad Street</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Columbus, Ohio 43215</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Gregory.price@puc.state.oh.us</w:t>
      </w:r>
    </w:p>
    <w:p w:rsidR="00970C3B" w:rsidRPr="00970C3B" w:rsidRDefault="00970C3B" w:rsidP="00970C3B">
      <w:pPr>
        <w:autoSpaceDE w:val="0"/>
        <w:autoSpaceDN w:val="0"/>
        <w:adjustRightInd w:val="0"/>
        <w:spacing w:after="0" w:line="240" w:lineRule="auto"/>
        <w:rPr>
          <w:rFonts w:ascii="Arial" w:eastAsiaTheme="minorHAnsi" w:hAnsi="Arial" w:cs="Arial"/>
        </w:rPr>
      </w:pPr>
      <w:r w:rsidRPr="00970C3B">
        <w:rPr>
          <w:rFonts w:ascii="Arial" w:eastAsiaTheme="minorHAnsi" w:hAnsi="Arial" w:cs="Arial"/>
        </w:rPr>
        <w:t>Mandy.willey@puc.state.oh.us</w:t>
      </w:r>
    </w:p>
    <w:p w:rsidR="00970C3B" w:rsidRPr="00970C3B" w:rsidRDefault="00970C3B" w:rsidP="00970C3B">
      <w:pPr>
        <w:autoSpaceDE w:val="0"/>
        <w:autoSpaceDN w:val="0"/>
        <w:adjustRightInd w:val="0"/>
        <w:spacing w:after="0" w:line="240" w:lineRule="auto"/>
        <w:rPr>
          <w:rFonts w:ascii="Arial" w:eastAsiaTheme="minorHAnsi" w:hAnsi="Arial" w:cs="Arial"/>
        </w:rPr>
      </w:pPr>
    </w:p>
    <w:p w:rsidR="00970C3B" w:rsidRDefault="00970C3B" w:rsidP="005559DB">
      <w:pPr>
        <w:autoSpaceDE w:val="0"/>
        <w:autoSpaceDN w:val="0"/>
        <w:adjustRightInd w:val="0"/>
        <w:spacing w:after="0" w:line="240" w:lineRule="auto"/>
        <w:rPr>
          <w:rFonts w:ascii="Arial" w:eastAsiaTheme="minorHAnsi" w:hAnsi="Arial" w:cs="Arial"/>
        </w:rPr>
        <w:sectPr w:rsidR="00970C3B" w:rsidSect="00B44019">
          <w:type w:val="continuous"/>
          <w:pgSz w:w="12240" w:h="15840" w:code="1"/>
          <w:pgMar w:top="1440" w:right="1440" w:bottom="1141" w:left="1440" w:header="720" w:footer="720" w:gutter="0"/>
          <w:pgNumType w:start="1"/>
          <w:cols w:num="2" w:space="720"/>
          <w:titlePg/>
          <w:docGrid w:linePitch="326"/>
        </w:sectPr>
      </w:pPr>
    </w:p>
    <w:p w:rsidR="00DD71A7" w:rsidRPr="008931D6" w:rsidRDefault="00DD71A7" w:rsidP="005559DB">
      <w:pPr>
        <w:spacing w:after="0" w:line="240" w:lineRule="auto"/>
        <w:rPr>
          <w:rFonts w:ascii="Arial" w:hAnsi="Arial" w:cs="Arial"/>
        </w:rPr>
      </w:pPr>
    </w:p>
    <w:bookmarkEnd w:id="1"/>
    <w:p w:rsidR="00622C2E" w:rsidRDefault="00622C2E" w:rsidP="005559DB">
      <w:pPr>
        <w:spacing w:after="0" w:line="240" w:lineRule="auto"/>
        <w:sectPr w:rsidR="00622C2E" w:rsidSect="00B44019">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num="2" w:space="720"/>
          <w:titlePg/>
          <w:docGrid w:linePitch="360"/>
        </w:sectPr>
      </w:pPr>
    </w:p>
    <w:p w:rsidR="00622C2E" w:rsidRPr="00FA2C94" w:rsidRDefault="00622C2E" w:rsidP="00622C2E">
      <w:pPr>
        <w:spacing w:after="0" w:line="240" w:lineRule="auto"/>
        <w:jc w:val="center"/>
        <w:rPr>
          <w:rFonts w:ascii="Arial" w:hAnsi="Arial" w:cs="Arial"/>
          <w:b/>
          <w:bCs/>
          <w:sz w:val="24"/>
          <w:szCs w:val="24"/>
        </w:rPr>
      </w:pPr>
      <w:r w:rsidRPr="00FA2C94">
        <w:rPr>
          <w:rFonts w:ascii="Arial" w:hAnsi="Arial" w:cs="Arial"/>
          <w:b/>
          <w:bCs/>
          <w:sz w:val="24"/>
          <w:szCs w:val="24"/>
        </w:rPr>
        <w:lastRenderedPageBreak/>
        <w:t>Exhibit KMM-1</w:t>
      </w:r>
    </w:p>
    <w:p w:rsidR="00622C2E" w:rsidRPr="00FA2C94" w:rsidRDefault="00622C2E" w:rsidP="00622C2E">
      <w:pPr>
        <w:spacing w:after="0" w:line="240" w:lineRule="auto"/>
        <w:jc w:val="both"/>
        <w:rPr>
          <w:rFonts w:ascii="Arial" w:hAnsi="Arial" w:cs="Arial"/>
          <w:sz w:val="24"/>
          <w:szCs w:val="24"/>
        </w:rPr>
      </w:pPr>
    </w:p>
    <w:p w:rsidR="003D2677" w:rsidRDefault="003D2677" w:rsidP="00622C2E">
      <w:pPr>
        <w:tabs>
          <w:tab w:val="left" w:pos="4680"/>
        </w:tabs>
        <w:spacing w:after="0" w:line="240" w:lineRule="auto"/>
        <w:jc w:val="both"/>
        <w:rPr>
          <w:rFonts w:ascii="Arial" w:eastAsia="Times New Roman" w:hAnsi="Arial" w:cs="Arial"/>
          <w:i/>
          <w:sz w:val="24"/>
          <w:szCs w:val="24"/>
        </w:rPr>
      </w:pPr>
      <w:r>
        <w:rPr>
          <w:rFonts w:ascii="Arial" w:eastAsia="Times New Roman" w:hAnsi="Arial" w:cs="Arial"/>
          <w:i/>
          <w:sz w:val="24"/>
          <w:szCs w:val="24"/>
        </w:rPr>
        <w:t xml:space="preserve">In the Matter of the Application of Columbus Southern Power Company and Ohio Power Company for Authority to Recover Costs Associated with the Construction and Operation of an Integrated Gasification Combined Cycle Electric Generating Facility, </w:t>
      </w:r>
      <w:r w:rsidRPr="003D2677">
        <w:rPr>
          <w:rFonts w:ascii="Arial" w:eastAsia="Times New Roman" w:hAnsi="Arial" w:cs="Arial"/>
          <w:sz w:val="24"/>
          <w:szCs w:val="24"/>
        </w:rPr>
        <w:t>PUCO Case No. 05-376-EL-UNC.</w:t>
      </w:r>
    </w:p>
    <w:p w:rsidR="003D2677" w:rsidRDefault="003D2677" w:rsidP="00622C2E">
      <w:pPr>
        <w:tabs>
          <w:tab w:val="left" w:pos="4680"/>
        </w:tabs>
        <w:spacing w:after="0" w:line="240" w:lineRule="auto"/>
        <w:jc w:val="both"/>
        <w:rPr>
          <w:rFonts w:ascii="Arial" w:eastAsia="Times New Roman" w:hAnsi="Arial" w:cs="Arial"/>
          <w:i/>
          <w:sz w:val="24"/>
          <w:szCs w:val="24"/>
        </w:rPr>
      </w:pPr>
    </w:p>
    <w:p w:rsidR="00622C2E" w:rsidRPr="00BF62AE" w:rsidRDefault="00622C2E" w:rsidP="00622C2E">
      <w:pPr>
        <w:tabs>
          <w:tab w:val="left" w:pos="4680"/>
        </w:tabs>
        <w:spacing w:after="0" w:line="240" w:lineRule="auto"/>
        <w:jc w:val="both"/>
        <w:rPr>
          <w:rFonts w:ascii="Arial" w:eastAsia="Calibri" w:hAnsi="Arial" w:cs="Arial"/>
          <w:sz w:val="24"/>
          <w:szCs w:val="24"/>
        </w:rPr>
      </w:pPr>
      <w:r w:rsidRPr="00BF62AE">
        <w:rPr>
          <w:rFonts w:ascii="Arial" w:eastAsia="Times New Roman" w:hAnsi="Arial" w:cs="Arial"/>
          <w:i/>
          <w:sz w:val="24"/>
          <w:szCs w:val="24"/>
        </w:rPr>
        <w:t>In the Matter of the Application of Ohio Power Company for Authority to Establish a Standard Service Offer Pursuant to §4928.143, Revised Code,</w:t>
      </w:r>
      <w:r>
        <w:rPr>
          <w:rFonts w:ascii="Arial" w:eastAsia="Times New Roman" w:hAnsi="Arial" w:cs="Arial"/>
          <w:i/>
          <w:sz w:val="24"/>
          <w:szCs w:val="24"/>
        </w:rPr>
        <w:t xml:space="preserve"> </w:t>
      </w:r>
      <w:r w:rsidRPr="00BF62AE">
        <w:rPr>
          <w:rFonts w:ascii="Arial" w:eastAsia="Times New Roman" w:hAnsi="Arial" w:cs="Arial"/>
          <w:i/>
          <w:sz w:val="24"/>
          <w:szCs w:val="24"/>
        </w:rPr>
        <w:t>in the Form of an Electric Security Plan</w:t>
      </w:r>
      <w:r>
        <w:rPr>
          <w:rFonts w:ascii="Arial" w:eastAsia="Times New Roman" w:hAnsi="Arial" w:cs="Arial"/>
          <w:i/>
          <w:sz w:val="24"/>
          <w:szCs w:val="24"/>
        </w:rPr>
        <w:t xml:space="preserve">, et al., </w:t>
      </w:r>
      <w:r w:rsidR="003D2677" w:rsidRPr="003D2677">
        <w:rPr>
          <w:rFonts w:ascii="Arial" w:eastAsia="Times New Roman" w:hAnsi="Arial" w:cs="Arial"/>
          <w:sz w:val="24"/>
          <w:szCs w:val="24"/>
        </w:rPr>
        <w:t xml:space="preserve">PUCO </w:t>
      </w:r>
      <w:r>
        <w:rPr>
          <w:rFonts w:ascii="Arial" w:eastAsia="Times New Roman" w:hAnsi="Arial" w:cs="Arial"/>
          <w:sz w:val="24"/>
          <w:szCs w:val="24"/>
        </w:rPr>
        <w:t xml:space="preserve">Case Nos. 13-2385-EL-SSO, </w:t>
      </w:r>
      <w:r w:rsidRPr="00BF62AE">
        <w:rPr>
          <w:rFonts w:ascii="Arial" w:eastAsia="Times New Roman" w:hAnsi="Arial" w:cs="Arial"/>
          <w:i/>
          <w:sz w:val="24"/>
          <w:szCs w:val="24"/>
        </w:rPr>
        <w:t>et al.</w:t>
      </w:r>
    </w:p>
    <w:p w:rsidR="00622C2E" w:rsidRDefault="00622C2E" w:rsidP="00622C2E">
      <w:pPr>
        <w:spacing w:after="0"/>
        <w:jc w:val="both"/>
        <w:rPr>
          <w:rFonts w:ascii="Arial" w:eastAsia="Calibri" w:hAnsi="Arial" w:cs="Arial"/>
          <w:i/>
          <w:sz w:val="24"/>
          <w:szCs w:val="24"/>
        </w:rPr>
      </w:pPr>
    </w:p>
    <w:p w:rsidR="00622C2E" w:rsidRPr="00FA2C94" w:rsidRDefault="00622C2E" w:rsidP="00622C2E">
      <w:pPr>
        <w:spacing w:after="0"/>
        <w:jc w:val="both"/>
        <w:rPr>
          <w:rFonts w:ascii="Arial" w:eastAsia="Calibri" w:hAnsi="Arial" w:cs="Arial"/>
          <w:sz w:val="24"/>
          <w:szCs w:val="24"/>
        </w:rPr>
      </w:pPr>
      <w:r w:rsidRPr="00FA2C94">
        <w:rPr>
          <w:rFonts w:ascii="Arial" w:eastAsia="Calibri" w:hAnsi="Arial" w:cs="Arial"/>
          <w:i/>
          <w:sz w:val="24"/>
          <w:szCs w:val="24"/>
        </w:rPr>
        <w:t>In the Matter of the Application of The Dayton Power and Light Company for Approval of Its Market Rate Offer</w:t>
      </w:r>
      <w:r w:rsidRPr="00FA2C94">
        <w:rPr>
          <w:rFonts w:ascii="Arial" w:eastAsia="Calibri" w:hAnsi="Arial" w:cs="Arial"/>
          <w:sz w:val="24"/>
          <w:szCs w:val="24"/>
        </w:rPr>
        <w:t xml:space="preserve">, </w:t>
      </w:r>
      <w:r w:rsidRPr="00FA2C94">
        <w:rPr>
          <w:rFonts w:ascii="Arial" w:eastAsia="Calibri" w:hAnsi="Arial" w:cs="Arial"/>
          <w:i/>
          <w:sz w:val="24"/>
          <w:szCs w:val="24"/>
        </w:rPr>
        <w:t>et al.,</w:t>
      </w:r>
      <w:r w:rsidRPr="00FA2C94">
        <w:rPr>
          <w:rFonts w:ascii="Arial" w:eastAsia="Calibri" w:hAnsi="Arial" w:cs="Arial"/>
          <w:sz w:val="24"/>
          <w:szCs w:val="24"/>
        </w:rPr>
        <w:t xml:space="preserve"> </w:t>
      </w:r>
      <w:r>
        <w:rPr>
          <w:rFonts w:ascii="Arial" w:eastAsia="Calibri" w:hAnsi="Arial" w:cs="Arial"/>
          <w:sz w:val="24"/>
          <w:szCs w:val="24"/>
        </w:rPr>
        <w:t xml:space="preserve">PUCO </w:t>
      </w:r>
      <w:r w:rsidRPr="00FA2C94">
        <w:rPr>
          <w:rFonts w:ascii="Arial" w:eastAsia="Calibri" w:hAnsi="Arial" w:cs="Arial"/>
          <w:sz w:val="24"/>
          <w:szCs w:val="24"/>
        </w:rPr>
        <w:t xml:space="preserve">Case Nos. 12-426-EL-SSO, </w:t>
      </w:r>
      <w:r w:rsidRPr="00FA2C94">
        <w:rPr>
          <w:rFonts w:ascii="Arial" w:eastAsia="Calibri" w:hAnsi="Arial" w:cs="Arial"/>
          <w:i/>
          <w:sz w:val="24"/>
          <w:szCs w:val="24"/>
        </w:rPr>
        <w:t>et al.</w:t>
      </w:r>
    </w:p>
    <w:p w:rsidR="00622C2E" w:rsidRPr="00FA2C94" w:rsidRDefault="00622C2E" w:rsidP="00622C2E">
      <w:pPr>
        <w:spacing w:after="0" w:line="240" w:lineRule="auto"/>
        <w:jc w:val="both"/>
        <w:rPr>
          <w:rFonts w:ascii="Arial" w:eastAsia="Calibri" w:hAnsi="Arial" w:cs="Arial"/>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 xml:space="preserve">In the Matter of the Commission Review of the Capacity Charges of Ohio Power Company and Columbus Southern Power Company, </w:t>
      </w:r>
      <w:r w:rsidRPr="00FA2C94">
        <w:rPr>
          <w:rFonts w:ascii="Arial" w:hAnsi="Arial" w:cs="Arial"/>
          <w:sz w:val="24"/>
          <w:szCs w:val="24"/>
        </w:rPr>
        <w:t>PUCO Case No. 10-2929-EL-UNC.</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Columbus Southern Power Company and Ohio Power Company for Authority to Establish a Standard Service Offer Pursuant to §4928.143, Ohio Rev. Code, in the Form of an Electric Security Plan</w:t>
      </w:r>
      <w:r w:rsidRPr="00FA2C94">
        <w:rPr>
          <w:rFonts w:ascii="Arial" w:hAnsi="Arial" w:cs="Arial"/>
          <w:sz w:val="24"/>
          <w:szCs w:val="24"/>
        </w:rPr>
        <w:t xml:space="preserve">, PUCO Case Nos. 11-346-EL-SSO and 11-348-EL-SSO, </w:t>
      </w:r>
      <w:r w:rsidRPr="00FA2C94">
        <w:rPr>
          <w:rFonts w:ascii="Arial" w:hAnsi="Arial" w:cs="Arial"/>
          <w:i/>
          <w:iCs/>
          <w:sz w:val="24"/>
          <w:szCs w:val="24"/>
        </w:rPr>
        <w:t>et al.</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Columbus Southern Power Company for Approval of its Electric Security Plan; an Amendment to its Corporate Separation Plan, and the Sale or Transfer of Certain Generating Assets</w:t>
      </w:r>
      <w:r w:rsidRPr="00FA2C94">
        <w:rPr>
          <w:rFonts w:ascii="Arial" w:hAnsi="Arial" w:cs="Arial"/>
          <w:sz w:val="24"/>
          <w:szCs w:val="24"/>
        </w:rPr>
        <w:t xml:space="preserve">, Case No. 08-917-EL-SSO and </w:t>
      </w:r>
      <w:r w:rsidRPr="00FA2C94">
        <w:rPr>
          <w:rFonts w:ascii="Arial" w:hAnsi="Arial" w:cs="Arial"/>
          <w:i/>
          <w:iCs/>
          <w:sz w:val="24"/>
          <w:szCs w:val="24"/>
        </w:rPr>
        <w:t>In the Matter of the Application of Ohio Power Company for Approval of its Electric Security Plan; and an Amendment to its Corporate Separation Plan</w:t>
      </w:r>
      <w:r w:rsidRPr="00FA2C94">
        <w:rPr>
          <w:rFonts w:ascii="Arial" w:hAnsi="Arial" w:cs="Arial"/>
          <w:sz w:val="24"/>
          <w:szCs w:val="24"/>
        </w:rPr>
        <w:t>, PUCO Case No. 08-918-EL-SSO (remand phase).</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 xml:space="preserve">In the Matter of the Application of Columbus Southern Power </w:t>
      </w:r>
      <w:r>
        <w:rPr>
          <w:rFonts w:ascii="Arial" w:hAnsi="Arial" w:cs="Arial"/>
          <w:i/>
          <w:iCs/>
          <w:sz w:val="24"/>
          <w:szCs w:val="24"/>
        </w:rPr>
        <w:t xml:space="preserve">Company </w:t>
      </w:r>
      <w:r w:rsidRPr="00FA2C94">
        <w:rPr>
          <w:rFonts w:ascii="Arial" w:hAnsi="Arial" w:cs="Arial"/>
          <w:i/>
          <w:iCs/>
          <w:sz w:val="24"/>
          <w:szCs w:val="24"/>
        </w:rPr>
        <w:t>for Approval of its Program Portfolio Plan and Request for Expedited Consideration</w:t>
      </w:r>
      <w:r w:rsidRPr="00FA2C94">
        <w:rPr>
          <w:rFonts w:ascii="Arial" w:hAnsi="Arial" w:cs="Arial"/>
          <w:sz w:val="24"/>
          <w:szCs w:val="24"/>
        </w:rPr>
        <w:t>, PUCO Case No. 09-1089-EL-POR.</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Ohio Power Company for Approval of its Program Portfolio Plan and Request for Expedited Consideration</w:t>
      </w:r>
      <w:r w:rsidRPr="00FA2C94">
        <w:rPr>
          <w:rFonts w:ascii="Arial" w:hAnsi="Arial" w:cs="Arial"/>
          <w:sz w:val="24"/>
          <w:szCs w:val="24"/>
        </w:rPr>
        <w:t>, PUCO Case No. 09-1090-EL-POR.</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Ohio Edison Company, The Cleveland Electric Illuminating Company and The Toledo Edison Company for Approval of a Market Rate Offer to Conduct a Competitive Bidding Process for Standard Service Offer Electric Generation Supply, Accounting Modifications Associated with Reconciliation Mechanism, and Tariffs for Generation Service</w:t>
      </w:r>
      <w:r w:rsidRPr="00FA2C94">
        <w:rPr>
          <w:rFonts w:ascii="Arial" w:hAnsi="Arial" w:cs="Arial"/>
          <w:sz w:val="24"/>
          <w:szCs w:val="24"/>
        </w:rPr>
        <w:t>, PUCO Case No. 09-906-EL-SSO.</w:t>
      </w:r>
    </w:p>
    <w:p w:rsidR="00622C2E" w:rsidRPr="00FA2C94" w:rsidRDefault="00622C2E" w:rsidP="00622C2E">
      <w:pPr>
        <w:spacing w:after="0" w:line="240" w:lineRule="auto"/>
        <w:jc w:val="both"/>
        <w:rPr>
          <w:rFonts w:ascii="Arial" w:hAnsi="Arial" w:cs="Arial"/>
          <w:sz w:val="24"/>
          <w:szCs w:val="24"/>
        </w:rPr>
      </w:pPr>
    </w:p>
    <w:p w:rsidR="003D2677" w:rsidRDefault="003D2677">
      <w:pPr>
        <w:spacing w:line="240" w:lineRule="auto"/>
        <w:rPr>
          <w:rFonts w:ascii="Arial" w:hAnsi="Arial" w:cs="Arial"/>
          <w:i/>
          <w:iCs/>
          <w:sz w:val="24"/>
          <w:szCs w:val="24"/>
        </w:rPr>
      </w:pPr>
      <w:r>
        <w:rPr>
          <w:rFonts w:ascii="Arial" w:hAnsi="Arial" w:cs="Arial"/>
          <w:i/>
          <w:iCs/>
          <w:sz w:val="24"/>
          <w:szCs w:val="24"/>
        </w:rPr>
        <w:br w:type="page"/>
      </w: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lastRenderedPageBreak/>
        <w:t>In the Matter of the Application of Ohio Edison Company, The Cleveland Electric Illuminating Company and The Toledo Edison Company for Authority to Establish a Standard Service Offer Pursuant to R.C. 4928.143 in the Form of an Electric Security Plan</w:t>
      </w:r>
      <w:r w:rsidRPr="00FA2C94">
        <w:rPr>
          <w:rFonts w:ascii="Arial" w:hAnsi="Arial" w:cs="Arial"/>
          <w:sz w:val="24"/>
          <w:szCs w:val="24"/>
        </w:rPr>
        <w:t>, PUCO Case No. 08-935-EL-SSO.</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Ohio Edison Company, The Cleveland Electric Illuminating Company and The Toledo Edison Company for Approval of a Market Rate Offer to Conduct a Competitive Bidding Process for Standard Service Offer Electric Generation Supply, Accounting Modifications Associated with Reconciliation Mechanism, and Tariffs for Generation Service</w:t>
      </w:r>
      <w:r w:rsidRPr="00FA2C94">
        <w:rPr>
          <w:rFonts w:ascii="Arial" w:hAnsi="Arial" w:cs="Arial"/>
          <w:sz w:val="24"/>
          <w:szCs w:val="24"/>
        </w:rPr>
        <w:t>, PUCO Case No. 08-936-EL-SSO.</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Columbus Southern Power Company for Approval of its Electric Security Plan; an Amendment to its Corporate Separation Plan; and the Sale or Transfer of Certain Generating Assets</w:t>
      </w:r>
      <w:r w:rsidRPr="00FA2C94">
        <w:rPr>
          <w:rFonts w:ascii="Arial" w:hAnsi="Arial" w:cs="Arial"/>
          <w:sz w:val="24"/>
          <w:szCs w:val="24"/>
        </w:rPr>
        <w:t>, PUCO Case No. 08-917-EL-SSO.</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Ohio Power Company for Approval of its Electric Security Plan; and an Amendment to its Corporate Separation Plan</w:t>
      </w:r>
      <w:r w:rsidRPr="00FA2C94">
        <w:rPr>
          <w:rFonts w:ascii="Arial" w:hAnsi="Arial" w:cs="Arial"/>
          <w:sz w:val="24"/>
          <w:szCs w:val="24"/>
        </w:rPr>
        <w:t>, PUCO Case No. 08-918-EL-SSO.</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spacing w:after="0" w:line="240" w:lineRule="auto"/>
        <w:jc w:val="both"/>
        <w:rPr>
          <w:rFonts w:ascii="Arial" w:hAnsi="Arial" w:cs="Arial"/>
          <w:sz w:val="24"/>
          <w:szCs w:val="24"/>
        </w:rPr>
      </w:pPr>
      <w:r w:rsidRPr="00FA2C94">
        <w:rPr>
          <w:rFonts w:ascii="Arial" w:hAnsi="Arial" w:cs="Arial"/>
          <w:i/>
          <w:iCs/>
          <w:sz w:val="24"/>
          <w:szCs w:val="24"/>
        </w:rPr>
        <w:t>In the Matter of the Application of Duke Energy Ohio for Approval of an Electric Security Plan</w:t>
      </w:r>
      <w:r w:rsidRPr="00FA2C94">
        <w:rPr>
          <w:rFonts w:ascii="Arial" w:hAnsi="Arial" w:cs="Arial"/>
          <w:sz w:val="24"/>
          <w:szCs w:val="24"/>
        </w:rPr>
        <w:t>, PUCO Case No. 08-920-EL-SSO.</w:t>
      </w:r>
    </w:p>
    <w:p w:rsidR="00622C2E" w:rsidRPr="00FA2C94" w:rsidRDefault="00622C2E" w:rsidP="00622C2E">
      <w:pPr>
        <w:spacing w:after="0" w:line="240" w:lineRule="auto"/>
        <w:jc w:val="both"/>
        <w:rPr>
          <w:rFonts w:ascii="Arial" w:hAnsi="Arial" w:cs="Arial"/>
          <w:sz w:val="24"/>
          <w:szCs w:val="24"/>
        </w:rPr>
      </w:pPr>
    </w:p>
    <w:p w:rsidR="00622C2E" w:rsidRPr="00FA2C94" w:rsidRDefault="00622C2E" w:rsidP="00622C2E">
      <w:pPr>
        <w:autoSpaceDE w:val="0"/>
        <w:autoSpaceDN w:val="0"/>
        <w:spacing w:after="0" w:line="240" w:lineRule="auto"/>
        <w:jc w:val="both"/>
        <w:rPr>
          <w:rFonts w:ascii="Arial" w:hAnsi="Arial" w:cs="Arial"/>
          <w:sz w:val="24"/>
          <w:szCs w:val="24"/>
        </w:rPr>
      </w:pPr>
      <w:r w:rsidRPr="00FA2C94">
        <w:rPr>
          <w:rFonts w:ascii="Arial" w:hAnsi="Arial" w:cs="Arial"/>
          <w:i/>
          <w:iCs/>
          <w:sz w:val="24"/>
          <w:szCs w:val="24"/>
        </w:rPr>
        <w:t>In the Matter of the Application of The Dayton Power and Light Company for Approval of Its Electric Security Plan</w:t>
      </w:r>
      <w:r w:rsidRPr="00FA2C94">
        <w:rPr>
          <w:rFonts w:ascii="Arial" w:hAnsi="Arial" w:cs="Arial"/>
          <w:sz w:val="24"/>
          <w:szCs w:val="24"/>
        </w:rPr>
        <w:t>, PUCO Case No. 08-1094-EL-SSO.</w:t>
      </w:r>
    </w:p>
    <w:p w:rsidR="00622C2E" w:rsidRPr="00FA2C94" w:rsidRDefault="00622C2E" w:rsidP="00622C2E">
      <w:pPr>
        <w:spacing w:after="0" w:line="240" w:lineRule="auto"/>
        <w:rPr>
          <w:rFonts w:ascii="Arial" w:hAnsi="Arial" w:cs="Arial"/>
          <w:sz w:val="24"/>
          <w:szCs w:val="24"/>
        </w:rPr>
      </w:pPr>
    </w:p>
    <w:p w:rsidR="00622C2E" w:rsidRPr="00FA2C94" w:rsidRDefault="00622C2E" w:rsidP="00622C2E">
      <w:pPr>
        <w:rPr>
          <w:rFonts w:ascii="Arial" w:hAnsi="Arial" w:cs="Arial"/>
        </w:rPr>
      </w:pPr>
    </w:p>
    <w:p w:rsidR="00DD71A7" w:rsidRDefault="00DD71A7" w:rsidP="005559DB">
      <w:pPr>
        <w:spacing w:after="0" w:line="240" w:lineRule="auto"/>
      </w:pPr>
    </w:p>
    <w:sectPr w:rsidR="00DD71A7" w:rsidSect="005B6587">
      <w:footerReference w:type="default" r:id="rId2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3B" w:rsidRDefault="00970C3B">
      <w:pPr>
        <w:spacing w:after="0" w:line="240" w:lineRule="auto"/>
      </w:pPr>
      <w:r>
        <w:separator/>
      </w:r>
    </w:p>
  </w:endnote>
  <w:endnote w:type="continuationSeparator" w:id="0">
    <w:p w:rsidR="00970C3B" w:rsidRDefault="0097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89" w:rsidRDefault="006418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3766E1" w:rsidRDefault="00641889">
    <w:pPr>
      <w:pStyle w:val="Footer"/>
    </w:pPr>
    <w:r w:rsidRPr="00641889">
      <w:rPr>
        <w:noProof/>
        <w:sz w:val="16"/>
      </w:rPr>
      <w:t>{C46281: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3766E1" w:rsidRDefault="00641889">
    <w:pPr>
      <w:pStyle w:val="Footer"/>
    </w:pPr>
    <w:r w:rsidRPr="00641889">
      <w:rPr>
        <w:noProof/>
        <w:sz w:val="16"/>
      </w:rPr>
      <w:t>{C46281: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FA2C94" w:rsidRDefault="00641889">
    <w:pPr>
      <w:pStyle w:val="Footer"/>
    </w:pPr>
    <w:r w:rsidRPr="00641889">
      <w:rPr>
        <w:noProof/>
        <w:sz w:val="16"/>
      </w:rPr>
      <w:t>{C46281: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3766E1" w:rsidRDefault="00641889">
    <w:pPr>
      <w:pStyle w:val="Footer"/>
    </w:pPr>
    <w:r w:rsidRPr="00641889">
      <w:rPr>
        <w:noProof/>
        <w:sz w:val="16"/>
      </w:rPr>
      <w:t>{C46281: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3766E1" w:rsidRDefault="00641889" w:rsidP="00B32C16">
    <w:pPr>
      <w:pStyle w:val="Footer"/>
    </w:pPr>
    <w:r w:rsidRPr="00641889">
      <w:rPr>
        <w:noProof/>
        <w:sz w:val="16"/>
      </w:rPr>
      <w:t>{C46281: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3766E1" w:rsidRDefault="00641889" w:rsidP="00D30ECC">
    <w:pPr>
      <w:pStyle w:val="Footer"/>
      <w:tabs>
        <w:tab w:val="clear" w:pos="4320"/>
        <w:tab w:val="center" w:pos="4680"/>
        <w:tab w:val="left" w:pos="5626"/>
      </w:tabs>
    </w:pPr>
    <w:r w:rsidRPr="00641889">
      <w:rPr>
        <w:noProof/>
        <w:sz w:val="16"/>
      </w:rPr>
      <w:t>{C46281: }</w:t>
    </w:r>
    <w:r w:rsidR="00970C3B" w:rsidRPr="003766E1">
      <w:tab/>
    </w:r>
    <w:sdt>
      <w:sdtPr>
        <w:id w:val="-1730991070"/>
        <w:docPartObj>
          <w:docPartGallery w:val="Page Numbers (Bottom of Page)"/>
          <w:docPartUnique/>
        </w:docPartObj>
      </w:sdtPr>
      <w:sdtEndPr>
        <w:rPr>
          <w:noProof/>
        </w:rPr>
      </w:sdtEndPr>
      <w:sdtContent>
        <w:r w:rsidR="00970C3B" w:rsidRPr="003766E1">
          <w:fldChar w:fldCharType="begin"/>
        </w:r>
        <w:r w:rsidR="00970C3B" w:rsidRPr="003766E1">
          <w:instrText xml:space="preserve"> PAGE   \* MERGEFORMAT </w:instrText>
        </w:r>
        <w:r w:rsidR="00970C3B" w:rsidRPr="003766E1">
          <w:fldChar w:fldCharType="separate"/>
        </w:r>
        <w:r>
          <w:rPr>
            <w:noProof/>
          </w:rPr>
          <w:t>14</w:t>
        </w:r>
        <w:r w:rsidR="00970C3B" w:rsidRPr="003766E1">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Pr="00BC6EA4" w:rsidRDefault="00641889">
    <w:pPr>
      <w:pStyle w:val="Footer"/>
    </w:pPr>
    <w:r w:rsidRPr="00641889">
      <w:rPr>
        <w:noProof/>
        <w:sz w:val="16"/>
      </w:rPr>
      <w:t>{C46281: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641889">
    <w:pPr>
      <w:pStyle w:val="Footer"/>
      <w:rPr>
        <w:rFonts w:cs="Arial"/>
      </w:rPr>
    </w:pPr>
    <w:r w:rsidRPr="00641889">
      <w:rPr>
        <w:rFonts w:cs="Arial"/>
        <w:noProof/>
        <w:sz w:val="16"/>
      </w:rPr>
      <w:t>{C46281: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641889">
    <w:pPr>
      <w:pStyle w:val="Footer"/>
      <w:rPr>
        <w:rFonts w:cs="Arial"/>
      </w:rPr>
    </w:pPr>
    <w:r w:rsidRPr="00641889">
      <w:rPr>
        <w:rFonts w:cs="Arial"/>
        <w:noProof/>
        <w:sz w:val="16"/>
      </w:rPr>
      <w:t>{C46281: }</w:t>
    </w:r>
  </w:p>
  <w:p w:rsidR="00970C3B" w:rsidRDefault="00970C3B">
    <w:pPr>
      <w:pStyle w:val="Footer"/>
      <w:rPr>
        <w:rFonts w:cs="Arial"/>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3B" w:rsidRDefault="00970C3B">
      <w:pPr>
        <w:spacing w:after="0" w:line="240" w:lineRule="auto"/>
        <w:rPr>
          <w:noProof/>
        </w:rPr>
      </w:pPr>
      <w:r>
        <w:rPr>
          <w:noProof/>
        </w:rPr>
        <w:separator/>
      </w:r>
    </w:p>
  </w:footnote>
  <w:footnote w:type="continuationSeparator" w:id="0">
    <w:p w:rsidR="00970C3B" w:rsidRDefault="00970C3B">
      <w:pPr>
        <w:spacing w:after="0" w:line="240" w:lineRule="auto"/>
      </w:pPr>
      <w:r>
        <w:continuationSeparator/>
      </w:r>
    </w:p>
  </w:footnote>
  <w:footnote w:id="1">
    <w:p w:rsidR="00970C3B" w:rsidRDefault="00970C3B" w:rsidP="00822A29">
      <w:pPr>
        <w:pStyle w:val="FootnoteText"/>
        <w:spacing w:after="120"/>
      </w:pPr>
      <w:r>
        <w:rPr>
          <w:rStyle w:val="FootnoteReference"/>
        </w:rPr>
        <w:footnoteRef/>
      </w:r>
      <w:r>
        <w:t xml:space="preserve"> Section 4928.02(H), Revised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89" w:rsidRDefault="006418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89" w:rsidRDefault="006418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889" w:rsidRDefault="0064188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3B" w:rsidRDefault="00970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4A39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F268B2"/>
    <w:multiLevelType w:val="hybridMultilevel"/>
    <w:tmpl w:val="C3E23DB0"/>
    <w:lvl w:ilvl="0" w:tplc="4D008F44">
      <w:numFmt w:val="bullet"/>
      <w:lvlText w:val=""/>
      <w:lvlJc w:val="left"/>
      <w:pPr>
        <w:ind w:left="720" w:hanging="360"/>
      </w:pPr>
      <w:rPr>
        <w:rFonts w:ascii="Arial" w:eastAsiaTheme="minorHAnsi"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F5911"/>
    <w:multiLevelType w:val="hybridMultilevel"/>
    <w:tmpl w:val="622C917C"/>
    <w:lvl w:ilvl="0" w:tplc="04090001">
      <w:start w:val="1"/>
      <w:numFmt w:val="bullet"/>
      <w:lvlText w:val=""/>
      <w:lvlJc w:val="left"/>
      <w:pPr>
        <w:ind w:left="1510" w:hanging="360"/>
      </w:pPr>
      <w:rPr>
        <w:rFonts w:ascii="Symbol" w:hAnsi="Symbol" w:hint="default"/>
      </w:rPr>
    </w:lvl>
    <w:lvl w:ilvl="1" w:tplc="04090003">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
    <w:nsid w:val="28BC6133"/>
    <w:multiLevelType w:val="hybridMultilevel"/>
    <w:tmpl w:val="4DD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4790C"/>
    <w:multiLevelType w:val="hybridMultilevel"/>
    <w:tmpl w:val="9F6ED8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5F"/>
    <w:rsid w:val="000062EE"/>
    <w:rsid w:val="0001106A"/>
    <w:rsid w:val="000116F0"/>
    <w:rsid w:val="00017301"/>
    <w:rsid w:val="00017666"/>
    <w:rsid w:val="00042636"/>
    <w:rsid w:val="00043105"/>
    <w:rsid w:val="00051C5C"/>
    <w:rsid w:val="00052AD4"/>
    <w:rsid w:val="000556C6"/>
    <w:rsid w:val="00062A6C"/>
    <w:rsid w:val="0006470E"/>
    <w:rsid w:val="00070D43"/>
    <w:rsid w:val="00075B0A"/>
    <w:rsid w:val="00076949"/>
    <w:rsid w:val="00081A82"/>
    <w:rsid w:val="00086ECA"/>
    <w:rsid w:val="000A01EA"/>
    <w:rsid w:val="000A457E"/>
    <w:rsid w:val="000A4C3D"/>
    <w:rsid w:val="000A6ED9"/>
    <w:rsid w:val="000B05FB"/>
    <w:rsid w:val="000B542E"/>
    <w:rsid w:val="000B6103"/>
    <w:rsid w:val="000B621D"/>
    <w:rsid w:val="000C2DCC"/>
    <w:rsid w:val="000E4690"/>
    <w:rsid w:val="000E5242"/>
    <w:rsid w:val="00103A5D"/>
    <w:rsid w:val="0010713D"/>
    <w:rsid w:val="00110D91"/>
    <w:rsid w:val="00115D24"/>
    <w:rsid w:val="00137324"/>
    <w:rsid w:val="00140D24"/>
    <w:rsid w:val="0015706B"/>
    <w:rsid w:val="001631F5"/>
    <w:rsid w:val="00163B5A"/>
    <w:rsid w:val="00167D7E"/>
    <w:rsid w:val="00167FC6"/>
    <w:rsid w:val="00174D40"/>
    <w:rsid w:val="00176651"/>
    <w:rsid w:val="00180CD9"/>
    <w:rsid w:val="0018492E"/>
    <w:rsid w:val="0019308B"/>
    <w:rsid w:val="00193907"/>
    <w:rsid w:val="00195E87"/>
    <w:rsid w:val="0019796C"/>
    <w:rsid w:val="001A1713"/>
    <w:rsid w:val="001A7CED"/>
    <w:rsid w:val="001B205A"/>
    <w:rsid w:val="001B3711"/>
    <w:rsid w:val="001B4A7C"/>
    <w:rsid w:val="001B7DD4"/>
    <w:rsid w:val="001B7F4C"/>
    <w:rsid w:val="001C3711"/>
    <w:rsid w:val="001D33A5"/>
    <w:rsid w:val="001D5C7E"/>
    <w:rsid w:val="001E552A"/>
    <w:rsid w:val="001F0009"/>
    <w:rsid w:val="001F32BB"/>
    <w:rsid w:val="001F35E3"/>
    <w:rsid w:val="001F52A9"/>
    <w:rsid w:val="001F671A"/>
    <w:rsid w:val="001F6EF4"/>
    <w:rsid w:val="00205130"/>
    <w:rsid w:val="00210C71"/>
    <w:rsid w:val="002162DF"/>
    <w:rsid w:val="002203E6"/>
    <w:rsid w:val="00221613"/>
    <w:rsid w:val="00223B8D"/>
    <w:rsid w:val="00223C4F"/>
    <w:rsid w:val="002316AB"/>
    <w:rsid w:val="00231843"/>
    <w:rsid w:val="00234C7E"/>
    <w:rsid w:val="00236048"/>
    <w:rsid w:val="00241049"/>
    <w:rsid w:val="0024375F"/>
    <w:rsid w:val="00244918"/>
    <w:rsid w:val="0025543A"/>
    <w:rsid w:val="0025628A"/>
    <w:rsid w:val="0026273A"/>
    <w:rsid w:val="0026426D"/>
    <w:rsid w:val="00271505"/>
    <w:rsid w:val="00273E48"/>
    <w:rsid w:val="0027542C"/>
    <w:rsid w:val="00276547"/>
    <w:rsid w:val="00276659"/>
    <w:rsid w:val="00283B33"/>
    <w:rsid w:val="00285E66"/>
    <w:rsid w:val="002864C1"/>
    <w:rsid w:val="0029332C"/>
    <w:rsid w:val="002A214F"/>
    <w:rsid w:val="002A6AE1"/>
    <w:rsid w:val="002B1223"/>
    <w:rsid w:val="002B3D2C"/>
    <w:rsid w:val="002C350A"/>
    <w:rsid w:val="002C3A56"/>
    <w:rsid w:val="002C6C0A"/>
    <w:rsid w:val="002C71FD"/>
    <w:rsid w:val="002E0D76"/>
    <w:rsid w:val="002E5E80"/>
    <w:rsid w:val="002F0499"/>
    <w:rsid w:val="003102F4"/>
    <w:rsid w:val="00312B87"/>
    <w:rsid w:val="003161D2"/>
    <w:rsid w:val="00322C12"/>
    <w:rsid w:val="003337CE"/>
    <w:rsid w:val="00347B26"/>
    <w:rsid w:val="00347C87"/>
    <w:rsid w:val="00354A99"/>
    <w:rsid w:val="00355EA7"/>
    <w:rsid w:val="00356C38"/>
    <w:rsid w:val="00361298"/>
    <w:rsid w:val="003711DF"/>
    <w:rsid w:val="00373AAC"/>
    <w:rsid w:val="00374D76"/>
    <w:rsid w:val="003766E1"/>
    <w:rsid w:val="00384811"/>
    <w:rsid w:val="003915CE"/>
    <w:rsid w:val="00391A9D"/>
    <w:rsid w:val="00396FCE"/>
    <w:rsid w:val="00397BB9"/>
    <w:rsid w:val="003D2677"/>
    <w:rsid w:val="003E1D22"/>
    <w:rsid w:val="003E431C"/>
    <w:rsid w:val="003F21AF"/>
    <w:rsid w:val="003F27B9"/>
    <w:rsid w:val="00413B31"/>
    <w:rsid w:val="0042203D"/>
    <w:rsid w:val="00430FB9"/>
    <w:rsid w:val="00434FC4"/>
    <w:rsid w:val="00443BE9"/>
    <w:rsid w:val="00443FD8"/>
    <w:rsid w:val="00463104"/>
    <w:rsid w:val="00466A1F"/>
    <w:rsid w:val="0047406F"/>
    <w:rsid w:val="00484A02"/>
    <w:rsid w:val="004924BE"/>
    <w:rsid w:val="00496EB7"/>
    <w:rsid w:val="004A4FD0"/>
    <w:rsid w:val="004A633C"/>
    <w:rsid w:val="004A6701"/>
    <w:rsid w:val="004A6CFE"/>
    <w:rsid w:val="004C5FB5"/>
    <w:rsid w:val="004D2C58"/>
    <w:rsid w:val="004D77CB"/>
    <w:rsid w:val="004D7F46"/>
    <w:rsid w:val="004E0E7B"/>
    <w:rsid w:val="004E0E84"/>
    <w:rsid w:val="004E4682"/>
    <w:rsid w:val="004E53EA"/>
    <w:rsid w:val="004F01DC"/>
    <w:rsid w:val="004F045A"/>
    <w:rsid w:val="004F3340"/>
    <w:rsid w:val="004F4640"/>
    <w:rsid w:val="00507059"/>
    <w:rsid w:val="00507A1C"/>
    <w:rsid w:val="00513967"/>
    <w:rsid w:val="0052597D"/>
    <w:rsid w:val="005324DF"/>
    <w:rsid w:val="0054056D"/>
    <w:rsid w:val="005431AE"/>
    <w:rsid w:val="005528CF"/>
    <w:rsid w:val="00553FF6"/>
    <w:rsid w:val="005551BF"/>
    <w:rsid w:val="005559DB"/>
    <w:rsid w:val="00562023"/>
    <w:rsid w:val="00564699"/>
    <w:rsid w:val="005838C7"/>
    <w:rsid w:val="00584315"/>
    <w:rsid w:val="00596CAE"/>
    <w:rsid w:val="005A64B4"/>
    <w:rsid w:val="005B202D"/>
    <w:rsid w:val="005B317E"/>
    <w:rsid w:val="005B3984"/>
    <w:rsid w:val="005B5247"/>
    <w:rsid w:val="005B6587"/>
    <w:rsid w:val="005B7AC7"/>
    <w:rsid w:val="005D6D22"/>
    <w:rsid w:val="005E17A2"/>
    <w:rsid w:val="005E62AB"/>
    <w:rsid w:val="005E76FB"/>
    <w:rsid w:val="005F4EFF"/>
    <w:rsid w:val="00610457"/>
    <w:rsid w:val="00610872"/>
    <w:rsid w:val="00613F59"/>
    <w:rsid w:val="00615C71"/>
    <w:rsid w:val="00615E57"/>
    <w:rsid w:val="006160EE"/>
    <w:rsid w:val="0062187C"/>
    <w:rsid w:val="00622C2E"/>
    <w:rsid w:val="00623118"/>
    <w:rsid w:val="006262EF"/>
    <w:rsid w:val="00626A10"/>
    <w:rsid w:val="00634033"/>
    <w:rsid w:val="00641889"/>
    <w:rsid w:val="00651C92"/>
    <w:rsid w:val="00652DDA"/>
    <w:rsid w:val="00662D34"/>
    <w:rsid w:val="00670072"/>
    <w:rsid w:val="00671FC5"/>
    <w:rsid w:val="00677EF8"/>
    <w:rsid w:val="006823C7"/>
    <w:rsid w:val="00691DA2"/>
    <w:rsid w:val="00693CC2"/>
    <w:rsid w:val="006A6D47"/>
    <w:rsid w:val="006B05AF"/>
    <w:rsid w:val="006B7C25"/>
    <w:rsid w:val="006C1665"/>
    <w:rsid w:val="006C1D51"/>
    <w:rsid w:val="006C231E"/>
    <w:rsid w:val="006C44EB"/>
    <w:rsid w:val="006D2678"/>
    <w:rsid w:val="006D32FA"/>
    <w:rsid w:val="006D3B04"/>
    <w:rsid w:val="006D644A"/>
    <w:rsid w:val="006E4EB7"/>
    <w:rsid w:val="007057DC"/>
    <w:rsid w:val="00707777"/>
    <w:rsid w:val="00710B77"/>
    <w:rsid w:val="00717B07"/>
    <w:rsid w:val="0072349F"/>
    <w:rsid w:val="00725118"/>
    <w:rsid w:val="0073047E"/>
    <w:rsid w:val="007315B2"/>
    <w:rsid w:val="00732968"/>
    <w:rsid w:val="00740533"/>
    <w:rsid w:val="00741AFD"/>
    <w:rsid w:val="007470C2"/>
    <w:rsid w:val="00761908"/>
    <w:rsid w:val="00766CE6"/>
    <w:rsid w:val="00767CB2"/>
    <w:rsid w:val="007779AE"/>
    <w:rsid w:val="00781701"/>
    <w:rsid w:val="007866C8"/>
    <w:rsid w:val="007948E9"/>
    <w:rsid w:val="007A1385"/>
    <w:rsid w:val="007A4FCC"/>
    <w:rsid w:val="007A5AB6"/>
    <w:rsid w:val="007A7249"/>
    <w:rsid w:val="007B0018"/>
    <w:rsid w:val="007B1635"/>
    <w:rsid w:val="007B310A"/>
    <w:rsid w:val="007C418A"/>
    <w:rsid w:val="007D161F"/>
    <w:rsid w:val="007E0184"/>
    <w:rsid w:val="007E078D"/>
    <w:rsid w:val="007E4635"/>
    <w:rsid w:val="007E7E70"/>
    <w:rsid w:val="007F2737"/>
    <w:rsid w:val="007F7CCE"/>
    <w:rsid w:val="00805BCA"/>
    <w:rsid w:val="00822A29"/>
    <w:rsid w:val="00823CBC"/>
    <w:rsid w:val="0083410E"/>
    <w:rsid w:val="00836637"/>
    <w:rsid w:val="008415F0"/>
    <w:rsid w:val="00842755"/>
    <w:rsid w:val="00843B00"/>
    <w:rsid w:val="0084442B"/>
    <w:rsid w:val="00846140"/>
    <w:rsid w:val="0085176A"/>
    <w:rsid w:val="008601BB"/>
    <w:rsid w:val="00862A5E"/>
    <w:rsid w:val="008673AC"/>
    <w:rsid w:val="008673D1"/>
    <w:rsid w:val="00867691"/>
    <w:rsid w:val="00872C64"/>
    <w:rsid w:val="0087483B"/>
    <w:rsid w:val="008854CE"/>
    <w:rsid w:val="00886101"/>
    <w:rsid w:val="00893963"/>
    <w:rsid w:val="008B3FF0"/>
    <w:rsid w:val="008B4BD2"/>
    <w:rsid w:val="008B64D9"/>
    <w:rsid w:val="008B656E"/>
    <w:rsid w:val="008D404E"/>
    <w:rsid w:val="008E0F77"/>
    <w:rsid w:val="008E4AC4"/>
    <w:rsid w:val="008E54B6"/>
    <w:rsid w:val="00914D5D"/>
    <w:rsid w:val="0091679C"/>
    <w:rsid w:val="009400C8"/>
    <w:rsid w:val="0095669C"/>
    <w:rsid w:val="00970C3B"/>
    <w:rsid w:val="00982D31"/>
    <w:rsid w:val="00983412"/>
    <w:rsid w:val="00990FD8"/>
    <w:rsid w:val="00994C97"/>
    <w:rsid w:val="009A4350"/>
    <w:rsid w:val="009A6E9A"/>
    <w:rsid w:val="009B1534"/>
    <w:rsid w:val="009B4487"/>
    <w:rsid w:val="009B7FC0"/>
    <w:rsid w:val="009C1E68"/>
    <w:rsid w:val="009C62CA"/>
    <w:rsid w:val="009C63AB"/>
    <w:rsid w:val="009D3823"/>
    <w:rsid w:val="009D5226"/>
    <w:rsid w:val="009E2AD4"/>
    <w:rsid w:val="009F2585"/>
    <w:rsid w:val="009F3426"/>
    <w:rsid w:val="009F7DB3"/>
    <w:rsid w:val="00A102F7"/>
    <w:rsid w:val="00A11C85"/>
    <w:rsid w:val="00A17363"/>
    <w:rsid w:val="00A220E2"/>
    <w:rsid w:val="00A227A0"/>
    <w:rsid w:val="00A2298C"/>
    <w:rsid w:val="00A24BA8"/>
    <w:rsid w:val="00A316FC"/>
    <w:rsid w:val="00A3273B"/>
    <w:rsid w:val="00A330B0"/>
    <w:rsid w:val="00A40C69"/>
    <w:rsid w:val="00A457D9"/>
    <w:rsid w:val="00A56394"/>
    <w:rsid w:val="00A7091A"/>
    <w:rsid w:val="00A71A2E"/>
    <w:rsid w:val="00A7366D"/>
    <w:rsid w:val="00A73B72"/>
    <w:rsid w:val="00A845F8"/>
    <w:rsid w:val="00A91CD6"/>
    <w:rsid w:val="00A9765A"/>
    <w:rsid w:val="00A97BEF"/>
    <w:rsid w:val="00AA51D4"/>
    <w:rsid w:val="00AA6560"/>
    <w:rsid w:val="00AB6058"/>
    <w:rsid w:val="00AB7CEB"/>
    <w:rsid w:val="00AD5F4A"/>
    <w:rsid w:val="00AE02E2"/>
    <w:rsid w:val="00AE1082"/>
    <w:rsid w:val="00AE6591"/>
    <w:rsid w:val="00AF205C"/>
    <w:rsid w:val="00AF3580"/>
    <w:rsid w:val="00B0003F"/>
    <w:rsid w:val="00B07F55"/>
    <w:rsid w:val="00B1543B"/>
    <w:rsid w:val="00B32C16"/>
    <w:rsid w:val="00B33910"/>
    <w:rsid w:val="00B42157"/>
    <w:rsid w:val="00B44019"/>
    <w:rsid w:val="00B47241"/>
    <w:rsid w:val="00B53F0A"/>
    <w:rsid w:val="00B55F58"/>
    <w:rsid w:val="00B62605"/>
    <w:rsid w:val="00B62FD7"/>
    <w:rsid w:val="00B73245"/>
    <w:rsid w:val="00B768AB"/>
    <w:rsid w:val="00B7774F"/>
    <w:rsid w:val="00B77A1D"/>
    <w:rsid w:val="00B81608"/>
    <w:rsid w:val="00B84195"/>
    <w:rsid w:val="00B91D94"/>
    <w:rsid w:val="00B9683D"/>
    <w:rsid w:val="00BA02C5"/>
    <w:rsid w:val="00BA32A1"/>
    <w:rsid w:val="00BA48A6"/>
    <w:rsid w:val="00BA54F3"/>
    <w:rsid w:val="00BB3C33"/>
    <w:rsid w:val="00BB7C84"/>
    <w:rsid w:val="00BD6996"/>
    <w:rsid w:val="00BE0E0F"/>
    <w:rsid w:val="00BE1528"/>
    <w:rsid w:val="00BF6EA7"/>
    <w:rsid w:val="00C0104E"/>
    <w:rsid w:val="00C05ECB"/>
    <w:rsid w:val="00C11B53"/>
    <w:rsid w:val="00C13A98"/>
    <w:rsid w:val="00C14FDB"/>
    <w:rsid w:val="00C2189B"/>
    <w:rsid w:val="00C33237"/>
    <w:rsid w:val="00C46BB5"/>
    <w:rsid w:val="00C64DA7"/>
    <w:rsid w:val="00C82E15"/>
    <w:rsid w:val="00C85D8C"/>
    <w:rsid w:val="00C8776B"/>
    <w:rsid w:val="00C9174B"/>
    <w:rsid w:val="00C92F05"/>
    <w:rsid w:val="00C94896"/>
    <w:rsid w:val="00C96B7C"/>
    <w:rsid w:val="00CA07F3"/>
    <w:rsid w:val="00CA720F"/>
    <w:rsid w:val="00CA7E34"/>
    <w:rsid w:val="00CB0969"/>
    <w:rsid w:val="00CC2F3B"/>
    <w:rsid w:val="00CD3A8A"/>
    <w:rsid w:val="00CE05D8"/>
    <w:rsid w:val="00CE57A6"/>
    <w:rsid w:val="00CE6EBF"/>
    <w:rsid w:val="00CF19E5"/>
    <w:rsid w:val="00CF2B54"/>
    <w:rsid w:val="00CF30CC"/>
    <w:rsid w:val="00CF5DE9"/>
    <w:rsid w:val="00D10A80"/>
    <w:rsid w:val="00D20543"/>
    <w:rsid w:val="00D2437C"/>
    <w:rsid w:val="00D266D8"/>
    <w:rsid w:val="00D26DA2"/>
    <w:rsid w:val="00D30ECC"/>
    <w:rsid w:val="00D344AC"/>
    <w:rsid w:val="00D3634A"/>
    <w:rsid w:val="00D51337"/>
    <w:rsid w:val="00D51450"/>
    <w:rsid w:val="00D61196"/>
    <w:rsid w:val="00D648AE"/>
    <w:rsid w:val="00D81319"/>
    <w:rsid w:val="00D82FBD"/>
    <w:rsid w:val="00D87F90"/>
    <w:rsid w:val="00D91F1F"/>
    <w:rsid w:val="00D92A66"/>
    <w:rsid w:val="00DA3BBB"/>
    <w:rsid w:val="00DA7E0F"/>
    <w:rsid w:val="00DB0B12"/>
    <w:rsid w:val="00DB31DD"/>
    <w:rsid w:val="00DC08A7"/>
    <w:rsid w:val="00DC5C23"/>
    <w:rsid w:val="00DC73A3"/>
    <w:rsid w:val="00DD1C25"/>
    <w:rsid w:val="00DD71A7"/>
    <w:rsid w:val="00DD7D22"/>
    <w:rsid w:val="00DE4857"/>
    <w:rsid w:val="00DF5E8B"/>
    <w:rsid w:val="00E01E52"/>
    <w:rsid w:val="00E04E25"/>
    <w:rsid w:val="00E10188"/>
    <w:rsid w:val="00E1297A"/>
    <w:rsid w:val="00E26096"/>
    <w:rsid w:val="00E30F6C"/>
    <w:rsid w:val="00E31D46"/>
    <w:rsid w:val="00E46298"/>
    <w:rsid w:val="00E55C9C"/>
    <w:rsid w:val="00E61560"/>
    <w:rsid w:val="00E635E5"/>
    <w:rsid w:val="00E639B8"/>
    <w:rsid w:val="00E650B6"/>
    <w:rsid w:val="00E7014A"/>
    <w:rsid w:val="00E7215B"/>
    <w:rsid w:val="00E91D95"/>
    <w:rsid w:val="00E964C9"/>
    <w:rsid w:val="00EA59D1"/>
    <w:rsid w:val="00EA7282"/>
    <w:rsid w:val="00EA769F"/>
    <w:rsid w:val="00EA775F"/>
    <w:rsid w:val="00EB0B3D"/>
    <w:rsid w:val="00EB2713"/>
    <w:rsid w:val="00EB4670"/>
    <w:rsid w:val="00EB47C0"/>
    <w:rsid w:val="00EB5161"/>
    <w:rsid w:val="00ED0D9A"/>
    <w:rsid w:val="00EE08B7"/>
    <w:rsid w:val="00EE2B1A"/>
    <w:rsid w:val="00EF63E0"/>
    <w:rsid w:val="00EF688B"/>
    <w:rsid w:val="00F04137"/>
    <w:rsid w:val="00F1304F"/>
    <w:rsid w:val="00F224ED"/>
    <w:rsid w:val="00F26963"/>
    <w:rsid w:val="00F26EF7"/>
    <w:rsid w:val="00F311F5"/>
    <w:rsid w:val="00F3785C"/>
    <w:rsid w:val="00F53D1F"/>
    <w:rsid w:val="00F549AC"/>
    <w:rsid w:val="00F61813"/>
    <w:rsid w:val="00F64F8A"/>
    <w:rsid w:val="00F655EA"/>
    <w:rsid w:val="00F65C75"/>
    <w:rsid w:val="00F732F7"/>
    <w:rsid w:val="00F73745"/>
    <w:rsid w:val="00F7560E"/>
    <w:rsid w:val="00F8000A"/>
    <w:rsid w:val="00F838E9"/>
    <w:rsid w:val="00F84D64"/>
    <w:rsid w:val="00F87543"/>
    <w:rsid w:val="00F8771F"/>
    <w:rsid w:val="00F907E3"/>
    <w:rsid w:val="00F933E9"/>
    <w:rsid w:val="00FB0DBD"/>
    <w:rsid w:val="00FB3998"/>
    <w:rsid w:val="00FB3F36"/>
    <w:rsid w:val="00FB719A"/>
    <w:rsid w:val="00FC6B51"/>
    <w:rsid w:val="00FD041D"/>
    <w:rsid w:val="00FD76F4"/>
    <w:rsid w:val="00FD7BBB"/>
    <w:rsid w:val="00FE2A19"/>
    <w:rsid w:val="00FE32AE"/>
    <w:rsid w:val="00FE361A"/>
    <w:rsid w:val="00FE4614"/>
    <w:rsid w:val="00FF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 w:type="paragraph" w:styleId="ListParagraph">
    <w:name w:val="List Paragraph"/>
    <w:basedOn w:val="Normal"/>
    <w:uiPriority w:val="34"/>
    <w:qFormat/>
    <w:rsid w:val="001E552A"/>
    <w:pPr>
      <w:ind w:left="720"/>
      <w:contextualSpacing/>
    </w:pPr>
  </w:style>
  <w:style w:type="paragraph" w:styleId="BodyTextIndent">
    <w:name w:val="Body Text Indent"/>
    <w:basedOn w:val="Normal"/>
    <w:link w:val="BodyTextIndentChar"/>
    <w:uiPriority w:val="99"/>
    <w:semiHidden/>
    <w:unhideWhenUsed/>
    <w:rsid w:val="00662D34"/>
    <w:pPr>
      <w:spacing w:after="120"/>
      <w:ind w:left="360"/>
    </w:pPr>
  </w:style>
  <w:style w:type="character" w:customStyle="1" w:styleId="BodyTextIndentChar">
    <w:name w:val="Body Text Indent Char"/>
    <w:basedOn w:val="DefaultParagraphFont"/>
    <w:link w:val="BodyTextIndent"/>
    <w:uiPriority w:val="99"/>
    <w:semiHidden/>
    <w:rsid w:val="00662D34"/>
    <w:rPr>
      <w:rFonts w:asciiTheme="minorHAnsi" w:eastAsiaTheme="minorEastAsia" w:hAnsiTheme="minorHAnsi" w:cstheme="minorBidi"/>
      <w:sz w:val="22"/>
      <w:szCs w:val="22"/>
    </w:rPr>
  </w:style>
  <w:style w:type="paragraph" w:styleId="ListBullet">
    <w:name w:val="List Bullet"/>
    <w:basedOn w:val="Normal"/>
    <w:uiPriority w:val="99"/>
    <w:unhideWhenUsed/>
    <w:rsid w:val="002864C1"/>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A1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Pr>
      <w:rFonts w:eastAsia="Times New Roman"/>
    </w:rPr>
  </w:style>
  <w:style w:type="paragraph" w:styleId="Title">
    <w:name w:val="Title"/>
    <w:basedOn w:val="Normal"/>
    <w:link w:val="TitleChar"/>
    <w:qFormat/>
    <w:pPr>
      <w:spacing w:after="0" w:line="240" w:lineRule="auto"/>
      <w:jc w:val="center"/>
    </w:pPr>
    <w:rPr>
      <w:rFonts w:ascii="Arial" w:eastAsia="Times New Roman" w:hAnsi="Arial" w:cs="Arial"/>
      <w:b/>
      <w:smallCaps/>
      <w:sz w:val="32"/>
      <w:szCs w:val="24"/>
    </w:rPr>
  </w:style>
  <w:style w:type="character" w:customStyle="1" w:styleId="TitleChar">
    <w:name w:val="Title Char"/>
    <w:basedOn w:val="DefaultParagraphFont"/>
    <w:link w:val="Title"/>
    <w:rPr>
      <w:rFonts w:eastAsia="Times New Roman"/>
      <w:b/>
      <w:smallCaps/>
      <w:sz w:val="32"/>
    </w:rPr>
  </w:style>
  <w:style w:type="paragraph" w:styleId="BodyTextIndent2">
    <w:name w:val="Body Text Indent 2"/>
    <w:basedOn w:val="Normal"/>
    <w:link w:val="BodyTextIndent2Char"/>
    <w:pPr>
      <w:spacing w:after="0" w:line="240" w:lineRule="auto"/>
      <w:ind w:left="4920"/>
      <w:jc w:val="both"/>
    </w:pPr>
    <w:rPr>
      <w:rFonts w:ascii="Arial" w:eastAsia="Times New Roman" w:hAnsi="Arial" w:cs="Arial"/>
      <w:sz w:val="21"/>
      <w:szCs w:val="24"/>
    </w:rPr>
  </w:style>
  <w:style w:type="character" w:customStyle="1" w:styleId="BodyTextIndent2Char">
    <w:name w:val="Body Text Indent 2 Char"/>
    <w:basedOn w:val="DefaultParagraphFont"/>
    <w:link w:val="BodyTextIndent2"/>
    <w:rPr>
      <w:rFonts w:eastAsia="Times New Roman"/>
      <w:sz w:val="21"/>
    </w:rPr>
  </w:style>
  <w:style w:type="table" w:styleId="TableGrid">
    <w:name w:val="Table Grid"/>
    <w:basedOn w:val="TableNormal"/>
    <w:uiPriority w:val="59"/>
    <w:pPr>
      <w:spacing w:after="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basedOn w:val="DefaultParagraphFont"/>
    <w:link w:val="Header"/>
    <w:uiPriority w:val="99"/>
    <w:rPr>
      <w:rFonts w:eastAsia="Times New Roman"/>
    </w:rPr>
  </w:style>
  <w:style w:type="paragraph" w:styleId="Footer">
    <w:name w:val="footer"/>
    <w:basedOn w:val="Normal"/>
    <w:link w:val="FooterChar"/>
    <w:uiPriority w:val="99"/>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Pr>
      <w:rFonts w:eastAsia="Times New Roman" w:cs="Times New Roman"/>
    </w:rPr>
  </w:style>
  <w:style w:type="paragraph" w:styleId="Subtitle">
    <w:name w:val="Subtitle"/>
    <w:basedOn w:val="Normal"/>
    <w:link w:val="SubtitleChar"/>
    <w:qFormat/>
    <w:pPr>
      <w:spacing w:after="0" w:line="360" w:lineRule="auto"/>
      <w:ind w:left="720" w:hanging="720"/>
      <w:jc w:val="center"/>
    </w:pPr>
    <w:rPr>
      <w:rFonts w:ascii="Arial" w:eastAsia="Times New Roman" w:hAnsi="Arial" w:cs="Arial"/>
      <w:b/>
      <w:szCs w:val="20"/>
    </w:rPr>
  </w:style>
  <w:style w:type="character" w:customStyle="1" w:styleId="SubtitleChar">
    <w:name w:val="Subtitle Char"/>
    <w:basedOn w:val="DefaultParagraphFont"/>
    <w:link w:val="Subtitle"/>
    <w:rPr>
      <w:rFonts w:eastAsia="Times New Roman"/>
      <w:b/>
      <w:sz w:val="22"/>
      <w:szCs w:val="20"/>
    </w:rPr>
  </w:style>
  <w:style w:type="paragraph" w:styleId="BodyText3">
    <w:name w:val="Body Text 3"/>
    <w:basedOn w:val="Normal"/>
    <w:link w:val="BodyText3Char"/>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Pr>
      <w:rFonts w:eastAsia="Times New Roman" w:cs="Times New Roman"/>
      <w:sz w:val="16"/>
      <w:szCs w:val="16"/>
    </w:rPr>
  </w:style>
  <w:style w:type="character" w:styleId="LineNumber">
    <w:name w:val="line number"/>
    <w:basedOn w:val="DefaultParagraphFont"/>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pPr>
      <w:spacing w:after="0" w:line="240" w:lineRule="auto"/>
    </w:pPr>
    <w:rPr>
      <w:rFonts w:ascii="Arial" w:eastAsiaTheme="minorHAnsi" w:hAnsi="Arial"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nhideWhenUsed/>
    <w:rPr>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2A15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158E"/>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EastAsia" w:hAnsiTheme="minorHAnsi" w:cstheme="minorBidi"/>
      <w:b/>
      <w:bCs/>
      <w:sz w:val="20"/>
      <w:szCs w:val="20"/>
    </w:rPr>
  </w:style>
  <w:style w:type="paragraph" w:styleId="Revision">
    <w:name w:val="Revision"/>
    <w:hidden/>
    <w:uiPriority w:val="99"/>
    <w:semiHidden/>
    <w:rsid w:val="001E5CCF"/>
    <w:pPr>
      <w:spacing w:after="0"/>
    </w:pPr>
    <w:rPr>
      <w:rFonts w:asciiTheme="minorHAnsi" w:eastAsiaTheme="minorEastAsia" w:hAnsiTheme="minorHAnsi" w:cstheme="minorBidi"/>
      <w:sz w:val="22"/>
      <w:szCs w:val="22"/>
    </w:rPr>
  </w:style>
  <w:style w:type="character" w:styleId="FollowedHyperlink">
    <w:name w:val="FollowedHyperlink"/>
    <w:basedOn w:val="DefaultParagraphFont"/>
    <w:uiPriority w:val="99"/>
    <w:semiHidden/>
    <w:unhideWhenUsed/>
    <w:rsid w:val="001E5CCF"/>
    <w:rPr>
      <w:color w:val="800080" w:themeColor="followedHyperlink"/>
      <w:u w:val="single"/>
    </w:rPr>
  </w:style>
  <w:style w:type="paragraph" w:customStyle="1" w:styleId="Default">
    <w:name w:val="Default"/>
    <w:pPr>
      <w:autoSpaceDE w:val="0"/>
      <w:autoSpaceDN w:val="0"/>
      <w:adjustRightInd w:val="0"/>
      <w:spacing w:after="0"/>
    </w:pPr>
    <w:rPr>
      <w:color w:val="000000"/>
    </w:rPr>
  </w:style>
  <w:style w:type="paragraph" w:styleId="EndnoteText">
    <w:name w:val="endnote text"/>
    <w:basedOn w:val="Normal"/>
    <w:link w:val="EndnoteTextChar"/>
    <w:uiPriority w:val="99"/>
    <w:semiHidden/>
    <w:unhideWhenUsed/>
    <w:rsid w:val="007137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73D"/>
    <w:rPr>
      <w:rFonts w:asciiTheme="minorHAnsi" w:eastAsiaTheme="minorEastAsia" w:hAnsiTheme="minorHAnsi" w:cstheme="minorBidi"/>
      <w:sz w:val="20"/>
      <w:szCs w:val="20"/>
    </w:rPr>
  </w:style>
  <w:style w:type="character" w:styleId="EndnoteReference">
    <w:name w:val="endnote reference"/>
    <w:basedOn w:val="DefaultParagraphFont"/>
    <w:uiPriority w:val="99"/>
    <w:semiHidden/>
    <w:unhideWhenUsed/>
    <w:rsid w:val="0071373D"/>
    <w:rPr>
      <w:vertAlign w:val="superscript"/>
    </w:rPr>
  </w:style>
  <w:style w:type="paragraph" w:styleId="ListParagraph">
    <w:name w:val="List Paragraph"/>
    <w:basedOn w:val="Normal"/>
    <w:uiPriority w:val="34"/>
    <w:qFormat/>
    <w:rsid w:val="001E552A"/>
    <w:pPr>
      <w:ind w:left="720"/>
      <w:contextualSpacing/>
    </w:pPr>
  </w:style>
  <w:style w:type="paragraph" w:styleId="BodyTextIndent">
    <w:name w:val="Body Text Indent"/>
    <w:basedOn w:val="Normal"/>
    <w:link w:val="BodyTextIndentChar"/>
    <w:uiPriority w:val="99"/>
    <w:semiHidden/>
    <w:unhideWhenUsed/>
    <w:rsid w:val="00662D34"/>
    <w:pPr>
      <w:spacing w:after="120"/>
      <w:ind w:left="360"/>
    </w:pPr>
  </w:style>
  <w:style w:type="character" w:customStyle="1" w:styleId="BodyTextIndentChar">
    <w:name w:val="Body Text Indent Char"/>
    <w:basedOn w:val="DefaultParagraphFont"/>
    <w:link w:val="BodyTextIndent"/>
    <w:uiPriority w:val="99"/>
    <w:semiHidden/>
    <w:rsid w:val="00662D34"/>
    <w:rPr>
      <w:rFonts w:asciiTheme="minorHAnsi" w:eastAsiaTheme="minorEastAsia" w:hAnsiTheme="minorHAnsi" w:cstheme="minorBidi"/>
      <w:sz w:val="22"/>
      <w:szCs w:val="22"/>
    </w:rPr>
  </w:style>
  <w:style w:type="paragraph" w:styleId="ListBullet">
    <w:name w:val="List Bullet"/>
    <w:basedOn w:val="Normal"/>
    <w:uiPriority w:val="99"/>
    <w:unhideWhenUsed/>
    <w:rsid w:val="002864C1"/>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5721">
      <w:bodyDiv w:val="1"/>
      <w:marLeft w:val="0"/>
      <w:marRight w:val="0"/>
      <w:marTop w:val="0"/>
      <w:marBottom w:val="0"/>
      <w:divBdr>
        <w:top w:val="none" w:sz="0" w:space="0" w:color="auto"/>
        <w:left w:val="none" w:sz="0" w:space="0" w:color="auto"/>
        <w:bottom w:val="none" w:sz="0" w:space="0" w:color="auto"/>
        <w:right w:val="none" w:sz="0" w:space="0" w:color="auto"/>
      </w:divBdr>
    </w:div>
    <w:div w:id="632828363">
      <w:bodyDiv w:val="1"/>
      <w:marLeft w:val="0"/>
      <w:marRight w:val="0"/>
      <w:marTop w:val="0"/>
      <w:marBottom w:val="0"/>
      <w:divBdr>
        <w:top w:val="none" w:sz="0" w:space="0" w:color="auto"/>
        <w:left w:val="none" w:sz="0" w:space="0" w:color="auto"/>
        <w:bottom w:val="none" w:sz="0" w:space="0" w:color="auto"/>
        <w:right w:val="none" w:sz="0" w:space="0" w:color="auto"/>
      </w:divBdr>
    </w:div>
    <w:div w:id="1013147755">
      <w:bodyDiv w:val="1"/>
      <w:marLeft w:val="0"/>
      <w:marRight w:val="0"/>
      <w:marTop w:val="0"/>
      <w:marBottom w:val="0"/>
      <w:divBdr>
        <w:top w:val="none" w:sz="0" w:space="0" w:color="auto"/>
        <w:left w:val="none" w:sz="0" w:space="0" w:color="auto"/>
        <w:bottom w:val="none" w:sz="0" w:space="0" w:color="auto"/>
        <w:right w:val="none" w:sz="0" w:space="0" w:color="auto"/>
      </w:divBdr>
    </w:div>
    <w:div w:id="1016154639">
      <w:bodyDiv w:val="1"/>
      <w:marLeft w:val="0"/>
      <w:marRight w:val="0"/>
      <w:marTop w:val="0"/>
      <w:marBottom w:val="0"/>
      <w:divBdr>
        <w:top w:val="none" w:sz="0" w:space="0" w:color="auto"/>
        <w:left w:val="none" w:sz="0" w:space="0" w:color="auto"/>
        <w:bottom w:val="none" w:sz="0" w:space="0" w:color="auto"/>
        <w:right w:val="none" w:sz="0" w:space="0" w:color="auto"/>
      </w:divBdr>
    </w:div>
    <w:div w:id="1725518519">
      <w:bodyDiv w:val="1"/>
      <w:marLeft w:val="0"/>
      <w:marRight w:val="0"/>
      <w:marTop w:val="0"/>
      <w:marBottom w:val="0"/>
      <w:divBdr>
        <w:top w:val="none" w:sz="0" w:space="0" w:color="auto"/>
        <w:left w:val="none" w:sz="0" w:space="0" w:color="auto"/>
        <w:bottom w:val="none" w:sz="0" w:space="0" w:color="auto"/>
        <w:right w:val="none" w:sz="0" w:space="0" w:color="auto"/>
      </w:divBdr>
      <w:divsChild>
        <w:div w:id="1135025260">
          <w:marLeft w:val="0"/>
          <w:marRight w:val="-5040"/>
          <w:marTop w:val="0"/>
          <w:marBottom w:val="0"/>
          <w:divBdr>
            <w:top w:val="none" w:sz="0" w:space="0" w:color="auto"/>
            <w:left w:val="none" w:sz="0" w:space="0" w:color="auto"/>
            <w:bottom w:val="none" w:sz="0" w:space="0" w:color="auto"/>
            <w:right w:val="none" w:sz="0" w:space="0" w:color="auto"/>
          </w:divBdr>
          <w:divsChild>
            <w:div w:id="823815501">
              <w:marLeft w:val="0"/>
              <w:marRight w:val="5040"/>
              <w:marTop w:val="0"/>
              <w:marBottom w:val="0"/>
              <w:divBdr>
                <w:top w:val="none" w:sz="0" w:space="0" w:color="auto"/>
                <w:left w:val="none" w:sz="0" w:space="0" w:color="auto"/>
                <w:bottom w:val="none" w:sz="0" w:space="0" w:color="auto"/>
                <w:right w:val="none" w:sz="0" w:space="0" w:color="auto"/>
              </w:divBdr>
              <w:divsChild>
                <w:div w:id="21044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735">
      <w:bodyDiv w:val="1"/>
      <w:marLeft w:val="0"/>
      <w:marRight w:val="0"/>
      <w:marTop w:val="0"/>
      <w:marBottom w:val="0"/>
      <w:divBdr>
        <w:top w:val="none" w:sz="0" w:space="0" w:color="auto"/>
        <w:left w:val="none" w:sz="0" w:space="0" w:color="auto"/>
        <w:bottom w:val="none" w:sz="0" w:space="0" w:color="auto"/>
        <w:right w:val="none" w:sz="0" w:space="0" w:color="auto"/>
      </w:divBdr>
    </w:div>
    <w:div w:id="1869950299">
      <w:bodyDiv w:val="1"/>
      <w:marLeft w:val="0"/>
      <w:marRight w:val="0"/>
      <w:marTop w:val="0"/>
      <w:marBottom w:val="0"/>
      <w:divBdr>
        <w:top w:val="none" w:sz="0" w:space="0" w:color="auto"/>
        <w:left w:val="none" w:sz="0" w:space="0" w:color="auto"/>
        <w:bottom w:val="none" w:sz="0" w:space="0" w:color="auto"/>
        <w:right w:val="none" w:sz="0" w:space="0" w:color="auto"/>
      </w:divBdr>
    </w:div>
    <w:div w:id="1908107950">
      <w:bodyDiv w:val="1"/>
      <w:marLeft w:val="0"/>
      <w:marRight w:val="0"/>
      <w:marTop w:val="0"/>
      <w:marBottom w:val="0"/>
      <w:divBdr>
        <w:top w:val="none" w:sz="0" w:space="0" w:color="auto"/>
        <w:left w:val="none" w:sz="0" w:space="0" w:color="auto"/>
        <w:bottom w:val="none" w:sz="0" w:space="0" w:color="auto"/>
        <w:right w:val="none" w:sz="0" w:space="0" w:color="auto"/>
      </w:divBdr>
    </w:div>
    <w:div w:id="1931309990">
      <w:bodyDiv w:val="1"/>
      <w:marLeft w:val="0"/>
      <w:marRight w:val="0"/>
      <w:marTop w:val="0"/>
      <w:marBottom w:val="0"/>
      <w:divBdr>
        <w:top w:val="none" w:sz="0" w:space="0" w:color="auto"/>
        <w:left w:val="none" w:sz="0" w:space="0" w:color="auto"/>
        <w:bottom w:val="none" w:sz="0" w:space="0" w:color="auto"/>
        <w:right w:val="none" w:sz="0" w:space="0" w:color="auto"/>
      </w:divBdr>
    </w:div>
    <w:div w:id="208117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D2EE-05E7-4263-A155-E3AB17AA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5300</Words>
  <Characters>30785</Characters>
  <Application>Microsoft Office Word</Application>
  <DocSecurity>0</DocSecurity>
  <PresentationFormat/>
  <Lines>1001</Lines>
  <Paragraphs>521</Paragraphs>
  <ScaleCrop>false</ScaleCrop>
  <HeadingPairs>
    <vt:vector size="2" baseType="variant">
      <vt:variant>
        <vt:lpstr>Title</vt:lpstr>
      </vt:variant>
      <vt:variant>
        <vt:i4>1</vt:i4>
      </vt:variant>
    </vt:vector>
  </HeadingPairs>
  <TitlesOfParts>
    <vt:vector size="1" baseType="lpstr">
      <vt:lpstr>FE ESP IV Murray testimony (C46281).DOCX</vt:lpstr>
    </vt:vector>
  </TitlesOfParts>
  <Manager/>
  <Company/>
  <LinksUpToDate>false</LinksUpToDate>
  <CharactersWithSpaces>35743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ESP IV Murray testimony (C46281).DOCX</dc:title>
  <dc:subject>C46281: /font=8</dc:subject>
  <dc:creator/>
  <cp:keywords> </cp:keywords>
  <dc:description> </dc:description>
  <cp:lastModifiedBy/>
  <cp:revision>1</cp:revision>
  <dcterms:created xsi:type="dcterms:W3CDTF">2014-12-15T12:16:00Z</dcterms:created>
  <dcterms:modified xsi:type="dcterms:W3CDTF">2014-12-22T18:47:00Z</dcterms:modified>
  <cp:category> </cp:category>
  <cp:contentStatus> </cp:contentStatus>
</cp:coreProperties>
</file>