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6F1EA1" w:rsidRPr="00BB3412" w:rsidP="006F1EA1" w14:paraId="6046AECF" w14:textId="77777777">
      <w:pPr>
        <w:pStyle w:val="HTMLPreformatted"/>
        <w:jc w:val="center"/>
        <w:rPr>
          <w:rFonts w:ascii="Times New Roman" w:hAnsi="Times New Roman" w:cs="Times New Roman"/>
          <w:b/>
          <w:bCs/>
          <w:sz w:val="24"/>
          <w:szCs w:val="24"/>
        </w:rPr>
      </w:pPr>
      <w:bookmarkStart w:id="0" w:name="_Toc512326203"/>
      <w:bookmarkStart w:id="1" w:name="_GoBack"/>
      <w:bookmarkEnd w:id="1"/>
      <w:r w:rsidRPr="00BB3412">
        <w:rPr>
          <w:rFonts w:ascii="Times New Roman" w:hAnsi="Times New Roman" w:cs="Times New Roman"/>
          <w:b/>
          <w:bCs/>
          <w:sz w:val="24"/>
          <w:szCs w:val="24"/>
        </w:rPr>
        <w:t>BEFORE</w:t>
      </w:r>
    </w:p>
    <w:p w:rsidR="006F1EA1" w:rsidRPr="00BB3412" w:rsidP="006F1EA1" w14:paraId="12AD253A" w14:textId="77777777">
      <w:pPr>
        <w:pStyle w:val="HTMLPreformatted"/>
        <w:jc w:val="center"/>
        <w:rPr>
          <w:rFonts w:ascii="Times New Roman" w:hAnsi="Times New Roman" w:cs="Times New Roman"/>
          <w:sz w:val="24"/>
          <w:szCs w:val="24"/>
        </w:rPr>
      </w:pPr>
      <w:r w:rsidRPr="00BB3412">
        <w:rPr>
          <w:rFonts w:ascii="Times New Roman" w:hAnsi="Times New Roman" w:cs="Times New Roman"/>
          <w:b/>
          <w:bCs/>
          <w:sz w:val="24"/>
          <w:szCs w:val="24"/>
        </w:rPr>
        <w:t>THE PUBLIC UTILITIES COMMISSION OF OHIO</w:t>
      </w:r>
    </w:p>
    <w:p w:rsidR="006F1EA1" w:rsidRPr="00BB3412" w:rsidP="006F1EA1" w14:paraId="1779D660" w14:textId="77777777">
      <w:pPr>
        <w:pStyle w:val="HTMLPreformatted"/>
        <w:rPr>
          <w:rFonts w:ascii="Times New Roman" w:hAnsi="Times New Roman" w:cs="Times New Roman"/>
          <w:sz w:val="24"/>
          <w:szCs w:val="24"/>
        </w:rPr>
      </w:pPr>
    </w:p>
    <w:tbl>
      <w:tblPr>
        <w:tblW w:w="9458" w:type="dxa"/>
        <w:tblLook w:val="01E0"/>
      </w:tblPr>
      <w:tblGrid>
        <w:gridCol w:w="4518"/>
        <w:gridCol w:w="540"/>
        <w:gridCol w:w="4400"/>
      </w:tblGrid>
      <w:tr w14:paraId="07DC8345" w14:textId="77777777" w:rsidTr="006F1EA1">
        <w:tblPrEx>
          <w:tblW w:w="9458" w:type="dxa"/>
          <w:tblLook w:val="01E0"/>
        </w:tblPrEx>
        <w:trPr>
          <w:trHeight w:val="807"/>
        </w:trPr>
        <w:tc>
          <w:tcPr>
            <w:tcW w:w="4518" w:type="dxa"/>
            <w:shd w:val="clear" w:color="auto" w:fill="auto"/>
          </w:tcPr>
          <w:p w:rsidR="006F1EA1" w:rsidRPr="00BB3412" w:rsidP="000F63B6" w14:paraId="3821CC1C" w14:textId="77777777">
            <w:pPr>
              <w:autoSpaceDE w:val="0"/>
              <w:autoSpaceDN w:val="0"/>
              <w:adjustRightInd w:val="0"/>
              <w:rPr>
                <w:szCs w:val="24"/>
              </w:rPr>
            </w:pPr>
            <w:r w:rsidRPr="00BB3412">
              <w:rPr>
                <w:szCs w:val="24"/>
              </w:rPr>
              <w:t>In the Matter of the 201</w:t>
            </w:r>
            <w:r w:rsidRPr="00BB3412" w:rsidR="000F63B6">
              <w:rPr>
                <w:szCs w:val="24"/>
              </w:rPr>
              <w:t>9</w:t>
            </w:r>
            <w:r w:rsidRPr="00BB3412">
              <w:rPr>
                <w:szCs w:val="24"/>
              </w:rPr>
              <w:t xml:space="preserve"> Review of The Delivery Capital Recovery Rider of Ohio Edison Company, The Cleveland Electric Illuminating Company, and The Toledo Edison Company. </w:t>
            </w:r>
          </w:p>
        </w:tc>
        <w:tc>
          <w:tcPr>
            <w:tcW w:w="540" w:type="dxa"/>
            <w:shd w:val="clear" w:color="auto" w:fill="auto"/>
          </w:tcPr>
          <w:p w:rsidR="006F1EA1" w:rsidRPr="00BB3412" w:rsidP="006F1EA1" w14:paraId="03A02099" w14:textId="77777777">
            <w:pPr>
              <w:pStyle w:val="HTMLPreformatted"/>
              <w:jc w:val="center"/>
              <w:rPr>
                <w:rFonts w:ascii="Times New Roman" w:hAnsi="Times New Roman" w:cs="Times New Roman"/>
                <w:sz w:val="24"/>
                <w:szCs w:val="24"/>
              </w:rPr>
            </w:pPr>
            <w:r w:rsidRPr="00BB3412">
              <w:rPr>
                <w:rFonts w:ascii="Times New Roman" w:hAnsi="Times New Roman" w:cs="Times New Roman"/>
                <w:sz w:val="24"/>
                <w:szCs w:val="24"/>
              </w:rPr>
              <w:t>)</w:t>
            </w:r>
          </w:p>
          <w:p w:rsidR="006F1EA1" w:rsidRPr="00BB3412" w:rsidP="006F1EA1" w14:paraId="310F3991" w14:textId="77777777">
            <w:pPr>
              <w:pStyle w:val="HTMLPreformatted"/>
              <w:jc w:val="center"/>
              <w:rPr>
                <w:rFonts w:ascii="Times New Roman" w:hAnsi="Times New Roman" w:cs="Times New Roman"/>
                <w:sz w:val="24"/>
                <w:szCs w:val="24"/>
              </w:rPr>
            </w:pPr>
            <w:r w:rsidRPr="00BB3412">
              <w:rPr>
                <w:rFonts w:ascii="Times New Roman" w:hAnsi="Times New Roman" w:cs="Times New Roman"/>
                <w:sz w:val="24"/>
                <w:szCs w:val="24"/>
              </w:rPr>
              <w:t>)</w:t>
            </w:r>
          </w:p>
          <w:p w:rsidR="006F1EA1" w:rsidRPr="00BB3412" w:rsidP="006F1EA1" w14:paraId="30203B0E" w14:textId="77777777">
            <w:pPr>
              <w:pStyle w:val="HTMLPreformatted"/>
              <w:jc w:val="center"/>
              <w:rPr>
                <w:rFonts w:ascii="Times New Roman" w:hAnsi="Times New Roman" w:cs="Times New Roman"/>
                <w:sz w:val="24"/>
                <w:szCs w:val="24"/>
              </w:rPr>
            </w:pPr>
            <w:r w:rsidRPr="00BB3412">
              <w:rPr>
                <w:rFonts w:ascii="Times New Roman" w:hAnsi="Times New Roman" w:cs="Times New Roman"/>
                <w:sz w:val="24"/>
                <w:szCs w:val="24"/>
              </w:rPr>
              <w:t>)</w:t>
            </w:r>
          </w:p>
          <w:p w:rsidR="006F1EA1" w:rsidRPr="00BB3412" w:rsidP="006F1EA1" w14:paraId="5F865795" w14:textId="77777777">
            <w:pPr>
              <w:pStyle w:val="HTMLPreformatted"/>
              <w:jc w:val="center"/>
              <w:rPr>
                <w:rFonts w:ascii="Times New Roman" w:hAnsi="Times New Roman" w:cs="Times New Roman"/>
                <w:sz w:val="24"/>
                <w:szCs w:val="24"/>
              </w:rPr>
            </w:pPr>
            <w:r w:rsidRPr="00BB3412">
              <w:rPr>
                <w:rFonts w:ascii="Times New Roman" w:hAnsi="Times New Roman" w:cs="Times New Roman"/>
                <w:sz w:val="24"/>
                <w:szCs w:val="24"/>
              </w:rPr>
              <w:t>)</w:t>
            </w:r>
          </w:p>
          <w:p w:rsidR="006F1EA1" w:rsidRPr="00BB3412" w:rsidP="006F1EA1" w14:paraId="3FDAE49E" w14:textId="77777777">
            <w:pPr>
              <w:pStyle w:val="HTMLPreformatted"/>
              <w:jc w:val="center"/>
              <w:rPr>
                <w:rFonts w:ascii="Times New Roman" w:hAnsi="Times New Roman" w:cs="Times New Roman"/>
                <w:sz w:val="24"/>
                <w:szCs w:val="24"/>
              </w:rPr>
            </w:pPr>
            <w:r w:rsidRPr="00BB3412">
              <w:rPr>
                <w:rFonts w:ascii="Times New Roman" w:hAnsi="Times New Roman" w:cs="Times New Roman"/>
                <w:sz w:val="24"/>
                <w:szCs w:val="24"/>
              </w:rPr>
              <w:t>)</w:t>
            </w:r>
          </w:p>
        </w:tc>
        <w:tc>
          <w:tcPr>
            <w:tcW w:w="4400" w:type="dxa"/>
            <w:shd w:val="clear" w:color="auto" w:fill="auto"/>
          </w:tcPr>
          <w:p w:rsidR="006F1EA1" w:rsidRPr="00BB3412" w:rsidP="006F1EA1" w14:paraId="4B81540B" w14:textId="77777777">
            <w:pPr>
              <w:pStyle w:val="HTMLPreformatted"/>
              <w:rPr>
                <w:rFonts w:ascii="Times New Roman" w:hAnsi="Times New Roman" w:cs="Times New Roman"/>
                <w:sz w:val="24"/>
                <w:szCs w:val="24"/>
              </w:rPr>
            </w:pPr>
          </w:p>
          <w:p w:rsidR="006F1EA1" w:rsidRPr="00BB3412" w:rsidP="000F63B6" w14:paraId="3B82113F" w14:textId="77777777">
            <w:pPr>
              <w:pStyle w:val="HTMLPreformatted"/>
              <w:rPr>
                <w:rFonts w:ascii="Times New Roman" w:hAnsi="Times New Roman" w:cs="Times New Roman"/>
                <w:sz w:val="24"/>
                <w:szCs w:val="24"/>
              </w:rPr>
            </w:pPr>
            <w:r w:rsidRPr="00BB3412">
              <w:rPr>
                <w:rFonts w:ascii="Times New Roman" w:hAnsi="Times New Roman" w:cs="Times New Roman"/>
                <w:sz w:val="24"/>
                <w:szCs w:val="24"/>
              </w:rPr>
              <w:t>Case No. 1</w:t>
            </w:r>
            <w:r w:rsidRPr="00BB3412" w:rsidR="000F63B6">
              <w:rPr>
                <w:rFonts w:ascii="Times New Roman" w:hAnsi="Times New Roman" w:cs="Times New Roman"/>
                <w:sz w:val="24"/>
                <w:szCs w:val="24"/>
              </w:rPr>
              <w:t>9</w:t>
            </w:r>
            <w:r w:rsidRPr="00BB3412">
              <w:rPr>
                <w:rFonts w:ascii="Times New Roman" w:hAnsi="Times New Roman" w:cs="Times New Roman"/>
                <w:sz w:val="24"/>
                <w:szCs w:val="24"/>
              </w:rPr>
              <w:t>-</w:t>
            </w:r>
            <w:r w:rsidRPr="00BB3412" w:rsidR="000F63B6">
              <w:rPr>
                <w:rFonts w:ascii="Times New Roman" w:hAnsi="Times New Roman" w:cs="Times New Roman"/>
                <w:sz w:val="24"/>
                <w:szCs w:val="24"/>
              </w:rPr>
              <w:t>1887</w:t>
            </w:r>
            <w:r w:rsidRPr="00BB3412">
              <w:rPr>
                <w:rFonts w:ascii="Times New Roman" w:hAnsi="Times New Roman" w:cs="Times New Roman"/>
                <w:sz w:val="24"/>
                <w:szCs w:val="24"/>
              </w:rPr>
              <w:t>-EL-RDR</w:t>
            </w:r>
          </w:p>
        </w:tc>
      </w:tr>
    </w:tbl>
    <w:p w:rsidR="006F1EA1" w:rsidRPr="00BB3412" w:rsidP="006F1EA1" w14:paraId="31A49854" w14:textId="77777777">
      <w:pPr>
        <w:pStyle w:val="HTMLPreformatted"/>
        <w:rPr>
          <w:rFonts w:ascii="Times New Roman" w:hAnsi="Times New Roman" w:cs="Times New Roman"/>
          <w:sz w:val="24"/>
          <w:szCs w:val="24"/>
        </w:rPr>
      </w:pPr>
      <w:r w:rsidRPr="00BB3412">
        <w:rPr>
          <w:rFonts w:ascii="Times New Roman" w:hAnsi="Times New Roman" w:cs="Times New Roman"/>
          <w:sz w:val="24"/>
          <w:szCs w:val="24"/>
        </w:rPr>
        <w:tab/>
      </w:r>
    </w:p>
    <w:p w:rsidR="006F1EA1" w:rsidRPr="00BB3412" w:rsidP="006F1EA1" w14:paraId="12749314" w14:textId="77777777">
      <w:pPr>
        <w:pStyle w:val="HTMLPreformatted"/>
        <w:pBdr>
          <w:top w:val="single" w:sz="12" w:space="1" w:color="auto"/>
        </w:pBdr>
        <w:rPr>
          <w:rFonts w:ascii="Times New Roman" w:hAnsi="Times New Roman" w:cs="Times New Roman"/>
          <w:sz w:val="24"/>
          <w:szCs w:val="24"/>
        </w:rPr>
      </w:pPr>
    </w:p>
    <w:p w:rsidR="006F1EA1" w:rsidRPr="00BB3412" w:rsidP="006F1EA1" w14:paraId="1D3B2176" w14:textId="77777777">
      <w:pPr>
        <w:jc w:val="center"/>
        <w:rPr>
          <w:b/>
          <w:bCs/>
          <w:szCs w:val="24"/>
        </w:rPr>
      </w:pPr>
      <w:r w:rsidRPr="00BB3412">
        <w:rPr>
          <w:b/>
          <w:bCs/>
          <w:szCs w:val="24"/>
        </w:rPr>
        <w:t xml:space="preserve">CONSUMER PROTECTION </w:t>
      </w:r>
      <w:r w:rsidR="00534D33">
        <w:rPr>
          <w:b/>
          <w:bCs/>
          <w:szCs w:val="24"/>
        </w:rPr>
        <w:t xml:space="preserve">REPLY </w:t>
      </w:r>
      <w:r w:rsidRPr="00BB3412">
        <w:rPr>
          <w:b/>
          <w:bCs/>
          <w:szCs w:val="24"/>
        </w:rPr>
        <w:t>COMMENTS REGARDING FIRSTENERGY’S CHARGES TO CONSUMERS UNDER THE DELIVERY CAPITAL RECOVERY RIDER</w:t>
      </w:r>
    </w:p>
    <w:p w:rsidR="006F1EA1" w:rsidRPr="00BB3412" w:rsidP="006F1EA1" w14:paraId="007F7261" w14:textId="77777777">
      <w:pPr>
        <w:jc w:val="center"/>
        <w:rPr>
          <w:b/>
          <w:bCs/>
          <w:szCs w:val="24"/>
        </w:rPr>
      </w:pPr>
      <w:r w:rsidRPr="00BB3412">
        <w:rPr>
          <w:b/>
          <w:bCs/>
          <w:szCs w:val="24"/>
        </w:rPr>
        <w:t>BY</w:t>
      </w:r>
    </w:p>
    <w:p w:rsidR="006F1EA1" w:rsidRPr="00BB3412" w:rsidP="006F1EA1" w14:paraId="3453A3CB" w14:textId="77777777">
      <w:pPr>
        <w:jc w:val="center"/>
        <w:rPr>
          <w:b/>
          <w:bCs/>
          <w:szCs w:val="24"/>
        </w:rPr>
      </w:pPr>
      <w:r w:rsidRPr="00BB3412">
        <w:rPr>
          <w:b/>
          <w:bCs/>
          <w:szCs w:val="24"/>
        </w:rPr>
        <w:t>THE OFFICE OF THE OHIO CONSUMERS’ COUNSEL</w:t>
      </w:r>
    </w:p>
    <w:p w:rsidR="006F1EA1" w:rsidRPr="00BB3412" w:rsidP="006F1EA1" w14:paraId="07BF7133" w14:textId="77777777">
      <w:pPr>
        <w:pBdr>
          <w:bottom w:val="single" w:sz="12" w:space="1" w:color="auto"/>
        </w:pBdr>
        <w:tabs>
          <w:tab w:val="left" w:pos="4320"/>
        </w:tabs>
        <w:rPr>
          <w:szCs w:val="24"/>
        </w:rPr>
      </w:pPr>
    </w:p>
    <w:p w:rsidR="00BE4FAC" w:rsidRPr="00BB3412" w:rsidP="00223652" w14:paraId="56667752" w14:textId="77777777">
      <w:pPr>
        <w:pStyle w:val="Heading1"/>
      </w:pPr>
      <w:bookmarkStart w:id="2" w:name="_Hlk7793395"/>
    </w:p>
    <w:p w:rsidR="006F1EA1" w:rsidRPr="00BB3412" w:rsidP="00223652" w14:paraId="33FC796A" w14:textId="77777777">
      <w:pPr>
        <w:pStyle w:val="Heading1"/>
      </w:pPr>
      <w:r w:rsidRPr="00BB3412">
        <w:t>I.</w:t>
      </w:r>
      <w:r w:rsidRPr="00BB3412">
        <w:tab/>
        <w:t>INTRODUCTION</w:t>
      </w:r>
      <w:bookmarkEnd w:id="0"/>
    </w:p>
    <w:bookmarkEnd w:id="2"/>
    <w:p w:rsidR="00D31A90" w:rsidRPr="00BB3412" w:rsidP="00B41A61" w14:paraId="374D0622" w14:textId="79C93DC3">
      <w:pPr>
        <w:widowControl w:val="0"/>
        <w:spacing w:line="480" w:lineRule="auto"/>
        <w:ind w:firstLine="720"/>
        <w:rPr>
          <w:color w:val="000000"/>
          <w:szCs w:val="24"/>
        </w:rPr>
      </w:pPr>
      <w:r>
        <w:rPr>
          <w:szCs w:val="24"/>
        </w:rPr>
        <w:t>The PUCO is reviewing FirstEnergy’s</w:t>
      </w:r>
      <w:r w:rsidR="007D4B90">
        <w:rPr>
          <w:szCs w:val="24"/>
        </w:rPr>
        <w:t xml:space="preserve"> </w:t>
      </w:r>
      <w:r w:rsidRPr="00C53581" w:rsidR="007D4B90">
        <w:rPr>
          <w:szCs w:val="24"/>
        </w:rPr>
        <w:t>propos</w:t>
      </w:r>
      <w:r w:rsidRPr="00C53581" w:rsidR="00E60C56">
        <w:rPr>
          <w:szCs w:val="24"/>
        </w:rPr>
        <w:t>ed collection</w:t>
      </w:r>
      <w:r w:rsidRPr="00C53581" w:rsidR="007D4B90">
        <w:rPr>
          <w:szCs w:val="24"/>
        </w:rPr>
        <w:t xml:space="preserve"> </w:t>
      </w:r>
      <w:r w:rsidR="007D4B90">
        <w:rPr>
          <w:szCs w:val="24"/>
        </w:rPr>
        <w:t>regarding a</w:t>
      </w:r>
      <w:r>
        <w:rPr>
          <w:szCs w:val="24"/>
        </w:rPr>
        <w:t xml:space="preserve"> so-called “rider”</w:t>
      </w:r>
      <w:r w:rsidR="007D4B90">
        <w:rPr>
          <w:szCs w:val="24"/>
        </w:rPr>
        <w:t xml:space="preserve"> </w:t>
      </w:r>
      <w:r w:rsidR="00C60D9A">
        <w:rPr>
          <w:szCs w:val="24"/>
        </w:rPr>
        <w:t xml:space="preserve">to be charged to consumers </w:t>
      </w:r>
      <w:r w:rsidR="007D4B90">
        <w:rPr>
          <w:szCs w:val="24"/>
        </w:rPr>
        <w:t xml:space="preserve">for costs such as </w:t>
      </w:r>
      <w:r w:rsidR="00E60C56">
        <w:rPr>
          <w:szCs w:val="24"/>
        </w:rPr>
        <w:t xml:space="preserve">property taxes, </w:t>
      </w:r>
      <w:r w:rsidR="00F04B2E">
        <w:rPr>
          <w:szCs w:val="24"/>
        </w:rPr>
        <w:t xml:space="preserve">associated </w:t>
      </w:r>
      <w:r w:rsidR="00C53581">
        <w:rPr>
          <w:szCs w:val="24"/>
        </w:rPr>
        <w:t xml:space="preserve">taxes, and </w:t>
      </w:r>
      <w:r w:rsidR="00E60C56">
        <w:rPr>
          <w:szCs w:val="24"/>
        </w:rPr>
        <w:t>a return on and of plants in service associated with distribution</w:t>
      </w:r>
      <w:r w:rsidR="00C53581">
        <w:rPr>
          <w:szCs w:val="24"/>
        </w:rPr>
        <w:t xml:space="preserve"> and other related functions.</w:t>
      </w:r>
      <w:r>
        <w:rPr>
          <w:rStyle w:val="FootnoteReference"/>
          <w:szCs w:val="24"/>
        </w:rPr>
        <w:footnoteReference w:id="2"/>
      </w:r>
      <w:r w:rsidR="00E60C56">
        <w:rPr>
          <w:szCs w:val="24"/>
        </w:rPr>
        <w:t xml:space="preserve"> </w:t>
      </w:r>
      <w:r w:rsidR="007D4B90">
        <w:rPr>
          <w:szCs w:val="24"/>
        </w:rPr>
        <w:t>This charge</w:t>
      </w:r>
      <w:r>
        <w:rPr>
          <w:szCs w:val="24"/>
        </w:rPr>
        <w:t xml:space="preserve"> </w:t>
      </w:r>
      <w:r w:rsidR="00C60D9A">
        <w:rPr>
          <w:szCs w:val="24"/>
        </w:rPr>
        <w:t>was</w:t>
      </w:r>
      <w:r>
        <w:rPr>
          <w:szCs w:val="24"/>
        </w:rPr>
        <w:t xml:space="preserve"> enabled by Ohio’s 2008 electricity law</w:t>
      </w:r>
      <w:r w:rsidR="00C60D9A">
        <w:rPr>
          <w:szCs w:val="24"/>
        </w:rPr>
        <w:t>. That law</w:t>
      </w:r>
      <w:r>
        <w:rPr>
          <w:szCs w:val="24"/>
        </w:rPr>
        <w:t xml:space="preserve"> allows utility add-on charges outside</w:t>
      </w:r>
      <w:r w:rsidR="00C60D9A">
        <w:rPr>
          <w:szCs w:val="24"/>
        </w:rPr>
        <w:t xml:space="preserve"> a</w:t>
      </w:r>
      <w:r>
        <w:rPr>
          <w:szCs w:val="24"/>
        </w:rPr>
        <w:t xml:space="preserve"> general rate case</w:t>
      </w:r>
      <w:r w:rsidR="00C60D9A">
        <w:rPr>
          <w:szCs w:val="24"/>
        </w:rPr>
        <w:t xml:space="preserve"> where, until the new law</w:t>
      </w:r>
      <w:r w:rsidR="00B41A61">
        <w:rPr>
          <w:szCs w:val="24"/>
        </w:rPr>
        <w:t xml:space="preserve"> changed things to the utilities’ favor</w:t>
      </w:r>
      <w:r w:rsidR="00C60D9A">
        <w:rPr>
          <w:szCs w:val="24"/>
        </w:rPr>
        <w:t xml:space="preserve">, </w:t>
      </w:r>
      <w:r>
        <w:rPr>
          <w:szCs w:val="24"/>
        </w:rPr>
        <w:t>all</w:t>
      </w:r>
      <w:r w:rsidR="00C60D9A">
        <w:rPr>
          <w:szCs w:val="24"/>
        </w:rPr>
        <w:t xml:space="preserve"> ratemaking</w:t>
      </w:r>
      <w:r>
        <w:rPr>
          <w:szCs w:val="24"/>
        </w:rPr>
        <w:t xml:space="preserve"> items -- whether favorable </w:t>
      </w:r>
      <w:r w:rsidR="007D4B90">
        <w:rPr>
          <w:szCs w:val="24"/>
        </w:rPr>
        <w:t>or</w:t>
      </w:r>
      <w:r>
        <w:rPr>
          <w:szCs w:val="24"/>
        </w:rPr>
        <w:t xml:space="preserve"> unfavorable to </w:t>
      </w:r>
      <w:r w:rsidR="00C60D9A">
        <w:rPr>
          <w:szCs w:val="24"/>
        </w:rPr>
        <w:t>the utility</w:t>
      </w:r>
      <w:r>
        <w:rPr>
          <w:szCs w:val="24"/>
        </w:rPr>
        <w:t xml:space="preserve"> -- would be considered together. </w:t>
      </w:r>
      <w:r w:rsidR="004C5D11">
        <w:rPr>
          <w:szCs w:val="24"/>
        </w:rPr>
        <w:t>Here, t</w:t>
      </w:r>
      <w:r w:rsidRPr="00BB3412" w:rsidR="00E53129">
        <w:rPr>
          <w:szCs w:val="24"/>
        </w:rPr>
        <w:t>he</w:t>
      </w:r>
      <w:r>
        <w:rPr>
          <w:szCs w:val="24"/>
        </w:rPr>
        <w:t xml:space="preserve"> PUCO’s</w:t>
      </w:r>
      <w:r w:rsidRPr="00BB3412" w:rsidR="00E53129">
        <w:rPr>
          <w:szCs w:val="24"/>
        </w:rPr>
        <w:t xml:space="preserve"> independent auditor </w:t>
      </w:r>
      <w:r w:rsidR="002D02F6">
        <w:rPr>
          <w:szCs w:val="24"/>
        </w:rPr>
        <w:t xml:space="preserve">found </w:t>
      </w:r>
      <w:r w:rsidR="00534D33">
        <w:rPr>
          <w:szCs w:val="24"/>
        </w:rPr>
        <w:t>that</w:t>
      </w:r>
      <w:r w:rsidRPr="00BB3412" w:rsidR="00CE392A">
        <w:rPr>
          <w:szCs w:val="24"/>
        </w:rPr>
        <w:t xml:space="preserve"> </w:t>
      </w:r>
      <w:r w:rsidRPr="00BB3412" w:rsidR="00C84370">
        <w:rPr>
          <w:szCs w:val="24"/>
        </w:rPr>
        <w:t xml:space="preserve">FirstEnergy overstated </w:t>
      </w:r>
      <w:r w:rsidRPr="00BB3412" w:rsidR="003C1C51">
        <w:rPr>
          <w:szCs w:val="24"/>
        </w:rPr>
        <w:t>its 2019 revenue requirement</w:t>
      </w:r>
      <w:r w:rsidR="004C5D11">
        <w:rPr>
          <w:szCs w:val="24"/>
        </w:rPr>
        <w:t xml:space="preserve"> for the “delivery capital recovery rider”</w:t>
      </w:r>
      <w:r w:rsidRPr="00BB3412" w:rsidR="003C1C51">
        <w:rPr>
          <w:szCs w:val="24"/>
        </w:rPr>
        <w:t xml:space="preserve"> </w:t>
      </w:r>
      <w:r w:rsidRPr="00BB3412" w:rsidR="003D1256">
        <w:rPr>
          <w:szCs w:val="24"/>
        </w:rPr>
        <w:t>by nearly $6.5 million</w:t>
      </w:r>
      <w:r w:rsidRPr="00BB3412" w:rsidR="003C1C51">
        <w:rPr>
          <w:szCs w:val="24"/>
        </w:rPr>
        <w:t>.</w:t>
      </w:r>
      <w:r>
        <w:rPr>
          <w:rStyle w:val="FootnoteReference"/>
          <w:szCs w:val="24"/>
        </w:rPr>
        <w:footnoteReference w:id="3"/>
      </w:r>
      <w:r w:rsidR="00534D33">
        <w:rPr>
          <w:szCs w:val="24"/>
        </w:rPr>
        <w:t xml:space="preserve"> </w:t>
      </w:r>
      <w:r w:rsidR="00381DFE">
        <w:rPr>
          <w:szCs w:val="24"/>
        </w:rPr>
        <w:t>T</w:t>
      </w:r>
      <w:r w:rsidR="002F237A">
        <w:rPr>
          <w:szCs w:val="24"/>
        </w:rPr>
        <w:t xml:space="preserve">he </w:t>
      </w:r>
      <w:r w:rsidR="00A934D0">
        <w:rPr>
          <w:szCs w:val="24"/>
        </w:rPr>
        <w:t>A</w:t>
      </w:r>
      <w:r w:rsidR="00381DFE">
        <w:rPr>
          <w:szCs w:val="24"/>
        </w:rPr>
        <w:t xml:space="preserve">uditor’s recommendation is reasonable and should be adopted by the </w:t>
      </w:r>
      <w:r w:rsidR="002F237A">
        <w:rPr>
          <w:szCs w:val="24"/>
        </w:rPr>
        <w:t>PUCO</w:t>
      </w:r>
      <w:r w:rsidR="00381DFE">
        <w:rPr>
          <w:szCs w:val="24"/>
        </w:rPr>
        <w:t>, to protect consumers from ultimately paying more than is proper.</w:t>
      </w:r>
      <w:r w:rsidR="002F237A">
        <w:rPr>
          <w:szCs w:val="24"/>
        </w:rPr>
        <w:t xml:space="preserve"> </w:t>
      </w:r>
      <w:r w:rsidR="00381DFE">
        <w:rPr>
          <w:szCs w:val="24"/>
        </w:rPr>
        <w:t>FirstEnergy’s propos</w:t>
      </w:r>
      <w:r w:rsidR="00C53581">
        <w:rPr>
          <w:szCs w:val="24"/>
        </w:rPr>
        <w:t xml:space="preserve">ed collection </w:t>
      </w:r>
      <w:r w:rsidR="00381DFE">
        <w:rPr>
          <w:szCs w:val="24"/>
        </w:rPr>
        <w:t xml:space="preserve">ultimately would allow higher charges </w:t>
      </w:r>
      <w:r w:rsidR="00C53581">
        <w:rPr>
          <w:szCs w:val="24"/>
        </w:rPr>
        <w:t xml:space="preserve">(in the </w:t>
      </w:r>
      <w:r w:rsidR="00C53581">
        <w:rPr>
          <w:szCs w:val="24"/>
        </w:rPr>
        <w:t xml:space="preserve">form of a lower amount of tax savings </w:t>
      </w:r>
      <w:r w:rsidR="00DA170E">
        <w:rPr>
          <w:szCs w:val="24"/>
        </w:rPr>
        <w:t xml:space="preserve">being </w:t>
      </w:r>
      <w:r w:rsidR="00C53581">
        <w:rPr>
          <w:szCs w:val="24"/>
        </w:rPr>
        <w:t>return</w:t>
      </w:r>
      <w:r w:rsidR="00DA170E">
        <w:rPr>
          <w:szCs w:val="24"/>
        </w:rPr>
        <w:t>ed</w:t>
      </w:r>
      <w:r w:rsidR="00C53581">
        <w:rPr>
          <w:szCs w:val="24"/>
        </w:rPr>
        <w:t xml:space="preserve"> to customers</w:t>
      </w:r>
      <w:r w:rsidR="00DA170E">
        <w:rPr>
          <w:szCs w:val="24"/>
        </w:rPr>
        <w:t xml:space="preserve"> over time</w:t>
      </w:r>
      <w:r w:rsidR="00C53581">
        <w:rPr>
          <w:szCs w:val="24"/>
        </w:rPr>
        <w:t xml:space="preserve">) </w:t>
      </w:r>
      <w:r w:rsidR="00381DFE">
        <w:rPr>
          <w:szCs w:val="24"/>
        </w:rPr>
        <w:t>than what is allowed by the settlement that FirstEnergy signed in a</w:t>
      </w:r>
      <w:r w:rsidR="00F04B2E">
        <w:rPr>
          <w:szCs w:val="24"/>
        </w:rPr>
        <w:t xml:space="preserve"> related Tax Savings Rider </w:t>
      </w:r>
      <w:r w:rsidR="00381DFE">
        <w:rPr>
          <w:szCs w:val="24"/>
        </w:rPr>
        <w:t xml:space="preserve">case </w:t>
      </w:r>
      <w:r w:rsidR="00C53581">
        <w:rPr>
          <w:szCs w:val="24"/>
        </w:rPr>
        <w:t xml:space="preserve">(Case No. 18-1604-EL-UNC) </w:t>
      </w:r>
      <w:r w:rsidR="00381DFE">
        <w:rPr>
          <w:szCs w:val="24"/>
        </w:rPr>
        <w:t xml:space="preserve">with OCC, </w:t>
      </w:r>
      <w:r w:rsidR="0069481D">
        <w:rPr>
          <w:szCs w:val="24"/>
        </w:rPr>
        <w:t>PUCO Staff</w:t>
      </w:r>
      <w:r w:rsidR="00381DFE">
        <w:rPr>
          <w:szCs w:val="24"/>
        </w:rPr>
        <w:t xml:space="preserve"> and</w:t>
      </w:r>
      <w:r w:rsidR="0069481D">
        <w:rPr>
          <w:szCs w:val="24"/>
        </w:rPr>
        <w:t xml:space="preserve"> many other parties.</w:t>
      </w:r>
      <w:r>
        <w:rPr>
          <w:rStyle w:val="FootnoteReference"/>
          <w:szCs w:val="24"/>
        </w:rPr>
        <w:footnoteReference w:id="4"/>
      </w:r>
      <w:r w:rsidR="00381DFE">
        <w:rPr>
          <w:szCs w:val="24"/>
        </w:rPr>
        <w:t xml:space="preserve"> </w:t>
      </w:r>
      <w:bookmarkStart w:id="3" w:name="_Hlk10020805"/>
    </w:p>
    <w:p w:rsidR="00445090" w:rsidP="002F237A" w14:paraId="20F11242" w14:textId="1AA0E341">
      <w:pPr>
        <w:widowControl w:val="0"/>
        <w:spacing w:line="480" w:lineRule="auto"/>
        <w:ind w:firstLine="720"/>
        <w:rPr>
          <w:szCs w:val="24"/>
        </w:rPr>
      </w:pPr>
      <w:r>
        <w:rPr>
          <w:szCs w:val="24"/>
        </w:rPr>
        <w:t>As</w:t>
      </w:r>
      <w:r w:rsidR="00453BD9">
        <w:rPr>
          <w:szCs w:val="24"/>
        </w:rPr>
        <w:t xml:space="preserve"> OCC pointed out in </w:t>
      </w:r>
      <w:r w:rsidR="00997948">
        <w:rPr>
          <w:szCs w:val="24"/>
        </w:rPr>
        <w:t xml:space="preserve">its initial </w:t>
      </w:r>
      <w:r w:rsidR="00453BD9">
        <w:rPr>
          <w:szCs w:val="24"/>
        </w:rPr>
        <w:t>Comments, t</w:t>
      </w:r>
      <w:r w:rsidRPr="00BB3412">
        <w:rPr>
          <w:szCs w:val="24"/>
        </w:rPr>
        <w:t xml:space="preserve">he adoption of these recommendations and adjustments might not result in refunds to customers in </w:t>
      </w:r>
      <w:r w:rsidRPr="00D7482D">
        <w:rPr>
          <w:i/>
          <w:iCs/>
          <w:szCs w:val="24"/>
        </w:rPr>
        <w:t>this</w:t>
      </w:r>
      <w:r w:rsidRPr="00BB3412">
        <w:rPr>
          <w:szCs w:val="24"/>
        </w:rPr>
        <w:t xml:space="preserve"> proceeding because of the annual DCR revenue caps currently in place.</w:t>
      </w:r>
      <w:r>
        <w:rPr>
          <w:rStyle w:val="FootnoteReference"/>
          <w:szCs w:val="24"/>
        </w:rPr>
        <w:footnoteReference w:id="5"/>
      </w:r>
      <w:r w:rsidRPr="00BB3412">
        <w:rPr>
          <w:szCs w:val="24"/>
        </w:rPr>
        <w:t xml:space="preserve"> Nonetheless, </w:t>
      </w:r>
      <w:r w:rsidR="00453BD9">
        <w:rPr>
          <w:szCs w:val="24"/>
        </w:rPr>
        <w:t xml:space="preserve">by adopting the </w:t>
      </w:r>
      <w:r w:rsidRPr="00BB3412">
        <w:rPr>
          <w:szCs w:val="24"/>
        </w:rPr>
        <w:t>Auditor’s recommendations and adjustments</w:t>
      </w:r>
      <w:r w:rsidR="00453BD9">
        <w:rPr>
          <w:szCs w:val="24"/>
        </w:rPr>
        <w:t>, the PUCO will</w:t>
      </w:r>
      <w:r w:rsidRPr="00BB3412">
        <w:rPr>
          <w:szCs w:val="24"/>
        </w:rPr>
        <w:t xml:space="preserve"> </w:t>
      </w:r>
      <w:r w:rsidR="0069481D">
        <w:rPr>
          <w:szCs w:val="24"/>
        </w:rPr>
        <w:t>establish</w:t>
      </w:r>
      <w:r w:rsidR="00885A62">
        <w:rPr>
          <w:szCs w:val="24"/>
        </w:rPr>
        <w:t xml:space="preserve"> </w:t>
      </w:r>
      <w:r w:rsidR="002D4626">
        <w:rPr>
          <w:szCs w:val="24"/>
        </w:rPr>
        <w:t xml:space="preserve">a precedent for future cases </w:t>
      </w:r>
      <w:r w:rsidRPr="00BB3412">
        <w:rPr>
          <w:szCs w:val="24"/>
        </w:rPr>
        <w:t xml:space="preserve">that the correct amounts of rate base (distribution related capital investments), EDIT balances, and other ratemaking items </w:t>
      </w:r>
      <w:r w:rsidR="002D4626">
        <w:rPr>
          <w:szCs w:val="24"/>
        </w:rPr>
        <w:t>must</w:t>
      </w:r>
      <w:r w:rsidRPr="00BB3412">
        <w:rPr>
          <w:szCs w:val="24"/>
        </w:rPr>
        <w:t xml:space="preserve"> be used by FirstEnergy in calculating its DCR revenue requirements and </w:t>
      </w:r>
      <w:r w:rsidR="00997948">
        <w:rPr>
          <w:szCs w:val="24"/>
        </w:rPr>
        <w:t>charges to consum</w:t>
      </w:r>
      <w:r w:rsidR="002D4626">
        <w:rPr>
          <w:szCs w:val="24"/>
        </w:rPr>
        <w:t>e</w:t>
      </w:r>
      <w:r w:rsidR="00997948">
        <w:rPr>
          <w:szCs w:val="24"/>
        </w:rPr>
        <w:t>rs.</w:t>
      </w:r>
      <w:r w:rsidRPr="00BB3412">
        <w:rPr>
          <w:szCs w:val="24"/>
        </w:rPr>
        <w:t>.</w:t>
      </w:r>
      <w:r w:rsidR="00885A62">
        <w:rPr>
          <w:szCs w:val="24"/>
        </w:rPr>
        <w:t xml:space="preserve"> </w:t>
      </w:r>
    </w:p>
    <w:p w:rsidR="00652332" w:rsidRPr="00BB3412" w:rsidP="00652332" w14:paraId="5B562187" w14:textId="77777777">
      <w:pPr>
        <w:widowControl w:val="0"/>
        <w:ind w:firstLine="720"/>
        <w:rPr>
          <w:szCs w:val="24"/>
        </w:rPr>
      </w:pPr>
    </w:p>
    <w:p w:rsidR="00364CB6" w:rsidRPr="00BB3412" w:rsidP="00223652" w14:paraId="125110B0" w14:textId="2BC5970B">
      <w:pPr>
        <w:pStyle w:val="Heading1"/>
      </w:pPr>
      <w:bookmarkStart w:id="4" w:name="_Toc8388096"/>
      <w:bookmarkEnd w:id="3"/>
      <w:r w:rsidRPr="00BB3412">
        <w:t>I</w:t>
      </w:r>
      <w:r w:rsidRPr="00BB3412" w:rsidR="00862923">
        <w:t>i</w:t>
      </w:r>
      <w:r w:rsidRPr="00BB3412">
        <w:t>.</w:t>
      </w:r>
      <w:r w:rsidR="00885A62">
        <w:t xml:space="preserve"> </w:t>
      </w:r>
      <w:r w:rsidRPr="00BB3412">
        <w:tab/>
      </w:r>
      <w:bookmarkEnd w:id="4"/>
      <w:r w:rsidRPr="00BB3412" w:rsidR="00293FD7">
        <w:t xml:space="preserve">CONSUMER PROTECTION </w:t>
      </w:r>
      <w:r w:rsidR="00453BD9">
        <w:t xml:space="preserve">REPLY </w:t>
      </w:r>
      <w:r w:rsidRPr="00BB3412">
        <w:t xml:space="preserve">Comments </w:t>
      </w:r>
    </w:p>
    <w:p w:rsidR="00364CB6" w:rsidRPr="00BB3412" w:rsidP="00165C1D" w14:paraId="4AF9DED8" w14:textId="7941C011">
      <w:pPr>
        <w:pStyle w:val="Heading2"/>
      </w:pPr>
      <w:r w:rsidRPr="00BB3412">
        <w:t>A.</w:t>
      </w:r>
      <w:r w:rsidRPr="00BB3412">
        <w:tab/>
        <w:t xml:space="preserve">The PUCO should </w:t>
      </w:r>
      <w:r w:rsidR="00381DFE">
        <w:t>reject</w:t>
      </w:r>
      <w:r w:rsidR="00877656">
        <w:t xml:space="preserve"> F</w:t>
      </w:r>
      <w:r w:rsidRPr="00BB3412">
        <w:t>irstEnergy</w:t>
      </w:r>
      <w:r w:rsidR="00877656">
        <w:t xml:space="preserve">’s </w:t>
      </w:r>
      <w:r w:rsidR="00997948">
        <w:t xml:space="preserve">proposed </w:t>
      </w:r>
      <w:r w:rsidR="00877656">
        <w:t>adjustment to the Excess Deferred Income Taxes balance</w:t>
      </w:r>
      <w:r w:rsidR="00BF5B34">
        <w:t>s</w:t>
      </w:r>
      <w:r w:rsidR="00877656">
        <w:t xml:space="preserve"> because it </w:t>
      </w:r>
      <w:r w:rsidR="005A1955">
        <w:t>is contrary to the PUCO-approved settlement that</w:t>
      </w:r>
      <w:r w:rsidR="00B41A61">
        <w:t xml:space="preserve"> FirstEnergy signed with OCC and </w:t>
      </w:r>
      <w:r w:rsidR="0069481D">
        <w:t>PUCO Staff</w:t>
      </w:r>
      <w:r w:rsidR="005A1955">
        <w:t xml:space="preserve"> to pass back more </w:t>
      </w:r>
      <w:r w:rsidR="00877656">
        <w:t xml:space="preserve">tax savings to customers </w:t>
      </w:r>
      <w:r w:rsidR="005A1955">
        <w:t>associated with a higher amount of deferred tax balances</w:t>
      </w:r>
      <w:r w:rsidR="00F04B2E">
        <w:t xml:space="preserve"> </w:t>
      </w:r>
      <w:r w:rsidR="005A1955">
        <w:t>(</w:t>
      </w:r>
      <w:r w:rsidR="00877656">
        <w:t>$28.3 million</w:t>
      </w:r>
      <w:r w:rsidR="00F04B2E">
        <w:t xml:space="preserve"> higher</w:t>
      </w:r>
      <w:r w:rsidR="005A1955">
        <w:t>)</w:t>
      </w:r>
      <w:r w:rsidR="00603479">
        <w:t xml:space="preserve"> and it allows FirstEnergy to inflate rate base and the revenue requirements under Rider DCR</w:t>
      </w:r>
      <w:r w:rsidR="00877656">
        <w:t>.</w:t>
      </w:r>
    </w:p>
    <w:p w:rsidR="00AA3DA6" w:rsidP="005A1955" w14:paraId="775DDAF8" w14:textId="0B742182">
      <w:pPr>
        <w:spacing w:line="480" w:lineRule="auto"/>
        <w:ind w:firstLine="630"/>
        <w:rPr>
          <w:szCs w:val="24"/>
        </w:rPr>
      </w:pPr>
      <w:r>
        <w:rPr>
          <w:szCs w:val="24"/>
        </w:rPr>
        <w:t>T</w:t>
      </w:r>
      <w:r w:rsidRPr="00BB3412" w:rsidR="008936A1">
        <w:rPr>
          <w:szCs w:val="24"/>
        </w:rPr>
        <w:t>he PUCO</w:t>
      </w:r>
      <w:r>
        <w:rPr>
          <w:szCs w:val="24"/>
        </w:rPr>
        <w:t xml:space="preserve">, </w:t>
      </w:r>
      <w:r w:rsidRPr="00BB3412" w:rsidR="008936A1">
        <w:rPr>
          <w:szCs w:val="24"/>
        </w:rPr>
        <w:t>in Case No. 18-1604-EL-UNC</w:t>
      </w:r>
      <w:r>
        <w:rPr>
          <w:szCs w:val="24"/>
        </w:rPr>
        <w:t>, adopted a settlement establishing t</w:t>
      </w:r>
      <w:r w:rsidRPr="00BB3412" w:rsidR="008936A1">
        <w:rPr>
          <w:szCs w:val="24"/>
        </w:rPr>
        <w:t>he</w:t>
      </w:r>
      <w:r>
        <w:rPr>
          <w:szCs w:val="24"/>
        </w:rPr>
        <w:t xml:space="preserve"> amount of </w:t>
      </w:r>
      <w:r w:rsidRPr="00BB3412" w:rsidR="008936A1">
        <w:rPr>
          <w:szCs w:val="24"/>
        </w:rPr>
        <w:t xml:space="preserve">excess </w:t>
      </w:r>
      <w:r w:rsidR="008936A1">
        <w:rPr>
          <w:szCs w:val="24"/>
        </w:rPr>
        <w:t xml:space="preserve">accumulated </w:t>
      </w:r>
      <w:r w:rsidRPr="00BB3412" w:rsidR="008936A1">
        <w:rPr>
          <w:szCs w:val="24"/>
        </w:rPr>
        <w:t>deferred income tax</w:t>
      </w:r>
      <w:r w:rsidR="008936A1">
        <w:rPr>
          <w:szCs w:val="24"/>
        </w:rPr>
        <w:t>es</w:t>
      </w:r>
      <w:r w:rsidRPr="00BB3412" w:rsidR="008936A1">
        <w:rPr>
          <w:szCs w:val="24"/>
        </w:rPr>
        <w:t xml:space="preserve"> (“EDIT”) </w:t>
      </w:r>
      <w:r>
        <w:rPr>
          <w:szCs w:val="24"/>
        </w:rPr>
        <w:t>to be returned to FirstEnergy customers.</w:t>
      </w:r>
      <w:r>
        <w:rPr>
          <w:rStyle w:val="FootnoteReference"/>
          <w:sz w:val="20"/>
        </w:rPr>
        <w:footnoteReference w:id="6"/>
      </w:r>
      <w:r w:rsidRPr="00BB3412" w:rsidR="008936A1">
        <w:rPr>
          <w:szCs w:val="24"/>
        </w:rPr>
        <w:t xml:space="preserve"> </w:t>
      </w:r>
      <w:r>
        <w:rPr>
          <w:szCs w:val="24"/>
        </w:rPr>
        <w:t xml:space="preserve">That Settlement resolved the question about the treatment of the excess deferred income tax balances resulting from the TCJA. </w:t>
      </w:r>
    </w:p>
    <w:p w:rsidR="00AA3DA6" w:rsidP="00AA3DA6" w14:paraId="0C076E30" w14:textId="36852907">
      <w:pPr>
        <w:spacing w:line="480" w:lineRule="auto"/>
        <w:ind w:firstLine="630"/>
        <w:rPr>
          <w:szCs w:val="24"/>
        </w:rPr>
      </w:pPr>
      <w:r>
        <w:rPr>
          <w:szCs w:val="24"/>
        </w:rPr>
        <w:t>Under the Settlemen</w:t>
      </w:r>
      <w:r w:rsidR="007B1945">
        <w:rPr>
          <w:szCs w:val="24"/>
        </w:rPr>
        <w:t>t</w:t>
      </w:r>
      <w:r>
        <w:rPr>
          <w:szCs w:val="24"/>
        </w:rPr>
        <w:t>, the actual amount of the excess accumulated deferred income taxes flowing back to customers was to reflect the “final, audited balances” as of December 31, 2017.</w:t>
      </w:r>
      <w:r>
        <w:rPr>
          <w:rStyle w:val="FootnoteReference"/>
          <w:szCs w:val="24"/>
        </w:rPr>
        <w:footnoteReference w:id="7"/>
      </w:r>
      <w:r>
        <w:rPr>
          <w:szCs w:val="24"/>
        </w:rPr>
        <w:t xml:space="preserve"> </w:t>
      </w:r>
      <w:r w:rsidRPr="00B54427">
        <w:rPr>
          <w:i/>
          <w:iCs/>
          <w:szCs w:val="24"/>
        </w:rPr>
        <w:t>At that time PricewaterhouseCoopers had issued an unqualified opinion on the EDIT balances in the Settlement.</w:t>
      </w:r>
      <w:r w:rsidR="00885A62">
        <w:rPr>
          <w:szCs w:val="24"/>
        </w:rPr>
        <w:t xml:space="preserve"> </w:t>
      </w:r>
      <w:r>
        <w:rPr>
          <w:szCs w:val="24"/>
        </w:rPr>
        <w:t xml:space="preserve">The parties to the </w:t>
      </w:r>
      <w:r w:rsidR="00A934D0">
        <w:rPr>
          <w:szCs w:val="24"/>
        </w:rPr>
        <w:t>S</w:t>
      </w:r>
      <w:r>
        <w:rPr>
          <w:szCs w:val="24"/>
        </w:rPr>
        <w:t>ettlement relied upon the EDIT balances</w:t>
      </w:r>
      <w:r w:rsidR="009B6850">
        <w:rPr>
          <w:szCs w:val="24"/>
        </w:rPr>
        <w:t xml:space="preserve"> set forth in the </w:t>
      </w:r>
      <w:r w:rsidR="00A934D0">
        <w:rPr>
          <w:szCs w:val="24"/>
        </w:rPr>
        <w:t>S</w:t>
      </w:r>
      <w:r w:rsidR="009B6850">
        <w:rPr>
          <w:szCs w:val="24"/>
        </w:rPr>
        <w:t>ettlement</w:t>
      </w:r>
      <w:r>
        <w:rPr>
          <w:szCs w:val="24"/>
        </w:rPr>
        <w:t xml:space="preserve"> as the basis for passing back the </w:t>
      </w:r>
      <w:r w:rsidR="001038D1">
        <w:rPr>
          <w:szCs w:val="24"/>
        </w:rPr>
        <w:t xml:space="preserve">tax </w:t>
      </w:r>
      <w:r>
        <w:rPr>
          <w:szCs w:val="24"/>
        </w:rPr>
        <w:t xml:space="preserve">savings to customers. </w:t>
      </w:r>
      <w:r w:rsidR="009B6850">
        <w:rPr>
          <w:szCs w:val="24"/>
        </w:rPr>
        <w:t>The amount of the EDIT balances matter</w:t>
      </w:r>
      <w:r w:rsidR="007671FA">
        <w:rPr>
          <w:szCs w:val="24"/>
        </w:rPr>
        <w:t>s</w:t>
      </w:r>
      <w:r w:rsidR="009B6850">
        <w:rPr>
          <w:szCs w:val="24"/>
        </w:rPr>
        <w:t xml:space="preserve"> to customers because </w:t>
      </w:r>
      <w:r>
        <w:rPr>
          <w:szCs w:val="24"/>
        </w:rPr>
        <w:t xml:space="preserve">the higher the EDIT balance, the more tax savings returned to customers. </w:t>
      </w:r>
      <w:r w:rsidR="00603479">
        <w:rPr>
          <w:szCs w:val="24"/>
        </w:rPr>
        <w:t>And the higher the EDIT balance, the lower the rate base associated with Rider DCR (customers pay a return on that rate</w:t>
      </w:r>
      <w:r w:rsidR="00037AE5">
        <w:rPr>
          <w:szCs w:val="24"/>
        </w:rPr>
        <w:t xml:space="preserve"> </w:t>
      </w:r>
      <w:r w:rsidR="00603479">
        <w:rPr>
          <w:szCs w:val="24"/>
        </w:rPr>
        <w:t>base through Rider DCR).</w:t>
      </w:r>
      <w:r w:rsidR="00885A62">
        <w:rPr>
          <w:szCs w:val="24"/>
        </w:rPr>
        <w:t xml:space="preserve"> </w:t>
      </w:r>
    </w:p>
    <w:p w:rsidR="00037AE5" w:rsidP="005A1955" w14:paraId="7D7BBC5A" w14:textId="58A7A883">
      <w:pPr>
        <w:spacing w:line="480" w:lineRule="auto"/>
        <w:ind w:firstLine="630"/>
        <w:rPr>
          <w:szCs w:val="24"/>
        </w:rPr>
      </w:pPr>
      <w:r>
        <w:rPr>
          <w:szCs w:val="24"/>
        </w:rPr>
        <w:t>However,</w:t>
      </w:r>
      <w:r w:rsidRPr="00BB3412">
        <w:rPr>
          <w:szCs w:val="24"/>
        </w:rPr>
        <w:t xml:space="preserve"> </w:t>
      </w:r>
      <w:r>
        <w:rPr>
          <w:szCs w:val="24"/>
        </w:rPr>
        <w:t xml:space="preserve">in calculating is 2019 Rider DCR revenue requirement, the Auditor found that </w:t>
      </w:r>
      <w:r w:rsidRPr="00BB3412">
        <w:rPr>
          <w:szCs w:val="24"/>
        </w:rPr>
        <w:t>FirstEnergy unilaterally and improperly reduced the EDIT balances</w:t>
      </w:r>
      <w:r>
        <w:rPr>
          <w:rStyle w:val="FootnoteReference"/>
          <w:szCs w:val="24"/>
        </w:rPr>
        <w:footnoteReference w:id="8"/>
      </w:r>
      <w:r w:rsidRPr="00BB3412">
        <w:rPr>
          <w:szCs w:val="24"/>
        </w:rPr>
        <w:t xml:space="preserve"> that were agreed to by the parties in </w:t>
      </w:r>
      <w:r>
        <w:rPr>
          <w:szCs w:val="24"/>
        </w:rPr>
        <w:t>the</w:t>
      </w:r>
      <w:r w:rsidRPr="00BB3412">
        <w:rPr>
          <w:szCs w:val="24"/>
        </w:rPr>
        <w:t xml:space="preserve"> </w:t>
      </w:r>
      <w:r w:rsidR="001038D1">
        <w:rPr>
          <w:szCs w:val="24"/>
        </w:rPr>
        <w:t xml:space="preserve">PUCO-approved </w:t>
      </w:r>
      <w:r w:rsidR="007B1945">
        <w:rPr>
          <w:szCs w:val="24"/>
        </w:rPr>
        <w:t>S</w:t>
      </w:r>
      <w:r w:rsidR="001038D1">
        <w:rPr>
          <w:szCs w:val="24"/>
        </w:rPr>
        <w:t>e</w:t>
      </w:r>
      <w:r w:rsidRPr="00BB3412">
        <w:rPr>
          <w:szCs w:val="24"/>
        </w:rPr>
        <w:t>ttlement</w:t>
      </w:r>
      <w:r w:rsidR="007B1945">
        <w:rPr>
          <w:szCs w:val="24"/>
        </w:rPr>
        <w:t xml:space="preserve"> in PUCO Case 18-1604-EL-UNC</w:t>
      </w:r>
      <w:r w:rsidR="009B6850">
        <w:rPr>
          <w:szCs w:val="24"/>
        </w:rPr>
        <w:t>.</w:t>
      </w:r>
      <w:r w:rsidR="00885A62">
        <w:rPr>
          <w:szCs w:val="24"/>
        </w:rPr>
        <w:t xml:space="preserve"> </w:t>
      </w:r>
      <w:r>
        <w:rPr>
          <w:szCs w:val="24"/>
        </w:rPr>
        <w:t>The Auditor recommended reversing FirstEnergy’s EDIT adjustments to reflect the EDIT balance agreed to within the Settlement and consider changes within the utilities’ next Rider TSA annual filing.</w:t>
      </w:r>
      <w:r>
        <w:rPr>
          <w:rStyle w:val="FootnoteReference"/>
          <w:szCs w:val="24"/>
        </w:rPr>
        <w:footnoteReference w:id="9"/>
      </w:r>
      <w:r>
        <w:rPr>
          <w:szCs w:val="24"/>
        </w:rPr>
        <w:t xml:space="preserve"> </w:t>
      </w:r>
    </w:p>
    <w:p w:rsidR="00037AE5" w:rsidP="00037AE5" w14:paraId="3A480050" w14:textId="600722CB">
      <w:pPr>
        <w:spacing w:line="480" w:lineRule="auto"/>
        <w:ind w:firstLine="720"/>
        <w:rPr>
          <w:szCs w:val="24"/>
        </w:rPr>
      </w:pPr>
      <w:r w:rsidRPr="00BB3412">
        <w:rPr>
          <w:color w:val="000000"/>
          <w:szCs w:val="24"/>
        </w:rPr>
        <w:t xml:space="preserve">The PUCO should </w:t>
      </w:r>
      <w:r>
        <w:rPr>
          <w:color w:val="000000"/>
          <w:szCs w:val="24"/>
        </w:rPr>
        <w:t>follow the Auditor’s</w:t>
      </w:r>
      <w:r w:rsidR="007B1945">
        <w:rPr>
          <w:color w:val="000000"/>
          <w:szCs w:val="24"/>
        </w:rPr>
        <w:t>, as well as the PUCO Staff’s and OCC’s,</w:t>
      </w:r>
      <w:r>
        <w:rPr>
          <w:color w:val="000000"/>
          <w:szCs w:val="24"/>
        </w:rPr>
        <w:t xml:space="preserve"> recommendations and e</w:t>
      </w:r>
      <w:r w:rsidRPr="00BB3412">
        <w:rPr>
          <w:color w:val="000000"/>
          <w:szCs w:val="24"/>
        </w:rPr>
        <w:t xml:space="preserve">stablish the 2019 Rider DCR revenue requirement based on the amount of </w:t>
      </w:r>
      <w:r>
        <w:rPr>
          <w:color w:val="000000"/>
          <w:szCs w:val="24"/>
        </w:rPr>
        <w:t>excess accumulated deferred income taxes</w:t>
      </w:r>
      <w:r w:rsidRPr="00BB3412">
        <w:rPr>
          <w:color w:val="000000"/>
          <w:szCs w:val="24"/>
        </w:rPr>
        <w:t xml:space="preserve"> agreed upon by the parties </w:t>
      </w:r>
      <w:r>
        <w:rPr>
          <w:color w:val="000000"/>
          <w:szCs w:val="24"/>
        </w:rPr>
        <w:t>in</w:t>
      </w:r>
      <w:r w:rsidR="00885A62">
        <w:rPr>
          <w:color w:val="000000"/>
          <w:szCs w:val="24"/>
        </w:rPr>
        <w:t xml:space="preserve"> </w:t>
      </w:r>
      <w:r w:rsidR="00DA3B63">
        <w:rPr>
          <w:color w:val="000000"/>
          <w:szCs w:val="24"/>
        </w:rPr>
        <w:t xml:space="preserve">the PUCO-approved </w:t>
      </w:r>
      <w:r>
        <w:rPr>
          <w:color w:val="000000"/>
          <w:szCs w:val="24"/>
        </w:rPr>
        <w:t xml:space="preserve">Settlement in </w:t>
      </w:r>
      <w:r w:rsidRPr="00BB3412">
        <w:rPr>
          <w:szCs w:val="24"/>
        </w:rPr>
        <w:t>Case No. 18-1604-EL-UNC.</w:t>
      </w:r>
      <w:r>
        <w:rPr>
          <w:rStyle w:val="FootnoteReference"/>
          <w:szCs w:val="24"/>
        </w:rPr>
        <w:footnoteReference w:id="10"/>
      </w:r>
      <w:r w:rsidR="00885A62">
        <w:rPr>
          <w:szCs w:val="24"/>
        </w:rPr>
        <w:t xml:space="preserve"> </w:t>
      </w:r>
      <w:r>
        <w:rPr>
          <w:szCs w:val="24"/>
        </w:rPr>
        <w:t>It is the PUCO’s responsibility is to make sure all savings related to the 2017 TCJA are returned to customers</w:t>
      </w:r>
      <w:r w:rsidR="00DA3B63">
        <w:rPr>
          <w:szCs w:val="24"/>
        </w:rPr>
        <w:t xml:space="preserve">, and those savings, identified in the </w:t>
      </w:r>
      <w:r w:rsidR="007671FA">
        <w:rPr>
          <w:szCs w:val="24"/>
        </w:rPr>
        <w:t>S</w:t>
      </w:r>
      <w:r w:rsidR="00DA3B63">
        <w:rPr>
          <w:szCs w:val="24"/>
        </w:rPr>
        <w:t xml:space="preserve">ettlement, were an important part of the package agreed to in the </w:t>
      </w:r>
      <w:r w:rsidR="007671FA">
        <w:rPr>
          <w:szCs w:val="24"/>
        </w:rPr>
        <w:t>S</w:t>
      </w:r>
      <w:r w:rsidR="00DA3B63">
        <w:rPr>
          <w:szCs w:val="24"/>
        </w:rPr>
        <w:t xml:space="preserve">ettlement, which reached beyond federal tax issues, encompassing other issues such as </w:t>
      </w:r>
      <w:r w:rsidR="007B1945">
        <w:rPr>
          <w:szCs w:val="24"/>
        </w:rPr>
        <w:t xml:space="preserve">distribution grid modernization. </w:t>
      </w:r>
    </w:p>
    <w:p w:rsidR="005A1955" w:rsidP="003D51E0" w14:paraId="620C89BB" w14:textId="6FAA39B1">
      <w:pPr>
        <w:spacing w:line="480" w:lineRule="auto"/>
        <w:ind w:firstLine="630"/>
        <w:rPr>
          <w:color w:val="000000"/>
          <w:szCs w:val="24"/>
        </w:rPr>
      </w:pPr>
      <w:r>
        <w:rPr>
          <w:szCs w:val="24"/>
        </w:rPr>
        <w:t>FirstEnergy claimed that the final audit was conducted (</w:t>
      </w:r>
      <w:r w:rsidR="00DA3B63">
        <w:rPr>
          <w:szCs w:val="24"/>
        </w:rPr>
        <w:t>with audit results conveyed only when FirstEnergy filed its compliance tariffs --</w:t>
      </w:r>
      <w:r>
        <w:rPr>
          <w:szCs w:val="24"/>
        </w:rPr>
        <w:t>after the parties signed the settlement and after the PUCO approved the settlement) and the final audit found that the EDIT balances were overstated by $28</w:t>
      </w:r>
      <w:r w:rsidR="007B1945">
        <w:rPr>
          <w:szCs w:val="24"/>
        </w:rPr>
        <w:t>.3</w:t>
      </w:r>
      <w:r>
        <w:rPr>
          <w:szCs w:val="24"/>
        </w:rPr>
        <w:t xml:space="preserve"> million.</w:t>
      </w:r>
      <w:r w:rsidR="00885A62">
        <w:rPr>
          <w:szCs w:val="24"/>
        </w:rPr>
        <w:t xml:space="preserve"> </w:t>
      </w:r>
      <w:r w:rsidR="00B169CA">
        <w:rPr>
          <w:color w:val="000000"/>
          <w:szCs w:val="24"/>
        </w:rPr>
        <w:t>FirstEnergy claims in its Comments that “if Blue Ridge’s recommendations were adopted, the total property-related EDIT returned to customers through ratemaking would be $28.3 million higher than the actual liability recorded on the Companies’ audited financial books.”</w:t>
      </w:r>
      <w:r>
        <w:rPr>
          <w:rStyle w:val="FootnoteReference"/>
          <w:color w:val="000000"/>
          <w:szCs w:val="24"/>
        </w:rPr>
        <w:footnoteReference w:id="11"/>
      </w:r>
      <w:r w:rsidR="00B169CA">
        <w:rPr>
          <w:color w:val="000000"/>
          <w:szCs w:val="24"/>
        </w:rPr>
        <w:t xml:space="preserve"> There is no merit to this claim. </w:t>
      </w:r>
    </w:p>
    <w:p w:rsidR="00B14E60" w:rsidP="003D51E0" w14:paraId="6EE6D311" w14:textId="71417DEC">
      <w:pPr>
        <w:spacing w:line="480" w:lineRule="auto"/>
        <w:ind w:firstLine="630"/>
        <w:rPr>
          <w:color w:val="000000"/>
          <w:szCs w:val="24"/>
        </w:rPr>
      </w:pPr>
      <w:r>
        <w:rPr>
          <w:color w:val="000000"/>
          <w:szCs w:val="24"/>
        </w:rPr>
        <w:t xml:space="preserve">As pointed out by the Auditor, FirstEnergy’s unilateral adjustment to the EDIT balances would </w:t>
      </w:r>
      <w:r w:rsidRPr="006C1A40">
        <w:rPr>
          <w:i/>
          <w:iCs/>
          <w:color w:val="000000"/>
          <w:szCs w:val="24"/>
        </w:rPr>
        <w:t>reduce</w:t>
      </w:r>
      <w:r>
        <w:rPr>
          <w:color w:val="000000"/>
          <w:szCs w:val="24"/>
        </w:rPr>
        <w:t xml:space="preserve"> the flow back to customers all tax savings by approximately $28.3 million, not the other way around.</w:t>
      </w:r>
      <w:r w:rsidR="006C1A40">
        <w:rPr>
          <w:color w:val="000000"/>
          <w:szCs w:val="24"/>
        </w:rPr>
        <w:t xml:space="preserve"> </w:t>
      </w:r>
      <w:r w:rsidR="00407B30">
        <w:rPr>
          <w:color w:val="000000"/>
          <w:szCs w:val="24"/>
        </w:rPr>
        <w:t>FirstEnergy’s property</w:t>
      </w:r>
      <w:r w:rsidR="00EB6875">
        <w:rPr>
          <w:color w:val="000000"/>
          <w:szCs w:val="24"/>
        </w:rPr>
        <w:t>-</w:t>
      </w:r>
      <w:r w:rsidR="00407B30">
        <w:rPr>
          <w:color w:val="000000"/>
          <w:szCs w:val="24"/>
        </w:rPr>
        <w:t>related EDIT adjustments reduce the total liability owed to customers as of December 31, 2017, by $28</w:t>
      </w:r>
      <w:r w:rsidR="002D4626">
        <w:rPr>
          <w:color w:val="000000"/>
          <w:szCs w:val="24"/>
        </w:rPr>
        <w:t>.3 million</w:t>
      </w:r>
      <w:r w:rsidR="00407B30">
        <w:rPr>
          <w:color w:val="000000"/>
          <w:szCs w:val="24"/>
        </w:rPr>
        <w:t>.</w:t>
      </w:r>
      <w:r>
        <w:rPr>
          <w:rStyle w:val="FootnoteReference"/>
          <w:color w:val="000000"/>
          <w:szCs w:val="24"/>
        </w:rPr>
        <w:footnoteReference w:id="12"/>
      </w:r>
    </w:p>
    <w:p w:rsidR="00603479" w:rsidP="00603479" w14:paraId="5263C06D" w14:textId="37018B44">
      <w:pPr>
        <w:spacing w:line="480" w:lineRule="auto"/>
        <w:rPr>
          <w:szCs w:val="24"/>
        </w:rPr>
      </w:pPr>
      <w:r w:rsidRPr="00BB3412">
        <w:rPr>
          <w:szCs w:val="24"/>
        </w:rPr>
        <w:t xml:space="preserve">In </w:t>
      </w:r>
      <w:r w:rsidR="00407B30">
        <w:rPr>
          <w:szCs w:val="24"/>
        </w:rPr>
        <w:t>making this adjustment,</w:t>
      </w:r>
      <w:r w:rsidRPr="00BB3412">
        <w:rPr>
          <w:szCs w:val="24"/>
        </w:rPr>
        <w:t xml:space="preserve"> FirstEnergy</w:t>
      </w:r>
      <w:r>
        <w:rPr>
          <w:szCs w:val="24"/>
        </w:rPr>
        <w:t xml:space="preserve"> also</w:t>
      </w:r>
      <w:r w:rsidRPr="00BB3412">
        <w:rPr>
          <w:szCs w:val="24"/>
        </w:rPr>
        <w:t xml:space="preserve"> improperly increased (to consumers’ detriment) its Rider DCR rate base, and consequently increased the 2019 DCR revenue requirement by approximately $2.5 million</w:t>
      </w:r>
      <w:r w:rsidRPr="00D7482D">
        <w:rPr>
          <w:b/>
          <w:bCs/>
          <w:szCs w:val="24"/>
        </w:rPr>
        <w:t>.</w:t>
      </w:r>
      <w:r>
        <w:rPr>
          <w:rStyle w:val="FootnoteReference"/>
          <w:szCs w:val="24"/>
        </w:rPr>
        <w:footnoteReference w:id="13"/>
      </w:r>
      <w:r w:rsidR="00885A62">
        <w:rPr>
          <w:szCs w:val="24"/>
        </w:rPr>
        <w:t xml:space="preserve"> </w:t>
      </w:r>
    </w:p>
    <w:p w:rsidR="00C22D55" w:rsidP="003D51E0" w14:paraId="056364D9" w14:textId="56F6B47C">
      <w:pPr>
        <w:spacing w:line="480" w:lineRule="auto"/>
        <w:ind w:firstLine="630"/>
        <w:rPr>
          <w:szCs w:val="24"/>
        </w:rPr>
      </w:pPr>
      <w:r>
        <w:rPr>
          <w:szCs w:val="24"/>
        </w:rPr>
        <w:t>The Auditor’s recommendations addressing this issue should stand.</w:t>
      </w:r>
      <w:r>
        <w:rPr>
          <w:rStyle w:val="FootnoteReference"/>
          <w:szCs w:val="24"/>
        </w:rPr>
        <w:footnoteReference w:id="14"/>
      </w:r>
      <w:r w:rsidR="00CB74DB">
        <w:rPr>
          <w:szCs w:val="24"/>
        </w:rPr>
        <w:t xml:space="preserve"> To protect consumers, the PUCO should prohibit FirstEnergy from unilaterally changing the excess deferred income tax balances that were agreed to in the Settlement and approved by the PUCO in Case No. 18-1604-EL-UNC. FirstEnergy’s actions denied consumers a $28.3 million benefit under the Settlement, and improperly increased the 2019 DCR revenue requirement by $2.5 million. </w:t>
      </w:r>
      <w:r w:rsidR="00AD537A">
        <w:rPr>
          <w:szCs w:val="24"/>
        </w:rPr>
        <w:t xml:space="preserve">To protect consumers, FirstEnergy’s DCR </w:t>
      </w:r>
      <w:r w:rsidRPr="00BB3412" w:rsidR="00AD537A">
        <w:rPr>
          <w:szCs w:val="24"/>
        </w:rPr>
        <w:t xml:space="preserve">revenue requirement </w:t>
      </w:r>
      <w:r w:rsidR="00AD537A">
        <w:rPr>
          <w:szCs w:val="24"/>
        </w:rPr>
        <w:t xml:space="preserve">should </w:t>
      </w:r>
      <w:r w:rsidRPr="00BB3412" w:rsidR="00AD537A">
        <w:rPr>
          <w:szCs w:val="24"/>
        </w:rPr>
        <w:t>be reduced by approximately $2.5 million</w:t>
      </w:r>
      <w:r w:rsidR="00AD537A">
        <w:rPr>
          <w:szCs w:val="24"/>
        </w:rPr>
        <w:t xml:space="preserve"> as the Auditor recommended</w:t>
      </w:r>
      <w:r w:rsidR="00BF5B34">
        <w:rPr>
          <w:szCs w:val="24"/>
        </w:rPr>
        <w:t>.</w:t>
      </w:r>
      <w:r>
        <w:rPr>
          <w:rStyle w:val="FootnoteReference"/>
          <w:szCs w:val="24"/>
        </w:rPr>
        <w:footnoteReference w:id="15"/>
      </w:r>
    </w:p>
    <w:p w:rsidR="00EC0C48" w:rsidP="00EC0C48" w14:paraId="69E156CA" w14:textId="021A4EE8">
      <w:pPr>
        <w:pStyle w:val="Heading2"/>
      </w:pPr>
      <w:r w:rsidRPr="00BB3412">
        <w:t>B.</w:t>
      </w:r>
      <w:r w:rsidRPr="00BB3412">
        <w:tab/>
        <w:t>T</w:t>
      </w:r>
      <w:r>
        <w:t xml:space="preserve">he PUCO should prohibit FirstEnergy from charging customers through Rider DCR for </w:t>
      </w:r>
      <w:r w:rsidR="002D4626">
        <w:t xml:space="preserve">improperly </w:t>
      </w:r>
      <w:r>
        <w:t>capitalized vegetation management expenditures.</w:t>
      </w:r>
    </w:p>
    <w:p w:rsidR="00DA79BE" w:rsidP="00EC0C48" w14:paraId="04CB786D" w14:textId="4651C4EA">
      <w:pPr>
        <w:spacing w:line="480" w:lineRule="auto"/>
      </w:pPr>
      <w:r>
        <w:tab/>
        <w:t xml:space="preserve">The Auditor correctly found that </w:t>
      </w:r>
      <w:r w:rsidR="000E20E0">
        <w:t>FirstEnergy’s</w:t>
      </w:r>
      <w:r>
        <w:t xml:space="preserve"> costs for the initial trimming of vegetation outside a corridor, or “off-corridor,” had </w:t>
      </w:r>
      <w:r w:rsidR="000E20E0">
        <w:t xml:space="preserve">been </w:t>
      </w:r>
      <w:r>
        <w:t xml:space="preserve">improperly capitalized </w:t>
      </w:r>
      <w:r w:rsidR="000E20E0">
        <w:t xml:space="preserve">and </w:t>
      </w:r>
      <w:r>
        <w:t>should instead be recorded as operation and maintenance expenses.</w:t>
      </w:r>
      <w:r>
        <w:rPr>
          <w:rStyle w:val="FootnoteReference"/>
        </w:rPr>
        <w:footnoteReference w:id="16"/>
      </w:r>
      <w:r>
        <w:t xml:space="preserve"> FirstEnergy’s arguments for capitalizing these vegetation management expenses are </w:t>
      </w:r>
      <w:r w:rsidR="00F6534A">
        <w:t>unpersuasive.</w:t>
      </w:r>
      <w:r>
        <w:t xml:space="preserve"> </w:t>
      </w:r>
    </w:p>
    <w:p w:rsidR="00DA3B63" w:rsidP="00DA79BE" w14:paraId="2C3A358A" w14:textId="6464871A">
      <w:pPr>
        <w:spacing w:line="480" w:lineRule="auto"/>
        <w:ind w:firstLine="720"/>
      </w:pPr>
      <w:r>
        <w:t>FirstEnergy’s rationale for capitalizing vegetation management costs is that they are related to initial clearing of vegetation and “performing this capital</w:t>
      </w:r>
      <w:r w:rsidR="00EB6875">
        <w:t>ized</w:t>
      </w:r>
      <w:r w:rsidR="00885A62">
        <w:t xml:space="preserve"> </w:t>
      </w:r>
      <w:r>
        <w:t>work eliminates or mitigates the need to go back and perform additional work later.”</w:t>
      </w:r>
      <w:r>
        <w:rPr>
          <w:rStyle w:val="FootnoteReference"/>
        </w:rPr>
        <w:footnoteReference w:id="17"/>
      </w:r>
      <w:r w:rsidR="00F36C49">
        <w:t xml:space="preserve"> But the </w:t>
      </w:r>
      <w:r w:rsidR="00F6534A">
        <w:t xml:space="preserve">Auditor found that the </w:t>
      </w:r>
      <w:r w:rsidR="00F36C49">
        <w:t xml:space="preserve">description of </w:t>
      </w:r>
      <w:r w:rsidR="00F6534A">
        <w:t xml:space="preserve">the work found in </w:t>
      </w:r>
      <w:r w:rsidR="00F36C49">
        <w:t xml:space="preserve">the </w:t>
      </w:r>
      <w:r w:rsidR="00DE3E60">
        <w:t xml:space="preserve">inclusion of vegetation management expenditures in </w:t>
      </w:r>
      <w:r w:rsidR="00F36C49">
        <w:t xml:space="preserve">cost categories (05, 36, 14 and 30) are inappropriate for capitalization </w:t>
      </w:r>
      <w:r w:rsidR="00BF1782">
        <w:t xml:space="preserve">because they </w:t>
      </w:r>
      <w:r w:rsidR="00F36C49">
        <w:t xml:space="preserve">are not identified as initial vegetation management costs. </w:t>
      </w:r>
    </w:p>
    <w:p w:rsidR="00BF1782" w:rsidP="00DA79BE" w14:paraId="0CD79670" w14:textId="2F4535DB">
      <w:pPr>
        <w:spacing w:line="480" w:lineRule="auto"/>
        <w:ind w:firstLine="720"/>
      </w:pPr>
      <w:r>
        <w:t>FirstEnergy further contends</w:t>
      </w:r>
      <w:r w:rsidR="00EB6875">
        <w:t xml:space="preserve"> in its </w:t>
      </w:r>
      <w:r w:rsidR="00A30EAF">
        <w:t>C</w:t>
      </w:r>
      <w:r w:rsidR="00EB6875">
        <w:t>omments</w:t>
      </w:r>
      <w:r>
        <w:t xml:space="preserve"> that its investments in tree-trimming could “extend the in-service life of the conductors and serve future generations of customers”</w:t>
      </w:r>
      <w:r>
        <w:rPr>
          <w:rStyle w:val="FootnoteReference"/>
        </w:rPr>
        <w:footnoteReference w:id="18"/>
      </w:r>
      <w:r>
        <w:t xml:space="preserve"> and thus should be capitalized. This claim should similarly be rejected because operational and maintenance activities, such as tree-trimming, can also benefit future generations of customers and extend the in-service life of conductors. But these expenditures are treated as operational expenses and not capitalized.</w:t>
      </w:r>
    </w:p>
    <w:p w:rsidR="000E20E0" w:rsidP="000E20E0" w14:paraId="45B2F9F0" w14:textId="0D2FEFFF">
      <w:pPr>
        <w:spacing w:line="480" w:lineRule="auto"/>
        <w:ind w:firstLine="630"/>
      </w:pPr>
      <w:r>
        <w:t xml:space="preserve">FirstEnergy also disputes the Auditor’s recommendation that the utilities conform their accounting policy to be consistent with the </w:t>
      </w:r>
      <w:r w:rsidR="00F6534A">
        <w:t>FERC U</w:t>
      </w:r>
      <w:r>
        <w:t xml:space="preserve">niform </w:t>
      </w:r>
      <w:r w:rsidR="00F6534A">
        <w:t>S</w:t>
      </w:r>
      <w:r>
        <w:t xml:space="preserve">ystem of </w:t>
      </w:r>
      <w:r w:rsidR="00F6534A">
        <w:t>A</w:t>
      </w:r>
      <w:r>
        <w:t>ccounts.</w:t>
      </w:r>
      <w:r>
        <w:rPr>
          <w:rStyle w:val="FootnoteReference"/>
        </w:rPr>
        <w:footnoteReference w:id="19"/>
      </w:r>
      <w:r>
        <w:t xml:space="preserve"> </w:t>
      </w:r>
      <w:r w:rsidR="00512BE4">
        <w:t>FirstEnergy argues that the PUCO has “full discretion and authority to establish its own accounting rules”</w:t>
      </w:r>
      <w:r>
        <w:rPr>
          <w:rStyle w:val="FootnoteReference"/>
        </w:rPr>
        <w:footnoteReference w:id="20"/>
      </w:r>
      <w:r w:rsidR="00512BE4">
        <w:t xml:space="preserve"> </w:t>
      </w:r>
      <w:r w:rsidR="0080120F">
        <w:t xml:space="preserve">and thus should allow FirstEnergy to deviate from the Uniform System of Accounts. </w:t>
      </w:r>
      <w:r w:rsidR="00F748D2">
        <w:t xml:space="preserve">The PUCO does have such a discretion. But FirstEnergy still needs to demonstrate its own accounting rules are sound and reasonable and it has failed to do so. </w:t>
      </w:r>
      <w:r w:rsidR="0080120F">
        <w:t xml:space="preserve">The PUCO should adopt the Auditor’s recommendation to require FirstEnergy to conform its accounting policy to </w:t>
      </w:r>
      <w:r w:rsidR="006B386A">
        <w:t>FERC’s</w:t>
      </w:r>
      <w:r w:rsidR="0080120F">
        <w:t xml:space="preserve"> standard</w:t>
      </w:r>
      <w:r>
        <w:t xml:space="preserve"> so that issues regarding vegetation management costs can be better resolved</w:t>
      </w:r>
      <w:r w:rsidR="00F6534A">
        <w:t xml:space="preserve"> on a going-forward basis</w:t>
      </w:r>
      <w:r>
        <w:t xml:space="preserve">. </w:t>
      </w:r>
    </w:p>
    <w:p w:rsidR="000E20E0" w:rsidP="000E20E0" w14:paraId="7E2B4F50" w14:textId="75B6115C">
      <w:pPr>
        <w:spacing w:line="480" w:lineRule="auto"/>
        <w:ind w:firstLine="630"/>
        <w:rPr>
          <w:szCs w:val="24"/>
        </w:rPr>
      </w:pPr>
      <w:r>
        <w:rPr>
          <w:szCs w:val="24"/>
        </w:rPr>
        <w:t>F</w:t>
      </w:r>
      <w:r w:rsidRPr="00BB3412">
        <w:rPr>
          <w:szCs w:val="24"/>
        </w:rPr>
        <w:t>irstEnergy has improperly enjoyed broad and unreasonable leeway to remove any tree or limb outside a corridor, call it a “capital” cost, and then collect a return on and of this cost from customers through Rider DCR. This is wrong because such costs are not related to the initial tree-trimming costs</w:t>
      </w:r>
      <w:r w:rsidR="00693C9F">
        <w:rPr>
          <w:szCs w:val="24"/>
        </w:rPr>
        <w:t>, for example</w:t>
      </w:r>
      <w:r w:rsidR="00F748D2">
        <w:rPr>
          <w:szCs w:val="24"/>
        </w:rPr>
        <w:t>,</w:t>
      </w:r>
      <w:r w:rsidR="00693C9F">
        <w:rPr>
          <w:szCs w:val="24"/>
        </w:rPr>
        <w:t xml:space="preserve"> involved with </w:t>
      </w:r>
      <w:r w:rsidRPr="00BB3412">
        <w:rPr>
          <w:szCs w:val="24"/>
        </w:rPr>
        <w:t>the initial construction cost of the distribution line</w:t>
      </w:r>
      <w:r w:rsidR="00693C9F">
        <w:rPr>
          <w:szCs w:val="24"/>
        </w:rPr>
        <w:t>.</w:t>
      </w:r>
      <w:r w:rsidRPr="00BB3412">
        <w:rPr>
          <w:szCs w:val="24"/>
        </w:rPr>
        <w:t xml:space="preserve"> If the tree clearing occurred during the construction, then capitalizing the tree clearance is appropriate</w:t>
      </w:r>
      <w:r w:rsidR="00693C9F">
        <w:rPr>
          <w:szCs w:val="24"/>
        </w:rPr>
        <w:t xml:space="preserve"> (if the capitalization of an expense is at all proper)</w:t>
      </w:r>
      <w:r w:rsidRPr="00BB3412">
        <w:rPr>
          <w:szCs w:val="24"/>
        </w:rPr>
        <w:t xml:space="preserve">. Otherwise these expenses are part of FirstEnergy’s ongoing operation and maintenance tree-trimming costs. They should not be included in the revenue requirement of Rider DCR. </w:t>
      </w:r>
    </w:p>
    <w:p w:rsidR="00C31066" w:rsidP="000E20E0" w14:paraId="5E8EBC2D" w14:textId="77777777">
      <w:pPr>
        <w:spacing w:line="480" w:lineRule="auto"/>
        <w:ind w:firstLine="630"/>
        <w:rPr>
          <w:szCs w:val="24"/>
        </w:rPr>
      </w:pPr>
      <w:r>
        <w:rPr>
          <w:szCs w:val="24"/>
        </w:rPr>
        <w:t xml:space="preserve">FirstEnergy also takes issue with the </w:t>
      </w:r>
      <w:r w:rsidR="00AD537A">
        <w:rPr>
          <w:szCs w:val="24"/>
        </w:rPr>
        <w:t xml:space="preserve">Auditor’s recommendation that the utilities supplement their </w:t>
      </w:r>
      <w:r w:rsidR="00BF760C">
        <w:rPr>
          <w:szCs w:val="24"/>
        </w:rPr>
        <w:t>vegetation management policies and procedures to provide more detail in support of the time sheet task codes used by contractors,</w:t>
      </w:r>
      <w:r>
        <w:rPr>
          <w:rStyle w:val="FootnoteReference"/>
          <w:szCs w:val="24"/>
        </w:rPr>
        <w:footnoteReference w:id="21"/>
      </w:r>
      <w:r w:rsidR="00BF760C">
        <w:rPr>
          <w:szCs w:val="24"/>
        </w:rPr>
        <w:t xml:space="preserve"> </w:t>
      </w:r>
      <w:r w:rsidR="00D83A99">
        <w:rPr>
          <w:szCs w:val="24"/>
        </w:rPr>
        <w:t>arguing that</w:t>
      </w:r>
      <w:r w:rsidR="00BF760C">
        <w:rPr>
          <w:szCs w:val="24"/>
        </w:rPr>
        <w:t xml:space="preserve"> this recommendation is </w:t>
      </w:r>
      <w:r w:rsidR="00E73201">
        <w:rPr>
          <w:szCs w:val="24"/>
        </w:rPr>
        <w:t>“</w:t>
      </w:r>
      <w:r w:rsidR="00BF760C">
        <w:rPr>
          <w:szCs w:val="24"/>
        </w:rPr>
        <w:t>unnecessary</w:t>
      </w:r>
      <w:r w:rsidR="00E73201">
        <w:rPr>
          <w:szCs w:val="24"/>
        </w:rPr>
        <w:t>”</w:t>
      </w:r>
      <w:r w:rsidR="00BF760C">
        <w:rPr>
          <w:szCs w:val="24"/>
        </w:rPr>
        <w:t xml:space="preserve"> and </w:t>
      </w:r>
      <w:r w:rsidR="00E73201">
        <w:rPr>
          <w:szCs w:val="24"/>
        </w:rPr>
        <w:t>“</w:t>
      </w:r>
      <w:r w:rsidR="00BF760C">
        <w:rPr>
          <w:szCs w:val="24"/>
        </w:rPr>
        <w:t>costly to implement.</w:t>
      </w:r>
      <w:r w:rsidR="00E73201">
        <w:rPr>
          <w:szCs w:val="24"/>
        </w:rPr>
        <w:t>”</w:t>
      </w:r>
      <w:r>
        <w:rPr>
          <w:rStyle w:val="FootnoteReference"/>
          <w:szCs w:val="24"/>
        </w:rPr>
        <w:footnoteReference w:id="22"/>
      </w:r>
      <w:r w:rsidR="00BF760C">
        <w:rPr>
          <w:szCs w:val="24"/>
        </w:rPr>
        <w:t xml:space="preserve"> </w:t>
      </w:r>
      <w:r w:rsidR="00E73201">
        <w:rPr>
          <w:szCs w:val="24"/>
        </w:rPr>
        <w:t>The Auditor explained that the form of that support can be schematics, drawings, or pictures, concluding that “a simple method would be to take a before and after picture in support of work performed and charged to the task codes in question.”</w:t>
      </w:r>
      <w:r>
        <w:rPr>
          <w:rStyle w:val="FootnoteReference"/>
          <w:szCs w:val="24"/>
        </w:rPr>
        <w:footnoteReference w:id="23"/>
      </w:r>
      <w:r w:rsidR="00E73201">
        <w:rPr>
          <w:szCs w:val="24"/>
        </w:rPr>
        <w:t xml:space="preserve"> </w:t>
      </w:r>
    </w:p>
    <w:p w:rsidR="00F677B1" w:rsidP="00652332" w14:paraId="2CD32F80" w14:textId="77777777">
      <w:pPr>
        <w:spacing w:line="480" w:lineRule="auto"/>
        <w:ind w:firstLine="720"/>
        <w:rPr>
          <w:szCs w:val="24"/>
        </w:rPr>
      </w:pPr>
      <w:r>
        <w:rPr>
          <w:szCs w:val="24"/>
        </w:rPr>
        <w:t xml:space="preserve">FirstEnergy’s claim that </w:t>
      </w:r>
      <w:r w:rsidR="00D83A99">
        <w:rPr>
          <w:szCs w:val="24"/>
        </w:rPr>
        <w:t xml:space="preserve">simple photography </w:t>
      </w:r>
      <w:r>
        <w:rPr>
          <w:szCs w:val="24"/>
        </w:rPr>
        <w:t>would be too time-consuming and data-demanding</w:t>
      </w:r>
      <w:r>
        <w:rPr>
          <w:rStyle w:val="FootnoteReference"/>
          <w:szCs w:val="24"/>
        </w:rPr>
        <w:footnoteReference w:id="24"/>
      </w:r>
      <w:r>
        <w:rPr>
          <w:szCs w:val="24"/>
        </w:rPr>
        <w:t xml:space="preserve"> is unpersuasive. </w:t>
      </w:r>
      <w:r w:rsidR="00BF760C">
        <w:rPr>
          <w:szCs w:val="24"/>
        </w:rPr>
        <w:t>Th</w:t>
      </w:r>
      <w:r>
        <w:rPr>
          <w:szCs w:val="24"/>
        </w:rPr>
        <w:t>e Auditor’s</w:t>
      </w:r>
      <w:r w:rsidR="00BF760C">
        <w:rPr>
          <w:szCs w:val="24"/>
        </w:rPr>
        <w:t xml:space="preserve"> recommendation was made so that on a going-forward basis, FirstEnergy will be able to provide “sufficient detailed documentation to support the inclusion of capital charges in the DCR” and “to support verification of work according to current vegetation management policies.”</w:t>
      </w:r>
      <w:r>
        <w:rPr>
          <w:rStyle w:val="FootnoteReference"/>
          <w:szCs w:val="24"/>
        </w:rPr>
        <w:footnoteReference w:id="25"/>
      </w:r>
      <w:r w:rsidR="00BF760C">
        <w:rPr>
          <w:szCs w:val="24"/>
        </w:rPr>
        <w:t xml:space="preserve"> </w:t>
      </w:r>
      <w:r>
        <w:rPr>
          <w:szCs w:val="24"/>
        </w:rPr>
        <w:t xml:space="preserve">Unless </w:t>
      </w:r>
      <w:r w:rsidR="00D83A99">
        <w:rPr>
          <w:szCs w:val="24"/>
        </w:rPr>
        <w:t xml:space="preserve">and until </w:t>
      </w:r>
      <w:r>
        <w:rPr>
          <w:szCs w:val="24"/>
        </w:rPr>
        <w:t>this is done,</w:t>
      </w:r>
      <w:r w:rsidR="00BF760C">
        <w:rPr>
          <w:szCs w:val="24"/>
        </w:rPr>
        <w:t xml:space="preserve"> the vegetation management expenses at issue should be re-</w:t>
      </w:r>
      <w:r>
        <w:rPr>
          <w:szCs w:val="24"/>
        </w:rPr>
        <w:t>categorized as operations and maintenance expenses</w:t>
      </w:r>
      <w:r w:rsidR="00C31066">
        <w:rPr>
          <w:szCs w:val="24"/>
        </w:rPr>
        <w:t xml:space="preserve">. </w:t>
      </w:r>
    </w:p>
    <w:p w:rsidR="000E20E0" w:rsidP="00652332" w14:paraId="24D5FDF7" w14:textId="0926B3FA">
      <w:pPr>
        <w:spacing w:line="480" w:lineRule="auto"/>
        <w:ind w:firstLine="720"/>
        <w:rPr>
          <w:szCs w:val="24"/>
        </w:rPr>
      </w:pPr>
      <w:r>
        <w:rPr>
          <w:szCs w:val="24"/>
        </w:rPr>
        <w:t>To protect consumers, t</w:t>
      </w:r>
      <w:r w:rsidRPr="00BB3412">
        <w:rPr>
          <w:szCs w:val="24"/>
        </w:rPr>
        <w:t>he PUCO should adopt the Auditor’s recommendation to reduce by approximately $3 million the DCR revenue requirement</w:t>
      </w:r>
      <w:r>
        <w:rPr>
          <w:rStyle w:val="FootnoteReference"/>
          <w:szCs w:val="24"/>
        </w:rPr>
        <w:footnoteReference w:id="26"/>
      </w:r>
      <w:r w:rsidRPr="00BB3412">
        <w:rPr>
          <w:szCs w:val="24"/>
        </w:rPr>
        <w:t xml:space="preserve"> and approximately $16.7 million in distribution plant (or rate base)</w:t>
      </w:r>
      <w:r>
        <w:rPr>
          <w:rStyle w:val="FootnoteReference"/>
          <w:szCs w:val="24"/>
        </w:rPr>
        <w:footnoteReference w:id="27"/>
      </w:r>
      <w:r w:rsidRPr="00BB3412">
        <w:rPr>
          <w:szCs w:val="24"/>
        </w:rPr>
        <w:t xml:space="preserve"> for vegetation management work orders charged to Cost Codes 05, 14, 30, and 36 as identified in the Audit Report.</w:t>
      </w:r>
    </w:p>
    <w:p w:rsidR="00652332" w:rsidP="00652332" w14:paraId="407CAA9F" w14:textId="77777777">
      <w:pPr>
        <w:ind w:firstLine="630"/>
        <w:rPr>
          <w:szCs w:val="24"/>
        </w:rPr>
      </w:pPr>
    </w:p>
    <w:p w:rsidR="003D1256" w:rsidRPr="00BB3412" w:rsidP="00223652" w14:paraId="09AA70F4" w14:textId="77777777">
      <w:pPr>
        <w:pStyle w:val="Heading1"/>
      </w:pPr>
      <w:bookmarkStart w:id="5" w:name="_Toc8388100"/>
      <w:r w:rsidRPr="00BB3412">
        <w:t>I</w:t>
      </w:r>
      <w:r w:rsidR="00223652">
        <w:t>II</w:t>
      </w:r>
      <w:r w:rsidRPr="00BB3412">
        <w:t>.</w:t>
      </w:r>
      <w:r w:rsidRPr="00BB3412">
        <w:tab/>
        <w:t>CONCLUSION</w:t>
      </w:r>
      <w:bookmarkEnd w:id="5"/>
    </w:p>
    <w:p w:rsidR="00652332" w:rsidP="00C31066" w14:paraId="6ABBF649" w14:textId="3B6F40E5">
      <w:pPr>
        <w:widowControl w:val="0"/>
        <w:spacing w:line="480" w:lineRule="auto"/>
        <w:ind w:firstLine="720"/>
        <w:rPr>
          <w:szCs w:val="24"/>
        </w:rPr>
      </w:pPr>
      <w:r w:rsidRPr="00BB3412">
        <w:rPr>
          <w:szCs w:val="24"/>
        </w:rPr>
        <w:t>OCC recommends</w:t>
      </w:r>
      <w:r w:rsidR="00C31066">
        <w:rPr>
          <w:szCs w:val="24"/>
        </w:rPr>
        <w:t>, as does th</w:t>
      </w:r>
      <w:r w:rsidR="00B41A61">
        <w:rPr>
          <w:szCs w:val="24"/>
        </w:rPr>
        <w:t>e</w:t>
      </w:r>
      <w:r w:rsidR="00C31066">
        <w:rPr>
          <w:szCs w:val="24"/>
        </w:rPr>
        <w:t xml:space="preserve"> PUCO Staff, </w:t>
      </w:r>
      <w:r w:rsidRPr="00BB3412" w:rsidR="000902C6">
        <w:rPr>
          <w:szCs w:val="24"/>
        </w:rPr>
        <w:t xml:space="preserve">that the </w:t>
      </w:r>
      <w:r w:rsidRPr="00BB3412">
        <w:rPr>
          <w:szCs w:val="24"/>
        </w:rPr>
        <w:t xml:space="preserve">PUCO adopt all of the </w:t>
      </w:r>
      <w:r w:rsidRPr="00BB3412" w:rsidR="000902C6">
        <w:rPr>
          <w:szCs w:val="24"/>
        </w:rPr>
        <w:t>r</w:t>
      </w:r>
      <w:r w:rsidRPr="00BB3412">
        <w:rPr>
          <w:szCs w:val="24"/>
        </w:rPr>
        <w:t xml:space="preserve">ecommendations and adjustments identified in the Audit Report. </w:t>
      </w:r>
      <w:r w:rsidR="00C31066">
        <w:rPr>
          <w:szCs w:val="24"/>
        </w:rPr>
        <w:t xml:space="preserve">FirstEnergy’s arguments opposing the Auditor’s findings are unpersuasive. </w:t>
      </w:r>
      <w:r w:rsidRPr="00BB3412">
        <w:rPr>
          <w:szCs w:val="24"/>
        </w:rPr>
        <w:t>Specifically, the PUCO should take decisive steps regarding the policy, process</w:t>
      </w:r>
      <w:r w:rsidRPr="00BB3412" w:rsidR="00DC4DE4">
        <w:rPr>
          <w:szCs w:val="24"/>
        </w:rPr>
        <w:t>,</w:t>
      </w:r>
      <w:r w:rsidRPr="00BB3412">
        <w:rPr>
          <w:szCs w:val="24"/>
        </w:rPr>
        <w:t xml:space="preserve"> and accounting of FirstEnergy’s vegetation management programs</w:t>
      </w:r>
      <w:r w:rsidR="00C31066">
        <w:rPr>
          <w:szCs w:val="24"/>
        </w:rPr>
        <w:t xml:space="preserve"> as the Auditor recommended</w:t>
      </w:r>
      <w:r w:rsidRPr="00BB3412">
        <w:rPr>
          <w:szCs w:val="24"/>
        </w:rPr>
        <w:t>. The improperly</w:t>
      </w:r>
      <w:r w:rsidRPr="00BB3412" w:rsidR="00D05E62">
        <w:rPr>
          <w:szCs w:val="24"/>
        </w:rPr>
        <w:t xml:space="preserve"> </w:t>
      </w:r>
      <w:r w:rsidRPr="00BB3412">
        <w:rPr>
          <w:szCs w:val="24"/>
        </w:rPr>
        <w:t>capitalized expenditures of tree</w:t>
      </w:r>
      <w:r w:rsidRPr="00BB3412" w:rsidR="001B2426">
        <w:rPr>
          <w:szCs w:val="24"/>
        </w:rPr>
        <w:t>-</w:t>
      </w:r>
      <w:r w:rsidRPr="00BB3412">
        <w:rPr>
          <w:szCs w:val="24"/>
        </w:rPr>
        <w:t xml:space="preserve">trimming should be removed from the 2019 Rider DCR revenue requirement and DCR rate base. </w:t>
      </w:r>
      <w:r w:rsidR="00C31066">
        <w:rPr>
          <w:szCs w:val="24"/>
        </w:rPr>
        <w:t>T</w:t>
      </w:r>
      <w:r w:rsidRPr="00BB3412" w:rsidR="00DF0721">
        <w:rPr>
          <w:szCs w:val="24"/>
        </w:rPr>
        <w:t>he PUCO should also reverse</w:t>
      </w:r>
      <w:r w:rsidRPr="00BB3412" w:rsidR="000902C6">
        <w:rPr>
          <w:szCs w:val="24"/>
        </w:rPr>
        <w:t xml:space="preserve"> FirstEnergy’s</w:t>
      </w:r>
      <w:r w:rsidRPr="00BB3412" w:rsidR="00DF0721">
        <w:rPr>
          <w:szCs w:val="24"/>
        </w:rPr>
        <w:t xml:space="preserve"> </w:t>
      </w:r>
    </w:p>
    <w:p w:rsidR="00C31066" w:rsidP="00652332" w14:paraId="47E450D2" w14:textId="13B6EAE6">
      <w:pPr>
        <w:widowControl w:val="0"/>
        <w:spacing w:line="480" w:lineRule="auto"/>
        <w:rPr>
          <w:szCs w:val="24"/>
        </w:rPr>
      </w:pPr>
      <w:r>
        <w:rPr>
          <w:szCs w:val="24"/>
        </w:rPr>
        <w:br w:type="page"/>
      </w:r>
      <w:r w:rsidRPr="00BB3412" w:rsidR="00DF0721">
        <w:rPr>
          <w:szCs w:val="24"/>
        </w:rPr>
        <w:t xml:space="preserve">unilateral adjustments </w:t>
      </w:r>
      <w:r w:rsidRPr="00BB3412" w:rsidR="000902C6">
        <w:rPr>
          <w:szCs w:val="24"/>
        </w:rPr>
        <w:t>to</w:t>
      </w:r>
      <w:r w:rsidRPr="00BB3412" w:rsidR="00DF0721">
        <w:rPr>
          <w:szCs w:val="24"/>
        </w:rPr>
        <w:t xml:space="preserve"> EDIT</w:t>
      </w:r>
      <w:r>
        <w:rPr>
          <w:szCs w:val="24"/>
        </w:rPr>
        <w:t xml:space="preserve"> as the Auditor recommended</w:t>
      </w:r>
      <w:r w:rsidRPr="00BB3412" w:rsidR="00033902">
        <w:rPr>
          <w:szCs w:val="24"/>
        </w:rPr>
        <w:t xml:space="preserve">. If this unilateral adjustment </w:t>
      </w:r>
      <w:r w:rsidRPr="00BB3412" w:rsidR="000902C6">
        <w:rPr>
          <w:szCs w:val="24"/>
        </w:rPr>
        <w:t xml:space="preserve">that </w:t>
      </w:r>
      <w:r w:rsidRPr="00BB3412" w:rsidR="00033902">
        <w:rPr>
          <w:szCs w:val="24"/>
        </w:rPr>
        <w:t>def</w:t>
      </w:r>
      <w:r w:rsidRPr="00BB3412" w:rsidR="000902C6">
        <w:rPr>
          <w:szCs w:val="24"/>
        </w:rPr>
        <w:t>ies</w:t>
      </w:r>
      <w:r w:rsidRPr="00BB3412" w:rsidR="00033902">
        <w:rPr>
          <w:szCs w:val="24"/>
        </w:rPr>
        <w:t xml:space="preserve"> the PUCO order is allowed, it </w:t>
      </w:r>
      <w:r w:rsidRPr="00BB3412" w:rsidR="00DF0721">
        <w:rPr>
          <w:szCs w:val="24"/>
        </w:rPr>
        <w:t xml:space="preserve">could preclude approximately $28.3 million tax savings that </w:t>
      </w:r>
      <w:r w:rsidRPr="00BB3412" w:rsidR="000902C6">
        <w:rPr>
          <w:szCs w:val="24"/>
        </w:rPr>
        <w:t>should</w:t>
      </w:r>
      <w:r w:rsidRPr="00BB3412" w:rsidR="00DF0721">
        <w:rPr>
          <w:szCs w:val="24"/>
        </w:rPr>
        <w:t xml:space="preserve"> be return</w:t>
      </w:r>
      <w:r w:rsidRPr="00BB3412" w:rsidR="00033902">
        <w:rPr>
          <w:szCs w:val="24"/>
        </w:rPr>
        <w:t>ed</w:t>
      </w:r>
      <w:r w:rsidRPr="00BB3412" w:rsidR="00DF0721">
        <w:rPr>
          <w:szCs w:val="24"/>
        </w:rPr>
        <w:t xml:space="preserve"> to customers through another rider (Rider TSA)</w:t>
      </w:r>
      <w:r w:rsidRPr="00BB3412" w:rsidR="000902C6">
        <w:rPr>
          <w:szCs w:val="24"/>
        </w:rPr>
        <w:t>,</w:t>
      </w:r>
      <w:r w:rsidRPr="00BB3412" w:rsidR="00033902">
        <w:rPr>
          <w:szCs w:val="24"/>
        </w:rPr>
        <w:t xml:space="preserve"> and would increase the 2019 DCR revenue requirement by approximately $2.5 </w:t>
      </w:r>
      <w:r w:rsidRPr="00BB3412">
        <w:rPr>
          <w:szCs w:val="24"/>
        </w:rPr>
        <w:t>million.</w:t>
      </w:r>
      <w:r w:rsidR="00885A62">
        <w:rPr>
          <w:szCs w:val="24"/>
        </w:rPr>
        <w:t xml:space="preserve"> </w:t>
      </w:r>
      <w:r w:rsidRPr="00BB3412">
        <w:rPr>
          <w:szCs w:val="24"/>
        </w:rPr>
        <w:t>Customers should not be overcharged for FirstEnergy’s tax obligation and unnecessary vegetation management expenditures.</w:t>
      </w:r>
      <w:r w:rsidR="00885A62">
        <w:rPr>
          <w:szCs w:val="24"/>
        </w:rPr>
        <w:t xml:space="preserve"> </w:t>
      </w:r>
    </w:p>
    <w:p w:rsidR="009A4584" w:rsidP="003D1256" w14:paraId="05E6D409" w14:textId="77777777">
      <w:pPr>
        <w:pStyle w:val="BodyTextIndent3"/>
        <w:widowControl w:val="0"/>
        <w:spacing w:line="480" w:lineRule="auto"/>
        <w:ind w:left="3960" w:firstLine="0"/>
        <w:rPr>
          <w:szCs w:val="24"/>
        </w:rPr>
      </w:pPr>
    </w:p>
    <w:p w:rsidR="003D1256" w:rsidRPr="00BB3412" w:rsidP="003D1256" w14:paraId="1CFD5D43" w14:textId="0361024A">
      <w:pPr>
        <w:pStyle w:val="BodyTextIndent3"/>
        <w:widowControl w:val="0"/>
        <w:spacing w:line="480" w:lineRule="auto"/>
        <w:ind w:left="3960" w:firstLine="0"/>
        <w:rPr>
          <w:szCs w:val="24"/>
        </w:rPr>
      </w:pPr>
      <w:r w:rsidRPr="00BB3412">
        <w:rPr>
          <w:szCs w:val="24"/>
        </w:rPr>
        <w:t>Respectfully submitted,</w:t>
      </w:r>
    </w:p>
    <w:p w:rsidR="003D1256" w:rsidRPr="00BB3412" w:rsidP="003D1256" w14:paraId="3EEF8611" w14:textId="77777777">
      <w:pPr>
        <w:pStyle w:val="Footer"/>
        <w:tabs>
          <w:tab w:val="clear" w:pos="4320"/>
          <w:tab w:val="clear" w:pos="8640"/>
        </w:tabs>
        <w:ind w:left="3960"/>
        <w:rPr>
          <w:sz w:val="24"/>
          <w:szCs w:val="24"/>
        </w:rPr>
      </w:pPr>
      <w:r w:rsidRPr="00BB3412">
        <w:rPr>
          <w:sz w:val="24"/>
          <w:szCs w:val="24"/>
        </w:rPr>
        <w:t>Bruce Weston (0016973)</w:t>
      </w:r>
    </w:p>
    <w:p w:rsidR="003D1256" w:rsidRPr="00BB3412" w:rsidP="003D1256" w14:paraId="05F712E5" w14:textId="77777777">
      <w:pPr>
        <w:ind w:left="3960"/>
        <w:rPr>
          <w:szCs w:val="24"/>
        </w:rPr>
      </w:pPr>
      <w:r w:rsidRPr="00BB3412">
        <w:rPr>
          <w:szCs w:val="24"/>
        </w:rPr>
        <w:t>Ohio Consumers’ Counsel</w:t>
      </w:r>
    </w:p>
    <w:p w:rsidR="003D1256" w:rsidRPr="00BB3412" w:rsidP="003D1256" w14:paraId="729C9110" w14:textId="77777777">
      <w:pPr>
        <w:tabs>
          <w:tab w:val="left" w:pos="4320"/>
        </w:tabs>
        <w:ind w:left="3960"/>
        <w:rPr>
          <w:i/>
          <w:szCs w:val="24"/>
          <w:u w:val="single"/>
        </w:rPr>
      </w:pPr>
    </w:p>
    <w:p w:rsidR="00041DF9" w:rsidRPr="00BB3412" w:rsidP="00041DF9" w14:paraId="7B7603A7" w14:textId="77777777">
      <w:pPr>
        <w:ind w:left="3960"/>
        <w:rPr>
          <w:bCs/>
          <w:i/>
          <w:iCs/>
          <w:szCs w:val="24"/>
          <w:u w:val="single"/>
        </w:rPr>
      </w:pPr>
      <w:r w:rsidRPr="00BB3412">
        <w:rPr>
          <w:bCs/>
          <w:i/>
          <w:iCs/>
          <w:szCs w:val="24"/>
          <w:u w:val="single"/>
        </w:rPr>
        <w:t>/s/ Amy Botschner O’Brien</w:t>
      </w:r>
    </w:p>
    <w:p w:rsidR="000902C6" w:rsidRPr="00BB3412" w:rsidP="00041DF9" w14:paraId="79770CC9" w14:textId="77777777">
      <w:pPr>
        <w:ind w:left="3960"/>
        <w:rPr>
          <w:bCs/>
          <w:szCs w:val="24"/>
        </w:rPr>
      </w:pPr>
      <w:r w:rsidRPr="00BB3412">
        <w:rPr>
          <w:bCs/>
          <w:szCs w:val="24"/>
        </w:rPr>
        <w:t xml:space="preserve">Amy Botschner O’Brien </w:t>
      </w:r>
      <w:r w:rsidRPr="00BB3412" w:rsidR="00041DF9">
        <w:rPr>
          <w:bCs/>
          <w:szCs w:val="24"/>
        </w:rPr>
        <w:t>(0074423)</w:t>
      </w:r>
    </w:p>
    <w:p w:rsidR="000902C6" w:rsidRPr="00BB3412" w:rsidP="00041DF9" w14:paraId="6732633E" w14:textId="77777777">
      <w:pPr>
        <w:ind w:left="3960"/>
        <w:rPr>
          <w:bCs/>
          <w:szCs w:val="24"/>
        </w:rPr>
      </w:pPr>
      <w:r w:rsidRPr="00BB3412">
        <w:rPr>
          <w:bCs/>
          <w:szCs w:val="24"/>
        </w:rPr>
        <w:t>Counsel of Record</w:t>
      </w:r>
    </w:p>
    <w:p w:rsidR="000902C6" w:rsidRPr="00BB3412" w:rsidP="00041DF9" w14:paraId="131634D7" w14:textId="77777777">
      <w:pPr>
        <w:ind w:left="3960"/>
        <w:rPr>
          <w:bCs/>
          <w:szCs w:val="24"/>
        </w:rPr>
      </w:pPr>
      <w:r w:rsidRPr="00BB3412">
        <w:rPr>
          <w:bCs/>
          <w:szCs w:val="24"/>
        </w:rPr>
        <w:t>William J. Michael</w:t>
      </w:r>
      <w:r w:rsidRPr="00BB3412" w:rsidR="00041DF9">
        <w:rPr>
          <w:bCs/>
          <w:szCs w:val="24"/>
        </w:rPr>
        <w:t xml:space="preserve"> (0070921)</w:t>
      </w:r>
    </w:p>
    <w:p w:rsidR="000902C6" w:rsidRPr="00BB3412" w:rsidP="00041DF9" w14:paraId="55F5E47C" w14:textId="77777777">
      <w:pPr>
        <w:ind w:left="3960"/>
        <w:rPr>
          <w:bCs/>
          <w:szCs w:val="24"/>
        </w:rPr>
      </w:pPr>
      <w:r w:rsidRPr="00BB3412">
        <w:rPr>
          <w:bCs/>
          <w:szCs w:val="24"/>
        </w:rPr>
        <w:t>Assistant Consumers’ Counsel</w:t>
      </w:r>
    </w:p>
    <w:p w:rsidR="000902C6" w:rsidRPr="00BB3412" w:rsidP="00041DF9" w14:paraId="554B54B8" w14:textId="77777777">
      <w:pPr>
        <w:ind w:left="3960"/>
        <w:rPr>
          <w:bCs/>
          <w:szCs w:val="24"/>
        </w:rPr>
      </w:pPr>
    </w:p>
    <w:p w:rsidR="003D1256" w:rsidRPr="00BB3412" w:rsidP="00041DF9" w14:paraId="45FDF15B" w14:textId="77777777">
      <w:pPr>
        <w:ind w:left="3960"/>
        <w:rPr>
          <w:b/>
          <w:szCs w:val="24"/>
        </w:rPr>
      </w:pPr>
      <w:r w:rsidRPr="00BB3412">
        <w:rPr>
          <w:b/>
          <w:szCs w:val="24"/>
        </w:rPr>
        <w:t>Office of the Ohio Consumers’ Counsel</w:t>
      </w:r>
    </w:p>
    <w:p w:rsidR="003D1256" w:rsidRPr="00BB3412" w:rsidP="00041DF9" w14:paraId="3A211A15" w14:textId="77777777">
      <w:pPr>
        <w:ind w:left="3960"/>
        <w:rPr>
          <w:szCs w:val="24"/>
        </w:rPr>
      </w:pPr>
      <w:r w:rsidRPr="00BB3412">
        <w:rPr>
          <w:szCs w:val="24"/>
        </w:rPr>
        <w:t>65 East State Street, 7</w:t>
      </w:r>
      <w:r w:rsidRPr="00BB3412">
        <w:rPr>
          <w:szCs w:val="24"/>
          <w:vertAlign w:val="superscript"/>
        </w:rPr>
        <w:t>th</w:t>
      </w:r>
      <w:r w:rsidRPr="00BB3412">
        <w:rPr>
          <w:szCs w:val="24"/>
        </w:rPr>
        <w:t xml:space="preserve"> Floor</w:t>
      </w:r>
    </w:p>
    <w:p w:rsidR="003D1256" w:rsidRPr="00BB3412" w:rsidP="00041DF9" w14:paraId="22F2724B" w14:textId="77777777">
      <w:pPr>
        <w:ind w:left="3960"/>
        <w:rPr>
          <w:szCs w:val="24"/>
        </w:rPr>
      </w:pPr>
      <w:r w:rsidRPr="00BB3412">
        <w:rPr>
          <w:szCs w:val="24"/>
        </w:rPr>
        <w:t>Columbus, Ohio 43215</w:t>
      </w:r>
    </w:p>
    <w:p w:rsidR="000902C6" w:rsidRPr="00BB3412" w:rsidP="00041DF9" w14:paraId="4A1778D8" w14:textId="77777777">
      <w:pPr>
        <w:ind w:left="3960"/>
        <w:rPr>
          <w:szCs w:val="24"/>
        </w:rPr>
      </w:pPr>
      <w:r w:rsidRPr="00BB3412">
        <w:rPr>
          <w:szCs w:val="24"/>
        </w:rPr>
        <w:t>Telephone [Botschner O’Brien]: (614) 466-9575</w:t>
      </w:r>
    </w:p>
    <w:p w:rsidR="000902C6" w:rsidRPr="00BB3412" w:rsidP="00041DF9" w14:paraId="0183C8E5" w14:textId="77777777">
      <w:pPr>
        <w:ind w:left="3960"/>
        <w:rPr>
          <w:szCs w:val="24"/>
        </w:rPr>
      </w:pPr>
      <w:r w:rsidRPr="00BB3412">
        <w:rPr>
          <w:szCs w:val="24"/>
        </w:rPr>
        <w:t xml:space="preserve">Telephone [Michael]: (614) </w:t>
      </w:r>
    </w:p>
    <w:p w:rsidR="006F29D7" w:rsidRPr="00BB3412" w:rsidP="00041DF9" w14:paraId="37BEA52D" w14:textId="77777777">
      <w:pPr>
        <w:autoSpaceDE w:val="0"/>
        <w:autoSpaceDN w:val="0"/>
        <w:adjustRightInd w:val="0"/>
        <w:ind w:left="3960"/>
        <w:rPr>
          <w:szCs w:val="24"/>
        </w:rPr>
      </w:pPr>
      <w:hyperlink r:id="rId6" w:history="1">
        <w:r w:rsidRPr="00BB3412" w:rsidR="00041DF9">
          <w:rPr>
            <w:rStyle w:val="Hyperlink"/>
            <w:szCs w:val="24"/>
          </w:rPr>
          <w:t>Amy.botschner.obrien@occ.ohio.gov</w:t>
        </w:r>
      </w:hyperlink>
    </w:p>
    <w:p w:rsidR="00041DF9" w:rsidRPr="00BB3412" w:rsidP="00041DF9" w14:paraId="27D37ABA" w14:textId="77777777">
      <w:pPr>
        <w:autoSpaceDE w:val="0"/>
        <w:autoSpaceDN w:val="0"/>
        <w:adjustRightInd w:val="0"/>
        <w:ind w:left="3960"/>
        <w:rPr>
          <w:szCs w:val="24"/>
        </w:rPr>
      </w:pPr>
      <w:hyperlink r:id="rId7" w:history="1">
        <w:r w:rsidRPr="00BB3412" w:rsidR="007F24BB">
          <w:rPr>
            <w:rStyle w:val="Hyperlink"/>
            <w:szCs w:val="24"/>
          </w:rPr>
          <w:t>William.michael@occ.ohio.gov</w:t>
        </w:r>
      </w:hyperlink>
    </w:p>
    <w:p w:rsidR="003D1256" w:rsidRPr="00BB3412" w:rsidP="00041DF9" w14:paraId="77180C88" w14:textId="77777777">
      <w:pPr>
        <w:autoSpaceDE w:val="0"/>
        <w:autoSpaceDN w:val="0"/>
        <w:adjustRightInd w:val="0"/>
        <w:ind w:left="3960"/>
        <w:rPr>
          <w:szCs w:val="24"/>
        </w:rPr>
      </w:pPr>
      <w:r w:rsidRPr="00BB3412">
        <w:rPr>
          <w:szCs w:val="24"/>
        </w:rPr>
        <w:t>(willing to accept service by e-mail)</w:t>
      </w:r>
    </w:p>
    <w:p w:rsidR="003D1256" w:rsidRPr="00BB3412" w:rsidP="003D1256" w14:paraId="70A5AAE0" w14:textId="77777777">
      <w:pPr>
        <w:autoSpaceDE w:val="0"/>
        <w:autoSpaceDN w:val="0"/>
        <w:adjustRightInd w:val="0"/>
        <w:ind w:left="3960"/>
        <w:rPr>
          <w:szCs w:val="24"/>
        </w:rPr>
      </w:pPr>
    </w:p>
    <w:p w:rsidR="003D1256" w:rsidRPr="00BB3412" w:rsidP="003D1256" w14:paraId="1E993BC1" w14:textId="77777777">
      <w:pPr>
        <w:autoSpaceDE w:val="0"/>
        <w:autoSpaceDN w:val="0"/>
        <w:adjustRightInd w:val="0"/>
        <w:ind w:left="3960"/>
        <w:rPr>
          <w:szCs w:val="24"/>
        </w:rPr>
      </w:pPr>
    </w:p>
    <w:p w:rsidR="003D1256" w:rsidRPr="00BB3412" w:rsidP="003D1256" w14:paraId="77960FA3" w14:textId="77777777">
      <w:pPr>
        <w:autoSpaceDE w:val="0"/>
        <w:autoSpaceDN w:val="0"/>
        <w:adjustRightInd w:val="0"/>
        <w:rPr>
          <w:szCs w:val="24"/>
        </w:rPr>
        <w:sectPr w:rsidSect="001E7D34">
          <w:footerReference w:type="default" r:id="rId8"/>
          <w:pgSz w:w="12240" w:h="15840"/>
          <w:pgMar w:top="1440" w:right="1800" w:bottom="1440" w:left="1800" w:header="720" w:footer="720" w:gutter="0"/>
          <w:cols w:space="720"/>
          <w:titlePg/>
          <w:docGrid w:linePitch="326"/>
        </w:sectPr>
      </w:pPr>
    </w:p>
    <w:p w:rsidR="003D1256" w:rsidRPr="00BB3412" w:rsidP="003D1256" w14:paraId="52E2C6B7" w14:textId="77777777">
      <w:pPr>
        <w:pStyle w:val="BodyTextIndent3"/>
        <w:widowControl w:val="0"/>
        <w:spacing w:line="480" w:lineRule="auto"/>
        <w:ind w:right="-672" w:firstLine="0"/>
        <w:jc w:val="center"/>
        <w:rPr>
          <w:b/>
          <w:bCs/>
          <w:szCs w:val="24"/>
          <w:u w:val="single"/>
        </w:rPr>
      </w:pPr>
      <w:r w:rsidRPr="00BB3412">
        <w:rPr>
          <w:b/>
          <w:bCs/>
          <w:szCs w:val="24"/>
          <w:u w:val="single"/>
        </w:rPr>
        <w:t>CERTIFICATE OF SERVICE</w:t>
      </w:r>
    </w:p>
    <w:p w:rsidR="003D1256" w:rsidRPr="00BB3412" w:rsidP="003D1256" w14:paraId="60EE46E6" w14:textId="0755933C">
      <w:pPr>
        <w:spacing w:line="480" w:lineRule="atLeast"/>
        <w:ind w:firstLine="720"/>
        <w:rPr>
          <w:szCs w:val="24"/>
        </w:rPr>
      </w:pPr>
      <w:r w:rsidRPr="00BB3412">
        <w:rPr>
          <w:szCs w:val="24"/>
        </w:rPr>
        <w:t xml:space="preserve">I hereby certify that a copy of these </w:t>
      </w:r>
      <w:r w:rsidR="00652332">
        <w:rPr>
          <w:szCs w:val="24"/>
        </w:rPr>
        <w:t xml:space="preserve">Reply </w:t>
      </w:r>
      <w:r w:rsidRPr="00BB3412">
        <w:rPr>
          <w:szCs w:val="24"/>
        </w:rPr>
        <w:t>Comments w</w:t>
      </w:r>
      <w:r w:rsidR="00A934D0">
        <w:rPr>
          <w:szCs w:val="24"/>
        </w:rPr>
        <w:t>as</w:t>
      </w:r>
      <w:r w:rsidRPr="00BB3412">
        <w:rPr>
          <w:szCs w:val="24"/>
        </w:rPr>
        <w:t xml:space="preserve"> served on the persons stated below via electronic transmission this </w:t>
      </w:r>
      <w:r w:rsidR="00160250">
        <w:rPr>
          <w:szCs w:val="24"/>
        </w:rPr>
        <w:t>11</w:t>
      </w:r>
      <w:r w:rsidRPr="00160250" w:rsidR="00160250">
        <w:rPr>
          <w:szCs w:val="24"/>
          <w:vertAlign w:val="superscript"/>
        </w:rPr>
        <w:t>th</w:t>
      </w:r>
      <w:r w:rsidR="00160250">
        <w:rPr>
          <w:szCs w:val="24"/>
        </w:rPr>
        <w:t xml:space="preserve"> </w:t>
      </w:r>
      <w:r w:rsidRPr="00BB3412">
        <w:rPr>
          <w:szCs w:val="24"/>
        </w:rPr>
        <w:t xml:space="preserve">day of </w:t>
      </w:r>
      <w:r w:rsidR="00160250">
        <w:rPr>
          <w:szCs w:val="24"/>
        </w:rPr>
        <w:t>August</w:t>
      </w:r>
      <w:r w:rsidRPr="00BB3412" w:rsidR="006F29D7">
        <w:rPr>
          <w:szCs w:val="24"/>
        </w:rPr>
        <w:t xml:space="preserve"> </w:t>
      </w:r>
      <w:r w:rsidRPr="00BB3412">
        <w:rPr>
          <w:szCs w:val="24"/>
        </w:rPr>
        <w:t>20</w:t>
      </w:r>
      <w:r w:rsidRPr="00BB3412" w:rsidR="006F29D7">
        <w:rPr>
          <w:szCs w:val="24"/>
        </w:rPr>
        <w:t>20</w:t>
      </w:r>
      <w:r w:rsidRPr="00BB3412">
        <w:rPr>
          <w:szCs w:val="24"/>
        </w:rPr>
        <w:t>.</w:t>
      </w:r>
    </w:p>
    <w:p w:rsidR="003D1256" w:rsidRPr="00BB3412" w:rsidP="003D1256" w14:paraId="3022DF64" w14:textId="77777777">
      <w:pPr>
        <w:spacing w:line="480" w:lineRule="atLeast"/>
        <w:rPr>
          <w:szCs w:val="24"/>
        </w:rPr>
      </w:pPr>
    </w:p>
    <w:p w:rsidR="003D1256" w:rsidRPr="00BB3412" w:rsidP="003D1256" w14:paraId="44E0C024" w14:textId="77777777">
      <w:pPr>
        <w:rPr>
          <w:i/>
          <w:iCs/>
          <w:szCs w:val="24"/>
          <w:u w:val="single"/>
        </w:rPr>
      </w:pPr>
      <w:r w:rsidRPr="00BB3412">
        <w:rPr>
          <w:szCs w:val="24"/>
        </w:rPr>
        <w:tab/>
      </w:r>
      <w:r w:rsidRPr="00BB3412">
        <w:rPr>
          <w:szCs w:val="24"/>
        </w:rPr>
        <w:tab/>
      </w:r>
      <w:r w:rsidRPr="00BB3412">
        <w:rPr>
          <w:szCs w:val="24"/>
        </w:rPr>
        <w:tab/>
      </w:r>
      <w:r w:rsidRPr="00BB3412">
        <w:rPr>
          <w:szCs w:val="24"/>
        </w:rPr>
        <w:tab/>
      </w:r>
      <w:r w:rsidRPr="00BB3412">
        <w:rPr>
          <w:szCs w:val="24"/>
        </w:rPr>
        <w:tab/>
      </w:r>
      <w:r w:rsidRPr="00BB3412">
        <w:rPr>
          <w:szCs w:val="24"/>
        </w:rPr>
        <w:tab/>
      </w:r>
      <w:r w:rsidRPr="00BB3412">
        <w:rPr>
          <w:i/>
          <w:iCs/>
          <w:szCs w:val="24"/>
          <w:u w:val="single"/>
        </w:rPr>
        <w:t>/s/ Amy Botschner O’Brien</w:t>
      </w:r>
    </w:p>
    <w:p w:rsidR="004B6AD4" w:rsidRPr="00BB3412" w:rsidP="003D1256" w14:paraId="7D38037C" w14:textId="77777777">
      <w:pPr>
        <w:rPr>
          <w:szCs w:val="24"/>
        </w:rPr>
      </w:pPr>
      <w:r w:rsidRPr="00BB3412">
        <w:rPr>
          <w:szCs w:val="24"/>
        </w:rPr>
        <w:tab/>
      </w:r>
      <w:r w:rsidRPr="00BB3412">
        <w:rPr>
          <w:szCs w:val="24"/>
        </w:rPr>
        <w:tab/>
      </w:r>
      <w:r w:rsidRPr="00BB3412">
        <w:rPr>
          <w:szCs w:val="24"/>
        </w:rPr>
        <w:tab/>
      </w:r>
      <w:r w:rsidRPr="00BB3412">
        <w:rPr>
          <w:szCs w:val="24"/>
        </w:rPr>
        <w:tab/>
      </w:r>
      <w:r w:rsidRPr="00BB3412">
        <w:rPr>
          <w:szCs w:val="24"/>
        </w:rPr>
        <w:tab/>
      </w:r>
      <w:r w:rsidRPr="00BB3412">
        <w:rPr>
          <w:szCs w:val="24"/>
        </w:rPr>
        <w:tab/>
        <w:t>Amy Botschner O’Brien</w:t>
      </w:r>
    </w:p>
    <w:p w:rsidR="003D1256" w:rsidP="004B6AD4" w14:paraId="68EAA727" w14:textId="77777777">
      <w:pPr>
        <w:ind w:left="3600" w:firstLine="720"/>
        <w:rPr>
          <w:szCs w:val="24"/>
        </w:rPr>
      </w:pPr>
      <w:r w:rsidRPr="00BB3412">
        <w:rPr>
          <w:szCs w:val="24"/>
        </w:rPr>
        <w:t>Assistant Consumers’ Counsel</w:t>
      </w:r>
    </w:p>
    <w:p w:rsidR="00652332" w:rsidP="004B6AD4" w14:paraId="0D1B6DCB" w14:textId="77777777">
      <w:pPr>
        <w:ind w:left="3600" w:firstLine="720"/>
        <w:rPr>
          <w:szCs w:val="24"/>
        </w:rPr>
      </w:pPr>
    </w:p>
    <w:p w:rsidR="00652332" w:rsidRPr="001C3E46" w:rsidP="00652332" w14:paraId="704FCA6D" w14:textId="77777777">
      <w:pPr>
        <w:pStyle w:val="CommentText"/>
      </w:pPr>
      <w:r w:rsidRPr="001C3E46">
        <w:t>The PUCO’s e-filing system will electronically serve notice of the filing of this document on the following parties:</w:t>
      </w:r>
    </w:p>
    <w:p w:rsidR="00652332" w:rsidRPr="00BB3412" w:rsidP="004B6AD4" w14:paraId="4015B4F4" w14:textId="77777777">
      <w:pPr>
        <w:ind w:left="3600" w:firstLine="720"/>
        <w:rPr>
          <w:szCs w:val="24"/>
        </w:rPr>
      </w:pPr>
    </w:p>
    <w:p w:rsidR="003D1256" w:rsidRPr="00BB3412" w:rsidP="003D1256" w14:paraId="74165DDA" w14:textId="77777777">
      <w:pPr>
        <w:pStyle w:val="CommentText"/>
        <w:jc w:val="center"/>
        <w:rPr>
          <w:b/>
          <w:u w:val="single"/>
        </w:rPr>
      </w:pPr>
    </w:p>
    <w:p w:rsidR="003D1256" w:rsidRPr="00BB3412" w:rsidP="003D1256" w14:paraId="191B7CCB" w14:textId="77777777">
      <w:pPr>
        <w:pStyle w:val="CommentText"/>
        <w:jc w:val="center"/>
        <w:rPr>
          <w:b/>
          <w:u w:val="single"/>
        </w:rPr>
      </w:pPr>
      <w:r w:rsidRPr="00BB3412">
        <w:rPr>
          <w:b/>
          <w:u w:val="single"/>
        </w:rPr>
        <w:t>SERVICE LIST</w:t>
      </w:r>
    </w:p>
    <w:p w:rsidR="003D1256" w:rsidRPr="00BB3412" w:rsidP="003D1256" w14:paraId="4E8F3051" w14:textId="77777777">
      <w:pPr>
        <w:pStyle w:val="CommentText"/>
        <w:jc w:val="center"/>
        <w:rPr>
          <w:b/>
          <w:u w:val="single"/>
        </w:rPr>
      </w:pPr>
    </w:p>
    <w:tbl>
      <w:tblPr>
        <w:tblW w:w="0" w:type="auto"/>
        <w:tblLook w:val="04A0"/>
      </w:tblPr>
      <w:tblGrid>
        <w:gridCol w:w="4392"/>
        <w:gridCol w:w="4248"/>
      </w:tblGrid>
      <w:tr w14:paraId="4FD9B915" w14:textId="77777777" w:rsidTr="008D2269">
        <w:tblPrEx>
          <w:tblW w:w="0" w:type="auto"/>
          <w:tblLook w:val="04A0"/>
        </w:tblPrEx>
        <w:tc>
          <w:tcPr>
            <w:tcW w:w="4428" w:type="dxa"/>
            <w:shd w:val="clear" w:color="auto" w:fill="auto"/>
          </w:tcPr>
          <w:p w:rsidR="003D1256" w:rsidRPr="00BB3412" w:rsidP="008D2269" w14:paraId="663D7295" w14:textId="77777777">
            <w:pPr>
              <w:pStyle w:val="CommentText"/>
              <w:rPr>
                <w:bCs/>
              </w:rPr>
            </w:pPr>
            <w:hyperlink r:id="rId9" w:history="1">
              <w:r w:rsidRPr="00BB3412" w:rsidR="00041DF9">
                <w:rPr>
                  <w:rStyle w:val="Hyperlink"/>
                  <w:bCs/>
                </w:rPr>
                <w:t>Robert.eubanks@ohioattorneygeneral.gov</w:t>
              </w:r>
            </w:hyperlink>
          </w:p>
          <w:p w:rsidR="00041DF9" w:rsidRPr="00BB3412" w:rsidP="008D2269" w14:paraId="5E61B231" w14:textId="77777777">
            <w:pPr>
              <w:pStyle w:val="CommentText"/>
              <w:rPr>
                <w:bCs/>
              </w:rPr>
            </w:pPr>
            <w:hyperlink r:id="rId10" w:history="1">
              <w:r w:rsidRPr="00BB3412" w:rsidR="007F24BB">
                <w:rPr>
                  <w:rStyle w:val="Hyperlink"/>
                  <w:bCs/>
                </w:rPr>
                <w:t>Jodi.bair@ohioattorneygeneral.gov</w:t>
              </w:r>
            </w:hyperlink>
          </w:p>
          <w:p w:rsidR="00041DF9" w:rsidRPr="00BB3412" w:rsidP="008D2269" w14:paraId="64FDE980" w14:textId="77777777">
            <w:pPr>
              <w:pStyle w:val="CommentText"/>
              <w:rPr>
                <w:bCs/>
              </w:rPr>
            </w:pPr>
          </w:p>
          <w:p w:rsidR="00041DF9" w:rsidRPr="00BB3412" w:rsidP="008D2269" w14:paraId="7BF3BC52" w14:textId="77777777">
            <w:pPr>
              <w:pStyle w:val="CommentText"/>
              <w:rPr>
                <w:bCs/>
              </w:rPr>
            </w:pPr>
            <w:r w:rsidRPr="00BB3412">
              <w:rPr>
                <w:bCs/>
              </w:rPr>
              <w:t>Attorney Examiners:</w:t>
            </w:r>
          </w:p>
          <w:p w:rsidR="00041DF9" w:rsidRPr="00BB3412" w:rsidP="008D2269" w14:paraId="508C9A69" w14:textId="77777777">
            <w:pPr>
              <w:pStyle w:val="CommentText"/>
              <w:rPr>
                <w:bCs/>
              </w:rPr>
            </w:pPr>
          </w:p>
          <w:p w:rsidR="00041DF9" w:rsidRPr="00BB3412" w:rsidP="008D2269" w14:paraId="3D0C9B77" w14:textId="77777777">
            <w:pPr>
              <w:pStyle w:val="CommentText"/>
              <w:rPr>
                <w:bCs/>
              </w:rPr>
            </w:pPr>
            <w:hyperlink r:id="rId11" w:history="1">
              <w:r w:rsidRPr="00BB3412" w:rsidR="007F24BB">
                <w:rPr>
                  <w:rStyle w:val="Hyperlink"/>
                  <w:bCs/>
                </w:rPr>
                <w:t>Megan.addison@puco.ohio.gov</w:t>
              </w:r>
            </w:hyperlink>
          </w:p>
          <w:p w:rsidR="00041DF9" w:rsidRPr="00BB3412" w:rsidP="008D2269" w14:paraId="27B4FE99" w14:textId="77777777">
            <w:pPr>
              <w:pStyle w:val="CommentText"/>
              <w:rPr>
                <w:bCs/>
              </w:rPr>
            </w:pPr>
            <w:hyperlink r:id="rId12" w:history="1">
              <w:r w:rsidRPr="00BB3412" w:rsidR="007F24BB">
                <w:rPr>
                  <w:rStyle w:val="Hyperlink"/>
                  <w:bCs/>
                </w:rPr>
                <w:t>Gregory.price@puco.ohio.gov</w:t>
              </w:r>
            </w:hyperlink>
          </w:p>
          <w:p w:rsidR="00041DF9" w:rsidRPr="00BB3412" w:rsidP="008D2269" w14:paraId="6597E94E" w14:textId="77777777">
            <w:pPr>
              <w:pStyle w:val="CommentText"/>
              <w:rPr>
                <w:bCs/>
              </w:rPr>
            </w:pPr>
          </w:p>
        </w:tc>
        <w:tc>
          <w:tcPr>
            <w:tcW w:w="4428" w:type="dxa"/>
            <w:shd w:val="clear" w:color="auto" w:fill="auto"/>
          </w:tcPr>
          <w:p w:rsidR="003D1256" w:rsidRPr="00BB3412" w:rsidP="008D2269" w14:paraId="0FDE383F" w14:textId="77777777">
            <w:pPr>
              <w:pStyle w:val="CommentText"/>
              <w:ind w:left="617"/>
            </w:pPr>
            <w:hyperlink r:id="rId13" w:history="1">
              <w:r w:rsidRPr="00BB3412" w:rsidR="007F24BB">
                <w:rPr>
                  <w:rStyle w:val="Hyperlink"/>
                </w:rPr>
                <w:t>rendris@firstenergycorp.com</w:t>
              </w:r>
            </w:hyperlink>
          </w:p>
          <w:p w:rsidR="003D1256" w:rsidRPr="00BB3412" w:rsidP="008D2269" w14:paraId="5B20735F" w14:textId="77777777">
            <w:pPr>
              <w:pStyle w:val="CommentText"/>
              <w:ind w:left="617"/>
            </w:pPr>
          </w:p>
          <w:p w:rsidR="003D1256" w:rsidRPr="00BB3412" w:rsidP="008D2269" w14:paraId="06F6DCFB" w14:textId="77777777">
            <w:pPr>
              <w:pStyle w:val="CommentText"/>
              <w:ind w:left="617"/>
            </w:pPr>
          </w:p>
          <w:p w:rsidR="003D1256" w:rsidRPr="00BB3412" w:rsidP="008D2269" w14:paraId="47883803" w14:textId="77777777">
            <w:pPr>
              <w:pStyle w:val="CommentText"/>
              <w:rPr>
                <w:b/>
              </w:rPr>
            </w:pPr>
          </w:p>
        </w:tc>
      </w:tr>
    </w:tbl>
    <w:p w:rsidR="003D1256" w:rsidRPr="00BB3412" w:rsidP="003D1256" w14:paraId="6E9E4D57" w14:textId="77777777">
      <w:pPr>
        <w:pStyle w:val="BodyText"/>
        <w:rPr>
          <w:bCs/>
          <w:szCs w:val="24"/>
        </w:rPr>
      </w:pPr>
    </w:p>
    <w:p w:rsidR="003D1256" w:rsidRPr="00BB3412" w:rsidP="006F1EA1" w14:paraId="4A0A0654" w14:textId="77777777">
      <w:pPr>
        <w:pStyle w:val="BodyTextIndent3"/>
        <w:widowControl w:val="0"/>
        <w:spacing w:line="480" w:lineRule="auto"/>
        <w:ind w:right="-672" w:firstLine="0"/>
        <w:jc w:val="center"/>
        <w:rPr>
          <w:b/>
          <w:bCs/>
          <w:szCs w:val="24"/>
          <w:u w:val="single"/>
        </w:rPr>
      </w:pPr>
    </w:p>
    <w:p w:rsidR="003D1256" w:rsidRPr="00BB3412" w:rsidP="006F1EA1" w14:paraId="7DA1AAF0" w14:textId="77777777">
      <w:pPr>
        <w:pStyle w:val="BodyTextIndent3"/>
        <w:widowControl w:val="0"/>
        <w:spacing w:line="480" w:lineRule="auto"/>
        <w:ind w:right="-672" w:firstLine="0"/>
        <w:jc w:val="center"/>
        <w:rPr>
          <w:b/>
          <w:bCs/>
          <w:szCs w:val="24"/>
          <w:u w:val="single"/>
        </w:rPr>
      </w:pPr>
    </w:p>
    <w:p w:rsidR="003D1256" w:rsidRPr="00BB3412" w:rsidP="006F1EA1" w14:paraId="3E27C501" w14:textId="77777777">
      <w:pPr>
        <w:pStyle w:val="BodyTextIndent3"/>
        <w:widowControl w:val="0"/>
        <w:spacing w:line="480" w:lineRule="auto"/>
        <w:ind w:right="-672" w:firstLine="0"/>
        <w:jc w:val="center"/>
        <w:rPr>
          <w:b/>
          <w:bCs/>
          <w:szCs w:val="24"/>
          <w:u w:val="single"/>
        </w:rPr>
      </w:pPr>
    </w:p>
    <w:p w:rsidR="003D1256" w:rsidRPr="00BB3412" w:rsidP="006F1EA1" w14:paraId="16BD8F1B" w14:textId="77777777">
      <w:pPr>
        <w:pStyle w:val="BodyTextIndent3"/>
        <w:widowControl w:val="0"/>
        <w:spacing w:line="480" w:lineRule="auto"/>
        <w:ind w:right="-672" w:firstLine="0"/>
        <w:jc w:val="center"/>
        <w:rPr>
          <w:b/>
          <w:bCs/>
          <w:szCs w:val="24"/>
          <w:u w:val="single"/>
        </w:rPr>
      </w:pPr>
    </w:p>
    <w:p w:rsidR="003D1256" w:rsidRPr="00BB3412" w:rsidP="006F1EA1" w14:paraId="0127CD30" w14:textId="77777777">
      <w:pPr>
        <w:pStyle w:val="BodyTextIndent3"/>
        <w:widowControl w:val="0"/>
        <w:spacing w:line="480" w:lineRule="auto"/>
        <w:ind w:right="-672" w:firstLine="0"/>
        <w:jc w:val="center"/>
        <w:rPr>
          <w:b/>
          <w:bCs/>
          <w:szCs w:val="24"/>
          <w:u w:val="single"/>
        </w:rPr>
      </w:pPr>
    </w:p>
    <w:p w:rsidR="003D1256" w:rsidRPr="00BB3412" w:rsidP="006F1EA1" w14:paraId="6EF75DC3" w14:textId="77777777">
      <w:pPr>
        <w:pStyle w:val="BodyTextIndent3"/>
        <w:widowControl w:val="0"/>
        <w:spacing w:line="480" w:lineRule="auto"/>
        <w:ind w:right="-672" w:firstLine="0"/>
        <w:jc w:val="center"/>
        <w:rPr>
          <w:b/>
          <w:bCs/>
          <w:szCs w:val="24"/>
          <w:u w:val="single"/>
        </w:rPr>
      </w:pPr>
    </w:p>
    <w:p w:rsidR="003D1256" w:rsidRPr="00BB3412" w:rsidP="006F1EA1" w14:paraId="22D4EBF1" w14:textId="77777777">
      <w:pPr>
        <w:pStyle w:val="BodyTextIndent3"/>
        <w:widowControl w:val="0"/>
        <w:spacing w:line="480" w:lineRule="auto"/>
        <w:ind w:right="-672" w:firstLine="0"/>
        <w:jc w:val="center"/>
        <w:rPr>
          <w:b/>
          <w:bCs/>
          <w:szCs w:val="24"/>
          <w:u w:val="single"/>
        </w:rPr>
      </w:pPr>
    </w:p>
    <w:p w:rsidR="003D1256" w:rsidRPr="00BB3412" w:rsidP="006F1EA1" w14:paraId="5D6C435B" w14:textId="77777777">
      <w:pPr>
        <w:pStyle w:val="BodyTextIndent3"/>
        <w:widowControl w:val="0"/>
        <w:spacing w:line="480" w:lineRule="auto"/>
        <w:ind w:right="-672" w:firstLine="0"/>
        <w:jc w:val="center"/>
        <w:rPr>
          <w:b/>
          <w:bCs/>
          <w:szCs w:val="24"/>
          <w:u w:val="single"/>
        </w:rPr>
      </w:pPr>
    </w:p>
    <w:sectPr w:rsidSect="006F1EA1">
      <w:footerReference w:type="first" r:id="rId14"/>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4338" w:rsidRPr="007F2D96" w14:paraId="4A456C68" w14:textId="77777777">
    <w:pPr>
      <w:pStyle w:val="Footer"/>
      <w:jc w:val="center"/>
      <w:rPr>
        <w:sz w:val="24"/>
        <w:szCs w:val="24"/>
      </w:rPr>
    </w:pPr>
    <w:r w:rsidRPr="007F2D96">
      <w:rPr>
        <w:sz w:val="24"/>
        <w:szCs w:val="24"/>
      </w:rPr>
      <w:fldChar w:fldCharType="begin"/>
    </w:r>
    <w:r w:rsidRPr="007F2D96">
      <w:rPr>
        <w:sz w:val="24"/>
        <w:szCs w:val="24"/>
      </w:rPr>
      <w:instrText xml:space="preserve"> PAGE   \* MERGEFORMAT </w:instrText>
    </w:r>
    <w:r w:rsidRPr="007F2D96">
      <w:rPr>
        <w:sz w:val="24"/>
        <w:szCs w:val="24"/>
      </w:rPr>
      <w:fldChar w:fldCharType="separate"/>
    </w:r>
    <w:r w:rsidR="00DA170E">
      <w:rPr>
        <w:noProof/>
        <w:sz w:val="24"/>
        <w:szCs w:val="24"/>
      </w:rPr>
      <w:t>13</w:t>
    </w:r>
    <w:r w:rsidRPr="007F2D96">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1DF9" w:rsidRPr="00041DF9" w14:paraId="4E1418A7" w14:textId="77777777">
    <w:pPr>
      <w:pStyle w:val="Footer"/>
      <w:jc w:val="center"/>
      <w:rPr>
        <w:sz w:val="24"/>
        <w:szCs w:val="24"/>
      </w:rPr>
    </w:pPr>
    <w:r w:rsidRPr="00041DF9">
      <w:rPr>
        <w:sz w:val="24"/>
        <w:szCs w:val="24"/>
      </w:rPr>
      <w:fldChar w:fldCharType="begin"/>
    </w:r>
    <w:r w:rsidRPr="00041DF9">
      <w:rPr>
        <w:sz w:val="24"/>
        <w:szCs w:val="24"/>
      </w:rPr>
      <w:instrText xml:space="preserve"> PAGE   \* MERGEFORMAT </w:instrText>
    </w:r>
    <w:r w:rsidRPr="00041DF9">
      <w:rPr>
        <w:sz w:val="24"/>
        <w:szCs w:val="24"/>
      </w:rPr>
      <w:fldChar w:fldCharType="separate"/>
    </w:r>
    <w:r w:rsidR="00DA170E">
      <w:rPr>
        <w:noProof/>
        <w:sz w:val="24"/>
        <w:szCs w:val="24"/>
      </w:rPr>
      <w:t>14</w:t>
    </w:r>
    <w:r w:rsidRPr="00041DF9">
      <w:rPr>
        <w:noProof/>
        <w:sz w:val="24"/>
        <w:szCs w:val="24"/>
      </w:rPr>
      <w:fldChar w:fldCharType="end"/>
    </w:r>
  </w:p>
  <w:p w:rsidR="006F1EA1" w:rsidRPr="00C00B86" w:rsidP="006F1EA1" w14:paraId="740295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5083" w14:paraId="6BFFA3D8" w14:textId="77777777">
      <w:r>
        <w:separator/>
      </w:r>
    </w:p>
  </w:footnote>
  <w:footnote w:type="continuationSeparator" w:id="1">
    <w:p w:rsidR="001B5083" w14:paraId="5A088037" w14:textId="77777777">
      <w:r>
        <w:continuationSeparator/>
      </w:r>
    </w:p>
  </w:footnote>
  <w:footnote w:id="2">
    <w:p w:rsidR="00C53581" w14:paraId="0F7F3009" w14:textId="1EFA6453">
      <w:pPr>
        <w:pStyle w:val="FootnoteText"/>
      </w:pPr>
      <w:r>
        <w:rPr>
          <w:rStyle w:val="FootnoteReference"/>
        </w:rPr>
        <w:footnoteRef/>
      </w:r>
      <w:r>
        <w:t xml:space="preserve"> </w:t>
      </w:r>
      <w:r w:rsidRPr="00B54427">
        <w:rPr>
          <w:i/>
          <w:iCs/>
        </w:rPr>
        <w:t>See</w:t>
      </w:r>
      <w:r w:rsidR="007671FA">
        <w:rPr>
          <w:i/>
          <w:iCs/>
        </w:rPr>
        <w:t>,</w:t>
      </w:r>
      <w:r>
        <w:t xml:space="preserve"> </w:t>
      </w:r>
      <w:r w:rsidR="00B54427">
        <w:t xml:space="preserve">Compliance Audit of the 2019 Delivery Capital Recovery </w:t>
      </w:r>
      <w:r w:rsidR="00A934D0">
        <w:t xml:space="preserve">(DCR) </w:t>
      </w:r>
      <w:r w:rsidR="00B54427">
        <w:t>Riders of FirstEnergy (“Audit Report”) (June 12,</w:t>
      </w:r>
      <w:r w:rsidR="007671FA">
        <w:t xml:space="preserve"> </w:t>
      </w:r>
      <w:r w:rsidR="00B54427">
        <w:t>2020)</w:t>
      </w:r>
      <w:r>
        <w:t xml:space="preserve"> at 8. </w:t>
      </w:r>
    </w:p>
  </w:footnote>
  <w:footnote w:id="3">
    <w:p w:rsidR="00123A9C" w:rsidP="00BB3412" w14:paraId="270FAD1E" w14:textId="0FF700D7">
      <w:pPr>
        <w:pStyle w:val="FootnoteText"/>
      </w:pPr>
      <w:r>
        <w:rPr>
          <w:rStyle w:val="FootnoteReference"/>
        </w:rPr>
        <w:footnoteRef/>
      </w:r>
      <w:r>
        <w:t xml:space="preserve"> </w:t>
      </w:r>
      <w:r w:rsidR="00B54427">
        <w:t>Audit Report at 9, Table 1.</w:t>
      </w:r>
    </w:p>
  </w:footnote>
  <w:footnote w:id="4">
    <w:p w:rsidR="00B54427" w14:paraId="03104071" w14:textId="06A06DC0">
      <w:pPr>
        <w:pStyle w:val="FootnoteText"/>
      </w:pPr>
      <w:r>
        <w:rPr>
          <w:rStyle w:val="FootnoteReference"/>
        </w:rPr>
        <w:footnoteRef/>
      </w:r>
      <w:r w:rsidR="00A934D0">
        <w:rPr>
          <w:i/>
          <w:iCs/>
        </w:rPr>
        <w:t xml:space="preserve">See, </w:t>
      </w:r>
      <w:r w:rsidRPr="007671FA" w:rsidR="00AE5FE0">
        <w:rPr>
          <w:i/>
          <w:iCs/>
        </w:rPr>
        <w:t>In the Matter of the Application of Ohio Edison Company, the Cleveland Electric Illuminating Company and the Toledo Edison Company to Implement Matters Relating to the Tax Cuts and Jobs Act of 2017</w:t>
      </w:r>
      <w:r w:rsidR="00AE5FE0">
        <w:t>, Case No. 18-1604-EL-UNC et al</w:t>
      </w:r>
      <w:r w:rsidR="007671FA">
        <w:t>. (July 17, 2019).</w:t>
      </w:r>
      <w:r>
        <w:t xml:space="preserve"> </w:t>
      </w:r>
    </w:p>
  </w:footnote>
  <w:footnote w:id="5">
    <w:p w:rsidR="00445090" w:rsidP="00BB3412" w14:paraId="17FD7EAE" w14:textId="77777777">
      <w:pPr>
        <w:pStyle w:val="FootnoteText"/>
      </w:pPr>
      <w:r>
        <w:rPr>
          <w:rStyle w:val="FootnoteReference"/>
        </w:rPr>
        <w:footnoteRef/>
      </w:r>
      <w:r>
        <w:t xml:space="preserve"> </w:t>
      </w:r>
      <w:r w:rsidRPr="004968B7">
        <w:t>The Adjusted 2019 Annual DCR Revenue Cap is $308,071,757 and the Auditor-recommended revenue requirement (assuming all adjustment were adopted by the PUCO) is $330,894,063. See Audit Report at 9 and 110. The estimated actual 2019 DCR collection is $314,309,828, which is less than the Auditor-recommended revenue requirement. So there does not appear to be any DCR overcharge in 2019 even assuming all adjustments recommended by the Auditor were adopted.</w:t>
      </w:r>
    </w:p>
  </w:footnote>
  <w:footnote w:id="6">
    <w:p w:rsidR="009F1566" w:rsidP="009F1566" w14:paraId="01363C1E" w14:textId="655BBF73">
      <w:pPr>
        <w:spacing w:after="240"/>
      </w:pPr>
      <w:r>
        <w:rPr>
          <w:rStyle w:val="FootnoteReference"/>
        </w:rPr>
        <w:footnoteRef/>
      </w:r>
      <w:r>
        <w:t xml:space="preserve"> </w:t>
      </w:r>
      <w:r w:rsidRPr="009F1566">
        <w:rPr>
          <w:sz w:val="20"/>
        </w:rPr>
        <w:t xml:space="preserve">Case No. 18-1604-EL-UNC Stipulation and Recommendation (Nov. 9, 2018), TCJA Resolutions (a)(b)(c)(d); </w:t>
      </w:r>
      <w:r w:rsidRPr="009F1566">
        <w:rPr>
          <w:i/>
          <w:iCs/>
          <w:sz w:val="20"/>
        </w:rPr>
        <w:t>See also</w:t>
      </w:r>
      <w:r w:rsidRPr="009F1566">
        <w:rPr>
          <w:sz w:val="20"/>
        </w:rPr>
        <w:t>, Audit Report at 101.</w:t>
      </w:r>
    </w:p>
  </w:footnote>
  <w:footnote w:id="7">
    <w:p w:rsidR="00AA3DA6" w:rsidP="00AA3DA6" w14:paraId="141AE76E" w14:textId="77777777">
      <w:pPr>
        <w:pStyle w:val="FootnoteText"/>
      </w:pPr>
      <w:r>
        <w:rPr>
          <w:rStyle w:val="FootnoteReference"/>
        </w:rPr>
        <w:footnoteRef/>
      </w:r>
      <w:r>
        <w:t xml:space="preserve"> Case No. 18-1604-EL-UNC; </w:t>
      </w:r>
      <w:r w:rsidRPr="00314BAE">
        <w:rPr>
          <w:i/>
          <w:iCs/>
        </w:rPr>
        <w:t>See</w:t>
      </w:r>
      <w:r>
        <w:t xml:space="preserve"> Audit Report at 101.</w:t>
      </w:r>
    </w:p>
  </w:footnote>
  <w:footnote w:id="8">
    <w:p w:rsidR="005A1955" w:rsidP="005A1955" w14:paraId="4F350C5D" w14:textId="77777777">
      <w:pPr>
        <w:pStyle w:val="FootnoteText"/>
      </w:pPr>
      <w:r>
        <w:rPr>
          <w:rStyle w:val="FootnoteReference"/>
        </w:rPr>
        <w:footnoteRef/>
      </w:r>
      <w:r>
        <w:t xml:space="preserve"> In utility ratemaking, excess accumulated deferred income taxes (“EDIT”) or excessive ADIT is a customer-provided source of funding and would lead to a reduction of rate base and consequently a reduction in the rates charged to customers. </w:t>
      </w:r>
    </w:p>
  </w:footnote>
  <w:footnote w:id="9">
    <w:p w:rsidR="00037AE5" w:rsidP="00037AE5" w14:paraId="33E5A77B" w14:textId="77777777">
      <w:pPr>
        <w:pStyle w:val="FootnoteText"/>
      </w:pPr>
      <w:r>
        <w:rPr>
          <w:rStyle w:val="FootnoteReference"/>
        </w:rPr>
        <w:footnoteRef/>
      </w:r>
      <w:r>
        <w:t xml:space="preserve"> </w:t>
      </w:r>
      <w:r w:rsidRPr="00B14E60">
        <w:rPr>
          <w:i/>
          <w:iCs/>
        </w:rPr>
        <w:t>See</w:t>
      </w:r>
      <w:r>
        <w:t xml:space="preserve"> Audit Report at 105.</w:t>
      </w:r>
    </w:p>
  </w:footnote>
  <w:footnote w:id="10">
    <w:p w:rsidR="005A1955" w:rsidP="005A1955" w14:paraId="050543BC" w14:textId="77777777">
      <w:pPr>
        <w:pStyle w:val="FootnoteText"/>
      </w:pPr>
      <w:r>
        <w:rPr>
          <w:rStyle w:val="FootnoteReference"/>
        </w:rPr>
        <w:footnoteRef/>
      </w:r>
      <w:r>
        <w:rPr>
          <w:i/>
          <w:iCs/>
        </w:rPr>
        <w:t xml:space="preserve"> See, </w:t>
      </w:r>
      <w:r>
        <w:t>Case No. 18-1604-EL-UNC et al. (July 17, 2019). See also, Audit Report at 14.</w:t>
      </w:r>
    </w:p>
  </w:footnote>
  <w:footnote w:id="11">
    <w:p w:rsidR="00B169CA" w14:paraId="72F1A556" w14:textId="77777777">
      <w:pPr>
        <w:pStyle w:val="FootnoteText"/>
      </w:pPr>
      <w:r>
        <w:rPr>
          <w:rStyle w:val="FootnoteReference"/>
        </w:rPr>
        <w:footnoteRef/>
      </w:r>
      <w:r>
        <w:t xml:space="preserve"> FirstEnergy Comments at 4.</w:t>
      </w:r>
    </w:p>
  </w:footnote>
  <w:footnote w:id="12">
    <w:p w:rsidR="00407B30" w14:paraId="3B60C310" w14:textId="77777777">
      <w:pPr>
        <w:pStyle w:val="FootnoteText"/>
      </w:pPr>
      <w:r>
        <w:rPr>
          <w:rStyle w:val="FootnoteReference"/>
        </w:rPr>
        <w:footnoteRef/>
      </w:r>
      <w:r>
        <w:t xml:space="preserve"> </w:t>
      </w:r>
      <w:r w:rsidRPr="00462E30">
        <w:rPr>
          <w:i/>
          <w:iCs/>
        </w:rPr>
        <w:t>See</w:t>
      </w:r>
      <w:r>
        <w:t xml:space="preserve">, Audit Report at 104, Table 44. </w:t>
      </w:r>
    </w:p>
  </w:footnote>
  <w:footnote w:id="13">
    <w:p w:rsidR="00417A1A" w:rsidP="00417A1A" w14:paraId="081E2CAE" w14:textId="1A9B736C">
      <w:pPr>
        <w:pStyle w:val="FootnoteText"/>
      </w:pPr>
      <w:r>
        <w:rPr>
          <w:rStyle w:val="FootnoteReference"/>
        </w:rPr>
        <w:footnoteRef/>
      </w:r>
      <w:r>
        <w:t xml:space="preserve"> </w:t>
      </w:r>
      <w:r w:rsidRPr="00D72F7B">
        <w:rPr>
          <w:i/>
          <w:iCs/>
        </w:rPr>
        <w:t xml:space="preserve">See </w:t>
      </w:r>
      <w:r>
        <w:t>Audit Report at 9, Table 1.</w:t>
      </w:r>
      <w:r w:rsidR="00885A62">
        <w:t xml:space="preserve"> </w:t>
      </w:r>
    </w:p>
  </w:footnote>
  <w:footnote w:id="14">
    <w:p w:rsidR="00C22D55" w14:paraId="59B1FBF2" w14:textId="77777777">
      <w:pPr>
        <w:pStyle w:val="FootnoteText"/>
      </w:pPr>
      <w:r>
        <w:rPr>
          <w:rStyle w:val="FootnoteReference"/>
        </w:rPr>
        <w:footnoteRef/>
      </w:r>
      <w:r>
        <w:t xml:space="preserve"> </w:t>
      </w:r>
      <w:r w:rsidRPr="00C22D55">
        <w:rPr>
          <w:i/>
          <w:iCs/>
        </w:rPr>
        <w:t>See</w:t>
      </w:r>
      <w:r>
        <w:t xml:space="preserve"> Audit Report at 101-104.</w:t>
      </w:r>
    </w:p>
  </w:footnote>
  <w:footnote w:id="15">
    <w:p w:rsidR="00BF5B34" w14:paraId="1C1B57D8" w14:textId="77777777">
      <w:pPr>
        <w:pStyle w:val="FootnoteText"/>
      </w:pPr>
      <w:r>
        <w:rPr>
          <w:rStyle w:val="FootnoteReference"/>
        </w:rPr>
        <w:footnoteRef/>
      </w:r>
      <w:r>
        <w:t xml:space="preserve"> </w:t>
      </w:r>
      <w:r w:rsidRPr="00BF5B34">
        <w:rPr>
          <w:i/>
          <w:iCs/>
        </w:rPr>
        <w:t>Id</w:t>
      </w:r>
      <w:r>
        <w:t>. at 106.</w:t>
      </w:r>
    </w:p>
  </w:footnote>
  <w:footnote w:id="16">
    <w:p w:rsidR="00BF1782" w14:paraId="6005C6A5" w14:textId="77777777">
      <w:pPr>
        <w:pStyle w:val="FootnoteText"/>
      </w:pPr>
      <w:r>
        <w:rPr>
          <w:rStyle w:val="FootnoteReference"/>
        </w:rPr>
        <w:footnoteRef/>
      </w:r>
      <w:r>
        <w:t xml:space="preserve"> Audit Report at 60.</w:t>
      </w:r>
    </w:p>
  </w:footnote>
  <w:footnote w:id="17">
    <w:p w:rsidR="00DA79BE" w14:paraId="58A2853A" w14:textId="77777777">
      <w:pPr>
        <w:pStyle w:val="FootnoteText"/>
      </w:pPr>
      <w:r>
        <w:rPr>
          <w:rStyle w:val="FootnoteReference"/>
        </w:rPr>
        <w:footnoteRef/>
      </w:r>
      <w:r>
        <w:t xml:space="preserve"> FirstEnergy Comments at 5.</w:t>
      </w:r>
    </w:p>
  </w:footnote>
  <w:footnote w:id="18">
    <w:p w:rsidR="00F36C49" w14:paraId="6DDDE160" w14:textId="77777777">
      <w:pPr>
        <w:pStyle w:val="FootnoteText"/>
      </w:pPr>
      <w:r>
        <w:rPr>
          <w:rStyle w:val="FootnoteReference"/>
        </w:rPr>
        <w:footnoteRef/>
      </w:r>
      <w:r>
        <w:t xml:space="preserve"> </w:t>
      </w:r>
      <w:r w:rsidRPr="00F36C49">
        <w:rPr>
          <w:i/>
          <w:iCs/>
        </w:rPr>
        <w:t>Id</w:t>
      </w:r>
      <w:r>
        <w:t>.</w:t>
      </w:r>
    </w:p>
  </w:footnote>
  <w:footnote w:id="19">
    <w:p w:rsidR="00BF1782" w14:paraId="741C21DF" w14:textId="77777777">
      <w:pPr>
        <w:pStyle w:val="FootnoteText"/>
      </w:pPr>
      <w:r>
        <w:rPr>
          <w:rStyle w:val="FootnoteReference"/>
        </w:rPr>
        <w:footnoteRef/>
      </w:r>
      <w:r>
        <w:t xml:space="preserve"> </w:t>
      </w:r>
      <w:r w:rsidRPr="00512BE4">
        <w:rPr>
          <w:i/>
          <w:iCs/>
        </w:rPr>
        <w:t>Id</w:t>
      </w:r>
      <w:r>
        <w:t xml:space="preserve">. </w:t>
      </w:r>
    </w:p>
  </w:footnote>
  <w:footnote w:id="20">
    <w:p w:rsidR="00512BE4" w14:paraId="764C6DE8" w14:textId="77777777">
      <w:pPr>
        <w:pStyle w:val="FootnoteText"/>
      </w:pPr>
      <w:r>
        <w:rPr>
          <w:rStyle w:val="FootnoteReference"/>
        </w:rPr>
        <w:footnoteRef/>
      </w:r>
      <w:r>
        <w:t xml:space="preserve"> FirstEnergy Comments at 5-6.</w:t>
      </w:r>
    </w:p>
  </w:footnote>
  <w:footnote w:id="21">
    <w:p w:rsidR="00BF760C" w14:paraId="6D214DE5" w14:textId="77777777">
      <w:pPr>
        <w:pStyle w:val="FootnoteText"/>
      </w:pPr>
      <w:r>
        <w:rPr>
          <w:rStyle w:val="FootnoteReference"/>
        </w:rPr>
        <w:footnoteRef/>
      </w:r>
      <w:r>
        <w:t xml:space="preserve"> Audit Report at 17, 61.</w:t>
      </w:r>
    </w:p>
  </w:footnote>
  <w:footnote w:id="22">
    <w:p w:rsidR="00BF760C" w14:paraId="31B64AB2" w14:textId="77777777">
      <w:pPr>
        <w:pStyle w:val="FootnoteText"/>
      </w:pPr>
      <w:r>
        <w:rPr>
          <w:rStyle w:val="FootnoteReference"/>
        </w:rPr>
        <w:footnoteRef/>
      </w:r>
      <w:r>
        <w:t xml:space="preserve"> FirstEnergy Comments at 5-6.</w:t>
      </w:r>
    </w:p>
  </w:footnote>
  <w:footnote w:id="23">
    <w:p w:rsidR="00E73201" w14:paraId="395C55EC" w14:textId="77777777">
      <w:pPr>
        <w:pStyle w:val="FootnoteText"/>
      </w:pPr>
      <w:r>
        <w:rPr>
          <w:rStyle w:val="FootnoteReference"/>
        </w:rPr>
        <w:footnoteRef/>
      </w:r>
      <w:r>
        <w:t xml:space="preserve"> Audit Report at 17.</w:t>
      </w:r>
    </w:p>
  </w:footnote>
  <w:footnote w:id="24">
    <w:p w:rsidR="00C31066" w14:paraId="26590E9C" w14:textId="77777777">
      <w:pPr>
        <w:pStyle w:val="FootnoteText"/>
      </w:pPr>
      <w:r>
        <w:rPr>
          <w:rStyle w:val="FootnoteReference"/>
        </w:rPr>
        <w:footnoteRef/>
      </w:r>
      <w:r>
        <w:t xml:space="preserve"> FirstEnergy Comments at 7.</w:t>
      </w:r>
    </w:p>
  </w:footnote>
  <w:footnote w:id="25">
    <w:p w:rsidR="00D83A99" w14:paraId="41924246" w14:textId="77777777">
      <w:pPr>
        <w:pStyle w:val="FootnoteText"/>
      </w:pPr>
      <w:r>
        <w:rPr>
          <w:rStyle w:val="FootnoteReference"/>
        </w:rPr>
        <w:footnoteRef/>
      </w:r>
      <w:r>
        <w:t xml:space="preserve">Audit Report at 17. </w:t>
      </w:r>
    </w:p>
  </w:footnote>
  <w:footnote w:id="26">
    <w:p w:rsidR="000E20E0" w:rsidP="000E20E0" w14:paraId="23055BD6" w14:textId="77777777">
      <w:pPr>
        <w:pStyle w:val="FootnoteText"/>
      </w:pPr>
      <w:r>
        <w:rPr>
          <w:rStyle w:val="FootnoteReference"/>
        </w:rPr>
        <w:footnoteRef/>
      </w:r>
      <w:r>
        <w:t xml:space="preserve"> </w:t>
      </w:r>
      <w:r w:rsidRPr="00D72F7B">
        <w:rPr>
          <w:i/>
          <w:iCs/>
        </w:rPr>
        <w:t>See</w:t>
      </w:r>
      <w:r>
        <w:t xml:space="preserve"> Audit Report at 61 (Adjustment #10 through Adjustment #13). $2,991,478 = $1,399,214 + $1,122,072 + $8,504 + $461,638.</w:t>
      </w:r>
    </w:p>
  </w:footnote>
  <w:footnote w:id="27">
    <w:p w:rsidR="000E20E0" w:rsidP="000E20E0" w14:paraId="1FA0E381" w14:textId="77777777">
      <w:pPr>
        <w:pStyle w:val="FootnoteText"/>
      </w:pPr>
      <w:r>
        <w:rPr>
          <w:rStyle w:val="FootnoteReference"/>
        </w:rPr>
        <w:footnoteRef/>
      </w:r>
      <w:r>
        <w:t xml:space="preserve"> </w:t>
      </w:r>
      <w:r w:rsidRPr="00D72F7B">
        <w:rPr>
          <w:i/>
          <w:iCs/>
        </w:rPr>
        <w:t>See</w:t>
      </w:r>
      <w:r>
        <w:t xml:space="preserve"> Audit Report at 61, Table 26.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9572A0F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C54A0D8"/>
    <w:lvl w:ilvl="0">
      <w:start w:val="1"/>
      <w:numFmt w:val="decimal"/>
      <w:lvlText w:val="%1."/>
      <w:lvlJc w:val="left"/>
      <w:pPr>
        <w:tabs>
          <w:tab w:val="num" w:pos="1800"/>
        </w:tabs>
        <w:ind w:left="1800" w:hanging="360"/>
      </w:pPr>
    </w:lvl>
  </w:abstractNum>
  <w:abstractNum w:abstractNumId="2">
    <w:nsid w:val="FFFFFF7D"/>
    <w:multiLevelType w:val="singleLevel"/>
    <w:tmpl w:val="312E1B36"/>
    <w:lvl w:ilvl="0">
      <w:start w:val="1"/>
      <w:numFmt w:val="decimal"/>
      <w:lvlText w:val="%1."/>
      <w:lvlJc w:val="left"/>
      <w:pPr>
        <w:tabs>
          <w:tab w:val="num" w:pos="1440"/>
        </w:tabs>
        <w:ind w:left="1440" w:hanging="360"/>
      </w:pPr>
    </w:lvl>
  </w:abstractNum>
  <w:abstractNum w:abstractNumId="3">
    <w:nsid w:val="FFFFFF7E"/>
    <w:multiLevelType w:val="singleLevel"/>
    <w:tmpl w:val="210418BC"/>
    <w:lvl w:ilvl="0">
      <w:start w:val="1"/>
      <w:numFmt w:val="decimal"/>
      <w:lvlText w:val="%1."/>
      <w:lvlJc w:val="left"/>
      <w:pPr>
        <w:tabs>
          <w:tab w:val="num" w:pos="1080"/>
        </w:tabs>
        <w:ind w:left="1080" w:hanging="360"/>
      </w:pPr>
    </w:lvl>
  </w:abstractNum>
  <w:abstractNum w:abstractNumId="4">
    <w:nsid w:val="FFFFFF7F"/>
    <w:multiLevelType w:val="singleLevel"/>
    <w:tmpl w:val="7F66D9C6"/>
    <w:lvl w:ilvl="0">
      <w:start w:val="1"/>
      <w:numFmt w:val="decimal"/>
      <w:lvlText w:val="%1."/>
      <w:lvlJc w:val="left"/>
      <w:pPr>
        <w:tabs>
          <w:tab w:val="num" w:pos="720"/>
        </w:tabs>
        <w:ind w:left="720" w:hanging="360"/>
      </w:pPr>
    </w:lvl>
  </w:abstractNum>
  <w:abstractNum w:abstractNumId="5">
    <w:nsid w:val="FFFFFF80"/>
    <w:multiLevelType w:val="singleLevel"/>
    <w:tmpl w:val="BBC6222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C0E61C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71C646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9383D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FF87B24"/>
    <w:lvl w:ilvl="0">
      <w:start w:val="1"/>
      <w:numFmt w:val="decimal"/>
      <w:lvlText w:val="%1."/>
      <w:lvlJc w:val="left"/>
      <w:pPr>
        <w:tabs>
          <w:tab w:val="num" w:pos="360"/>
        </w:tabs>
        <w:ind w:left="360" w:hanging="360"/>
      </w:pPr>
    </w:lvl>
  </w:abstractNum>
  <w:abstractNum w:abstractNumId="10">
    <w:nsid w:val="FFFFFF89"/>
    <w:multiLevelType w:val="singleLevel"/>
    <w:tmpl w:val="BA40DE46"/>
    <w:lvl w:ilvl="0">
      <w:start w:val="1"/>
      <w:numFmt w:val="bullet"/>
      <w:lvlText w:val=""/>
      <w:lvlJc w:val="left"/>
      <w:pPr>
        <w:tabs>
          <w:tab w:val="num" w:pos="360"/>
        </w:tabs>
        <w:ind w:left="360" w:hanging="360"/>
      </w:pPr>
      <w:rPr>
        <w:rFonts w:ascii="Symbol" w:hAnsi="Symbol" w:hint="default"/>
      </w:rPr>
    </w:lvl>
  </w:abstractNum>
  <w:abstractNum w:abstractNumId="1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DF2AE0"/>
    <w:multiLevelType w:val="hybridMultilevel"/>
    <w:tmpl w:val="20F49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A90DCC"/>
    <w:multiLevelType w:val="hybridMultilevel"/>
    <w:tmpl w:val="AD10DAEA"/>
    <w:lvl w:ilvl="0">
      <w:start w:val="1"/>
      <w:numFmt w:val="decimalZero"/>
      <w:lvlText w:val="Rec-%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EB4C4E"/>
    <w:multiLevelType w:val="hybridMultilevel"/>
    <w:tmpl w:val="0F20ADFC"/>
    <w:lvl w:ilvl="0">
      <w:start w:val="5"/>
      <w:numFmt w:val="decimal"/>
      <w:lvlText w:val="%1."/>
      <w:lvlJc w:val="left"/>
      <w:pPr>
        <w:ind w:left="126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5">
    <w:nsid w:val="3EBD0E02"/>
    <w:multiLevelType w:val="hybridMultilevel"/>
    <w:tmpl w:val="E90617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497216F"/>
    <w:multiLevelType w:val="hybridMultilevel"/>
    <w:tmpl w:val="33521F98"/>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7">
    <w:nsid w:val="502D0573"/>
    <w:multiLevelType w:val="hybridMultilevel"/>
    <w:tmpl w:val="15E65ED8"/>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22432E"/>
    <w:multiLevelType w:val="hybridMultilevel"/>
    <w:tmpl w:val="C106BA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72855C2"/>
    <w:multiLevelType w:val="hybridMultilevel"/>
    <w:tmpl w:val="29F4CD58"/>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1">
    <w:nsid w:val="57287260"/>
    <w:multiLevelType w:val="hybridMultilevel"/>
    <w:tmpl w:val="23A018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5A8620DE"/>
    <w:multiLevelType w:val="hybridMultilevel"/>
    <w:tmpl w:val="8160D1D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64FA0A60"/>
    <w:multiLevelType w:val="hybridMultilevel"/>
    <w:tmpl w:val="808E5A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669D6825"/>
    <w:multiLevelType w:val="hybridMultilevel"/>
    <w:tmpl w:val="642A018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DFB078C"/>
    <w:multiLevelType w:val="hybridMultilevel"/>
    <w:tmpl w:val="30708452"/>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8F49C1"/>
    <w:multiLevelType w:val="hybridMultilevel"/>
    <w:tmpl w:val="F71805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1">
    <w:nsid w:val="7D492EB9"/>
    <w:multiLevelType w:val="hybridMultilevel"/>
    <w:tmpl w:val="89363FD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2"/>
  </w:num>
  <w:num w:numId="2">
    <w:abstractNumId w:val="19"/>
  </w:num>
  <w:num w:numId="3">
    <w:abstractNumId w:val="26"/>
  </w:num>
  <w:num w:numId="4">
    <w:abstractNumId w:val="24"/>
  </w:num>
  <w:num w:numId="5">
    <w:abstractNumId w:val="11"/>
  </w:num>
  <w:num w:numId="6">
    <w:abstractNumId w:val="30"/>
  </w:num>
  <w:num w:numId="7">
    <w:abstractNumId w:val="0"/>
  </w:num>
  <w:num w:numId="8">
    <w:abstractNumId w:val="25"/>
  </w:num>
  <w:num w:numId="9">
    <w:abstractNumId w:val="23"/>
  </w:num>
  <w:num w:numId="10">
    <w:abstractNumId w:val="15"/>
  </w:num>
  <w:num w:numId="11">
    <w:abstractNumId w:val="27"/>
  </w:num>
  <w:num w:numId="12">
    <w:abstractNumId w:val="31"/>
  </w:num>
  <w:num w:numId="13">
    <w:abstractNumId w:val="29"/>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7"/>
  </w:num>
  <w:num w:numId="18">
    <w:abstractNumId w:val="12"/>
  </w:num>
  <w:num w:numId="19">
    <w:abstractNumId w:val="16"/>
  </w:num>
  <w:num w:numId="20">
    <w:abstractNumId w:val="21"/>
  </w:num>
  <w:num w:numId="21">
    <w:abstractNumId w:val="13"/>
  </w:num>
  <w:num w:numId="22">
    <w:abstractNumId w:val="20"/>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A7"/>
    <w:rsid w:val="0001460D"/>
    <w:rsid w:val="00017F7B"/>
    <w:rsid w:val="00033902"/>
    <w:rsid w:val="00034F9B"/>
    <w:rsid w:val="00035A02"/>
    <w:rsid w:val="00036A2D"/>
    <w:rsid w:val="00037AE5"/>
    <w:rsid w:val="00041DF9"/>
    <w:rsid w:val="000724D9"/>
    <w:rsid w:val="000902C6"/>
    <w:rsid w:val="00093F06"/>
    <w:rsid w:val="00094794"/>
    <w:rsid w:val="00094A42"/>
    <w:rsid w:val="000D20A6"/>
    <w:rsid w:val="000E12D9"/>
    <w:rsid w:val="000E15D9"/>
    <w:rsid w:val="000E20E0"/>
    <w:rsid w:val="000E2DFC"/>
    <w:rsid w:val="000E4FD3"/>
    <w:rsid w:val="000F2414"/>
    <w:rsid w:val="000F63B6"/>
    <w:rsid w:val="001038D1"/>
    <w:rsid w:val="001132A6"/>
    <w:rsid w:val="0011612E"/>
    <w:rsid w:val="00123A9C"/>
    <w:rsid w:val="0013623A"/>
    <w:rsid w:val="001378AF"/>
    <w:rsid w:val="00146805"/>
    <w:rsid w:val="0015341F"/>
    <w:rsid w:val="00155E3D"/>
    <w:rsid w:val="00160250"/>
    <w:rsid w:val="00164A05"/>
    <w:rsid w:val="00165C1D"/>
    <w:rsid w:val="00177EDE"/>
    <w:rsid w:val="00191389"/>
    <w:rsid w:val="0019194F"/>
    <w:rsid w:val="001B2426"/>
    <w:rsid w:val="001B5083"/>
    <w:rsid w:val="001C3E46"/>
    <w:rsid w:val="001D3C2B"/>
    <w:rsid w:val="001E7D34"/>
    <w:rsid w:val="001F3186"/>
    <w:rsid w:val="001F3EAA"/>
    <w:rsid w:val="00200A42"/>
    <w:rsid w:val="00223652"/>
    <w:rsid w:val="00250C9B"/>
    <w:rsid w:val="00277334"/>
    <w:rsid w:val="00280B7B"/>
    <w:rsid w:val="002828A1"/>
    <w:rsid w:val="00292C0B"/>
    <w:rsid w:val="00293FD7"/>
    <w:rsid w:val="002A10E4"/>
    <w:rsid w:val="002A2263"/>
    <w:rsid w:val="002B36C3"/>
    <w:rsid w:val="002B4CA0"/>
    <w:rsid w:val="002B7A53"/>
    <w:rsid w:val="002C27CE"/>
    <w:rsid w:val="002C7096"/>
    <w:rsid w:val="002D02F6"/>
    <w:rsid w:val="002D2840"/>
    <w:rsid w:val="002D3A79"/>
    <w:rsid w:val="002D4626"/>
    <w:rsid w:val="002E0751"/>
    <w:rsid w:val="002E21AE"/>
    <w:rsid w:val="002F237A"/>
    <w:rsid w:val="002F7B4B"/>
    <w:rsid w:val="003066AE"/>
    <w:rsid w:val="003103C9"/>
    <w:rsid w:val="00311558"/>
    <w:rsid w:val="0031295F"/>
    <w:rsid w:val="00314BAE"/>
    <w:rsid w:val="003234CC"/>
    <w:rsid w:val="00325407"/>
    <w:rsid w:val="00327100"/>
    <w:rsid w:val="00333540"/>
    <w:rsid w:val="00353C9D"/>
    <w:rsid w:val="00364CB6"/>
    <w:rsid w:val="003676A0"/>
    <w:rsid w:val="00372B1A"/>
    <w:rsid w:val="00375428"/>
    <w:rsid w:val="00381DFE"/>
    <w:rsid w:val="00390706"/>
    <w:rsid w:val="00391727"/>
    <w:rsid w:val="00393037"/>
    <w:rsid w:val="00397B50"/>
    <w:rsid w:val="003B1E3B"/>
    <w:rsid w:val="003C1C51"/>
    <w:rsid w:val="003D1256"/>
    <w:rsid w:val="003D51E0"/>
    <w:rsid w:val="003D5411"/>
    <w:rsid w:val="003E6D92"/>
    <w:rsid w:val="003F37A7"/>
    <w:rsid w:val="003F4BC9"/>
    <w:rsid w:val="003F54F9"/>
    <w:rsid w:val="003F59E5"/>
    <w:rsid w:val="003F6F55"/>
    <w:rsid w:val="00406BE8"/>
    <w:rsid w:val="00407B30"/>
    <w:rsid w:val="004163D6"/>
    <w:rsid w:val="00417A1A"/>
    <w:rsid w:val="004317CA"/>
    <w:rsid w:val="00445090"/>
    <w:rsid w:val="00450B37"/>
    <w:rsid w:val="00453BD9"/>
    <w:rsid w:val="00462E30"/>
    <w:rsid w:val="004859FD"/>
    <w:rsid w:val="00487B54"/>
    <w:rsid w:val="004968B7"/>
    <w:rsid w:val="004B6AD4"/>
    <w:rsid w:val="004C5D11"/>
    <w:rsid w:val="004D620D"/>
    <w:rsid w:val="004E5030"/>
    <w:rsid w:val="00504069"/>
    <w:rsid w:val="00507751"/>
    <w:rsid w:val="00512BE4"/>
    <w:rsid w:val="0052706A"/>
    <w:rsid w:val="00534D33"/>
    <w:rsid w:val="00535E7F"/>
    <w:rsid w:val="0054744F"/>
    <w:rsid w:val="00547E04"/>
    <w:rsid w:val="00562507"/>
    <w:rsid w:val="00573B42"/>
    <w:rsid w:val="005838E1"/>
    <w:rsid w:val="00594405"/>
    <w:rsid w:val="005A1955"/>
    <w:rsid w:val="005A4A93"/>
    <w:rsid w:val="005D1E7D"/>
    <w:rsid w:val="005E12FA"/>
    <w:rsid w:val="005E1458"/>
    <w:rsid w:val="005E5D64"/>
    <w:rsid w:val="005F0803"/>
    <w:rsid w:val="005F7164"/>
    <w:rsid w:val="00603479"/>
    <w:rsid w:val="00610BDA"/>
    <w:rsid w:val="0061694A"/>
    <w:rsid w:val="00645B01"/>
    <w:rsid w:val="00650368"/>
    <w:rsid w:val="00652332"/>
    <w:rsid w:val="00691DD1"/>
    <w:rsid w:val="00693C9F"/>
    <w:rsid w:val="0069481D"/>
    <w:rsid w:val="006B386A"/>
    <w:rsid w:val="006B536B"/>
    <w:rsid w:val="006C123E"/>
    <w:rsid w:val="006C1A40"/>
    <w:rsid w:val="006D7CD7"/>
    <w:rsid w:val="006E1630"/>
    <w:rsid w:val="006F1BBB"/>
    <w:rsid w:val="006F1EA1"/>
    <w:rsid w:val="006F29D7"/>
    <w:rsid w:val="00721D91"/>
    <w:rsid w:val="0073445E"/>
    <w:rsid w:val="00735343"/>
    <w:rsid w:val="0074194E"/>
    <w:rsid w:val="007671FA"/>
    <w:rsid w:val="00791C31"/>
    <w:rsid w:val="007A2F3C"/>
    <w:rsid w:val="007B1945"/>
    <w:rsid w:val="007D4B90"/>
    <w:rsid w:val="007D6CA8"/>
    <w:rsid w:val="007F24BB"/>
    <w:rsid w:val="007F2D96"/>
    <w:rsid w:val="007F405D"/>
    <w:rsid w:val="00800268"/>
    <w:rsid w:val="0080120F"/>
    <w:rsid w:val="0082402E"/>
    <w:rsid w:val="00825D47"/>
    <w:rsid w:val="00831C54"/>
    <w:rsid w:val="00845247"/>
    <w:rsid w:val="0084690C"/>
    <w:rsid w:val="00846C2C"/>
    <w:rsid w:val="0085316B"/>
    <w:rsid w:val="00861A34"/>
    <w:rsid w:val="00862923"/>
    <w:rsid w:val="00864E73"/>
    <w:rsid w:val="0087002A"/>
    <w:rsid w:val="00877656"/>
    <w:rsid w:val="00885A62"/>
    <w:rsid w:val="008936A1"/>
    <w:rsid w:val="008940FB"/>
    <w:rsid w:val="008B3371"/>
    <w:rsid w:val="008B7304"/>
    <w:rsid w:val="008B77EF"/>
    <w:rsid w:val="008D1801"/>
    <w:rsid w:val="008D2269"/>
    <w:rsid w:val="008D3FEA"/>
    <w:rsid w:val="008F0B97"/>
    <w:rsid w:val="008F7553"/>
    <w:rsid w:val="00916EF8"/>
    <w:rsid w:val="00920425"/>
    <w:rsid w:val="009358D0"/>
    <w:rsid w:val="009512FF"/>
    <w:rsid w:val="009613A5"/>
    <w:rsid w:val="00980D4F"/>
    <w:rsid w:val="00997948"/>
    <w:rsid w:val="009A061B"/>
    <w:rsid w:val="009A42FB"/>
    <w:rsid w:val="009A4584"/>
    <w:rsid w:val="009A6593"/>
    <w:rsid w:val="009B5C33"/>
    <w:rsid w:val="009B6850"/>
    <w:rsid w:val="009B7ADF"/>
    <w:rsid w:val="009E612C"/>
    <w:rsid w:val="009F1566"/>
    <w:rsid w:val="009F1A69"/>
    <w:rsid w:val="009F4338"/>
    <w:rsid w:val="009F4F97"/>
    <w:rsid w:val="00A00BDC"/>
    <w:rsid w:val="00A15C5E"/>
    <w:rsid w:val="00A15D1B"/>
    <w:rsid w:val="00A17575"/>
    <w:rsid w:val="00A30EAF"/>
    <w:rsid w:val="00A51B97"/>
    <w:rsid w:val="00A555E2"/>
    <w:rsid w:val="00A57D21"/>
    <w:rsid w:val="00A6242D"/>
    <w:rsid w:val="00A656E5"/>
    <w:rsid w:val="00A66DDE"/>
    <w:rsid w:val="00A934D0"/>
    <w:rsid w:val="00AA1135"/>
    <w:rsid w:val="00AA3DA6"/>
    <w:rsid w:val="00AD386B"/>
    <w:rsid w:val="00AD537A"/>
    <w:rsid w:val="00AD5CB4"/>
    <w:rsid w:val="00AE5FE0"/>
    <w:rsid w:val="00AF13C1"/>
    <w:rsid w:val="00AF4112"/>
    <w:rsid w:val="00B04C4C"/>
    <w:rsid w:val="00B13A59"/>
    <w:rsid w:val="00B14E60"/>
    <w:rsid w:val="00B169CA"/>
    <w:rsid w:val="00B24ACF"/>
    <w:rsid w:val="00B25BED"/>
    <w:rsid w:val="00B41A61"/>
    <w:rsid w:val="00B4736A"/>
    <w:rsid w:val="00B54427"/>
    <w:rsid w:val="00B56C2B"/>
    <w:rsid w:val="00B86F64"/>
    <w:rsid w:val="00B92DFF"/>
    <w:rsid w:val="00BB0A2F"/>
    <w:rsid w:val="00BB3412"/>
    <w:rsid w:val="00BC22F3"/>
    <w:rsid w:val="00BD08CA"/>
    <w:rsid w:val="00BD21D3"/>
    <w:rsid w:val="00BE4FAC"/>
    <w:rsid w:val="00BF1782"/>
    <w:rsid w:val="00BF5B34"/>
    <w:rsid w:val="00BF760C"/>
    <w:rsid w:val="00C00B86"/>
    <w:rsid w:val="00C04535"/>
    <w:rsid w:val="00C17339"/>
    <w:rsid w:val="00C22D55"/>
    <w:rsid w:val="00C278F4"/>
    <w:rsid w:val="00C31066"/>
    <w:rsid w:val="00C32AED"/>
    <w:rsid w:val="00C36FA8"/>
    <w:rsid w:val="00C46346"/>
    <w:rsid w:val="00C47FFC"/>
    <w:rsid w:val="00C53581"/>
    <w:rsid w:val="00C5798A"/>
    <w:rsid w:val="00C60D9A"/>
    <w:rsid w:val="00C84370"/>
    <w:rsid w:val="00C850B6"/>
    <w:rsid w:val="00CA271E"/>
    <w:rsid w:val="00CB585F"/>
    <w:rsid w:val="00CB74DB"/>
    <w:rsid w:val="00CD0857"/>
    <w:rsid w:val="00CE392A"/>
    <w:rsid w:val="00CF03AB"/>
    <w:rsid w:val="00CF155C"/>
    <w:rsid w:val="00CF3635"/>
    <w:rsid w:val="00CF4562"/>
    <w:rsid w:val="00D05E62"/>
    <w:rsid w:val="00D10DDE"/>
    <w:rsid w:val="00D31A90"/>
    <w:rsid w:val="00D421AF"/>
    <w:rsid w:val="00D44108"/>
    <w:rsid w:val="00D448E3"/>
    <w:rsid w:val="00D62020"/>
    <w:rsid w:val="00D72F7B"/>
    <w:rsid w:val="00D7482D"/>
    <w:rsid w:val="00D814D6"/>
    <w:rsid w:val="00D83A99"/>
    <w:rsid w:val="00D84F83"/>
    <w:rsid w:val="00D9390D"/>
    <w:rsid w:val="00DA170E"/>
    <w:rsid w:val="00DA3B63"/>
    <w:rsid w:val="00DA79BE"/>
    <w:rsid w:val="00DB68E3"/>
    <w:rsid w:val="00DC4DE4"/>
    <w:rsid w:val="00DE3E60"/>
    <w:rsid w:val="00DE5B43"/>
    <w:rsid w:val="00DF0721"/>
    <w:rsid w:val="00DF4741"/>
    <w:rsid w:val="00E0108B"/>
    <w:rsid w:val="00E039D0"/>
    <w:rsid w:val="00E04958"/>
    <w:rsid w:val="00E17EBC"/>
    <w:rsid w:val="00E45F3E"/>
    <w:rsid w:val="00E5138B"/>
    <w:rsid w:val="00E53129"/>
    <w:rsid w:val="00E5744C"/>
    <w:rsid w:val="00E60C56"/>
    <w:rsid w:val="00E6103D"/>
    <w:rsid w:val="00E61D62"/>
    <w:rsid w:val="00E73201"/>
    <w:rsid w:val="00E82A6C"/>
    <w:rsid w:val="00E909C2"/>
    <w:rsid w:val="00E949B1"/>
    <w:rsid w:val="00E94D36"/>
    <w:rsid w:val="00E96FD3"/>
    <w:rsid w:val="00EA7BF5"/>
    <w:rsid w:val="00EB6875"/>
    <w:rsid w:val="00EC0C48"/>
    <w:rsid w:val="00ED4F10"/>
    <w:rsid w:val="00ED5ED7"/>
    <w:rsid w:val="00EF0235"/>
    <w:rsid w:val="00F04B2E"/>
    <w:rsid w:val="00F13336"/>
    <w:rsid w:val="00F140AA"/>
    <w:rsid w:val="00F22268"/>
    <w:rsid w:val="00F36C49"/>
    <w:rsid w:val="00F40567"/>
    <w:rsid w:val="00F428C6"/>
    <w:rsid w:val="00F5129B"/>
    <w:rsid w:val="00F62403"/>
    <w:rsid w:val="00F629EF"/>
    <w:rsid w:val="00F6534A"/>
    <w:rsid w:val="00F677B1"/>
    <w:rsid w:val="00F73E15"/>
    <w:rsid w:val="00F748D2"/>
    <w:rsid w:val="00F94B7A"/>
    <w:rsid w:val="00FA29A5"/>
    <w:rsid w:val="00FA5AB2"/>
    <w:rsid w:val="00FA7ADC"/>
    <w:rsid w:val="00FE0025"/>
    <w:rsid w:val="00FE6644"/>
    <w:rsid w:val="00FE6A60"/>
    <w:rsid w:val="00FF6AE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2E"/>
    <w:rPr>
      <w:sz w:val="24"/>
    </w:rPr>
  </w:style>
  <w:style w:type="paragraph" w:styleId="Heading1">
    <w:name w:val="heading 1"/>
    <w:basedOn w:val="Normal"/>
    <w:next w:val="Normal"/>
    <w:autoRedefine/>
    <w:qFormat/>
    <w:rsid w:val="00223652"/>
    <w:pPr>
      <w:keepNext/>
      <w:tabs>
        <w:tab w:val="decimal" w:leader="dot" w:pos="8640"/>
      </w:tabs>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165C1D"/>
    <w:pPr>
      <w:keepNext/>
      <w:spacing w:after="240"/>
      <w:ind w:left="1440" w:hanging="720"/>
      <w:outlineLvl w:val="1"/>
    </w:pPr>
    <w:rPr>
      <w:rFonts w:ascii="Times New Roman Bold" w:hAnsi="Times New Roman Bold"/>
      <w:b/>
      <w:szCs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1"/>
    <w:uiPriority w:val="99"/>
    <w:rsid w:val="00575D25"/>
    <w:pPr>
      <w:spacing w:after="120"/>
    </w:pPr>
    <w:rPr>
      <w:sz w:val="20"/>
    </w:rPr>
  </w:style>
  <w:style w:type="character" w:styleId="FootnoteReference">
    <w:name w:val="footnote reference"/>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Revision">
    <w:name w:val="Revision"/>
    <w:hidden/>
    <w:uiPriority w:val="99"/>
    <w:semiHidden/>
    <w:rsid w:val="00552C9B"/>
    <w:rPr>
      <w:sz w:val="24"/>
    </w:rPr>
  </w:style>
  <w:style w:type="character" w:customStyle="1" w:styleId="FooterChar">
    <w:name w:val="Footer Char"/>
    <w:link w:val="Footer"/>
    <w:uiPriority w:val="99"/>
    <w:rsid w:val="004C7036"/>
  </w:style>
  <w:style w:type="character" w:customStyle="1" w:styleId="BodyTextChar">
    <w:name w:val="Body Text Char"/>
    <w:link w:val="BodyText"/>
    <w:rsid w:val="008B3E12"/>
    <w:rPr>
      <w:sz w:val="24"/>
    </w:rPr>
  </w:style>
  <w:style w:type="character" w:customStyle="1" w:styleId="BodyTextIndentChar">
    <w:name w:val="Body Text Indent Char"/>
    <w:link w:val="BodyTextIndent"/>
    <w:rsid w:val="008B3E12"/>
    <w:rPr>
      <w:sz w:val="24"/>
    </w:rPr>
  </w:style>
  <w:style w:type="paragraph" w:styleId="TOC1">
    <w:name w:val="toc 1"/>
    <w:basedOn w:val="Normal"/>
    <w:next w:val="Normal"/>
    <w:autoRedefine/>
    <w:uiPriority w:val="39"/>
    <w:qFormat/>
    <w:rsid w:val="00174310"/>
    <w:pPr>
      <w:tabs>
        <w:tab w:val="left" w:pos="720"/>
        <w:tab w:val="decimal" w:leader="dot" w:pos="8640"/>
      </w:tabs>
      <w:spacing w:after="240"/>
      <w:ind w:left="720" w:hanging="720"/>
    </w:pPr>
  </w:style>
  <w:style w:type="paragraph" w:styleId="TOC2">
    <w:name w:val="toc 2"/>
    <w:basedOn w:val="Normal"/>
    <w:next w:val="Normal"/>
    <w:autoRedefine/>
    <w:uiPriority w:val="39"/>
    <w:qFormat/>
    <w:rsid w:val="00174310"/>
    <w:pPr>
      <w:tabs>
        <w:tab w:val="left" w:pos="720"/>
        <w:tab w:val="decimal" w:leader="dot" w:pos="8640"/>
      </w:tabs>
      <w:spacing w:after="240"/>
      <w:ind w:left="1440" w:hanging="720"/>
    </w:pPr>
  </w:style>
  <w:style w:type="table" w:customStyle="1" w:styleId="TableGrid1">
    <w:name w:val="Table Grid1"/>
    <w:basedOn w:val="TableNormal"/>
    <w:next w:val="TableGrid"/>
    <w:uiPriority w:val="59"/>
    <w:rsid w:val="00A12E8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31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fn Char"/>
    <w:link w:val="FootnoteText"/>
    <w:uiPriority w:val="99"/>
    <w:locked/>
    <w:rsid w:val="00575D25"/>
  </w:style>
  <w:style w:type="table" w:customStyle="1" w:styleId="TableGrid3">
    <w:name w:val="Table Grid3"/>
    <w:basedOn w:val="TableNormal"/>
    <w:next w:val="TableGrid"/>
    <w:uiPriority w:val="59"/>
    <w:rsid w:val="00327D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00B86"/>
    <w:rPr>
      <w:color w:val="808080"/>
      <w:shd w:val="clear" w:color="auto" w:fill="E6E6E6"/>
    </w:rPr>
  </w:style>
  <w:style w:type="character" w:customStyle="1" w:styleId="FootnoteTextChar">
    <w:name w:val="Footnote Text Char"/>
    <w:uiPriority w:val="99"/>
    <w:rsid w:val="001A37BB"/>
    <w:rPr>
      <w:rFonts w:ascii="Calibri" w:eastAsia="Calibri" w:hAnsi="Calibri"/>
    </w:rPr>
  </w:style>
  <w:style w:type="paragraph" w:styleId="ListParagraph">
    <w:name w:val="List Paragraph"/>
    <w:basedOn w:val="Normal"/>
    <w:uiPriority w:val="34"/>
    <w:qFormat/>
    <w:rsid w:val="001A37BB"/>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rsid w:val="002B7494"/>
    <w:rPr>
      <w:sz w:val="24"/>
      <w:szCs w:val="24"/>
    </w:rPr>
  </w:style>
  <w:style w:type="paragraph" w:styleId="Caption">
    <w:name w:val="caption"/>
    <w:basedOn w:val="Normal"/>
    <w:next w:val="Normal"/>
    <w:uiPriority w:val="35"/>
    <w:qFormat/>
    <w:rsid w:val="00C04535"/>
    <w:pPr>
      <w:keepNext/>
      <w:spacing w:before="120" w:after="120"/>
      <w:jc w:val="center"/>
    </w:pPr>
    <w:rPr>
      <w:rFonts w:ascii="Cambria" w:hAnsi="Cambria"/>
      <w:b/>
      <w:sz w:val="20"/>
      <w:szCs w:val="18"/>
      <w:lang w:bidi="en-US"/>
    </w:rPr>
  </w:style>
  <w:style w:type="paragraph" w:customStyle="1" w:styleId="IndentParagraph">
    <w:name w:val="Indent Paragraph"/>
    <w:basedOn w:val="Normal"/>
    <w:link w:val="IndentParagraphChar"/>
    <w:qFormat/>
    <w:rsid w:val="00C04535"/>
    <w:pPr>
      <w:spacing w:before="120" w:after="120"/>
      <w:ind w:firstLine="432"/>
      <w:jc w:val="both"/>
    </w:pPr>
    <w:rPr>
      <w:rFonts w:ascii="Cambria" w:hAnsi="Cambria"/>
      <w:sz w:val="22"/>
      <w:szCs w:val="22"/>
      <w:lang w:bidi="en-US"/>
    </w:rPr>
  </w:style>
  <w:style w:type="character" w:customStyle="1" w:styleId="IndentParagraphChar">
    <w:name w:val="Indent Paragraph Char"/>
    <w:link w:val="IndentParagraph"/>
    <w:rsid w:val="00C04535"/>
    <w:rPr>
      <w:rFonts w:ascii="Cambria"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di.bair@ohioattorneygeneral.gov" TargetMode="External" /><Relationship Id="rId11" Type="http://schemas.openxmlformats.org/officeDocument/2006/relationships/hyperlink" Target="mailto:Megan.addison@puco.ohio.gov" TargetMode="External" /><Relationship Id="rId12" Type="http://schemas.openxmlformats.org/officeDocument/2006/relationships/hyperlink" Target="mailto:Gregory.price@puco.ohio.gov" TargetMode="External" /><Relationship Id="rId13" Type="http://schemas.openxmlformats.org/officeDocument/2006/relationships/hyperlink" Target="mailto:rendris@firstenergycorp.com" TargetMode="Externa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hyperlink" Target="mailto:Robert.eubanks@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9732-2F27-4762-8575-36FFDBDE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 Reply Comments--all edits accepted  (00146106.DOCX;1)</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2020-08-11T20:55:42Z</dcterms:created>
  <dcterms:modified xsi:type="dcterms:W3CDTF">2020-08-11T20:55:42Z</dcterms:modified>
</cp:coreProperties>
</file>